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A49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5" w:hRule="atLeast"/>
        </w:trPr>
        <w:tc>
          <w:tcPr>
            <w:tcW w:w="8364" w:type="dxa"/>
            <w:tcBorders>
              <w:top w:val="single" w:color="auto" w:sz="4" w:space="0"/>
              <w:left w:val="single" w:color="auto" w:sz="4" w:space="0"/>
              <w:bottom w:val="single" w:color="auto" w:sz="4" w:space="0"/>
              <w:right w:val="single" w:color="auto" w:sz="4" w:space="0"/>
            </w:tcBorders>
            <w:shd w:val="clear" w:color="auto" w:fill="auto"/>
          </w:tcPr>
          <w:p w14:paraId="6E2B9A11">
            <w:pPr>
              <w:widowControl/>
              <w:spacing w:before="100" w:beforeAutospacing="1" w:after="100" w:afterAutospacing="1" w:line="560" w:lineRule="exact"/>
              <w:ind w:firstLine="640"/>
              <w:jc w:val="center"/>
              <w:rPr>
                <w:rFonts w:ascii="仿宋_GB2312" w:hAnsi="Verdana" w:eastAsia="仿宋_GB2312" w:cs="宋体"/>
                <w:kern w:val="0"/>
                <w:szCs w:val="32"/>
              </w:rPr>
            </w:pPr>
          </w:p>
          <w:p w14:paraId="19C27623">
            <w:pPr>
              <w:widowControl/>
              <w:spacing w:before="100" w:beforeAutospacing="1" w:after="100" w:afterAutospacing="1" w:line="560" w:lineRule="exact"/>
              <w:ind w:firstLine="880"/>
              <w:jc w:val="center"/>
              <w:rPr>
                <w:rFonts w:ascii="方正小标宋简体" w:hAnsi="黑体" w:eastAsia="方正小标宋简体"/>
                <w:kern w:val="0"/>
                <w:sz w:val="44"/>
              </w:rPr>
            </w:pPr>
            <w:r>
              <w:rPr>
                <w:rFonts w:hint="eastAsia" w:ascii="方正小标宋简体" w:hAnsi="黑体" w:eastAsia="方正小标宋简体"/>
                <w:kern w:val="0"/>
                <w:sz w:val="44"/>
              </w:rPr>
              <w:t>用 户 需 求 书</w:t>
            </w:r>
          </w:p>
          <w:p w14:paraId="543AEF36">
            <w:pPr>
              <w:widowControl/>
              <w:spacing w:before="100" w:beforeAutospacing="1" w:after="100" w:afterAutospacing="1" w:line="560" w:lineRule="exact"/>
              <w:ind w:firstLine="640"/>
              <w:jc w:val="center"/>
              <w:rPr>
                <w:rFonts w:ascii="仿宋_GB2312" w:hAnsi="宋体" w:eastAsia="仿宋_GB2312" w:cs="宋体"/>
                <w:kern w:val="0"/>
                <w:szCs w:val="32"/>
              </w:rPr>
            </w:pPr>
          </w:p>
          <w:p w14:paraId="73F7C3EE">
            <w:pPr>
              <w:widowControl/>
              <w:spacing w:before="100" w:beforeAutospacing="1" w:after="100" w:afterAutospacing="1" w:line="560" w:lineRule="exact"/>
              <w:ind w:firstLine="640"/>
              <w:jc w:val="center"/>
              <w:rPr>
                <w:rFonts w:ascii="仿宋_GB2312" w:hAnsi="宋体" w:eastAsia="仿宋_GB2312" w:cs="宋体"/>
                <w:kern w:val="0"/>
                <w:szCs w:val="32"/>
              </w:rPr>
            </w:pPr>
          </w:p>
          <w:p w14:paraId="03246F16">
            <w:pPr>
              <w:widowControl/>
              <w:spacing w:before="100" w:beforeAutospacing="1" w:after="100" w:afterAutospacing="1" w:line="560" w:lineRule="exact"/>
              <w:ind w:firstLine="640"/>
              <w:jc w:val="center"/>
              <w:rPr>
                <w:rFonts w:ascii="仿宋_GB2312" w:hAnsi="宋体" w:eastAsia="仿宋_GB2312" w:cs="宋体"/>
                <w:kern w:val="0"/>
                <w:szCs w:val="32"/>
              </w:rPr>
            </w:pPr>
          </w:p>
          <w:p w14:paraId="27C64894">
            <w:pPr>
              <w:widowControl/>
              <w:spacing w:before="100" w:beforeAutospacing="1" w:after="100" w:afterAutospacing="1" w:line="560" w:lineRule="exact"/>
              <w:ind w:firstLine="640"/>
              <w:jc w:val="center"/>
              <w:rPr>
                <w:rFonts w:ascii="仿宋_GB2312" w:hAnsi="宋体" w:eastAsia="仿宋_GB2312" w:cs="宋体"/>
                <w:kern w:val="0"/>
                <w:szCs w:val="32"/>
              </w:rPr>
            </w:pPr>
          </w:p>
          <w:p w14:paraId="7CDB2856">
            <w:pPr>
              <w:widowControl/>
              <w:spacing w:before="100" w:beforeAutospacing="1" w:after="100" w:afterAutospacing="1" w:line="560" w:lineRule="exact"/>
              <w:ind w:firstLine="640"/>
              <w:jc w:val="center"/>
              <w:rPr>
                <w:rFonts w:ascii="仿宋_GB2312" w:hAnsi="宋体" w:eastAsia="仿宋_GB2312" w:cs="宋体"/>
                <w:kern w:val="0"/>
                <w:szCs w:val="32"/>
              </w:rPr>
            </w:pPr>
          </w:p>
          <w:p w14:paraId="7EA76286">
            <w:pPr>
              <w:widowControl/>
              <w:spacing w:before="100" w:beforeAutospacing="1" w:after="100" w:afterAutospacing="1" w:line="560" w:lineRule="exact"/>
              <w:ind w:firstLine="640"/>
              <w:jc w:val="center"/>
              <w:rPr>
                <w:rFonts w:ascii="仿宋_GB2312" w:hAnsi="宋体" w:eastAsia="仿宋_GB2312" w:cs="宋体"/>
                <w:kern w:val="0"/>
                <w:szCs w:val="32"/>
              </w:rPr>
            </w:pPr>
          </w:p>
          <w:p w14:paraId="767BB579">
            <w:pPr>
              <w:widowControl/>
              <w:spacing w:before="100" w:beforeAutospacing="1" w:after="100" w:afterAutospacing="1" w:line="560" w:lineRule="exact"/>
              <w:ind w:firstLine="640"/>
              <w:rPr>
                <w:rFonts w:ascii="仿宋_GB2312" w:hAnsi="Verdana" w:eastAsia="仿宋_GB2312" w:cs="宋体"/>
                <w:kern w:val="0"/>
                <w:szCs w:val="32"/>
              </w:rPr>
            </w:pPr>
            <w:r>
              <w:rPr>
                <w:rFonts w:hint="eastAsia" w:ascii="仿宋_GB2312" w:hAnsi="Verdana" w:eastAsia="仿宋_GB2312" w:cs="宋体"/>
                <w:kern w:val="0"/>
                <w:szCs w:val="32"/>
              </w:rPr>
              <w:t>项目名称：</w:t>
            </w:r>
            <w:r>
              <w:rPr>
                <w:rFonts w:hint="eastAsia" w:ascii="仿宋_GB2312" w:hAnsi="Verdana" w:eastAsia="仿宋_GB2312" w:cs="宋体"/>
                <w:kern w:val="0"/>
                <w:szCs w:val="32"/>
                <w:u w:val="single"/>
              </w:rPr>
              <w:t xml:space="preserve">上海市公安局移动端共性服务管理及应用支撑子系统建设项目 </w:t>
            </w:r>
          </w:p>
          <w:p w14:paraId="02EDDA79">
            <w:pPr>
              <w:widowControl/>
              <w:spacing w:before="100" w:beforeAutospacing="1" w:after="100" w:afterAutospacing="1" w:line="560" w:lineRule="exact"/>
              <w:ind w:firstLine="640"/>
              <w:rPr>
                <w:rFonts w:ascii="仿宋_GB2312" w:hAnsi="Verdana" w:eastAsia="仿宋_GB2312" w:cs="宋体"/>
                <w:kern w:val="0"/>
                <w:szCs w:val="32"/>
              </w:rPr>
            </w:pPr>
            <w:r>
              <w:rPr>
                <w:rFonts w:hint="eastAsia" w:ascii="仿宋_GB2312" w:hAnsi="Verdana" w:eastAsia="仿宋_GB2312" w:cs="宋体"/>
                <w:kern w:val="0"/>
                <w:szCs w:val="32"/>
              </w:rPr>
              <w:t>责任单位：</w:t>
            </w:r>
            <w:r>
              <w:rPr>
                <w:rFonts w:hint="eastAsia" w:ascii="仿宋_GB2312" w:hAnsi="Verdana" w:eastAsia="仿宋_GB2312" w:cs="宋体"/>
                <w:kern w:val="0"/>
                <w:szCs w:val="32"/>
                <w:u w:val="single"/>
              </w:rPr>
              <w:t xml:space="preserve">上海市公安局科技信息化总队          </w:t>
            </w:r>
          </w:p>
          <w:p w14:paraId="79E2FCA4">
            <w:pPr>
              <w:widowControl/>
              <w:spacing w:before="100" w:beforeAutospacing="1" w:after="100" w:afterAutospacing="1" w:line="560" w:lineRule="exact"/>
              <w:ind w:firstLine="640"/>
              <w:rPr>
                <w:rFonts w:ascii="仿宋_GB2312" w:hAnsi="Verdana" w:eastAsia="仿宋_GB2312" w:cs="宋体"/>
                <w:kern w:val="0"/>
                <w:szCs w:val="32"/>
              </w:rPr>
            </w:pPr>
            <w:r>
              <w:rPr>
                <w:rFonts w:hint="eastAsia" w:ascii="仿宋_GB2312" w:hAnsi="Verdana" w:eastAsia="仿宋_GB2312" w:cs="宋体"/>
                <w:kern w:val="0"/>
                <w:szCs w:val="32"/>
              </w:rPr>
              <w:t>项目负责人：</w:t>
            </w:r>
            <w:r>
              <w:rPr>
                <w:rFonts w:hint="eastAsia" w:ascii="仿宋_GB2312" w:hAnsi="Verdana" w:eastAsia="仿宋_GB2312" w:cs="宋体"/>
                <w:kern w:val="0"/>
                <w:szCs w:val="32"/>
                <w:u w:val="single"/>
              </w:rPr>
              <w:t xml:space="preserve">     闫峥                  </w:t>
            </w:r>
          </w:p>
          <w:p w14:paraId="140311A0">
            <w:pPr>
              <w:widowControl/>
              <w:spacing w:before="100" w:beforeAutospacing="1" w:after="100" w:afterAutospacing="1" w:line="560" w:lineRule="exact"/>
              <w:ind w:firstLine="640"/>
              <w:rPr>
                <w:rFonts w:ascii="仿宋_GB2312" w:hAnsi="Verdana" w:eastAsia="仿宋_GB2312" w:cs="宋体"/>
                <w:kern w:val="0"/>
                <w:szCs w:val="32"/>
              </w:rPr>
            </w:pPr>
            <w:r>
              <w:rPr>
                <w:rFonts w:hint="eastAsia" w:ascii="仿宋_GB2312" w:hAnsi="Verdana" w:eastAsia="仿宋_GB2312" w:cs="宋体"/>
                <w:kern w:val="0"/>
                <w:szCs w:val="32"/>
              </w:rPr>
              <w:t>联系人及电话：</w:t>
            </w:r>
            <w:r>
              <w:rPr>
                <w:rFonts w:hint="eastAsia" w:ascii="仿宋_GB2312" w:hAnsi="Verdana" w:eastAsia="仿宋_GB2312" w:cs="宋体"/>
                <w:kern w:val="0"/>
                <w:szCs w:val="32"/>
                <w:u w:val="single"/>
              </w:rPr>
              <w:t xml:space="preserve">   张涵            </w:t>
            </w:r>
          </w:p>
          <w:p w14:paraId="127053BE">
            <w:pPr>
              <w:widowControl/>
              <w:spacing w:before="100" w:beforeAutospacing="1" w:after="100" w:afterAutospacing="1" w:line="560" w:lineRule="exact"/>
              <w:ind w:firstLine="640"/>
              <w:rPr>
                <w:rFonts w:ascii="仿宋_GB2312" w:hAnsi="Verdana" w:eastAsia="仿宋_GB2312" w:cs="宋体"/>
                <w:kern w:val="0"/>
                <w:szCs w:val="32"/>
              </w:rPr>
            </w:pPr>
          </w:p>
        </w:tc>
      </w:tr>
    </w:tbl>
    <w:p w14:paraId="68BC36B0">
      <w:pPr>
        <w:pStyle w:val="3"/>
        <w:spacing w:line="560" w:lineRule="exact"/>
        <w:ind w:firstLine="643"/>
        <w:rPr>
          <w:rFonts w:ascii="仿宋_GB2312"/>
        </w:rPr>
      </w:pPr>
      <w:r>
        <w:rPr>
          <w:rFonts w:hint="eastAsia" w:ascii="仿宋_GB2312"/>
        </w:rPr>
        <w:t>建设背景</w:t>
      </w:r>
    </w:p>
    <w:p w14:paraId="178AF9A6">
      <w:pPr>
        <w:spacing w:line="560" w:lineRule="exact"/>
        <w:ind w:firstLine="640"/>
        <w:rPr>
          <w:rFonts w:ascii="仿宋_GB2312" w:eastAsia="仿宋_GB2312"/>
        </w:rPr>
      </w:pPr>
      <w:r>
        <w:rPr>
          <w:rFonts w:hint="eastAsia" w:ascii="仿宋_GB2312" w:eastAsia="仿宋_GB2312"/>
        </w:rPr>
        <w:t>依据公安部规划指导文件的要求，结合</w:t>
      </w:r>
      <w:r>
        <w:rPr>
          <w:rFonts w:hint="eastAsia" w:ascii="仿宋_GB2312" w:eastAsia="仿宋_GB2312"/>
          <w:szCs w:val="32"/>
        </w:rPr>
        <w:t>我局实际工作需要，前期我局</w:t>
      </w:r>
      <w:r>
        <w:rPr>
          <w:rFonts w:hint="eastAsia" w:ascii="仿宋_GB2312" w:eastAsia="仿宋_GB2312"/>
        </w:rPr>
        <w:t>已开展部分移动警务应用的基础服务支撑建设，即移动服务总线、移动端应用市场以及消息推送提醒服务的建设。前期建设内容，有效地提升上海本地移动警务服务支撑能力及管理体系，为警务实战提供了有效的支撑。</w:t>
      </w:r>
    </w:p>
    <w:p w14:paraId="49980482">
      <w:pPr>
        <w:pStyle w:val="3"/>
        <w:spacing w:line="560" w:lineRule="exact"/>
        <w:ind w:firstLine="643"/>
        <w:rPr>
          <w:rFonts w:ascii="仿宋_GB2312"/>
        </w:rPr>
      </w:pPr>
      <w:r>
        <w:rPr>
          <w:rFonts w:hint="eastAsia" w:ascii="仿宋_GB2312"/>
        </w:rPr>
        <w:t>建设目标</w:t>
      </w:r>
    </w:p>
    <w:p w14:paraId="44398623">
      <w:pPr>
        <w:spacing w:line="560" w:lineRule="exact"/>
        <w:ind w:firstLine="640"/>
        <w:rPr>
          <w:rFonts w:ascii="仿宋_GB2312" w:eastAsia="仿宋_GB2312"/>
        </w:rPr>
      </w:pPr>
      <w:r>
        <w:rPr>
          <w:rFonts w:hint="eastAsia" w:ascii="仿宋_GB2312" w:eastAsia="仿宋_GB2312"/>
        </w:rPr>
        <w:t>为了进一步提升上海移动端共性服务管理和应用服务支撑能力，健全移动警务应用管理机制，满足上海本地更多业务需求，本次建设，一是将基于现有移</w:t>
      </w:r>
      <w:bookmarkStart w:id="2" w:name="_GoBack"/>
      <w:bookmarkEnd w:id="2"/>
      <w:r>
        <w:rPr>
          <w:rFonts w:hint="eastAsia" w:ascii="仿宋_GB2312" w:eastAsia="仿宋_GB2312"/>
        </w:rPr>
        <w:t>动总线、应用市场开展升级，满足现有业务要求；二是新建共性服务管理和展示功能，集成和管理第三方共性服务，满足对共性服务管理的需要。</w:t>
      </w:r>
    </w:p>
    <w:p w14:paraId="7F419E45">
      <w:pPr>
        <w:pStyle w:val="3"/>
        <w:spacing w:line="560" w:lineRule="exact"/>
        <w:ind w:firstLine="643"/>
        <w:rPr>
          <w:rFonts w:ascii="仿宋_GB2312"/>
        </w:rPr>
      </w:pPr>
      <w:r>
        <w:rPr>
          <w:rFonts w:hint="eastAsia" w:ascii="仿宋_GB2312"/>
        </w:rPr>
        <w:t>功能需求</w:t>
      </w:r>
    </w:p>
    <w:p w14:paraId="1361B5B4">
      <w:pPr>
        <w:pStyle w:val="5"/>
        <w:numPr>
          <w:ilvl w:val="0"/>
          <w:numId w:val="0"/>
        </w:numPr>
        <w:spacing w:line="560" w:lineRule="exact"/>
        <w:ind w:firstLine="161" w:firstLineChars="50"/>
        <w:rPr>
          <w:rFonts w:ascii="仿宋_GB2312"/>
          <w:sz w:val="32"/>
        </w:rPr>
      </w:pPr>
      <w:r>
        <w:rPr>
          <w:rFonts w:hint="eastAsia" w:ascii="仿宋_GB2312"/>
          <w:sz w:val="32"/>
        </w:rPr>
        <w:t>1、共性移动服务管理平台</w:t>
      </w:r>
    </w:p>
    <w:p w14:paraId="26847EF4">
      <w:pPr>
        <w:spacing w:line="560" w:lineRule="exact"/>
        <w:ind w:firstLine="640"/>
        <w:rPr>
          <w:rFonts w:ascii="仿宋_GB2312" w:eastAsia="仿宋_GB2312"/>
        </w:rPr>
      </w:pPr>
      <w:r>
        <w:rPr>
          <w:rFonts w:hint="eastAsia" w:ascii="仿宋_GB2312" w:eastAsia="仿宋_GB2312"/>
        </w:rPr>
        <w:t>共性移动服务管理平台主要建设三大版块：服务接入管理、服务能力管理和服务效能管理。面向移动端共性服务，一是提供统一的管理、统计、展示等功能；二是针对无法单独作为APP对外服务的共性服务，包装成单独功能，接入到移动端，直接赋能民警使用。本次拟包装智能问答、语音自动识别、ocr识别服务等20个共性服务。</w:t>
      </w:r>
    </w:p>
    <w:p w14:paraId="440711D6">
      <w:pPr>
        <w:pStyle w:val="6"/>
        <w:spacing w:line="560" w:lineRule="exact"/>
        <w:ind w:firstLine="562"/>
        <w:rPr>
          <w:rFonts w:ascii="仿宋_GB2312"/>
          <w:sz w:val="32"/>
        </w:rPr>
      </w:pPr>
      <w:r>
        <w:rPr>
          <w:rFonts w:hint="eastAsia" w:ascii="仿宋_GB2312"/>
          <w:sz w:val="32"/>
        </w:rPr>
        <w:t>服务接入管理</w:t>
      </w:r>
    </w:p>
    <w:p w14:paraId="5E440540">
      <w:pPr>
        <w:spacing w:line="560" w:lineRule="exact"/>
        <w:ind w:firstLine="640"/>
        <w:rPr>
          <w:rFonts w:ascii="仿宋_GB2312" w:eastAsia="仿宋_GB2312"/>
        </w:rPr>
      </w:pPr>
      <w:r>
        <w:rPr>
          <w:rFonts w:hint="eastAsia" w:ascii="仿宋_GB2312" w:eastAsia="仿宋_GB2312"/>
        </w:rPr>
        <w:t>服务列表管理：展示所有待接入和已接入的共性服务列表，支持服务信息的增删改查和服务状态监控。</w:t>
      </w:r>
    </w:p>
    <w:p w14:paraId="728A3F2A">
      <w:pPr>
        <w:spacing w:line="560" w:lineRule="exact"/>
        <w:ind w:firstLine="640"/>
        <w:rPr>
          <w:rFonts w:ascii="仿宋_GB2312" w:eastAsia="仿宋_GB2312"/>
        </w:rPr>
      </w:pPr>
      <w:r>
        <w:rPr>
          <w:rFonts w:hint="eastAsia" w:ascii="仿宋_GB2312" w:eastAsia="仿宋_GB2312"/>
        </w:rPr>
        <w:t>接入申请：提供接入申请入口，支持用户/管理员提交接入申请信息并查看申请状态和申请结果。</w:t>
      </w:r>
    </w:p>
    <w:p w14:paraId="3CA62312">
      <w:pPr>
        <w:spacing w:line="560" w:lineRule="exact"/>
        <w:ind w:firstLine="640"/>
        <w:rPr>
          <w:rFonts w:ascii="仿宋_GB2312" w:eastAsia="仿宋_GB2312"/>
        </w:rPr>
      </w:pPr>
      <w:r>
        <w:rPr>
          <w:rFonts w:hint="eastAsia" w:ascii="仿宋_GB2312" w:eastAsia="仿宋_GB2312"/>
        </w:rPr>
        <w:t>审核流程：支持定义接入申请的审核流程并支持界面式供审核人员对于审核项进行查看、审核。</w:t>
      </w:r>
    </w:p>
    <w:p w14:paraId="4C9C4A45">
      <w:pPr>
        <w:spacing w:line="560" w:lineRule="exact"/>
        <w:ind w:firstLine="640"/>
        <w:rPr>
          <w:rFonts w:ascii="仿宋_GB2312" w:eastAsia="仿宋_GB2312"/>
        </w:rPr>
      </w:pPr>
      <w:r>
        <w:rPr>
          <w:rFonts w:hint="eastAsia" w:ascii="仿宋_GB2312" w:eastAsia="仿宋_GB2312"/>
        </w:rPr>
        <w:t>接入进度跟踪：实时跟踪接入进度并支持提醒功能。</w:t>
      </w:r>
    </w:p>
    <w:p w14:paraId="22DA2604">
      <w:pPr>
        <w:spacing w:line="560" w:lineRule="exact"/>
        <w:ind w:firstLine="640"/>
        <w:rPr>
          <w:rFonts w:ascii="仿宋_GB2312" w:eastAsia="仿宋_GB2312"/>
        </w:rPr>
      </w:pPr>
      <w:r>
        <w:rPr>
          <w:rFonts w:hint="eastAsia" w:ascii="仿宋_GB2312" w:eastAsia="仿宋_GB2312"/>
        </w:rPr>
        <w:t>接口文档查看：支持接入服务的接口文档的增删改查和版本控制。</w:t>
      </w:r>
    </w:p>
    <w:p w14:paraId="25F11EFA">
      <w:pPr>
        <w:spacing w:line="560" w:lineRule="exact"/>
        <w:ind w:firstLine="640"/>
        <w:rPr>
          <w:rFonts w:ascii="仿宋_GB2312" w:eastAsia="仿宋_GB2312"/>
        </w:rPr>
      </w:pPr>
      <w:r>
        <w:rPr>
          <w:rFonts w:hint="eastAsia" w:ascii="仿宋_GB2312" w:eastAsia="仿宋_GB2312"/>
        </w:rPr>
        <w:t>集成工具：提供如markdown编辑器的集成辅助工具。</w:t>
      </w:r>
    </w:p>
    <w:p w14:paraId="2E3E2727">
      <w:pPr>
        <w:spacing w:line="560" w:lineRule="exact"/>
        <w:ind w:firstLine="640"/>
        <w:rPr>
          <w:rFonts w:ascii="仿宋_GB2312" w:eastAsia="仿宋_GB2312"/>
        </w:rPr>
      </w:pPr>
      <w:r>
        <w:rPr>
          <w:rFonts w:hint="eastAsia" w:ascii="仿宋_GB2312" w:eastAsia="仿宋_GB2312"/>
        </w:rPr>
        <w:t>版本管理：支持对服务的版本信息管理。</w:t>
      </w:r>
    </w:p>
    <w:p w14:paraId="2170BDD7">
      <w:pPr>
        <w:spacing w:line="560" w:lineRule="exact"/>
        <w:ind w:firstLine="640"/>
        <w:rPr>
          <w:rFonts w:ascii="仿宋_GB2312" w:eastAsia="仿宋_GB2312"/>
        </w:rPr>
      </w:pPr>
      <w:r>
        <w:rPr>
          <w:rFonts w:hint="eastAsia" w:ascii="仿宋_GB2312" w:eastAsia="仿宋_GB2312"/>
        </w:rPr>
        <w:t>兼容性管理：集成过程中支持管理服务可在不同的操作系统运行。</w:t>
      </w:r>
    </w:p>
    <w:p w14:paraId="7D2F9D32">
      <w:pPr>
        <w:spacing w:line="560" w:lineRule="exact"/>
        <w:ind w:firstLine="640"/>
        <w:rPr>
          <w:rFonts w:ascii="仿宋_GB2312" w:eastAsia="仿宋_GB2312"/>
        </w:rPr>
      </w:pPr>
      <w:r>
        <w:rPr>
          <w:rFonts w:hint="eastAsia" w:ascii="仿宋_GB2312" w:eastAsia="仿宋_GB2312"/>
        </w:rPr>
        <w:t>服务企业授权：接入服务时支持向对接服务方提供授权功能。</w:t>
      </w:r>
    </w:p>
    <w:p w14:paraId="26AE7AEE">
      <w:pPr>
        <w:spacing w:line="560" w:lineRule="exact"/>
        <w:ind w:firstLine="640"/>
        <w:rPr>
          <w:rFonts w:ascii="仿宋_GB2312" w:eastAsia="仿宋_GB2312"/>
        </w:rPr>
      </w:pPr>
      <w:r>
        <w:rPr>
          <w:rFonts w:hint="eastAsia" w:ascii="仿宋_GB2312" w:eastAsia="仿宋_GB2312"/>
        </w:rPr>
        <w:t>应用服务授权：支持对应用服务进行访问权限的控制和管理。</w:t>
      </w:r>
    </w:p>
    <w:p w14:paraId="0EAEC85E">
      <w:pPr>
        <w:spacing w:line="560" w:lineRule="exact"/>
        <w:ind w:firstLine="640"/>
        <w:rPr>
          <w:rFonts w:ascii="仿宋_GB2312" w:eastAsia="仿宋_GB2312"/>
        </w:rPr>
      </w:pPr>
      <w:r>
        <w:rPr>
          <w:rFonts w:hint="eastAsia" w:ascii="仿宋_GB2312" w:eastAsia="仿宋_GB2312"/>
        </w:rPr>
        <w:t>协议转换：集成过程中支持服务可稳定运行在不同的设备端和操作系统。</w:t>
      </w:r>
    </w:p>
    <w:p w14:paraId="624971B3">
      <w:pPr>
        <w:spacing w:line="560" w:lineRule="exact"/>
        <w:ind w:firstLine="640"/>
        <w:rPr>
          <w:rFonts w:ascii="仿宋_GB2312" w:eastAsia="仿宋_GB2312"/>
        </w:rPr>
      </w:pPr>
      <w:r>
        <w:rPr>
          <w:rFonts w:hint="eastAsia" w:ascii="仿宋_GB2312" w:eastAsia="仿宋_GB2312"/>
        </w:rPr>
        <w:t>调用控制：支持对应用服务调用的管理和控制。</w:t>
      </w:r>
    </w:p>
    <w:p w14:paraId="369BB8AB">
      <w:pPr>
        <w:spacing w:line="560" w:lineRule="exact"/>
        <w:ind w:firstLine="640"/>
        <w:rPr>
          <w:rFonts w:ascii="仿宋_GB2312" w:eastAsia="仿宋_GB2312"/>
        </w:rPr>
      </w:pPr>
      <w:r>
        <w:rPr>
          <w:rFonts w:hint="eastAsia" w:ascii="仿宋_GB2312" w:eastAsia="仿宋_GB2312"/>
        </w:rPr>
        <w:t>终端能力调用：支持调用终端设备的特定功能或数据，实现调用终端设备的能力。</w:t>
      </w:r>
    </w:p>
    <w:p w14:paraId="0F084D65">
      <w:pPr>
        <w:pStyle w:val="6"/>
        <w:spacing w:line="560" w:lineRule="exact"/>
        <w:ind w:firstLine="562"/>
        <w:rPr>
          <w:rFonts w:ascii="仿宋_GB2312"/>
          <w:sz w:val="32"/>
        </w:rPr>
      </w:pPr>
      <w:r>
        <w:rPr>
          <w:rFonts w:hint="eastAsia" w:ascii="仿宋_GB2312"/>
          <w:sz w:val="32"/>
        </w:rPr>
        <w:t>服务能力管理</w:t>
      </w:r>
    </w:p>
    <w:p w14:paraId="4C8DC3ED">
      <w:pPr>
        <w:spacing w:line="560" w:lineRule="exact"/>
        <w:ind w:firstLine="640"/>
        <w:rPr>
          <w:rFonts w:ascii="仿宋_GB2312" w:eastAsia="仿宋_GB2312"/>
        </w:rPr>
      </w:pPr>
      <w:r>
        <w:rPr>
          <w:rFonts w:hint="eastAsia" w:ascii="仿宋_GB2312" w:eastAsia="仿宋_GB2312"/>
        </w:rPr>
        <w:t>服务分类管理：支持对服务区分类别管理并支持标签检索。</w:t>
      </w:r>
    </w:p>
    <w:p w14:paraId="75A249B0">
      <w:pPr>
        <w:spacing w:line="560" w:lineRule="exact"/>
        <w:ind w:firstLine="640"/>
        <w:rPr>
          <w:rFonts w:ascii="仿宋_GB2312" w:eastAsia="仿宋_GB2312"/>
        </w:rPr>
      </w:pPr>
      <w:r>
        <w:rPr>
          <w:rFonts w:hint="eastAsia" w:ascii="仿宋_GB2312" w:eastAsia="仿宋_GB2312"/>
        </w:rPr>
        <w:t>服务检索：支持通过关键字或类别搜索相关服务，快速找到所需的服务。</w:t>
      </w:r>
    </w:p>
    <w:p w14:paraId="6DF1E909">
      <w:pPr>
        <w:spacing w:line="560" w:lineRule="exact"/>
        <w:ind w:firstLine="640"/>
        <w:rPr>
          <w:rFonts w:ascii="仿宋_GB2312" w:eastAsia="仿宋_GB2312"/>
        </w:rPr>
      </w:pPr>
      <w:r>
        <w:rPr>
          <w:rFonts w:hint="eastAsia" w:ascii="仿宋_GB2312" w:eastAsia="仿宋_GB2312"/>
        </w:rPr>
        <w:t>服务详情：支持对接入服务的进行明细查看。</w:t>
      </w:r>
    </w:p>
    <w:p w14:paraId="7485E119">
      <w:pPr>
        <w:spacing w:line="560" w:lineRule="exact"/>
        <w:ind w:firstLine="640"/>
        <w:rPr>
          <w:rFonts w:ascii="仿宋_GB2312" w:eastAsia="仿宋_GB2312"/>
        </w:rPr>
      </w:pPr>
      <w:r>
        <w:rPr>
          <w:rFonts w:hint="eastAsia" w:ascii="仿宋_GB2312" w:eastAsia="仿宋_GB2312"/>
        </w:rPr>
        <w:t>服务推送：支持已接入服务应用以信息或通知方式主动推送给权限用户。</w:t>
      </w:r>
    </w:p>
    <w:p w14:paraId="4F196C66">
      <w:pPr>
        <w:spacing w:line="560" w:lineRule="exact"/>
        <w:ind w:firstLine="640"/>
        <w:rPr>
          <w:rFonts w:ascii="仿宋_GB2312" w:eastAsia="仿宋_GB2312"/>
        </w:rPr>
      </w:pPr>
      <w:r>
        <w:rPr>
          <w:rFonts w:hint="eastAsia" w:ascii="仿宋_GB2312" w:eastAsia="仿宋_GB2312"/>
        </w:rPr>
        <w:t>服务收藏：允许用户将常用的服务标记为收藏以便快速访问，提高用户体验和便利性。</w:t>
      </w:r>
    </w:p>
    <w:p w14:paraId="1D6069B0">
      <w:pPr>
        <w:spacing w:line="560" w:lineRule="exact"/>
        <w:ind w:firstLine="640"/>
        <w:rPr>
          <w:rFonts w:ascii="仿宋_GB2312" w:eastAsia="仿宋_GB2312"/>
        </w:rPr>
      </w:pPr>
      <w:r>
        <w:rPr>
          <w:rFonts w:hint="eastAsia" w:ascii="仿宋_GB2312" w:eastAsia="仿宋_GB2312"/>
        </w:rPr>
        <w:t>服务排行：根据服务使用情况，进行每日使用情况排行。</w:t>
      </w:r>
    </w:p>
    <w:p w14:paraId="16C3363E">
      <w:pPr>
        <w:spacing w:line="560" w:lineRule="exact"/>
        <w:ind w:firstLine="640"/>
        <w:rPr>
          <w:rFonts w:ascii="仿宋_GB2312" w:eastAsia="仿宋_GB2312"/>
        </w:rPr>
      </w:pPr>
      <w:r>
        <w:rPr>
          <w:rFonts w:hint="eastAsia" w:ascii="仿宋_GB2312" w:eastAsia="仿宋_GB2312"/>
        </w:rPr>
        <w:t>服务评价管理：支持用户对服务的评价和反馈的管理。</w:t>
      </w:r>
    </w:p>
    <w:p w14:paraId="5A04AFEE">
      <w:pPr>
        <w:pStyle w:val="6"/>
        <w:spacing w:line="560" w:lineRule="exact"/>
        <w:ind w:firstLine="562"/>
        <w:rPr>
          <w:rFonts w:ascii="仿宋_GB2312"/>
          <w:sz w:val="32"/>
        </w:rPr>
      </w:pPr>
      <w:r>
        <w:rPr>
          <w:rFonts w:hint="eastAsia" w:ascii="仿宋_GB2312"/>
          <w:sz w:val="32"/>
        </w:rPr>
        <w:t>服务效能管理</w:t>
      </w:r>
    </w:p>
    <w:p w14:paraId="00DE1B46">
      <w:pPr>
        <w:spacing w:line="560" w:lineRule="exact"/>
        <w:ind w:firstLine="640"/>
        <w:rPr>
          <w:rFonts w:ascii="仿宋_GB2312" w:eastAsia="仿宋_GB2312"/>
        </w:rPr>
      </w:pPr>
      <w:r>
        <w:rPr>
          <w:rFonts w:hint="eastAsia" w:ascii="仿宋_GB2312" w:eastAsia="仿宋_GB2312"/>
        </w:rPr>
        <w:t>在线用户：支持统计活跃用户的详细行为。</w:t>
      </w:r>
    </w:p>
    <w:p w14:paraId="63C90FCA">
      <w:pPr>
        <w:spacing w:line="560" w:lineRule="exact"/>
        <w:ind w:firstLine="640"/>
        <w:rPr>
          <w:rFonts w:ascii="仿宋_GB2312" w:eastAsia="仿宋_GB2312"/>
        </w:rPr>
      </w:pPr>
      <w:r>
        <w:rPr>
          <w:rFonts w:hint="eastAsia" w:ascii="仿宋_GB2312" w:eastAsia="仿宋_GB2312"/>
        </w:rPr>
        <w:t>数据管理：监控当前应用资源利用率、数据库连接池状态、服务器负载、内存使用等信息。</w:t>
      </w:r>
    </w:p>
    <w:p w14:paraId="336F9D8A">
      <w:pPr>
        <w:spacing w:line="560" w:lineRule="exact"/>
        <w:ind w:firstLine="640"/>
        <w:rPr>
          <w:rFonts w:ascii="仿宋_GB2312" w:eastAsia="仿宋_GB2312"/>
        </w:rPr>
      </w:pPr>
      <w:r>
        <w:rPr>
          <w:rFonts w:hint="eastAsia" w:ascii="仿宋_GB2312" w:eastAsia="仿宋_GB2312"/>
        </w:rPr>
        <w:t>服务管理：监控当前应用系统CPU、内存、磁盘、堆栈等相关信息。</w:t>
      </w:r>
    </w:p>
    <w:p w14:paraId="5BFB7E50">
      <w:pPr>
        <w:spacing w:line="560" w:lineRule="exact"/>
        <w:ind w:firstLine="640"/>
        <w:rPr>
          <w:rFonts w:ascii="仿宋_GB2312" w:eastAsia="仿宋_GB2312"/>
        </w:rPr>
      </w:pPr>
      <w:r>
        <w:rPr>
          <w:rFonts w:hint="eastAsia" w:ascii="仿宋_GB2312" w:eastAsia="仿宋_GB2312"/>
        </w:rPr>
        <w:t>缓存管理：支持对应用的缓存进行增删改查。</w:t>
      </w:r>
    </w:p>
    <w:p w14:paraId="5A29B254">
      <w:pPr>
        <w:spacing w:line="560" w:lineRule="exact"/>
        <w:ind w:firstLine="640"/>
        <w:rPr>
          <w:rFonts w:ascii="仿宋_GB2312" w:eastAsia="仿宋_GB2312"/>
        </w:rPr>
      </w:pPr>
      <w:r>
        <w:rPr>
          <w:rFonts w:hint="eastAsia" w:ascii="仿宋_GB2312" w:eastAsia="仿宋_GB2312"/>
        </w:rPr>
        <w:t>任务调度：支持对任务进行调度管理。</w:t>
      </w:r>
    </w:p>
    <w:p w14:paraId="0CAB369B">
      <w:pPr>
        <w:pStyle w:val="5"/>
        <w:numPr>
          <w:ilvl w:val="0"/>
          <w:numId w:val="0"/>
        </w:numPr>
        <w:spacing w:line="560" w:lineRule="exact"/>
        <w:rPr>
          <w:rFonts w:ascii="仿宋_GB2312"/>
          <w:sz w:val="32"/>
        </w:rPr>
      </w:pPr>
      <w:r>
        <w:rPr>
          <w:rFonts w:hint="eastAsia" w:ascii="仿宋_GB2312"/>
          <w:sz w:val="32"/>
        </w:rPr>
        <w:t>2、应用市场客户端（升级）</w:t>
      </w:r>
    </w:p>
    <w:p w14:paraId="1F5A95FA">
      <w:pPr>
        <w:spacing w:line="560" w:lineRule="exact"/>
        <w:ind w:firstLine="640"/>
        <w:rPr>
          <w:rFonts w:ascii="仿宋_GB2312" w:eastAsia="仿宋_GB2312"/>
        </w:rPr>
      </w:pPr>
      <w:r>
        <w:rPr>
          <w:rFonts w:hint="eastAsia" w:ascii="仿宋_GB2312" w:eastAsia="仿宋_GB2312"/>
        </w:rPr>
        <w:t>需对应用市场客户端升级，提供应用市场个性化设置功能，并集成各种第三方组件，让用户可以构建自己个性化的应用市场首页，使应用市场首页不再单一只展示应用及消息信息。</w:t>
      </w:r>
    </w:p>
    <w:p w14:paraId="135C9A2E">
      <w:pPr>
        <w:spacing w:line="560" w:lineRule="exact"/>
        <w:ind w:firstLine="640"/>
        <w:rPr>
          <w:rFonts w:ascii="仿宋_GB2312" w:eastAsia="仿宋_GB2312"/>
        </w:rPr>
      </w:pPr>
      <w:r>
        <w:rPr>
          <w:rFonts w:hint="eastAsia" w:ascii="仿宋_GB2312" w:eastAsia="仿宋_GB2312"/>
        </w:rPr>
        <w:t>自定义首页：需通过提供自定义首页功能，民警可以按需自定义应用市场个人首页。</w:t>
      </w:r>
    </w:p>
    <w:p w14:paraId="629396D9">
      <w:pPr>
        <w:spacing w:line="560" w:lineRule="exact"/>
        <w:ind w:firstLine="640"/>
        <w:rPr>
          <w:rFonts w:ascii="仿宋_GB2312" w:eastAsia="仿宋_GB2312"/>
        </w:rPr>
      </w:pPr>
      <w:r>
        <w:rPr>
          <w:rFonts w:hint="eastAsia" w:ascii="仿宋_GB2312" w:eastAsia="仿宋_GB2312"/>
        </w:rPr>
        <w:t>通知待办：需按照应用市场的小部件管理要求，开发通知待办组件，支持上架至应用市场提供给用户使用。</w:t>
      </w:r>
    </w:p>
    <w:p w14:paraId="530EEF41">
      <w:pPr>
        <w:spacing w:line="560" w:lineRule="exact"/>
        <w:ind w:firstLine="640"/>
        <w:rPr>
          <w:rFonts w:ascii="仿宋_GB2312" w:eastAsia="仿宋_GB2312"/>
        </w:rPr>
      </w:pPr>
      <w:r>
        <w:rPr>
          <w:rFonts w:hint="eastAsia" w:ascii="仿宋_GB2312" w:eastAsia="仿宋_GB2312"/>
        </w:rPr>
        <w:t>应用卡片：需按照应用市场的小部件管理要求，开发应用卡片组件，支持上架至应用市场提供给用户使用。</w:t>
      </w:r>
    </w:p>
    <w:p w14:paraId="797730B5">
      <w:pPr>
        <w:spacing w:line="560" w:lineRule="exact"/>
        <w:ind w:firstLine="640"/>
        <w:rPr>
          <w:rFonts w:ascii="仿宋_GB2312" w:eastAsia="仿宋_GB2312"/>
        </w:rPr>
      </w:pPr>
      <w:r>
        <w:rPr>
          <w:rFonts w:hint="eastAsia" w:ascii="仿宋_GB2312" w:eastAsia="仿宋_GB2312"/>
        </w:rPr>
        <w:t>共性</w:t>
      </w:r>
      <w:r>
        <w:rPr>
          <w:rFonts w:ascii="仿宋_GB2312" w:eastAsia="仿宋_GB2312"/>
        </w:rPr>
        <w:t>服务接入展示：</w:t>
      </w:r>
      <w:r>
        <w:rPr>
          <w:rFonts w:hint="eastAsia" w:ascii="仿宋_GB2312" w:eastAsia="仿宋_GB2312"/>
        </w:rPr>
        <w:t>需在</w:t>
      </w:r>
      <w:r>
        <w:rPr>
          <w:rFonts w:ascii="仿宋_GB2312" w:eastAsia="仿宋_GB2312"/>
        </w:rPr>
        <w:t>前端页面展示</w:t>
      </w:r>
      <w:r>
        <w:rPr>
          <w:rFonts w:hint="eastAsia" w:ascii="仿宋_GB2312" w:eastAsia="仿宋_GB2312"/>
        </w:rPr>
        <w:t>相应共性服务，并</w:t>
      </w:r>
      <w:r>
        <w:rPr>
          <w:rFonts w:ascii="仿宋_GB2312" w:eastAsia="仿宋_GB2312"/>
        </w:rPr>
        <w:t>按照用户需要设计前端页面版式和栏目</w:t>
      </w:r>
      <w:r>
        <w:rPr>
          <w:rFonts w:hint="eastAsia" w:ascii="仿宋_GB2312" w:eastAsia="仿宋_GB2312"/>
        </w:rPr>
        <w:t>。</w:t>
      </w:r>
    </w:p>
    <w:p w14:paraId="7EFD6414">
      <w:pPr>
        <w:pStyle w:val="5"/>
        <w:numPr>
          <w:ilvl w:val="0"/>
          <w:numId w:val="0"/>
        </w:numPr>
        <w:spacing w:line="560" w:lineRule="exact"/>
        <w:rPr>
          <w:rFonts w:ascii="仿宋_GB2312"/>
          <w:sz w:val="32"/>
        </w:rPr>
      </w:pPr>
      <w:r>
        <w:rPr>
          <w:rFonts w:hint="eastAsia" w:ascii="仿宋_GB2312"/>
          <w:sz w:val="32"/>
        </w:rPr>
        <w:t>3、服务总线（升级）</w:t>
      </w:r>
    </w:p>
    <w:p w14:paraId="59F560CE">
      <w:pPr>
        <w:spacing w:line="560" w:lineRule="exact"/>
        <w:ind w:firstLine="640"/>
        <w:rPr>
          <w:rFonts w:ascii="仿宋_GB2312" w:eastAsia="仿宋_GB2312"/>
        </w:rPr>
      </w:pPr>
      <w:r>
        <w:rPr>
          <w:rFonts w:hint="eastAsia" w:ascii="仿宋_GB2312" w:eastAsia="仿宋_GB2312"/>
        </w:rPr>
        <w:t>需按</w:t>
      </w:r>
      <w:r>
        <w:rPr>
          <w:rFonts w:ascii="仿宋_GB2312" w:eastAsia="仿宋_GB2312"/>
        </w:rPr>
        <w:t>相关规范要求</w:t>
      </w:r>
      <w:r>
        <w:rPr>
          <w:rFonts w:hint="eastAsia" w:ascii="仿宋_GB2312" w:eastAsia="仿宋_GB2312"/>
        </w:rPr>
        <w:t>对现有移动服务总线进行升级，具体要求如下：</w:t>
      </w:r>
    </w:p>
    <w:p w14:paraId="358F9D52">
      <w:pPr>
        <w:pStyle w:val="6"/>
        <w:numPr>
          <w:ilvl w:val="0"/>
          <w:numId w:val="0"/>
        </w:numPr>
        <w:spacing w:line="560" w:lineRule="exact"/>
        <w:ind w:left="988"/>
        <w:rPr>
          <w:rFonts w:ascii="仿宋_GB2312"/>
          <w:sz w:val="32"/>
        </w:rPr>
      </w:pPr>
      <w:r>
        <w:rPr>
          <w:rFonts w:hint="eastAsia" w:ascii="仿宋_GB2312"/>
          <w:sz w:val="32"/>
        </w:rPr>
        <w:t>（1）风险阻断</w:t>
      </w:r>
    </w:p>
    <w:p w14:paraId="61932E80">
      <w:pPr>
        <w:spacing w:line="560" w:lineRule="exact"/>
        <w:ind w:firstLine="640"/>
        <w:rPr>
          <w:rFonts w:ascii="仿宋_GB2312" w:eastAsia="仿宋_GB2312"/>
        </w:rPr>
      </w:pPr>
      <w:r>
        <w:rPr>
          <w:rFonts w:hint="eastAsia" w:ascii="仿宋_GB2312" w:eastAsia="仿宋_GB2312"/>
        </w:rPr>
        <w:t>需对服务总线资源服务访问控制中的风险阻断模块进行升级，升级功能主要为服务访问控制功能、异常访问告警功能、请求安全过滤功能。</w:t>
      </w:r>
    </w:p>
    <w:p w14:paraId="1A2806CE">
      <w:pPr>
        <w:spacing w:line="560" w:lineRule="exact"/>
        <w:ind w:firstLine="640"/>
        <w:rPr>
          <w:rFonts w:ascii="仿宋_GB2312" w:eastAsia="仿宋_GB2312"/>
        </w:rPr>
      </w:pPr>
      <w:r>
        <w:rPr>
          <w:rFonts w:hint="eastAsia" w:ascii="仿宋_GB2312" w:eastAsia="仿宋_GB2312"/>
        </w:rPr>
        <w:t>服务</w:t>
      </w:r>
      <w:r>
        <w:rPr>
          <w:rFonts w:ascii="仿宋_GB2312" w:eastAsia="仿宋_GB2312"/>
        </w:rPr>
        <w:t>访问控制：</w:t>
      </w:r>
      <w:r>
        <w:rPr>
          <w:rFonts w:hint="eastAsia" w:ascii="仿宋_GB2312" w:eastAsia="仿宋_GB2312"/>
        </w:rPr>
        <w:t>将新增按照时间段、网络流量进行策略控制功能，用于服务访问的控制。</w:t>
      </w:r>
    </w:p>
    <w:p w14:paraId="12ACE371">
      <w:pPr>
        <w:spacing w:line="560" w:lineRule="exact"/>
        <w:ind w:firstLine="640"/>
        <w:rPr>
          <w:rFonts w:ascii="仿宋_GB2312" w:eastAsia="仿宋_GB2312"/>
        </w:rPr>
      </w:pPr>
      <w:r>
        <w:rPr>
          <w:rFonts w:hint="eastAsia" w:ascii="仿宋_GB2312" w:eastAsia="仿宋_GB2312"/>
        </w:rPr>
        <w:t>异常访问告警：提供先返回告警信息、后阻断访问行为的功能。</w:t>
      </w:r>
    </w:p>
    <w:p w14:paraId="799F40C6">
      <w:pPr>
        <w:spacing w:line="560" w:lineRule="exact"/>
        <w:ind w:firstLine="640"/>
        <w:rPr>
          <w:rFonts w:ascii="仿宋_GB2312" w:eastAsia="仿宋_GB2312"/>
        </w:rPr>
      </w:pPr>
      <w:r>
        <w:rPr>
          <w:rFonts w:hint="eastAsia" w:ascii="仿宋_GB2312" w:eastAsia="仿宋_GB2312"/>
        </w:rPr>
        <w:t>请求安全过滤：提供对非加密请求的内容进行安全检测以及请求内容过滤功能。</w:t>
      </w:r>
    </w:p>
    <w:p w14:paraId="666BCAED">
      <w:pPr>
        <w:pStyle w:val="6"/>
        <w:numPr>
          <w:ilvl w:val="0"/>
          <w:numId w:val="0"/>
        </w:numPr>
        <w:spacing w:line="560" w:lineRule="exact"/>
        <w:ind w:left="988"/>
        <w:rPr>
          <w:rFonts w:ascii="仿宋_GB2312"/>
          <w:sz w:val="32"/>
        </w:rPr>
      </w:pPr>
      <w:r>
        <w:rPr>
          <w:rFonts w:hint="eastAsia" w:ascii="仿宋_GB2312"/>
          <w:sz w:val="32"/>
        </w:rPr>
        <w:t>（2）格式转换</w:t>
      </w:r>
    </w:p>
    <w:p w14:paraId="5054CB8D">
      <w:pPr>
        <w:spacing w:line="560" w:lineRule="exact"/>
        <w:ind w:firstLine="640"/>
        <w:rPr>
          <w:rFonts w:ascii="仿宋_GB2312" w:eastAsia="仿宋_GB2312"/>
        </w:rPr>
      </w:pPr>
      <w:r>
        <w:rPr>
          <w:rFonts w:hint="eastAsia" w:ascii="仿宋_GB2312" w:eastAsia="仿宋_GB2312"/>
        </w:rPr>
        <w:t>需对服务总线资源服务适配中的格式转换模块进行升级，支持通过配置转换映射规则，实现代码转换、字典翻译，日期及数字格式的转换。</w:t>
      </w:r>
    </w:p>
    <w:p w14:paraId="6011B7D0">
      <w:pPr>
        <w:pStyle w:val="5"/>
        <w:numPr>
          <w:ilvl w:val="0"/>
          <w:numId w:val="0"/>
        </w:numPr>
        <w:spacing w:line="560" w:lineRule="exact"/>
        <w:rPr>
          <w:rFonts w:ascii="仿宋_GB2312"/>
          <w:sz w:val="32"/>
        </w:rPr>
      </w:pPr>
      <w:r>
        <w:rPr>
          <w:rFonts w:hint="eastAsia" w:ascii="仿宋_GB2312"/>
          <w:sz w:val="32"/>
        </w:rPr>
        <w:t>4、应用市场管理（升级）</w:t>
      </w:r>
    </w:p>
    <w:p w14:paraId="22C58D5E">
      <w:pPr>
        <w:spacing w:line="560" w:lineRule="exact"/>
        <w:ind w:firstLine="640"/>
        <w:rPr>
          <w:rFonts w:ascii="仿宋_GB2312" w:eastAsia="仿宋_GB2312"/>
        </w:rPr>
      </w:pPr>
      <w:r>
        <w:rPr>
          <w:rFonts w:hint="eastAsia" w:ascii="仿宋_GB2312" w:eastAsia="仿宋_GB2312"/>
        </w:rPr>
        <w:t>应用市场管理端主要面向管理员对移动应用市场进行综合管理，实现对应用的生命周期及应用详细信息的管理。需对应用市场管理端市场管理端进行升级，具体要求如下：</w:t>
      </w:r>
    </w:p>
    <w:p w14:paraId="21FD8394">
      <w:pPr>
        <w:pStyle w:val="6"/>
        <w:numPr>
          <w:ilvl w:val="0"/>
          <w:numId w:val="0"/>
        </w:numPr>
        <w:spacing w:line="560" w:lineRule="exact"/>
        <w:ind w:left="988"/>
        <w:rPr>
          <w:rFonts w:ascii="仿宋_GB2312"/>
          <w:sz w:val="32"/>
        </w:rPr>
      </w:pPr>
      <w:r>
        <w:rPr>
          <w:rFonts w:hint="eastAsia" w:ascii="仿宋_GB2312"/>
          <w:sz w:val="32"/>
        </w:rPr>
        <w:t>（1）定制门户</w:t>
      </w:r>
    </w:p>
    <w:p w14:paraId="21387F24">
      <w:pPr>
        <w:spacing w:line="560" w:lineRule="exact"/>
        <w:ind w:firstLine="640"/>
        <w:rPr>
          <w:rFonts w:ascii="仿宋_GB2312" w:eastAsia="仿宋_GB2312"/>
        </w:rPr>
      </w:pPr>
      <w:r>
        <w:rPr>
          <w:rFonts w:hint="eastAsia" w:ascii="仿宋_GB2312" w:eastAsia="仿宋_GB2312"/>
        </w:rPr>
        <w:t>可对统一的应用市场首页样式进行自定义，包括首页的设计及发布管理。</w:t>
      </w:r>
    </w:p>
    <w:p w14:paraId="73AFFA3F">
      <w:pPr>
        <w:spacing w:line="560" w:lineRule="exact"/>
        <w:ind w:firstLine="640"/>
        <w:rPr>
          <w:rFonts w:ascii="仿宋_GB2312" w:eastAsia="仿宋_GB2312"/>
        </w:rPr>
      </w:pPr>
      <w:r>
        <w:rPr>
          <w:rFonts w:hint="eastAsia" w:ascii="仿宋_GB2312" w:eastAsia="仿宋_GB2312"/>
        </w:rPr>
        <w:t>设计</w:t>
      </w:r>
      <w:r>
        <w:rPr>
          <w:rFonts w:ascii="仿宋_GB2312" w:eastAsia="仿宋_GB2312"/>
        </w:rPr>
        <w:t>首页：</w:t>
      </w:r>
      <w:r>
        <w:rPr>
          <w:rFonts w:hint="eastAsia" w:ascii="仿宋_GB2312" w:eastAsia="仿宋_GB2312"/>
        </w:rPr>
        <w:t>支持管理员通过模版或者空白布局，设计一个统一的应用市场首页。</w:t>
      </w:r>
    </w:p>
    <w:p w14:paraId="039C833B">
      <w:pPr>
        <w:spacing w:line="560" w:lineRule="exact"/>
        <w:ind w:firstLine="640"/>
        <w:rPr>
          <w:rFonts w:ascii="仿宋_GB2312" w:eastAsia="仿宋_GB2312"/>
        </w:rPr>
      </w:pPr>
      <w:r>
        <w:rPr>
          <w:rFonts w:hint="eastAsia" w:ascii="仿宋_GB2312" w:eastAsia="仿宋_GB2312"/>
        </w:rPr>
        <w:t>发布管理：支持管理员对设计的应用市场首页进行预览和发布，支持对设计的首页版本号进行记录</w:t>
      </w:r>
    </w:p>
    <w:p w14:paraId="0748BB5C">
      <w:pPr>
        <w:pStyle w:val="6"/>
        <w:numPr>
          <w:ilvl w:val="0"/>
          <w:numId w:val="0"/>
        </w:numPr>
        <w:spacing w:line="560" w:lineRule="exact"/>
        <w:ind w:left="988"/>
        <w:rPr>
          <w:rFonts w:ascii="仿宋_GB2312"/>
          <w:sz w:val="32"/>
        </w:rPr>
      </w:pPr>
      <w:r>
        <w:rPr>
          <w:rFonts w:hint="eastAsia" w:ascii="仿宋_GB2312"/>
          <w:sz w:val="32"/>
        </w:rPr>
        <w:t>（2）门户信息管理</w:t>
      </w:r>
    </w:p>
    <w:p w14:paraId="4F53D388">
      <w:pPr>
        <w:spacing w:line="560" w:lineRule="exact"/>
        <w:ind w:firstLine="640"/>
        <w:rPr>
          <w:rFonts w:ascii="仿宋_GB2312" w:eastAsia="仿宋_GB2312"/>
        </w:rPr>
      </w:pPr>
      <w:r>
        <w:rPr>
          <w:rFonts w:hint="eastAsia" w:ascii="仿宋_GB2312" w:eastAsia="仿宋_GB2312"/>
        </w:rPr>
        <w:t>支持管理员通过门户信息管理方便查看和管理工作台的详细信息，</w:t>
      </w:r>
      <w:r>
        <w:rPr>
          <w:rFonts w:ascii="仿宋_GB2312" w:eastAsia="仿宋_GB2312"/>
        </w:rPr>
        <w:t>包括管理员工作台列表、工作台管理</w:t>
      </w:r>
      <w:r>
        <w:rPr>
          <w:rFonts w:hint="eastAsia" w:ascii="仿宋_GB2312" w:eastAsia="仿宋_GB2312"/>
        </w:rPr>
        <w:t>。</w:t>
      </w:r>
    </w:p>
    <w:p w14:paraId="5E280224">
      <w:pPr>
        <w:spacing w:line="560" w:lineRule="exact"/>
        <w:ind w:firstLine="640"/>
        <w:rPr>
          <w:rFonts w:ascii="仿宋_GB2312" w:eastAsia="仿宋_GB2312"/>
        </w:rPr>
      </w:pPr>
      <w:r>
        <w:rPr>
          <w:rFonts w:hint="eastAsia" w:ascii="仿宋_GB2312" w:eastAsia="仿宋_GB2312"/>
        </w:rPr>
        <w:t>管理员工作台列表：将展示所有已创建的首页样式信息，管理员可按需通过关键字检索需要的首页样式，查看已设计首页的详细信息。</w:t>
      </w:r>
    </w:p>
    <w:p w14:paraId="2D9C1762">
      <w:pPr>
        <w:spacing w:line="560" w:lineRule="exact"/>
        <w:ind w:firstLine="640"/>
        <w:rPr>
          <w:rFonts w:ascii="仿宋_GB2312" w:eastAsia="仿宋_GB2312"/>
        </w:rPr>
      </w:pPr>
      <w:r>
        <w:rPr>
          <w:rFonts w:ascii="仿宋_GB2312" w:eastAsia="仿宋_GB2312"/>
        </w:rPr>
        <w:t>工作台管理</w:t>
      </w:r>
      <w:r>
        <w:rPr>
          <w:rFonts w:hint="eastAsia" w:ascii="仿宋_GB2312" w:eastAsia="仿宋_GB2312"/>
        </w:rPr>
        <w:t>：支持管理员对工作台展示的首页样式进行管理，支持对选择的首页样式进行启用/停用、设计、编辑、删除等操作。</w:t>
      </w:r>
    </w:p>
    <w:p w14:paraId="33D068B1">
      <w:pPr>
        <w:pStyle w:val="6"/>
        <w:numPr>
          <w:ilvl w:val="0"/>
          <w:numId w:val="0"/>
        </w:numPr>
        <w:spacing w:line="560" w:lineRule="exact"/>
        <w:ind w:left="988"/>
        <w:rPr>
          <w:rFonts w:ascii="仿宋_GB2312"/>
          <w:sz w:val="32"/>
        </w:rPr>
      </w:pPr>
      <w:r>
        <w:rPr>
          <w:rFonts w:hint="eastAsia" w:ascii="仿宋_GB2312"/>
          <w:sz w:val="32"/>
        </w:rPr>
        <w:t>（3）小部件管理</w:t>
      </w:r>
    </w:p>
    <w:p w14:paraId="6B28B1A8">
      <w:pPr>
        <w:spacing w:line="560" w:lineRule="exact"/>
        <w:ind w:firstLine="640"/>
        <w:rPr>
          <w:rFonts w:ascii="仿宋_GB2312" w:eastAsia="仿宋_GB2312"/>
        </w:rPr>
      </w:pPr>
      <w:r>
        <w:rPr>
          <w:rFonts w:hint="eastAsia" w:ascii="仿宋_GB2312" w:eastAsia="仿宋_GB2312"/>
        </w:rPr>
        <w:t>小部件是面向用户设计首页的组件，是构成首页样式的主要组成部分，包括</w:t>
      </w:r>
      <w:r>
        <w:rPr>
          <w:rFonts w:ascii="仿宋_GB2312" w:eastAsia="仿宋_GB2312"/>
        </w:rPr>
        <w:t>小部件管理列表、小部件模板</w:t>
      </w:r>
      <w:r>
        <w:rPr>
          <w:rFonts w:hint="eastAsia" w:ascii="仿宋_GB2312" w:eastAsia="仿宋_GB2312"/>
        </w:rPr>
        <w:t>工具包</w:t>
      </w:r>
      <w:r>
        <w:rPr>
          <w:rFonts w:ascii="仿宋_GB2312" w:eastAsia="仿宋_GB2312"/>
        </w:rPr>
        <w:t>。</w:t>
      </w:r>
      <w:r>
        <w:rPr>
          <w:rFonts w:hint="eastAsia" w:ascii="仿宋_GB2312" w:eastAsia="仿宋_GB2312"/>
        </w:rPr>
        <w:t xml:space="preserve">  </w:t>
      </w:r>
      <w:r>
        <w:rPr>
          <w:rFonts w:ascii="仿宋_GB2312" w:eastAsia="仿宋_GB2312"/>
        </w:rPr>
        <w:t xml:space="preserve"> </w:t>
      </w:r>
    </w:p>
    <w:p w14:paraId="4D6E7DCB">
      <w:pPr>
        <w:spacing w:line="560" w:lineRule="exact"/>
        <w:ind w:firstLine="640"/>
        <w:rPr>
          <w:rFonts w:ascii="仿宋_GB2312" w:eastAsia="仿宋_GB2312"/>
        </w:rPr>
      </w:pPr>
      <w:r>
        <w:rPr>
          <w:rFonts w:hint="eastAsia" w:ascii="仿宋_GB2312" w:eastAsia="仿宋_GB2312"/>
        </w:rPr>
        <w:t>小部件管理列表：主要展示已上架的所有小组件，并支持对小组件进行分类管理。</w:t>
      </w:r>
    </w:p>
    <w:p w14:paraId="729CAF2C">
      <w:pPr>
        <w:spacing w:line="560" w:lineRule="exact"/>
        <w:ind w:firstLine="640"/>
        <w:rPr>
          <w:rFonts w:ascii="仿宋_GB2312" w:eastAsia="仿宋_GB2312"/>
        </w:rPr>
      </w:pPr>
      <w:r>
        <w:rPr>
          <w:rFonts w:hint="eastAsia" w:ascii="仿宋_GB2312" w:eastAsia="仿宋_GB2312"/>
        </w:rPr>
        <w:t>小部件模板工具包：提供小组件开发工具包，提高开发效率。</w:t>
      </w:r>
    </w:p>
    <w:p w14:paraId="7FF91D06">
      <w:pPr>
        <w:pStyle w:val="5"/>
        <w:numPr>
          <w:ilvl w:val="0"/>
          <w:numId w:val="0"/>
        </w:numPr>
        <w:spacing w:line="560" w:lineRule="exact"/>
        <w:rPr>
          <w:rFonts w:ascii="仿宋_GB2312"/>
          <w:sz w:val="32"/>
        </w:rPr>
      </w:pPr>
      <w:r>
        <w:rPr>
          <w:rFonts w:hint="eastAsia" w:ascii="仿宋_GB2312"/>
          <w:sz w:val="32"/>
        </w:rPr>
        <w:t>5、基础服务（升级）</w:t>
      </w:r>
    </w:p>
    <w:p w14:paraId="12DB5AB4">
      <w:pPr>
        <w:pStyle w:val="6"/>
        <w:numPr>
          <w:ilvl w:val="0"/>
          <w:numId w:val="0"/>
        </w:numPr>
        <w:spacing w:line="560" w:lineRule="exact"/>
        <w:ind w:left="988"/>
        <w:rPr>
          <w:rFonts w:ascii="仿宋_GB2312"/>
          <w:sz w:val="32"/>
        </w:rPr>
      </w:pPr>
      <w:r>
        <w:rPr>
          <w:rFonts w:hint="eastAsia" w:ascii="仿宋_GB2312"/>
          <w:sz w:val="32"/>
        </w:rPr>
        <w:t>（1）对接本地统一用户认证系统</w:t>
      </w:r>
    </w:p>
    <w:p w14:paraId="0433780C">
      <w:pPr>
        <w:spacing w:line="560" w:lineRule="exact"/>
        <w:ind w:firstLine="640"/>
        <w:rPr>
          <w:rFonts w:ascii="仿宋_GB2312" w:eastAsia="仿宋_GB2312"/>
        </w:rPr>
      </w:pPr>
      <w:r>
        <w:rPr>
          <w:rFonts w:hint="eastAsia" w:ascii="仿宋_GB2312" w:eastAsia="仿宋_GB2312"/>
        </w:rPr>
        <w:t>对接本地统一用户认证平台,实现基于一套用户认证完成本地的用户及认证支撑。</w:t>
      </w:r>
    </w:p>
    <w:p w14:paraId="459110DE">
      <w:pPr>
        <w:pStyle w:val="6"/>
        <w:numPr>
          <w:ilvl w:val="0"/>
          <w:numId w:val="0"/>
        </w:numPr>
        <w:spacing w:line="560" w:lineRule="exact"/>
        <w:ind w:left="1069"/>
        <w:rPr>
          <w:rFonts w:ascii="仿宋_GB2312"/>
          <w:sz w:val="32"/>
        </w:rPr>
      </w:pPr>
      <w:r>
        <w:rPr>
          <w:rFonts w:hint="eastAsia" w:ascii="仿宋_GB2312"/>
          <w:sz w:val="32"/>
        </w:rPr>
        <w:t xml:space="preserve">（2）密码应用建设 </w:t>
      </w:r>
    </w:p>
    <w:p w14:paraId="6940EA70">
      <w:pPr>
        <w:spacing w:line="560" w:lineRule="exact"/>
        <w:ind w:firstLine="640"/>
        <w:rPr>
          <w:rFonts w:ascii="仿宋_GB2312" w:eastAsia="仿宋_GB2312"/>
        </w:rPr>
      </w:pPr>
      <w:r>
        <w:rPr>
          <w:rFonts w:hint="eastAsia" w:ascii="仿宋_GB2312" w:eastAsia="仿宋_GB2312"/>
        </w:rPr>
        <w:t>对接密码应用接口，满足密评要求。</w:t>
      </w:r>
    </w:p>
    <w:p w14:paraId="7A6ECA10">
      <w:pPr>
        <w:pStyle w:val="3"/>
        <w:spacing w:line="560" w:lineRule="exact"/>
        <w:ind w:firstLine="643"/>
        <w:rPr>
          <w:rFonts w:ascii="仿宋_GB2312"/>
        </w:rPr>
      </w:pPr>
      <w:r>
        <w:rPr>
          <w:rFonts w:hint="eastAsia" w:ascii="仿宋_GB2312"/>
        </w:rPr>
        <w:t>技术性能指标及配置要求</w:t>
      </w:r>
    </w:p>
    <w:p w14:paraId="074ABFED">
      <w:pPr>
        <w:pStyle w:val="4"/>
        <w:spacing w:line="560" w:lineRule="exact"/>
        <w:ind w:firstLine="643"/>
        <w:rPr>
          <w:rFonts w:ascii="仿宋_GB2312"/>
          <w:sz w:val="32"/>
        </w:rPr>
      </w:pPr>
      <w:r>
        <w:rPr>
          <w:rFonts w:hint="eastAsia" w:ascii="仿宋_GB2312"/>
          <w:sz w:val="32"/>
        </w:rPr>
        <w:t>性能指标</w:t>
      </w:r>
    </w:p>
    <w:p w14:paraId="0E80BFB2">
      <w:pPr>
        <w:spacing w:line="560" w:lineRule="exact"/>
        <w:ind w:firstLine="640"/>
        <w:rPr>
          <w:rFonts w:ascii="仿宋_GB2312" w:eastAsia="仿宋_GB2312"/>
        </w:rPr>
      </w:pPr>
      <w:r>
        <w:rPr>
          <w:rFonts w:ascii="仿宋_GB2312" w:eastAsia="仿宋_GB2312"/>
        </w:rPr>
        <w:t>1</w:t>
      </w:r>
      <w:r>
        <w:rPr>
          <w:rFonts w:hint="eastAsia" w:ascii="仿宋_GB2312" w:eastAsia="仿宋_GB2312"/>
        </w:rPr>
        <w:t>、响应时间</w:t>
      </w:r>
    </w:p>
    <w:p w14:paraId="49F7D1B9">
      <w:pPr>
        <w:spacing w:line="560" w:lineRule="exact"/>
        <w:ind w:firstLine="640"/>
        <w:rPr>
          <w:rFonts w:ascii="仿宋_GB2312" w:eastAsia="仿宋_GB2312"/>
        </w:rPr>
      </w:pPr>
      <w:r>
        <w:rPr>
          <w:rFonts w:hint="eastAsia" w:ascii="仿宋_GB2312" w:eastAsia="仿宋_GB2312"/>
        </w:rPr>
        <w:t>服务器端从接受客户端请求至展示输出请求结果的平均响应时间≤3秒，复杂查询类平均响应时间≤10s。</w:t>
      </w:r>
    </w:p>
    <w:p w14:paraId="7D439E57">
      <w:pPr>
        <w:spacing w:line="560" w:lineRule="exact"/>
        <w:ind w:firstLine="640"/>
        <w:rPr>
          <w:rFonts w:ascii="仿宋_GB2312" w:eastAsia="仿宋_GB2312"/>
        </w:rPr>
      </w:pPr>
      <w:r>
        <w:rPr>
          <w:rFonts w:ascii="仿宋_GB2312" w:eastAsia="仿宋_GB2312"/>
        </w:rPr>
        <w:t>2</w:t>
      </w:r>
      <w:r>
        <w:rPr>
          <w:rFonts w:hint="eastAsia" w:ascii="仿宋_GB2312" w:eastAsia="仿宋_GB2312"/>
        </w:rPr>
        <w:t>、处理速度</w:t>
      </w:r>
    </w:p>
    <w:p w14:paraId="155BC070">
      <w:pPr>
        <w:spacing w:line="560" w:lineRule="exact"/>
        <w:ind w:firstLine="640"/>
        <w:rPr>
          <w:rFonts w:ascii="仿宋_GB2312" w:eastAsia="仿宋_GB2312"/>
        </w:rPr>
      </w:pPr>
      <w:r>
        <w:rPr>
          <w:rFonts w:hint="eastAsia" w:ascii="仿宋_GB2312" w:eastAsia="仿宋_GB2312"/>
        </w:rPr>
        <w:t>系统支持每秒可处理400个办理、查询请求。</w:t>
      </w:r>
    </w:p>
    <w:p w14:paraId="6133D2E6">
      <w:pPr>
        <w:pStyle w:val="4"/>
        <w:spacing w:line="560" w:lineRule="exact"/>
        <w:ind w:firstLine="643"/>
        <w:rPr>
          <w:rFonts w:ascii="仿宋_GB2312"/>
          <w:sz w:val="32"/>
        </w:rPr>
      </w:pPr>
      <w:r>
        <w:rPr>
          <w:rFonts w:hint="eastAsia" w:ascii="仿宋_GB2312"/>
          <w:sz w:val="32"/>
        </w:rPr>
        <w:t xml:space="preserve">配置及部署要求 </w:t>
      </w:r>
    </w:p>
    <w:p w14:paraId="1C2EB09A">
      <w:pPr>
        <w:spacing w:line="560" w:lineRule="exact"/>
        <w:ind w:firstLine="640"/>
        <w:rPr>
          <w:rFonts w:ascii="仿宋_GB2312" w:eastAsia="仿宋_GB2312"/>
        </w:rPr>
      </w:pPr>
      <w:r>
        <w:rPr>
          <w:rFonts w:hint="eastAsia" w:ascii="仿宋_GB2312" w:eastAsia="仿宋_GB2312"/>
        </w:rPr>
        <w:t>1、本项目建设内容可适配并部署于移动信息网环境和公安网环境的服务器或虚拟化平台，同时需要满足安全等保二级测评的需要。</w:t>
      </w:r>
    </w:p>
    <w:p w14:paraId="4639BEC4">
      <w:pPr>
        <w:spacing w:line="560" w:lineRule="exact"/>
        <w:ind w:firstLine="640"/>
        <w:rPr>
          <w:rFonts w:ascii="仿宋_GB2312" w:eastAsia="仿宋_GB2312"/>
        </w:rPr>
      </w:pPr>
      <w:r>
        <w:rPr>
          <w:rFonts w:hint="eastAsia" w:ascii="仿宋_GB2312" w:eastAsia="仿宋_GB2312"/>
        </w:rPr>
        <w:t>2、本项目建设内容可根据用户方实际需要在移动信息网域或者公安网域。</w:t>
      </w:r>
    </w:p>
    <w:p w14:paraId="30582F3C">
      <w:pPr>
        <w:spacing w:line="560" w:lineRule="exact"/>
        <w:ind w:firstLine="640"/>
        <w:rPr>
          <w:rFonts w:ascii="仿宋_GB2312" w:eastAsia="仿宋_GB2312"/>
        </w:rPr>
      </w:pPr>
      <w:r>
        <w:rPr>
          <w:rFonts w:hint="eastAsia" w:ascii="仿宋_GB2312" w:eastAsia="仿宋_GB2312"/>
        </w:rPr>
        <w:t>3、在</w:t>
      </w:r>
      <w:del w:id="0" w:author="user" w:date="2025-08-06T08:59:04Z">
        <w:r>
          <w:rPr>
            <w:rFonts w:hint="eastAsia" w:ascii="仿宋_GB2312" w:eastAsia="仿宋_GB2312"/>
          </w:rPr>
          <w:delText>信创</w:delText>
        </w:r>
      </w:del>
      <w:ins w:id="1" w:author="user" w:date="2025-08-06T08:59:04Z">
        <w:r>
          <w:rPr>
            <w:rFonts w:hint="eastAsia" w:ascii="仿宋_GB2312" w:eastAsia="仿宋_GB2312"/>
            <w:lang w:eastAsia="zh-CN"/>
          </w:rPr>
          <w:t xml:space="preserve">信 创 </w:t>
        </w:r>
      </w:ins>
      <w:r>
        <w:rPr>
          <w:rFonts w:hint="eastAsia" w:ascii="仿宋_GB2312" w:eastAsia="仿宋_GB2312"/>
        </w:rPr>
        <w:t>终端应用方面，建设内容将适配国产主流</w:t>
      </w:r>
      <w:del w:id="2" w:author="user" w:date="2025-08-06T08:59:04Z">
        <w:r>
          <w:rPr>
            <w:rFonts w:hint="eastAsia" w:ascii="仿宋_GB2312" w:eastAsia="仿宋_GB2312"/>
          </w:rPr>
          <w:delText>信创</w:delText>
        </w:r>
      </w:del>
      <w:ins w:id="3" w:author="user" w:date="2025-08-06T08:59:04Z">
        <w:r>
          <w:rPr>
            <w:rFonts w:hint="eastAsia" w:ascii="仿宋_GB2312" w:eastAsia="仿宋_GB2312"/>
            <w:lang w:eastAsia="zh-CN"/>
          </w:rPr>
          <w:t xml:space="preserve">信 创 </w:t>
        </w:r>
      </w:ins>
      <w:r>
        <w:rPr>
          <w:rFonts w:hint="eastAsia" w:ascii="仿宋_GB2312" w:eastAsia="仿宋_GB2312"/>
        </w:rPr>
        <w:t xml:space="preserve">环境下的浏览器、操作系统、中间件、数据库。 </w:t>
      </w:r>
    </w:p>
    <w:p w14:paraId="4218D5F5">
      <w:pPr>
        <w:pStyle w:val="3"/>
        <w:spacing w:line="560" w:lineRule="exact"/>
        <w:ind w:firstLine="643"/>
        <w:rPr>
          <w:rFonts w:ascii="仿宋_GB2312" w:eastAsia="仿宋_GB2312"/>
          <w:szCs w:val="32"/>
        </w:rPr>
      </w:pPr>
      <w:r>
        <w:rPr>
          <w:rFonts w:hint="eastAsia" w:ascii="仿宋_GB2312" w:eastAsia="仿宋_GB2312"/>
          <w:szCs w:val="32"/>
        </w:rPr>
        <w:t>建设周期</w:t>
      </w:r>
    </w:p>
    <w:p w14:paraId="4DD4E495">
      <w:pPr>
        <w:spacing w:line="560" w:lineRule="exact"/>
        <w:ind w:firstLine="640"/>
        <w:rPr>
          <w:rFonts w:ascii="仿宋_GB2312" w:eastAsia="仿宋_GB2312"/>
        </w:rPr>
      </w:pPr>
      <w:r>
        <w:rPr>
          <w:rFonts w:hint="eastAsia" w:ascii="仿宋_GB2312" w:eastAsia="仿宋_GB2312"/>
        </w:rPr>
        <w:t>本项目建设周期为合同签订后12个月，具体如下：</w:t>
      </w:r>
    </w:p>
    <w:p w14:paraId="7B51F407">
      <w:pPr>
        <w:spacing w:line="560" w:lineRule="exact"/>
        <w:ind w:firstLine="640"/>
        <w:rPr>
          <w:rFonts w:ascii="仿宋_GB2312" w:eastAsia="仿宋_GB2312"/>
        </w:rPr>
      </w:pPr>
      <w:r>
        <w:rPr>
          <w:rFonts w:hint="eastAsia" w:ascii="仿宋_GB2312" w:eastAsia="仿宋_GB2312"/>
        </w:rPr>
        <w:t>（1）实施阶段。主要完成系统设计、应用系统开发和部署实施等工作。本阶段周期约为9个月。</w:t>
      </w:r>
    </w:p>
    <w:p w14:paraId="120BB0D3">
      <w:pPr>
        <w:spacing w:line="560" w:lineRule="exact"/>
        <w:ind w:firstLine="640"/>
        <w:rPr>
          <w:rFonts w:ascii="仿宋_GB2312" w:eastAsia="仿宋_GB2312"/>
        </w:rPr>
      </w:pPr>
      <w:r>
        <w:rPr>
          <w:rFonts w:hint="eastAsia" w:ascii="仿宋_GB2312" w:eastAsia="仿宋_GB2312"/>
        </w:rPr>
        <w:t>（2）试运行阶段。主要完成项目整体试运行，修正项目各组成部分联调中出现的问题，修正软件bug。试运行期约为3个月，试运行期无重大故障且解决所有发现的缺陷后开展项目相关测评工作，并根据用户方或市相关要求开展验收。</w:t>
      </w:r>
    </w:p>
    <w:p w14:paraId="56DD92CD">
      <w:pPr>
        <w:pStyle w:val="3"/>
        <w:spacing w:line="560" w:lineRule="exact"/>
        <w:ind w:left="-3" w:firstLine="643"/>
        <w:rPr>
          <w:rFonts w:ascii="仿宋_GB2312" w:eastAsia="仿宋_GB2312"/>
          <w:szCs w:val="32"/>
        </w:rPr>
      </w:pPr>
      <w:r>
        <w:rPr>
          <w:rFonts w:hint="eastAsia" w:ascii="仿宋_GB2312" w:eastAsia="仿宋_GB2312"/>
          <w:szCs w:val="32"/>
        </w:rPr>
        <w:t>实施及售后服务要求</w:t>
      </w:r>
    </w:p>
    <w:p w14:paraId="254F0239">
      <w:pPr>
        <w:pStyle w:val="4"/>
        <w:spacing w:line="560" w:lineRule="exact"/>
        <w:ind w:firstLine="643"/>
        <w:rPr>
          <w:rFonts w:ascii="仿宋_GB2312"/>
          <w:sz w:val="32"/>
        </w:rPr>
      </w:pPr>
      <w:r>
        <w:rPr>
          <w:rFonts w:hint="eastAsia" w:ascii="仿宋_GB2312" w:eastAsia="仿宋_GB2312"/>
          <w:sz w:val="32"/>
        </w:rPr>
        <w:t>售后服务</w:t>
      </w:r>
      <w:r>
        <w:rPr>
          <w:rFonts w:hint="eastAsia" w:ascii="仿宋_GB2312"/>
          <w:sz w:val="32"/>
        </w:rPr>
        <w:t>要求</w:t>
      </w:r>
    </w:p>
    <w:p w14:paraId="631503A5">
      <w:pPr>
        <w:spacing w:line="560" w:lineRule="exact"/>
        <w:ind w:firstLine="640"/>
        <w:rPr>
          <w:rFonts w:ascii="仿宋_GB2312" w:eastAsia="仿宋_GB2312"/>
        </w:rPr>
      </w:pPr>
      <w:r>
        <w:rPr>
          <w:rFonts w:hint="eastAsia" w:ascii="仿宋_GB2312" w:eastAsia="仿宋_GB2312"/>
        </w:rPr>
        <w:t>1、中标方在完成项目建设后应提供完整技术资料，包括应用软件清单、用户手册、管理员手册等用户文档资料。</w:t>
      </w:r>
    </w:p>
    <w:p w14:paraId="3839C0F6">
      <w:pPr>
        <w:spacing w:line="560" w:lineRule="exact"/>
        <w:ind w:firstLine="640"/>
        <w:rPr>
          <w:rFonts w:ascii="仿宋_GB2312" w:eastAsia="仿宋_GB2312"/>
        </w:rPr>
      </w:pPr>
      <w:r>
        <w:rPr>
          <w:rFonts w:hint="eastAsia" w:ascii="仿宋_GB2312" w:eastAsia="仿宋_GB2312"/>
        </w:rPr>
        <w:t>2、项目验收一年内提供免费售后服务保障，包括：软件免费升级服务包括系统整体优化以及根据用户需求开展的功能更新，提供1人</w:t>
      </w:r>
      <w:r>
        <w:rPr>
          <w:rFonts w:ascii="仿宋_GB2312" w:eastAsia="仿宋_GB2312"/>
        </w:rPr>
        <w:t>的</w:t>
      </w:r>
      <w:r>
        <w:rPr>
          <w:rFonts w:hint="eastAsia" w:ascii="仿宋_GB2312" w:eastAsia="仿宋_GB2312"/>
        </w:rPr>
        <w:t>5</w:t>
      </w:r>
      <w:r>
        <w:rPr>
          <w:rFonts w:ascii="仿宋_GB2312" w:eastAsia="仿宋_GB2312"/>
        </w:rPr>
        <w:t>*8</w:t>
      </w:r>
      <w:r>
        <w:rPr>
          <w:rFonts w:hint="eastAsia" w:ascii="仿宋_GB2312" w:eastAsia="仿宋_GB2312"/>
        </w:rPr>
        <w:t>驻场</w:t>
      </w:r>
      <w:r>
        <w:rPr>
          <w:rFonts w:ascii="仿宋_GB2312" w:eastAsia="仿宋_GB2312"/>
        </w:rPr>
        <w:t>维护服务，</w:t>
      </w:r>
      <w:r>
        <w:rPr>
          <w:rFonts w:hint="eastAsia" w:ascii="仿宋_GB2312" w:eastAsia="仿宋_GB2312"/>
        </w:rPr>
        <w:t>7*24小时的电话技术支持服务，如出现故障一般模块需2小时内响应，重要模块1小时内响应，</w:t>
      </w:r>
      <w:r>
        <w:rPr>
          <w:rFonts w:ascii="仿宋_GB2312" w:eastAsia="仿宋_GB2312"/>
        </w:rPr>
        <w:t>4</w:t>
      </w:r>
      <w:r>
        <w:rPr>
          <w:rFonts w:hint="eastAsia" w:ascii="仿宋_GB2312" w:eastAsia="仿宋_GB2312"/>
        </w:rPr>
        <w:t>小时内修复；系统日常巡检服务（月度巡检），对于各开发功能提供技术支持。</w:t>
      </w:r>
    </w:p>
    <w:p w14:paraId="1AAC660D">
      <w:pPr>
        <w:spacing w:line="560" w:lineRule="exact"/>
        <w:ind w:firstLine="640"/>
        <w:rPr>
          <w:rFonts w:ascii="仿宋_GB2312" w:eastAsia="仿宋_GB2312"/>
        </w:rPr>
      </w:pPr>
      <w:r>
        <w:rPr>
          <w:rFonts w:hint="eastAsia" w:ascii="仿宋_GB2312" w:eastAsia="仿宋_GB2312"/>
        </w:rPr>
        <w:t>3、中标方在用户方指定的重大节点前对系统全面巡检，提供应急方案等，并根据用户方的要求在重大活动期间指派不少于1人,进行7*24小时的现场技术支持服务。</w:t>
      </w:r>
    </w:p>
    <w:p w14:paraId="22B678FC">
      <w:pPr>
        <w:pStyle w:val="4"/>
        <w:numPr>
          <w:ilvl w:val="0"/>
          <w:numId w:val="0"/>
        </w:numPr>
        <w:spacing w:line="560" w:lineRule="exact"/>
        <w:ind w:left="0" w:firstLine="742" w:firstLineChars="231"/>
        <w:rPr>
          <w:rFonts w:ascii="仿宋_GB2312"/>
          <w:sz w:val="32"/>
        </w:rPr>
      </w:pPr>
      <w:r>
        <w:rPr>
          <w:rFonts w:hint="eastAsia" w:ascii="仿宋_GB2312" w:eastAsia="仿宋_GB2312"/>
          <w:sz w:val="32"/>
        </w:rPr>
        <w:t>（二）培训</w:t>
      </w:r>
      <w:r>
        <w:rPr>
          <w:rFonts w:hint="eastAsia" w:ascii="仿宋_GB2312"/>
          <w:sz w:val="32"/>
        </w:rPr>
        <w:t>要求</w:t>
      </w:r>
    </w:p>
    <w:p w14:paraId="7214F13B">
      <w:pPr>
        <w:spacing w:line="560" w:lineRule="exact"/>
        <w:ind w:firstLine="640"/>
        <w:rPr>
          <w:rFonts w:ascii="仿宋_GB2312" w:eastAsia="仿宋_GB2312"/>
        </w:rPr>
      </w:pPr>
      <w:r>
        <w:rPr>
          <w:rFonts w:hint="eastAsia" w:ascii="仿宋_GB2312" w:eastAsia="仿宋_GB2312"/>
        </w:rPr>
        <w:t>中标方需对系统使用单位提供业务操作培训，在</w:t>
      </w:r>
      <w:r>
        <w:rPr>
          <w:rFonts w:ascii="仿宋_GB2312" w:eastAsia="仿宋_GB2312"/>
        </w:rPr>
        <w:t>12</w:t>
      </w:r>
      <w:r>
        <w:rPr>
          <w:rFonts w:hint="eastAsia" w:ascii="仿宋_GB2312" w:eastAsia="仿宋_GB2312"/>
        </w:rPr>
        <w:t>个月的质量保证期内，提供</w:t>
      </w:r>
      <w:r>
        <w:rPr>
          <w:rFonts w:ascii="仿宋_GB2312" w:eastAsia="仿宋_GB2312"/>
        </w:rPr>
        <w:t>2</w:t>
      </w:r>
      <w:r>
        <w:rPr>
          <w:rFonts w:hint="eastAsia" w:ascii="仿宋_GB2312" w:eastAsia="仿宋_GB2312"/>
        </w:rPr>
        <w:t>次与项目相关的必要培训，确保用户对象能够掌握对应的操作技能，并提供详细培训方案。</w:t>
      </w:r>
    </w:p>
    <w:p w14:paraId="19D04F56">
      <w:pPr>
        <w:pStyle w:val="4"/>
        <w:numPr>
          <w:ilvl w:val="0"/>
          <w:numId w:val="0"/>
        </w:numPr>
        <w:spacing w:line="560" w:lineRule="exact"/>
        <w:ind w:left="0" w:firstLine="696" w:firstLineChars="231"/>
        <w:rPr>
          <w:rFonts w:ascii="仿宋_GB2312"/>
          <w:sz w:val="32"/>
        </w:rPr>
      </w:pPr>
      <w:r>
        <w:rPr>
          <w:rFonts w:hint="eastAsia"/>
        </w:rPr>
        <w:t>（三）</w:t>
      </w:r>
      <w:r>
        <w:rPr>
          <w:rFonts w:hint="eastAsia" w:ascii="仿宋_GB2312" w:eastAsia="仿宋_GB2312"/>
          <w:sz w:val="32"/>
        </w:rPr>
        <w:t>运维</w:t>
      </w:r>
      <w:r>
        <w:rPr>
          <w:rFonts w:hint="eastAsia" w:ascii="仿宋_GB2312"/>
          <w:sz w:val="32"/>
        </w:rPr>
        <w:t>要求</w:t>
      </w:r>
    </w:p>
    <w:p w14:paraId="3AB21445">
      <w:pPr>
        <w:spacing w:line="560" w:lineRule="exact"/>
        <w:ind w:firstLine="640"/>
        <w:rPr>
          <w:rFonts w:ascii="仿宋_GB2312" w:eastAsia="仿宋_GB2312"/>
          <w:szCs w:val="32"/>
        </w:rPr>
      </w:pPr>
      <w:r>
        <w:rPr>
          <w:rFonts w:hint="eastAsia" w:ascii="仿宋_GB2312" w:eastAsia="仿宋_GB2312"/>
          <w:szCs w:val="32"/>
        </w:rPr>
        <w:t>1、派驻到项目方的运维人员需接受项目方的保密教育培训并通过项目方的背景审查,不通过则无条件更换。</w:t>
      </w:r>
    </w:p>
    <w:p w14:paraId="5CC07A00">
      <w:pPr>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、运维人员应保证相对固定，如有变动，需至少提前两周征得用户方同意。</w:t>
      </w:r>
    </w:p>
    <w:p w14:paraId="5F153128">
      <w:pPr>
        <w:spacing w:line="560" w:lineRule="exact"/>
        <w:ind w:firstLine="640"/>
        <w:rPr>
          <w:rFonts w:ascii="仿宋_GB2312" w:eastAsia="仿宋_GB2312"/>
          <w:szCs w:val="32"/>
        </w:rPr>
      </w:pPr>
      <w:r>
        <w:rPr>
          <w:rFonts w:hint="eastAsia" w:ascii="仿宋_GB2312" w:eastAsia="仿宋_GB2312"/>
          <w:szCs w:val="32"/>
        </w:rPr>
        <w:t>3、运维人员按规定签订有关工作保密协议。</w:t>
      </w:r>
    </w:p>
    <w:p w14:paraId="4B0BBF98">
      <w:pPr>
        <w:spacing w:line="560" w:lineRule="exact"/>
        <w:ind w:firstLine="640"/>
        <w:rPr>
          <w:rFonts w:ascii="仿宋_GB2312" w:eastAsia="仿宋_GB2312"/>
          <w:szCs w:val="32"/>
        </w:rPr>
      </w:pPr>
      <w:r>
        <w:rPr>
          <w:rFonts w:hint="eastAsia" w:ascii="仿宋_GB2312" w:eastAsia="仿宋_GB2312"/>
          <w:szCs w:val="32"/>
        </w:rPr>
        <w:t>4、运维人员能独立完成对系统的现场巡检、维护及故障快速响应处置工作。工作中能够按照市局要求在重大节日以及重要事件时间节点开展各项值班运维保障。</w:t>
      </w:r>
    </w:p>
    <w:p w14:paraId="7A5E8434">
      <w:pPr>
        <w:pStyle w:val="2"/>
      </w:pPr>
    </w:p>
    <w:p w14:paraId="57FD0725">
      <w:pPr>
        <w:pStyle w:val="3"/>
        <w:numPr>
          <w:ilvl w:val="0"/>
          <w:numId w:val="2"/>
        </w:numPr>
        <w:spacing w:line="560" w:lineRule="exact"/>
        <w:ind w:left="-423" w:firstLine="1063" w:firstLineChars="0"/>
        <w:rPr>
          <w:rFonts w:hint="eastAsia" w:ascii="仿宋_GB2312" w:eastAsia="仿宋_GB2312"/>
          <w:szCs w:val="32"/>
        </w:rPr>
      </w:pPr>
      <w:r>
        <w:rPr>
          <w:rFonts w:hint="eastAsia" w:ascii="仿宋_GB2312" w:eastAsia="仿宋_GB2312"/>
          <w:szCs w:val="32"/>
        </w:rPr>
        <w:t>团队人员要求</w:t>
      </w:r>
    </w:p>
    <w:p w14:paraId="4802EC99">
      <w:pPr>
        <w:pStyle w:val="4"/>
        <w:numPr>
          <w:ilvl w:val="0"/>
          <w:numId w:val="0"/>
        </w:numPr>
        <w:spacing w:line="560" w:lineRule="exact"/>
        <w:ind w:left="0" w:firstLine="643" w:firstLineChars="200"/>
        <w:rPr>
          <w:rFonts w:ascii="仿宋_GB2312" w:eastAsia="仿宋_GB2312"/>
          <w:sz w:val="32"/>
        </w:rPr>
      </w:pPr>
      <w:r>
        <w:rPr>
          <w:rFonts w:hint="eastAsia" w:ascii="仿宋_GB2312" w:eastAsia="仿宋_GB2312"/>
          <w:sz w:val="32"/>
        </w:rPr>
        <w:t>（一）项目团队及人员要求</w:t>
      </w:r>
    </w:p>
    <w:p w14:paraId="333B84C5">
      <w:pPr>
        <w:spacing w:line="560" w:lineRule="exact"/>
        <w:ind w:firstLine="640"/>
        <w:rPr>
          <w:rFonts w:ascii="仿宋_GB2312" w:eastAsia="仿宋_GB2312"/>
          <w:szCs w:val="32"/>
        </w:rPr>
      </w:pPr>
      <w:r>
        <w:rPr>
          <w:rFonts w:hint="eastAsia" w:ascii="仿宋_GB2312" w:eastAsia="仿宋_GB2312"/>
          <w:szCs w:val="32"/>
        </w:rPr>
        <w:t>投标方具有稳定的在职技术保障力量，能够提供及时的技术支援或服务。</w:t>
      </w:r>
    </w:p>
    <w:p w14:paraId="0D615595">
      <w:pPr>
        <w:spacing w:line="560" w:lineRule="exact"/>
        <w:ind w:firstLine="640"/>
        <w:rPr>
          <w:rFonts w:ascii="仿宋_GB2312" w:eastAsia="仿宋_GB2312"/>
          <w:szCs w:val="32"/>
        </w:rPr>
      </w:pPr>
      <w:r>
        <w:rPr>
          <w:rFonts w:hint="eastAsia" w:ascii="仿宋_GB2312" w:eastAsia="仿宋_GB2312"/>
          <w:szCs w:val="32"/>
        </w:rPr>
        <w:t>项目负责人具备信息系统项目管理师或高级职称质证书，具备类似项目建设经验。</w:t>
      </w:r>
    </w:p>
    <w:p w14:paraId="7264D05B">
      <w:pPr>
        <w:spacing w:line="560" w:lineRule="exact"/>
        <w:ind w:firstLine="640"/>
        <w:rPr>
          <w:rFonts w:ascii="仿宋_GB2312" w:eastAsia="仿宋_GB2312"/>
          <w:szCs w:val="32"/>
        </w:rPr>
      </w:pPr>
      <w:r>
        <w:rPr>
          <w:rFonts w:hint="eastAsia" w:ascii="仿宋_GB2312" w:eastAsia="仿宋_GB2312"/>
          <w:szCs w:val="32"/>
        </w:rPr>
        <w:t>实施团队需配置合理</w:t>
      </w:r>
      <w:r>
        <w:rPr>
          <w:rFonts w:ascii="仿宋_GB2312" w:eastAsia="仿宋_GB2312"/>
          <w:szCs w:val="32"/>
        </w:rPr>
        <w:t>，</w:t>
      </w:r>
      <w:r>
        <w:rPr>
          <w:rFonts w:hint="eastAsia" w:ascii="仿宋_GB2312" w:eastAsia="仿宋_GB2312"/>
          <w:szCs w:val="32"/>
        </w:rPr>
        <w:t>针对本项目提供不少于6人的项目实施团队（包括项目负责人、产品经理、研发、测试等），需提供相关证明。</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690"/>
        <w:gridCol w:w="1019"/>
        <w:gridCol w:w="3049"/>
      </w:tblGrid>
      <w:tr w14:paraId="5BBC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209A3284">
            <w:pPr>
              <w:spacing w:line="560" w:lineRule="exact"/>
              <w:ind w:firstLine="0" w:firstLineChars="0"/>
              <w:rPr>
                <w:rFonts w:ascii="仿宋_GB2312" w:eastAsia="仿宋_GB2312"/>
                <w:sz w:val="28"/>
                <w:szCs w:val="28"/>
              </w:rPr>
            </w:pPr>
            <w:r>
              <w:rPr>
                <w:rFonts w:hint="eastAsia" w:ascii="仿宋_GB2312" w:eastAsia="仿宋_GB2312"/>
                <w:sz w:val="28"/>
                <w:szCs w:val="28"/>
              </w:rPr>
              <w:t>角色</w:t>
            </w:r>
          </w:p>
        </w:tc>
        <w:tc>
          <w:tcPr>
            <w:tcW w:w="2690" w:type="dxa"/>
            <w:shd w:val="clear" w:color="auto" w:fill="auto"/>
            <w:noWrap/>
            <w:vAlign w:val="center"/>
          </w:tcPr>
          <w:p w14:paraId="5690A461">
            <w:pPr>
              <w:spacing w:line="560" w:lineRule="exact"/>
              <w:ind w:firstLine="0" w:firstLineChars="0"/>
              <w:rPr>
                <w:rFonts w:ascii="仿宋_GB2312" w:eastAsia="仿宋_GB2312"/>
                <w:sz w:val="28"/>
                <w:szCs w:val="28"/>
              </w:rPr>
            </w:pPr>
            <w:r>
              <w:rPr>
                <w:rFonts w:hint="eastAsia" w:ascii="仿宋_GB2312" w:eastAsia="仿宋_GB2312"/>
                <w:sz w:val="28"/>
                <w:szCs w:val="28"/>
              </w:rPr>
              <w:t>主要职责</w:t>
            </w:r>
          </w:p>
        </w:tc>
        <w:tc>
          <w:tcPr>
            <w:tcW w:w="1019" w:type="dxa"/>
            <w:shd w:val="clear" w:color="auto" w:fill="auto"/>
            <w:noWrap/>
            <w:vAlign w:val="center"/>
          </w:tcPr>
          <w:p w14:paraId="05FF0072">
            <w:pPr>
              <w:spacing w:line="560" w:lineRule="exact"/>
              <w:ind w:firstLine="0" w:firstLineChars="0"/>
              <w:rPr>
                <w:rFonts w:ascii="仿宋_GB2312" w:eastAsia="仿宋_GB2312"/>
                <w:sz w:val="28"/>
                <w:szCs w:val="28"/>
              </w:rPr>
            </w:pPr>
            <w:r>
              <w:rPr>
                <w:rFonts w:hint="eastAsia" w:ascii="仿宋_GB2312" w:eastAsia="仿宋_GB2312"/>
                <w:sz w:val="28"/>
                <w:szCs w:val="28"/>
              </w:rPr>
              <w:t>人员数量</w:t>
            </w:r>
          </w:p>
        </w:tc>
        <w:tc>
          <w:tcPr>
            <w:tcW w:w="3049" w:type="dxa"/>
            <w:vAlign w:val="center"/>
          </w:tcPr>
          <w:p w14:paraId="22C0DBC6">
            <w:pPr>
              <w:spacing w:line="560" w:lineRule="exact"/>
              <w:ind w:firstLine="560"/>
              <w:rPr>
                <w:rFonts w:ascii="仿宋_GB2312" w:eastAsia="仿宋_GB2312"/>
                <w:sz w:val="28"/>
                <w:szCs w:val="28"/>
              </w:rPr>
            </w:pPr>
            <w:r>
              <w:rPr>
                <w:rFonts w:hint="eastAsia" w:ascii="仿宋_GB2312" w:eastAsia="仿宋_GB2312"/>
                <w:sz w:val="28"/>
                <w:szCs w:val="28"/>
              </w:rPr>
              <w:t>人员要求</w:t>
            </w:r>
          </w:p>
        </w:tc>
      </w:tr>
      <w:tr w14:paraId="6AC1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ED856">
            <w:pPr>
              <w:spacing w:line="560" w:lineRule="exact"/>
              <w:ind w:firstLine="0" w:firstLineChars="0"/>
              <w:rPr>
                <w:rFonts w:ascii="仿宋_GB2312" w:eastAsia="仿宋_GB2312"/>
                <w:sz w:val="28"/>
                <w:szCs w:val="28"/>
              </w:rPr>
            </w:pPr>
            <w:r>
              <w:rPr>
                <w:rFonts w:hint="eastAsia" w:ascii="仿宋_GB2312" w:eastAsia="仿宋_GB2312"/>
                <w:sz w:val="28"/>
                <w:szCs w:val="28"/>
              </w:rPr>
              <w:t>项目负责人</w:t>
            </w:r>
          </w:p>
        </w:tc>
        <w:tc>
          <w:tcPr>
            <w:tcW w:w="2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E3B27">
            <w:pPr>
              <w:spacing w:line="560" w:lineRule="exact"/>
              <w:ind w:firstLine="0" w:firstLineChars="0"/>
              <w:rPr>
                <w:rFonts w:ascii="仿宋_GB2312" w:eastAsia="仿宋_GB2312"/>
                <w:sz w:val="28"/>
                <w:szCs w:val="28"/>
              </w:rPr>
            </w:pPr>
            <w:r>
              <w:rPr>
                <w:rFonts w:hint="eastAsia" w:ascii="仿宋_GB2312" w:eastAsia="仿宋_GB2312"/>
                <w:sz w:val="28"/>
                <w:szCs w:val="28"/>
              </w:rPr>
              <w:t>负责整体项目管控</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00DD4">
            <w:pPr>
              <w:spacing w:line="560" w:lineRule="exact"/>
              <w:ind w:firstLine="0" w:firstLineChars="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人</w:t>
            </w:r>
          </w:p>
        </w:tc>
        <w:tc>
          <w:tcPr>
            <w:tcW w:w="3049" w:type="dxa"/>
            <w:tcBorders>
              <w:top w:val="single" w:color="auto" w:sz="4" w:space="0"/>
              <w:left w:val="single" w:color="auto" w:sz="4" w:space="0"/>
              <w:bottom w:val="single" w:color="auto" w:sz="4" w:space="0"/>
              <w:right w:val="single" w:color="auto" w:sz="4" w:space="0"/>
            </w:tcBorders>
            <w:vAlign w:val="center"/>
          </w:tcPr>
          <w:p w14:paraId="50FF3C81">
            <w:pPr>
              <w:spacing w:line="560" w:lineRule="exact"/>
              <w:ind w:firstLine="0" w:firstLineChars="0"/>
              <w:rPr>
                <w:rFonts w:ascii="仿宋_GB2312" w:eastAsia="仿宋_GB2312"/>
                <w:sz w:val="28"/>
                <w:szCs w:val="28"/>
              </w:rPr>
            </w:pPr>
            <w:r>
              <w:rPr>
                <w:rFonts w:hint="eastAsia" w:ascii="仿宋_GB2312" w:eastAsia="仿宋_GB2312"/>
                <w:sz w:val="28"/>
                <w:szCs w:val="28"/>
              </w:rPr>
              <w:t>本科及以上学历，具备信息系统项目管理师</w:t>
            </w:r>
            <w:r>
              <w:rPr>
                <w:rFonts w:hint="eastAsia" w:ascii="仿宋_GB2312" w:eastAsia="仿宋_GB2312"/>
                <w:sz w:val="28"/>
                <w:szCs w:val="28"/>
                <w:lang w:eastAsia="zh-CN"/>
              </w:rPr>
              <w:t>证书</w:t>
            </w:r>
            <w:r>
              <w:rPr>
                <w:rFonts w:hint="eastAsia" w:ascii="仿宋_GB2312" w:eastAsia="仿宋_GB2312"/>
                <w:sz w:val="28"/>
                <w:szCs w:val="28"/>
              </w:rPr>
              <w:t>或信息化专业高级职称的</w:t>
            </w:r>
            <w:r>
              <w:rPr>
                <w:rFonts w:ascii="仿宋_GB2312" w:eastAsia="仿宋_GB2312"/>
                <w:sz w:val="28"/>
                <w:szCs w:val="28"/>
              </w:rPr>
              <w:t>优先</w:t>
            </w:r>
            <w:r>
              <w:rPr>
                <w:rFonts w:hint="eastAsia" w:ascii="仿宋_GB2312" w:eastAsia="仿宋_GB2312"/>
                <w:sz w:val="28"/>
                <w:szCs w:val="28"/>
              </w:rPr>
              <w:t>。</w:t>
            </w:r>
          </w:p>
        </w:tc>
      </w:tr>
      <w:tr w14:paraId="3855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D3CBC">
            <w:pPr>
              <w:spacing w:line="560" w:lineRule="exact"/>
              <w:ind w:firstLine="0" w:firstLineChars="0"/>
              <w:rPr>
                <w:rFonts w:ascii="仿宋_GB2312" w:eastAsia="仿宋_GB2312"/>
                <w:sz w:val="28"/>
                <w:szCs w:val="28"/>
              </w:rPr>
            </w:pPr>
            <w:r>
              <w:rPr>
                <w:rFonts w:hint="eastAsia" w:ascii="仿宋_GB2312" w:eastAsia="仿宋_GB2312"/>
                <w:sz w:val="28"/>
                <w:szCs w:val="28"/>
              </w:rPr>
              <w:t>产品经理</w:t>
            </w:r>
          </w:p>
        </w:tc>
        <w:tc>
          <w:tcPr>
            <w:tcW w:w="2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FB0DE">
            <w:pPr>
              <w:spacing w:line="560" w:lineRule="exact"/>
              <w:ind w:firstLine="0" w:firstLineChars="0"/>
              <w:rPr>
                <w:rFonts w:ascii="仿宋_GB2312" w:eastAsia="仿宋_GB2312"/>
                <w:sz w:val="28"/>
                <w:szCs w:val="28"/>
              </w:rPr>
            </w:pPr>
            <w:r>
              <w:rPr>
                <w:rFonts w:hint="eastAsia" w:ascii="仿宋_GB2312" w:eastAsia="仿宋_GB2312"/>
                <w:sz w:val="28"/>
                <w:szCs w:val="28"/>
              </w:rPr>
              <w:t>负责项目需求评估与产品设计</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113CE">
            <w:pPr>
              <w:spacing w:line="560" w:lineRule="exact"/>
              <w:ind w:firstLine="0" w:firstLineChars="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人</w:t>
            </w:r>
          </w:p>
        </w:tc>
        <w:tc>
          <w:tcPr>
            <w:tcW w:w="3049" w:type="dxa"/>
            <w:vMerge w:val="restart"/>
            <w:tcBorders>
              <w:top w:val="single" w:color="auto" w:sz="4" w:space="0"/>
              <w:left w:val="single" w:color="auto" w:sz="4" w:space="0"/>
              <w:right w:val="single" w:color="auto" w:sz="4" w:space="0"/>
            </w:tcBorders>
            <w:vAlign w:val="center"/>
          </w:tcPr>
          <w:p w14:paraId="7651B9E6">
            <w:pPr>
              <w:spacing w:line="560" w:lineRule="exact"/>
              <w:ind w:firstLine="0" w:firstLineChars="0"/>
              <w:rPr>
                <w:rFonts w:ascii="仿宋_GB2312" w:eastAsia="仿宋_GB2312"/>
                <w:sz w:val="28"/>
                <w:szCs w:val="28"/>
              </w:rPr>
            </w:pPr>
            <w:r>
              <w:rPr>
                <w:rFonts w:hint="eastAsia" w:ascii="仿宋_GB2312" w:eastAsia="仿宋_GB2312"/>
                <w:sz w:val="28"/>
                <w:szCs w:val="28"/>
              </w:rPr>
              <w:t>团队各岗位人员应当具备岗位相关工作经验和</w:t>
            </w:r>
            <w:r>
              <w:rPr>
                <w:rFonts w:hint="eastAsia" w:ascii="仿宋_GB2312" w:eastAsia="仿宋_GB2312"/>
                <w:sz w:val="28"/>
                <w:szCs w:val="28"/>
                <w:lang w:eastAsia="zh-CN"/>
              </w:rPr>
              <w:t>能力</w:t>
            </w:r>
            <w:r>
              <w:rPr>
                <w:rFonts w:hint="eastAsia" w:ascii="仿宋_GB2312" w:eastAsia="仿宋_GB2312"/>
                <w:sz w:val="28"/>
                <w:szCs w:val="28"/>
              </w:rPr>
              <w:t>，具有信息化专业中级以上职称、项目管理师、运维</w:t>
            </w:r>
            <w:r>
              <w:rPr>
                <w:rFonts w:ascii="仿宋_GB2312" w:eastAsia="仿宋_GB2312"/>
                <w:sz w:val="28"/>
                <w:szCs w:val="28"/>
              </w:rPr>
              <w:t>ITLL</w:t>
            </w:r>
            <w:r>
              <w:rPr>
                <w:rFonts w:hint="eastAsia" w:ascii="仿宋_GB2312" w:eastAsia="仿宋_GB2312"/>
                <w:sz w:val="28"/>
                <w:szCs w:val="28"/>
              </w:rPr>
              <w:t>等证书的</w:t>
            </w:r>
            <w:r>
              <w:rPr>
                <w:rFonts w:ascii="仿宋_GB2312" w:eastAsia="仿宋_GB2312"/>
                <w:sz w:val="28"/>
                <w:szCs w:val="28"/>
              </w:rPr>
              <w:t>优先</w:t>
            </w:r>
            <w:r>
              <w:rPr>
                <w:rFonts w:hint="eastAsia" w:ascii="仿宋_GB2312" w:eastAsia="仿宋_GB2312"/>
                <w:sz w:val="28"/>
                <w:szCs w:val="28"/>
              </w:rPr>
              <w:t>。</w:t>
            </w:r>
          </w:p>
        </w:tc>
      </w:tr>
      <w:tr w14:paraId="095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63CD6">
            <w:pPr>
              <w:spacing w:line="560" w:lineRule="exact"/>
              <w:ind w:firstLine="0" w:firstLineChars="0"/>
              <w:rPr>
                <w:rFonts w:ascii="仿宋_GB2312" w:eastAsia="仿宋_GB2312"/>
                <w:sz w:val="28"/>
                <w:szCs w:val="28"/>
              </w:rPr>
            </w:pPr>
            <w:r>
              <w:rPr>
                <w:rFonts w:hint="eastAsia" w:ascii="仿宋_GB2312" w:eastAsia="仿宋_GB2312"/>
                <w:sz w:val="28"/>
                <w:szCs w:val="28"/>
              </w:rPr>
              <w:t>研发工程师</w:t>
            </w:r>
          </w:p>
        </w:tc>
        <w:tc>
          <w:tcPr>
            <w:tcW w:w="2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8C2AB">
            <w:pPr>
              <w:spacing w:line="560" w:lineRule="exact"/>
              <w:ind w:firstLine="0" w:firstLineChars="0"/>
              <w:rPr>
                <w:rFonts w:ascii="仿宋_GB2312" w:eastAsia="仿宋_GB2312"/>
                <w:sz w:val="28"/>
                <w:szCs w:val="28"/>
              </w:rPr>
            </w:pPr>
            <w:r>
              <w:rPr>
                <w:rFonts w:hint="eastAsia" w:ascii="仿宋_GB2312" w:eastAsia="仿宋_GB2312"/>
                <w:sz w:val="28"/>
                <w:szCs w:val="28"/>
              </w:rPr>
              <w:t>负责项目开发</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10DBC">
            <w:pPr>
              <w:spacing w:line="560" w:lineRule="exact"/>
              <w:ind w:firstLine="0" w:firstLineChars="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人以上</w:t>
            </w:r>
          </w:p>
        </w:tc>
        <w:tc>
          <w:tcPr>
            <w:tcW w:w="3049" w:type="dxa"/>
            <w:vMerge w:val="continue"/>
            <w:tcBorders>
              <w:left w:val="single" w:color="auto" w:sz="4" w:space="0"/>
              <w:right w:val="single" w:color="auto" w:sz="4" w:space="0"/>
            </w:tcBorders>
            <w:vAlign w:val="center"/>
          </w:tcPr>
          <w:p w14:paraId="5EF8C98D">
            <w:pPr>
              <w:pStyle w:val="2"/>
            </w:pPr>
          </w:p>
        </w:tc>
      </w:tr>
      <w:tr w14:paraId="5E7C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3605F">
            <w:pPr>
              <w:spacing w:line="560" w:lineRule="exact"/>
              <w:ind w:firstLine="0" w:firstLineChars="0"/>
              <w:rPr>
                <w:rFonts w:ascii="仿宋_GB2312" w:eastAsia="仿宋_GB2312"/>
                <w:sz w:val="28"/>
                <w:szCs w:val="28"/>
              </w:rPr>
            </w:pPr>
            <w:r>
              <w:rPr>
                <w:rFonts w:hint="eastAsia" w:ascii="仿宋_GB2312" w:eastAsia="仿宋_GB2312"/>
                <w:sz w:val="28"/>
                <w:szCs w:val="28"/>
              </w:rPr>
              <w:t>测试工程师</w:t>
            </w:r>
          </w:p>
        </w:tc>
        <w:tc>
          <w:tcPr>
            <w:tcW w:w="2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4E7BD">
            <w:pPr>
              <w:spacing w:line="560" w:lineRule="exact"/>
              <w:ind w:firstLine="0" w:firstLineChars="0"/>
              <w:rPr>
                <w:rFonts w:ascii="仿宋_GB2312" w:eastAsia="仿宋_GB2312"/>
                <w:sz w:val="28"/>
                <w:szCs w:val="28"/>
              </w:rPr>
            </w:pPr>
            <w:r>
              <w:rPr>
                <w:rFonts w:hint="eastAsia" w:ascii="仿宋_GB2312" w:eastAsia="仿宋_GB2312"/>
                <w:sz w:val="28"/>
                <w:szCs w:val="28"/>
              </w:rPr>
              <w:t>负责项目测试</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B2597">
            <w:pPr>
              <w:spacing w:line="560" w:lineRule="exact"/>
              <w:ind w:firstLine="0" w:firstLineChars="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人</w:t>
            </w:r>
          </w:p>
        </w:tc>
        <w:tc>
          <w:tcPr>
            <w:tcW w:w="3049" w:type="dxa"/>
            <w:vMerge w:val="continue"/>
            <w:tcBorders>
              <w:left w:val="single" w:color="auto" w:sz="4" w:space="0"/>
              <w:right w:val="single" w:color="auto" w:sz="4" w:space="0"/>
            </w:tcBorders>
            <w:vAlign w:val="center"/>
          </w:tcPr>
          <w:p w14:paraId="498DC2EF">
            <w:pPr>
              <w:pStyle w:val="2"/>
            </w:pPr>
          </w:p>
        </w:tc>
      </w:tr>
    </w:tbl>
    <w:p w14:paraId="5B72011C">
      <w:pPr>
        <w:pStyle w:val="2"/>
      </w:pPr>
      <w:r>
        <w:rPr>
          <w:rFonts w:hint="eastAsia"/>
        </w:rPr>
        <w:t xml:space="preserve">   </w:t>
      </w:r>
    </w:p>
    <w:p w14:paraId="3FA177C6">
      <w:pPr>
        <w:pStyle w:val="4"/>
        <w:numPr>
          <w:ilvl w:val="0"/>
          <w:numId w:val="0"/>
        </w:numPr>
        <w:spacing w:line="560" w:lineRule="exact"/>
        <w:ind w:left="1560"/>
        <w:rPr>
          <w:rFonts w:ascii="仿宋_GB2312" w:eastAsia="仿宋_GB2312"/>
          <w:sz w:val="32"/>
        </w:rPr>
      </w:pPr>
      <w:bookmarkStart w:id="0" w:name="_Toc63785512"/>
      <w:r>
        <w:rPr>
          <w:rFonts w:hint="eastAsia" w:ascii="仿宋_GB2312" w:eastAsia="仿宋_GB2312"/>
          <w:sz w:val="32"/>
        </w:rPr>
        <w:t>（二）投标单位要求</w:t>
      </w:r>
    </w:p>
    <w:p w14:paraId="3A83B3B1">
      <w:pPr>
        <w:spacing w:line="560" w:lineRule="exact"/>
        <w:ind w:firstLine="480"/>
        <w:rPr>
          <w:rFonts w:ascii="仿宋_GB2312" w:eastAsia="仿宋_GB2312"/>
          <w:szCs w:val="32"/>
        </w:rPr>
      </w:pPr>
      <w:r>
        <w:rPr>
          <w:rFonts w:hint="eastAsia"/>
          <w:sz w:val="24"/>
        </w:rPr>
        <w:t xml:space="preserve"> </w:t>
      </w:r>
      <w:r>
        <w:rPr>
          <w:rFonts w:hint="eastAsia" w:ascii="仿宋_GB2312" w:eastAsia="仿宋_GB2312"/>
          <w:szCs w:val="32"/>
        </w:rPr>
        <w:t>优先考虑具有</w:t>
      </w:r>
      <w:r>
        <w:rPr>
          <w:rFonts w:hint="eastAsia" w:ascii="仿宋_GB2312" w:eastAsia="仿宋_GB2312"/>
          <w:szCs w:val="32"/>
          <w:lang w:eastAsia="zh-CN"/>
        </w:rPr>
        <w:t>类似</w:t>
      </w:r>
      <w:r>
        <w:rPr>
          <w:rFonts w:hint="eastAsia" w:ascii="仿宋_GB2312" w:eastAsia="仿宋_GB2312"/>
          <w:szCs w:val="32"/>
        </w:rPr>
        <w:t>项目经验、</w:t>
      </w:r>
      <w:r>
        <w:rPr>
          <w:rFonts w:ascii="仿宋_GB2312" w:eastAsia="仿宋_GB2312"/>
          <w:szCs w:val="32"/>
        </w:rPr>
        <w:t>具有</w:t>
      </w:r>
      <w:r>
        <w:rPr>
          <w:rFonts w:hint="eastAsia" w:ascii="仿宋_GB2312" w:eastAsia="仿宋_GB2312"/>
          <w:szCs w:val="32"/>
        </w:rPr>
        <w:t>ISO9001质量管理体系认证、ISO20000信息技术服务管理体系认证的供应商。</w:t>
      </w:r>
    </w:p>
    <w:bookmarkEnd w:id="0"/>
    <w:p w14:paraId="2A532604">
      <w:pPr>
        <w:pStyle w:val="2"/>
      </w:pPr>
    </w:p>
    <w:p w14:paraId="7D65C0E9">
      <w:pPr>
        <w:pStyle w:val="3"/>
        <w:numPr>
          <w:ilvl w:val="0"/>
          <w:numId w:val="0"/>
        </w:numPr>
        <w:spacing w:line="560" w:lineRule="exact"/>
        <w:ind w:left="426"/>
        <w:rPr>
          <w:rFonts w:ascii="仿宋_GB2312" w:eastAsia="仿宋_GB2312"/>
          <w:szCs w:val="32"/>
        </w:rPr>
      </w:pPr>
      <w:bookmarkStart w:id="1" w:name="_Toc63785513"/>
      <w:r>
        <w:rPr>
          <w:rFonts w:hint="eastAsia" w:ascii="仿宋_GB2312" w:eastAsia="仿宋_GB2312"/>
          <w:szCs w:val="32"/>
        </w:rPr>
        <w:t>八</w:t>
      </w:r>
      <w:r>
        <w:rPr>
          <w:rFonts w:ascii="仿宋_GB2312" w:eastAsia="仿宋_GB2312"/>
          <w:szCs w:val="32"/>
        </w:rPr>
        <w:t>、</w:t>
      </w:r>
      <w:r>
        <w:rPr>
          <w:rFonts w:hint="eastAsia" w:ascii="仿宋_GB2312"/>
        </w:rPr>
        <w:t>知识产权及保密要求</w:t>
      </w:r>
    </w:p>
    <w:p w14:paraId="43A6B470">
      <w:pPr>
        <w:spacing w:line="560" w:lineRule="exact"/>
        <w:ind w:firstLine="640"/>
        <w:rPr>
          <w:rFonts w:ascii="仿宋_GB2312"/>
        </w:rPr>
      </w:pPr>
      <w:r>
        <w:rPr>
          <w:rFonts w:hint="eastAsia" w:ascii="仿宋_GB2312" w:eastAsia="仿宋_GB2312"/>
          <w:szCs w:val="32"/>
        </w:rPr>
        <w:t>1、中标方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方应负责与第三方解决纠纷，若因此导致采购人损失的，采购人有权要求成交供应商赔偿采购人因此遭受的全部损失，包括但不限于直接损失、间接损失、诉讼费／仲裁费、律师费、公证费、鉴定费等。</w:t>
      </w:r>
    </w:p>
    <w:p w14:paraId="6D650806">
      <w:pPr>
        <w:spacing w:line="560" w:lineRule="exact"/>
        <w:ind w:firstLine="640"/>
        <w:rPr>
          <w:rFonts w:ascii="仿宋_GB2312" w:eastAsia="仿宋_GB2312"/>
          <w:szCs w:val="32"/>
        </w:rPr>
      </w:pPr>
      <w:r>
        <w:rPr>
          <w:rFonts w:hint="eastAsia" w:ascii="仿宋_GB2312" w:eastAsia="仿宋_GB2312"/>
          <w:szCs w:val="32"/>
        </w:rPr>
        <w:t>2、中标方因履行本项目而产生的所有成果的知识产权等权利均归采购人所有，中标方应配合采购人进行相关权利登记或申请。未经采购人书面同意，中标方不得以任何形式使用或许可他人使用本项目成果的相关内容，不得擅自对外公开发表或向任何第三方透露。</w:t>
      </w:r>
    </w:p>
    <w:p w14:paraId="57F1B821">
      <w:pPr>
        <w:spacing w:line="560" w:lineRule="exact"/>
        <w:ind w:firstLine="640"/>
        <w:rPr>
          <w:rFonts w:ascii="仿宋_GB2312" w:eastAsia="仿宋_GB2312"/>
          <w:szCs w:val="32"/>
        </w:rPr>
      </w:pPr>
      <w:r>
        <w:rPr>
          <w:rFonts w:hint="eastAsia" w:ascii="仿宋_GB2312" w:eastAsia="仿宋_GB2312"/>
          <w:szCs w:val="32"/>
        </w:rPr>
        <w:t>3、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6F319DD5">
      <w:pPr>
        <w:spacing w:line="560" w:lineRule="exact"/>
        <w:ind w:firstLine="640"/>
        <w:rPr>
          <w:rFonts w:ascii="仿宋_GB2312" w:eastAsia="仿宋_GB2312"/>
          <w:szCs w:val="32"/>
        </w:rPr>
      </w:pPr>
      <w:r>
        <w:rPr>
          <w:rFonts w:hint="eastAsia" w:ascii="仿宋_GB2312" w:eastAsia="仿宋_GB2312"/>
          <w:szCs w:val="32"/>
        </w:rPr>
        <w:t>4、中标方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方不得对外泄露采购人要求保密的信息，不得用于其他用途，否则成交供应商需承担由此引起的法律责任和经济责任，包括但不限于直接损失、间接损失、律师费、诉讼费/仲裁费、调查费、公证费等。</w:t>
      </w:r>
    </w:p>
    <w:p w14:paraId="5D80D808">
      <w:pPr>
        <w:spacing w:line="560" w:lineRule="exact"/>
        <w:ind w:firstLine="640"/>
        <w:rPr>
          <w:rFonts w:ascii="仿宋_GB2312" w:eastAsia="仿宋_GB2312"/>
          <w:szCs w:val="32"/>
        </w:rPr>
      </w:pPr>
      <w:r>
        <w:rPr>
          <w:rFonts w:hint="eastAsia" w:ascii="仿宋_GB2312" w:eastAsia="仿宋_GB2312"/>
          <w:szCs w:val="32"/>
        </w:rPr>
        <w:t>5、中标方应采取必要的有效措施保证其参与本项目的人员（包括成交供应商聘用的人员、借调的人员、实习的人员）无论是在职或离职后，以及中标方的合作方无论是合作中或合作终止后，都能够履行本项目约定的保密义务。若中标方人员或中标方合作单位违反保密规定，中标方应承担连带责任。</w:t>
      </w:r>
    </w:p>
    <w:p w14:paraId="32EC9B3A">
      <w:pPr>
        <w:spacing w:line="560" w:lineRule="exact"/>
        <w:ind w:firstLine="640"/>
        <w:rPr>
          <w:rFonts w:ascii="仿宋_GB2312" w:eastAsia="仿宋_GB2312"/>
          <w:szCs w:val="32"/>
        </w:rPr>
      </w:pPr>
      <w:r>
        <w:rPr>
          <w:rFonts w:hint="eastAsia" w:ascii="仿宋_GB2312" w:eastAsia="仿宋_GB2312"/>
          <w:szCs w:val="32"/>
        </w:rPr>
        <w:t>6、中标方（含成交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3A0BBE43">
      <w:pPr>
        <w:spacing w:line="560" w:lineRule="exact"/>
        <w:ind w:firstLine="640"/>
        <w:rPr>
          <w:rFonts w:ascii="仿宋_GB2312" w:eastAsia="仿宋_GB2312"/>
          <w:szCs w:val="32"/>
        </w:rPr>
      </w:pPr>
      <w:r>
        <w:rPr>
          <w:rFonts w:hint="eastAsia" w:ascii="仿宋_GB2312" w:eastAsia="仿宋_GB2312"/>
          <w:szCs w:val="32"/>
        </w:rPr>
        <w:t>7、中标方在提供本项目服务的全过程中，需严格遵循《企事业单位参与上海公安机关信息化建设安全管理实施细则》等各项安全管理规定，对存在严重安全隐患或者造成严重损害的，将追究中标单位违约责任和法律责任。</w:t>
      </w:r>
    </w:p>
    <w:p w14:paraId="6F8EE109">
      <w:pPr>
        <w:pStyle w:val="3"/>
        <w:numPr>
          <w:ilvl w:val="0"/>
          <w:numId w:val="0"/>
        </w:numPr>
        <w:spacing w:line="560" w:lineRule="exact"/>
        <w:ind w:left="426"/>
        <w:rPr>
          <w:rFonts w:ascii="仿宋_GB2312" w:eastAsia="仿宋_GB2312"/>
          <w:szCs w:val="32"/>
        </w:rPr>
      </w:pPr>
      <w:r>
        <w:rPr>
          <w:rFonts w:hint="eastAsia" w:ascii="仿宋_GB2312" w:eastAsia="仿宋_GB2312"/>
          <w:szCs w:val="32"/>
        </w:rPr>
        <w:t>九、其他</w:t>
      </w:r>
      <w:r>
        <w:rPr>
          <w:rFonts w:ascii="仿宋_GB2312" w:eastAsia="仿宋_GB2312"/>
          <w:szCs w:val="32"/>
        </w:rPr>
        <w:t>要求</w:t>
      </w:r>
      <w:bookmarkEnd w:id="1"/>
    </w:p>
    <w:p w14:paraId="575C0829">
      <w:pPr>
        <w:spacing w:line="560" w:lineRule="exact"/>
        <w:ind w:firstLine="640"/>
        <w:rPr>
          <w:rFonts w:ascii="仿宋_GB2312"/>
        </w:rPr>
      </w:pPr>
      <w:r>
        <w:rPr>
          <w:rFonts w:hint="eastAsia" w:ascii="仿宋_GB2312" w:eastAsia="仿宋_GB2312"/>
          <w:szCs w:val="32"/>
        </w:rPr>
        <w:t>1、本</w:t>
      </w:r>
      <w:r>
        <w:rPr>
          <w:rFonts w:hint="eastAsia" w:ascii="仿宋_GB2312"/>
        </w:rPr>
        <w:t>项目</w:t>
      </w:r>
      <w:r>
        <w:rPr>
          <w:rFonts w:hint="eastAsia" w:ascii="仿宋_GB2312" w:eastAsia="仿宋_GB2312"/>
          <w:szCs w:val="32"/>
        </w:rPr>
        <w:t>不得转让，不得分包。</w:t>
      </w:r>
    </w:p>
    <w:p w14:paraId="00B1EA56">
      <w:pPr>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、中标方配合完成软件测试、安全测评及密码测评，同时配合用户方开展信息系统安全等级保护定级及备案。</w:t>
      </w:r>
    </w:p>
    <w:p w14:paraId="447785C3">
      <w:pPr>
        <w:spacing w:line="560" w:lineRule="exact"/>
        <w:ind w:firstLine="640"/>
        <w:rPr>
          <w:rFonts w:ascii="仿宋_GB2312" w:eastAsia="仿宋_GB2312"/>
          <w:szCs w:val="32"/>
        </w:rPr>
      </w:pPr>
      <w:r>
        <w:rPr>
          <w:rFonts w:ascii="仿宋_GB2312" w:eastAsia="仿宋_GB2312"/>
          <w:szCs w:val="32"/>
        </w:rPr>
        <w:t>3</w:t>
      </w:r>
      <w:r>
        <w:rPr>
          <w:rFonts w:hint="eastAsia" w:ascii="仿宋_GB2312" w:eastAsia="仿宋_GB2312"/>
          <w:szCs w:val="32"/>
        </w:rPr>
        <w:t>、中标方应配合按照</w:t>
      </w:r>
      <w:r>
        <w:rPr>
          <w:rFonts w:ascii="仿宋_GB2312" w:eastAsia="仿宋_GB2312"/>
          <w:szCs w:val="32"/>
        </w:rPr>
        <w:t>用户方</w:t>
      </w:r>
      <w:r>
        <w:rPr>
          <w:rFonts w:hint="eastAsia" w:ascii="仿宋_GB2312" w:eastAsia="仿宋_GB2312"/>
          <w:szCs w:val="32"/>
        </w:rPr>
        <w:t>相关</w:t>
      </w:r>
      <w:r>
        <w:rPr>
          <w:rFonts w:ascii="仿宋_GB2312" w:eastAsia="仿宋_GB2312"/>
          <w:szCs w:val="32"/>
        </w:rPr>
        <w:t>验收规范</w:t>
      </w:r>
      <w:r>
        <w:rPr>
          <w:rFonts w:hint="eastAsia" w:ascii="仿宋_GB2312" w:eastAsia="仿宋_GB2312"/>
          <w:szCs w:val="32"/>
        </w:rPr>
        <w:t>完成项目各项验收准备工作，包括不限于提供《用户需求说明书》、《系统概要设计说明书》、《测试报告》、《用户使用手册》等材料及可安装的程序运行文件。所交付的文档与文件应当是可供自然人阅读的书面和电子文档。</w:t>
      </w:r>
    </w:p>
    <w:p w14:paraId="38535D3D">
      <w:pPr>
        <w:spacing w:line="560" w:lineRule="exact"/>
        <w:ind w:firstLine="640"/>
        <w:rPr>
          <w:rFonts w:ascii="仿宋_GB2312" w:eastAsia="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78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MiSans">
    <w:altName w:val="仿宋_GB2312"/>
    <w:panose1 w:val="00000000000000000000"/>
    <w:charset w:val="00"/>
    <w:family w:val="auto"/>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GWZT-EN">
    <w:panose1 w:val="02020400000000000000"/>
    <w:charset w:val="86"/>
    <w:family w:val="auto"/>
    <w:pitch w:val="default"/>
    <w:sig w:usb0="A00002BF" w:usb1="38CF7CFA" w:usb2="00082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45981"/>
    </w:sdtPr>
    <w:sdtContent>
      <w:p w14:paraId="41ACCCED">
        <w:pPr>
          <w:pStyle w:val="17"/>
          <w:ind w:firstLine="360"/>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D3E6B7A">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4298">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0D7E">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75D5">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B277">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A569">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B573F"/>
    <w:multiLevelType w:val="singleLevel"/>
    <w:tmpl w:val="DEEB573F"/>
    <w:lvl w:ilvl="0" w:tentative="0">
      <w:start w:val="7"/>
      <w:numFmt w:val="chineseCounting"/>
      <w:suff w:val="nothing"/>
      <w:lvlText w:val="%1、"/>
      <w:lvlJc w:val="left"/>
      <w:pPr>
        <w:ind w:left="-1263"/>
      </w:pPr>
      <w:rPr>
        <w:rFonts w:hint="eastAsia"/>
      </w:rPr>
    </w:lvl>
  </w:abstractNum>
  <w:abstractNum w:abstractNumId="1">
    <w:nsid w:val="14680703"/>
    <w:multiLevelType w:val="multilevel"/>
    <w:tmpl w:val="14680703"/>
    <w:lvl w:ilvl="0" w:tentative="0">
      <w:start w:val="1"/>
      <w:numFmt w:val="chineseCountingThousand"/>
      <w:pStyle w:val="3"/>
      <w:lvlText w:val="%1、"/>
      <w:lvlJc w:val="left"/>
      <w:pPr>
        <w:ind w:left="-3" w:firstLine="0"/>
      </w:pPr>
      <w:rPr>
        <w:rFonts w:hint="eastAsia"/>
      </w:rPr>
    </w:lvl>
    <w:lvl w:ilvl="1" w:tentative="0">
      <w:start w:val="1"/>
      <w:numFmt w:val="chineseCountingThousand"/>
      <w:pStyle w:val="4"/>
      <w:lvlText w:val="（%2）"/>
      <w:lvlJc w:val="left"/>
      <w:pPr>
        <w:ind w:left="-3" w:firstLine="0"/>
      </w:pPr>
      <w:rPr>
        <w:rFonts w:hint="eastAsia"/>
      </w:rPr>
    </w:lvl>
    <w:lvl w:ilvl="2" w:tentative="0">
      <w:start w:val="1"/>
      <w:numFmt w:val="decimal"/>
      <w:pStyle w:val="5"/>
      <w:lvlText w:val="%3、"/>
      <w:lvlJc w:val="left"/>
      <w:pPr>
        <w:ind w:left="4961" w:firstLine="0"/>
      </w:pPr>
      <w:rPr>
        <w:rFonts w:hint="eastAsia"/>
      </w:rPr>
    </w:lvl>
    <w:lvl w:ilvl="3" w:tentative="0">
      <w:start w:val="1"/>
      <w:numFmt w:val="decimal"/>
      <w:pStyle w:val="6"/>
      <w:lvlText w:val="（%4）"/>
      <w:lvlJc w:val="left"/>
      <w:pPr>
        <w:tabs>
          <w:tab w:val="left" w:pos="596"/>
        </w:tabs>
        <w:ind w:left="426" w:firstLine="170"/>
      </w:pPr>
      <w:rPr>
        <w:rFonts w:hint="eastAsia"/>
      </w:rPr>
    </w:lvl>
    <w:lvl w:ilvl="4" w:tentative="0">
      <w:start w:val="1"/>
      <w:numFmt w:val="lowerLetter"/>
      <w:pStyle w:val="7"/>
      <w:lvlText w:val="（%5）"/>
      <w:lvlJc w:val="left"/>
      <w:pPr>
        <w:tabs>
          <w:tab w:val="left" w:pos="880"/>
        </w:tabs>
        <w:ind w:left="426" w:firstLine="454"/>
      </w:pPr>
      <w:rPr>
        <w:rFonts w:hint="eastAsia"/>
      </w:rPr>
    </w:lvl>
    <w:lvl w:ilvl="5" w:tentative="0">
      <w:start w:val="1"/>
      <w:numFmt w:val="decimal"/>
      <w:pStyle w:val="8"/>
      <w:isLgl/>
      <w:lvlText w:val="%1.%2.%3.%4.%5.%6"/>
      <w:lvlJc w:val="left"/>
      <w:pPr>
        <w:ind w:left="426" w:firstLine="0"/>
      </w:pPr>
      <w:rPr>
        <w:rFonts w:hint="eastAsia"/>
      </w:rPr>
    </w:lvl>
    <w:lvl w:ilvl="6" w:tentative="0">
      <w:start w:val="1"/>
      <w:numFmt w:val="decimal"/>
      <w:pStyle w:val="9"/>
      <w:isLgl/>
      <w:lvlText w:val="%1.%2.%3.%4.%5.%6.%7"/>
      <w:lvlJc w:val="left"/>
      <w:pPr>
        <w:ind w:left="426" w:firstLine="0"/>
      </w:pPr>
      <w:rPr>
        <w:rFonts w:hint="eastAsia"/>
      </w:rPr>
    </w:lvl>
    <w:lvl w:ilvl="7" w:tentative="0">
      <w:start w:val="1"/>
      <w:numFmt w:val="decimal"/>
      <w:lvlText w:val="%1.%2.%3.%4.%5.%6.%7.%8"/>
      <w:lvlJc w:val="left"/>
      <w:pPr>
        <w:ind w:left="4820" w:hanging="1418"/>
      </w:pPr>
      <w:rPr>
        <w:rFonts w:hint="eastAsia"/>
      </w:rPr>
    </w:lvl>
    <w:lvl w:ilvl="8" w:tentative="0">
      <w:start w:val="1"/>
      <w:numFmt w:val="decimal"/>
      <w:lvlText w:val="%1.%2.%3.%4.%5.%6.%7.%8.%9"/>
      <w:lvlJc w:val="left"/>
      <w:pPr>
        <w:ind w:left="5528"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YmEzMTNhMjdkYThkNDYyOTNhN2M4MTNhMDJiODcifQ=="/>
  </w:docVars>
  <w:rsids>
    <w:rsidRoot w:val="00A41966"/>
    <w:rsid w:val="0001771F"/>
    <w:rsid w:val="00052C4E"/>
    <w:rsid w:val="00056A5C"/>
    <w:rsid w:val="00063B00"/>
    <w:rsid w:val="0006575D"/>
    <w:rsid w:val="00066D62"/>
    <w:rsid w:val="00073FF5"/>
    <w:rsid w:val="0009217D"/>
    <w:rsid w:val="000971EB"/>
    <w:rsid w:val="000A7EAA"/>
    <w:rsid w:val="000B2798"/>
    <w:rsid w:val="000C75B6"/>
    <w:rsid w:val="000C7657"/>
    <w:rsid w:val="0010323D"/>
    <w:rsid w:val="001074FB"/>
    <w:rsid w:val="0012380E"/>
    <w:rsid w:val="00135950"/>
    <w:rsid w:val="001424F9"/>
    <w:rsid w:val="00150BBE"/>
    <w:rsid w:val="00172984"/>
    <w:rsid w:val="00181336"/>
    <w:rsid w:val="00196BE8"/>
    <w:rsid w:val="001A0425"/>
    <w:rsid w:val="001D15FC"/>
    <w:rsid w:val="001E3A3A"/>
    <w:rsid w:val="001E5FEC"/>
    <w:rsid w:val="001F6B0B"/>
    <w:rsid w:val="00202BB3"/>
    <w:rsid w:val="00220605"/>
    <w:rsid w:val="00221463"/>
    <w:rsid w:val="0022227C"/>
    <w:rsid w:val="0023565D"/>
    <w:rsid w:val="002640BE"/>
    <w:rsid w:val="002757DB"/>
    <w:rsid w:val="00276D1F"/>
    <w:rsid w:val="00280937"/>
    <w:rsid w:val="00281A58"/>
    <w:rsid w:val="0028542D"/>
    <w:rsid w:val="002A64E5"/>
    <w:rsid w:val="002A6604"/>
    <w:rsid w:val="002B011D"/>
    <w:rsid w:val="002B6313"/>
    <w:rsid w:val="002B7525"/>
    <w:rsid w:val="002C7601"/>
    <w:rsid w:val="002D1B58"/>
    <w:rsid w:val="002D64AE"/>
    <w:rsid w:val="002E131C"/>
    <w:rsid w:val="002E2EFD"/>
    <w:rsid w:val="002E7919"/>
    <w:rsid w:val="00305BF1"/>
    <w:rsid w:val="003275E8"/>
    <w:rsid w:val="00327960"/>
    <w:rsid w:val="00334FA8"/>
    <w:rsid w:val="00353E1C"/>
    <w:rsid w:val="003624CC"/>
    <w:rsid w:val="003651E4"/>
    <w:rsid w:val="00365C90"/>
    <w:rsid w:val="003A28E1"/>
    <w:rsid w:val="003C5BCB"/>
    <w:rsid w:val="003C752A"/>
    <w:rsid w:val="003E2C92"/>
    <w:rsid w:val="003E61A2"/>
    <w:rsid w:val="003E6485"/>
    <w:rsid w:val="003F2442"/>
    <w:rsid w:val="004075C7"/>
    <w:rsid w:val="00440D0C"/>
    <w:rsid w:val="00445877"/>
    <w:rsid w:val="00450E7C"/>
    <w:rsid w:val="00451EDD"/>
    <w:rsid w:val="00455C1A"/>
    <w:rsid w:val="004620E9"/>
    <w:rsid w:val="00465332"/>
    <w:rsid w:val="00480527"/>
    <w:rsid w:val="00490909"/>
    <w:rsid w:val="00491069"/>
    <w:rsid w:val="00493C1D"/>
    <w:rsid w:val="004C0217"/>
    <w:rsid w:val="004D2ADC"/>
    <w:rsid w:val="004D4FCE"/>
    <w:rsid w:val="004D7A70"/>
    <w:rsid w:val="005041F6"/>
    <w:rsid w:val="005047FA"/>
    <w:rsid w:val="00505141"/>
    <w:rsid w:val="00515F74"/>
    <w:rsid w:val="00520304"/>
    <w:rsid w:val="00524847"/>
    <w:rsid w:val="00542A63"/>
    <w:rsid w:val="005452E2"/>
    <w:rsid w:val="005461A1"/>
    <w:rsid w:val="00570735"/>
    <w:rsid w:val="005735ED"/>
    <w:rsid w:val="0058582F"/>
    <w:rsid w:val="00585F15"/>
    <w:rsid w:val="005A69CA"/>
    <w:rsid w:val="005B244F"/>
    <w:rsid w:val="005F3138"/>
    <w:rsid w:val="005F4C6D"/>
    <w:rsid w:val="005F55FD"/>
    <w:rsid w:val="006021E4"/>
    <w:rsid w:val="00616467"/>
    <w:rsid w:val="00642115"/>
    <w:rsid w:val="006505DB"/>
    <w:rsid w:val="00653C86"/>
    <w:rsid w:val="00665A07"/>
    <w:rsid w:val="00665AAA"/>
    <w:rsid w:val="00671F3B"/>
    <w:rsid w:val="0068574A"/>
    <w:rsid w:val="006864C8"/>
    <w:rsid w:val="006A740E"/>
    <w:rsid w:val="006D226A"/>
    <w:rsid w:val="006E2BB7"/>
    <w:rsid w:val="006E68B6"/>
    <w:rsid w:val="00713FF5"/>
    <w:rsid w:val="007164FF"/>
    <w:rsid w:val="007224CD"/>
    <w:rsid w:val="0073202E"/>
    <w:rsid w:val="0074048A"/>
    <w:rsid w:val="00742000"/>
    <w:rsid w:val="0074206C"/>
    <w:rsid w:val="00752107"/>
    <w:rsid w:val="007548CF"/>
    <w:rsid w:val="00754DBA"/>
    <w:rsid w:val="00756C77"/>
    <w:rsid w:val="00765FC5"/>
    <w:rsid w:val="007775BA"/>
    <w:rsid w:val="0079359F"/>
    <w:rsid w:val="007A3FBB"/>
    <w:rsid w:val="007C2474"/>
    <w:rsid w:val="007C5358"/>
    <w:rsid w:val="007D62D7"/>
    <w:rsid w:val="007E0543"/>
    <w:rsid w:val="007E0FA8"/>
    <w:rsid w:val="007F69D4"/>
    <w:rsid w:val="00804F83"/>
    <w:rsid w:val="00810FD3"/>
    <w:rsid w:val="008134DD"/>
    <w:rsid w:val="00814DFF"/>
    <w:rsid w:val="00814F3F"/>
    <w:rsid w:val="0081775A"/>
    <w:rsid w:val="00857B79"/>
    <w:rsid w:val="0086374F"/>
    <w:rsid w:val="00871338"/>
    <w:rsid w:val="008A151E"/>
    <w:rsid w:val="008A6422"/>
    <w:rsid w:val="008C6CC8"/>
    <w:rsid w:val="00906C51"/>
    <w:rsid w:val="00914C86"/>
    <w:rsid w:val="00917EF3"/>
    <w:rsid w:val="0092128D"/>
    <w:rsid w:val="00922832"/>
    <w:rsid w:val="00927D7F"/>
    <w:rsid w:val="00937CD3"/>
    <w:rsid w:val="009460B7"/>
    <w:rsid w:val="00957BD7"/>
    <w:rsid w:val="0096231A"/>
    <w:rsid w:val="00985161"/>
    <w:rsid w:val="009A07DC"/>
    <w:rsid w:val="009D097F"/>
    <w:rsid w:val="009E287A"/>
    <w:rsid w:val="009E6434"/>
    <w:rsid w:val="00A06B0F"/>
    <w:rsid w:val="00A138CE"/>
    <w:rsid w:val="00A21FF3"/>
    <w:rsid w:val="00A24786"/>
    <w:rsid w:val="00A24C25"/>
    <w:rsid w:val="00A41966"/>
    <w:rsid w:val="00A437C5"/>
    <w:rsid w:val="00A46052"/>
    <w:rsid w:val="00A57EC4"/>
    <w:rsid w:val="00A607EE"/>
    <w:rsid w:val="00A622E5"/>
    <w:rsid w:val="00A65E7C"/>
    <w:rsid w:val="00A66C32"/>
    <w:rsid w:val="00A7391D"/>
    <w:rsid w:val="00A80793"/>
    <w:rsid w:val="00A82B70"/>
    <w:rsid w:val="00A956ED"/>
    <w:rsid w:val="00AA689C"/>
    <w:rsid w:val="00AC67DF"/>
    <w:rsid w:val="00AD297C"/>
    <w:rsid w:val="00AD6800"/>
    <w:rsid w:val="00AE0054"/>
    <w:rsid w:val="00AE5A75"/>
    <w:rsid w:val="00B01502"/>
    <w:rsid w:val="00B02341"/>
    <w:rsid w:val="00B07F3C"/>
    <w:rsid w:val="00B21B52"/>
    <w:rsid w:val="00B266D6"/>
    <w:rsid w:val="00B43766"/>
    <w:rsid w:val="00B5252E"/>
    <w:rsid w:val="00B66044"/>
    <w:rsid w:val="00B766FD"/>
    <w:rsid w:val="00B807C1"/>
    <w:rsid w:val="00B947C1"/>
    <w:rsid w:val="00B97E6D"/>
    <w:rsid w:val="00BA4E71"/>
    <w:rsid w:val="00BC3336"/>
    <w:rsid w:val="00BC6F37"/>
    <w:rsid w:val="00BD16D5"/>
    <w:rsid w:val="00BE2BF4"/>
    <w:rsid w:val="00BE3498"/>
    <w:rsid w:val="00BE35B9"/>
    <w:rsid w:val="00C0153D"/>
    <w:rsid w:val="00C23976"/>
    <w:rsid w:val="00C27711"/>
    <w:rsid w:val="00C278C9"/>
    <w:rsid w:val="00C36138"/>
    <w:rsid w:val="00C53059"/>
    <w:rsid w:val="00C62C69"/>
    <w:rsid w:val="00C71ED5"/>
    <w:rsid w:val="00C72CF5"/>
    <w:rsid w:val="00CA4A53"/>
    <w:rsid w:val="00CD02A7"/>
    <w:rsid w:val="00CD5C9E"/>
    <w:rsid w:val="00CE77B9"/>
    <w:rsid w:val="00CF17AC"/>
    <w:rsid w:val="00D00659"/>
    <w:rsid w:val="00D06EFB"/>
    <w:rsid w:val="00D1213A"/>
    <w:rsid w:val="00D14856"/>
    <w:rsid w:val="00D30D6D"/>
    <w:rsid w:val="00D45F30"/>
    <w:rsid w:val="00D53E29"/>
    <w:rsid w:val="00D6179F"/>
    <w:rsid w:val="00D67D2A"/>
    <w:rsid w:val="00D67F57"/>
    <w:rsid w:val="00D74DDB"/>
    <w:rsid w:val="00D8068E"/>
    <w:rsid w:val="00D940A6"/>
    <w:rsid w:val="00DA2FBE"/>
    <w:rsid w:val="00DB1D77"/>
    <w:rsid w:val="00DB451A"/>
    <w:rsid w:val="00DC1A43"/>
    <w:rsid w:val="00DD3B35"/>
    <w:rsid w:val="00DD47DF"/>
    <w:rsid w:val="00DD681A"/>
    <w:rsid w:val="00DD7B30"/>
    <w:rsid w:val="00E078B4"/>
    <w:rsid w:val="00E332A3"/>
    <w:rsid w:val="00E377F0"/>
    <w:rsid w:val="00E56F0D"/>
    <w:rsid w:val="00E66044"/>
    <w:rsid w:val="00E84453"/>
    <w:rsid w:val="00E92C23"/>
    <w:rsid w:val="00EC24F8"/>
    <w:rsid w:val="00F142F1"/>
    <w:rsid w:val="00F20137"/>
    <w:rsid w:val="00F25E1C"/>
    <w:rsid w:val="00F56794"/>
    <w:rsid w:val="00F6447E"/>
    <w:rsid w:val="00F648A6"/>
    <w:rsid w:val="00F8065A"/>
    <w:rsid w:val="00F974A6"/>
    <w:rsid w:val="00FA13EB"/>
    <w:rsid w:val="00FC1CA8"/>
    <w:rsid w:val="00FC3164"/>
    <w:rsid w:val="016908DE"/>
    <w:rsid w:val="06341FA4"/>
    <w:rsid w:val="075B1F61"/>
    <w:rsid w:val="096F5AD2"/>
    <w:rsid w:val="0A0E675B"/>
    <w:rsid w:val="0ABB53BE"/>
    <w:rsid w:val="10F17C69"/>
    <w:rsid w:val="17B928BB"/>
    <w:rsid w:val="1B274595"/>
    <w:rsid w:val="1D2D73DF"/>
    <w:rsid w:val="1D936957"/>
    <w:rsid w:val="1DA97348"/>
    <w:rsid w:val="250409DB"/>
    <w:rsid w:val="28091DC1"/>
    <w:rsid w:val="2A1A7565"/>
    <w:rsid w:val="2A6F422F"/>
    <w:rsid w:val="2E940C87"/>
    <w:rsid w:val="33FFC1EA"/>
    <w:rsid w:val="34FA376E"/>
    <w:rsid w:val="36B80A2C"/>
    <w:rsid w:val="37D55EE3"/>
    <w:rsid w:val="397B5640"/>
    <w:rsid w:val="397B9BCB"/>
    <w:rsid w:val="3AFB1EC0"/>
    <w:rsid w:val="3D9066B1"/>
    <w:rsid w:val="40846DAE"/>
    <w:rsid w:val="41CC63D8"/>
    <w:rsid w:val="44EA335B"/>
    <w:rsid w:val="45AA6151"/>
    <w:rsid w:val="46990ECD"/>
    <w:rsid w:val="47AC789F"/>
    <w:rsid w:val="49A972DA"/>
    <w:rsid w:val="4F7FAE55"/>
    <w:rsid w:val="4FF71292"/>
    <w:rsid w:val="50CD36E7"/>
    <w:rsid w:val="53CD73E6"/>
    <w:rsid w:val="54326AA0"/>
    <w:rsid w:val="54F9B6D0"/>
    <w:rsid w:val="5B6164CE"/>
    <w:rsid w:val="5CD368DD"/>
    <w:rsid w:val="5E6A4509"/>
    <w:rsid w:val="5FE72C0D"/>
    <w:rsid w:val="60FA0C65"/>
    <w:rsid w:val="61811178"/>
    <w:rsid w:val="665B84AA"/>
    <w:rsid w:val="686F7E78"/>
    <w:rsid w:val="71994AF8"/>
    <w:rsid w:val="71C56241"/>
    <w:rsid w:val="72974157"/>
    <w:rsid w:val="761E2077"/>
    <w:rsid w:val="76A3454D"/>
    <w:rsid w:val="777B0693"/>
    <w:rsid w:val="777F1513"/>
    <w:rsid w:val="77E66A6E"/>
    <w:rsid w:val="77FD37DE"/>
    <w:rsid w:val="78914D05"/>
    <w:rsid w:val="79830BF2"/>
    <w:rsid w:val="79F661FC"/>
    <w:rsid w:val="7BFFC1A5"/>
    <w:rsid w:val="7DE903B5"/>
    <w:rsid w:val="7FD6FC59"/>
    <w:rsid w:val="7FFBAF9B"/>
    <w:rsid w:val="7FFDD051"/>
    <w:rsid w:val="BC9EBD60"/>
    <w:rsid w:val="BF7DA1E0"/>
    <w:rsid w:val="BFDF54A6"/>
    <w:rsid w:val="ED9918F1"/>
    <w:rsid w:val="F2F75461"/>
    <w:rsid w:val="F3FF1D58"/>
    <w:rsid w:val="FDFEE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40"/>
    <w:qFormat/>
    <w:uiPriority w:val="0"/>
    <w:pPr>
      <w:keepNext/>
      <w:keepLines/>
      <w:numPr>
        <w:ilvl w:val="0"/>
        <w:numId w:val="1"/>
      </w:numPr>
      <w:spacing w:before="120" w:after="120" w:line="360" w:lineRule="auto"/>
      <w:ind w:firstLineChars="0"/>
      <w:outlineLvl w:val="0"/>
    </w:pPr>
    <w:rPr>
      <w:rFonts w:ascii="宋体" w:hAnsi="宋体" w:eastAsia="黑体"/>
      <w:b/>
      <w:bCs/>
      <w:kern w:val="44"/>
      <w:szCs w:val="28"/>
    </w:rPr>
  </w:style>
  <w:style w:type="paragraph" w:styleId="4">
    <w:name w:val="heading 2"/>
    <w:basedOn w:val="1"/>
    <w:next w:val="1"/>
    <w:link w:val="29"/>
    <w:qFormat/>
    <w:uiPriority w:val="9"/>
    <w:pPr>
      <w:keepNext/>
      <w:keepLines/>
      <w:numPr>
        <w:ilvl w:val="1"/>
        <w:numId w:val="1"/>
      </w:numPr>
      <w:spacing w:before="120" w:after="120" w:line="360" w:lineRule="auto"/>
      <w:ind w:firstLineChars="0"/>
      <w:outlineLvl w:val="1"/>
    </w:pPr>
    <w:rPr>
      <w:rFonts w:ascii="宋体" w:hAnsi="宋体"/>
      <w:b/>
      <w:bCs/>
      <w:sz w:val="30"/>
      <w:szCs w:val="32"/>
    </w:rPr>
  </w:style>
  <w:style w:type="paragraph" w:styleId="5">
    <w:name w:val="heading 3"/>
    <w:basedOn w:val="1"/>
    <w:next w:val="1"/>
    <w:link w:val="25"/>
    <w:qFormat/>
    <w:uiPriority w:val="0"/>
    <w:pPr>
      <w:keepNext/>
      <w:keepLines/>
      <w:widowControl/>
      <w:numPr>
        <w:ilvl w:val="2"/>
        <w:numId w:val="1"/>
      </w:numPr>
      <w:spacing w:before="120" w:after="120" w:line="360" w:lineRule="auto"/>
      <w:ind w:firstLineChars="0"/>
      <w:jc w:val="left"/>
      <w:outlineLvl w:val="2"/>
    </w:pPr>
    <w:rPr>
      <w:rFonts w:cstheme="minorBidi"/>
      <w:b/>
      <w:bCs/>
      <w:sz w:val="28"/>
      <w:szCs w:val="28"/>
    </w:rPr>
  </w:style>
  <w:style w:type="paragraph" w:styleId="6">
    <w:name w:val="heading 4"/>
    <w:basedOn w:val="1"/>
    <w:next w:val="1"/>
    <w:link w:val="38"/>
    <w:qFormat/>
    <w:uiPriority w:val="0"/>
    <w:pPr>
      <w:keepNext/>
      <w:keepLines/>
      <w:numPr>
        <w:ilvl w:val="3"/>
        <w:numId w:val="1"/>
      </w:numPr>
      <w:spacing w:line="360" w:lineRule="auto"/>
      <w:ind w:firstLine="0" w:firstLineChars="0"/>
      <w:outlineLvl w:val="3"/>
    </w:pPr>
    <w:rPr>
      <w:rFonts w:ascii="宋体" w:hAnsi="宋体"/>
      <w:b/>
      <w:bCs/>
      <w:sz w:val="28"/>
      <w:szCs w:val="30"/>
    </w:rPr>
  </w:style>
  <w:style w:type="paragraph" w:styleId="7">
    <w:name w:val="heading 5"/>
    <w:basedOn w:val="1"/>
    <w:next w:val="1"/>
    <w:link w:val="31"/>
    <w:qFormat/>
    <w:uiPriority w:val="0"/>
    <w:pPr>
      <w:keepNext/>
      <w:keepLines/>
      <w:numPr>
        <w:ilvl w:val="4"/>
        <w:numId w:val="1"/>
      </w:numPr>
      <w:spacing w:line="360" w:lineRule="auto"/>
      <w:outlineLvl w:val="4"/>
    </w:pPr>
    <w:rPr>
      <w:rFonts w:ascii="宋体" w:hAnsi="宋体"/>
      <w:b/>
      <w:bCs/>
      <w:sz w:val="24"/>
      <w:szCs w:val="28"/>
    </w:rPr>
  </w:style>
  <w:style w:type="paragraph" w:styleId="8">
    <w:name w:val="heading 6"/>
    <w:basedOn w:val="1"/>
    <w:next w:val="1"/>
    <w:link w:val="32"/>
    <w:qFormat/>
    <w:uiPriority w:val="0"/>
    <w:pPr>
      <w:keepNext/>
      <w:keepLines/>
      <w:numPr>
        <w:ilvl w:val="5"/>
        <w:numId w:val="1"/>
      </w:numPr>
      <w:spacing w:before="120" w:after="120" w:line="360" w:lineRule="auto"/>
      <w:outlineLvl w:val="5"/>
    </w:pPr>
    <w:rPr>
      <w:rFonts w:ascii="Cambria" w:hAnsi="Cambria"/>
      <w:b/>
      <w:bCs/>
      <w:sz w:val="24"/>
    </w:rPr>
  </w:style>
  <w:style w:type="paragraph" w:styleId="9">
    <w:name w:val="heading 7"/>
    <w:basedOn w:val="1"/>
    <w:next w:val="1"/>
    <w:link w:val="45"/>
    <w:unhideWhenUsed/>
    <w:qFormat/>
    <w:uiPriority w:val="9"/>
    <w:pPr>
      <w:keepNext/>
      <w:keepLines/>
      <w:numPr>
        <w:ilvl w:val="6"/>
        <w:numId w:val="1"/>
      </w:numPr>
      <w:spacing w:before="240" w:after="64" w:line="320" w:lineRule="auto"/>
      <w:outlineLvl w:val="6"/>
    </w:pPr>
    <w:rPr>
      <w:b/>
      <w:bCs/>
      <w:sz w:val="24"/>
    </w:rPr>
  </w:style>
  <w:style w:type="paragraph" w:styleId="10">
    <w:name w:val="heading 8"/>
    <w:basedOn w:val="1"/>
    <w:next w:val="11"/>
    <w:link w:val="46"/>
    <w:unhideWhenUsed/>
    <w:qFormat/>
    <w:uiPriority w:val="9"/>
    <w:pPr>
      <w:keepNext/>
      <w:keepLines/>
      <w:spacing w:before="10" w:beforeLines="25" w:after="10" w:afterLines="25" w:line="360" w:lineRule="auto"/>
      <w:ind w:firstLine="0" w:firstLineChars="0"/>
      <w:outlineLvl w:val="7"/>
    </w:pPr>
    <w:rPr>
      <w:rFonts w:ascii="Arial" w:hAnsi="Arial" w:eastAsia="宋体"/>
      <w:sz w:val="24"/>
      <w:szCs w:val="20"/>
    </w:rPr>
  </w:style>
  <w:style w:type="paragraph" w:styleId="12">
    <w:name w:val="heading 9"/>
    <w:basedOn w:val="1"/>
    <w:next w:val="11"/>
    <w:link w:val="47"/>
    <w:unhideWhenUsed/>
    <w:qFormat/>
    <w:uiPriority w:val="9"/>
    <w:pPr>
      <w:keepNext/>
      <w:keepLines/>
      <w:tabs>
        <w:tab w:val="left" w:pos="7228"/>
      </w:tabs>
      <w:spacing w:before="10" w:beforeLines="25" w:after="10" w:afterLines="25" w:line="360" w:lineRule="auto"/>
      <w:ind w:left="1583" w:firstLine="0" w:firstLineChars="0"/>
      <w:outlineLvl w:val="8"/>
    </w:pPr>
    <w:rPr>
      <w:rFonts w:ascii="Arial" w:hAnsi="Arial" w:eastAsia="宋体"/>
      <w:sz w:val="24"/>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unhideWhenUsed/>
    <w:qFormat/>
    <w:uiPriority w:val="0"/>
    <w:pPr>
      <w:spacing w:after="120"/>
      <w:ind w:firstLine="0" w:firstLineChars="0"/>
    </w:pPr>
    <w:rPr>
      <w:sz w:val="24"/>
    </w:rPr>
  </w:style>
  <w:style w:type="paragraph" w:styleId="11">
    <w:name w:val="Normal Indent"/>
    <w:basedOn w:val="1"/>
    <w:semiHidden/>
    <w:unhideWhenUsed/>
    <w:qFormat/>
    <w:uiPriority w:val="99"/>
    <w:pPr>
      <w:ind w:firstLine="420"/>
    </w:pPr>
  </w:style>
  <w:style w:type="paragraph" w:styleId="13">
    <w:name w:val="Document Map"/>
    <w:basedOn w:val="1"/>
    <w:link w:val="33"/>
    <w:qFormat/>
    <w:uiPriority w:val="0"/>
    <w:pPr>
      <w:spacing w:line="360" w:lineRule="auto"/>
      <w:ind w:firstLine="480"/>
    </w:pPr>
    <w:rPr>
      <w:rFonts w:ascii="宋体"/>
      <w:sz w:val="18"/>
      <w:szCs w:val="18"/>
    </w:rPr>
  </w:style>
  <w:style w:type="paragraph" w:styleId="14">
    <w:name w:val="annotation text"/>
    <w:basedOn w:val="1"/>
    <w:link w:val="43"/>
    <w:semiHidden/>
    <w:unhideWhenUsed/>
    <w:qFormat/>
    <w:uiPriority w:val="99"/>
    <w:pPr>
      <w:jc w:val="left"/>
    </w:pPr>
  </w:style>
  <w:style w:type="paragraph" w:styleId="15">
    <w:name w:val="Body Text Indent"/>
    <w:basedOn w:val="1"/>
    <w:link w:val="36"/>
    <w:semiHidden/>
    <w:unhideWhenUsed/>
    <w:qFormat/>
    <w:uiPriority w:val="99"/>
    <w:pPr>
      <w:spacing w:after="120"/>
      <w:ind w:left="420" w:leftChars="200"/>
    </w:pPr>
  </w:style>
  <w:style w:type="paragraph" w:styleId="16">
    <w:name w:val="Balloon Text"/>
    <w:basedOn w:val="1"/>
    <w:link w:val="42"/>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annotation subject"/>
    <w:basedOn w:val="14"/>
    <w:next w:val="14"/>
    <w:link w:val="44"/>
    <w:semiHidden/>
    <w:unhideWhenUsed/>
    <w:qFormat/>
    <w:uiPriority w:val="99"/>
    <w:rPr>
      <w:b/>
      <w:bCs/>
    </w:rPr>
  </w:style>
  <w:style w:type="character" w:styleId="22">
    <w:name w:val="annotation reference"/>
    <w:qFormat/>
    <w:uiPriority w:val="0"/>
    <w:rPr>
      <w:rFonts w:ascii="MiSans" w:hAnsi="MiSans" w:eastAsia="MiSans"/>
      <w:sz w:val="21"/>
      <w:szCs w:val="21"/>
    </w:rPr>
  </w:style>
  <w:style w:type="character" w:customStyle="1" w:styleId="23">
    <w:name w:val="正文正文2 Char"/>
    <w:link w:val="24"/>
    <w:qFormat/>
    <w:uiPriority w:val="0"/>
    <w:rPr>
      <w:rFonts w:ascii="宋体" w:hAnsi="宋体"/>
      <w:szCs w:val="21"/>
    </w:rPr>
  </w:style>
  <w:style w:type="paragraph" w:customStyle="1" w:styleId="24">
    <w:name w:val="正文正文2"/>
    <w:basedOn w:val="1"/>
    <w:link w:val="23"/>
    <w:qFormat/>
    <w:uiPriority w:val="0"/>
    <w:pPr>
      <w:spacing w:line="360" w:lineRule="auto"/>
      <w:ind w:firstLine="460"/>
    </w:pPr>
    <w:rPr>
      <w:rFonts w:ascii="宋体" w:hAnsi="宋体" w:eastAsiaTheme="minorEastAsia" w:cstheme="minorBidi"/>
      <w:szCs w:val="21"/>
    </w:rPr>
  </w:style>
  <w:style w:type="character" w:customStyle="1" w:styleId="25">
    <w:name w:val="标题 3 Char"/>
    <w:basedOn w:val="21"/>
    <w:link w:val="5"/>
    <w:qFormat/>
    <w:uiPriority w:val="0"/>
    <w:rPr>
      <w:rFonts w:eastAsia="仿宋" w:cstheme="minorBidi"/>
      <w:b/>
      <w:bCs/>
      <w:kern w:val="2"/>
      <w:sz w:val="28"/>
      <w:szCs w:val="28"/>
    </w:rPr>
  </w:style>
  <w:style w:type="paragraph" w:customStyle="1" w:styleId="26">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缩进1"/>
    <w:basedOn w:val="1"/>
    <w:qFormat/>
    <w:uiPriority w:val="0"/>
    <w:pPr>
      <w:ind w:firstLine="420"/>
    </w:pPr>
    <w:rPr>
      <w:szCs w:val="20"/>
    </w:rPr>
  </w:style>
  <w:style w:type="character" w:customStyle="1" w:styleId="28">
    <w:name w:val="font21"/>
    <w:basedOn w:val="21"/>
    <w:qFormat/>
    <w:uiPriority w:val="0"/>
    <w:rPr>
      <w:rFonts w:hint="default" w:ascii="Times New Roman" w:hAnsi="Times New Roman" w:cs="Times New Roman"/>
      <w:color w:val="000000"/>
      <w:sz w:val="21"/>
      <w:szCs w:val="21"/>
      <w:u w:val="none"/>
    </w:rPr>
  </w:style>
  <w:style w:type="character" w:customStyle="1" w:styleId="29">
    <w:name w:val="标题 2 Char"/>
    <w:basedOn w:val="21"/>
    <w:link w:val="4"/>
    <w:qFormat/>
    <w:uiPriority w:val="9"/>
    <w:rPr>
      <w:rFonts w:ascii="宋体" w:hAnsi="宋体" w:eastAsia="仿宋"/>
      <w:b/>
      <w:bCs/>
      <w:kern w:val="2"/>
      <w:sz w:val="30"/>
      <w:szCs w:val="32"/>
    </w:rPr>
  </w:style>
  <w:style w:type="character" w:customStyle="1" w:styleId="30">
    <w:name w:val="页眉 Char"/>
    <w:basedOn w:val="21"/>
    <w:link w:val="18"/>
    <w:qFormat/>
    <w:uiPriority w:val="99"/>
    <w:rPr>
      <w:rFonts w:ascii="Times New Roman" w:hAnsi="Times New Roman" w:eastAsia="宋体" w:cs="Times New Roman"/>
      <w:sz w:val="18"/>
      <w:szCs w:val="18"/>
    </w:rPr>
  </w:style>
  <w:style w:type="character" w:customStyle="1" w:styleId="31">
    <w:name w:val="标题 5 Char"/>
    <w:basedOn w:val="21"/>
    <w:link w:val="7"/>
    <w:qFormat/>
    <w:uiPriority w:val="0"/>
    <w:rPr>
      <w:rFonts w:ascii="宋体" w:hAnsi="宋体" w:eastAsia="仿宋"/>
      <w:b/>
      <w:bCs/>
      <w:kern w:val="2"/>
      <w:sz w:val="24"/>
      <w:szCs w:val="28"/>
    </w:rPr>
  </w:style>
  <w:style w:type="character" w:customStyle="1" w:styleId="32">
    <w:name w:val="标题 6 Char"/>
    <w:basedOn w:val="21"/>
    <w:link w:val="8"/>
    <w:qFormat/>
    <w:uiPriority w:val="0"/>
    <w:rPr>
      <w:rFonts w:ascii="Cambria" w:hAnsi="Cambria" w:eastAsia="仿宋"/>
      <w:b/>
      <w:bCs/>
      <w:kern w:val="2"/>
      <w:sz w:val="24"/>
      <w:szCs w:val="24"/>
    </w:rPr>
  </w:style>
  <w:style w:type="character" w:customStyle="1" w:styleId="33">
    <w:name w:val="文档结构图 Char"/>
    <w:basedOn w:val="21"/>
    <w:link w:val="13"/>
    <w:qFormat/>
    <w:uiPriority w:val="0"/>
    <w:rPr>
      <w:rFonts w:ascii="宋体" w:hAnsi="Times New Roman" w:eastAsia="宋体" w:cs="Times New Roman"/>
      <w:sz w:val="18"/>
      <w:szCs w:val="18"/>
    </w:rPr>
  </w:style>
  <w:style w:type="paragraph" w:customStyle="1" w:styleId="34">
    <w:name w:val="样式2"/>
    <w:qFormat/>
    <w:uiPriority w:val="0"/>
    <w:pPr>
      <w:adjustRightInd w:val="0"/>
      <w:snapToGrid w:val="0"/>
      <w:spacing w:line="360" w:lineRule="auto"/>
      <w:ind w:firstLine="480" w:firstLineChars="200"/>
      <w:jc w:val="both"/>
    </w:pPr>
    <w:rPr>
      <w:rFonts w:ascii="宋体" w:hAnsi="宋体" w:eastAsia="MiSans" w:cstheme="minorBidi"/>
      <w:sz w:val="24"/>
      <w:szCs w:val="24"/>
      <w:lang w:val="en-US" w:eastAsia="en-US" w:bidi="ar-SA"/>
    </w:rPr>
  </w:style>
  <w:style w:type="character" w:customStyle="1" w:styleId="35">
    <w:name w:val="页脚 Char"/>
    <w:basedOn w:val="21"/>
    <w:link w:val="17"/>
    <w:qFormat/>
    <w:uiPriority w:val="99"/>
    <w:rPr>
      <w:rFonts w:ascii="Times New Roman" w:hAnsi="Times New Roman" w:eastAsia="宋体" w:cs="Times New Roman"/>
      <w:sz w:val="18"/>
      <w:szCs w:val="18"/>
    </w:rPr>
  </w:style>
  <w:style w:type="character" w:customStyle="1" w:styleId="36">
    <w:name w:val="正文文本缩进 Char"/>
    <w:basedOn w:val="21"/>
    <w:link w:val="15"/>
    <w:semiHidden/>
    <w:qFormat/>
    <w:uiPriority w:val="99"/>
    <w:rPr>
      <w:rFonts w:ascii="Times New Roman" w:hAnsi="Times New Roman" w:eastAsia="宋体" w:cs="Times New Roman"/>
      <w:szCs w:val="24"/>
    </w:rPr>
  </w:style>
  <w:style w:type="character" w:customStyle="1" w:styleId="37">
    <w:name w:val="正文文本 Char"/>
    <w:basedOn w:val="21"/>
    <w:link w:val="2"/>
    <w:qFormat/>
    <w:uiPriority w:val="0"/>
    <w:rPr>
      <w:rFonts w:eastAsia="仿宋"/>
      <w:kern w:val="2"/>
      <w:sz w:val="24"/>
      <w:szCs w:val="24"/>
    </w:rPr>
  </w:style>
  <w:style w:type="character" w:customStyle="1" w:styleId="38">
    <w:name w:val="标题 4 Char"/>
    <w:basedOn w:val="21"/>
    <w:link w:val="6"/>
    <w:qFormat/>
    <w:uiPriority w:val="0"/>
    <w:rPr>
      <w:rFonts w:ascii="宋体" w:hAnsi="宋体" w:eastAsia="仿宋"/>
      <w:b/>
      <w:bCs/>
      <w:kern w:val="2"/>
      <w:sz w:val="28"/>
      <w:szCs w:val="30"/>
    </w:rPr>
  </w:style>
  <w:style w:type="character" w:customStyle="1" w:styleId="39">
    <w:name w:val="font11"/>
    <w:basedOn w:val="21"/>
    <w:qFormat/>
    <w:uiPriority w:val="0"/>
    <w:rPr>
      <w:rFonts w:hint="eastAsia" w:ascii="宋体" w:hAnsi="宋体" w:eastAsia="宋体" w:cs="宋体"/>
      <w:color w:val="000000"/>
      <w:sz w:val="21"/>
      <w:szCs w:val="21"/>
      <w:u w:val="none"/>
    </w:rPr>
  </w:style>
  <w:style w:type="character" w:customStyle="1" w:styleId="40">
    <w:name w:val="标题 1 Char"/>
    <w:basedOn w:val="21"/>
    <w:link w:val="3"/>
    <w:qFormat/>
    <w:uiPriority w:val="0"/>
    <w:rPr>
      <w:rFonts w:ascii="宋体" w:hAnsi="宋体" w:eastAsia="黑体"/>
      <w:b/>
      <w:bCs/>
      <w:kern w:val="44"/>
      <w:sz w:val="32"/>
      <w:szCs w:val="28"/>
    </w:rPr>
  </w:style>
  <w:style w:type="paragraph" w:styleId="41">
    <w:name w:val="List Paragraph"/>
    <w:basedOn w:val="1"/>
    <w:qFormat/>
    <w:uiPriority w:val="34"/>
    <w:pPr>
      <w:ind w:firstLine="420"/>
    </w:pPr>
  </w:style>
  <w:style w:type="character" w:customStyle="1" w:styleId="42">
    <w:name w:val="批注框文本 Char"/>
    <w:basedOn w:val="21"/>
    <w:link w:val="16"/>
    <w:semiHidden/>
    <w:qFormat/>
    <w:uiPriority w:val="99"/>
    <w:rPr>
      <w:kern w:val="2"/>
      <w:sz w:val="18"/>
      <w:szCs w:val="18"/>
    </w:rPr>
  </w:style>
  <w:style w:type="character" w:customStyle="1" w:styleId="43">
    <w:name w:val="批注文字 Char"/>
    <w:basedOn w:val="21"/>
    <w:link w:val="14"/>
    <w:semiHidden/>
    <w:qFormat/>
    <w:uiPriority w:val="99"/>
    <w:rPr>
      <w:kern w:val="2"/>
      <w:sz w:val="21"/>
      <w:szCs w:val="24"/>
    </w:rPr>
  </w:style>
  <w:style w:type="character" w:customStyle="1" w:styleId="44">
    <w:name w:val="批注主题 Char"/>
    <w:basedOn w:val="43"/>
    <w:link w:val="19"/>
    <w:qFormat/>
    <w:uiPriority w:val="0"/>
    <w:rPr>
      <w:kern w:val="2"/>
      <w:sz w:val="21"/>
      <w:szCs w:val="24"/>
    </w:rPr>
  </w:style>
  <w:style w:type="character" w:customStyle="1" w:styleId="45">
    <w:name w:val="标题 7 Char"/>
    <w:basedOn w:val="21"/>
    <w:link w:val="9"/>
    <w:qFormat/>
    <w:uiPriority w:val="9"/>
    <w:rPr>
      <w:rFonts w:eastAsia="仿宋"/>
      <w:b/>
      <w:bCs/>
      <w:kern w:val="2"/>
      <w:sz w:val="24"/>
      <w:szCs w:val="24"/>
    </w:rPr>
  </w:style>
  <w:style w:type="character" w:customStyle="1" w:styleId="46">
    <w:name w:val="标题 8 Char"/>
    <w:basedOn w:val="21"/>
    <w:link w:val="10"/>
    <w:qFormat/>
    <w:uiPriority w:val="9"/>
    <w:rPr>
      <w:rFonts w:ascii="Arial" w:hAnsi="Arial"/>
      <w:kern w:val="2"/>
      <w:sz w:val="24"/>
    </w:rPr>
  </w:style>
  <w:style w:type="character" w:customStyle="1" w:styleId="47">
    <w:name w:val="标题 9 Char"/>
    <w:basedOn w:val="21"/>
    <w:link w:val="12"/>
    <w:qFormat/>
    <w:uiPriority w:val="9"/>
    <w:rPr>
      <w:rFonts w:ascii="Arial" w:hAnsi="Arial"/>
      <w:kern w:val="2"/>
      <w:sz w:val="24"/>
    </w:rPr>
  </w:style>
  <w:style w:type="paragraph" w:customStyle="1" w:styleId="48">
    <w:name w:val="*正文"/>
    <w:basedOn w:val="1"/>
    <w:link w:val="49"/>
    <w:qFormat/>
    <w:uiPriority w:val="0"/>
    <w:pPr>
      <w:spacing w:line="360" w:lineRule="auto"/>
    </w:pPr>
    <w:rPr>
      <w:rFonts w:ascii="宋体" w:hAnsi="宋体" w:eastAsiaTheme="minorEastAsia" w:cstheme="minorBidi"/>
      <w:sz w:val="24"/>
    </w:rPr>
  </w:style>
  <w:style w:type="character" w:customStyle="1" w:styleId="49">
    <w:name w:val="*正文 Char"/>
    <w:link w:val="48"/>
    <w:qFormat/>
    <w:uiPriority w:val="0"/>
    <w:rPr>
      <w:rFonts w:ascii="宋体" w:hAnsi="宋体" w:eastAsiaTheme="minorEastAsia" w:cstheme="minorBidi"/>
      <w:kern w:val="2"/>
      <w:sz w:val="24"/>
      <w:szCs w:val="24"/>
    </w:rPr>
  </w:style>
  <w:style w:type="paragraph" w:customStyle="1" w:styleId="50">
    <w:name w:val="修订1"/>
    <w:hidden/>
    <w:semiHidden/>
    <w:qFormat/>
    <w:uiPriority w:val="99"/>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6C4EA5A-16D9-46A8-A35A-B16EDE6DBB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2995</Words>
  <Characters>3085</Characters>
  <Lines>342</Lines>
  <Paragraphs>264</Paragraphs>
  <TotalTime>8</TotalTime>
  <ScaleCrop>false</ScaleCrop>
  <LinksUpToDate>false</LinksUpToDate>
  <CharactersWithSpaces>5816</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2025-07-04T11:20:00Z</dcterms:created>
  <dc:creator>admin</dc:creator>
  <cp:lastModifiedBy>user</cp:lastModifiedBy>
  <dcterms:modified xsi:type="dcterms:W3CDTF">2025-08-06T08:59:20Z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eyJoZGlkIjoiM2FiZDIzMjBhYjY3YjcwYmIxYWI1NjM4YzVmYjEyMDMiLCJ1c2VySWQiOiIxMzE4MjE0MjczIn0=</vt:lpwstr>
  </property>
  <property fmtid="{D5CDD505-2E9C-101B-9397-08002B2CF9AE}" pid="3" name="KSOProductBuildVer">
    <vt:lpwstr>2052-12.8.2.18605</vt:lpwstr>
  </property>
  <property fmtid="{D5CDD505-2E9C-101B-9397-08002B2CF9AE}" pid="4" name="ICV">
    <vt:lpwstr>8C21FD902A21C95562739168E351ADA9_43</vt:lpwstr>
  </property>
</Properties>
</file>