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ind w:firstLine="0" w:firstLineChars="0"/>
        <w:jc w:val="center"/>
        <w:rPr>
          <w:rFonts w:hint="eastAsia" w:ascii="黑体" w:hAnsi="黑体" w:eastAsia="黑体" w:cs="黑体"/>
          <w:sz w:val="36"/>
          <w:szCs w:val="32"/>
        </w:rPr>
      </w:pPr>
      <w:r>
        <w:rPr>
          <w:rFonts w:hint="eastAsia" w:ascii="黑体" w:hAnsi="黑体" w:eastAsia="黑体" w:cs="黑体"/>
          <w:sz w:val="36"/>
          <w:szCs w:val="32"/>
        </w:rPr>
        <w:t>临港新片区人才服务信息管理系统建设项目</w:t>
      </w:r>
    </w:p>
    <w:p>
      <w:pPr>
        <w:spacing w:before="312" w:beforeLines="100" w:after="312" w:afterLines="100"/>
        <w:ind w:firstLine="0" w:firstLineChars="0"/>
        <w:jc w:val="center"/>
        <w:rPr>
          <w:sz w:val="28"/>
          <w:szCs w:val="24"/>
        </w:rPr>
      </w:pPr>
      <w:r>
        <w:rPr>
          <w:rFonts w:hint="eastAsia" w:ascii="黑体" w:hAnsi="黑体" w:eastAsia="黑体" w:cs="黑体"/>
          <w:sz w:val="36"/>
          <w:szCs w:val="32"/>
          <w:lang w:eastAsia="zh-CN"/>
        </w:rPr>
        <w:t>采购</w:t>
      </w:r>
      <w:r>
        <w:rPr>
          <w:rFonts w:hint="eastAsia" w:ascii="黑体" w:hAnsi="黑体" w:eastAsia="黑体" w:cs="黑体"/>
          <w:sz w:val="36"/>
          <w:szCs w:val="32"/>
        </w:rPr>
        <w:t>需求</w:t>
      </w:r>
    </w:p>
    <w:p>
      <w:pPr>
        <w:pStyle w:val="2"/>
        <w:rPr>
          <w:rFonts w:hint="eastAsia" w:cs="楷体" w:asciiTheme="majorEastAsia" w:hAnsiTheme="majorEastAsia" w:eastAsiaTheme="majorEastAsia"/>
        </w:rPr>
      </w:pPr>
      <w:r>
        <w:rPr>
          <w:rFonts w:hint="eastAsia" w:cs="楷体" w:asciiTheme="majorEastAsia" w:hAnsiTheme="majorEastAsia" w:eastAsiaTheme="majorEastAsia"/>
        </w:rPr>
        <w:t>项目概况</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项目名称</w:t>
      </w:r>
    </w:p>
    <w:p>
      <w:pPr>
        <w:ind w:firstLine="560"/>
        <w:rPr>
          <w:rFonts w:hint="eastAsia" w:asciiTheme="minorEastAsia" w:hAnsiTheme="minorEastAsia" w:eastAsiaTheme="minorEastAsia" w:cstheme="minorEastAsia"/>
        </w:rPr>
      </w:pPr>
      <w:bookmarkStart w:id="0" w:name="OLE_LINK49"/>
      <w:r>
        <w:rPr>
          <w:rFonts w:hint="eastAsia" w:asciiTheme="minorEastAsia" w:hAnsiTheme="minorEastAsia" w:eastAsiaTheme="minorEastAsia" w:cstheme="minorEastAsia"/>
        </w:rPr>
        <w:t>临港新片区人才服务信息管理</w:t>
      </w:r>
      <w:bookmarkStart w:id="1" w:name="OLE_LINK80"/>
      <w:r>
        <w:rPr>
          <w:rFonts w:hint="eastAsia" w:asciiTheme="minorEastAsia" w:hAnsiTheme="minorEastAsia" w:eastAsiaTheme="minorEastAsia" w:cstheme="minorEastAsia"/>
        </w:rPr>
        <w:t>系统建设项目</w:t>
      </w:r>
      <w:bookmarkEnd w:id="0"/>
      <w:bookmarkEnd w:id="1"/>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项目背景</w:t>
      </w:r>
    </w:p>
    <w:p>
      <w:pPr>
        <w:ind w:firstLine="560"/>
        <w:rPr>
          <w:rFonts w:hint="eastAsia" w:asciiTheme="minorEastAsia" w:hAnsiTheme="minorEastAsia" w:eastAsiaTheme="minorEastAsia" w:cstheme="minorEastAsia"/>
        </w:rPr>
      </w:pPr>
      <w:r>
        <w:rPr>
          <w:rFonts w:asciiTheme="minorEastAsia" w:hAnsiTheme="minorEastAsia" w:eastAsiaTheme="minorEastAsia" w:cstheme="minorEastAsia"/>
        </w:rPr>
        <w:t>自</w:t>
      </w:r>
      <w:r>
        <w:rPr>
          <w:rFonts w:hint="eastAsia" w:asciiTheme="minorEastAsia" w:hAnsiTheme="minorEastAsia" w:eastAsiaTheme="minorEastAsia" w:cstheme="minorEastAsia"/>
          <w:lang w:eastAsia="zh-CN"/>
        </w:rPr>
        <w:t>2019年8月6日</w:t>
      </w:r>
      <w:r>
        <w:rPr>
          <w:rFonts w:asciiTheme="minorEastAsia" w:hAnsiTheme="minorEastAsia" w:eastAsiaTheme="minorEastAsia" w:cstheme="minorEastAsia"/>
        </w:rPr>
        <w:t>《中国(上海)自由贸易试验区临港新片区总体方案》通过中国政府网全文公布，临港新片区便被称为新时代上海发展的“王牌”。作为新时代的更具国际市场影响力和竞争力的特殊经济功能区，临港新片区将对标国际上竞争力最强的自由贸易园区，加快形成更加开放的市场规则体系，促进高能级市场资源要素的自由流动和合理配置，推动经济发展质量变革、效率变革、动力变革，使新片区成为我国深度融入经济全球化的重要载体。</w:t>
      </w:r>
    </w:p>
    <w:p>
      <w:pPr>
        <w:ind w:firstLine="560"/>
        <w:rPr>
          <w:rFonts w:hint="eastAsia" w:asciiTheme="minorEastAsia" w:hAnsiTheme="minorEastAsia" w:eastAsiaTheme="minorEastAsia" w:cstheme="minorEastAsia"/>
        </w:rPr>
      </w:pPr>
      <w:r>
        <w:rPr>
          <w:rFonts w:asciiTheme="minorEastAsia" w:hAnsiTheme="minorEastAsia" w:eastAsiaTheme="minorEastAsia" w:cstheme="minorEastAsia"/>
        </w:rPr>
        <w:t>临港新片区同时也是集聚海内外人才共同开展国际创新协同的重要基地。必须要以高站位、大气魄，用果敢的行动，孕育出全新的信息化管理服务平台，能够全方位的满足政府、企业、人才的各项需求，在“一网通办”的大背景下，实现个人、企业、政府三方协同发展的应用场景，同时满足政府对全区人才的集中管理，提升企业员工满意度的同时，辅助政府决策支撑。</w:t>
      </w:r>
    </w:p>
    <w:p>
      <w:pPr>
        <w:ind w:firstLine="560"/>
        <w:rPr>
          <w:rFonts w:hint="eastAsia" w:asciiTheme="minorEastAsia" w:hAnsiTheme="minorEastAsia" w:eastAsiaTheme="minorEastAsia" w:cstheme="minorEastAsia"/>
        </w:rPr>
      </w:pPr>
      <w:r>
        <w:rPr>
          <w:rFonts w:asciiTheme="minorEastAsia" w:hAnsiTheme="minorEastAsia" w:eastAsiaTheme="minorEastAsia" w:cstheme="minorEastAsia"/>
        </w:rPr>
        <w:t>为落实《中国（上海）自由贸易试验区临港新片区发展“十四五”规划》</w:t>
      </w:r>
      <w:r>
        <w:rPr>
          <w:rFonts w:hint="eastAsia" w:asciiTheme="minorEastAsia" w:hAnsiTheme="minorEastAsia" w:eastAsiaTheme="minorEastAsia" w:cstheme="minorEastAsia"/>
        </w:rPr>
        <w:t>、</w:t>
      </w:r>
      <w:r>
        <w:rPr>
          <w:rFonts w:asciiTheme="minorEastAsia" w:hAnsiTheme="minorEastAsia" w:eastAsiaTheme="minorEastAsia" w:cstheme="minorEastAsia"/>
        </w:rPr>
        <w:t>《中国（上海）自由贸易试验区临港新片区数字化发展“十四五”规划》关于“优化升级临港新片区人才服务中心”“打造智能化人才服务系统”的工作要求，大数据中心就党群工作部（人力资源处）、建交处提出的临港新片区国际人才服务港政策管理和服务以及人才住房政策管理和服务等数字化赋能建设需求进行深入分析，提出建设临港新片区人才服务信息管理</w:t>
      </w:r>
      <w:r>
        <w:rPr>
          <w:rFonts w:hint="eastAsia" w:asciiTheme="minorEastAsia" w:hAnsiTheme="minorEastAsia" w:eastAsiaTheme="minorEastAsia" w:cstheme="minorEastAsia"/>
        </w:rPr>
        <w:t>系统建设项目</w:t>
      </w:r>
      <w:r>
        <w:rPr>
          <w:rFonts w:asciiTheme="minorEastAsia" w:hAnsiTheme="minorEastAsia" w:eastAsiaTheme="minorEastAsia" w:cstheme="minorEastAsia"/>
        </w:rPr>
        <w:t>。</w:t>
      </w: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本系统</w:t>
      </w:r>
      <w:r>
        <w:rPr>
          <w:rFonts w:asciiTheme="minorEastAsia" w:hAnsiTheme="minorEastAsia" w:eastAsiaTheme="minorEastAsia" w:cstheme="minorEastAsia"/>
        </w:rPr>
        <w:t>将为个人和企业提供注册、登录、政策申报、政策审批等服务，系统还将进一步提高人才服务的智慧化和精细化，改变人才服务的传统方式，提高人才的获得感和服务体验，对提高上海市临港新片区人才吸引力具有重要的意义</w:t>
      </w:r>
      <w:r>
        <w:rPr>
          <w:rFonts w:hint="eastAsia" w:asciiTheme="minorEastAsia" w:hAnsiTheme="minorEastAsia" w:eastAsiaTheme="minorEastAsia" w:cstheme="minorEastAsia"/>
        </w:rPr>
        <w:t>。</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采购单位概述</w:t>
      </w: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上海市临港新片区行政服务中心（上海市临港新片区大数据中心），为中国（上海）自由贸易试验区临港新片区管理委员会所属公益一类事业单位，机构规格为相当于副处级，主要承担统筹临港新片区行政服务和“一网通办”等政务服务事务，协助推进智慧城市等信息化管理系统的建设运行维护事务，做好相关数据统计归集和应用管理等相关事务性工作。 </w:t>
      </w:r>
    </w:p>
    <w:p>
      <w:pPr>
        <w:ind w:firstLine="560"/>
      </w:pPr>
      <w:r>
        <w:rPr>
          <w:rFonts w:hint="eastAsia" w:asciiTheme="minorEastAsia" w:hAnsiTheme="minorEastAsia" w:eastAsiaTheme="minorEastAsia" w:cstheme="minorEastAsia"/>
        </w:rPr>
        <w:t>上海市临港新片区大数据中心代表管委会和业务需求单位，履行项目法人单位职责。负责对接各业务需求部门，综合统筹信息化需求和技术方案；负责数字化发展项目的建设管理、运维服务、技术支撑等；组织采购实施、项目验收、项目运维、信息安全、技术保障等工作。以数据归集共享服务和底座算力算法支撑为两大核心抓手，以“一网通办”和“一网统管”等为依托，承担临港新片区公共数据的归集、存储、编目、质量管理、融合、分析、共享和安全保障工作；承担临港新片区接入政务外网、政务云算力资源应用和人工智能等通用技术算法能力的建设和运维。</w:t>
      </w:r>
    </w:p>
    <w:p>
      <w:pPr>
        <w:pStyle w:val="3"/>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项目目标</w:t>
      </w:r>
    </w:p>
    <w:p>
      <w:pPr>
        <w:pStyle w:val="4"/>
        <w:ind w:left="1000" w:leftChars="0" w:firstLine="0" w:firstLineChars="0"/>
        <w:rPr>
          <w:rFonts w:hint="eastAsia" w:asciiTheme="majorEastAsia" w:hAnsiTheme="majorEastAsia" w:eastAsiaTheme="majorEastAsia" w:cstheme="minorEastAsia"/>
          <w:sz w:val="28"/>
          <w:szCs w:val="28"/>
        </w:rPr>
      </w:pPr>
      <w:r>
        <w:rPr>
          <w:rFonts w:hint="eastAsia" w:asciiTheme="majorEastAsia" w:hAnsiTheme="majorEastAsia" w:eastAsiaTheme="majorEastAsia" w:cstheme="minorEastAsia"/>
          <w:sz w:val="28"/>
          <w:szCs w:val="28"/>
        </w:rPr>
        <w:t>业务目标</w:t>
      </w:r>
    </w:p>
    <w:p>
      <w:pPr>
        <w:ind w:firstLine="560"/>
      </w:pPr>
      <w:r>
        <w:rPr>
          <w:rFonts w:hint="eastAsia"/>
        </w:rPr>
        <w:t>通过本次的系统化项目建设，为实现下述业务目标：</w:t>
      </w:r>
    </w:p>
    <w:p>
      <w:pPr>
        <w:pStyle w:val="16"/>
        <w:numPr>
          <w:ilvl w:val="0"/>
          <w:numId w:val="3"/>
        </w:numPr>
      </w:pPr>
      <w:r>
        <w:rPr>
          <w:rFonts w:hint="eastAsia"/>
        </w:rPr>
        <w:t>提供</w:t>
      </w:r>
      <w:r>
        <w:t>便捷化的</w:t>
      </w:r>
      <w:r>
        <w:rPr>
          <w:rFonts w:hint="eastAsia"/>
        </w:rPr>
        <w:t>全</w:t>
      </w:r>
      <w:r>
        <w:t>场景服务</w:t>
      </w:r>
    </w:p>
    <w:p>
      <w:pPr>
        <w:ind w:firstLine="560"/>
      </w:pPr>
      <w:r>
        <w:t>运用数字化与智能化的技术，为个人用户及企业用户构建一个无缝对接、高效运行的人才服务生态系统。</w:t>
      </w:r>
    </w:p>
    <w:p>
      <w:pPr>
        <w:ind w:firstLine="560"/>
      </w:pPr>
      <w:r>
        <w:t>系统</w:t>
      </w:r>
      <w:r>
        <w:rPr>
          <w:rFonts w:hint="eastAsia"/>
        </w:rPr>
        <w:t>将覆盖人才安居、补贴、年金等全场景服务</w:t>
      </w:r>
      <w:r>
        <w:t>，深度融合了线上线下资源，致力于提供极致的便捷与效率。</w:t>
      </w:r>
    </w:p>
    <w:p>
      <w:pPr>
        <w:pStyle w:val="16"/>
        <w:numPr>
          <w:ilvl w:val="0"/>
          <w:numId w:val="3"/>
        </w:numPr>
      </w:pPr>
      <w:r>
        <w:rPr>
          <w:rFonts w:hint="eastAsia"/>
        </w:rPr>
        <w:t>提供</w:t>
      </w:r>
      <w:r>
        <w:t>高效化的审批服务</w:t>
      </w:r>
    </w:p>
    <w:p>
      <w:pPr>
        <w:ind w:firstLine="560"/>
      </w:pPr>
      <w:bookmarkStart w:id="2" w:name="OLE_LINK79"/>
      <w:r>
        <w:t>高效化的审批服务充分利用互联网和人工智能技术，实现了申请流程的在线化和智能化。个人和企业用户可以通过</w:t>
      </w:r>
      <w:r>
        <w:rPr>
          <w:rFonts w:hint="eastAsia"/>
        </w:rPr>
        <w:t>系统</w:t>
      </w:r>
      <w:r>
        <w:t>提交申请材料，快速启动审批流程。</w:t>
      </w:r>
    </w:p>
    <w:p>
      <w:pPr>
        <w:ind w:firstLine="560"/>
      </w:pPr>
      <w:r>
        <w:rPr>
          <w:rFonts w:hint="eastAsia"/>
        </w:rPr>
        <w:t>系统</w:t>
      </w:r>
      <w:r>
        <w:t>通过人工智能、大模型技术与审批服务的深度融合，不仅提升了审批效率，还为个人和企业用户提供了更加智能化、个性化的服务体验，助力企业和人才在数字化转型中实现高效发展。</w:t>
      </w:r>
    </w:p>
    <w:bookmarkEnd w:id="2"/>
    <w:p>
      <w:pPr>
        <w:pStyle w:val="16"/>
        <w:numPr>
          <w:ilvl w:val="0"/>
          <w:numId w:val="3"/>
        </w:numPr>
      </w:pPr>
      <w:r>
        <w:rPr>
          <w:rFonts w:hint="eastAsia"/>
        </w:rPr>
        <w:t>实现</w:t>
      </w:r>
      <w:r>
        <w:t>智慧化的管理决策</w:t>
      </w:r>
    </w:p>
    <w:p>
      <w:pPr>
        <w:ind w:firstLine="560"/>
      </w:pPr>
      <w:r>
        <w:t>系统将以人才</w:t>
      </w:r>
      <w:r>
        <w:rPr>
          <w:rFonts w:hint="eastAsia"/>
        </w:rPr>
        <w:t>、</w:t>
      </w:r>
      <w:r>
        <w:t>企业</w:t>
      </w:r>
      <w:r>
        <w:rPr>
          <w:rFonts w:hint="eastAsia"/>
        </w:rPr>
        <w:t>、政策</w:t>
      </w:r>
      <w:r>
        <w:t>服务为核心，建立全面的人才情况查询分析中心和政策申请情况查询分析中心；</w:t>
      </w:r>
    </w:p>
    <w:p>
      <w:pPr>
        <w:ind w:firstLine="560"/>
      </w:pPr>
      <w:r>
        <w:rPr>
          <w:rFonts w:hint="eastAsia"/>
        </w:rPr>
        <w:t>系统</w:t>
      </w:r>
      <w:r>
        <w:t>通过审批数据分析技术，系统能够深入挖掘审批过程中的规律与趋势，为政策制定与流程优化提供有力支持。同时，系统还能根据历史审批数据为申请人提供个性化的建议与指导，帮助他们更好地准备申请材料，提高审批通过率；</w:t>
      </w:r>
    </w:p>
    <w:p>
      <w:pPr>
        <w:pStyle w:val="4"/>
        <w:ind w:left="1000" w:leftChars="0" w:firstLine="0" w:firstLineChars="0"/>
        <w:rPr>
          <w:rFonts w:asciiTheme="majorEastAsia" w:hAnsiTheme="majorEastAsia" w:eastAsiaTheme="majorEastAsia" w:cstheme="minorEastAsia"/>
          <w:sz w:val="28"/>
          <w:szCs w:val="28"/>
        </w:rPr>
      </w:pPr>
      <w:r>
        <w:rPr>
          <w:rFonts w:hint="eastAsia" w:asciiTheme="majorEastAsia" w:hAnsiTheme="majorEastAsia" w:eastAsiaTheme="majorEastAsia" w:cstheme="minorEastAsia"/>
          <w:sz w:val="28"/>
          <w:szCs w:val="28"/>
        </w:rPr>
        <w:t>技术目标</w:t>
      </w:r>
    </w:p>
    <w:p>
      <w:pPr>
        <w:pStyle w:val="18"/>
        <w:numPr>
          <w:ilvl w:val="0"/>
          <w:numId w:val="4"/>
        </w:numPr>
        <w:ind w:firstLineChars="0"/>
      </w:pPr>
      <w:r>
        <w:rPr>
          <w:rFonts w:hint="eastAsia"/>
        </w:rPr>
        <w:t>实现政策表单、流程的快速配置；</w:t>
      </w:r>
    </w:p>
    <w:p>
      <w:pPr>
        <w:pStyle w:val="18"/>
        <w:numPr>
          <w:ilvl w:val="0"/>
          <w:numId w:val="4"/>
        </w:numPr>
        <w:ind w:firstLineChars="0"/>
      </w:pPr>
      <w:r>
        <w:rPr>
          <w:rFonts w:hint="eastAsia"/>
        </w:rPr>
        <w:t>实现人才、企业、政策基础数据库和数据治理；</w:t>
      </w:r>
    </w:p>
    <w:p>
      <w:pPr>
        <w:pStyle w:val="18"/>
        <w:numPr>
          <w:ilvl w:val="0"/>
          <w:numId w:val="4"/>
        </w:numPr>
        <w:ind w:firstLineChars="0"/>
        <w:rPr>
          <w:rFonts w:hint="eastAsia"/>
        </w:rPr>
      </w:pPr>
      <w:r>
        <w:rPr>
          <w:rFonts w:hint="eastAsia"/>
        </w:rPr>
        <w:t>实现信创部署、密码保护体系，保障个人隐私数据安全。</w:t>
      </w:r>
    </w:p>
    <w:p>
      <w:pPr>
        <w:pStyle w:val="3"/>
        <w:ind w:left="432" w:hanging="432"/>
        <w:rPr>
          <w:rFonts w:hint="eastAsia" w:ascii="楷体" w:hAnsi="楷体" w:eastAsia="楷体" w:cs="楷体"/>
        </w:rPr>
      </w:pPr>
      <w:r>
        <w:rPr>
          <w:rFonts w:hint="eastAsia" w:ascii="楷体" w:hAnsi="楷体" w:cs="楷体"/>
          <w:lang w:eastAsia="zh-CN"/>
        </w:rPr>
        <w:t>采购</w:t>
      </w:r>
      <w:r>
        <w:rPr>
          <w:rFonts w:hint="eastAsia" w:ascii="楷体" w:hAnsi="楷体" w:cs="楷体"/>
        </w:rPr>
        <w:t>内容</w:t>
      </w:r>
    </w:p>
    <w:p>
      <w:pPr>
        <w:ind w:firstLine="560"/>
      </w:pPr>
      <w:r>
        <w:t>本项目将以“大系统、大平台”和“强化系统整合、业务协同和应用升级”为人才服务信息管理转型建设思路，</w:t>
      </w:r>
      <w:r>
        <w:rPr>
          <w:rFonts w:hint="eastAsia"/>
        </w:rPr>
        <w:t>进行临港新片区人才服务信息管理系统建设项目的建设</w:t>
      </w:r>
      <w:r>
        <w:t>。</w:t>
      </w:r>
    </w:p>
    <w:p>
      <w:pPr>
        <w:ind w:firstLine="560"/>
      </w:pPr>
      <w:r>
        <w:t>建设内容包括:</w:t>
      </w:r>
    </w:p>
    <w:p>
      <w:pPr>
        <w:ind w:firstLine="560"/>
      </w:pPr>
      <w:r>
        <w:rPr>
          <w:rFonts w:hint="eastAsia"/>
          <w:lang w:eastAsia="zh-CN"/>
        </w:rPr>
        <w:t>（</w:t>
      </w:r>
      <w:r>
        <w:rPr>
          <w:rFonts w:hint="eastAsia"/>
        </w:rPr>
        <w:t>1</w:t>
      </w:r>
      <w:r>
        <w:rPr>
          <w:rFonts w:hint="eastAsia"/>
          <w:lang w:eastAsia="zh-CN"/>
        </w:rPr>
        <w:t>）</w:t>
      </w:r>
      <w:r>
        <w:rPr>
          <w:rFonts w:hint="eastAsia"/>
        </w:rPr>
        <w:t>系统</w:t>
      </w:r>
      <w:r>
        <w:t>门户</w:t>
      </w:r>
      <w:r>
        <w:rPr>
          <w:rFonts w:hint="eastAsia"/>
        </w:rPr>
        <w:t>，</w:t>
      </w:r>
      <w:r>
        <w:t>包括</w:t>
      </w:r>
      <w:r>
        <w:rPr>
          <w:rFonts w:hint="eastAsia"/>
        </w:rPr>
        <w:t>：用户登录</w:t>
      </w:r>
      <w:r>
        <w:t>、</w:t>
      </w:r>
      <w:r>
        <w:rPr>
          <w:rFonts w:hint="eastAsia"/>
        </w:rPr>
        <w:t>注册</w:t>
      </w:r>
      <w:r>
        <w:t>中心、忘记密码；</w:t>
      </w:r>
    </w:p>
    <w:p>
      <w:pPr>
        <w:ind w:firstLine="560"/>
      </w:pPr>
      <w:r>
        <w:rPr>
          <w:rFonts w:hint="eastAsia"/>
          <w:lang w:eastAsia="zh-CN"/>
        </w:rPr>
        <w:t>（</w:t>
      </w:r>
      <w:r>
        <w:rPr>
          <w:rFonts w:hint="eastAsia"/>
          <w:lang w:val="en-US" w:eastAsia="zh-CN"/>
        </w:rPr>
        <w:t>2</w:t>
      </w:r>
      <w:r>
        <w:rPr>
          <w:rFonts w:hint="eastAsia"/>
          <w:lang w:eastAsia="zh-CN"/>
        </w:rPr>
        <w:t>）</w:t>
      </w:r>
      <w:r>
        <w:rPr>
          <w:rFonts w:hint="eastAsia"/>
        </w:rPr>
        <w:t>人才服务中心，</w:t>
      </w:r>
      <w:r>
        <w:t>包括</w:t>
      </w:r>
      <w:r>
        <w:rPr>
          <w:rFonts w:hint="eastAsia"/>
        </w:rPr>
        <w:t>：政策服务</w:t>
      </w:r>
      <w:r>
        <w:t>、公寓服务、我的申请、个人信息管理、爱心寒暑</w:t>
      </w:r>
      <w:r>
        <w:rPr>
          <w:rFonts w:hint="eastAsia"/>
        </w:rPr>
        <w:t>托</w:t>
      </w:r>
      <w:r>
        <w:t>班报名系统；</w:t>
      </w:r>
    </w:p>
    <w:p>
      <w:pPr>
        <w:ind w:firstLine="560"/>
      </w:pPr>
      <w:r>
        <w:rPr>
          <w:rFonts w:hint="eastAsia"/>
          <w:lang w:eastAsia="zh-CN"/>
        </w:rPr>
        <w:t>（</w:t>
      </w:r>
      <w:r>
        <w:rPr>
          <w:rFonts w:hint="eastAsia"/>
          <w:lang w:val="en-US" w:eastAsia="zh-CN"/>
        </w:rPr>
        <w:t>3</w:t>
      </w:r>
      <w:r>
        <w:rPr>
          <w:rFonts w:hint="eastAsia"/>
          <w:lang w:eastAsia="zh-CN"/>
        </w:rPr>
        <w:t>）</w:t>
      </w:r>
      <w:r>
        <w:rPr>
          <w:rFonts w:hint="eastAsia"/>
        </w:rPr>
        <w:t>企业服务中心，</w:t>
      </w:r>
      <w:r>
        <w:t>包括</w:t>
      </w:r>
      <w:r>
        <w:rPr>
          <w:rFonts w:hint="eastAsia"/>
        </w:rPr>
        <w:t>：政策</w:t>
      </w:r>
      <w:r>
        <w:t>服务、企业申请、企业服务、企业</w:t>
      </w:r>
      <w:r>
        <w:rPr>
          <w:rFonts w:hint="eastAsia"/>
        </w:rPr>
        <w:t>年金</w:t>
      </w:r>
      <w:r>
        <w:t>、</w:t>
      </w:r>
      <w:r>
        <w:rPr>
          <w:rFonts w:hint="eastAsia"/>
        </w:rPr>
        <w:t>综合</w:t>
      </w:r>
      <w:r>
        <w:t>查询；</w:t>
      </w:r>
    </w:p>
    <w:p>
      <w:pPr>
        <w:ind w:firstLine="560"/>
      </w:pPr>
      <w:r>
        <w:rPr>
          <w:rFonts w:hint="eastAsia"/>
          <w:lang w:eastAsia="zh-CN"/>
        </w:rPr>
        <w:t>（</w:t>
      </w:r>
      <w:r>
        <w:rPr>
          <w:rFonts w:hint="eastAsia"/>
          <w:lang w:val="en-US" w:eastAsia="zh-CN"/>
        </w:rPr>
        <w:t>4</w:t>
      </w:r>
      <w:r>
        <w:rPr>
          <w:rFonts w:hint="eastAsia"/>
          <w:lang w:eastAsia="zh-CN"/>
        </w:rPr>
        <w:t>）</w:t>
      </w:r>
      <w:r>
        <w:rPr>
          <w:rFonts w:hint="eastAsia"/>
        </w:rPr>
        <w:t>业务审批</w:t>
      </w:r>
      <w:r>
        <w:t>管理</w:t>
      </w:r>
      <w:r>
        <w:rPr>
          <w:rFonts w:hint="eastAsia"/>
        </w:rPr>
        <w:t>，</w:t>
      </w:r>
      <w:r>
        <w:t>包括</w:t>
      </w:r>
      <w:r>
        <w:rPr>
          <w:rFonts w:hint="eastAsia"/>
        </w:rPr>
        <w:t>：</w:t>
      </w:r>
      <w:r>
        <w:t>小区公寓服务管理、住房业务管理、企业年金管理、菁才卡管理、政策审批管理；</w:t>
      </w:r>
    </w:p>
    <w:p>
      <w:pPr>
        <w:ind w:firstLine="560"/>
      </w:pPr>
      <w:r>
        <w:rPr>
          <w:rFonts w:hint="eastAsia"/>
          <w:lang w:eastAsia="zh-CN"/>
        </w:rPr>
        <w:t>（</w:t>
      </w:r>
      <w:r>
        <w:rPr>
          <w:rFonts w:hint="eastAsia"/>
          <w:lang w:val="en-US" w:eastAsia="zh-CN"/>
        </w:rPr>
        <w:t>5</w:t>
      </w:r>
      <w:r>
        <w:rPr>
          <w:rFonts w:hint="eastAsia"/>
          <w:lang w:eastAsia="zh-CN"/>
        </w:rPr>
        <w:t>）</w:t>
      </w:r>
      <w:r>
        <w:rPr>
          <w:rFonts w:hint="eastAsia"/>
        </w:rPr>
        <w:t>基础数据库</w:t>
      </w:r>
      <w:r>
        <w:t>管理与治理</w:t>
      </w:r>
      <w:r>
        <w:rPr>
          <w:rFonts w:hint="eastAsia"/>
        </w:rPr>
        <w:t>，</w:t>
      </w:r>
      <w:r>
        <w:t>包括</w:t>
      </w:r>
      <w:r>
        <w:rPr>
          <w:rFonts w:hint="eastAsia"/>
        </w:rPr>
        <w:t>：</w:t>
      </w:r>
      <w:r>
        <w:t>人才库管理、企业库管理、政策信息库管理</w:t>
      </w:r>
      <w:r>
        <w:rPr>
          <w:rFonts w:hint="eastAsia"/>
        </w:rPr>
        <w:t>、</w:t>
      </w:r>
      <w:r>
        <w:t>基于</w:t>
      </w:r>
      <w:r>
        <w:rPr>
          <w:rFonts w:hint="eastAsia"/>
        </w:rPr>
        <w:t>AI和大模型</w:t>
      </w:r>
      <w:r>
        <w:t>技术的人才政策</w:t>
      </w:r>
      <w:r>
        <w:rPr>
          <w:rFonts w:hint="eastAsia"/>
        </w:rPr>
        <w:t>知识图谱</w:t>
      </w:r>
      <w:r>
        <w:t>、基于</w:t>
      </w:r>
      <w:r>
        <w:rPr>
          <w:rFonts w:hint="eastAsia"/>
        </w:rPr>
        <w:t>AI和大模型</w:t>
      </w:r>
      <w:r>
        <w:t>技术的</w:t>
      </w:r>
      <w:r>
        <w:rPr>
          <w:rFonts w:hint="eastAsia"/>
        </w:rPr>
        <w:t>人才评价</w:t>
      </w:r>
      <w:r>
        <w:t>体系、基于</w:t>
      </w:r>
      <w:r>
        <w:rPr>
          <w:rFonts w:hint="eastAsia"/>
        </w:rPr>
        <w:t>AI和大模型</w:t>
      </w:r>
      <w:r>
        <w:t>技术的</w:t>
      </w:r>
      <w:r>
        <w:rPr>
          <w:rFonts w:hint="eastAsia"/>
        </w:rPr>
        <w:t>企业政策</w:t>
      </w:r>
      <w:r>
        <w:t>包</w:t>
      </w:r>
      <w:r>
        <w:rPr>
          <w:rFonts w:hint="eastAsia"/>
        </w:rPr>
        <w:t>评价</w:t>
      </w:r>
      <w:r>
        <w:t>体系</w:t>
      </w:r>
      <w:r>
        <w:rPr>
          <w:rFonts w:hint="eastAsia"/>
        </w:rPr>
        <w:t>；</w:t>
      </w:r>
    </w:p>
    <w:p>
      <w:pPr>
        <w:ind w:firstLine="560"/>
      </w:pPr>
      <w:r>
        <w:rPr>
          <w:rFonts w:hint="eastAsia"/>
          <w:lang w:eastAsia="zh-CN"/>
        </w:rPr>
        <w:t>（</w:t>
      </w:r>
      <w:r>
        <w:rPr>
          <w:rFonts w:hint="eastAsia"/>
          <w:lang w:val="en-US" w:eastAsia="zh-CN"/>
        </w:rPr>
        <w:t>6</w:t>
      </w:r>
      <w:r>
        <w:rPr>
          <w:rFonts w:hint="eastAsia"/>
          <w:lang w:eastAsia="zh-CN"/>
        </w:rPr>
        <w:t>）</w:t>
      </w:r>
      <w:r>
        <w:rPr>
          <w:rFonts w:hint="eastAsia"/>
        </w:rPr>
        <w:t>政策数据</w:t>
      </w:r>
      <w:r>
        <w:t>查询和分析</w:t>
      </w:r>
      <w:r>
        <w:rPr>
          <w:rFonts w:hint="eastAsia"/>
        </w:rPr>
        <w:t>，</w:t>
      </w:r>
      <w:r>
        <w:t>包括</w:t>
      </w:r>
      <w:r>
        <w:rPr>
          <w:rFonts w:hint="eastAsia"/>
        </w:rPr>
        <w:t>：政策</w:t>
      </w:r>
      <w:r>
        <w:t>数据综合查询</w:t>
      </w:r>
      <w:r>
        <w:rPr>
          <w:rFonts w:hint="eastAsia"/>
        </w:rPr>
        <w:t>、</w:t>
      </w:r>
      <w:r>
        <w:t>数据可视化统计分析；</w:t>
      </w:r>
    </w:p>
    <w:p>
      <w:pPr>
        <w:ind w:firstLine="560"/>
      </w:pPr>
      <w:r>
        <w:rPr>
          <w:rFonts w:hint="eastAsia"/>
          <w:lang w:eastAsia="zh-CN"/>
        </w:rPr>
        <w:t>（</w:t>
      </w:r>
      <w:r>
        <w:rPr>
          <w:rFonts w:hint="eastAsia"/>
          <w:lang w:val="en-US" w:eastAsia="zh-CN"/>
        </w:rPr>
        <w:t>7</w:t>
      </w:r>
      <w:r>
        <w:rPr>
          <w:rFonts w:hint="eastAsia"/>
          <w:lang w:eastAsia="zh-CN"/>
        </w:rPr>
        <w:t>）</w:t>
      </w:r>
      <w:r>
        <w:rPr>
          <w:rFonts w:hint="eastAsia"/>
        </w:rPr>
        <w:t>系统互通</w:t>
      </w:r>
      <w:r>
        <w:t>接口对接</w:t>
      </w:r>
      <w:r>
        <w:rPr>
          <w:rFonts w:hint="eastAsia"/>
        </w:rPr>
        <w:t>，</w:t>
      </w:r>
      <w:r>
        <w:t>包括</w:t>
      </w:r>
      <w:r>
        <w:rPr>
          <w:rFonts w:hint="eastAsia"/>
        </w:rPr>
        <w:t>：一网通办</w:t>
      </w:r>
      <w:r>
        <w:t>接口对接、临港新</w:t>
      </w:r>
      <w:r>
        <w:rPr>
          <w:rFonts w:hint="eastAsia"/>
        </w:rPr>
        <w:t>片区</w:t>
      </w:r>
      <w:r>
        <w:t>财政系统接口对接、临港新</w:t>
      </w:r>
      <w:r>
        <w:rPr>
          <w:rFonts w:hint="eastAsia"/>
        </w:rPr>
        <w:t>片区</w:t>
      </w:r>
      <w:r>
        <w:t>电子签章接口对接、二代身份证</w:t>
      </w:r>
      <w:r>
        <w:rPr>
          <w:rFonts w:hint="eastAsia"/>
        </w:rPr>
        <w:t>、</w:t>
      </w:r>
      <w:r>
        <w:t>企业营业</w:t>
      </w:r>
      <w:r>
        <w:rPr>
          <w:rFonts w:hint="eastAsia"/>
        </w:rPr>
        <w:t>执照</w:t>
      </w:r>
      <w:r>
        <w:t>的</w:t>
      </w:r>
      <w:r>
        <w:rPr>
          <w:rFonts w:hint="eastAsia"/>
        </w:rPr>
        <w:t>OCR接口</w:t>
      </w:r>
      <w:r>
        <w:t>对接、临港新片区</w:t>
      </w:r>
      <w:r>
        <w:rPr>
          <w:rFonts w:hint="eastAsia"/>
        </w:rPr>
        <w:t>统一</w:t>
      </w:r>
      <w:r>
        <w:t>身份</w:t>
      </w:r>
      <w:r>
        <w:rPr>
          <w:rFonts w:hint="eastAsia"/>
        </w:rPr>
        <w:t>认证</w:t>
      </w:r>
      <w:r>
        <w:t>平台接口对接、</w:t>
      </w:r>
      <w:r>
        <w:rPr>
          <w:rFonts w:hint="eastAsia"/>
        </w:rPr>
        <w:t>临港</w:t>
      </w:r>
      <w:r>
        <w:t>新片区短信服务平台接口对接、临港</w:t>
      </w:r>
      <w:r>
        <w:rPr>
          <w:rFonts w:hint="eastAsia"/>
        </w:rPr>
        <w:t>新片区</w:t>
      </w:r>
      <w:r>
        <w:t>密码应用服务接口对接、临港新片区公共数据管理与赋能平台接口对接、</w:t>
      </w:r>
      <w:r>
        <w:rPr>
          <w:rFonts w:hint="eastAsia"/>
        </w:rPr>
        <w:t>OSS文件</w:t>
      </w:r>
      <w:r>
        <w:t>存储系统接口对接、临港档案系统接口</w:t>
      </w:r>
      <w:r>
        <w:rPr>
          <w:rFonts w:hint="eastAsia"/>
        </w:rPr>
        <w:t>对接</w:t>
      </w:r>
      <w:r>
        <w:t>；</w:t>
      </w:r>
    </w:p>
    <w:p>
      <w:pPr>
        <w:ind w:firstLine="560"/>
      </w:pPr>
      <w:r>
        <w:rPr>
          <w:rFonts w:hint="eastAsia"/>
          <w:lang w:eastAsia="zh-CN"/>
        </w:rPr>
        <w:t>（</w:t>
      </w:r>
      <w:r>
        <w:rPr>
          <w:rFonts w:hint="eastAsia"/>
          <w:lang w:val="en-US" w:eastAsia="zh-CN"/>
        </w:rPr>
        <w:t>8</w:t>
      </w:r>
      <w:r>
        <w:rPr>
          <w:rFonts w:hint="eastAsia"/>
          <w:lang w:eastAsia="zh-CN"/>
        </w:rPr>
        <w:t>）</w:t>
      </w:r>
      <w:r>
        <w:rPr>
          <w:rFonts w:hint="eastAsia"/>
        </w:rPr>
        <w:t>系统管理，</w:t>
      </w:r>
      <w:r>
        <w:t>包括</w:t>
      </w:r>
      <w:r>
        <w:rPr>
          <w:rFonts w:hint="eastAsia"/>
        </w:rPr>
        <w:t>：组织</w:t>
      </w:r>
      <w:r>
        <w:t>管理、人员管理、</w:t>
      </w:r>
      <w:r>
        <w:rPr>
          <w:rFonts w:hint="eastAsia"/>
        </w:rPr>
        <w:t>角色</w:t>
      </w:r>
      <w:r>
        <w:t>管理、用户组管理、流程管理、监控管理、任务管理、日志管理、地区管理、用户隐私二次认证、系统消息管理、通知短信模块；</w:t>
      </w:r>
    </w:p>
    <w:p>
      <w:pPr>
        <w:keepNext w:val="0"/>
        <w:keepLines w:val="0"/>
        <w:widowControl/>
        <w:suppressLineNumbers w:val="0"/>
        <w:jc w:val="left"/>
      </w:pPr>
      <w:r>
        <w:rPr>
          <w:rFonts w:hint="eastAsia"/>
          <w:lang w:eastAsia="zh-CN"/>
        </w:rPr>
        <w:t>（</w:t>
      </w:r>
      <w:r>
        <w:rPr>
          <w:rFonts w:hint="eastAsia"/>
          <w:lang w:val="en-US" w:eastAsia="zh-CN"/>
        </w:rPr>
        <w:t>9</w:t>
      </w:r>
      <w:r>
        <w:rPr>
          <w:rFonts w:hint="eastAsia"/>
          <w:lang w:eastAsia="zh-CN"/>
        </w:rPr>
        <w:t>）</w:t>
      </w:r>
      <w:r>
        <w:rPr>
          <w:rFonts w:hint="eastAsia"/>
        </w:rPr>
        <w:t>历史</w:t>
      </w:r>
      <w:r>
        <w:t>数据迁移</w:t>
      </w:r>
      <w:r>
        <w:rPr>
          <w:rFonts w:hint="eastAsia"/>
          <w:lang w:val="en-US" w:eastAsia="zh-CN"/>
        </w:rPr>
        <w:t>。</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服务期限</w:t>
      </w:r>
    </w:p>
    <w:p>
      <w:pPr>
        <w:ind w:firstLine="560"/>
        <w:rPr>
          <w:rFonts w:hint="eastAsia" w:asciiTheme="minorEastAsia" w:hAnsiTheme="minorEastAsia" w:eastAsiaTheme="minorEastAsia" w:cstheme="minorEastAsia"/>
        </w:rPr>
      </w:pPr>
      <w:r>
        <w:rPr>
          <w:rFonts w:hint="eastAsia"/>
          <w:color w:val="000000" w:themeColor="text1"/>
          <w:lang w:val="en-US" w:eastAsia="zh-CN"/>
          <w14:textFill>
            <w14:solidFill>
              <w14:schemeClr w14:val="tx1"/>
            </w14:solidFill>
          </w14:textFill>
        </w:rPr>
        <w:t>本</w:t>
      </w:r>
      <w:r>
        <w:rPr>
          <w:color w:val="000000" w:themeColor="text1"/>
          <w14:textFill>
            <w14:solidFill>
              <w14:schemeClr w14:val="tx1"/>
            </w14:solidFill>
          </w14:textFill>
        </w:rPr>
        <w:t>项目</w:t>
      </w:r>
      <w:r>
        <w:rPr>
          <w:rFonts w:hint="eastAsia"/>
          <w:color w:val="000000" w:themeColor="text1"/>
          <w:lang w:val="en-US" w:eastAsia="zh-CN"/>
          <w14:textFill>
            <w14:solidFill>
              <w14:schemeClr w14:val="tx1"/>
            </w14:solidFill>
          </w14:textFill>
        </w:rPr>
        <w:t>计划</w:t>
      </w:r>
      <w:r>
        <w:rPr>
          <w:color w:val="000000" w:themeColor="text1"/>
          <w14:textFill>
            <w14:solidFill>
              <w14:schemeClr w14:val="tx1"/>
            </w14:solidFill>
          </w14:textFill>
        </w:rPr>
        <w:t>在8个月内完成项目的系统详细设计、开发以及测试工作，并分阶段部署系统开始试运行，整体上线后再进行不低于</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个月的整体试运行。</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25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trPr>
        <w:tc>
          <w:tcPr>
            <w:tcW w:w="828" w:type="dxa"/>
            <w:vAlign w:val="center"/>
          </w:tcPr>
          <w:p>
            <w:pPr>
              <w:widowControl/>
              <w:spacing w:after="190"/>
              <w:ind w:firstLine="0" w:firstLineChars="0"/>
              <w:jc w:val="center"/>
              <w:rPr>
                <w:rFonts w:cs="Times New Roman"/>
                <w:b/>
                <w:bCs/>
                <w:szCs w:val="28"/>
              </w:rPr>
            </w:pPr>
            <w:r>
              <w:rPr>
                <w:rFonts w:cs="Times New Roman"/>
                <w:b/>
                <w:bCs/>
                <w:szCs w:val="28"/>
              </w:rPr>
              <w:t>编号</w:t>
            </w:r>
          </w:p>
        </w:tc>
        <w:tc>
          <w:tcPr>
            <w:tcW w:w="5253" w:type="dxa"/>
            <w:vAlign w:val="center"/>
          </w:tcPr>
          <w:p>
            <w:pPr>
              <w:widowControl/>
              <w:spacing w:after="190"/>
              <w:ind w:firstLine="0" w:firstLineChars="0"/>
              <w:jc w:val="center"/>
              <w:rPr>
                <w:rFonts w:cs="Times New Roman"/>
                <w:b/>
                <w:bCs/>
                <w:szCs w:val="28"/>
              </w:rPr>
            </w:pPr>
            <w:r>
              <w:rPr>
                <w:rFonts w:cs="Times New Roman"/>
                <w:b/>
                <w:bCs/>
                <w:szCs w:val="28"/>
              </w:rPr>
              <w:t>建设内容</w:t>
            </w:r>
          </w:p>
        </w:tc>
        <w:tc>
          <w:tcPr>
            <w:tcW w:w="1952" w:type="dxa"/>
            <w:vAlign w:val="center"/>
          </w:tcPr>
          <w:p>
            <w:pPr>
              <w:widowControl/>
              <w:spacing w:after="190"/>
              <w:ind w:firstLine="0" w:firstLineChars="0"/>
              <w:jc w:val="center"/>
              <w:rPr>
                <w:rFonts w:cs="Times New Roman"/>
                <w:b/>
                <w:bCs/>
                <w:szCs w:val="28"/>
              </w:rPr>
            </w:pPr>
            <w:r>
              <w:rPr>
                <w:rFonts w:cs="Times New Roman"/>
                <w:b/>
                <w:bCs/>
                <w:szCs w:val="28"/>
              </w:rPr>
              <w:t>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after="190"/>
              <w:ind w:firstLine="0" w:firstLineChars="0"/>
              <w:jc w:val="center"/>
              <w:rPr>
                <w:rFonts w:cs="Times New Roman"/>
                <w:szCs w:val="28"/>
              </w:rPr>
            </w:pPr>
            <w:r>
              <w:rPr>
                <w:rFonts w:cs="Times New Roman"/>
                <w:szCs w:val="28"/>
              </w:rPr>
              <w:t>1</w:t>
            </w:r>
          </w:p>
        </w:tc>
        <w:tc>
          <w:tcPr>
            <w:tcW w:w="5253" w:type="dxa"/>
          </w:tcPr>
          <w:p>
            <w:pPr>
              <w:widowControl/>
              <w:spacing w:after="190"/>
              <w:ind w:firstLine="0" w:firstLineChars="0"/>
              <w:jc w:val="left"/>
              <w:rPr>
                <w:rFonts w:cs="Times New Roman"/>
                <w:szCs w:val="28"/>
              </w:rPr>
            </w:pPr>
            <w:r>
              <w:rPr>
                <w:rFonts w:cs="Times New Roman"/>
                <w:szCs w:val="28"/>
              </w:rPr>
              <w:t>需求调研、业务梳理</w:t>
            </w:r>
          </w:p>
        </w:tc>
        <w:tc>
          <w:tcPr>
            <w:tcW w:w="1952" w:type="dxa"/>
          </w:tcPr>
          <w:p>
            <w:pPr>
              <w:widowControl/>
              <w:spacing w:after="190"/>
              <w:ind w:firstLine="0" w:firstLineChars="0"/>
              <w:jc w:val="center"/>
              <w:rPr>
                <w:rFonts w:cs="Times New Roman"/>
                <w:szCs w:val="28"/>
              </w:rPr>
            </w:pPr>
            <w:r>
              <w:rPr>
                <w:rFonts w:cs="Times New Roman"/>
                <w:szCs w:val="28"/>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after="190"/>
              <w:ind w:firstLine="0" w:firstLineChars="0"/>
              <w:jc w:val="center"/>
              <w:rPr>
                <w:rFonts w:cs="Times New Roman"/>
                <w:szCs w:val="28"/>
              </w:rPr>
            </w:pPr>
            <w:r>
              <w:rPr>
                <w:rFonts w:cs="Times New Roman"/>
                <w:szCs w:val="28"/>
              </w:rPr>
              <w:t>2</w:t>
            </w:r>
          </w:p>
        </w:tc>
        <w:tc>
          <w:tcPr>
            <w:tcW w:w="5253" w:type="dxa"/>
          </w:tcPr>
          <w:p>
            <w:pPr>
              <w:widowControl/>
              <w:spacing w:after="190"/>
              <w:ind w:firstLine="0" w:firstLineChars="0"/>
              <w:jc w:val="left"/>
              <w:rPr>
                <w:rFonts w:cs="Times New Roman"/>
                <w:szCs w:val="28"/>
              </w:rPr>
            </w:pPr>
            <w:r>
              <w:rPr>
                <w:rFonts w:cs="Times New Roman"/>
                <w:szCs w:val="28"/>
              </w:rPr>
              <w:t>流程梳理、功能模块设计</w:t>
            </w:r>
          </w:p>
        </w:tc>
        <w:tc>
          <w:tcPr>
            <w:tcW w:w="1952" w:type="dxa"/>
          </w:tcPr>
          <w:p>
            <w:pPr>
              <w:widowControl/>
              <w:spacing w:after="190"/>
              <w:ind w:firstLine="0" w:firstLineChars="0"/>
              <w:jc w:val="center"/>
              <w:rPr>
                <w:rFonts w:cs="Times New Roman"/>
                <w:szCs w:val="28"/>
              </w:rPr>
            </w:pPr>
            <w:r>
              <w:rPr>
                <w:rFonts w:cs="Times New Roman"/>
                <w:szCs w:val="28"/>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after="190"/>
              <w:ind w:firstLine="0" w:firstLineChars="0"/>
              <w:jc w:val="center"/>
              <w:rPr>
                <w:rFonts w:cs="Times New Roman"/>
                <w:szCs w:val="28"/>
              </w:rPr>
            </w:pPr>
            <w:r>
              <w:rPr>
                <w:rFonts w:cs="Times New Roman"/>
                <w:szCs w:val="28"/>
              </w:rPr>
              <w:t>3</w:t>
            </w:r>
          </w:p>
        </w:tc>
        <w:tc>
          <w:tcPr>
            <w:tcW w:w="5253" w:type="dxa"/>
          </w:tcPr>
          <w:p>
            <w:pPr>
              <w:widowControl/>
              <w:spacing w:after="190"/>
              <w:ind w:firstLine="0" w:firstLineChars="0"/>
              <w:jc w:val="left"/>
              <w:rPr>
                <w:rFonts w:cs="Times New Roman"/>
                <w:szCs w:val="28"/>
              </w:rPr>
            </w:pPr>
            <w:r>
              <w:rPr>
                <w:rFonts w:cs="Times New Roman"/>
                <w:szCs w:val="28"/>
              </w:rPr>
              <w:t>基础服务平台搭建、原型设计、基础功能开发</w:t>
            </w:r>
          </w:p>
        </w:tc>
        <w:tc>
          <w:tcPr>
            <w:tcW w:w="1952" w:type="dxa"/>
          </w:tcPr>
          <w:p>
            <w:pPr>
              <w:widowControl/>
              <w:spacing w:after="190"/>
              <w:ind w:firstLine="0" w:firstLineChars="0"/>
              <w:jc w:val="center"/>
              <w:rPr>
                <w:rFonts w:cs="Times New Roman"/>
                <w:szCs w:val="28"/>
              </w:rPr>
            </w:pPr>
            <w:r>
              <w:rPr>
                <w:rFonts w:cs="Times New Roman"/>
                <w:szCs w:val="28"/>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after="190"/>
              <w:ind w:firstLine="0" w:firstLineChars="0"/>
              <w:jc w:val="center"/>
              <w:rPr>
                <w:rFonts w:cs="Times New Roman"/>
                <w:szCs w:val="28"/>
              </w:rPr>
            </w:pPr>
            <w:r>
              <w:rPr>
                <w:rFonts w:cs="Times New Roman"/>
                <w:szCs w:val="28"/>
              </w:rPr>
              <w:t>4</w:t>
            </w:r>
          </w:p>
        </w:tc>
        <w:tc>
          <w:tcPr>
            <w:tcW w:w="5253" w:type="dxa"/>
          </w:tcPr>
          <w:p>
            <w:pPr>
              <w:widowControl/>
              <w:spacing w:after="190"/>
              <w:ind w:firstLine="0" w:firstLineChars="0"/>
              <w:jc w:val="left"/>
              <w:rPr>
                <w:rFonts w:cs="Times New Roman"/>
                <w:szCs w:val="28"/>
              </w:rPr>
            </w:pPr>
            <w:r>
              <w:rPr>
                <w:rFonts w:cs="Times New Roman"/>
                <w:szCs w:val="28"/>
              </w:rPr>
              <w:t>应用定制、页面开发、系统测试</w:t>
            </w:r>
          </w:p>
        </w:tc>
        <w:tc>
          <w:tcPr>
            <w:tcW w:w="1952" w:type="dxa"/>
          </w:tcPr>
          <w:p>
            <w:pPr>
              <w:widowControl/>
              <w:spacing w:after="190"/>
              <w:ind w:firstLine="0" w:firstLineChars="0"/>
              <w:jc w:val="center"/>
              <w:rPr>
                <w:rFonts w:cs="Times New Roman"/>
                <w:szCs w:val="28"/>
              </w:rPr>
            </w:pPr>
            <w:r>
              <w:rPr>
                <w:rFonts w:cs="Times New Roman"/>
                <w:szCs w:val="28"/>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after="190"/>
              <w:ind w:firstLine="0" w:firstLineChars="0"/>
              <w:jc w:val="center"/>
              <w:rPr>
                <w:rFonts w:cs="Times New Roman"/>
                <w:szCs w:val="28"/>
              </w:rPr>
            </w:pPr>
            <w:r>
              <w:rPr>
                <w:rFonts w:cs="Times New Roman"/>
                <w:szCs w:val="28"/>
              </w:rPr>
              <w:t>5</w:t>
            </w:r>
          </w:p>
        </w:tc>
        <w:tc>
          <w:tcPr>
            <w:tcW w:w="5253" w:type="dxa"/>
          </w:tcPr>
          <w:p>
            <w:pPr>
              <w:widowControl/>
              <w:spacing w:after="190"/>
              <w:ind w:firstLine="0" w:firstLineChars="0"/>
              <w:jc w:val="left"/>
              <w:rPr>
                <w:rFonts w:cs="Times New Roman"/>
                <w:szCs w:val="28"/>
              </w:rPr>
            </w:pPr>
            <w:r>
              <w:rPr>
                <w:rFonts w:cs="Times New Roman"/>
                <w:szCs w:val="28"/>
              </w:rPr>
              <w:t>系统部署、联调测试、人员培训</w:t>
            </w:r>
          </w:p>
        </w:tc>
        <w:tc>
          <w:tcPr>
            <w:tcW w:w="1952" w:type="dxa"/>
          </w:tcPr>
          <w:p>
            <w:pPr>
              <w:widowControl/>
              <w:spacing w:after="190"/>
              <w:ind w:firstLine="0" w:firstLineChars="0"/>
              <w:jc w:val="center"/>
              <w:rPr>
                <w:rFonts w:cs="Times New Roman"/>
                <w:szCs w:val="28"/>
              </w:rPr>
            </w:pPr>
            <w:r>
              <w:rPr>
                <w:rFonts w:cs="Times New Roman"/>
                <w:szCs w:val="28"/>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idowControl/>
              <w:spacing w:after="190"/>
              <w:ind w:firstLine="0" w:firstLineChars="0"/>
              <w:jc w:val="center"/>
              <w:rPr>
                <w:rFonts w:cs="Times New Roman"/>
                <w:szCs w:val="28"/>
              </w:rPr>
            </w:pPr>
            <w:r>
              <w:rPr>
                <w:rFonts w:cs="Times New Roman"/>
                <w:szCs w:val="28"/>
              </w:rPr>
              <w:t>6</w:t>
            </w:r>
          </w:p>
        </w:tc>
        <w:tc>
          <w:tcPr>
            <w:tcW w:w="5253" w:type="dxa"/>
          </w:tcPr>
          <w:p>
            <w:pPr>
              <w:widowControl/>
              <w:spacing w:after="190"/>
              <w:ind w:firstLine="0" w:firstLineChars="0"/>
              <w:jc w:val="left"/>
              <w:rPr>
                <w:rFonts w:cs="Times New Roman"/>
                <w:szCs w:val="28"/>
              </w:rPr>
            </w:pPr>
            <w:r>
              <w:rPr>
                <w:rFonts w:cs="Times New Roman"/>
                <w:szCs w:val="28"/>
              </w:rPr>
              <w:t>试运行阶段</w:t>
            </w:r>
          </w:p>
        </w:tc>
        <w:tc>
          <w:tcPr>
            <w:tcW w:w="1952" w:type="dxa"/>
          </w:tcPr>
          <w:p>
            <w:pPr>
              <w:widowControl/>
              <w:spacing w:after="190"/>
              <w:ind w:firstLine="0" w:firstLineChars="0"/>
              <w:jc w:val="center"/>
              <w:rPr>
                <w:rFonts w:cs="Times New Roman"/>
                <w:szCs w:val="28"/>
              </w:rPr>
            </w:pPr>
            <w:r>
              <w:rPr>
                <w:rFonts w:cs="Times New Roman"/>
                <w:szCs w:val="28"/>
              </w:rPr>
              <w:t>3个月</w:t>
            </w:r>
          </w:p>
        </w:tc>
      </w:tr>
    </w:tbl>
    <w:p>
      <w:pPr>
        <w:ind w:left="0" w:leftChars="0" w:firstLine="0" w:firstLineChars="0"/>
        <w:rPr>
          <w:rFonts w:hint="eastAsia" w:asciiTheme="minorEastAsia" w:hAnsiTheme="minorEastAsia" w:eastAsiaTheme="minorEastAsia" w:cstheme="minorEastAsia"/>
          <w:color w:val="auto"/>
        </w:rPr>
      </w:pPr>
    </w:p>
    <w:p>
      <w:pPr>
        <w:ind w:firstLine="560"/>
        <w:rPr>
          <w:rFonts w:hint="eastAsia" w:asciiTheme="minorEastAsia" w:hAnsiTheme="minorEastAsia" w:eastAsiaTheme="minorEastAsia" w:cstheme="minorEastAsia"/>
          <w:color w:val="FF0000"/>
        </w:rPr>
      </w:pPr>
    </w:p>
    <w:p>
      <w:pPr>
        <w:pStyle w:val="2"/>
        <w:rPr>
          <w:rFonts w:hint="eastAsia" w:cs="楷体" w:asciiTheme="majorEastAsia" w:hAnsiTheme="majorEastAsia" w:eastAsiaTheme="majorEastAsia"/>
        </w:rPr>
      </w:pPr>
      <w:r>
        <w:rPr>
          <w:rFonts w:hint="eastAsia" w:cs="楷体" w:asciiTheme="majorEastAsia" w:hAnsiTheme="majorEastAsia" w:eastAsiaTheme="majorEastAsia"/>
        </w:rPr>
        <w:t>技术质量要求</w:t>
      </w:r>
    </w:p>
    <w:p>
      <w:pPr>
        <w:pStyle w:val="3"/>
        <w:ind w:left="432" w:hanging="432"/>
        <w:rPr>
          <w:rFonts w:hint="eastAsia" w:cs="楷体" w:asciiTheme="majorEastAsia" w:hAnsiTheme="majorEastAsia" w:eastAsiaTheme="majorEastAsia"/>
          <w:szCs w:val="28"/>
        </w:rPr>
      </w:pPr>
      <w:r>
        <w:rPr>
          <w:rFonts w:hint="eastAsia" w:cs="楷体" w:asciiTheme="majorEastAsia" w:hAnsiTheme="majorEastAsia" w:eastAsiaTheme="majorEastAsia"/>
          <w:szCs w:val="28"/>
        </w:rPr>
        <w:t>相关政策指导文件及规范标准</w:t>
      </w:r>
    </w:p>
    <w:p>
      <w:pPr>
        <w:pStyle w:val="4"/>
        <w:ind w:left="1000" w:leftChars="0" w:firstLineChars="0"/>
        <w:rPr>
          <w:rFonts w:hint="eastAsia" w:asciiTheme="majorEastAsia" w:hAnsiTheme="majorEastAsia" w:eastAsiaTheme="majorEastAsia" w:cstheme="minorEastAsia"/>
          <w:sz w:val="28"/>
          <w:szCs w:val="28"/>
        </w:rPr>
      </w:pPr>
      <w:bookmarkStart w:id="3" w:name="_Toc197423461"/>
      <w:bookmarkStart w:id="4" w:name="_Toc192066815"/>
      <w:r>
        <w:rPr>
          <w:rFonts w:asciiTheme="majorEastAsia" w:hAnsiTheme="majorEastAsia" w:eastAsiaTheme="majorEastAsia" w:cstheme="minorEastAsia"/>
          <w:sz w:val="28"/>
          <w:szCs w:val="28"/>
        </w:rPr>
        <w:t>政策指导文件</w:t>
      </w:r>
      <w:bookmarkEnd w:id="3"/>
      <w:bookmarkEnd w:id="4"/>
    </w:p>
    <w:p>
      <w:pPr>
        <w:ind w:firstLine="560"/>
      </w:pPr>
      <w:r>
        <w:t>依据有关法律、法规、规章以及政策性文件，主要包括：</w:t>
      </w:r>
    </w:p>
    <w:p>
      <w:pPr>
        <w:numPr>
          <w:ilvl w:val="0"/>
          <w:numId w:val="5"/>
        </w:numPr>
        <w:spacing w:line="360" w:lineRule="auto"/>
        <w:ind w:left="0" w:firstLine="560"/>
      </w:pPr>
      <w:r>
        <w:rPr>
          <w:rFonts w:hint="eastAsia"/>
        </w:rPr>
        <w:t>《中国（上海）自由贸易试验区临港新片区优秀人才购房补贴实施办法》</w:t>
      </w:r>
    </w:p>
    <w:p>
      <w:pPr>
        <w:numPr>
          <w:ilvl w:val="0"/>
          <w:numId w:val="5"/>
        </w:numPr>
        <w:spacing w:line="360" w:lineRule="auto"/>
        <w:ind w:left="0" w:firstLine="560"/>
      </w:pPr>
      <w:r>
        <w:rPr>
          <w:rFonts w:hint="eastAsia"/>
        </w:rPr>
        <w:t>《中国（上海）自由贸易试验区临港新片区人才企业年金实施办法》</w:t>
      </w:r>
    </w:p>
    <w:p>
      <w:pPr>
        <w:numPr>
          <w:ilvl w:val="0"/>
          <w:numId w:val="5"/>
        </w:numPr>
        <w:spacing w:line="360" w:lineRule="auto"/>
        <w:ind w:left="0" w:firstLine="560"/>
      </w:pPr>
      <w:r>
        <w:rPr>
          <w:rFonts w:hint="eastAsia"/>
        </w:rPr>
        <w:t>《关于优化调整临港新片区人才住房政策相关工作提示的通知》</w:t>
      </w:r>
    </w:p>
    <w:p>
      <w:pPr>
        <w:numPr>
          <w:ilvl w:val="0"/>
          <w:numId w:val="5"/>
        </w:numPr>
        <w:spacing w:line="360" w:lineRule="auto"/>
        <w:ind w:left="0" w:firstLine="560"/>
      </w:pPr>
      <w:r>
        <w:rPr>
          <w:rFonts w:hint="eastAsia"/>
        </w:rPr>
        <w:t>《中国（上海）自由贸易试验区临港新片区人才租房补贴实施办法》</w:t>
      </w:r>
    </w:p>
    <w:p>
      <w:pPr>
        <w:numPr>
          <w:ilvl w:val="0"/>
          <w:numId w:val="5"/>
        </w:numPr>
        <w:spacing w:line="360" w:lineRule="auto"/>
        <w:ind w:left="0" w:firstLine="560"/>
      </w:pPr>
      <w:r>
        <w:rPr>
          <w:rFonts w:hint="eastAsia"/>
        </w:rPr>
        <w:t>《中国（上海）自由贸易试验区临港新片区人才公寓管理办法》</w:t>
      </w:r>
    </w:p>
    <w:p>
      <w:pPr>
        <w:numPr>
          <w:ilvl w:val="0"/>
          <w:numId w:val="5"/>
        </w:numPr>
        <w:spacing w:line="360" w:lineRule="auto"/>
        <w:ind w:left="0" w:firstLine="560"/>
      </w:pPr>
      <w:r>
        <w:rPr>
          <w:rFonts w:hint="eastAsia"/>
        </w:rPr>
        <w:t>《中国（上海）自由贸易试验区临港新片区前沿产业优秀人才安家补贴实施办法》</w:t>
      </w:r>
    </w:p>
    <w:p>
      <w:pPr>
        <w:numPr>
          <w:ilvl w:val="0"/>
          <w:numId w:val="5"/>
        </w:numPr>
        <w:spacing w:line="360" w:lineRule="auto"/>
        <w:ind w:left="0" w:firstLine="560"/>
      </w:pPr>
      <w:r>
        <w:rPr>
          <w:rFonts w:hint="eastAsia"/>
        </w:rPr>
        <w:t>《中国（上海）自由贸易试验区临港新片区大学生实习补贴实施办法》</w:t>
      </w:r>
    </w:p>
    <w:p>
      <w:pPr>
        <w:pStyle w:val="4"/>
        <w:ind w:left="1000" w:leftChars="0" w:firstLineChars="0"/>
        <w:rPr>
          <w:rFonts w:hint="eastAsia" w:asciiTheme="majorEastAsia" w:hAnsiTheme="majorEastAsia" w:eastAsiaTheme="majorEastAsia" w:cstheme="minorEastAsia"/>
          <w:sz w:val="28"/>
          <w:szCs w:val="28"/>
        </w:rPr>
      </w:pPr>
      <w:bookmarkStart w:id="5" w:name="_Toc192066816"/>
      <w:bookmarkStart w:id="6" w:name="_Toc197423462"/>
      <w:r>
        <w:rPr>
          <w:rFonts w:asciiTheme="majorEastAsia" w:hAnsiTheme="majorEastAsia" w:eastAsiaTheme="majorEastAsia" w:cstheme="minorEastAsia"/>
          <w:sz w:val="28"/>
          <w:szCs w:val="28"/>
        </w:rPr>
        <w:t>管理及技术标准规范</w:t>
      </w:r>
      <w:bookmarkEnd w:id="5"/>
      <w:bookmarkEnd w:id="6"/>
    </w:p>
    <w:p>
      <w:pPr>
        <w:ind w:firstLine="560"/>
      </w:pPr>
      <w:r>
        <w:t>依据现有的国家</w:t>
      </w:r>
      <w:r>
        <w:rPr>
          <w:rFonts w:hint="eastAsia"/>
        </w:rPr>
        <w:t>法规</w:t>
      </w:r>
      <w:r>
        <w:t>/行业标准、规范，并参照国际上通用的规范进行。主要相关标准规范如下：</w:t>
      </w:r>
    </w:p>
    <w:p>
      <w:pPr>
        <w:numPr>
          <w:ilvl w:val="0"/>
          <w:numId w:val="5"/>
        </w:numPr>
        <w:spacing w:line="360" w:lineRule="auto"/>
        <w:ind w:left="0" w:firstLine="560"/>
      </w:pPr>
      <w:r>
        <w:rPr>
          <w:rFonts w:hint="eastAsia"/>
        </w:rPr>
        <w:t>《中华人民共和国国家安全法》</w:t>
      </w:r>
    </w:p>
    <w:p>
      <w:pPr>
        <w:numPr>
          <w:ilvl w:val="0"/>
          <w:numId w:val="5"/>
        </w:numPr>
        <w:spacing w:line="360" w:lineRule="auto"/>
        <w:ind w:left="0" w:firstLine="560"/>
      </w:pPr>
      <w:r>
        <w:rPr>
          <w:rFonts w:hint="eastAsia"/>
        </w:rPr>
        <w:t>《中华人民共和国网络安全法》</w:t>
      </w:r>
    </w:p>
    <w:p>
      <w:pPr>
        <w:numPr>
          <w:ilvl w:val="0"/>
          <w:numId w:val="5"/>
        </w:numPr>
        <w:spacing w:line="360" w:lineRule="auto"/>
        <w:ind w:left="0" w:firstLine="560"/>
      </w:pPr>
      <w:r>
        <w:t>《</w:t>
      </w:r>
      <w:r>
        <w:rPr>
          <w:rFonts w:hint="eastAsia"/>
        </w:rPr>
        <w:t>中华人民共和国密码法</w:t>
      </w:r>
      <w:r>
        <w:t>》</w:t>
      </w:r>
    </w:p>
    <w:p>
      <w:pPr>
        <w:numPr>
          <w:ilvl w:val="0"/>
          <w:numId w:val="5"/>
        </w:numPr>
        <w:spacing w:line="360" w:lineRule="auto"/>
        <w:ind w:left="0" w:firstLine="560"/>
      </w:pPr>
      <w:r>
        <w:rPr>
          <w:rFonts w:hint="eastAsia"/>
        </w:rPr>
        <w:t>《中华人民共和国个人信息保护法》</w:t>
      </w:r>
    </w:p>
    <w:p>
      <w:pPr>
        <w:numPr>
          <w:ilvl w:val="0"/>
          <w:numId w:val="5"/>
        </w:numPr>
        <w:spacing w:line="360" w:lineRule="auto"/>
        <w:ind w:left="0" w:firstLine="560"/>
      </w:pPr>
      <w:r>
        <w:rPr>
          <w:rFonts w:hint="eastAsia"/>
        </w:rPr>
        <w:t>GB/T 16260.1-2021《软件工程产品质量要求 第1部分：通用要求》</w:t>
      </w:r>
    </w:p>
    <w:p>
      <w:pPr>
        <w:numPr>
          <w:ilvl w:val="0"/>
          <w:numId w:val="5"/>
        </w:numPr>
        <w:spacing w:line="360" w:lineRule="auto"/>
        <w:ind w:left="0" w:firstLine="560"/>
      </w:pPr>
      <w:r>
        <w:rPr>
          <w:rFonts w:hint="eastAsia"/>
        </w:rPr>
        <w:t>GB/T 16260.2-2021《软件工程产品质量要求 第2部分：安全性要求》</w:t>
      </w:r>
    </w:p>
    <w:p>
      <w:pPr>
        <w:numPr>
          <w:ilvl w:val="0"/>
          <w:numId w:val="5"/>
        </w:numPr>
        <w:spacing w:line="360" w:lineRule="auto"/>
        <w:ind w:left="0" w:firstLine="560"/>
      </w:pPr>
      <w:r>
        <w:rPr>
          <w:rFonts w:hint="eastAsia"/>
        </w:rPr>
        <w:t>GB/T36964-2018《软件工程软件开发成本度量规范》</w:t>
      </w:r>
    </w:p>
    <w:p>
      <w:pPr>
        <w:numPr>
          <w:ilvl w:val="0"/>
          <w:numId w:val="5"/>
        </w:numPr>
        <w:spacing w:line="360" w:lineRule="auto"/>
        <w:ind w:left="0" w:firstLine="560"/>
      </w:pPr>
      <w:r>
        <w:rPr>
          <w:rFonts w:hint="eastAsia"/>
        </w:rPr>
        <w:t>GB/T 35631-2017《软件工程软件生存周期过程》</w:t>
      </w:r>
    </w:p>
    <w:p>
      <w:pPr>
        <w:numPr>
          <w:ilvl w:val="0"/>
          <w:numId w:val="5"/>
        </w:numPr>
        <w:spacing w:line="360" w:lineRule="auto"/>
        <w:ind w:left="0" w:firstLine="560"/>
      </w:pPr>
      <w:r>
        <w:t>GB/T 8567-1988-2006《计算机软件产品开发文件编制指南》</w:t>
      </w:r>
    </w:p>
    <w:p>
      <w:pPr>
        <w:numPr>
          <w:ilvl w:val="0"/>
          <w:numId w:val="5"/>
        </w:numPr>
        <w:spacing w:line="360" w:lineRule="auto"/>
        <w:ind w:left="0" w:firstLine="560"/>
      </w:pPr>
      <w:r>
        <w:rPr>
          <w:rFonts w:hint="eastAsia"/>
        </w:rPr>
        <w:t>GB/T 20917.1-2021《软件工程测量过程 第1部分：通用要求》</w:t>
      </w:r>
    </w:p>
    <w:p>
      <w:pPr>
        <w:numPr>
          <w:ilvl w:val="0"/>
          <w:numId w:val="5"/>
        </w:numPr>
        <w:spacing w:line="360" w:lineRule="auto"/>
        <w:ind w:left="0" w:firstLine="560"/>
      </w:pPr>
      <w:r>
        <w:rPr>
          <w:rFonts w:hint="eastAsia"/>
        </w:rPr>
        <w:t>GB/T 20917.2-2021《软件工程测量过程 第2部分：安全性要求》</w:t>
      </w:r>
    </w:p>
    <w:p>
      <w:pPr>
        <w:numPr>
          <w:ilvl w:val="0"/>
          <w:numId w:val="5"/>
        </w:numPr>
        <w:spacing w:line="360" w:lineRule="auto"/>
        <w:ind w:left="0" w:firstLine="560"/>
      </w:pPr>
      <w:r>
        <w:t>GB/T 25069–2010《信息安全技术》术语</w:t>
      </w:r>
    </w:p>
    <w:p>
      <w:pPr>
        <w:numPr>
          <w:ilvl w:val="0"/>
          <w:numId w:val="5"/>
        </w:numPr>
        <w:spacing w:line="360" w:lineRule="auto"/>
        <w:ind w:left="0" w:firstLine="560"/>
      </w:pPr>
      <w:r>
        <w:rPr>
          <w:rFonts w:hint="eastAsia"/>
        </w:rPr>
        <w:t>GB/T 22080-2021《信息技术安全技术信息安全管理体系要求》</w:t>
      </w:r>
    </w:p>
    <w:p>
      <w:pPr>
        <w:numPr>
          <w:ilvl w:val="0"/>
          <w:numId w:val="5"/>
        </w:numPr>
        <w:spacing w:line="360" w:lineRule="auto"/>
        <w:ind w:left="0" w:firstLine="560"/>
      </w:pPr>
      <w:r>
        <w:rPr>
          <w:rFonts w:hint="eastAsia"/>
        </w:rPr>
        <w:t>GB/T 22239-2008《信息安全技术信息系统安全管理要求》</w:t>
      </w:r>
    </w:p>
    <w:p>
      <w:pPr>
        <w:numPr>
          <w:ilvl w:val="0"/>
          <w:numId w:val="5"/>
        </w:numPr>
        <w:spacing w:line="360" w:lineRule="auto"/>
        <w:ind w:left="0" w:firstLine="560"/>
      </w:pPr>
      <w:r>
        <w:rPr>
          <w:rFonts w:hint="eastAsia"/>
        </w:rPr>
        <w:t>GB/T 39326-2020《信息安全技术信息安全风险评估规范》</w:t>
      </w:r>
    </w:p>
    <w:p>
      <w:pPr>
        <w:numPr>
          <w:ilvl w:val="0"/>
          <w:numId w:val="5"/>
        </w:numPr>
        <w:spacing w:line="360" w:lineRule="auto"/>
        <w:ind w:left="0" w:firstLine="560"/>
      </w:pPr>
      <w:r>
        <w:t>GB/T 22240–2019《信息安全技术信息系统安全等级保护定级指南》</w:t>
      </w:r>
    </w:p>
    <w:p>
      <w:pPr>
        <w:numPr>
          <w:ilvl w:val="0"/>
          <w:numId w:val="5"/>
        </w:numPr>
        <w:spacing w:line="360" w:lineRule="auto"/>
        <w:ind w:left="0" w:firstLine="560"/>
      </w:pPr>
      <w:r>
        <w:t>GB/T 22239–2019《信息安全技术网络安全等级保护基本要求》</w:t>
      </w:r>
    </w:p>
    <w:p>
      <w:pPr>
        <w:numPr>
          <w:ilvl w:val="0"/>
          <w:numId w:val="5"/>
        </w:numPr>
        <w:spacing w:line="360" w:lineRule="auto"/>
        <w:ind w:left="0" w:firstLine="560"/>
      </w:pPr>
      <w:r>
        <w:t>GB/T 31167–2014《信息安全技术云计算服务安全指南》</w:t>
      </w:r>
    </w:p>
    <w:p>
      <w:pPr>
        <w:numPr>
          <w:ilvl w:val="0"/>
          <w:numId w:val="5"/>
        </w:numPr>
        <w:spacing w:line="360" w:lineRule="auto"/>
        <w:ind w:left="0" w:firstLine="560"/>
      </w:pPr>
      <w:r>
        <w:t>GB/T 31168–2014《信息安全技术云计算服务安全能力要求》</w:t>
      </w:r>
    </w:p>
    <w:p>
      <w:pPr>
        <w:pStyle w:val="3"/>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14:textFill>
            <w14:solidFill>
              <w14:schemeClr w14:val="tx1"/>
            </w14:solidFill>
          </w14:textFill>
        </w:rPr>
        <w:t>技术框架要求</w:t>
      </w:r>
    </w:p>
    <w:p>
      <w:pPr>
        <w:ind w:firstLine="560"/>
        <w:rPr>
          <w:rFonts w:hint="eastAsia" w:asciiTheme="minorEastAsia" w:hAnsiTheme="minorEastAsia" w:eastAsiaTheme="minorEastAsia" w:cstheme="minorEastAsia"/>
        </w:rPr>
      </w:pPr>
      <w:r>
        <w:rPr>
          <w:rFonts w:hint="eastAsia" w:asciiTheme="minorEastAsia" w:hAnsiTheme="minorEastAsia" w:eastAsiaTheme="minorEastAsia" w:cstheme="minorEastAsia"/>
        </w:rPr>
        <w:t>临港新片区人才服务信息管理系统建设项目</w:t>
      </w:r>
      <w:r>
        <w:rPr>
          <w:rFonts w:hint="eastAsia" w:ascii="仿宋" w:hAnsi="仿宋" w:cs="Times New Roman"/>
          <w:color w:val="000000" w:themeColor="text1"/>
          <w:szCs w:val="28"/>
          <w14:textFill>
            <w14:solidFill>
              <w14:schemeClr w14:val="tx1"/>
            </w14:solidFill>
          </w14:textFill>
        </w:rPr>
        <w:t>的建设应以用户需求为导向、以目标达成为宗旨、以任务实现为要点，符合“高内聚、低耦合”的先进软件设计理念，满足应用及服务的对接与集成，在保持各系统独立性的同时，又要促使系统的相互统一、数据共享与互操作。系统需基于成熟的应用开发平台进行设计和开发，并采用国际、国内先进、成熟的技术标准。同时综合考虑部署环境、运行使用环境、系统维护和技术的发展，本项目应满足如下要求：</w:t>
      </w:r>
    </w:p>
    <w:p>
      <w:pPr>
        <w:ind w:firstLine="56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国产化要求：系统的建设需全面采用国产软硬件及技术标准，以确保信息系统的自主可控与国产化要求。系统设计应该采用多种成熟、稳定、高可用性技术保证关键业务的连续不间断运作和对非正常情况的可靠处理。</w:t>
      </w:r>
    </w:p>
    <w:p>
      <w:pPr>
        <w:ind w:firstLine="56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（2）复用性与兼容性：最大化复用已建成系统的功能模块、数据库结构和接口服务，减少重复开发成本。</w:t>
      </w:r>
    </w:p>
    <w:p>
      <w:pPr>
        <w:ind w:firstLine="56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（3）模块化与微服务架构：采用模块化设计，将系统划分为多个独立且可复用的微服务，提高系统的可扩展性、可维护性和故障隔离能力。</w:t>
      </w:r>
    </w:p>
    <w:p>
      <w:pPr>
        <w:ind w:firstLine="56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（4）标准化与接口规范：制定严格的编码规范、数据标准和接口协议，确保系统内部各组件及与外部系统的有效通信与集成。</w:t>
      </w:r>
    </w:p>
    <w:p>
      <w:pPr>
        <w:ind w:firstLine="56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（5）性能优化与负载均衡：实施性能监控、缓存策略和负载均衡机制，确保系统在高并发、大数据量场景下的稳定运行和高效响应。</w:t>
      </w:r>
    </w:p>
    <w:p>
      <w:pPr>
        <w:ind w:firstLine="56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6）安全性与数据保护：加强系统的安全防护，包括数据加密、访问控制、防火墙和入侵检测等，确保用户数据和系统安全不受威胁。保证系统数据处理的一致性，保证业务和数据不被非法获取和篡改，保证数据不因意外情况丢失和损坏，保证信息传输时对使用者、发送和接收者的身份确认，提供多种安全检查审计手段，实现整个平台的安全性。</w:t>
      </w:r>
    </w:p>
    <w:p>
      <w:pPr>
        <w:ind w:firstLine="56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（7）可观测性与故障排查：集成日志管理、性能监控和错误跟踪系统，提供全面的可观测性，便于快速定位和解决系统问题。</w:t>
      </w:r>
    </w:p>
    <w:p>
      <w:pPr>
        <w:ind w:firstLine="560"/>
        <w:rPr>
          <w:rFonts w:hint="eastAsia"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（8）用户体验与界面优化：关注用户界面和交互设计，确保升级后的系统易于使用、响应迅速，提升用户满意度和操作效率。</w:t>
      </w:r>
    </w:p>
    <w:p>
      <w:pPr>
        <w:pStyle w:val="3"/>
        <w:rPr>
          <w:rFonts w:hint="eastAsia"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lang w:eastAsia="zh-CN"/>
          <w14:textFill>
            <w14:solidFill>
              <w14:schemeClr w14:val="tx1"/>
            </w14:solidFill>
          </w14:textFill>
        </w:rPr>
        <w:t>采购</w:t>
      </w:r>
      <w:r>
        <w:rPr>
          <w:rFonts w:hint="eastAsia" w:asciiTheme="majorEastAsia" w:hAnsiTheme="majorEastAsia" w:eastAsiaTheme="majorEastAsia" w:cstheme="majorEastAsia"/>
          <w:color w:val="000000" w:themeColor="text1"/>
          <w14:textFill>
            <w14:solidFill>
              <w14:schemeClr w14:val="tx1"/>
            </w14:solidFill>
          </w14:textFill>
        </w:rPr>
        <w:t>内容及质量要求</w:t>
      </w:r>
    </w:p>
    <w:p>
      <w:pPr>
        <w:pStyle w:val="4"/>
        <w:ind w:left="1000" w:leftChars="0" w:firstLineChars="0"/>
        <w:rPr>
          <w:rFonts w:hint="eastAsia" w:asciiTheme="majorEastAsia" w:hAnsiTheme="majorEastAsia" w:eastAsiaTheme="majorEastAsia" w:cstheme="minorEastAsia"/>
          <w:sz w:val="28"/>
          <w:szCs w:val="28"/>
        </w:rPr>
      </w:pPr>
      <w:r>
        <w:rPr>
          <w:rFonts w:hint="eastAsia" w:asciiTheme="majorEastAsia" w:hAnsiTheme="majorEastAsia" w:eastAsiaTheme="majorEastAsia" w:cstheme="minorEastAsia"/>
          <w:sz w:val="28"/>
          <w:szCs w:val="28"/>
          <w:lang w:eastAsia="zh-CN"/>
        </w:rPr>
        <w:t>采购</w:t>
      </w:r>
      <w:r>
        <w:rPr>
          <w:rFonts w:hint="eastAsia" w:asciiTheme="majorEastAsia" w:hAnsiTheme="majorEastAsia" w:eastAsiaTheme="majorEastAsia" w:cstheme="minorEastAsia"/>
          <w:sz w:val="28"/>
          <w:szCs w:val="28"/>
        </w:rPr>
        <w:t>清单</w:t>
      </w:r>
    </w:p>
    <w:tbl>
      <w:tblPr>
        <w:tblStyle w:val="1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50"/>
        <w:gridCol w:w="557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序号</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子系统名称</w:t>
            </w:r>
          </w:p>
        </w:tc>
        <w:tc>
          <w:tcPr>
            <w:tcW w:w="5570"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功能及技术指标</w:t>
            </w:r>
          </w:p>
        </w:tc>
        <w:tc>
          <w:tcPr>
            <w:tcW w:w="816"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1</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szCs w:val="28"/>
                <w:lang w:val="zh-CN"/>
              </w:rPr>
              <w:t>系统门户</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用户登录、注册中心、忘记密码。详见2.3.2.各子系统具体要求。</w:t>
            </w:r>
          </w:p>
        </w:tc>
        <w:tc>
          <w:tcPr>
            <w:tcW w:w="816"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2</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szCs w:val="28"/>
              </w:rPr>
              <w:t>人才服务中心</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政策服务、看房选房服务、我的申请、个人信息管理、爱心寒暑托班报名子系统。详见2.3.2.各子系统具体要求。</w:t>
            </w:r>
          </w:p>
        </w:tc>
        <w:tc>
          <w:tcPr>
            <w:tcW w:w="816" w:type="dxa"/>
            <w:vAlign w:val="center"/>
          </w:tcPr>
          <w:p>
            <w:pPr>
              <w:ind w:firstLine="0" w:firstLineChars="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3</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szCs w:val="28"/>
              </w:rPr>
              <w:t>企业服务中心</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政策服务、企业申请、企业服务、企业年金、综合查询。详见2.3.2.各子系统具体要求。</w:t>
            </w:r>
          </w:p>
        </w:tc>
        <w:tc>
          <w:tcPr>
            <w:tcW w:w="816" w:type="dxa"/>
            <w:vAlign w:val="center"/>
          </w:tcPr>
          <w:p>
            <w:pPr>
              <w:ind w:firstLine="0" w:firstLineChars="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4</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szCs w:val="28"/>
              </w:rPr>
              <w:t>业务审批管理</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小区公寓服务管理、住房业务管理、企业年金管理、菁才卡管理、审批中心。详见2.3.2.各子系统具体要求。</w:t>
            </w:r>
          </w:p>
        </w:tc>
        <w:tc>
          <w:tcPr>
            <w:tcW w:w="816" w:type="dxa"/>
            <w:vAlign w:val="center"/>
          </w:tcPr>
          <w:p>
            <w:pPr>
              <w:ind w:firstLine="0" w:firstLineChars="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5</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szCs w:val="28"/>
              </w:rPr>
              <w:t>基础数据库管理与治理</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人才库管理、企业库管理、政策管理、基于AI和大模型技术的人才政策知识图谱、基于AI和大模型技术的人才评价体系、基于AI和大模型技术的企业政策包评价体系。详见2.3.2.各子系统具体要求。</w:t>
            </w:r>
          </w:p>
        </w:tc>
        <w:tc>
          <w:tcPr>
            <w:tcW w:w="816" w:type="dxa"/>
            <w:vAlign w:val="center"/>
          </w:tcPr>
          <w:p>
            <w:pPr>
              <w:ind w:firstLine="0" w:firstLineChars="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6</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政策数据查询和分析</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政策数据综合查询、数据可视化统计分析。详见2.3.2.各子系统具体要求。</w:t>
            </w:r>
          </w:p>
        </w:tc>
        <w:tc>
          <w:tcPr>
            <w:tcW w:w="816" w:type="dxa"/>
            <w:vAlign w:val="center"/>
          </w:tcPr>
          <w:p>
            <w:pPr>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7</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系统互通接口对接</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一网通办接口对接、财政系统接口对接、电子签章接口对接、二代身份证、企业营业执照的OCR接口对接、临港新片区统一身份认证平台接口对接、临港新片区短信服务平台接口对接、密码应用服务接口对接、公共数据管理与赋能平台接口对接、OSS文件存储系统接口对接、临港档案系统接口对接。详见2.3.2.各子系统具体要求。</w:t>
            </w:r>
          </w:p>
        </w:tc>
        <w:tc>
          <w:tcPr>
            <w:tcW w:w="816" w:type="dxa"/>
            <w:vAlign w:val="center"/>
          </w:tcPr>
          <w:p>
            <w:pPr>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8</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系统管理</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组织管理、人员管理、角色管理、用户组管理、流程管理、监控管理、任务管理、日志管理、地区管理、用户隐私二次认证、系统消息管理、通知短信模块。详见2.3.2.各子系统具体要求。</w:t>
            </w:r>
          </w:p>
        </w:tc>
        <w:tc>
          <w:tcPr>
            <w:tcW w:w="816" w:type="dxa"/>
            <w:vAlign w:val="center"/>
          </w:tcPr>
          <w:p>
            <w:pPr>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9" w:type="dxa"/>
            <w:vAlign w:val="center"/>
          </w:tcPr>
          <w:p>
            <w:pPr>
              <w:adjustRightInd w:val="0"/>
              <w:snapToGrid w:val="0"/>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9</w:t>
            </w:r>
          </w:p>
        </w:tc>
        <w:tc>
          <w:tcPr>
            <w:tcW w:w="1750" w:type="dxa"/>
            <w:vAlign w:val="center"/>
          </w:tcPr>
          <w:p>
            <w:pPr>
              <w:adjustRightInd w:val="0"/>
              <w:snapToGrid w:val="0"/>
              <w:ind w:firstLine="0" w:firstLineChars="0"/>
              <w:jc w:val="center"/>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历史数据迁移</w:t>
            </w:r>
          </w:p>
        </w:tc>
        <w:tc>
          <w:tcPr>
            <w:tcW w:w="5570" w:type="dxa"/>
            <w:vAlign w:val="center"/>
          </w:tcPr>
          <w:p>
            <w:pPr>
              <w:adjustRightInd w:val="0"/>
              <w:snapToGrid w:val="0"/>
              <w:ind w:firstLine="0" w:firstLineChars="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rPr>
              <w:t>用户数据迁移、政策申请数据迁移。详见2.3.2.各子系统具体要求。</w:t>
            </w:r>
          </w:p>
        </w:tc>
        <w:tc>
          <w:tcPr>
            <w:tcW w:w="816" w:type="dxa"/>
            <w:vAlign w:val="center"/>
          </w:tcPr>
          <w:p>
            <w:pPr>
              <w:ind w:firstLine="0" w:firstLineChars="0"/>
              <w:jc w:val="center"/>
              <w:rPr>
                <w:rFonts w:hint="eastAsia" w:asciiTheme="minorEastAsia" w:hAnsiTheme="minorEastAsia" w:eastAsiaTheme="minorEastAsia" w:cstheme="minorEastAsia"/>
                <w:b/>
                <w:szCs w:val="28"/>
              </w:rPr>
            </w:pPr>
            <w:r>
              <w:rPr>
                <w:rFonts w:hint="eastAsia" w:asciiTheme="minorEastAsia" w:hAnsiTheme="minorEastAsia" w:eastAsiaTheme="minorEastAsia" w:cstheme="minorEastAsia"/>
                <w:b/>
                <w:szCs w:val="28"/>
              </w:rPr>
              <w:t>●</w:t>
            </w:r>
          </w:p>
        </w:tc>
      </w:tr>
    </w:tbl>
    <w:p>
      <w:pPr>
        <w:ind w:firstLine="562"/>
        <w:rPr>
          <w:rFonts w:hint="eastAsia" w:asciiTheme="minorEastAsia" w:hAnsiTheme="minorEastAsia" w:eastAsiaTheme="minorEastAsia" w:cstheme="minorEastAsia"/>
          <w:b/>
          <w:bCs/>
          <w:color w:val="000000" w:themeColor="text1"/>
          <w:sz w:val="24"/>
          <w:szCs w:val="22"/>
          <w:u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2"/>
          <w:u w:val="none"/>
          <w14:textFill>
            <w14:solidFill>
              <w14:schemeClr w14:val="tx1"/>
            </w14:solidFill>
          </w14:textFill>
        </w:rPr>
        <w:t>说明：上表中所列为本次</w:t>
      </w:r>
      <w:r>
        <w:rPr>
          <w:rFonts w:hint="eastAsia" w:asciiTheme="minorEastAsia" w:hAnsiTheme="minorEastAsia" w:eastAsiaTheme="minorEastAsia" w:cstheme="minorEastAsia"/>
          <w:b/>
          <w:bCs/>
          <w:color w:val="000000" w:themeColor="text1"/>
          <w:sz w:val="24"/>
          <w:szCs w:val="22"/>
          <w:u w:val="none"/>
          <w:lang w:eastAsia="zh-CN"/>
          <w14:textFill>
            <w14:solidFill>
              <w14:schemeClr w14:val="tx1"/>
            </w14:solidFill>
          </w14:textFill>
        </w:rPr>
        <w:t>采购</w:t>
      </w:r>
      <w:r>
        <w:rPr>
          <w:rFonts w:hint="eastAsia" w:asciiTheme="minorEastAsia" w:hAnsiTheme="minorEastAsia" w:eastAsiaTheme="minorEastAsia" w:cstheme="minorEastAsia"/>
          <w:b/>
          <w:bCs/>
          <w:color w:val="000000" w:themeColor="text1"/>
          <w:sz w:val="24"/>
          <w:szCs w:val="22"/>
          <w:u w:val="none"/>
          <w14:textFill>
            <w14:solidFill>
              <w14:schemeClr w14:val="tx1"/>
            </w14:solidFill>
          </w14:textFill>
        </w:rPr>
        <w:t>的主要工作内容，其中“●”标记的内容为本项目的核心工作内容，供应商不得减少核心模块。</w:t>
      </w:r>
    </w:p>
    <w:p>
      <w:pPr>
        <w:ind w:firstLine="562"/>
        <w:rPr>
          <w:rFonts w:hint="eastAsia" w:asciiTheme="minorEastAsia" w:hAnsiTheme="minorEastAsia" w:eastAsiaTheme="minorEastAsia" w:cstheme="minorEastAsia"/>
          <w:b/>
          <w:bCs/>
          <w:color w:val="000000" w:themeColor="text1"/>
          <w:sz w:val="24"/>
          <w:szCs w:val="22"/>
          <w:u w:val="none"/>
          <w14:textFill>
            <w14:solidFill>
              <w14:schemeClr w14:val="tx1"/>
            </w14:solidFill>
          </w14:textFill>
        </w:rPr>
      </w:pPr>
    </w:p>
    <w:p>
      <w:pPr>
        <w:pStyle w:val="4"/>
        <w:ind w:left="1000" w:leftChars="0" w:firstLineChars="0"/>
        <w:rPr>
          <w:rFonts w:hint="eastAsia" w:asciiTheme="majorEastAsia" w:hAnsiTheme="majorEastAsia" w:eastAsiaTheme="majorEastAsia" w:cstheme="minorEastAsia"/>
          <w:sz w:val="28"/>
          <w:szCs w:val="28"/>
        </w:rPr>
      </w:pPr>
      <w:r>
        <w:rPr>
          <w:rFonts w:hint="eastAsia" w:asciiTheme="majorEastAsia" w:hAnsiTheme="majorEastAsia" w:eastAsiaTheme="majorEastAsia" w:cstheme="minorEastAsia"/>
          <w:sz w:val="28"/>
          <w:szCs w:val="28"/>
        </w:rPr>
        <w:t>各模块具体要求</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系统门户</w:t>
      </w:r>
    </w:p>
    <w:p>
      <w:pPr>
        <w:pStyle w:val="6"/>
        <w:numPr>
          <w:ilvl w:val="0"/>
          <w:numId w:val="6"/>
        </w:numPr>
        <w:spacing w:before="0" w:after="0" w:line="360" w:lineRule="auto"/>
        <w:ind w:firstLineChars="0"/>
      </w:pPr>
      <w:r>
        <w:rPr>
          <w:rFonts w:hint="eastAsia"/>
        </w:rPr>
        <w:t>用户登录</w:t>
      </w:r>
    </w:p>
    <w:p>
      <w:pPr>
        <w:ind w:firstLine="560"/>
      </w:pPr>
      <w:r>
        <w:rPr>
          <w:rFonts w:hint="eastAsia"/>
        </w:rPr>
        <w:t>实现个人用户、企业用户、公寓管理业务管理用户、年金管理业务管理用户、菁才卡管理业务管理用户、审批用户及系统管理用户的登录。</w:t>
      </w:r>
    </w:p>
    <w:p>
      <w:pPr>
        <w:ind w:firstLine="560"/>
      </w:pPr>
      <w:r>
        <w:rPr>
          <w:rFonts w:hint="eastAsia"/>
        </w:rPr>
        <w:t>个人用户、企业用户实现账号密码登录、手机登录、一网通办登录三种登录方式。</w:t>
      </w:r>
    </w:p>
    <w:p>
      <w:pPr>
        <w:ind w:firstLine="560"/>
      </w:pPr>
      <w:r>
        <w:rPr>
          <w:rFonts w:hint="eastAsia"/>
        </w:rPr>
        <w:t>审批用户及系统管理用户在政务外网区登录时，利用临港新片区统一身份认证平台验证后实现系统登录。</w:t>
      </w:r>
    </w:p>
    <w:p>
      <w:pPr>
        <w:pStyle w:val="6"/>
        <w:numPr>
          <w:ilvl w:val="0"/>
          <w:numId w:val="6"/>
        </w:numPr>
        <w:spacing w:before="0" w:after="0" w:line="360" w:lineRule="auto"/>
        <w:ind w:firstLineChars="0"/>
      </w:pPr>
      <w:r>
        <w:rPr>
          <w:rFonts w:hint="eastAsia"/>
        </w:rPr>
        <w:t>注册中心</w:t>
      </w:r>
    </w:p>
    <w:p>
      <w:pPr>
        <w:ind w:firstLine="560"/>
      </w:pPr>
      <w:r>
        <w:rPr>
          <w:rFonts w:hint="eastAsia"/>
        </w:rPr>
        <w:t>实现个人用户、企业用户的注册，实现两种注册方式：</w:t>
      </w:r>
    </w:p>
    <w:p>
      <w:pPr>
        <w:ind w:firstLine="560"/>
      </w:pPr>
      <w:r>
        <w:rPr>
          <w:rFonts w:hint="eastAsia"/>
        </w:rPr>
        <w:t>一种是填写注册，即个人用户进行注册信息填写，上传个人身份证及参保人员城镇职工基本养老保险缴费情况后提交；企业用户进行注册信息填写企业名称，企业纳税人识别号，企业注册地址等信息，上传企业营业执照后提交；</w:t>
      </w:r>
    </w:p>
    <w:p>
      <w:pPr>
        <w:ind w:firstLine="560"/>
      </w:pPr>
      <w:r>
        <w:rPr>
          <w:rFonts w:hint="eastAsia"/>
        </w:rPr>
        <w:t>一种是一网通办登录注册，即个人用户、企业用户首先进行“一网通办”登录，登录完成后，如果该用户未注册，则进入填写注册页面进行注册，系统同时从一网通办获取身份证号码，统一信用代码等用户注册信息。</w:t>
      </w:r>
    </w:p>
    <w:p>
      <w:pPr>
        <w:pStyle w:val="6"/>
        <w:numPr>
          <w:ilvl w:val="0"/>
          <w:numId w:val="6"/>
        </w:numPr>
        <w:spacing w:before="0" w:after="0" w:line="360" w:lineRule="auto"/>
        <w:ind w:firstLineChars="0"/>
      </w:pPr>
      <w:r>
        <w:rPr>
          <w:rFonts w:hint="eastAsia"/>
        </w:rPr>
        <w:t>忘记密码</w:t>
      </w:r>
    </w:p>
    <w:p>
      <w:pPr>
        <w:ind w:firstLine="560"/>
      </w:pPr>
      <w:r>
        <w:rPr>
          <w:rFonts w:hint="eastAsia"/>
        </w:rPr>
        <w:t>实现用户填写手机号码、身份号码、统一信用代码、电子邮箱后，输入手机验证码后点击找回密码，系统将通过身份证号码、统一信用代码、手机号码与注册账号信息进行比对，比对成功后将通过邮件的形式将重置密码页面链接发给用户，用户进入该页面后，重置成功后即可成功登录。</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人才服务中心</w:t>
      </w:r>
    </w:p>
    <w:p>
      <w:pPr>
        <w:pStyle w:val="6"/>
        <w:numPr>
          <w:ilvl w:val="0"/>
          <w:numId w:val="7"/>
        </w:numPr>
        <w:spacing w:before="0" w:after="0" w:line="360" w:lineRule="auto"/>
        <w:ind w:firstLineChars="0"/>
      </w:pPr>
      <w:bookmarkStart w:id="7" w:name="_Toc157417087"/>
      <w:bookmarkStart w:id="8" w:name="_Toc109127620"/>
      <w:bookmarkStart w:id="9" w:name="_Toc20024"/>
      <w:bookmarkStart w:id="10" w:name="_Toc9461"/>
      <w:bookmarkStart w:id="11" w:name="_Toc20489"/>
      <w:bookmarkStart w:id="12" w:name="_Toc147814698"/>
      <w:bookmarkStart w:id="13" w:name="_Toc148103552"/>
      <w:r>
        <w:rPr>
          <w:rFonts w:hint="eastAsia"/>
        </w:rPr>
        <w:t>政策服务</w:t>
      </w:r>
    </w:p>
    <w:p>
      <w:pPr>
        <w:ind w:firstLine="560"/>
      </w:pPr>
      <w:r>
        <w:rPr>
          <w:rFonts w:hint="eastAsia"/>
        </w:rPr>
        <w:t>实现新增政策申请服务包括：国际人才公寓申请，大学生实习补贴申请，人才企业年金计划申请，菁才卡申请，购房补贴申请，租房补贴申请以及原有政策申请服务功能的升级，原有政策申请服务包括：人才住房政策（临港），人才住房政策（奉贤），人才住房政策（浦东新区），职业技能培训补贴政策，人才公寓政策，人才安家补贴政策。</w:t>
      </w:r>
    </w:p>
    <w:p>
      <w:pPr>
        <w:pStyle w:val="6"/>
        <w:numPr>
          <w:ilvl w:val="0"/>
          <w:numId w:val="7"/>
        </w:numPr>
        <w:spacing w:before="0" w:after="0" w:line="360" w:lineRule="auto"/>
        <w:ind w:firstLineChars="0"/>
      </w:pPr>
      <w:r>
        <w:rPr>
          <w:rFonts w:hint="eastAsia"/>
        </w:rPr>
        <w:t>看房选房服务</w:t>
      </w:r>
    </w:p>
    <w:p>
      <w:pPr>
        <w:ind w:firstLine="560"/>
      </w:pPr>
      <w:r>
        <w:rPr>
          <w:rFonts w:hint="eastAsia"/>
        </w:rPr>
        <w:t>实现个人用户的人才公寓看房选房及选房候选的功能。</w:t>
      </w:r>
    </w:p>
    <w:p>
      <w:pPr>
        <w:ind w:firstLine="560"/>
      </w:pPr>
      <w:r>
        <w:rPr>
          <w:rFonts w:hint="eastAsia"/>
        </w:rPr>
        <w:t>用户通过地图查看可选择公寓的位置。也可以在地图中搜索公寓或查看可选公寓列表点击公寓详情可查看可选小区和公寓的房型，周边环境等。</w:t>
      </w:r>
    </w:p>
    <w:p>
      <w:pPr>
        <w:ind w:firstLine="560"/>
      </w:pPr>
      <w:r>
        <w:rPr>
          <w:rFonts w:hint="eastAsia"/>
        </w:rPr>
        <w:t>用户点击公寓申请，填写相关个人信息后，提交公寓申请，系统会根据人才类型以及审批情况自动判断该用户是否具备选房资格。用户可选择公寓候选。一个用户可限定候选三个公寓房型。</w:t>
      </w:r>
    </w:p>
    <w:p>
      <w:pPr>
        <w:pStyle w:val="6"/>
        <w:numPr>
          <w:ilvl w:val="0"/>
          <w:numId w:val="7"/>
        </w:numPr>
        <w:spacing w:before="0" w:after="0" w:line="360" w:lineRule="auto"/>
        <w:ind w:firstLineChars="0"/>
      </w:pPr>
      <w:r>
        <w:rPr>
          <w:rFonts w:hint="eastAsia"/>
        </w:rPr>
        <w:t>我的申请</w:t>
      </w:r>
    </w:p>
    <w:p>
      <w:pPr>
        <w:ind w:firstLine="560"/>
      </w:pPr>
      <w:r>
        <w:rPr>
          <w:rFonts w:hint="eastAsia"/>
        </w:rPr>
        <w:t>实现个人用户查看已申请政策申请列表、政策申请的补件功能、撤销功能以及人才住房认定函的创建与下载</w:t>
      </w:r>
      <w:r>
        <w:rPr>
          <w:rFonts w:hint="eastAsia"/>
          <w:lang w:eastAsia="zh-CN"/>
        </w:rPr>
        <w:t>功能</w:t>
      </w:r>
      <w:r>
        <w:rPr>
          <w:rFonts w:hint="eastAsia"/>
        </w:rPr>
        <w:t>。</w:t>
      </w:r>
    </w:p>
    <w:p>
      <w:pPr>
        <w:ind w:firstLine="560"/>
      </w:pPr>
      <w:r>
        <w:rPr>
          <w:rFonts w:hint="eastAsia"/>
        </w:rPr>
        <w:t>政策申请列表可查看个人用户已经发起的申请以及申请状态，也可以查看历史已经完成申请或终止申请的内容等。</w:t>
      </w:r>
    </w:p>
    <w:p>
      <w:pPr>
        <w:ind w:firstLine="560"/>
      </w:pPr>
      <w:r>
        <w:rPr>
          <w:rFonts w:hint="eastAsia"/>
        </w:rPr>
        <w:t>申请状态包括：未提交；审核中；已通过；驳回、待提交；通过、待补件 ；未通过、已终止 ；补件超时、未通过。补充材料时需要进行相关提示。</w:t>
      </w:r>
    </w:p>
    <w:p>
      <w:pPr>
        <w:pStyle w:val="6"/>
        <w:numPr>
          <w:ilvl w:val="0"/>
          <w:numId w:val="7"/>
        </w:numPr>
        <w:spacing w:before="0" w:after="0" w:line="360" w:lineRule="auto"/>
        <w:ind w:firstLineChars="0"/>
      </w:pPr>
      <w:r>
        <w:rPr>
          <w:rFonts w:hint="eastAsia"/>
        </w:rPr>
        <w:t>个人信息管理</w:t>
      </w:r>
    </w:p>
    <w:p>
      <w:pPr>
        <w:ind w:firstLine="560"/>
      </w:pPr>
      <w:r>
        <w:rPr>
          <w:rFonts w:hint="eastAsia"/>
        </w:rPr>
        <w:t>实现个人信息维护、所属企业变更申请，政策关联以及个人资料库功能。</w:t>
      </w:r>
    </w:p>
    <w:p>
      <w:pPr>
        <w:ind w:firstLine="560"/>
      </w:pPr>
      <w:r>
        <w:rPr>
          <w:rFonts w:hint="eastAsia"/>
        </w:rPr>
        <w:t>个人所属企业变更中，相关政策申请不可发起。</w:t>
      </w:r>
    </w:p>
    <w:p>
      <w:pPr>
        <w:ind w:firstLine="560"/>
      </w:pPr>
      <w:r>
        <w:rPr>
          <w:rFonts w:hint="eastAsia"/>
        </w:rPr>
        <w:t>政策关联可实现查看已关联政策以及针对政府新出台的政策，基于人才画像及企业政策包大模型，以及人才资质和信息，实现关联政策的自动提醒和推荐。</w:t>
      </w:r>
    </w:p>
    <w:p>
      <w:pPr>
        <w:pStyle w:val="6"/>
        <w:numPr>
          <w:ilvl w:val="0"/>
          <w:numId w:val="7"/>
        </w:numPr>
        <w:spacing w:before="0" w:after="0" w:line="360" w:lineRule="auto"/>
        <w:ind w:firstLineChars="0"/>
      </w:pPr>
      <w:r>
        <w:rPr>
          <w:rFonts w:hint="eastAsia"/>
        </w:rPr>
        <w:t>爱心寒暑托班报名子系统</w:t>
      </w:r>
    </w:p>
    <w:p>
      <w:pPr>
        <w:ind w:firstLine="560"/>
      </w:pPr>
      <w:r>
        <w:rPr>
          <w:rFonts w:hint="eastAsia"/>
        </w:rPr>
        <w:t>通过数字化手段，简化报名流程，提高报名效率，为家长提供更加便捷、透明的报名服务。该模块功能包括：随申办市民云用户对接，随申办市民云系统通知对接，报名申请以及报名系统后台管理等。</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企业服务中心</w:t>
      </w:r>
    </w:p>
    <w:p>
      <w:pPr>
        <w:pStyle w:val="6"/>
        <w:numPr>
          <w:ilvl w:val="0"/>
          <w:numId w:val="8"/>
        </w:numPr>
        <w:spacing w:before="0" w:after="0" w:line="360" w:lineRule="auto"/>
        <w:ind w:firstLineChars="0"/>
      </w:pPr>
      <w:r>
        <w:rPr>
          <w:rFonts w:hint="eastAsia"/>
        </w:rPr>
        <w:t>政策服务</w:t>
      </w:r>
    </w:p>
    <w:p>
      <w:pPr>
        <w:ind w:firstLine="560"/>
      </w:pPr>
      <w:r>
        <w:rPr>
          <w:rFonts w:hint="eastAsia"/>
        </w:rPr>
        <w:t>实现新增政策申请包括：企业人才公寓资格认定申请，人才企业年金计划准入申请，企业人才住房资格认定申请以及原有企业政策申请服务功能升级，包括：临港英才奖励政策。</w:t>
      </w:r>
    </w:p>
    <w:p>
      <w:pPr>
        <w:pStyle w:val="6"/>
        <w:numPr>
          <w:ilvl w:val="0"/>
          <w:numId w:val="8"/>
        </w:numPr>
        <w:spacing w:before="0" w:after="0" w:line="360" w:lineRule="auto"/>
        <w:ind w:firstLineChars="0"/>
      </w:pPr>
      <w:r>
        <w:rPr>
          <w:rFonts w:hint="eastAsia"/>
        </w:rPr>
        <w:t>企业申请</w:t>
      </w:r>
    </w:p>
    <w:p>
      <w:pPr>
        <w:ind w:firstLine="560"/>
      </w:pPr>
      <w:r>
        <w:rPr>
          <w:rFonts w:hint="eastAsia"/>
        </w:rPr>
        <w:t>在此功能中可查看企业用户已经发起的申请以及申请状态，也可以查看历史已经完成申请或终止申请的内容等。</w:t>
      </w:r>
    </w:p>
    <w:p>
      <w:pPr>
        <w:pStyle w:val="6"/>
        <w:numPr>
          <w:ilvl w:val="0"/>
          <w:numId w:val="8"/>
        </w:numPr>
        <w:spacing w:before="0" w:after="0" w:line="360" w:lineRule="auto"/>
        <w:ind w:firstLineChars="0"/>
      </w:pPr>
      <w:r>
        <w:rPr>
          <w:rFonts w:hint="eastAsia"/>
        </w:rPr>
        <w:t>企业服务</w:t>
      </w:r>
    </w:p>
    <w:p>
      <w:pPr>
        <w:ind w:firstLine="560"/>
      </w:pPr>
      <w:r>
        <w:rPr>
          <w:rFonts w:hint="eastAsia"/>
        </w:rPr>
        <w:t>实现我的审批、关联政策、员工资格认定以及企业信息维护等功能。</w:t>
      </w:r>
    </w:p>
    <w:p>
      <w:pPr>
        <w:ind w:firstLine="560"/>
      </w:pPr>
      <w:r>
        <w:rPr>
          <w:rFonts w:hint="eastAsia"/>
        </w:rPr>
        <w:t>我的审批实现企业对本企业员工申请流程的审批。</w:t>
      </w:r>
    </w:p>
    <w:p>
      <w:pPr>
        <w:ind w:firstLine="560"/>
      </w:pPr>
      <w:r>
        <w:rPr>
          <w:rFonts w:hint="eastAsia"/>
        </w:rPr>
        <w:t>关联政策可实现查看已关联政策以及针对政府新出台的政策，基于人才画像及企业政策包大模型，同时匹配公司及相关员工，实现关联政策的自动提醒和推荐。</w:t>
      </w:r>
    </w:p>
    <w:p>
      <w:pPr>
        <w:ind w:firstLine="560"/>
      </w:pPr>
      <w:r>
        <w:rPr>
          <w:rFonts w:hint="eastAsia"/>
        </w:rPr>
        <w:t>员工资格认定可进行企业员工的新建、入职确认以及离职管理。企业信息维护实现企业更名的变更流程。</w:t>
      </w:r>
    </w:p>
    <w:p>
      <w:pPr>
        <w:pStyle w:val="6"/>
        <w:numPr>
          <w:ilvl w:val="0"/>
          <w:numId w:val="8"/>
        </w:numPr>
        <w:spacing w:before="0" w:after="0" w:line="360" w:lineRule="auto"/>
        <w:ind w:firstLineChars="0"/>
      </w:pPr>
      <w:r>
        <w:rPr>
          <w:rFonts w:hint="eastAsia"/>
        </w:rPr>
        <w:t>企业年金</w:t>
      </w:r>
    </w:p>
    <w:p>
      <w:pPr>
        <w:ind w:firstLine="560"/>
      </w:pPr>
      <w:r>
        <w:rPr>
          <w:rFonts w:hint="eastAsia"/>
        </w:rPr>
        <w:t>实现企业年金导出函的创建，删除及导出功能。创建时可选择企业人员个人认证申请进行导出函生成并实现电子印章的对接；</w:t>
      </w:r>
    </w:p>
    <w:p>
      <w:pPr>
        <w:ind w:firstLine="560"/>
      </w:pPr>
      <w:r>
        <w:rPr>
          <w:rFonts w:hint="eastAsia"/>
        </w:rPr>
        <w:t>实现以列表的形式展示企业全部的年金导出函，可以预览和下载导出函；</w:t>
      </w:r>
    </w:p>
    <w:p>
      <w:pPr>
        <w:pStyle w:val="6"/>
        <w:numPr>
          <w:ilvl w:val="0"/>
          <w:numId w:val="8"/>
        </w:numPr>
        <w:spacing w:before="0" w:after="0" w:line="360" w:lineRule="auto"/>
        <w:ind w:firstLineChars="0"/>
      </w:pPr>
      <w:r>
        <w:rPr>
          <w:rFonts w:hint="eastAsia"/>
        </w:rPr>
        <w:t>综合查询</w:t>
      </w:r>
    </w:p>
    <w:p>
      <w:pPr>
        <w:ind w:firstLine="560"/>
      </w:pPr>
      <w:r>
        <w:rPr>
          <w:rFonts w:hint="eastAsia"/>
        </w:rPr>
        <w:t>实现企业政策申请查询、员工政策申请查询两种查询。</w:t>
      </w:r>
    </w:p>
    <w:p>
      <w:pPr>
        <w:ind w:firstLine="560"/>
      </w:pPr>
      <w:r>
        <w:rPr>
          <w:rFonts w:hint="eastAsia"/>
        </w:rPr>
        <w:t>企业政策申请查询是按照时间、企业名称、政策名称、申请单号等字段进行本企业政策申请的查询，查询企业名称、政策名称、申请单号等字段支持模糊查询，日期支持范围查询，点击详情可查看详情内容；</w:t>
      </w:r>
    </w:p>
    <w:p>
      <w:pPr>
        <w:ind w:firstLine="560"/>
      </w:pPr>
      <w:r>
        <w:rPr>
          <w:rFonts w:hint="eastAsia"/>
        </w:rPr>
        <w:t>员工申请查询是按照时间、企业名称、员工名称、政策名称、申请单号、手机号码等字段进行员工政策申请的查询，查询本企业名称、本企业所属员工名称、政策名称、申请单号等字段支持模糊查询，日期支持范围查询，点击详情可查看详情内容；</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业务审批管理</w:t>
      </w:r>
    </w:p>
    <w:p>
      <w:pPr>
        <w:pStyle w:val="6"/>
        <w:numPr>
          <w:ilvl w:val="0"/>
          <w:numId w:val="9"/>
        </w:numPr>
        <w:spacing w:before="0" w:after="0" w:line="360" w:lineRule="auto"/>
        <w:ind w:firstLineChars="0"/>
      </w:pPr>
      <w:r>
        <w:rPr>
          <w:rFonts w:hint="eastAsia"/>
        </w:rPr>
        <w:t>小区公寓服务管理</w:t>
      </w:r>
    </w:p>
    <w:p>
      <w:pPr>
        <w:ind w:firstLine="560"/>
      </w:pPr>
      <w:r>
        <w:rPr>
          <w:rFonts w:hint="eastAsia"/>
        </w:rPr>
        <w:t>实现小区公寓管理以及公寓入住管理功能。</w:t>
      </w:r>
    </w:p>
    <w:p>
      <w:pPr>
        <w:ind w:firstLine="560"/>
      </w:pPr>
      <w:r>
        <w:rPr>
          <w:rFonts w:hint="eastAsia"/>
        </w:rPr>
        <w:t>小区公寓管理包括公寓供应商管理、小区配置管理、小区信息管理、楼栋信息管理、户型信息管理、房间信息管理功能；</w:t>
      </w:r>
    </w:p>
    <w:p>
      <w:pPr>
        <w:ind w:firstLine="560"/>
      </w:pPr>
      <w:r>
        <w:rPr>
          <w:rFonts w:hint="eastAsia"/>
        </w:rPr>
        <w:t>公寓入住管理包括个人选房申请记录、个人候选申请记录以及个人入住登记管理功能。</w:t>
      </w:r>
    </w:p>
    <w:p>
      <w:pPr>
        <w:pStyle w:val="6"/>
        <w:numPr>
          <w:ilvl w:val="0"/>
          <w:numId w:val="9"/>
        </w:numPr>
        <w:spacing w:before="0" w:after="0" w:line="360" w:lineRule="auto"/>
        <w:ind w:firstLineChars="0"/>
      </w:pPr>
      <w:r>
        <w:rPr>
          <w:rFonts w:hint="eastAsia"/>
        </w:rPr>
        <w:t>住房业务管理</w:t>
      </w:r>
    </w:p>
    <w:p>
      <w:pPr>
        <w:ind w:firstLine="560"/>
      </w:pPr>
      <w:r>
        <w:rPr>
          <w:rFonts w:hint="eastAsia"/>
        </w:rPr>
        <w:t>实现住房政策业务查询功能，包括住房政策业务查询、个人业务汇总等功能；</w:t>
      </w:r>
    </w:p>
    <w:p>
      <w:pPr>
        <w:ind w:firstLine="560"/>
      </w:pPr>
      <w:r>
        <w:rPr>
          <w:rFonts w:hint="eastAsia"/>
        </w:rPr>
        <w:t>实现住房认证函导出查询功能，用户可以通过认证函用户姓名、身份证号码、认证函编号、日期进行查询，查询后可以点击查看认证函，认证函查询列表实现确认按钮，用于用户对于认证函的使用进行确认。</w:t>
      </w:r>
    </w:p>
    <w:p>
      <w:pPr>
        <w:pStyle w:val="6"/>
        <w:numPr>
          <w:ilvl w:val="0"/>
          <w:numId w:val="9"/>
        </w:numPr>
        <w:spacing w:before="0" w:after="0" w:line="360" w:lineRule="auto"/>
        <w:ind w:firstLineChars="0"/>
      </w:pPr>
      <w:r>
        <w:rPr>
          <w:rFonts w:hint="eastAsia"/>
        </w:rPr>
        <w:t>企业年金管理</w:t>
      </w:r>
    </w:p>
    <w:p>
      <w:pPr>
        <w:ind w:firstLine="560"/>
      </w:pPr>
      <w:r>
        <w:rPr>
          <w:rFonts w:hint="eastAsia"/>
        </w:rPr>
        <w:t>实现年金企业管理，年金准入人员管理，签约管理以及综合查询功能。</w:t>
      </w:r>
    </w:p>
    <w:p>
      <w:pPr>
        <w:ind w:firstLine="560"/>
      </w:pPr>
      <w:r>
        <w:rPr>
          <w:rFonts w:hint="eastAsia"/>
        </w:rPr>
        <w:t>综合查询实现对企业年金认证情况的初审记录查询及导出函的查询等。</w:t>
      </w:r>
    </w:p>
    <w:p>
      <w:pPr>
        <w:pStyle w:val="6"/>
        <w:numPr>
          <w:ilvl w:val="0"/>
          <w:numId w:val="9"/>
        </w:numPr>
        <w:spacing w:before="0" w:after="0" w:line="360" w:lineRule="auto"/>
        <w:ind w:firstLineChars="0"/>
      </w:pPr>
      <w:r>
        <w:rPr>
          <w:rFonts w:hint="eastAsia"/>
        </w:rPr>
        <w:t>菁才卡管理</w:t>
      </w:r>
    </w:p>
    <w:p>
      <w:pPr>
        <w:ind w:firstLine="560"/>
      </w:pPr>
      <w:r>
        <w:rPr>
          <w:rFonts w:hint="eastAsia"/>
        </w:rPr>
        <w:t>实现菁才卡台账查询功能，展示菁才卡台账列表，包含，企业名称，个人姓名，所属银行，所属网点，银行卡号，审批单据号，审批通过时间，银行卡开设时间，开卡操作员等；</w:t>
      </w:r>
    </w:p>
    <w:p>
      <w:pPr>
        <w:ind w:firstLine="560"/>
      </w:pPr>
      <w:r>
        <w:rPr>
          <w:rFonts w:hint="eastAsia"/>
        </w:rPr>
        <w:t>实现菁才卡审批单管理功能，菁才卡业务用户可按照银行类型进行菁才卡申请单据的查询，审批结果通过单据。显示创建状态：已创建，未创建。未创建状态显示按钮：创建银行账号。已创建状态显示按钮：修改菁才卡号。未通过审批单据，不显示按钮。</w:t>
      </w:r>
    </w:p>
    <w:p>
      <w:pPr>
        <w:pStyle w:val="6"/>
        <w:numPr>
          <w:ilvl w:val="0"/>
          <w:numId w:val="9"/>
        </w:numPr>
        <w:spacing w:before="0" w:after="0" w:line="360" w:lineRule="auto"/>
        <w:ind w:firstLineChars="0"/>
      </w:pPr>
      <w:r>
        <w:rPr>
          <w:rFonts w:hint="eastAsia"/>
        </w:rPr>
        <w:t>审批中心</w:t>
      </w:r>
    </w:p>
    <w:p>
      <w:pPr>
        <w:ind w:firstLine="560"/>
      </w:pPr>
      <w:r>
        <w:rPr>
          <w:rFonts w:hint="eastAsia"/>
        </w:rPr>
        <w:t>实现审批池、我的待审批、我的历史审批、公示中心、加签审批、历史加签、智能审批以及辅助审批功能；</w:t>
      </w:r>
    </w:p>
    <w:p>
      <w:pPr>
        <w:ind w:firstLine="560"/>
      </w:pPr>
      <w:r>
        <w:rPr>
          <w:rFonts w:hint="eastAsia"/>
        </w:rPr>
        <w:t>智能审批实现功能包括用户申请资格验证、材料关键信息提取与匹配、材料自动化审查、申报信息自动化校验、审批建议生成；</w:t>
      </w:r>
    </w:p>
    <w:p>
      <w:pPr>
        <w:ind w:firstLine="560"/>
      </w:pPr>
      <w:r>
        <w:rPr>
          <w:rFonts w:hint="eastAsia"/>
        </w:rPr>
        <w:t>辅助审批实现功能包括：审批备注辅助、人才公寓入住分析、历史政策享受情况分析、租房同住人申报情况分析、申请材料批量审查与预览、政策申请批量审批。</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基础数据库管理与治理</w:t>
      </w:r>
    </w:p>
    <w:p>
      <w:pPr>
        <w:pStyle w:val="6"/>
        <w:numPr>
          <w:ilvl w:val="0"/>
          <w:numId w:val="10"/>
        </w:numPr>
        <w:spacing w:before="0" w:after="0" w:line="360" w:lineRule="auto"/>
        <w:ind w:firstLineChars="0"/>
      </w:pPr>
      <w:r>
        <w:rPr>
          <w:rFonts w:hint="eastAsia"/>
        </w:rPr>
        <w:t>人才库管理</w:t>
      </w:r>
    </w:p>
    <w:p>
      <w:pPr>
        <w:ind w:firstLine="560"/>
      </w:pPr>
      <w:r>
        <w:rPr>
          <w:rFonts w:hint="eastAsia"/>
        </w:rPr>
        <w:t>实现对系统人才库信息的详情查看、创建预注册用户、人才信息编辑、人才禁用以及政策限制等功能，其中政策限制实现对个人用户的系统使用权限进行限制。</w:t>
      </w:r>
    </w:p>
    <w:p>
      <w:pPr>
        <w:ind w:firstLine="560"/>
      </w:pPr>
      <w:r>
        <w:rPr>
          <w:rFonts w:hint="eastAsia"/>
        </w:rPr>
        <w:t>全部限制及部分限制两种方式，个人用户被设置为全部限制后，用户所有政策不可进行申请；个人用户被设置为部分限制后，用户可以登录，但被限制政策将无法申请。</w:t>
      </w:r>
    </w:p>
    <w:p>
      <w:pPr>
        <w:pStyle w:val="6"/>
        <w:numPr>
          <w:ilvl w:val="0"/>
          <w:numId w:val="10"/>
        </w:numPr>
        <w:spacing w:before="0" w:after="0" w:line="360" w:lineRule="auto"/>
        <w:ind w:firstLineChars="0"/>
      </w:pPr>
      <w:r>
        <w:rPr>
          <w:rFonts w:hint="eastAsia"/>
        </w:rPr>
        <w:t>企业库管理</w:t>
      </w:r>
    </w:p>
    <w:p>
      <w:pPr>
        <w:ind w:firstLine="560"/>
      </w:pPr>
      <w:r>
        <w:rPr>
          <w:rFonts w:hint="eastAsia"/>
        </w:rPr>
        <w:t>实现对系统企业库的详情查看、创建预注册用户、企业信息编辑、企业禁用以及政策限制功能，其中政策限制实现对企业用户的系统使用权限进行限制。</w:t>
      </w:r>
    </w:p>
    <w:p>
      <w:pPr>
        <w:ind w:firstLine="560"/>
      </w:pPr>
      <w:r>
        <w:rPr>
          <w:rFonts w:hint="eastAsia"/>
        </w:rPr>
        <w:t>全部限制及部分限制两种方式，企业用户被设置为全部限制后，企业所有下属员工用户的所有政策不可进行申请；企业用户被设置为部分限制后，企业用户可以登录，但企业所有下属员工用户的被限制政策将无法申请。</w:t>
      </w:r>
    </w:p>
    <w:p>
      <w:pPr>
        <w:pStyle w:val="6"/>
        <w:numPr>
          <w:ilvl w:val="0"/>
          <w:numId w:val="10"/>
        </w:numPr>
        <w:spacing w:before="0" w:after="0" w:line="360" w:lineRule="auto"/>
        <w:ind w:firstLineChars="0"/>
      </w:pPr>
      <w:r>
        <w:rPr>
          <w:rFonts w:hint="eastAsia"/>
        </w:rPr>
        <w:t>政策管理</w:t>
      </w:r>
    </w:p>
    <w:p>
      <w:pPr>
        <w:ind w:firstLine="560"/>
      </w:pPr>
      <w:r>
        <w:rPr>
          <w:rFonts w:hint="eastAsia"/>
        </w:rPr>
        <w:t>实现政策基础信息管理、政策关联设置、政策规则管理、政策审批流程设置、政策自定义表单设置、政策短信发送设置、下载文件</w:t>
      </w:r>
      <w:r>
        <w:rPr>
          <w:rFonts w:hint="eastAsia"/>
          <w:lang w:eastAsia="zh-CN"/>
        </w:rPr>
        <w:t>模板</w:t>
      </w:r>
      <w:r>
        <w:rPr>
          <w:rFonts w:hint="eastAsia"/>
        </w:rPr>
        <w:t>设置以及签章管理等功能；</w:t>
      </w:r>
    </w:p>
    <w:p>
      <w:pPr>
        <w:ind w:firstLine="560"/>
      </w:pPr>
      <w:r>
        <w:rPr>
          <w:rFonts w:hint="eastAsia"/>
        </w:rPr>
        <w:t>政策规则管理实现申请时效限制规则、申请政策限制规则、补贴额度限制规则、申请次数限制规则、政策申请前置限制规则以及自定义限制规则；</w:t>
      </w:r>
    </w:p>
    <w:p>
      <w:pPr>
        <w:ind w:firstLine="560"/>
      </w:pPr>
      <w:r>
        <w:rPr>
          <w:rFonts w:hint="eastAsia"/>
        </w:rPr>
        <w:t>政策审批流程设置包括流程角色管理、流程定义管理、流程节点规则管理、流程监控与优化、流程日志与审计、流程对接与集成；</w:t>
      </w:r>
    </w:p>
    <w:p>
      <w:pPr>
        <w:ind w:firstLine="560"/>
      </w:pPr>
      <w:r>
        <w:rPr>
          <w:rFonts w:hint="eastAsia"/>
        </w:rPr>
        <w:t>政策自定义表单设置包括：表单模板管理、表单字段管理、表单元数据管理、表单规则配置、表单数据校验、表单数据存储、表单发布与集成；</w:t>
      </w:r>
    </w:p>
    <w:p>
      <w:pPr>
        <w:pStyle w:val="6"/>
        <w:numPr>
          <w:ilvl w:val="0"/>
          <w:numId w:val="10"/>
        </w:numPr>
        <w:spacing w:before="0" w:after="0" w:line="360" w:lineRule="auto"/>
        <w:ind w:firstLineChars="0"/>
      </w:pPr>
      <w:r>
        <w:rPr>
          <w:rFonts w:hint="eastAsia"/>
        </w:rPr>
        <w:t>基于AI和大模型技术的人才政策知识图谱</w:t>
      </w:r>
    </w:p>
    <w:p>
      <w:pPr>
        <w:ind w:firstLine="560"/>
      </w:pPr>
      <w:r>
        <w:rPr>
          <w:rFonts w:hint="eastAsia"/>
        </w:rPr>
        <w:t>“基于AI和大模型技术的人才政策知识图谱”能够实现政策关联网络的生成、隐性知识的实时更新以及政策条件和申请条件的管理。实现功能包括：政策数据采集与清洗、政策知识抽取与建模、政策关联网络生成、隐性知识更新与推理、政策条件与申请条件管理、用户交互与智能推荐。</w:t>
      </w:r>
    </w:p>
    <w:p>
      <w:pPr>
        <w:pStyle w:val="6"/>
        <w:numPr>
          <w:ilvl w:val="0"/>
          <w:numId w:val="10"/>
        </w:numPr>
        <w:spacing w:before="0" w:after="0" w:line="360" w:lineRule="auto"/>
        <w:ind w:firstLineChars="0"/>
      </w:pPr>
      <w:r>
        <w:rPr>
          <w:rFonts w:hint="eastAsia"/>
        </w:rPr>
        <w:t>基于AI和大模型技术的人才评价体系</w:t>
      </w:r>
    </w:p>
    <w:p>
      <w:pPr>
        <w:ind w:firstLine="560"/>
      </w:pPr>
      <w:r>
        <w:rPr>
          <w:rFonts w:hint="eastAsia"/>
        </w:rPr>
        <w:t>“基于AI和大模型技术的人才评价体系”能够实现多维评分模型的构建、激励措施的自动触发以及人才评价的精准性和公平性。实现功能包括：人才数据采集与整合、多维评分模型构建、人才评分计算、人才标签管理、人才画像管理、人才评价可视化与报告。</w:t>
      </w:r>
    </w:p>
    <w:p>
      <w:pPr>
        <w:pStyle w:val="6"/>
        <w:numPr>
          <w:ilvl w:val="0"/>
          <w:numId w:val="10"/>
        </w:numPr>
        <w:spacing w:before="0" w:after="0" w:line="360" w:lineRule="auto"/>
        <w:ind w:firstLineChars="0"/>
      </w:pPr>
      <w:r>
        <w:rPr>
          <w:rFonts w:hint="eastAsia"/>
        </w:rPr>
        <w:t>基于AI和大模型技术的企业政策包评价体系</w:t>
      </w:r>
    </w:p>
    <w:p>
      <w:pPr>
        <w:ind w:firstLine="560"/>
      </w:pPr>
      <w:r>
        <w:rPr>
          <w:rFonts w:hint="eastAsia"/>
        </w:rPr>
        <w:t>“基于AI和大模型技术的企业政策包评价体系”能够实现企业政策包的精准匹配、评价和优化。实现功能包括：企业数据采集与整合、企业画像构建、企业员工画像分析、政策包匹配与推荐、企业政策申请分析、企业政策包评价模型、可视化与报告生成。</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政策数据查询和分析</w:t>
      </w:r>
    </w:p>
    <w:p>
      <w:pPr>
        <w:pStyle w:val="6"/>
        <w:numPr>
          <w:ilvl w:val="0"/>
          <w:numId w:val="11"/>
        </w:numPr>
        <w:spacing w:before="0" w:after="0" w:line="360" w:lineRule="auto"/>
        <w:ind w:firstLineChars="0"/>
      </w:pPr>
      <w:r>
        <w:rPr>
          <w:rFonts w:hint="eastAsia"/>
        </w:rPr>
        <w:t>政策数据综合查询</w:t>
      </w:r>
    </w:p>
    <w:p>
      <w:pPr>
        <w:ind w:firstLine="560"/>
      </w:pPr>
      <w:r>
        <w:rPr>
          <w:rFonts w:hint="eastAsia"/>
        </w:rPr>
        <w:t>实现包括政策申请查询、人才入住情况查询、企业年金缴费查询、企业年金导出函查询以及自定义报表的制作与展示功能。</w:t>
      </w:r>
    </w:p>
    <w:p>
      <w:pPr>
        <w:ind w:firstLine="560"/>
      </w:pPr>
      <w:r>
        <w:rPr>
          <w:rFonts w:hint="eastAsia"/>
        </w:rPr>
        <w:t>自定义报表与展示功能将首先实现与大数据中心公用数据与赋能平台的BI统计分析平台接入接口开发，再实现BI统计分析平台登录后进行报表制作和展示。</w:t>
      </w:r>
    </w:p>
    <w:p>
      <w:pPr>
        <w:pStyle w:val="6"/>
        <w:numPr>
          <w:ilvl w:val="0"/>
          <w:numId w:val="11"/>
        </w:numPr>
        <w:spacing w:before="0" w:after="0" w:line="360" w:lineRule="auto"/>
        <w:ind w:firstLineChars="0"/>
      </w:pPr>
      <w:r>
        <w:rPr>
          <w:rFonts w:hint="eastAsia"/>
        </w:rPr>
        <w:t>数据可视化统计分析</w:t>
      </w:r>
    </w:p>
    <w:p>
      <w:pPr>
        <w:ind w:firstLine="560"/>
      </w:pPr>
      <w:r>
        <w:rPr>
          <w:rFonts w:hint="eastAsia"/>
        </w:rPr>
        <w:t>根据个人政策申请数据，企业政策申请数据，人才入住数据，住房数据，个人基本数据，企业基本数据等多个数据来源和相关的字段指标实现自定义统计分析图表的制作，统计分析图表样式包含：饼图、柱状图、曲线图等。</w:t>
      </w:r>
    </w:p>
    <w:p>
      <w:pPr>
        <w:ind w:firstLine="560"/>
      </w:pPr>
      <w:r>
        <w:rPr>
          <w:rFonts w:hint="eastAsia"/>
        </w:rPr>
        <w:t>该功能将首先实现与大数据中心公用数据与赋能平台的BI统计分析平台接入接口开发，再实现BI统计分析平台登录后进行报表制作。</w:t>
      </w:r>
    </w:p>
    <w:p>
      <w:pPr>
        <w:ind w:firstLine="560"/>
      </w:pPr>
      <w:r>
        <w:rPr>
          <w:rFonts w:hint="eastAsia"/>
        </w:rPr>
        <w:t>实现制作完成的自定义可视化统计分析图表的展示，业务部门和处室人员可以根据权限进行报表的查询，导出操作等。</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系统互通接口对接</w:t>
      </w:r>
    </w:p>
    <w:p>
      <w:pPr>
        <w:pStyle w:val="6"/>
        <w:numPr>
          <w:ilvl w:val="0"/>
          <w:numId w:val="12"/>
        </w:numPr>
        <w:spacing w:before="0" w:after="0" w:line="360" w:lineRule="auto"/>
        <w:ind w:left="140" w:leftChars="0" w:firstLineChars="0"/>
      </w:pPr>
      <w:r>
        <w:rPr>
          <w:rFonts w:hint="eastAsia"/>
        </w:rPr>
        <w:t>一网通办接口对接</w:t>
      </w:r>
    </w:p>
    <w:p>
      <w:pPr>
        <w:ind w:firstLine="560"/>
      </w:pPr>
      <w:r>
        <w:rPr>
          <w:rFonts w:hint="eastAsia"/>
        </w:rPr>
        <w:t>实现与“一网通办”系统用户登录的接口对接，包括登录时身份验证接口以及用户数据获取接口等。</w:t>
      </w:r>
    </w:p>
    <w:p>
      <w:pPr>
        <w:pStyle w:val="6"/>
        <w:numPr>
          <w:ilvl w:val="0"/>
          <w:numId w:val="12"/>
        </w:numPr>
        <w:spacing w:before="0" w:after="0" w:line="360" w:lineRule="auto"/>
        <w:ind w:left="140" w:leftChars="0" w:firstLineChars="0"/>
      </w:pPr>
      <w:r>
        <w:rPr>
          <w:rFonts w:hint="eastAsia"/>
        </w:rPr>
        <w:t>财政系统接口对接</w:t>
      </w:r>
    </w:p>
    <w:p>
      <w:pPr>
        <w:ind w:firstLine="560"/>
      </w:pPr>
      <w:r>
        <w:rPr>
          <w:rFonts w:hint="eastAsia"/>
        </w:rPr>
        <w:t>实现与财务系统政府补贴模块的接口对接，包括将审批完成的补贴单位、补贴人、补贴金额发送至财务系统接口以及将补贴发放状况获取接口等。</w:t>
      </w:r>
    </w:p>
    <w:p>
      <w:pPr>
        <w:pStyle w:val="6"/>
        <w:numPr>
          <w:ilvl w:val="0"/>
          <w:numId w:val="12"/>
        </w:numPr>
        <w:spacing w:before="0" w:after="0" w:line="360" w:lineRule="auto"/>
        <w:ind w:left="140" w:leftChars="0" w:firstLineChars="0"/>
      </w:pPr>
      <w:r>
        <w:rPr>
          <w:rFonts w:hint="eastAsia"/>
        </w:rPr>
        <w:t>电子签章接口对接</w:t>
      </w:r>
    </w:p>
    <w:p>
      <w:pPr>
        <w:ind w:firstLine="560"/>
      </w:pPr>
      <w:r>
        <w:rPr>
          <w:rFonts w:hint="eastAsia"/>
        </w:rPr>
        <w:t>实现与电子签章系统的接口对接，包括电子签章注册接口以及电子签章签注接口等。</w:t>
      </w:r>
    </w:p>
    <w:p>
      <w:pPr>
        <w:pStyle w:val="6"/>
        <w:numPr>
          <w:ilvl w:val="0"/>
          <w:numId w:val="12"/>
        </w:numPr>
        <w:spacing w:before="0" w:after="0" w:line="360" w:lineRule="auto"/>
        <w:ind w:left="140" w:leftChars="0" w:firstLineChars="0"/>
      </w:pPr>
      <w:r>
        <w:rPr>
          <w:rFonts w:hint="eastAsia"/>
        </w:rPr>
        <w:t>二代身份证、企业营业执照的OCR接口对接</w:t>
      </w:r>
      <w:r>
        <w:rPr>
          <w:rFonts w:hint="eastAsia"/>
        </w:rPr>
        <w:tab/>
      </w:r>
    </w:p>
    <w:p>
      <w:pPr>
        <w:ind w:firstLine="560"/>
      </w:pPr>
      <w:r>
        <w:rPr>
          <w:rFonts w:hint="eastAsia"/>
        </w:rPr>
        <w:t>实现与个人二代身份证以及企业营业执照的OCR识别的接口对接，包括通过证件照片获取相关姓名、证件号码等基础信息接口。</w:t>
      </w:r>
    </w:p>
    <w:p>
      <w:pPr>
        <w:pStyle w:val="6"/>
        <w:numPr>
          <w:ilvl w:val="0"/>
          <w:numId w:val="12"/>
        </w:numPr>
        <w:spacing w:before="0" w:after="0" w:line="360" w:lineRule="auto"/>
        <w:ind w:left="140" w:leftChars="0" w:firstLineChars="0"/>
      </w:pPr>
      <w:r>
        <w:rPr>
          <w:rFonts w:hint="eastAsia"/>
        </w:rPr>
        <w:t>临港新片区统一身份认证平台接口对接</w:t>
      </w:r>
    </w:p>
    <w:p>
      <w:pPr>
        <w:ind w:firstLine="560"/>
      </w:pPr>
      <w:r>
        <w:rPr>
          <w:rFonts w:hint="eastAsia"/>
        </w:rPr>
        <w:t>实现与临港新片区统一身份认证平台用户登录的接口对接，包括登录时身份验证接口以及用户数据获取接口等。</w:t>
      </w:r>
    </w:p>
    <w:p>
      <w:pPr>
        <w:pStyle w:val="6"/>
        <w:numPr>
          <w:ilvl w:val="0"/>
          <w:numId w:val="12"/>
        </w:numPr>
        <w:spacing w:before="0" w:after="0" w:line="360" w:lineRule="auto"/>
        <w:ind w:left="140" w:leftChars="0" w:firstLineChars="0"/>
      </w:pPr>
      <w:r>
        <w:rPr>
          <w:rFonts w:hint="eastAsia"/>
        </w:rPr>
        <w:t>临港新片区短信服务平台接口对接</w:t>
      </w:r>
    </w:p>
    <w:p>
      <w:pPr>
        <w:ind w:firstLine="560"/>
      </w:pPr>
      <w:r>
        <w:rPr>
          <w:rFonts w:hint="eastAsia"/>
        </w:rPr>
        <w:t>实现与临港新片区统一短信服务平台的接口对接，包括短信发送接口等。</w:t>
      </w:r>
    </w:p>
    <w:p>
      <w:pPr>
        <w:pStyle w:val="6"/>
        <w:numPr>
          <w:ilvl w:val="0"/>
          <w:numId w:val="12"/>
        </w:numPr>
        <w:spacing w:before="0" w:after="0" w:line="360" w:lineRule="auto"/>
        <w:ind w:left="140" w:leftChars="0" w:firstLineChars="0"/>
      </w:pPr>
      <w:r>
        <w:rPr>
          <w:rFonts w:hint="eastAsia"/>
        </w:rPr>
        <w:t>密码应用服务接口对接</w:t>
      </w:r>
    </w:p>
    <w:p>
      <w:pPr>
        <w:ind w:firstLine="560"/>
      </w:pPr>
      <w:r>
        <w:rPr>
          <w:rFonts w:hint="eastAsia"/>
        </w:rPr>
        <w:t>加强安全风险监测，增强信息安全及数据安全防护，确保系统安全、网络安全与数据安全。实现与临港新片区密码应用服务接口对接，具体包括：</w:t>
      </w:r>
    </w:p>
    <w:p>
      <w:pPr>
        <w:pStyle w:val="18"/>
        <w:numPr>
          <w:ilvl w:val="0"/>
          <w:numId w:val="13"/>
        </w:numPr>
        <w:ind w:firstLineChars="0"/>
      </w:pPr>
      <w:r>
        <w:rPr>
          <w:rFonts w:hint="eastAsia"/>
        </w:rPr>
        <w:t>用户身份认证机制模块接口对接</w:t>
      </w:r>
    </w:p>
    <w:p>
      <w:pPr>
        <w:pStyle w:val="18"/>
        <w:numPr>
          <w:ilvl w:val="0"/>
          <w:numId w:val="13"/>
        </w:numPr>
        <w:ind w:firstLineChars="0"/>
      </w:pPr>
      <w:r>
        <w:rPr>
          <w:rFonts w:hint="eastAsia"/>
        </w:rPr>
        <w:t>用户访问控制信息签名验签模块接口对接</w:t>
      </w:r>
    </w:p>
    <w:p>
      <w:pPr>
        <w:pStyle w:val="18"/>
        <w:numPr>
          <w:ilvl w:val="0"/>
          <w:numId w:val="13"/>
        </w:numPr>
        <w:ind w:firstLineChars="0"/>
      </w:pPr>
      <w:r>
        <w:rPr>
          <w:rFonts w:hint="eastAsia"/>
        </w:rPr>
        <w:t>应用系统重要数据签名验签模块接口对接</w:t>
      </w:r>
    </w:p>
    <w:p>
      <w:pPr>
        <w:pStyle w:val="18"/>
        <w:numPr>
          <w:ilvl w:val="0"/>
          <w:numId w:val="13"/>
        </w:numPr>
        <w:ind w:firstLineChars="0"/>
      </w:pPr>
      <w:r>
        <w:rPr>
          <w:rFonts w:hint="eastAsia"/>
        </w:rPr>
        <w:t>应用系统重要数据加解密模块接口对接</w:t>
      </w:r>
    </w:p>
    <w:p>
      <w:pPr>
        <w:pStyle w:val="18"/>
        <w:numPr>
          <w:ilvl w:val="0"/>
          <w:numId w:val="13"/>
        </w:numPr>
        <w:ind w:firstLineChars="0"/>
      </w:pPr>
      <w:r>
        <w:rPr>
          <w:rFonts w:hint="eastAsia"/>
        </w:rPr>
        <w:t>重要可执行程序签名验签模块接口对接</w:t>
      </w:r>
    </w:p>
    <w:p>
      <w:pPr>
        <w:pStyle w:val="6"/>
        <w:numPr>
          <w:ilvl w:val="0"/>
          <w:numId w:val="12"/>
        </w:numPr>
        <w:spacing w:before="0" w:after="0" w:line="360" w:lineRule="auto"/>
        <w:ind w:left="140" w:leftChars="0" w:firstLineChars="0"/>
      </w:pPr>
      <w:r>
        <w:rPr>
          <w:rFonts w:hint="eastAsia"/>
        </w:rPr>
        <w:t>公共数据管理与赋能平台接口对接</w:t>
      </w:r>
    </w:p>
    <w:p>
      <w:pPr>
        <w:ind w:firstLine="560"/>
      </w:pPr>
      <w:r>
        <w:rPr>
          <w:rFonts w:hint="eastAsia"/>
        </w:rPr>
        <w:t>实现与临港新片区公共数据管理与赋能平台接口对接，包括流程引擎平台接口对接、BI统计分析平台接口对接、数据归集平台接口对接。</w:t>
      </w:r>
    </w:p>
    <w:p>
      <w:pPr>
        <w:ind w:firstLine="560"/>
      </w:pPr>
      <w:r>
        <w:rPr>
          <w:rFonts w:hint="eastAsia"/>
        </w:rPr>
        <w:t>数据归集平台对接功能包括：</w:t>
      </w:r>
    </w:p>
    <w:p>
      <w:pPr>
        <w:ind w:firstLine="560"/>
      </w:pPr>
      <w:r>
        <w:rPr>
          <w:rFonts w:hint="eastAsia"/>
        </w:rPr>
        <w:t>1) 将20年</w:t>
      </w:r>
      <w:r>
        <w:rPr>
          <w:rFonts w:hint="eastAsia"/>
          <w:lang w:eastAsia="zh-CN"/>
        </w:rPr>
        <w:t>建设旧</w:t>
      </w:r>
      <w:r>
        <w:rPr>
          <w:rFonts w:hint="eastAsia"/>
        </w:rPr>
        <w:t xml:space="preserve">人才系统，政策申请相关的结构化数据与非结构化数据通过接口推送到数据归集平台中，同时实现数据获取接口；    </w:t>
      </w:r>
    </w:p>
    <w:p>
      <w:pPr>
        <w:ind w:firstLine="560"/>
      </w:pPr>
      <w:r>
        <w:rPr>
          <w:rFonts w:hint="eastAsia"/>
        </w:rPr>
        <w:t xml:space="preserve">2) 将本系统政策申请相关的结构化数据与非结构化数据通过接口推送到数据归集平台中，同时实现数据获取接口； </w:t>
      </w:r>
    </w:p>
    <w:p>
      <w:pPr>
        <w:ind w:firstLine="560"/>
      </w:pPr>
      <w:r>
        <w:rPr>
          <w:rFonts w:hint="eastAsia"/>
        </w:rPr>
        <w:t>3) 将三地核定申请数据，三地经营地址数据以及企业租赁合同数据通过接口实现获取。</w:t>
      </w:r>
    </w:p>
    <w:p>
      <w:pPr>
        <w:pStyle w:val="6"/>
        <w:numPr>
          <w:ilvl w:val="0"/>
          <w:numId w:val="12"/>
        </w:numPr>
        <w:spacing w:before="0" w:after="0" w:line="360" w:lineRule="auto"/>
        <w:ind w:left="140" w:leftChars="0" w:firstLineChars="0"/>
      </w:pPr>
      <w:r>
        <w:rPr>
          <w:rFonts w:hint="eastAsia"/>
        </w:rPr>
        <w:t>OSS文件存储系统接口对接</w:t>
      </w:r>
    </w:p>
    <w:p>
      <w:pPr>
        <w:ind w:firstLine="560"/>
      </w:pPr>
      <w:r>
        <w:rPr>
          <w:rFonts w:hint="eastAsia"/>
        </w:rPr>
        <w:t>实现与部署在政务外网的OSS文件存储系统进行文件上传、展示、下载的接口对接开发</w:t>
      </w:r>
    </w:p>
    <w:p>
      <w:pPr>
        <w:pStyle w:val="6"/>
        <w:numPr>
          <w:ilvl w:val="0"/>
          <w:numId w:val="12"/>
        </w:numPr>
        <w:spacing w:before="0" w:after="0" w:line="360" w:lineRule="auto"/>
        <w:ind w:left="140" w:leftChars="0" w:firstLineChars="0"/>
      </w:pPr>
      <w:r>
        <w:rPr>
          <w:rFonts w:hint="eastAsia"/>
        </w:rPr>
        <w:t>临港档案系统接口对接</w:t>
      </w:r>
    </w:p>
    <w:p>
      <w:pPr>
        <w:ind w:firstLine="560"/>
      </w:pPr>
      <w:r>
        <w:rPr>
          <w:rFonts w:hint="eastAsia"/>
        </w:rPr>
        <w:t>与临港档案系统进行技术对接，将电子文件在线归档。需要按照在线移交接口规范，生成电子文件基本信息XML，归档事项基本信息XML，办理流程基本信息XML，归档文件等，另外需调用相关接口，上传文件及</w:t>
      </w:r>
      <w:r>
        <w:rPr>
          <w:rFonts w:hint="eastAsia"/>
          <w:lang w:eastAsia="zh-CN"/>
        </w:rPr>
        <w:t>推送</w:t>
      </w:r>
      <w:r>
        <w:rPr>
          <w:rFonts w:hint="eastAsia"/>
        </w:rPr>
        <w:t>相关信息。</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系统管理</w:t>
      </w:r>
    </w:p>
    <w:p>
      <w:pPr>
        <w:pStyle w:val="6"/>
        <w:numPr>
          <w:ilvl w:val="0"/>
          <w:numId w:val="14"/>
        </w:numPr>
        <w:spacing w:before="0" w:after="0" w:line="360" w:lineRule="auto"/>
        <w:ind w:firstLineChars="0"/>
      </w:pPr>
      <w:r>
        <w:rPr>
          <w:rFonts w:hint="eastAsia"/>
        </w:rPr>
        <w:t>组织管理</w:t>
      </w:r>
    </w:p>
    <w:p>
      <w:pPr>
        <w:ind w:firstLine="560"/>
      </w:pPr>
      <w:r>
        <w:rPr>
          <w:rFonts w:hint="eastAsia"/>
        </w:rPr>
        <w:t>实现对系统审批部门组织的新增，修改以及删除操作。</w:t>
      </w:r>
    </w:p>
    <w:p>
      <w:pPr>
        <w:pStyle w:val="6"/>
        <w:numPr>
          <w:ilvl w:val="0"/>
          <w:numId w:val="14"/>
        </w:numPr>
        <w:spacing w:before="0" w:after="0" w:line="360" w:lineRule="auto"/>
        <w:ind w:firstLineChars="0"/>
      </w:pPr>
      <w:r>
        <w:rPr>
          <w:rFonts w:hint="eastAsia"/>
        </w:rPr>
        <w:t>人员管理</w:t>
      </w:r>
    </w:p>
    <w:p>
      <w:pPr>
        <w:ind w:firstLine="560"/>
      </w:pPr>
      <w:r>
        <w:rPr>
          <w:rFonts w:hint="eastAsia"/>
        </w:rPr>
        <w:t>实现本系统审批用户、管理员用户的新增，修改以及重置密码、冻结操作等。</w:t>
      </w:r>
    </w:p>
    <w:p>
      <w:pPr>
        <w:pStyle w:val="6"/>
        <w:numPr>
          <w:ilvl w:val="0"/>
          <w:numId w:val="14"/>
        </w:numPr>
        <w:spacing w:before="0" w:after="0" w:line="360" w:lineRule="auto"/>
        <w:ind w:firstLineChars="0"/>
      </w:pPr>
      <w:r>
        <w:rPr>
          <w:rFonts w:hint="eastAsia"/>
        </w:rPr>
        <w:t>角色管理</w:t>
      </w:r>
    </w:p>
    <w:p>
      <w:pPr>
        <w:ind w:firstLine="560"/>
      </w:pPr>
      <w:r>
        <w:rPr>
          <w:rFonts w:hint="eastAsia"/>
        </w:rPr>
        <w:t>实现对系统角色的管理。</w:t>
      </w:r>
    </w:p>
    <w:p>
      <w:pPr>
        <w:pStyle w:val="6"/>
        <w:numPr>
          <w:ilvl w:val="0"/>
          <w:numId w:val="14"/>
        </w:numPr>
        <w:spacing w:before="0" w:after="0" w:line="360" w:lineRule="auto"/>
        <w:ind w:firstLineChars="0"/>
      </w:pPr>
      <w:r>
        <w:rPr>
          <w:rFonts w:hint="eastAsia"/>
        </w:rPr>
        <w:t>用户组管理</w:t>
      </w:r>
    </w:p>
    <w:p>
      <w:pPr>
        <w:ind w:firstLine="560"/>
      </w:pPr>
      <w:r>
        <w:rPr>
          <w:rFonts w:hint="eastAsia"/>
        </w:rPr>
        <w:t>实现系统用户组的新增、修改、删除等管理。</w:t>
      </w:r>
    </w:p>
    <w:p>
      <w:pPr>
        <w:pStyle w:val="6"/>
        <w:numPr>
          <w:ilvl w:val="0"/>
          <w:numId w:val="14"/>
        </w:numPr>
        <w:spacing w:before="0" w:after="0" w:line="360" w:lineRule="auto"/>
        <w:ind w:firstLineChars="0"/>
      </w:pPr>
      <w:r>
        <w:rPr>
          <w:rFonts w:hint="eastAsia"/>
        </w:rPr>
        <w:t>流程管理</w:t>
      </w:r>
    </w:p>
    <w:p>
      <w:pPr>
        <w:ind w:firstLine="560"/>
      </w:pPr>
      <w:r>
        <w:rPr>
          <w:rFonts w:hint="eastAsia"/>
        </w:rPr>
        <w:t>实现系统全部进行中的流程查看以及历史流程查看，可对进行中的流程进行流程环节的调整。可对历史流程进行流程环节的调整，历史流程调整时需要备注调整原因等内容。</w:t>
      </w:r>
    </w:p>
    <w:p>
      <w:pPr>
        <w:pStyle w:val="6"/>
        <w:numPr>
          <w:ilvl w:val="0"/>
          <w:numId w:val="14"/>
        </w:numPr>
        <w:spacing w:before="0" w:after="0" w:line="360" w:lineRule="auto"/>
        <w:ind w:firstLineChars="0"/>
      </w:pPr>
      <w:r>
        <w:rPr>
          <w:rFonts w:hint="eastAsia"/>
        </w:rPr>
        <w:t>监控管理</w:t>
      </w:r>
    </w:p>
    <w:p>
      <w:pPr>
        <w:ind w:firstLine="560"/>
      </w:pPr>
      <w:r>
        <w:rPr>
          <w:rFonts w:hint="eastAsia"/>
        </w:rPr>
        <w:t>性能监控子模块包含：在线用户，JVM信息，服务器信息以及磁盘监控等信息的查看。</w:t>
      </w:r>
    </w:p>
    <w:p>
      <w:pPr>
        <w:pStyle w:val="6"/>
        <w:numPr>
          <w:ilvl w:val="0"/>
          <w:numId w:val="14"/>
        </w:numPr>
        <w:spacing w:before="0" w:after="0" w:line="360" w:lineRule="auto"/>
        <w:ind w:firstLineChars="0"/>
      </w:pPr>
      <w:r>
        <w:rPr>
          <w:rFonts w:hint="eastAsia"/>
        </w:rPr>
        <w:t>任务管理</w:t>
      </w:r>
    </w:p>
    <w:p>
      <w:pPr>
        <w:ind w:firstLine="560"/>
      </w:pPr>
      <w:r>
        <w:rPr>
          <w:rFonts w:hint="eastAsia"/>
        </w:rPr>
        <w:t>实现功能包括：</w:t>
      </w:r>
    </w:p>
    <w:p>
      <w:pPr>
        <w:ind w:firstLine="560"/>
      </w:pPr>
      <w:r>
        <w:rPr>
          <w:rFonts w:hint="eastAsia"/>
        </w:rPr>
        <w:t>业务任务：实现新增业务任务的动作定义和执行过程管理等；定时任务：</w:t>
      </w:r>
    </w:p>
    <w:p>
      <w:pPr>
        <w:ind w:firstLine="560"/>
      </w:pPr>
      <w:r>
        <w:rPr>
          <w:rFonts w:hint="eastAsia"/>
        </w:rPr>
        <w:t>任务定时启动定制以及执行启动管理等；</w:t>
      </w:r>
    </w:p>
    <w:p>
      <w:pPr>
        <w:ind w:firstLine="560"/>
      </w:pPr>
      <w:r>
        <w:rPr>
          <w:rFonts w:hint="eastAsia"/>
        </w:rPr>
        <w:t>任务日志：实现对任务执行过程中的执行情况进行记录；</w:t>
      </w:r>
    </w:p>
    <w:p>
      <w:pPr>
        <w:pStyle w:val="6"/>
        <w:numPr>
          <w:ilvl w:val="0"/>
          <w:numId w:val="14"/>
        </w:numPr>
        <w:spacing w:before="0" w:after="0" w:line="360" w:lineRule="auto"/>
        <w:ind w:firstLineChars="0"/>
      </w:pPr>
      <w:r>
        <w:rPr>
          <w:rFonts w:hint="eastAsia"/>
        </w:rPr>
        <w:t>日志管理</w:t>
      </w:r>
    </w:p>
    <w:p>
      <w:pPr>
        <w:ind w:firstLine="560"/>
      </w:pPr>
      <w:r>
        <w:rPr>
          <w:rFonts w:hint="eastAsia"/>
        </w:rPr>
        <w:t>实现对用户登录、用户签章、用户脱敏、用户短信、用户邮件、业务操作、接口同步等日志的查询和管理操作。</w:t>
      </w:r>
    </w:p>
    <w:p>
      <w:pPr>
        <w:ind w:firstLine="560"/>
      </w:pPr>
      <w:r>
        <w:rPr>
          <w:rFonts w:hint="eastAsia"/>
        </w:rPr>
        <w:t>用户登录日志记录包括登录时间、登录IP、登录设备等详细信息，便于追踪用户行为和安全审计；</w:t>
      </w:r>
    </w:p>
    <w:p>
      <w:pPr>
        <w:ind w:firstLine="560"/>
      </w:pPr>
      <w:r>
        <w:rPr>
          <w:rFonts w:hint="eastAsia"/>
        </w:rPr>
        <w:t>关键业务操作日志涵盖政策申请、审批流程、人才公寓管理等核心业务的操作记录，确保每一步操作可追溯、可验证；</w:t>
      </w:r>
    </w:p>
    <w:p>
      <w:pPr>
        <w:ind w:firstLine="560"/>
      </w:pPr>
      <w:r>
        <w:rPr>
          <w:rFonts w:hint="eastAsia"/>
        </w:rPr>
        <w:t>接口同步日志则记录系统与外部平台或内部模块之间的数据交互情况，包括请求时间、响应状态、数据传输量等，保障数据同步的完整性和一致性。</w:t>
      </w:r>
    </w:p>
    <w:p>
      <w:pPr>
        <w:pStyle w:val="6"/>
        <w:numPr>
          <w:ilvl w:val="0"/>
          <w:numId w:val="14"/>
        </w:numPr>
        <w:spacing w:before="0" w:after="0" w:line="360" w:lineRule="auto"/>
        <w:ind w:firstLineChars="0"/>
      </w:pPr>
      <w:r>
        <w:rPr>
          <w:rFonts w:hint="eastAsia"/>
        </w:rPr>
        <w:t>地区管理</w:t>
      </w:r>
    </w:p>
    <w:p>
      <w:pPr>
        <w:ind w:firstLine="560"/>
      </w:pPr>
      <w:r>
        <w:rPr>
          <w:rFonts w:hint="eastAsia"/>
        </w:rPr>
        <w:t>实现全国各省、市、地区的自定义和维护等功能；</w:t>
      </w:r>
    </w:p>
    <w:p>
      <w:pPr>
        <w:pStyle w:val="6"/>
        <w:numPr>
          <w:ilvl w:val="0"/>
          <w:numId w:val="14"/>
        </w:numPr>
        <w:spacing w:before="0" w:after="0" w:line="360" w:lineRule="auto"/>
        <w:ind w:firstLineChars="0"/>
      </w:pPr>
      <w:r>
        <w:rPr>
          <w:rFonts w:hint="eastAsia"/>
        </w:rPr>
        <w:t>用户隐私二次认证</w:t>
      </w:r>
    </w:p>
    <w:p>
      <w:pPr>
        <w:ind w:firstLine="560"/>
      </w:pPr>
      <w:r>
        <w:rPr>
          <w:rFonts w:hint="eastAsia"/>
        </w:rPr>
        <w:t>实现用户敏感信息（姓名，身份证号码，银行卡号，地址以及电话等）进行脱敏显示，如果需要编辑和全部信息查看，需要进行二次认证，二次认证的方式为用户输入认证手机号以及验证码，验证后，用户可以在一定时间内实现敏感信息查看和操作。</w:t>
      </w:r>
    </w:p>
    <w:p>
      <w:pPr>
        <w:pStyle w:val="6"/>
        <w:numPr>
          <w:ilvl w:val="0"/>
          <w:numId w:val="14"/>
        </w:numPr>
        <w:spacing w:before="0" w:after="0" w:line="360" w:lineRule="auto"/>
        <w:ind w:firstLineChars="0"/>
      </w:pPr>
      <w:r>
        <w:rPr>
          <w:rFonts w:hint="eastAsia"/>
        </w:rPr>
        <w:t>系统消息管理</w:t>
      </w:r>
    </w:p>
    <w:p>
      <w:pPr>
        <w:ind w:firstLine="560"/>
      </w:pPr>
      <w:r>
        <w:rPr>
          <w:rFonts w:hint="eastAsia"/>
        </w:rPr>
        <w:t>实现系统消息列表、系统消息群发以及系统消息参数功能。</w:t>
      </w:r>
    </w:p>
    <w:p>
      <w:pPr>
        <w:ind w:firstLine="560"/>
      </w:pPr>
      <w:r>
        <w:rPr>
          <w:rFonts w:hint="eastAsia"/>
        </w:rPr>
        <w:t>系统消息参数功能实现创建群发消息内的动态参数，可设置参数类型，参数简称以及面向对象等内容。</w:t>
      </w:r>
    </w:p>
    <w:p>
      <w:pPr>
        <w:pStyle w:val="6"/>
        <w:numPr>
          <w:ilvl w:val="0"/>
          <w:numId w:val="14"/>
        </w:numPr>
        <w:spacing w:before="0" w:after="0" w:line="360" w:lineRule="auto"/>
        <w:ind w:firstLineChars="0"/>
      </w:pPr>
      <w:r>
        <w:rPr>
          <w:rFonts w:hint="eastAsia"/>
        </w:rPr>
        <w:t>通知短信模块</w:t>
      </w:r>
    </w:p>
    <w:p>
      <w:pPr>
        <w:ind w:firstLine="560"/>
      </w:pPr>
      <w:r>
        <w:rPr>
          <w:rFonts w:hint="eastAsia"/>
        </w:rPr>
        <w:t>实现短信发送列表、自定义短信发送以及短信模板管理功能。</w:t>
      </w:r>
    </w:p>
    <w:p>
      <w:pPr>
        <w:ind w:firstLine="560"/>
      </w:pPr>
      <w:r>
        <w:rPr>
          <w:rFonts w:hint="eastAsia"/>
        </w:rPr>
        <w:t>短信</w:t>
      </w:r>
      <w:r>
        <w:rPr>
          <w:rFonts w:hint="eastAsia"/>
          <w:lang w:eastAsia="zh-CN"/>
        </w:rPr>
        <w:t>模板</w:t>
      </w:r>
      <w:r>
        <w:rPr>
          <w:rFonts w:hint="eastAsia"/>
        </w:rPr>
        <w:t>管理实现管理员可以对系统中需要使用的各种通知短信模板进行管理，包括新增、修改、删除等操作。</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历史数据迁移</w:t>
      </w:r>
    </w:p>
    <w:p>
      <w:pPr>
        <w:pStyle w:val="6"/>
        <w:numPr>
          <w:ilvl w:val="0"/>
          <w:numId w:val="15"/>
        </w:numPr>
        <w:spacing w:before="0" w:after="0" w:line="360" w:lineRule="auto"/>
        <w:ind w:firstLineChars="0"/>
      </w:pPr>
      <w:r>
        <w:rPr>
          <w:rFonts w:hint="eastAsia"/>
        </w:rPr>
        <w:t>用户数据迁移</w:t>
      </w:r>
    </w:p>
    <w:p>
      <w:pPr>
        <w:ind w:firstLine="560"/>
      </w:pPr>
      <w:r>
        <w:rPr>
          <w:rFonts w:hint="eastAsia"/>
        </w:rPr>
        <w:t>实现系统用户数据的导入、迁移20年系统非停用用户数据，并保留企业与员工的关联，保留企业与政策关联。</w:t>
      </w:r>
    </w:p>
    <w:p>
      <w:pPr>
        <w:pStyle w:val="6"/>
        <w:numPr>
          <w:ilvl w:val="0"/>
          <w:numId w:val="15"/>
        </w:numPr>
        <w:spacing w:before="0" w:after="0" w:line="360" w:lineRule="auto"/>
        <w:ind w:firstLineChars="0"/>
      </w:pPr>
      <w:r>
        <w:rPr>
          <w:rFonts w:hint="eastAsia"/>
        </w:rPr>
        <w:t>政策申请数据迁移</w:t>
      </w:r>
    </w:p>
    <w:p>
      <w:pPr>
        <w:ind w:firstLine="560"/>
      </w:pPr>
      <w:r>
        <w:rPr>
          <w:rFonts w:hint="eastAsia"/>
        </w:rPr>
        <w:t>实现系统政策结构化数据的导入、迁移20年系统政策申请数据，包括申请结果数据与申请过程数据。</w:t>
      </w:r>
    </w:p>
    <w:p>
      <w:pPr>
        <w:ind w:firstLine="560"/>
      </w:pPr>
      <w:r>
        <w:rPr>
          <w:rFonts w:hint="eastAsia"/>
        </w:rPr>
        <w:t>实现系统政策非结构化的导入、迁移20年系统政策申请时上报的PDF等非结构化数据。</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系统</w:t>
      </w:r>
      <w:bookmarkEnd w:id="7"/>
      <w:bookmarkEnd w:id="8"/>
      <w:bookmarkEnd w:id="9"/>
      <w:bookmarkEnd w:id="10"/>
      <w:bookmarkEnd w:id="11"/>
      <w:bookmarkEnd w:id="12"/>
      <w:bookmarkEnd w:id="13"/>
      <w:r>
        <w:rPr>
          <w:rFonts w:hint="eastAsia"/>
          <w:color w:val="000000" w:themeColor="text1"/>
          <w14:textFill>
            <w14:solidFill>
              <w14:schemeClr w14:val="tx1"/>
            </w14:solidFill>
          </w14:textFill>
        </w:rPr>
        <w:t>安全需求</w:t>
      </w:r>
    </w:p>
    <w:p>
      <w:pPr>
        <w:spacing w:after="156"/>
        <w:ind w:firstLine="560"/>
        <w:rPr>
          <w:rFonts w:cs="Times New Roman"/>
        </w:rPr>
      </w:pPr>
      <w:bookmarkStart w:id="14" w:name="_Toc896"/>
      <w:bookmarkStart w:id="15" w:name="_Toc118282504"/>
      <w:r>
        <w:rPr>
          <w:rFonts w:cs="Times New Roman"/>
        </w:rPr>
        <w:t>本</w:t>
      </w:r>
      <w:r>
        <w:rPr>
          <w:rFonts w:hint="eastAsia" w:cs="Times New Roman"/>
        </w:rPr>
        <w:t>系统参考三</w:t>
      </w:r>
      <w:r>
        <w:rPr>
          <w:rFonts w:cs="Times New Roman"/>
        </w:rPr>
        <w:t>级等保</w:t>
      </w:r>
      <w:r>
        <w:rPr>
          <w:rFonts w:hint="eastAsia" w:cs="Times New Roman"/>
        </w:rPr>
        <w:t>标准</w:t>
      </w:r>
      <w:r>
        <w:rPr>
          <w:rFonts w:cs="Times New Roman"/>
        </w:rPr>
        <w:t>进行安全体系设计</w:t>
      </w:r>
      <w:r>
        <w:rPr>
          <w:rFonts w:hint="eastAsia" w:cs="Times New Roman"/>
          <w:lang w:eastAsia="zh-CN"/>
        </w:rPr>
        <w:t>，</w:t>
      </w:r>
      <w:r>
        <w:rPr>
          <w:rFonts w:hint="eastAsia" w:cs="Times New Roman"/>
          <w:lang w:val="en-US" w:eastAsia="zh-CN"/>
        </w:rPr>
        <w:t>最终定级以专家评审为准</w:t>
      </w:r>
      <w:r>
        <w:rPr>
          <w:rFonts w:cs="Times New Roman"/>
        </w:rPr>
        <w:t>。</w:t>
      </w:r>
    </w:p>
    <w:p>
      <w:pPr>
        <w:spacing w:after="156"/>
        <w:ind w:firstLine="560"/>
        <w:rPr>
          <w:rFonts w:cs="Times New Roman"/>
        </w:rPr>
      </w:pPr>
      <w:r>
        <w:rPr>
          <w:rFonts w:cs="Times New Roman"/>
        </w:rPr>
        <w:t>安全体系是一个涵盖策略决策、组织管理、技术保障、运行安全、服务与安全协议等各个安全层面的完整、统一的安全保障体系。从基础设施源头对安全事件加以积极防御，加强提高底层数据以及业务系统的安全性，保证信息的安全交换，确保建立多层次的安全保障体系，充分保障情报业务应用系统可持续运行。建立多层次的安全保障体系主要包括：</w:t>
      </w:r>
    </w:p>
    <w:p>
      <w:pPr>
        <w:pStyle w:val="4"/>
        <w:ind w:left="1000" w:leftChars="0" w:firstLineChars="0"/>
        <w:rPr>
          <w:rFonts w:hint="eastAsia" w:asciiTheme="majorEastAsia" w:hAnsiTheme="majorEastAsia" w:eastAsiaTheme="majorEastAsia" w:cstheme="minorEastAsia"/>
          <w:sz w:val="28"/>
          <w:szCs w:val="28"/>
        </w:rPr>
      </w:pPr>
      <w:bookmarkStart w:id="16" w:name="_Toc197423451"/>
      <w:bookmarkStart w:id="17" w:name="_Toc192066805"/>
      <w:bookmarkStart w:id="18" w:name="_Toc190231069"/>
      <w:r>
        <w:rPr>
          <w:rFonts w:asciiTheme="majorEastAsia" w:hAnsiTheme="majorEastAsia" w:eastAsiaTheme="majorEastAsia" w:cstheme="minorEastAsia"/>
          <w:sz w:val="28"/>
          <w:szCs w:val="28"/>
        </w:rPr>
        <w:t>数据安全</w:t>
      </w:r>
      <w:bookmarkEnd w:id="16"/>
      <w:bookmarkEnd w:id="17"/>
      <w:bookmarkEnd w:id="18"/>
    </w:p>
    <w:p>
      <w:pPr>
        <w:pStyle w:val="5"/>
        <w:spacing w:before="0" w:after="0" w:line="360" w:lineRule="auto"/>
        <w:ind w:left="862" w:hanging="862"/>
        <w:rPr>
          <w:rFonts w:hint="eastAsia" w:asciiTheme="majorEastAsia" w:hAnsiTheme="majorEastAsia" w:eastAsiaTheme="majorEastAsia"/>
        </w:rPr>
      </w:pPr>
      <w:r>
        <w:rPr>
          <w:rFonts w:asciiTheme="majorEastAsia" w:hAnsiTheme="majorEastAsia" w:eastAsiaTheme="majorEastAsia"/>
        </w:rPr>
        <w:t>数据分级分类</w:t>
      </w:r>
    </w:p>
    <w:p>
      <w:pPr>
        <w:spacing w:after="156"/>
        <w:ind w:firstLine="560"/>
        <w:rPr>
          <w:rFonts w:cs="Times New Roman"/>
        </w:rPr>
      </w:pPr>
      <w:r>
        <w:rPr>
          <w:rFonts w:cs="Times New Roman"/>
        </w:rPr>
        <w:t>数据在</w:t>
      </w:r>
      <w:r>
        <w:rPr>
          <w:rFonts w:hint="eastAsia" w:cs="Times New Roman"/>
        </w:rPr>
        <w:t>系统</w:t>
      </w:r>
      <w:r>
        <w:rPr>
          <w:rFonts w:cs="Times New Roman"/>
        </w:rPr>
        <w:t>一经产生，须纳入数据资产管理。</w:t>
      </w:r>
      <w:r>
        <w:rPr>
          <w:rFonts w:hint="eastAsia" w:cs="Times New Roman"/>
        </w:rPr>
        <w:t>系统</w:t>
      </w:r>
      <w:r>
        <w:rPr>
          <w:rFonts w:cs="Times New Roman"/>
        </w:rPr>
        <w:t>应当对所收集的全部数据资产，根据数据所包含的内容实施严格的分级分类管理制度。根据数据的重要性，结合有关保密规定和行业特点，制定数据分级分类标准及使用审批要求。</w:t>
      </w:r>
      <w:r>
        <w:rPr>
          <w:rFonts w:hint="eastAsia" w:cs="Times New Roman"/>
        </w:rPr>
        <w:t>系统</w:t>
      </w:r>
      <w:r>
        <w:rPr>
          <w:rFonts w:cs="Times New Roman"/>
        </w:rPr>
        <w:t>应不断完善数据资产确权、分级分类以及安全保护制度。</w:t>
      </w:r>
    </w:p>
    <w:p>
      <w:pPr>
        <w:pStyle w:val="5"/>
        <w:spacing w:before="0" w:after="0" w:line="360" w:lineRule="auto"/>
        <w:ind w:left="862" w:hanging="862"/>
        <w:rPr>
          <w:rFonts w:hint="eastAsia" w:asciiTheme="majorEastAsia" w:hAnsiTheme="majorEastAsia" w:eastAsiaTheme="majorEastAsia"/>
        </w:rPr>
      </w:pPr>
      <w:r>
        <w:rPr>
          <w:rFonts w:asciiTheme="majorEastAsia" w:hAnsiTheme="majorEastAsia" w:eastAsiaTheme="majorEastAsia"/>
        </w:rPr>
        <w:t>数据加密脱敏</w:t>
      </w:r>
    </w:p>
    <w:p>
      <w:pPr>
        <w:spacing w:after="156"/>
        <w:ind w:firstLine="560"/>
        <w:rPr>
          <w:rFonts w:cs="Times New Roman"/>
        </w:rPr>
      </w:pPr>
      <w:r>
        <w:rPr>
          <w:rFonts w:cs="Times New Roman"/>
        </w:rPr>
        <w:t>对于需要公开、公布行业的数据，制定数据披露的审批流程，评估可能带来的安全风险，须采取必要的加密、脱敏等措施，防止泄露国家秘密、商业秘密和个人信息。</w:t>
      </w:r>
    </w:p>
    <w:p>
      <w:pPr>
        <w:pStyle w:val="5"/>
        <w:spacing w:before="0" w:after="0" w:line="360" w:lineRule="auto"/>
        <w:ind w:left="862" w:hanging="862"/>
        <w:rPr>
          <w:rFonts w:hint="eastAsia" w:asciiTheme="majorEastAsia" w:hAnsiTheme="majorEastAsia" w:eastAsiaTheme="majorEastAsia"/>
        </w:rPr>
      </w:pPr>
      <w:r>
        <w:rPr>
          <w:rFonts w:asciiTheme="majorEastAsia" w:hAnsiTheme="majorEastAsia" w:eastAsiaTheme="majorEastAsia"/>
        </w:rPr>
        <w:t>数据授权</w:t>
      </w:r>
    </w:p>
    <w:p>
      <w:pPr>
        <w:spacing w:after="156"/>
        <w:ind w:firstLine="560"/>
        <w:rPr>
          <w:rFonts w:cs="Times New Roman"/>
        </w:rPr>
      </w:pPr>
      <w:r>
        <w:rPr>
          <w:rFonts w:cs="Times New Roman"/>
        </w:rPr>
        <w:t>未经相关数据生产部门（单位）授权，不得将从其他单位交换而来的数据给任何第三方。</w:t>
      </w:r>
    </w:p>
    <w:p>
      <w:pPr>
        <w:pStyle w:val="5"/>
        <w:spacing w:before="0" w:after="0" w:line="360" w:lineRule="auto"/>
        <w:ind w:left="862" w:hanging="862"/>
        <w:rPr>
          <w:rFonts w:hint="eastAsia" w:asciiTheme="majorEastAsia" w:hAnsiTheme="majorEastAsia" w:eastAsiaTheme="majorEastAsia"/>
        </w:rPr>
      </w:pPr>
      <w:r>
        <w:rPr>
          <w:rFonts w:asciiTheme="majorEastAsia" w:hAnsiTheme="majorEastAsia" w:eastAsiaTheme="majorEastAsia"/>
        </w:rPr>
        <w:t>数据备份</w:t>
      </w:r>
    </w:p>
    <w:p>
      <w:pPr>
        <w:spacing w:after="156"/>
        <w:ind w:firstLine="560"/>
        <w:rPr>
          <w:rFonts w:cs="Times New Roman"/>
        </w:rPr>
      </w:pPr>
      <w:r>
        <w:rPr>
          <w:rFonts w:cs="Times New Roman"/>
        </w:rPr>
        <w:t>对于备份系统备份策略的规划，建议按照以下流程进行：</w:t>
      </w:r>
    </w:p>
    <w:p>
      <w:pPr>
        <w:spacing w:after="156"/>
        <w:ind w:firstLine="560"/>
        <w:rPr>
          <w:rFonts w:cs="Times New Roman"/>
        </w:rPr>
      </w:pPr>
      <w:r>
        <w:rPr>
          <w:rFonts w:cs="Times New Roman"/>
        </w:rPr>
        <w:t>1) 将数据备份任务按业务系统划分，确定各系统的备份数据量，并为每个备份任务指定专用的介质集；</w:t>
      </w:r>
    </w:p>
    <w:p>
      <w:pPr>
        <w:spacing w:after="156"/>
        <w:ind w:firstLine="560"/>
        <w:rPr>
          <w:rFonts w:cs="Times New Roman"/>
        </w:rPr>
      </w:pPr>
      <w:r>
        <w:rPr>
          <w:rFonts w:cs="Times New Roman"/>
        </w:rPr>
        <w:t>2) 根据各业务系统对备份的需求，以及系统的忙闲程度，为每个备份任务划定可以进行数据备份的时段。</w:t>
      </w:r>
    </w:p>
    <w:p>
      <w:pPr>
        <w:spacing w:after="156"/>
        <w:ind w:firstLine="560"/>
        <w:rPr>
          <w:rFonts w:cs="Times New Roman"/>
        </w:rPr>
      </w:pPr>
      <w:r>
        <w:rPr>
          <w:rFonts w:cs="Times New Roman"/>
        </w:rPr>
        <w:t>3) 合理的选择备份方式。备份的最终</w:t>
      </w:r>
      <w:r>
        <w:rPr>
          <w:rFonts w:hint="eastAsia" w:cs="Times New Roman"/>
          <w:lang w:eastAsia="zh-CN"/>
        </w:rPr>
        <w:t>目的是</w:t>
      </w:r>
      <w:r>
        <w:rPr>
          <w:rFonts w:cs="Times New Roman"/>
        </w:rPr>
        <w:t>进行数据恢复，在选择备份方式时，要在业务系统性能需求许可的情况下，最大程度的降低数据恢复时的复杂程度。建议：</w:t>
      </w:r>
    </w:p>
    <w:p>
      <w:pPr>
        <w:pStyle w:val="18"/>
        <w:numPr>
          <w:ilvl w:val="0"/>
          <w:numId w:val="16"/>
        </w:numPr>
        <w:spacing w:after="156" w:line="360" w:lineRule="auto"/>
        <w:ind w:firstLineChars="0"/>
        <w:rPr>
          <w:rFonts w:cs="Times New Roman"/>
        </w:rPr>
      </w:pPr>
      <w:r>
        <w:rPr>
          <w:rFonts w:cs="Times New Roman"/>
        </w:rPr>
        <w:t>对于数据量较大的系统，为降低数据备份对业务系统运行的影响，减少对备份介质的需求，可采用全备份＋增量备份的方式进行，每周进行一次全备，</w:t>
      </w:r>
      <w:r>
        <w:rPr>
          <w:rFonts w:hint="eastAsia" w:cs="Times New Roman"/>
        </w:rPr>
        <w:t>对</w:t>
      </w:r>
      <w:r>
        <w:rPr>
          <w:rFonts w:cs="Times New Roman"/>
        </w:rPr>
        <w:t>每周全量</w:t>
      </w:r>
      <w:r>
        <w:rPr>
          <w:rFonts w:hint="eastAsia" w:cs="Times New Roman"/>
        </w:rPr>
        <w:t>数据</w:t>
      </w:r>
      <w:r>
        <w:rPr>
          <w:rFonts w:cs="Times New Roman"/>
        </w:rPr>
        <w:t>备份</w:t>
      </w:r>
      <w:r>
        <w:rPr>
          <w:rFonts w:hint="eastAsia" w:cs="Times New Roman"/>
        </w:rPr>
        <w:t>保存</w:t>
      </w:r>
      <w:r>
        <w:rPr>
          <w:rFonts w:cs="Times New Roman"/>
        </w:rPr>
        <w:t>180天</w:t>
      </w:r>
      <w:r>
        <w:rPr>
          <w:rFonts w:hint="eastAsia" w:cs="Times New Roman"/>
          <w:lang w:eastAsia="zh-CN"/>
        </w:rPr>
        <w:t>；</w:t>
      </w:r>
      <w:r>
        <w:rPr>
          <w:rFonts w:cs="Times New Roman"/>
        </w:rPr>
        <w:t>一周内其他时间每天进行一次增量备份</w:t>
      </w:r>
      <w:r>
        <w:rPr>
          <w:rFonts w:hint="eastAsia" w:cs="Times New Roman"/>
          <w:lang w:eastAsia="zh-CN"/>
        </w:rPr>
        <w:t>，</w:t>
      </w:r>
      <w:r>
        <w:rPr>
          <w:rFonts w:cs="Times New Roman"/>
        </w:rPr>
        <w:t>每日增量</w:t>
      </w:r>
      <w:r>
        <w:rPr>
          <w:rFonts w:hint="eastAsia" w:cs="Times New Roman"/>
        </w:rPr>
        <w:t>数据</w:t>
      </w:r>
      <w:r>
        <w:rPr>
          <w:rFonts w:cs="Times New Roman"/>
        </w:rPr>
        <w:t>备份</w:t>
      </w:r>
      <w:r>
        <w:rPr>
          <w:rFonts w:hint="eastAsia" w:cs="Times New Roman"/>
        </w:rPr>
        <w:t>保存</w:t>
      </w:r>
      <w:r>
        <w:rPr>
          <w:rFonts w:cs="Times New Roman"/>
        </w:rPr>
        <w:t>14天；</w:t>
      </w:r>
    </w:p>
    <w:p>
      <w:pPr>
        <w:pStyle w:val="18"/>
        <w:numPr>
          <w:ilvl w:val="0"/>
          <w:numId w:val="16"/>
        </w:numPr>
        <w:spacing w:after="156" w:line="360" w:lineRule="auto"/>
        <w:ind w:firstLineChars="0"/>
        <w:rPr>
          <w:rFonts w:cs="Times New Roman"/>
        </w:rPr>
      </w:pPr>
      <w:r>
        <w:rPr>
          <w:rFonts w:cs="Times New Roman"/>
        </w:rPr>
        <w:t>对于数据量较小的备份任务，或较为关键的业务，则建议每天进行一次全备份，以降低恢复时的复杂程度；</w:t>
      </w:r>
    </w:p>
    <w:p>
      <w:pPr>
        <w:pStyle w:val="18"/>
        <w:numPr>
          <w:ilvl w:val="0"/>
          <w:numId w:val="16"/>
        </w:numPr>
        <w:spacing w:after="156" w:line="360" w:lineRule="auto"/>
        <w:ind w:firstLineChars="0"/>
        <w:rPr>
          <w:rFonts w:cs="Times New Roman"/>
        </w:rPr>
      </w:pPr>
      <w:r>
        <w:rPr>
          <w:rFonts w:cs="Times New Roman"/>
        </w:rPr>
        <w:t>在每次业务数据做大调整后应立即做一次全备份；</w:t>
      </w:r>
    </w:p>
    <w:p>
      <w:pPr>
        <w:pStyle w:val="18"/>
        <w:numPr>
          <w:ilvl w:val="0"/>
          <w:numId w:val="16"/>
        </w:numPr>
        <w:spacing w:after="156" w:line="360" w:lineRule="auto"/>
        <w:ind w:firstLineChars="0"/>
        <w:rPr>
          <w:rFonts w:cs="Times New Roman"/>
        </w:rPr>
      </w:pPr>
      <w:r>
        <w:rPr>
          <w:rFonts w:cs="Times New Roman"/>
        </w:rPr>
        <w:t>对于数据的安全性要求非常高、数据变化频繁，需要保护的时间间隔小于30分钟的任务可以采用实时备份。</w:t>
      </w:r>
    </w:p>
    <w:p>
      <w:pPr>
        <w:spacing w:after="156"/>
        <w:ind w:firstLine="560"/>
        <w:rPr>
          <w:rFonts w:cs="Times New Roman"/>
        </w:rPr>
      </w:pPr>
      <w:r>
        <w:rPr>
          <w:rFonts w:cs="Times New Roman"/>
        </w:rPr>
        <w:t>4) 在确定以上内容后，对普通备份任务的调度策略进行统一规划：</w:t>
      </w:r>
    </w:p>
    <w:p>
      <w:pPr>
        <w:pStyle w:val="18"/>
        <w:numPr>
          <w:ilvl w:val="0"/>
          <w:numId w:val="16"/>
        </w:numPr>
        <w:spacing w:after="156" w:line="360" w:lineRule="auto"/>
        <w:ind w:firstLineChars="0"/>
        <w:rPr>
          <w:rFonts w:cs="Times New Roman"/>
        </w:rPr>
      </w:pPr>
      <w:r>
        <w:rPr>
          <w:rFonts w:cs="Times New Roman"/>
        </w:rPr>
        <w:t>对于相关业务系统的数据，为保证数据一致性，尽量安排在同一天进行备份；</w:t>
      </w:r>
    </w:p>
    <w:p>
      <w:pPr>
        <w:pStyle w:val="18"/>
        <w:numPr>
          <w:ilvl w:val="0"/>
          <w:numId w:val="16"/>
        </w:numPr>
        <w:spacing w:after="156" w:line="360" w:lineRule="auto"/>
        <w:ind w:firstLineChars="0"/>
        <w:rPr>
          <w:rFonts w:cs="Times New Roman"/>
        </w:rPr>
      </w:pPr>
      <w:r>
        <w:rPr>
          <w:rFonts w:cs="Times New Roman"/>
        </w:rPr>
        <w:t>首先保证关键业务的数据备份；</w:t>
      </w:r>
    </w:p>
    <w:p>
      <w:pPr>
        <w:pStyle w:val="18"/>
        <w:numPr>
          <w:ilvl w:val="0"/>
          <w:numId w:val="16"/>
        </w:numPr>
        <w:spacing w:after="156" w:line="360" w:lineRule="auto"/>
        <w:ind w:firstLineChars="0"/>
        <w:rPr>
          <w:rFonts w:cs="Times New Roman"/>
        </w:rPr>
      </w:pPr>
      <w:r>
        <w:rPr>
          <w:rFonts w:cs="Times New Roman"/>
        </w:rPr>
        <w:t xml:space="preserve">尽量使备份数量在一周内的每天平均分布，可以采用大小数据量相搭配，或关键业务与非关键业务相搭配等方式进行； </w:t>
      </w:r>
    </w:p>
    <w:p>
      <w:pPr>
        <w:spacing w:after="156"/>
        <w:ind w:firstLine="560"/>
        <w:rPr>
          <w:rFonts w:cs="Times New Roman"/>
        </w:rPr>
      </w:pPr>
      <w:r>
        <w:rPr>
          <w:rFonts w:cs="Times New Roman"/>
        </w:rPr>
        <w:t>5) 根据业务需要确认备份介质保存周期。如无特殊需求，则保存周期的设置应以保证每一次全备份完成以前，都有可用介质供数据恢复使用为准。</w:t>
      </w:r>
    </w:p>
    <w:p>
      <w:pPr>
        <w:pStyle w:val="4"/>
        <w:ind w:left="1000" w:leftChars="0" w:firstLineChars="0"/>
        <w:rPr>
          <w:rFonts w:hint="eastAsia" w:asciiTheme="majorEastAsia" w:hAnsiTheme="majorEastAsia" w:eastAsiaTheme="majorEastAsia" w:cstheme="minorEastAsia"/>
          <w:sz w:val="28"/>
          <w:szCs w:val="28"/>
        </w:rPr>
      </w:pPr>
      <w:bookmarkStart w:id="19" w:name="_Toc1757909947"/>
      <w:bookmarkStart w:id="20" w:name="_Toc192066806"/>
      <w:bookmarkStart w:id="21" w:name="_Toc197423452"/>
      <w:r>
        <w:rPr>
          <w:rFonts w:asciiTheme="majorEastAsia" w:hAnsiTheme="majorEastAsia" w:eastAsiaTheme="majorEastAsia" w:cstheme="minorEastAsia"/>
          <w:sz w:val="28"/>
          <w:szCs w:val="28"/>
        </w:rPr>
        <w:t>应用安全</w:t>
      </w:r>
      <w:bookmarkEnd w:id="19"/>
      <w:bookmarkEnd w:id="20"/>
      <w:bookmarkEnd w:id="21"/>
    </w:p>
    <w:p>
      <w:pPr>
        <w:pStyle w:val="5"/>
        <w:spacing w:before="0" w:after="0" w:line="360" w:lineRule="auto"/>
        <w:ind w:left="862" w:hanging="862"/>
        <w:rPr>
          <w:rFonts w:hint="eastAsia" w:asciiTheme="majorEastAsia" w:hAnsiTheme="majorEastAsia" w:eastAsiaTheme="majorEastAsia"/>
        </w:rPr>
      </w:pPr>
      <w:r>
        <w:rPr>
          <w:rFonts w:asciiTheme="majorEastAsia" w:hAnsiTheme="majorEastAsia" w:eastAsiaTheme="majorEastAsia"/>
        </w:rPr>
        <w:t>权限分配管理</w:t>
      </w:r>
    </w:p>
    <w:p>
      <w:pPr>
        <w:spacing w:after="156"/>
        <w:ind w:firstLine="560"/>
        <w:rPr>
          <w:rFonts w:cs="Times New Roman"/>
        </w:rPr>
      </w:pPr>
      <w:r>
        <w:rPr>
          <w:rFonts w:cs="Times New Roman"/>
        </w:rPr>
        <w:t>对项目信息、评审信息进行分级管理，需要保护的信息提高安全级别和信息编码，屏蔽信息共享。对已完成或不需要保护项目降低项目信息级别，实现信息共享。</w:t>
      </w:r>
    </w:p>
    <w:p>
      <w:pPr>
        <w:pStyle w:val="5"/>
        <w:spacing w:before="0" w:after="0" w:line="360" w:lineRule="auto"/>
        <w:ind w:left="862" w:hanging="862"/>
        <w:rPr>
          <w:rFonts w:hint="eastAsia" w:asciiTheme="majorEastAsia" w:hAnsiTheme="majorEastAsia" w:eastAsiaTheme="majorEastAsia"/>
        </w:rPr>
      </w:pPr>
      <w:r>
        <w:rPr>
          <w:rFonts w:asciiTheme="majorEastAsia" w:hAnsiTheme="majorEastAsia" w:eastAsiaTheme="majorEastAsia"/>
        </w:rPr>
        <w:t>实现数据访问的权限控制</w:t>
      </w:r>
    </w:p>
    <w:p>
      <w:pPr>
        <w:spacing w:after="156"/>
        <w:ind w:firstLine="560"/>
        <w:rPr>
          <w:rFonts w:cs="Times New Roman"/>
        </w:rPr>
      </w:pPr>
      <w:r>
        <w:rPr>
          <w:rFonts w:cs="Times New Roman"/>
        </w:rPr>
        <w:t>采用权限控制表可为每个用户、角色、组设置对每个目录的数据访问和应用权限。系统权限管理员由专人担任，对于重要数据的访问权限分配和可能具有危害性的操作权限分配一般需经过双人审批授权环节。</w:t>
      </w:r>
    </w:p>
    <w:p>
      <w:pPr>
        <w:pStyle w:val="5"/>
        <w:spacing w:before="0" w:after="0" w:line="360" w:lineRule="auto"/>
        <w:ind w:left="862" w:hanging="862"/>
        <w:rPr>
          <w:rFonts w:hint="eastAsia" w:asciiTheme="majorEastAsia" w:hAnsiTheme="majorEastAsia" w:eastAsiaTheme="majorEastAsia"/>
        </w:rPr>
      </w:pPr>
      <w:r>
        <w:rPr>
          <w:rFonts w:hint="eastAsia" w:asciiTheme="majorEastAsia" w:hAnsiTheme="majorEastAsia" w:eastAsiaTheme="majorEastAsia"/>
        </w:rPr>
        <w:t>系统操作</w:t>
      </w:r>
      <w:r>
        <w:rPr>
          <w:rFonts w:hint="eastAsia" w:asciiTheme="majorEastAsia" w:hAnsiTheme="majorEastAsia" w:eastAsiaTheme="majorEastAsia"/>
          <w:lang w:val="en-US" w:eastAsia="zh-CN"/>
        </w:rPr>
        <w:t>和数据库管理</w:t>
      </w:r>
      <w:r>
        <w:rPr>
          <w:rFonts w:hint="eastAsia" w:asciiTheme="majorEastAsia" w:hAnsiTheme="majorEastAsia" w:eastAsiaTheme="majorEastAsia"/>
        </w:rPr>
        <w:t>权限分级管控</w:t>
      </w:r>
    </w:p>
    <w:p>
      <w:pPr>
        <w:spacing w:after="156"/>
        <w:ind w:firstLine="560"/>
        <w:rPr>
          <w:rFonts w:hint="default" w:eastAsia="宋体" w:cs="Times New Roman"/>
          <w:lang w:val="en-US" w:eastAsia="zh-CN"/>
        </w:rPr>
      </w:pPr>
      <w:r>
        <w:rPr>
          <w:rFonts w:hint="eastAsia" w:cs="Times New Roman"/>
        </w:rPr>
        <w:t>生产环境操作</w:t>
      </w:r>
      <w:r>
        <w:rPr>
          <w:rFonts w:hint="eastAsia" w:cs="Times New Roman"/>
          <w:lang w:val="en-US" w:eastAsia="zh-CN"/>
        </w:rPr>
        <w:t>须由中标方责任</w:t>
      </w:r>
      <w:r>
        <w:rPr>
          <w:rFonts w:hint="eastAsia" w:cs="Times New Roman"/>
        </w:rPr>
        <w:t>主管审核并旁站监督</w:t>
      </w:r>
      <w:r>
        <w:rPr>
          <w:rFonts w:hint="eastAsia" w:cs="Times New Roman"/>
          <w:lang w:eastAsia="zh-CN"/>
        </w:rPr>
        <w:t>。</w:t>
      </w:r>
      <w:r>
        <w:rPr>
          <w:rFonts w:hint="eastAsia" w:cs="Times New Roman"/>
        </w:rPr>
        <w:t>封锁生产库直连权限，技术操作需经审批。</w:t>
      </w:r>
      <w:r>
        <w:rPr>
          <w:rFonts w:hint="eastAsia" w:cs="Times New Roman"/>
          <w:lang w:val="en-US" w:eastAsia="zh-CN"/>
        </w:rPr>
        <w:t>操作日志留存180天。</w:t>
      </w:r>
    </w:p>
    <w:p>
      <w:pPr>
        <w:pStyle w:val="4"/>
        <w:ind w:left="1000" w:leftChars="0" w:firstLineChars="0"/>
        <w:rPr>
          <w:rFonts w:hint="eastAsia" w:asciiTheme="majorEastAsia" w:hAnsiTheme="majorEastAsia" w:eastAsiaTheme="majorEastAsia" w:cstheme="minorEastAsia"/>
          <w:sz w:val="28"/>
          <w:szCs w:val="28"/>
        </w:rPr>
      </w:pPr>
      <w:bookmarkStart w:id="22" w:name="_Toc192066807"/>
      <w:bookmarkStart w:id="23" w:name="_Toc112463803"/>
      <w:bookmarkStart w:id="24" w:name="_Toc197423453"/>
      <w:r>
        <w:rPr>
          <w:rFonts w:asciiTheme="majorEastAsia" w:hAnsiTheme="majorEastAsia" w:eastAsiaTheme="majorEastAsia" w:cstheme="minorEastAsia"/>
          <w:sz w:val="28"/>
          <w:szCs w:val="28"/>
        </w:rPr>
        <w:t>网络安全</w:t>
      </w:r>
      <w:bookmarkEnd w:id="22"/>
      <w:bookmarkEnd w:id="23"/>
      <w:bookmarkEnd w:id="24"/>
    </w:p>
    <w:p>
      <w:pPr>
        <w:pStyle w:val="5"/>
        <w:spacing w:before="0" w:after="0" w:line="360" w:lineRule="auto"/>
        <w:ind w:left="862" w:hanging="862"/>
        <w:rPr>
          <w:rFonts w:hint="eastAsia" w:asciiTheme="majorEastAsia" w:hAnsiTheme="majorEastAsia" w:eastAsiaTheme="majorEastAsia"/>
        </w:rPr>
      </w:pPr>
      <w:r>
        <w:rPr>
          <w:rFonts w:asciiTheme="majorEastAsia" w:hAnsiTheme="majorEastAsia" w:eastAsiaTheme="majorEastAsia"/>
        </w:rPr>
        <w:t>建立用户认证</w:t>
      </w:r>
    </w:p>
    <w:p>
      <w:pPr>
        <w:spacing w:after="156"/>
        <w:ind w:firstLine="560"/>
        <w:rPr>
          <w:rFonts w:cs="Times New Roman"/>
        </w:rPr>
      </w:pPr>
      <w:r>
        <w:rPr>
          <w:rFonts w:cs="Times New Roman"/>
        </w:rPr>
        <w:t>对登录用户进行身份鉴别和标识，对口令长度和复杂性设置要求，密码强度要求至少六位，必须是数字与字母组合；用户连续5次登录失败，则限制24小时之内，不能登录，防止暴力破解。或者联系管理员解锁；建立登录日志：记录用户登录系统的用户、时间、IP地址、登录结果；建立操作日志：记录主要业务模块的操作日志，包括增加、修改、删除等关键性操作。</w:t>
      </w:r>
    </w:p>
    <w:p>
      <w:pPr>
        <w:pStyle w:val="5"/>
        <w:spacing w:before="0" w:after="0" w:line="360" w:lineRule="auto"/>
        <w:ind w:left="862" w:hanging="862"/>
        <w:rPr>
          <w:rFonts w:hint="eastAsia" w:asciiTheme="majorEastAsia" w:hAnsiTheme="majorEastAsia" w:eastAsiaTheme="majorEastAsia"/>
        </w:rPr>
      </w:pPr>
      <w:r>
        <w:rPr>
          <w:rFonts w:asciiTheme="majorEastAsia" w:hAnsiTheme="majorEastAsia" w:eastAsiaTheme="majorEastAsia"/>
        </w:rPr>
        <w:t>对网络边界的适度隔离和安全控制</w:t>
      </w:r>
    </w:p>
    <w:p>
      <w:pPr>
        <w:spacing w:after="156"/>
        <w:ind w:firstLine="560"/>
        <w:rPr>
          <w:rFonts w:cs="Times New Roman"/>
        </w:rPr>
      </w:pPr>
      <w:r>
        <w:rPr>
          <w:rFonts w:cs="Times New Roman"/>
        </w:rPr>
        <w:t>通过身份认证和安全策略检查的方式，对未通过身份认证或不符合安全策略的用户终端进行网络隔离，并帮助终端进行安全修复，以达到防范不安全网络用户终端给安全网络带来安全威胁的目的。</w:t>
      </w:r>
    </w:p>
    <w:p>
      <w:pPr>
        <w:pStyle w:val="4"/>
        <w:ind w:left="1000" w:leftChars="0" w:firstLineChars="0"/>
        <w:rPr>
          <w:rFonts w:hint="eastAsia" w:asciiTheme="majorEastAsia" w:hAnsiTheme="majorEastAsia" w:eastAsiaTheme="majorEastAsia" w:cstheme="minorEastAsia"/>
          <w:sz w:val="28"/>
          <w:szCs w:val="28"/>
        </w:rPr>
      </w:pPr>
      <w:bookmarkStart w:id="25" w:name="_Toc192066808"/>
      <w:bookmarkStart w:id="26" w:name="_Toc197423454"/>
      <w:bookmarkStart w:id="27" w:name="_Toc393527661"/>
      <w:r>
        <w:rPr>
          <w:rFonts w:asciiTheme="majorEastAsia" w:hAnsiTheme="majorEastAsia" w:eastAsiaTheme="majorEastAsia" w:cstheme="minorEastAsia"/>
          <w:sz w:val="28"/>
          <w:szCs w:val="28"/>
        </w:rPr>
        <w:t>安全审计</w:t>
      </w:r>
      <w:bookmarkEnd w:id="25"/>
      <w:bookmarkEnd w:id="26"/>
      <w:bookmarkEnd w:id="27"/>
    </w:p>
    <w:p>
      <w:pPr>
        <w:spacing w:after="156"/>
        <w:ind w:firstLine="560"/>
        <w:rPr>
          <w:rFonts w:cs="Times New Roman"/>
        </w:rPr>
      </w:pPr>
      <w:r>
        <w:rPr>
          <w:rFonts w:cs="Times New Roman"/>
        </w:rPr>
        <w:t>审计范围</w:t>
      </w:r>
      <w:r>
        <w:rPr>
          <w:rFonts w:hint="eastAsia" w:cs="Times New Roman"/>
          <w:lang w:eastAsia="zh-CN"/>
        </w:rPr>
        <w:t>覆盖</w:t>
      </w:r>
      <w:r>
        <w:rPr>
          <w:rFonts w:cs="Times New Roman"/>
        </w:rPr>
        <w:t>服务器和重要客户端上的每个操作系统用户和数据库用户；</w:t>
      </w:r>
    </w:p>
    <w:p>
      <w:pPr>
        <w:spacing w:after="156"/>
        <w:ind w:firstLine="560"/>
        <w:rPr>
          <w:rFonts w:cs="Times New Roman"/>
        </w:rPr>
      </w:pPr>
      <w:r>
        <w:rPr>
          <w:rFonts w:cs="Times New Roman"/>
        </w:rPr>
        <w:t>审计内容包括重要用户行为、系统资源的异常使用和重要系统命令的使用等系统内重要的安全相关事件。</w:t>
      </w:r>
    </w:p>
    <w:p>
      <w:pPr>
        <w:spacing w:after="156"/>
        <w:ind w:firstLine="560"/>
        <w:rPr>
          <w:rFonts w:cs="Times New Roman"/>
        </w:rPr>
      </w:pPr>
      <w:r>
        <w:rPr>
          <w:rFonts w:cs="Times New Roman"/>
        </w:rPr>
        <w:t>审计包括事件的日期、事件、类型、主体标识、客体标识和结果等。</w:t>
      </w:r>
    </w:p>
    <w:p>
      <w:pPr>
        <w:spacing w:after="156"/>
        <w:ind w:firstLine="560"/>
        <w:rPr>
          <w:rFonts w:cs="Times New Roman"/>
        </w:rPr>
      </w:pPr>
      <w:r>
        <w:rPr>
          <w:rFonts w:cs="Times New Roman"/>
        </w:rPr>
        <w:t>保护审计记录，避免受到未预期的删除、修改或覆盖等。</w:t>
      </w:r>
    </w:p>
    <w:p>
      <w:pPr>
        <w:spacing w:after="156"/>
        <w:ind w:firstLine="560"/>
        <w:rPr>
          <w:rFonts w:cs="Times New Roman"/>
        </w:rPr>
      </w:pPr>
      <w:r>
        <w:rPr>
          <w:rFonts w:cs="Times New Roman"/>
        </w:rPr>
        <w:t>漏洞扫描。定期对服务器进行漏洞扫描，服务器操作系统及数据库操作系统根据系统安全策略，采取适当方式进行安全补丁升级。</w:t>
      </w:r>
    </w:p>
    <w:p>
      <w:pPr>
        <w:pStyle w:val="4"/>
        <w:ind w:left="1000" w:leftChars="0" w:firstLineChars="0"/>
        <w:rPr>
          <w:rFonts w:hint="eastAsia" w:asciiTheme="majorEastAsia" w:hAnsiTheme="majorEastAsia" w:eastAsiaTheme="majorEastAsia" w:cstheme="minorEastAsia"/>
          <w:sz w:val="28"/>
          <w:szCs w:val="28"/>
        </w:rPr>
      </w:pPr>
      <w:bookmarkStart w:id="28" w:name="_Toc192066809"/>
      <w:bookmarkStart w:id="29" w:name="_Toc197423455"/>
      <w:r>
        <w:rPr>
          <w:rFonts w:asciiTheme="majorEastAsia" w:hAnsiTheme="majorEastAsia" w:eastAsiaTheme="majorEastAsia" w:cstheme="minorEastAsia"/>
          <w:sz w:val="28"/>
          <w:szCs w:val="28"/>
        </w:rPr>
        <w:t>密码应用实施</w:t>
      </w:r>
      <w:bookmarkEnd w:id="28"/>
      <w:bookmarkEnd w:id="29"/>
    </w:p>
    <w:p>
      <w:pPr>
        <w:pStyle w:val="17"/>
        <w:ind w:firstLine="560"/>
        <w:rPr>
          <w:rFonts w:hint="eastAsia" w:ascii="宋体" w:hAnsi="宋体" w:cs="宋体"/>
        </w:rPr>
      </w:pPr>
      <w:r>
        <w:t>系统用于支撑临港新片区人才服务，需要建立完善的密码整体解决方案，需要考虑到建设项目中已经规划的安全设施、软件、服务和产品，将密码应用建设统筹至整体安全建设中。实施与信息系统的同步规划、建设和同步实施，使</w:t>
      </w:r>
      <w:r>
        <w:rPr>
          <w:rFonts w:hint="eastAsia"/>
        </w:rPr>
        <w:t>系统</w:t>
      </w:r>
      <w:r>
        <w:t>能够在建设成功后符合密码应用安全性评估的标准</w:t>
      </w:r>
      <w:r>
        <w:rPr>
          <w:rFonts w:hint="eastAsia" w:ascii="宋体" w:hAnsi="宋体" w:cs="宋体"/>
          <w:lang w:val="en-US"/>
        </w:rPr>
        <w:t>。</w:t>
      </w:r>
    </w:p>
    <w:bookmarkEnd w:id="14"/>
    <w:bookmarkEnd w:id="15"/>
    <w:p>
      <w:pPr>
        <w:pStyle w:val="2"/>
        <w:rPr>
          <w:rFonts w:hint="eastAsia" w:cs="楷体" w:asciiTheme="majorEastAsia" w:hAnsiTheme="majorEastAsia" w:eastAsiaTheme="majorEastAsia"/>
        </w:rPr>
      </w:pPr>
      <w:r>
        <w:rPr>
          <w:rFonts w:hint="eastAsia" w:cs="楷体" w:asciiTheme="majorEastAsia" w:hAnsiTheme="majorEastAsia" w:eastAsiaTheme="majorEastAsia"/>
        </w:rPr>
        <w:t>服务要求</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工期要求</w:t>
      </w:r>
    </w:p>
    <w:p>
      <w:pPr>
        <w:ind w:firstLine="560"/>
        <w:rPr>
          <w:rFonts w:hint="eastAsia" w:ascii="宋体" w:hAnsi="宋体"/>
          <w:szCs w:val="28"/>
        </w:rPr>
      </w:pPr>
      <w:r>
        <w:rPr>
          <w:rFonts w:hint="eastAsia" w:ascii="宋体" w:hAnsi="宋体"/>
          <w:szCs w:val="28"/>
        </w:rPr>
        <w:t>（1）供应商承诺在合同签订后8个月内完成系统的开发工作，可上线试运行；</w:t>
      </w:r>
    </w:p>
    <w:p>
      <w:pPr>
        <w:ind w:firstLine="560"/>
        <w:rPr>
          <w:rFonts w:hint="eastAsia" w:ascii="宋体" w:hAnsi="宋体"/>
          <w:szCs w:val="28"/>
        </w:rPr>
      </w:pPr>
      <w:r>
        <w:rPr>
          <w:rFonts w:hint="eastAsia" w:ascii="宋体" w:hAnsi="宋体"/>
          <w:szCs w:val="28"/>
        </w:rPr>
        <w:t>（2）供应商需在合同生效后即派项目实施人员到达用户现场，开展具体工作，并提交系列方案征询采购人同意后方可实施；</w:t>
      </w:r>
    </w:p>
    <w:p>
      <w:pPr>
        <w:ind w:firstLine="560"/>
      </w:pPr>
      <w:r>
        <w:rPr>
          <w:rFonts w:hint="eastAsia" w:ascii="宋体" w:hAnsi="宋体"/>
          <w:szCs w:val="28"/>
        </w:rPr>
        <w:t>（3）系统应完成不少于3个月的全部在线试运行，并根据采购人的反馈修改程序达到所需功能要求。</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人员要求</w:t>
      </w:r>
    </w:p>
    <w:p>
      <w:pPr>
        <w:ind w:firstLine="560"/>
        <w:rPr>
          <w:rFonts w:hint="eastAsia" w:ascii="宋体" w:hAnsi="宋体"/>
          <w:szCs w:val="28"/>
        </w:rPr>
      </w:pPr>
      <w:r>
        <w:rPr>
          <w:rFonts w:hint="eastAsia" w:ascii="宋体" w:hAnsi="宋体"/>
          <w:szCs w:val="28"/>
        </w:rPr>
        <w:t>供应商须具有稳定的在职技术保障力量，能够提供及时的技术支援或服务，应针对本项目提供专业项目服务团队，供应商的相关服务人员须具备相应的服务能力，其中核心团队人员项目经理、核心研发人员需提供相关证明。项目团队成员的详细资格要求和人员数量详见下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17"/>
        <w:gridCol w:w="794"/>
        <w:gridCol w:w="5186"/>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292" w:type="pct"/>
            <w:vAlign w:val="center"/>
          </w:tcPr>
          <w:p>
            <w:pPr>
              <w:spacing w:line="360" w:lineRule="exact"/>
              <w:ind w:firstLine="0" w:firstLineChars="0"/>
              <w:jc w:val="center"/>
              <w:rPr>
                <w:rFonts w:hint="eastAsia" w:cs="Times New Roman" w:asciiTheme="minorEastAsia" w:hAnsiTheme="minorEastAsia" w:eastAsiaTheme="minorEastAsia"/>
                <w:b/>
                <w:szCs w:val="28"/>
              </w:rPr>
            </w:pPr>
            <w:bookmarkStart w:id="30" w:name="_Hlk87280031"/>
            <w:r>
              <w:rPr>
                <w:rFonts w:cs="Times New Roman" w:asciiTheme="minorEastAsia" w:hAnsiTheme="minorEastAsia" w:eastAsiaTheme="minorEastAsia"/>
                <w:b/>
                <w:szCs w:val="28"/>
              </w:rPr>
              <w:t>序号</w:t>
            </w:r>
          </w:p>
        </w:tc>
        <w:tc>
          <w:tcPr>
            <w:tcW w:w="304" w:type="pct"/>
            <w:vAlign w:val="center"/>
          </w:tcPr>
          <w:p>
            <w:pPr>
              <w:spacing w:line="360" w:lineRule="exact"/>
              <w:ind w:firstLine="0" w:firstLineChars="0"/>
              <w:jc w:val="center"/>
              <w:rPr>
                <w:rFonts w:hint="eastAsia" w:cs="Times New Roman" w:asciiTheme="minorEastAsia" w:hAnsiTheme="minorEastAsia" w:eastAsiaTheme="minorEastAsia"/>
                <w:b/>
                <w:szCs w:val="28"/>
              </w:rPr>
            </w:pPr>
            <w:r>
              <w:rPr>
                <w:rFonts w:cs="Times New Roman" w:asciiTheme="minorEastAsia" w:hAnsiTheme="minorEastAsia" w:eastAsiaTheme="minorEastAsia"/>
                <w:b/>
                <w:szCs w:val="28"/>
              </w:rPr>
              <w:t>岗位名称</w:t>
            </w:r>
          </w:p>
        </w:tc>
        <w:tc>
          <w:tcPr>
            <w:tcW w:w="466" w:type="pct"/>
            <w:vAlign w:val="center"/>
          </w:tcPr>
          <w:p>
            <w:pPr>
              <w:spacing w:line="360" w:lineRule="exact"/>
              <w:ind w:firstLine="0" w:firstLineChars="0"/>
              <w:jc w:val="center"/>
              <w:rPr>
                <w:rFonts w:hint="eastAsia" w:cs="Times New Roman" w:asciiTheme="minorEastAsia" w:hAnsiTheme="minorEastAsia" w:eastAsiaTheme="minorEastAsia"/>
                <w:b/>
                <w:szCs w:val="28"/>
              </w:rPr>
            </w:pPr>
            <w:r>
              <w:rPr>
                <w:rFonts w:cs="Times New Roman" w:asciiTheme="minorEastAsia" w:hAnsiTheme="minorEastAsia" w:eastAsiaTheme="minorEastAsia"/>
                <w:b/>
                <w:szCs w:val="28"/>
              </w:rPr>
              <w:t>建议配置岗位人数</w:t>
            </w:r>
          </w:p>
        </w:tc>
        <w:tc>
          <w:tcPr>
            <w:tcW w:w="3043" w:type="pct"/>
            <w:vAlign w:val="center"/>
          </w:tcPr>
          <w:p>
            <w:pPr>
              <w:spacing w:line="360" w:lineRule="exact"/>
              <w:ind w:firstLine="0" w:firstLineChars="0"/>
              <w:jc w:val="center"/>
              <w:rPr>
                <w:rFonts w:hint="eastAsia" w:cs="Times New Roman" w:asciiTheme="minorEastAsia" w:hAnsiTheme="minorEastAsia" w:eastAsiaTheme="minorEastAsia"/>
                <w:b/>
                <w:szCs w:val="28"/>
              </w:rPr>
            </w:pPr>
            <w:r>
              <w:rPr>
                <w:rFonts w:cs="Times New Roman" w:asciiTheme="minorEastAsia" w:hAnsiTheme="minorEastAsia" w:eastAsiaTheme="minorEastAsia"/>
                <w:b/>
                <w:szCs w:val="28"/>
              </w:rPr>
              <w:t>基本要求</w:t>
            </w:r>
          </w:p>
        </w:tc>
        <w:tc>
          <w:tcPr>
            <w:tcW w:w="894" w:type="pct"/>
            <w:vAlign w:val="center"/>
          </w:tcPr>
          <w:p>
            <w:pPr>
              <w:spacing w:line="360" w:lineRule="exact"/>
              <w:ind w:firstLine="0" w:firstLineChars="0"/>
              <w:jc w:val="center"/>
              <w:rPr>
                <w:rFonts w:hint="default" w:cs="Times New Roman" w:asciiTheme="minorEastAsia" w:hAnsiTheme="minorEastAsia" w:eastAsiaTheme="minorEastAsia"/>
                <w:b/>
                <w:szCs w:val="28"/>
                <w:lang w:val="en-US" w:eastAsia="zh-CN"/>
              </w:rPr>
            </w:pPr>
            <w:r>
              <w:rPr>
                <w:rFonts w:hint="eastAsia" w:cs="Times New Roman" w:asciiTheme="minorEastAsia" w:hAnsiTheme="minorEastAsia" w:eastAsiaTheme="minorEastAsia"/>
                <w:b/>
                <w:szCs w:val="28"/>
                <w:lang w:val="en-US" w:eastAsia="zh-CN"/>
              </w:rPr>
              <w:t>驻场要求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92"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cs="Times New Roman" w:asciiTheme="minorEastAsia" w:hAnsiTheme="minorEastAsia" w:eastAsiaTheme="minorEastAsia"/>
                <w:szCs w:val="28"/>
              </w:rPr>
              <w:t>1</w:t>
            </w:r>
          </w:p>
        </w:tc>
        <w:tc>
          <w:tcPr>
            <w:tcW w:w="304"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项目经理</w:t>
            </w:r>
          </w:p>
        </w:tc>
        <w:tc>
          <w:tcPr>
            <w:tcW w:w="466"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1人</w:t>
            </w:r>
          </w:p>
        </w:tc>
        <w:tc>
          <w:tcPr>
            <w:tcW w:w="3043" w:type="pct"/>
            <w:vAlign w:val="center"/>
          </w:tcPr>
          <w:p>
            <w:pPr>
              <w:spacing w:line="360" w:lineRule="exact"/>
              <w:ind w:firstLine="0" w:firstLineChars="0"/>
              <w:rPr>
                <w:rFonts w:hint="eastAsia" w:cs="仿宋" w:asciiTheme="minorEastAsia" w:hAnsiTheme="minorEastAsia" w:eastAsiaTheme="minorEastAsia"/>
                <w:szCs w:val="28"/>
              </w:rPr>
            </w:pPr>
            <w:r>
              <w:rPr>
                <w:rFonts w:hint="eastAsia" w:cs="仿宋" w:asciiTheme="minorEastAsia" w:hAnsiTheme="minorEastAsia" w:eastAsiaTheme="minorEastAsia"/>
                <w:szCs w:val="28"/>
              </w:rPr>
              <w:t>本科及以上学历，具备10年及以上信息化集成项目管理经验，具有高级信息系统项目管理师认证证书。（提供相关证明材料）</w:t>
            </w:r>
          </w:p>
        </w:tc>
        <w:tc>
          <w:tcPr>
            <w:tcW w:w="894" w:type="pct"/>
            <w:vMerge w:val="restart"/>
            <w:vAlign w:val="center"/>
          </w:tcPr>
          <w:p>
            <w:pPr>
              <w:ind w:left="0" w:leftChars="0" w:firstLine="0" w:firstLineChars="0"/>
              <w:rPr>
                <w:rFonts w:hint="default" w:ascii="宋体" w:hAnsi="宋体"/>
                <w:szCs w:val="28"/>
                <w:lang w:val="en-US" w:eastAsia="zh-CN"/>
              </w:rPr>
            </w:pPr>
            <w:r>
              <w:rPr>
                <w:rFonts w:hint="eastAsia" w:cs="仿宋" w:asciiTheme="minorEastAsia" w:hAnsiTheme="minorEastAsia" w:eastAsiaTheme="minorEastAsia"/>
                <w:szCs w:val="28"/>
                <w:lang w:val="en-US" w:eastAsia="zh-CN"/>
              </w:rPr>
              <w:t>不驻场，</w:t>
            </w:r>
            <w:r>
              <w:rPr>
                <w:rFonts w:hint="eastAsia" w:ascii="宋体" w:hAnsi="宋体"/>
                <w:szCs w:val="28"/>
                <w:lang w:val="en-US" w:eastAsia="zh-CN"/>
              </w:rPr>
              <w:t>供应商须配合采购人做好现场管理，即时响应采购人、业务需求部门现场对接要求。</w:t>
            </w:r>
          </w:p>
          <w:p>
            <w:pPr>
              <w:spacing w:line="360" w:lineRule="exact"/>
              <w:ind w:firstLine="0" w:firstLineChars="0"/>
              <w:rPr>
                <w:rFonts w:hint="default" w:cs="仿宋" w:asciiTheme="minorEastAsia" w:hAnsiTheme="minorEastAsia" w:eastAsiaTheme="minorEastAsia"/>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92"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2</w:t>
            </w:r>
          </w:p>
        </w:tc>
        <w:tc>
          <w:tcPr>
            <w:tcW w:w="304"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技术负责人</w:t>
            </w:r>
          </w:p>
        </w:tc>
        <w:tc>
          <w:tcPr>
            <w:tcW w:w="466"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1人</w:t>
            </w:r>
          </w:p>
        </w:tc>
        <w:tc>
          <w:tcPr>
            <w:tcW w:w="3043" w:type="pct"/>
            <w:vAlign w:val="center"/>
          </w:tcPr>
          <w:p>
            <w:pPr>
              <w:spacing w:line="360" w:lineRule="exact"/>
              <w:ind w:firstLine="0" w:firstLineChars="0"/>
              <w:rPr>
                <w:rFonts w:hint="eastAsia" w:cs="仿宋" w:asciiTheme="minorEastAsia" w:hAnsiTheme="minorEastAsia" w:eastAsiaTheme="minorEastAsia"/>
                <w:szCs w:val="28"/>
              </w:rPr>
            </w:pPr>
            <w:r>
              <w:rPr>
                <w:rFonts w:hint="eastAsia" w:cs="仿宋" w:asciiTheme="minorEastAsia" w:hAnsiTheme="minorEastAsia" w:eastAsiaTheme="minorEastAsia"/>
                <w:szCs w:val="28"/>
              </w:rPr>
              <w:t>硕士及以上学历，具备10年及以上软件开发及管理经验，具有</w:t>
            </w:r>
            <w:r>
              <w:rPr>
                <w:rFonts w:hint="eastAsia" w:cs="仿宋" w:asciiTheme="minorEastAsia" w:hAnsiTheme="minorEastAsia" w:eastAsiaTheme="minorEastAsia"/>
                <w:szCs w:val="28"/>
                <w:lang w:eastAsia="zh-CN"/>
              </w:rPr>
              <w:t>信息技术类</w:t>
            </w:r>
            <w:r>
              <w:rPr>
                <w:rFonts w:hint="eastAsia" w:cs="仿宋" w:asciiTheme="minorEastAsia" w:hAnsiTheme="minorEastAsia" w:eastAsiaTheme="minorEastAsia"/>
                <w:szCs w:val="28"/>
              </w:rPr>
              <w:t>高级专业技术</w:t>
            </w:r>
            <w:r>
              <w:rPr>
                <w:rFonts w:hint="eastAsia" w:cs="仿宋" w:asciiTheme="minorEastAsia" w:hAnsiTheme="minorEastAsia" w:eastAsiaTheme="minorEastAsia"/>
                <w:szCs w:val="28"/>
                <w:lang w:eastAsia="zh-CN"/>
              </w:rPr>
              <w:t>资格证书</w:t>
            </w:r>
            <w:r>
              <w:rPr>
                <w:rFonts w:hint="eastAsia" w:cs="Tahoma" w:asciiTheme="minorEastAsia" w:hAnsiTheme="minorEastAsia" w:eastAsiaTheme="minorEastAsia"/>
                <w:szCs w:val="28"/>
              </w:rPr>
              <w:t>。</w:t>
            </w:r>
            <w:r>
              <w:rPr>
                <w:rFonts w:hint="eastAsia" w:cs="仿宋" w:asciiTheme="minorEastAsia" w:hAnsiTheme="minorEastAsia" w:eastAsiaTheme="minorEastAsia"/>
                <w:szCs w:val="28"/>
              </w:rPr>
              <w:t>（提供相关证明材料）</w:t>
            </w:r>
          </w:p>
        </w:tc>
        <w:tc>
          <w:tcPr>
            <w:tcW w:w="894" w:type="pct"/>
            <w:vMerge w:val="continue"/>
            <w:vAlign w:val="center"/>
          </w:tcPr>
          <w:p>
            <w:pPr>
              <w:spacing w:line="360" w:lineRule="exact"/>
              <w:ind w:firstLine="0" w:firstLineChars="0"/>
              <w:rPr>
                <w:rFonts w:hint="eastAsia" w:cs="仿宋"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92"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3</w:t>
            </w:r>
          </w:p>
        </w:tc>
        <w:tc>
          <w:tcPr>
            <w:tcW w:w="304"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安全工程师</w:t>
            </w:r>
          </w:p>
        </w:tc>
        <w:tc>
          <w:tcPr>
            <w:tcW w:w="466"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2人</w:t>
            </w:r>
          </w:p>
        </w:tc>
        <w:tc>
          <w:tcPr>
            <w:tcW w:w="3043" w:type="pct"/>
            <w:vAlign w:val="center"/>
          </w:tcPr>
          <w:p>
            <w:pPr>
              <w:spacing w:line="360" w:lineRule="exact"/>
              <w:ind w:firstLine="0" w:firstLineChars="0"/>
              <w:rPr>
                <w:rFonts w:hint="eastAsia" w:cs="仿宋" w:asciiTheme="minorEastAsia" w:hAnsiTheme="minorEastAsia" w:eastAsiaTheme="minorEastAsia"/>
                <w:szCs w:val="28"/>
              </w:rPr>
            </w:pPr>
            <w:bookmarkStart w:id="31" w:name="_GoBack"/>
            <w:r>
              <w:rPr>
                <w:rFonts w:hint="eastAsia" w:cs="Tahoma" w:asciiTheme="minorEastAsia" w:hAnsiTheme="minorEastAsia" w:eastAsiaTheme="minorEastAsia"/>
                <w:szCs w:val="28"/>
              </w:rPr>
              <w:t>首席安全工程师具有本科及以上学历、</w:t>
            </w:r>
            <w:r>
              <w:rPr>
                <w:rFonts w:hint="eastAsia" w:cs="Tahoma" w:asciiTheme="minorEastAsia" w:hAnsiTheme="minorEastAsia" w:eastAsiaTheme="minorEastAsia"/>
                <w:szCs w:val="28"/>
                <w:lang w:eastAsia="zh-CN"/>
              </w:rPr>
              <w:t>具有</w:t>
            </w:r>
            <w:r>
              <w:rPr>
                <w:rFonts w:hint="eastAsia" w:cs="Tahoma" w:asciiTheme="minorEastAsia" w:hAnsiTheme="minorEastAsia" w:eastAsiaTheme="minorEastAsia"/>
                <w:szCs w:val="28"/>
              </w:rPr>
              <w:t>信息化安全服务</w:t>
            </w:r>
            <w:r>
              <w:rPr>
                <w:rFonts w:hint="eastAsia" w:cs="Tahoma" w:asciiTheme="minorEastAsia" w:hAnsiTheme="minorEastAsia" w:eastAsiaTheme="minorEastAsia"/>
                <w:szCs w:val="28"/>
                <w:lang w:eastAsia="zh-CN"/>
              </w:rPr>
              <w:t>经验</w:t>
            </w:r>
            <w:r>
              <w:rPr>
                <w:rFonts w:hint="eastAsia" w:cs="Tahoma" w:asciiTheme="minorEastAsia" w:hAnsiTheme="minorEastAsia" w:eastAsiaTheme="minorEastAsia"/>
                <w:szCs w:val="28"/>
              </w:rPr>
              <w:t>不少于2年，具有注册安全工程师</w:t>
            </w:r>
            <w:r>
              <w:rPr>
                <w:rFonts w:hint="eastAsia" w:cs="Tahoma" w:asciiTheme="minorEastAsia" w:hAnsiTheme="minorEastAsia" w:eastAsiaTheme="minorEastAsia"/>
                <w:szCs w:val="28"/>
                <w:lang w:eastAsia="zh-CN"/>
              </w:rPr>
              <w:t>证书</w:t>
            </w:r>
            <w:r>
              <w:rPr>
                <w:rFonts w:hint="eastAsia" w:cs="Tahoma" w:asciiTheme="minorEastAsia" w:hAnsiTheme="minorEastAsia" w:eastAsiaTheme="minorEastAsia"/>
                <w:szCs w:val="28"/>
              </w:rPr>
              <w:t>或中级及以上专业技术职称（信息安全专业）证书；</w:t>
            </w:r>
            <w:r>
              <w:rPr>
                <w:rFonts w:hint="eastAsia" w:cs="Tahoma" w:asciiTheme="minorEastAsia" w:hAnsiTheme="minorEastAsia" w:eastAsiaTheme="minorEastAsia"/>
                <w:szCs w:val="28"/>
                <w:lang w:eastAsia="zh-CN"/>
              </w:rPr>
              <w:t>其他</w:t>
            </w:r>
            <w:r>
              <w:rPr>
                <w:rFonts w:hint="eastAsia" w:cs="Tahoma" w:asciiTheme="minorEastAsia" w:hAnsiTheme="minorEastAsia" w:eastAsiaTheme="minorEastAsia"/>
                <w:szCs w:val="28"/>
              </w:rPr>
              <w:t>安全工程师具有国家信息安全</w:t>
            </w:r>
            <w:r>
              <w:rPr>
                <w:rFonts w:hint="eastAsia" w:cs="Tahoma" w:asciiTheme="minorEastAsia" w:hAnsiTheme="minorEastAsia" w:eastAsiaTheme="minorEastAsia"/>
                <w:szCs w:val="28"/>
                <w:lang w:eastAsia="zh-CN"/>
              </w:rPr>
              <w:t>水平</w:t>
            </w:r>
            <w:r>
              <w:rPr>
                <w:rFonts w:hint="eastAsia" w:cs="Tahoma" w:asciiTheme="minorEastAsia" w:hAnsiTheme="minorEastAsia" w:eastAsiaTheme="minorEastAsia"/>
                <w:szCs w:val="28"/>
              </w:rPr>
              <w:t>证书</w:t>
            </w:r>
            <w:r>
              <w:rPr>
                <w:rFonts w:hint="eastAsia" w:cs="Tahoma" w:asciiTheme="minorEastAsia" w:hAnsiTheme="minorEastAsia" w:eastAsiaTheme="minorEastAsia"/>
                <w:szCs w:val="28"/>
                <w:lang w:eastAsia="zh-CN"/>
              </w:rPr>
              <w:t>（一级及以上）</w:t>
            </w:r>
            <w:bookmarkEnd w:id="31"/>
          </w:p>
        </w:tc>
        <w:tc>
          <w:tcPr>
            <w:tcW w:w="894" w:type="pct"/>
            <w:vMerge w:val="continue"/>
            <w:vAlign w:val="center"/>
          </w:tcPr>
          <w:p>
            <w:pPr>
              <w:spacing w:line="360" w:lineRule="exact"/>
              <w:ind w:firstLine="0" w:firstLineChars="0"/>
              <w:rPr>
                <w:rFonts w:hint="eastAsia" w:cs="Tahoma"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92"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4</w:t>
            </w:r>
          </w:p>
        </w:tc>
        <w:tc>
          <w:tcPr>
            <w:tcW w:w="304"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研发工程师</w:t>
            </w:r>
          </w:p>
        </w:tc>
        <w:tc>
          <w:tcPr>
            <w:tcW w:w="466"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8人</w:t>
            </w:r>
          </w:p>
        </w:tc>
        <w:tc>
          <w:tcPr>
            <w:tcW w:w="3043" w:type="pct"/>
            <w:vMerge w:val="restart"/>
            <w:vAlign w:val="center"/>
          </w:tcPr>
          <w:p>
            <w:pPr>
              <w:spacing w:line="360" w:lineRule="exact"/>
              <w:ind w:firstLine="0" w:firstLineChars="0"/>
              <w:jc w:val="left"/>
              <w:rPr>
                <w:rFonts w:hint="eastAsia" w:cs="Times New Roman" w:asciiTheme="minorEastAsia" w:hAnsiTheme="minorEastAsia" w:eastAsiaTheme="minorEastAsia"/>
                <w:szCs w:val="28"/>
              </w:rPr>
            </w:pPr>
            <w:r>
              <w:rPr>
                <w:rFonts w:hint="eastAsia" w:cs="仿宋" w:asciiTheme="minorEastAsia" w:hAnsiTheme="minorEastAsia" w:eastAsiaTheme="minorEastAsia"/>
                <w:szCs w:val="28"/>
              </w:rPr>
              <w:t>熟悉类似政务行业信息化服务软件研发，不少于1名具有信息系统项目管理师（高级），1名具有软件设计师中级及以上资格认证，其他研发人员从事软件开发不少于2年相关工作经验。（提供相关证明材料）</w:t>
            </w:r>
          </w:p>
        </w:tc>
        <w:tc>
          <w:tcPr>
            <w:tcW w:w="894" w:type="pct"/>
            <w:vMerge w:val="continue"/>
            <w:vAlign w:val="center"/>
          </w:tcPr>
          <w:p>
            <w:pPr>
              <w:spacing w:line="360" w:lineRule="exact"/>
              <w:ind w:firstLine="0" w:firstLineChars="0"/>
              <w:jc w:val="left"/>
              <w:rPr>
                <w:rFonts w:hint="eastAsia" w:cs="仿宋" w:asciiTheme="minorEastAsia" w:hAnsiTheme="minorEastAsia" w:eastAsia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92"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5</w:t>
            </w:r>
          </w:p>
        </w:tc>
        <w:tc>
          <w:tcPr>
            <w:tcW w:w="304"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测试工程师</w:t>
            </w:r>
          </w:p>
        </w:tc>
        <w:tc>
          <w:tcPr>
            <w:tcW w:w="466" w:type="pct"/>
            <w:vAlign w:val="center"/>
          </w:tcPr>
          <w:p>
            <w:pPr>
              <w:spacing w:line="360" w:lineRule="exact"/>
              <w:ind w:firstLine="0" w:firstLineChars="0"/>
              <w:jc w:val="center"/>
              <w:rPr>
                <w:rFonts w:hint="eastAsia" w:cs="Times New Roman" w:asciiTheme="minorEastAsia" w:hAnsiTheme="minorEastAsia" w:eastAsiaTheme="minorEastAsia"/>
                <w:szCs w:val="28"/>
              </w:rPr>
            </w:pPr>
            <w:r>
              <w:rPr>
                <w:rFonts w:hint="eastAsia" w:cs="Times New Roman" w:asciiTheme="minorEastAsia" w:hAnsiTheme="minorEastAsia" w:eastAsiaTheme="minorEastAsia"/>
                <w:szCs w:val="28"/>
              </w:rPr>
              <w:t>4人</w:t>
            </w:r>
          </w:p>
        </w:tc>
        <w:tc>
          <w:tcPr>
            <w:tcW w:w="3043" w:type="pct"/>
            <w:vMerge w:val="continue"/>
            <w:vAlign w:val="center"/>
          </w:tcPr>
          <w:p>
            <w:pPr>
              <w:spacing w:line="360" w:lineRule="exact"/>
              <w:ind w:firstLine="0" w:firstLineChars="0"/>
              <w:jc w:val="left"/>
              <w:rPr>
                <w:rFonts w:hint="eastAsia" w:cs="仿宋" w:asciiTheme="minorEastAsia" w:hAnsiTheme="minorEastAsia" w:eastAsiaTheme="minorEastAsia"/>
                <w:szCs w:val="28"/>
              </w:rPr>
            </w:pPr>
          </w:p>
        </w:tc>
        <w:tc>
          <w:tcPr>
            <w:tcW w:w="894" w:type="pct"/>
            <w:vMerge w:val="continue"/>
            <w:vAlign w:val="center"/>
          </w:tcPr>
          <w:p>
            <w:pPr>
              <w:spacing w:line="360" w:lineRule="exact"/>
              <w:ind w:firstLine="0" w:firstLineChars="0"/>
              <w:jc w:val="left"/>
              <w:rPr>
                <w:rFonts w:hint="eastAsia" w:cs="仿宋" w:asciiTheme="minorEastAsia" w:hAnsiTheme="minorEastAsia" w:eastAsiaTheme="minorEastAsia"/>
                <w:szCs w:val="28"/>
              </w:rPr>
            </w:pPr>
          </w:p>
        </w:tc>
      </w:tr>
      <w:bookmarkEnd w:id="30"/>
    </w:tbl>
    <w:p>
      <w:pPr>
        <w:pStyle w:val="8"/>
        <w:spacing w:line="300" w:lineRule="auto"/>
        <w:ind w:firstLine="562"/>
        <w:rPr>
          <w:rFonts w:hint="eastAsia" w:ascii="宋体" w:hAnsi="宋体" w:eastAsia="宋体" w:cstheme="minorBidi"/>
          <w:b/>
          <w:bCs/>
          <w:kern w:val="2"/>
          <w:sz w:val="22"/>
          <w:szCs w:val="22"/>
          <w:lang w:val="en-US" w:eastAsia="zh-CN" w:bidi="ar-SA"/>
        </w:rPr>
      </w:pPr>
      <w:r>
        <w:rPr>
          <w:rFonts w:hint="eastAsia" w:ascii="宋体" w:hAnsi="宋体" w:eastAsia="宋体" w:cstheme="minorBidi"/>
          <w:b/>
          <w:bCs/>
          <w:kern w:val="2"/>
          <w:sz w:val="22"/>
          <w:szCs w:val="22"/>
          <w:lang w:val="en-US" w:eastAsia="zh-CN" w:bidi="ar-SA"/>
        </w:rPr>
        <w:t>注：以上拟派项目经理，技术负责人、安全工程师及研发工程师、测试工程师需提供在职证明材料（近一个月的员工社保缴纳证明），以上项目经理，技术负责人、安全工程师及研发工程师的专业资质证明材料不可重复使用。</w:t>
      </w:r>
    </w:p>
    <w:p>
      <w:pPr>
        <w:ind w:firstLine="560"/>
        <w:rPr>
          <w:rFonts w:hint="default" w:ascii="宋体" w:hAnsi="宋体"/>
          <w:szCs w:val="28"/>
          <w:lang w:val="en-US" w:eastAsia="zh-CN"/>
        </w:rPr>
      </w:pPr>
      <w:r>
        <w:rPr>
          <w:rFonts w:hint="eastAsia" w:ascii="宋体" w:hAnsi="宋体"/>
          <w:szCs w:val="28"/>
          <w:lang w:val="en-US" w:eastAsia="zh-CN"/>
        </w:rPr>
        <w:t>采购人不提供驻场工位，供应商须配合采购人做好现场管理，即时响应采购人、业务需求部门现场对接要求。</w:t>
      </w:r>
    </w:p>
    <w:p>
      <w:pPr>
        <w:ind w:firstLine="560"/>
        <w:rPr>
          <w:rFonts w:hint="eastAsia" w:ascii="宋体" w:hAnsi="宋体"/>
          <w:szCs w:val="28"/>
        </w:rPr>
      </w:pPr>
      <w:r>
        <w:rPr>
          <w:rFonts w:hint="eastAsia" w:ascii="宋体" w:hAnsi="宋体"/>
          <w:szCs w:val="28"/>
        </w:rPr>
        <w:t>供应商应向采购人提交《项目实施工程师团队名单》，合同执行期间，供应商项目人员、热线电话、指定联系人发生变化时，应提前3个工作日向采购人提交《项目实施工程师团队调整说明》。</w:t>
      </w:r>
    </w:p>
    <w:p>
      <w:pPr>
        <w:ind w:firstLine="560"/>
        <w:rPr>
          <w:rFonts w:hint="eastAsia" w:ascii="宋体" w:hAnsi="宋体"/>
          <w:szCs w:val="28"/>
        </w:rPr>
      </w:pPr>
      <w:r>
        <w:rPr>
          <w:rFonts w:hint="eastAsia" w:ascii="宋体" w:hAnsi="宋体"/>
          <w:szCs w:val="28"/>
        </w:rPr>
        <w:t>供应商应指派1名具有丰富相关项目研发与实施管理经验的工程师协调与维护服务相关的事宜，提供（7×24小时，含节假日）有效的支持服务电话。</w:t>
      </w:r>
    </w:p>
    <w:p>
      <w:pPr>
        <w:ind w:firstLine="560"/>
        <w:rPr>
          <w:rFonts w:hint="default" w:ascii="宋体" w:hAnsi="宋体" w:eastAsia="宋体"/>
          <w:szCs w:val="28"/>
          <w:lang w:val="en-US" w:eastAsia="zh-CN"/>
        </w:rPr>
      </w:pPr>
      <w:r>
        <w:rPr>
          <w:rFonts w:hint="eastAsia" w:ascii="宋体" w:hAnsi="宋体"/>
          <w:szCs w:val="28"/>
          <w:lang w:val="en-US" w:eastAsia="zh-CN"/>
        </w:rPr>
        <w:t>供应商应针对本项目提供不少于4人的质保期间支撑团队（其中项目经理1人，技术工程师不少于3人）。质保期间采购人不提供驻场工位，供应商须配合采购人做好现场管理，即时响应采购人、业务需求部门现场对接要求。</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安装和调试</w:t>
      </w:r>
    </w:p>
    <w:p>
      <w:pPr>
        <w:ind w:firstLine="560"/>
      </w:pPr>
      <w:r>
        <w:rPr>
          <w:rFonts w:hint="eastAsia" w:ascii="宋体" w:hAnsi="宋体"/>
          <w:szCs w:val="28"/>
        </w:rPr>
        <w:t>供应商应根据采购人要求在指定场所进行安装与调试，直至达到采购人的相关要求。</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培训要求</w:t>
      </w:r>
    </w:p>
    <w:p>
      <w:pPr>
        <w:ind w:firstLine="560"/>
        <w:rPr>
          <w:rFonts w:hint="eastAsia" w:ascii="宋体" w:hAnsi="宋体"/>
          <w:szCs w:val="28"/>
        </w:rPr>
      </w:pPr>
      <w:r>
        <w:rPr>
          <w:rFonts w:hint="eastAsia" w:ascii="宋体" w:hAnsi="宋体"/>
          <w:szCs w:val="28"/>
        </w:rPr>
        <w:t>供应商应向采购人提供充分培训，以便采购人能够正常使用和管理所建设的平台系统，供应商应当向采购人提供培训资料与使用说明书。</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验收要求</w:t>
      </w:r>
    </w:p>
    <w:p>
      <w:pPr>
        <w:ind w:firstLine="560"/>
        <w:rPr>
          <w:rFonts w:hint="eastAsia" w:ascii="宋体" w:hAnsi="宋体"/>
          <w:szCs w:val="28"/>
        </w:rPr>
      </w:pPr>
      <w:r>
        <w:rPr>
          <w:rFonts w:hint="eastAsia" w:ascii="宋体" w:hAnsi="宋体"/>
          <w:szCs w:val="28"/>
        </w:rPr>
        <w:t>该项目需依照《中国（上海）自由贸易试验区临港新片区数字化发展项目验收细则》开展项目验收，具体流程包含验收申请与受理、功能确认、技术审查、中期验收、试运行、系统测评、最终验收。</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售后服务要求</w:t>
      </w:r>
    </w:p>
    <w:p>
      <w:pPr>
        <w:ind w:firstLine="560"/>
        <w:rPr>
          <w:rFonts w:hint="eastAsia" w:ascii="宋体" w:hAnsi="宋体"/>
          <w:szCs w:val="28"/>
        </w:rPr>
      </w:pPr>
      <w:r>
        <w:rPr>
          <w:rFonts w:hint="eastAsia" w:ascii="宋体" w:hAnsi="宋体"/>
          <w:szCs w:val="28"/>
        </w:rPr>
        <w:t>（1）质量保证期技术服务</w:t>
      </w:r>
    </w:p>
    <w:p>
      <w:pPr>
        <w:ind w:firstLine="560"/>
        <w:rPr>
          <w:rFonts w:hint="eastAsia" w:ascii="宋体" w:hAnsi="宋体"/>
          <w:szCs w:val="28"/>
        </w:rPr>
      </w:pPr>
      <w:r>
        <w:rPr>
          <w:rFonts w:hint="eastAsia" w:ascii="宋体" w:hAnsi="宋体"/>
          <w:szCs w:val="28"/>
        </w:rPr>
        <w:t>质量保证期为一年（自项目验收合格后，供应商应负责对运营中的平台进行技术支持服务一年）。</w:t>
      </w:r>
    </w:p>
    <w:p>
      <w:pPr>
        <w:ind w:firstLine="560"/>
        <w:rPr>
          <w:rFonts w:hint="eastAsia" w:ascii="宋体" w:hAnsi="宋体"/>
          <w:szCs w:val="28"/>
        </w:rPr>
      </w:pPr>
      <w:r>
        <w:rPr>
          <w:rFonts w:hint="eastAsia" w:ascii="宋体" w:hAnsi="宋体"/>
          <w:szCs w:val="28"/>
        </w:rPr>
        <w:t>运行中出现故障时，由采购人通知供应商。供应商接到通知后2小时内响应，派技术人员远程或上门检查处理。根据故障复杂程度，普通故障应在2小时内修复；严重故障应在8小时内完成修复；特别严重的突发故障，供应商应在8小时内给出临时修复方案，并与采购人协商后续完全修复方案与修复时间。</w:t>
      </w:r>
    </w:p>
    <w:p>
      <w:pPr>
        <w:ind w:firstLine="560"/>
        <w:rPr>
          <w:rFonts w:hint="eastAsia" w:ascii="宋体" w:hAnsi="宋体"/>
          <w:szCs w:val="28"/>
        </w:rPr>
      </w:pPr>
      <w:r>
        <w:rPr>
          <w:rFonts w:hint="eastAsia" w:ascii="宋体" w:hAnsi="宋体"/>
          <w:szCs w:val="28"/>
        </w:rPr>
        <w:t>供应商需提供至少7*24小时的电话支持服务与电子邮件支持服务，5*8小时远程在线服务。</w:t>
      </w:r>
    </w:p>
    <w:p>
      <w:pPr>
        <w:ind w:firstLine="560"/>
        <w:rPr>
          <w:rFonts w:hint="eastAsia" w:ascii="宋体" w:hAnsi="宋体"/>
          <w:szCs w:val="28"/>
        </w:rPr>
      </w:pPr>
      <w:r>
        <w:rPr>
          <w:rFonts w:hint="eastAsia" w:ascii="宋体" w:hAnsi="宋体"/>
          <w:szCs w:val="28"/>
        </w:rPr>
        <w:t>技术支持方式应包括电话支持、电子邮件支持、远程协助和现场支持。</w:t>
      </w:r>
    </w:p>
    <w:p>
      <w:pPr>
        <w:ind w:firstLine="560"/>
        <w:rPr>
          <w:rFonts w:hint="eastAsia" w:ascii="宋体" w:hAnsi="宋体"/>
          <w:szCs w:val="28"/>
        </w:rPr>
      </w:pPr>
      <w:r>
        <w:rPr>
          <w:rFonts w:hint="eastAsia" w:ascii="宋体" w:hAnsi="宋体"/>
          <w:szCs w:val="28"/>
        </w:rPr>
        <w:t>（二） 系统升级服务</w:t>
      </w:r>
    </w:p>
    <w:p>
      <w:pPr>
        <w:ind w:firstLine="560"/>
        <w:rPr>
          <w:rFonts w:hint="eastAsia" w:ascii="宋体" w:hAnsi="宋体"/>
          <w:szCs w:val="28"/>
        </w:rPr>
      </w:pPr>
      <w:r>
        <w:rPr>
          <w:rFonts w:hint="eastAsia" w:ascii="宋体" w:hAnsi="宋体"/>
          <w:szCs w:val="28"/>
        </w:rPr>
        <w:t>供应商提供的产品需提供一年免费升级服务（自项目验收合格</w:t>
      </w:r>
      <w:r>
        <w:rPr>
          <w:rFonts w:hint="eastAsia" w:ascii="宋体" w:hAnsi="宋体"/>
          <w:szCs w:val="28"/>
          <w:lang w:eastAsia="zh-CN"/>
        </w:rPr>
        <w:t>之日</w:t>
      </w:r>
      <w:r>
        <w:rPr>
          <w:rFonts w:hint="eastAsia" w:ascii="宋体" w:hAnsi="宋体"/>
          <w:szCs w:val="28"/>
        </w:rPr>
        <w:t>计算）</w:t>
      </w:r>
    </w:p>
    <w:p>
      <w:pPr>
        <w:ind w:firstLine="560"/>
      </w:pPr>
      <w:r>
        <w:rPr>
          <w:rFonts w:hint="eastAsia" w:ascii="宋体" w:hAnsi="宋体"/>
          <w:szCs w:val="28"/>
        </w:rPr>
        <w:t>在维保期满后，供应商应继续提供运维服务保障，所涉及的运维服务保障费用可以另行商议。</w:t>
      </w:r>
    </w:p>
    <w:p>
      <w:pPr>
        <w:pStyle w:val="3"/>
        <w:rPr>
          <w:rFonts w:hint="eastAsia" w:asciiTheme="majorEastAsia" w:hAnsiTheme="majorEastAsia" w:eastAsiaTheme="majorEastAsia" w:cstheme="majorEastAsia"/>
        </w:rPr>
      </w:pPr>
      <w:r>
        <w:rPr>
          <w:rFonts w:hint="eastAsia" w:asciiTheme="majorEastAsia" w:hAnsiTheme="majorEastAsia" w:eastAsiaTheme="majorEastAsia" w:cstheme="majorEastAsia"/>
        </w:rPr>
        <w:t>其他要求</w:t>
      </w:r>
    </w:p>
    <w:p>
      <w:pPr>
        <w:ind w:firstLine="480"/>
      </w:pPr>
      <w:r>
        <w:rPr>
          <w:rFonts w:hint="eastAsia"/>
        </w:rPr>
        <w:t>供应商具有质量管理体系认证、信息技术服务管理体系认证、信息安全管理体系认证的优先考虑</w:t>
      </w:r>
      <w:r>
        <w:t>。</w:t>
      </w:r>
    </w:p>
    <w:p>
      <w:pPr>
        <w:ind w:firstLine="440"/>
        <w:rPr>
          <w:rFonts w:hint="eastAsia" w:ascii="宋体" w:hAnsi="宋体" w:cs="宋体"/>
          <w:color w:val="0D0D0D"/>
          <w:sz w:val="22"/>
          <w:szCs w:val="2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Book Antiqua">
    <w:altName w:val="Liberation Serif"/>
    <w:panose1 w:val="02040602050305030304"/>
    <w:charset w:val="00"/>
    <w:family w:val="roman"/>
    <w:pitch w:val="default"/>
    <w:sig w:usb0="00000000" w:usb1="00000000" w:usb2="00000000" w:usb3="00000000" w:csb0="2000009F" w:csb1="DFD70000"/>
  </w:font>
  <w:font w:name="Liberation Serif">
    <w:panose1 w:val="02020603050405020304"/>
    <w:charset w:val="00"/>
    <w:family w:val="auto"/>
    <w:pitch w:val="default"/>
    <w:sig w:usb0="A00002AF" w:usb1="500078FB" w:usb2="00000000" w:usb3="00000000" w:csb0="6000009F" w:csb1="DFD70000"/>
  </w:font>
  <w:font w:name="Tahoma">
    <w:altName w:val="DejaVu Sans"/>
    <w:panose1 w:val="020B0604030504040204"/>
    <w:charset w:val="00"/>
    <w:family w:val="swiss"/>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B8D70"/>
    <w:multiLevelType w:val="multilevel"/>
    <w:tmpl w:val="811B8D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1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572A1A"/>
    <w:multiLevelType w:val="multilevel"/>
    <w:tmpl w:val="00572A1A"/>
    <w:lvl w:ilvl="0" w:tentative="0">
      <w:start w:val="1"/>
      <w:numFmt w:val="bullet"/>
      <w:lvlText w:val="•"/>
      <w:lvlJc w:val="left"/>
      <w:pPr>
        <w:ind w:left="980" w:hanging="420"/>
      </w:pPr>
      <w:rPr>
        <w:rFonts w:hint="default" w:ascii="Arial" w:hAnsi="Arial"/>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01194EB2"/>
    <w:multiLevelType w:val="singleLevel"/>
    <w:tmpl w:val="01194EB2"/>
    <w:lvl w:ilvl="0" w:tentative="0">
      <w:start w:val="1"/>
      <w:numFmt w:val="chineseCounting"/>
      <w:suff w:val="nothing"/>
      <w:lvlText w:val="（%1）"/>
      <w:lvlJc w:val="left"/>
      <w:pPr>
        <w:ind w:left="0" w:firstLine="420"/>
      </w:pPr>
      <w:rPr>
        <w:rFonts w:hint="eastAsia"/>
      </w:rPr>
    </w:lvl>
  </w:abstractNum>
  <w:abstractNum w:abstractNumId="3">
    <w:nsid w:val="06F21D93"/>
    <w:multiLevelType w:val="multilevel"/>
    <w:tmpl w:val="06F21D93"/>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4">
    <w:nsid w:val="09AC2CDA"/>
    <w:multiLevelType w:val="singleLevel"/>
    <w:tmpl w:val="09AC2CDA"/>
    <w:lvl w:ilvl="0" w:tentative="0">
      <w:start w:val="1"/>
      <w:numFmt w:val="chineseCounting"/>
      <w:suff w:val="nothing"/>
      <w:lvlText w:val="（%1）"/>
      <w:lvlJc w:val="left"/>
      <w:pPr>
        <w:ind w:left="0" w:firstLine="420"/>
      </w:pPr>
      <w:rPr>
        <w:rFonts w:hint="eastAsia"/>
      </w:rPr>
    </w:lvl>
  </w:abstractNum>
  <w:abstractNum w:abstractNumId="5">
    <w:nsid w:val="0DA84669"/>
    <w:multiLevelType w:val="singleLevel"/>
    <w:tmpl w:val="0DA84669"/>
    <w:lvl w:ilvl="0" w:tentative="0">
      <w:start w:val="1"/>
      <w:numFmt w:val="chineseCounting"/>
      <w:suff w:val="nothing"/>
      <w:lvlText w:val="（%1）"/>
      <w:lvlJc w:val="left"/>
      <w:pPr>
        <w:ind w:left="0" w:firstLine="420"/>
      </w:pPr>
      <w:rPr>
        <w:rFonts w:hint="eastAsia"/>
      </w:rPr>
    </w:lvl>
  </w:abstractNum>
  <w:abstractNum w:abstractNumId="6">
    <w:nsid w:val="14B17291"/>
    <w:multiLevelType w:val="singleLevel"/>
    <w:tmpl w:val="14B17291"/>
    <w:lvl w:ilvl="0" w:tentative="0">
      <w:start w:val="1"/>
      <w:numFmt w:val="chineseCounting"/>
      <w:suff w:val="nothing"/>
      <w:lvlText w:val="（%1）"/>
      <w:lvlJc w:val="left"/>
      <w:pPr>
        <w:ind w:left="0" w:firstLine="420"/>
      </w:pPr>
      <w:rPr>
        <w:rFonts w:hint="eastAsia"/>
      </w:rPr>
    </w:lvl>
  </w:abstractNum>
  <w:abstractNum w:abstractNumId="7">
    <w:nsid w:val="14DD1ED9"/>
    <w:multiLevelType w:val="multilevel"/>
    <w:tmpl w:val="14DD1ED9"/>
    <w:lvl w:ilvl="0" w:tentative="0">
      <w:start w:val="1"/>
      <w:numFmt w:val="decimal"/>
      <w:lvlText w:val="(%1)"/>
      <w:lvlJc w:val="left"/>
      <w:pPr>
        <w:ind w:left="1000" w:hanging="44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8">
    <w:nsid w:val="1D532E44"/>
    <w:multiLevelType w:val="singleLevel"/>
    <w:tmpl w:val="1D532E44"/>
    <w:lvl w:ilvl="0" w:tentative="0">
      <w:start w:val="1"/>
      <w:numFmt w:val="chineseCounting"/>
      <w:suff w:val="nothing"/>
      <w:lvlText w:val="（%1）"/>
      <w:lvlJc w:val="left"/>
      <w:pPr>
        <w:ind w:left="0" w:firstLine="420"/>
      </w:pPr>
      <w:rPr>
        <w:rFonts w:hint="eastAsia"/>
      </w:rPr>
    </w:lvl>
  </w:abstractNum>
  <w:abstractNum w:abstractNumId="9">
    <w:nsid w:val="4A486D2F"/>
    <w:multiLevelType w:val="singleLevel"/>
    <w:tmpl w:val="4A486D2F"/>
    <w:lvl w:ilvl="0" w:tentative="0">
      <w:start w:val="1"/>
      <w:numFmt w:val="chineseCounting"/>
      <w:suff w:val="nothing"/>
      <w:lvlText w:val="（%1）"/>
      <w:lvlJc w:val="left"/>
      <w:pPr>
        <w:ind w:left="0" w:firstLine="420"/>
      </w:pPr>
      <w:rPr>
        <w:rFonts w:hint="eastAsia"/>
      </w:rPr>
    </w:lvl>
  </w:abstractNum>
  <w:abstractNum w:abstractNumId="10">
    <w:nsid w:val="4FEC5812"/>
    <w:multiLevelType w:val="multilevel"/>
    <w:tmpl w:val="4FEC5812"/>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1">
    <w:nsid w:val="503671B8"/>
    <w:multiLevelType w:val="multilevel"/>
    <w:tmpl w:val="503671B8"/>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2">
    <w:nsid w:val="540B7575"/>
    <w:multiLevelType w:val="singleLevel"/>
    <w:tmpl w:val="540B7575"/>
    <w:lvl w:ilvl="0" w:tentative="0">
      <w:start w:val="1"/>
      <w:numFmt w:val="chineseCounting"/>
      <w:suff w:val="nothing"/>
      <w:lvlText w:val="（%1）"/>
      <w:lvlJc w:val="left"/>
      <w:pPr>
        <w:ind w:left="0" w:firstLine="420"/>
      </w:pPr>
      <w:rPr>
        <w:rFonts w:hint="eastAsia"/>
      </w:rPr>
    </w:lvl>
  </w:abstractNum>
  <w:abstractNum w:abstractNumId="13">
    <w:nsid w:val="5E3C6843"/>
    <w:multiLevelType w:val="singleLevel"/>
    <w:tmpl w:val="5E3C6843"/>
    <w:lvl w:ilvl="0" w:tentative="0">
      <w:start w:val="1"/>
      <w:numFmt w:val="chineseCounting"/>
      <w:suff w:val="nothing"/>
      <w:lvlText w:val="（%1）"/>
      <w:lvlJc w:val="left"/>
      <w:pPr>
        <w:ind w:left="140" w:firstLine="420"/>
      </w:pPr>
      <w:rPr>
        <w:rFonts w:hint="eastAsia"/>
      </w:rPr>
    </w:lvl>
  </w:abstractNum>
  <w:abstractNum w:abstractNumId="14">
    <w:nsid w:val="6ABC05AF"/>
    <w:multiLevelType w:val="multilevel"/>
    <w:tmpl w:val="6ABC05AF"/>
    <w:lvl w:ilvl="0" w:tentative="0">
      <w:start w:val="1"/>
      <w:numFmt w:val="decimal"/>
      <w:pStyle w:val="16"/>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5">
    <w:nsid w:val="73972705"/>
    <w:multiLevelType w:val="singleLevel"/>
    <w:tmpl w:val="73972705"/>
    <w:lvl w:ilvl="0" w:tentative="0">
      <w:start w:val="1"/>
      <w:numFmt w:val="chineseCounting"/>
      <w:suff w:val="nothing"/>
      <w:lvlText w:val="（%1）"/>
      <w:lvlJc w:val="left"/>
      <w:pPr>
        <w:ind w:left="0" w:firstLine="420"/>
      </w:pPr>
      <w:rPr>
        <w:rFonts w:hint="eastAsia"/>
      </w:rPr>
    </w:lvl>
  </w:abstractNum>
  <w:num w:numId="1">
    <w:abstractNumId w:val="0"/>
  </w:num>
  <w:num w:numId="2">
    <w:abstractNumId w:val="14"/>
  </w:num>
  <w:num w:numId="3">
    <w:abstractNumId w:val="7"/>
  </w:num>
  <w:num w:numId="4">
    <w:abstractNumId w:val="10"/>
  </w:num>
  <w:num w:numId="5">
    <w:abstractNumId w:val="1"/>
  </w:num>
  <w:num w:numId="6">
    <w:abstractNumId w:val="5"/>
  </w:num>
  <w:num w:numId="7">
    <w:abstractNumId w:val="15"/>
  </w:num>
  <w:num w:numId="8">
    <w:abstractNumId w:val="9"/>
  </w:num>
  <w:num w:numId="9">
    <w:abstractNumId w:val="2"/>
  </w:num>
  <w:num w:numId="10">
    <w:abstractNumId w:val="12"/>
  </w:num>
  <w:num w:numId="11">
    <w:abstractNumId w:val="4"/>
  </w:num>
  <w:num w:numId="12">
    <w:abstractNumId w:val="13"/>
  </w:num>
  <w:num w:numId="13">
    <w:abstractNumId w:val="11"/>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E28CF"/>
    <w:rsid w:val="000F623D"/>
    <w:rsid w:val="00125051"/>
    <w:rsid w:val="00142DDA"/>
    <w:rsid w:val="00171457"/>
    <w:rsid w:val="001760C1"/>
    <w:rsid w:val="001B76BA"/>
    <w:rsid w:val="001F5762"/>
    <w:rsid w:val="002B2F5C"/>
    <w:rsid w:val="00310904"/>
    <w:rsid w:val="00333E8C"/>
    <w:rsid w:val="00336A38"/>
    <w:rsid w:val="003B5575"/>
    <w:rsid w:val="003C5F4A"/>
    <w:rsid w:val="00480AAF"/>
    <w:rsid w:val="004B39B9"/>
    <w:rsid w:val="005431AB"/>
    <w:rsid w:val="005778EB"/>
    <w:rsid w:val="005E0D37"/>
    <w:rsid w:val="005E2388"/>
    <w:rsid w:val="00645C0C"/>
    <w:rsid w:val="0066093F"/>
    <w:rsid w:val="006612AB"/>
    <w:rsid w:val="006662DC"/>
    <w:rsid w:val="00693B9F"/>
    <w:rsid w:val="006D0E47"/>
    <w:rsid w:val="006D35BF"/>
    <w:rsid w:val="006D5B80"/>
    <w:rsid w:val="006E20F4"/>
    <w:rsid w:val="006E6396"/>
    <w:rsid w:val="0086566E"/>
    <w:rsid w:val="008D58F6"/>
    <w:rsid w:val="00937712"/>
    <w:rsid w:val="00A34BAA"/>
    <w:rsid w:val="00AC09B5"/>
    <w:rsid w:val="00B30B53"/>
    <w:rsid w:val="00B31B34"/>
    <w:rsid w:val="00B45955"/>
    <w:rsid w:val="00B57496"/>
    <w:rsid w:val="00B64E7B"/>
    <w:rsid w:val="00B67823"/>
    <w:rsid w:val="00B87854"/>
    <w:rsid w:val="00C405E4"/>
    <w:rsid w:val="00D030FC"/>
    <w:rsid w:val="00D04C4C"/>
    <w:rsid w:val="00D1261C"/>
    <w:rsid w:val="00D4549C"/>
    <w:rsid w:val="00D52890"/>
    <w:rsid w:val="00D52D86"/>
    <w:rsid w:val="00D61196"/>
    <w:rsid w:val="00D864D5"/>
    <w:rsid w:val="00DB37C4"/>
    <w:rsid w:val="00E00301"/>
    <w:rsid w:val="00E01D57"/>
    <w:rsid w:val="00E763E2"/>
    <w:rsid w:val="00EE12C3"/>
    <w:rsid w:val="00F12B46"/>
    <w:rsid w:val="00F36798"/>
    <w:rsid w:val="00F46A1F"/>
    <w:rsid w:val="00F55930"/>
    <w:rsid w:val="00F62A84"/>
    <w:rsid w:val="00F73F77"/>
    <w:rsid w:val="00FB1125"/>
    <w:rsid w:val="07DD7D52"/>
    <w:rsid w:val="117C7E2D"/>
    <w:rsid w:val="12B43DA5"/>
    <w:rsid w:val="151C4D85"/>
    <w:rsid w:val="156B327C"/>
    <w:rsid w:val="17E458DD"/>
    <w:rsid w:val="1B3C196E"/>
    <w:rsid w:val="1FC93A32"/>
    <w:rsid w:val="1FE42F2C"/>
    <w:rsid w:val="204F2A18"/>
    <w:rsid w:val="2080016D"/>
    <w:rsid w:val="231E71A3"/>
    <w:rsid w:val="286D6AB5"/>
    <w:rsid w:val="288A1B89"/>
    <w:rsid w:val="2CF54C8B"/>
    <w:rsid w:val="352274BD"/>
    <w:rsid w:val="36B3674F"/>
    <w:rsid w:val="397A629B"/>
    <w:rsid w:val="3B8A15AF"/>
    <w:rsid w:val="3EF7065A"/>
    <w:rsid w:val="41F92E9B"/>
    <w:rsid w:val="42E55B8F"/>
    <w:rsid w:val="46F10506"/>
    <w:rsid w:val="471067CC"/>
    <w:rsid w:val="47E726FC"/>
    <w:rsid w:val="4DCB2A58"/>
    <w:rsid w:val="54703A7A"/>
    <w:rsid w:val="588A355D"/>
    <w:rsid w:val="5C142D9E"/>
    <w:rsid w:val="5F1310D4"/>
    <w:rsid w:val="6082013F"/>
    <w:rsid w:val="69BA2363"/>
    <w:rsid w:val="6DEE28CF"/>
    <w:rsid w:val="6F134DA5"/>
    <w:rsid w:val="7022345C"/>
    <w:rsid w:val="70E4517B"/>
    <w:rsid w:val="76033987"/>
    <w:rsid w:val="780659D7"/>
    <w:rsid w:val="DE764C81"/>
    <w:rsid w:val="EDF52EBB"/>
    <w:rsid w:val="FDDFA197"/>
    <w:rsid w:val="FF7FA893"/>
    <w:rsid w:val="FFDEA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eastAsia="宋体" w:asciiTheme="minorHAnsi" w:hAnsiTheme="minorHAnsi" w:cstheme="minorBidi"/>
      <w:kern w:val="2"/>
      <w:sz w:val="28"/>
      <w:szCs w:val="24"/>
      <w:lang w:val="en-US" w:eastAsia="zh-CN" w:bidi="ar-SA"/>
    </w:rPr>
  </w:style>
  <w:style w:type="paragraph" w:styleId="2">
    <w:name w:val="heading 1"/>
    <w:basedOn w:val="1"/>
    <w:next w:val="1"/>
    <w:qFormat/>
    <w:uiPriority w:val="99"/>
    <w:pPr>
      <w:keepNext/>
      <w:keepLines/>
      <w:numPr>
        <w:ilvl w:val="0"/>
        <w:numId w:val="1"/>
      </w:numPr>
      <w:spacing w:line="360" w:lineRule="auto"/>
      <w:ind w:firstLine="0" w:firstLineChars="0"/>
      <w:outlineLvl w:val="0"/>
    </w:pPr>
    <w:rPr>
      <w:rFonts w:eastAsia="楷体"/>
      <w:b/>
      <w:kern w:val="44"/>
    </w:rPr>
  </w:style>
  <w:style w:type="paragraph" w:styleId="3">
    <w:name w:val="heading 2"/>
    <w:basedOn w:val="1"/>
    <w:next w:val="1"/>
    <w:unhideWhenUsed/>
    <w:qFormat/>
    <w:uiPriority w:val="99"/>
    <w:pPr>
      <w:keepNext/>
      <w:keepLines/>
      <w:numPr>
        <w:ilvl w:val="1"/>
        <w:numId w:val="1"/>
      </w:numPr>
      <w:spacing w:line="360" w:lineRule="auto"/>
      <w:ind w:firstLine="0" w:firstLineChars="0"/>
      <w:outlineLvl w:val="1"/>
    </w:pPr>
    <w:rPr>
      <w:rFonts w:ascii="Arial" w:hAnsi="Arial"/>
      <w:b/>
    </w:rPr>
  </w:style>
  <w:style w:type="paragraph" w:styleId="4">
    <w:name w:val="heading 3"/>
    <w:basedOn w:val="1"/>
    <w:next w:val="1"/>
    <w:unhideWhenUsed/>
    <w:qFormat/>
    <w:uiPriority w:val="0"/>
    <w:pPr>
      <w:keepNext/>
      <w:keepLines/>
      <w:numPr>
        <w:ilvl w:val="2"/>
        <w:numId w:val="1"/>
      </w:numPr>
      <w:spacing w:line="360" w:lineRule="auto"/>
      <w:ind w:firstLineChars="0"/>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ind w:firstLine="0" w:firstLineChars="0"/>
      <w:outlineLvl w:val="3"/>
    </w:pPr>
    <w:rPr>
      <w:rFonts w:ascii="Arial" w:hAnsi="Arial" w:eastAsia="黑体"/>
      <w:b/>
    </w:rPr>
  </w:style>
  <w:style w:type="paragraph" w:styleId="6">
    <w:name w:val="heading 5"/>
    <w:basedOn w:val="1"/>
    <w:next w:val="1"/>
    <w:unhideWhenUsed/>
    <w:qFormat/>
    <w:uiPriority w:val="0"/>
    <w:pPr>
      <w:keepNext/>
      <w:keepLines/>
      <w:spacing w:before="280" w:after="290" w:line="372" w:lineRule="auto"/>
      <w:outlineLvl w:val="4"/>
    </w:pPr>
    <w:rPr>
      <w:b/>
    </w:rPr>
  </w:style>
  <w:style w:type="paragraph" w:styleId="7">
    <w:name w:val="heading 6"/>
    <w:basedOn w:val="1"/>
    <w:next w:val="1"/>
    <w:link w:val="19"/>
    <w:unhideWhenUsed/>
    <w:qFormat/>
    <w:uiPriority w:val="9"/>
    <w:pPr>
      <w:keepNext/>
      <w:keepLines/>
      <w:spacing w:line="360" w:lineRule="auto"/>
      <w:ind w:firstLine="0" w:firstLineChars="0"/>
      <w:outlineLvl w:val="5"/>
    </w:pPr>
    <w:rPr>
      <w:rFonts w:ascii="Times New Roman" w:hAnsi="Times New Roman" w:eastAsia="仿宋" w:cstheme="majorBidi"/>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rPr>
      <w:rFonts w:ascii="Book Antiqua" w:hAnsi="Book Antiqua"/>
      <w:sz w:val="22"/>
    </w:rPr>
  </w:style>
  <w:style w:type="paragraph" w:styleId="9">
    <w:name w:val="toc 5"/>
    <w:basedOn w:val="1"/>
    <w:next w:val="1"/>
    <w:unhideWhenUsed/>
    <w:qFormat/>
    <w:uiPriority w:val="39"/>
    <w:pPr>
      <w:spacing w:line="360" w:lineRule="auto"/>
      <w:ind w:left="1120" w:firstLine="200"/>
      <w:jc w:val="left"/>
    </w:pPr>
    <w:rPr>
      <w:rFonts w:eastAsia="仿宋" w:cstheme="minorHAnsi"/>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可研正文"/>
    <w:basedOn w:val="1"/>
    <w:autoRedefine/>
    <w:qFormat/>
    <w:uiPriority w:val="0"/>
    <w:pPr>
      <w:numPr>
        <w:ilvl w:val="0"/>
        <w:numId w:val="2"/>
      </w:numPr>
      <w:spacing w:line="360" w:lineRule="auto"/>
      <w:ind w:firstLine="0" w:firstLineChars="0"/>
    </w:pPr>
    <w:rPr>
      <w:szCs w:val="28"/>
    </w:rPr>
  </w:style>
  <w:style w:type="paragraph" w:customStyle="1" w:styleId="17">
    <w:name w:val="￥正文"/>
    <w:basedOn w:val="1"/>
    <w:autoRedefine/>
    <w:qFormat/>
    <w:uiPriority w:val="0"/>
    <w:pPr>
      <w:spacing w:line="360" w:lineRule="auto"/>
      <w:ind w:firstLine="480"/>
    </w:pPr>
    <w:rPr>
      <w:rFonts w:ascii="Calibri" w:hAnsi="Calibri" w:cs="Times New Roman"/>
      <w:color w:val="000000" w:themeColor="text1"/>
      <w:szCs w:val="20"/>
      <w:lang w:val="zh-CN"/>
      <w14:textFill>
        <w14:solidFill>
          <w14:schemeClr w14:val="tx1"/>
        </w14:solidFill>
      </w14:textFill>
    </w:rPr>
  </w:style>
  <w:style w:type="paragraph" w:styleId="18">
    <w:name w:val="List Paragraph"/>
    <w:basedOn w:val="1"/>
    <w:link w:val="20"/>
    <w:unhideWhenUsed/>
    <w:qFormat/>
    <w:uiPriority w:val="34"/>
  </w:style>
  <w:style w:type="character" w:customStyle="1" w:styleId="19">
    <w:name w:val="标题 6 字符"/>
    <w:basedOn w:val="14"/>
    <w:link w:val="7"/>
    <w:qFormat/>
    <w:uiPriority w:val="9"/>
    <w:rPr>
      <w:rFonts w:eastAsia="仿宋" w:cstheme="majorBidi"/>
      <w:b/>
      <w:bCs/>
      <w:kern w:val="2"/>
      <w:sz w:val="28"/>
      <w:szCs w:val="24"/>
    </w:rPr>
  </w:style>
  <w:style w:type="character" w:customStyle="1" w:styleId="20">
    <w:name w:val="列表段落 字符"/>
    <w:link w:val="18"/>
    <w:qFormat/>
    <w:uiPriority w:val="34"/>
    <w:rPr>
      <w:rFonts w:asciiTheme="minorHAnsi" w:hAnsiTheme="minorHAnsi" w:cstheme="minorBidi"/>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13983</Words>
  <Characters>14297</Characters>
  <Lines>102</Lines>
  <Paragraphs>28</Paragraphs>
  <TotalTime>34</TotalTime>
  <ScaleCrop>false</ScaleCrop>
  <LinksUpToDate>false</LinksUpToDate>
  <CharactersWithSpaces>14335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2025-04-08T20:28:00Z</dcterms:created>
  <dc:creator>loading。。。</dc:creator>
  <cp:lastModifiedBy>user</cp:lastModifiedBy>
  <cp:lastPrinted>2025-06-17T17:54:00Z</cp:lastPrinted>
  <dcterms:modified xsi:type="dcterms:W3CDTF">2025-08-13T10:35:52Z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EB9ADC5FA42C45ACB05D9B2B6F7E4CD3_13</vt:lpwstr>
  </property>
  <property fmtid="{D5CDD505-2E9C-101B-9397-08002B2CF9AE}" pid="4" name="KSOTemplateDocerSaveRecord">
    <vt:lpwstr>eyJoZGlkIjoiNzIxNjBlYmQ4NDk4MzI2ZGM5MDAyNTc1ZjY1ZDM4YzAiLCJ1c2VySWQiOiIzMTU1MzcwMTAifQ==</vt:lpwstr>
  </property>
</Properties>
</file>