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D5BB0">
      <w:pPr>
        <w:pStyle w:val="6"/>
        <w:spacing w:before="44" w:line="225" w:lineRule="auto"/>
        <w:ind w:left="0"/>
        <w:jc w:val="center"/>
        <w:rPr>
          <w:rFonts w:hint="eastAsia" w:ascii="微软雅黑" w:hAnsi="微软雅黑" w:eastAsia="微软雅黑" w:cs="微软雅黑"/>
          <w:b/>
          <w:bCs/>
          <w:sz w:val="28"/>
          <w:szCs w:val="28"/>
          <w:lang w:eastAsia="zh-CN"/>
        </w:rPr>
      </w:pPr>
      <w:bookmarkStart w:id="6" w:name="_GoBack"/>
      <w:bookmarkEnd w:id="6"/>
      <w:r>
        <w:rPr>
          <w:rFonts w:hint="eastAsia" w:ascii="微软雅黑" w:hAnsi="微软雅黑" w:eastAsia="微软雅黑" w:cs="微软雅黑"/>
          <w:b/>
          <w:bCs/>
          <w:sz w:val="28"/>
          <w:szCs w:val="28"/>
        </w:rPr>
        <w:t>上海电力大学电力科技大楼人工智能学部实验用房家具采购</w:t>
      </w:r>
      <w:r>
        <w:rPr>
          <w:rFonts w:hint="eastAsia" w:ascii="微软雅黑" w:hAnsi="微软雅黑" w:eastAsia="微软雅黑" w:cs="微软雅黑"/>
          <w:b/>
          <w:bCs/>
          <w:sz w:val="28"/>
          <w:szCs w:val="28"/>
          <w:lang w:eastAsia="zh-CN"/>
        </w:rPr>
        <w:t>需求</w:t>
      </w:r>
    </w:p>
    <w:p w14:paraId="235E73AE">
      <w:pPr>
        <w:pStyle w:val="6"/>
        <w:spacing w:before="44" w:line="225" w:lineRule="auto"/>
        <w:ind w:left="0"/>
        <w:rPr>
          <w:rFonts w:ascii="微软雅黑" w:hAnsi="微软雅黑" w:eastAsia="微软雅黑" w:cs="微软雅黑"/>
          <w:b/>
          <w:bCs/>
          <w:sz w:val="28"/>
          <w:szCs w:val="28"/>
        </w:rPr>
      </w:pPr>
      <w:r>
        <w:rPr>
          <w:rFonts w:hint="eastAsia" w:ascii="微软雅黑" w:hAnsi="微软雅黑" w:eastAsia="微软雅黑" w:cs="微软雅黑"/>
          <w:b/>
          <w:bCs/>
          <w:sz w:val="28"/>
          <w:szCs w:val="28"/>
        </w:rPr>
        <w:t>一、项目背景</w:t>
      </w:r>
    </w:p>
    <w:p w14:paraId="7D50D9F9">
      <w:pPr>
        <w:pStyle w:val="7"/>
        <w:ind w:left="0" w:leftChars="0" w:firstLine="420" w:firstLineChars="200"/>
        <w:rPr>
          <w:rFonts w:hint="eastAsia" w:ascii="宋体" w:hAnsi="宋体" w:eastAsia="宋体" w:cs="宋体"/>
          <w:sz w:val="21"/>
          <w:szCs w:val="21"/>
        </w:rPr>
      </w:pPr>
      <w:r>
        <w:rPr>
          <w:rFonts w:hint="eastAsia" w:ascii="宋体" w:hAnsi="宋体" w:cs="宋体"/>
          <w:sz w:val="21"/>
          <w:szCs w:val="21"/>
        </w:rPr>
        <w:t>根据上海电力大学发展规划及学校三期项目建设施工进度计划安排，临港校区三期电力科技大楼预计将于202</w:t>
      </w:r>
      <w:r>
        <w:rPr>
          <w:rFonts w:hint="eastAsia" w:ascii="宋体" w:hAnsi="宋体" w:cs="宋体"/>
          <w:sz w:val="21"/>
          <w:szCs w:val="21"/>
          <w:lang w:val="en-US" w:eastAsia="zh-CN"/>
        </w:rPr>
        <w:t>6</w:t>
      </w:r>
      <w:r>
        <w:rPr>
          <w:rFonts w:hint="eastAsia" w:ascii="宋体" w:hAnsi="宋体" w:cs="宋体"/>
          <w:sz w:val="21"/>
          <w:szCs w:val="21"/>
        </w:rPr>
        <w:t>年9月投入使用。电力科技</w:t>
      </w:r>
      <w:r>
        <w:rPr>
          <w:rFonts w:hint="eastAsia" w:ascii="宋体" w:hAnsi="宋体" w:eastAsia="宋体" w:cs="宋体"/>
          <w:sz w:val="21"/>
          <w:szCs w:val="21"/>
        </w:rPr>
        <w:t>大楼</w:t>
      </w:r>
      <w:r>
        <w:rPr>
          <w:rFonts w:hint="eastAsia" w:ascii="宋体" w:hAnsi="宋体" w:eastAsia="宋体" w:cs="宋体"/>
          <w:sz w:val="21"/>
          <w:szCs w:val="21"/>
          <w:lang w:val="en-US" w:eastAsia="zh-CN"/>
        </w:rPr>
        <w:t>含</w:t>
      </w:r>
      <w:r>
        <w:rPr>
          <w:rFonts w:hint="eastAsia" w:ascii="宋体" w:hAnsi="宋体" w:eastAsia="宋体" w:cs="宋体"/>
          <w:sz w:val="21"/>
          <w:szCs w:val="21"/>
        </w:rPr>
        <w:t>人工智能学部实验用房</w:t>
      </w:r>
      <w:r>
        <w:rPr>
          <w:rFonts w:hint="eastAsia" w:ascii="宋体" w:hAnsi="宋体" w:eastAsia="宋体" w:cs="宋体"/>
          <w:sz w:val="21"/>
          <w:szCs w:val="21"/>
          <w:lang w:eastAsia="zh-CN"/>
        </w:rPr>
        <w:t>。</w:t>
      </w:r>
      <w:r>
        <w:rPr>
          <w:rFonts w:hint="eastAsia" w:ascii="宋体" w:hAnsi="宋体" w:eastAsia="宋体" w:cs="宋体"/>
          <w:sz w:val="21"/>
          <w:szCs w:val="21"/>
        </w:rPr>
        <w:t>根据开办费等相关批复文件要求，需对</w:t>
      </w:r>
      <w:r>
        <w:rPr>
          <w:rFonts w:hint="eastAsia" w:ascii="宋体" w:hAnsi="宋体" w:eastAsia="宋体" w:cs="宋体"/>
          <w:sz w:val="21"/>
          <w:szCs w:val="21"/>
          <w:lang w:val="en-US" w:eastAsia="zh-CN"/>
        </w:rPr>
        <w:t>上述功能用房</w:t>
      </w:r>
      <w:r>
        <w:rPr>
          <w:rFonts w:hint="eastAsia" w:ascii="宋体" w:hAnsi="宋体" w:eastAsia="宋体" w:cs="宋体"/>
          <w:sz w:val="21"/>
          <w:szCs w:val="21"/>
        </w:rPr>
        <w:t>的家具进行招标，以保证正常使用。</w:t>
      </w:r>
    </w:p>
    <w:p w14:paraId="3D9D5F36">
      <w:pPr>
        <w:pStyle w:val="6"/>
        <w:numPr>
          <w:ilvl w:val="0"/>
          <w:numId w:val="2"/>
        </w:numPr>
        <w:spacing w:before="44" w:line="225" w:lineRule="auto"/>
        <w:ind w:left="0"/>
        <w:rPr>
          <w:rFonts w:ascii="微软雅黑" w:hAnsi="微软雅黑" w:eastAsia="微软雅黑" w:cs="微软雅黑"/>
          <w:b/>
          <w:bCs/>
          <w:sz w:val="28"/>
          <w:szCs w:val="28"/>
        </w:rPr>
      </w:pPr>
      <w:r>
        <w:rPr>
          <w:rFonts w:hint="eastAsia" w:ascii="微软雅黑" w:hAnsi="微软雅黑" w:eastAsia="微软雅黑" w:cs="微软雅黑"/>
          <w:b/>
          <w:bCs/>
          <w:sz w:val="28"/>
          <w:szCs w:val="28"/>
        </w:rPr>
        <w:t>需执行的国家相关标准、行业标准或其他标准、规范：</w:t>
      </w:r>
    </w:p>
    <w:p w14:paraId="2EB8780D">
      <w:pPr>
        <w:pStyle w:val="7"/>
        <w:ind w:left="0" w:leftChars="0" w:firstLine="422" w:firstLineChars="200"/>
        <w:rPr>
          <w:rFonts w:ascii="宋体" w:hAnsi="宋体" w:cs="宋体"/>
          <w:b/>
          <w:bCs/>
          <w:sz w:val="21"/>
          <w:szCs w:val="21"/>
        </w:rPr>
      </w:pPr>
      <w:r>
        <w:rPr>
          <w:rFonts w:hint="eastAsia" w:ascii="宋体" w:hAnsi="宋体" w:cs="宋体"/>
          <w:b/>
          <w:bCs/>
          <w:sz w:val="21"/>
          <w:szCs w:val="21"/>
        </w:rPr>
        <w:t>（一）强制性标准</w:t>
      </w:r>
    </w:p>
    <w:p w14:paraId="2F24B265">
      <w:pPr>
        <w:pStyle w:val="7"/>
        <w:ind w:left="0" w:leftChars="0" w:firstLine="420" w:firstLineChars="200"/>
        <w:rPr>
          <w:rFonts w:ascii="宋体" w:hAnsi="宋体" w:cs="宋体"/>
          <w:sz w:val="21"/>
          <w:szCs w:val="21"/>
        </w:rPr>
      </w:pPr>
      <w:r>
        <w:rPr>
          <w:rFonts w:ascii="宋体" w:hAnsi="宋体" w:cs="宋体"/>
          <w:sz w:val="21"/>
          <w:szCs w:val="21"/>
        </w:rPr>
        <w:t>GB 18584-2024《家具中有害物质限量》（强制标准，2025年7月1日实施）</w:t>
      </w:r>
    </w:p>
    <w:p w14:paraId="1FE82FF1">
      <w:pPr>
        <w:pStyle w:val="7"/>
        <w:ind w:left="0" w:leftChars="0" w:firstLine="420" w:firstLineChars="200"/>
        <w:rPr>
          <w:rFonts w:ascii="宋体" w:hAnsi="宋体" w:cs="宋体"/>
          <w:sz w:val="21"/>
          <w:szCs w:val="21"/>
        </w:rPr>
      </w:pPr>
      <w:r>
        <w:rPr>
          <w:rFonts w:ascii="宋体" w:hAnsi="宋体" w:cs="宋体"/>
          <w:sz w:val="21"/>
          <w:szCs w:val="21"/>
        </w:rPr>
        <w:t>GB 28008-2024《家具结构安全技术规范》（强制标准，2025年7月1日实施）</w:t>
      </w:r>
    </w:p>
    <w:p w14:paraId="2D124E30">
      <w:pPr>
        <w:pStyle w:val="7"/>
        <w:ind w:left="0" w:leftChars="0" w:firstLine="420" w:firstLineChars="200"/>
        <w:rPr>
          <w:rFonts w:ascii="宋体" w:hAnsi="宋体" w:cs="宋体"/>
        </w:rPr>
      </w:pPr>
      <w:r>
        <w:rPr>
          <w:rFonts w:ascii="宋体" w:hAnsi="宋体" w:cs="宋体"/>
          <w:sz w:val="21"/>
          <w:szCs w:val="21"/>
        </w:rPr>
        <w:t>GB 17927-2024《家具阻燃性能安全技术规范》（强制标准，2025年9月1日实施）</w:t>
      </w:r>
    </w:p>
    <w:p w14:paraId="4407897E">
      <w:pPr>
        <w:pStyle w:val="7"/>
        <w:ind w:left="0" w:leftChars="0" w:firstLine="420" w:firstLineChars="200"/>
        <w:rPr>
          <w:rFonts w:ascii="宋体" w:hAnsi="宋体" w:cs="宋体"/>
          <w:sz w:val="21"/>
          <w:szCs w:val="21"/>
        </w:rPr>
      </w:pPr>
      <w:r>
        <w:rPr>
          <w:rFonts w:hint="eastAsia" w:ascii="宋体" w:hAnsi="宋体" w:cs="宋体"/>
          <w:sz w:val="21"/>
          <w:szCs w:val="21"/>
        </w:rPr>
        <w:t>GB 18583-2008 《室内装饰装修材料 胶粘剂中有害物质限量》；</w:t>
      </w:r>
    </w:p>
    <w:p w14:paraId="2E657645">
      <w:pPr>
        <w:pStyle w:val="7"/>
        <w:ind w:left="0" w:leftChars="0" w:firstLine="420" w:firstLineChars="200"/>
        <w:rPr>
          <w:rFonts w:ascii="宋体" w:hAnsi="宋体" w:cs="宋体"/>
          <w:sz w:val="21"/>
          <w:szCs w:val="21"/>
        </w:rPr>
      </w:pPr>
      <w:r>
        <w:rPr>
          <w:rFonts w:hint="eastAsia" w:ascii="宋体" w:hAnsi="宋体" w:cs="宋体"/>
          <w:sz w:val="21"/>
          <w:szCs w:val="21"/>
        </w:rPr>
        <w:t>GB 6566-2010 《建筑材料放射性核素限量》；</w:t>
      </w:r>
    </w:p>
    <w:p w14:paraId="5741EF52">
      <w:pPr>
        <w:pStyle w:val="7"/>
        <w:ind w:left="0" w:leftChars="0" w:firstLine="420" w:firstLineChars="200"/>
        <w:rPr>
          <w:rFonts w:ascii="宋体" w:hAnsi="宋体" w:cs="宋体"/>
          <w:sz w:val="21"/>
          <w:szCs w:val="21"/>
        </w:rPr>
      </w:pPr>
      <w:r>
        <w:rPr>
          <w:rFonts w:hint="eastAsia" w:ascii="宋体" w:hAnsi="宋体" w:cs="宋体"/>
          <w:sz w:val="21"/>
          <w:szCs w:val="21"/>
        </w:rPr>
        <w:t>GB 18584-2001《室内装饰装修材料木家具中有害物质限量》；</w:t>
      </w:r>
    </w:p>
    <w:p w14:paraId="7F64EEF6">
      <w:pPr>
        <w:pStyle w:val="7"/>
        <w:ind w:left="0" w:leftChars="0" w:firstLine="420" w:firstLineChars="200"/>
        <w:rPr>
          <w:rFonts w:ascii="宋体" w:hAnsi="宋体" w:cs="宋体"/>
          <w:sz w:val="21"/>
          <w:szCs w:val="21"/>
        </w:rPr>
      </w:pPr>
      <w:r>
        <w:rPr>
          <w:rFonts w:hint="eastAsia" w:ascii="宋体" w:hAnsi="宋体" w:cs="宋体"/>
          <w:sz w:val="21"/>
          <w:szCs w:val="21"/>
        </w:rPr>
        <w:t>GB 18580-2017 《室内装饰装修材料人造板及其制品中甲醛释放限量》；</w:t>
      </w:r>
    </w:p>
    <w:p w14:paraId="26EE2915">
      <w:pPr>
        <w:pStyle w:val="7"/>
        <w:ind w:left="0" w:leftChars="0" w:firstLine="420" w:firstLineChars="200"/>
        <w:rPr>
          <w:rFonts w:ascii="宋体" w:hAnsi="宋体" w:cs="宋体"/>
          <w:sz w:val="21"/>
          <w:szCs w:val="21"/>
        </w:rPr>
      </w:pPr>
      <w:r>
        <w:rPr>
          <w:rFonts w:hint="eastAsia" w:ascii="宋体" w:hAnsi="宋体" w:cs="宋体"/>
          <w:sz w:val="21"/>
          <w:szCs w:val="21"/>
        </w:rPr>
        <w:t>GB 18581-2020《木器涂料中有害物质限量》；</w:t>
      </w:r>
    </w:p>
    <w:p w14:paraId="7F48893C">
      <w:pPr>
        <w:pStyle w:val="7"/>
        <w:ind w:left="0" w:leftChars="0" w:firstLine="420" w:firstLineChars="200"/>
        <w:rPr>
          <w:rFonts w:ascii="宋体" w:hAnsi="宋体" w:cs="宋体"/>
          <w:sz w:val="21"/>
          <w:szCs w:val="21"/>
        </w:rPr>
      </w:pPr>
      <w:r>
        <w:rPr>
          <w:rFonts w:hint="eastAsia" w:ascii="宋体" w:hAnsi="宋体" w:cs="宋体"/>
          <w:sz w:val="21"/>
          <w:szCs w:val="21"/>
        </w:rPr>
        <w:t>GB 18581-2009《室内装饰装修材料溶剂型木器涂料中有害物质限量》；</w:t>
      </w:r>
    </w:p>
    <w:p w14:paraId="2C28B835">
      <w:pPr>
        <w:pStyle w:val="7"/>
        <w:ind w:left="0" w:leftChars="0" w:firstLine="420" w:firstLineChars="200"/>
        <w:rPr>
          <w:rFonts w:ascii="宋体" w:hAnsi="宋体" w:cs="宋体"/>
          <w:sz w:val="21"/>
          <w:szCs w:val="21"/>
        </w:rPr>
      </w:pPr>
      <w:r>
        <w:rPr>
          <w:rFonts w:hint="eastAsia" w:ascii="宋体" w:hAnsi="宋体" w:cs="宋体"/>
          <w:sz w:val="21"/>
          <w:szCs w:val="21"/>
        </w:rPr>
        <w:t>GB 18401-2010《国家纺织产品基本安全技术规范》；</w:t>
      </w:r>
    </w:p>
    <w:p w14:paraId="7A2A213B">
      <w:pPr>
        <w:pStyle w:val="7"/>
        <w:ind w:left="0" w:leftChars="0" w:firstLine="420" w:firstLineChars="200"/>
        <w:rPr>
          <w:rFonts w:ascii="宋体" w:hAnsi="宋体" w:cs="宋体"/>
          <w:sz w:val="21"/>
          <w:szCs w:val="21"/>
        </w:rPr>
      </w:pPr>
      <w:r>
        <w:rPr>
          <w:rFonts w:hint="eastAsia" w:ascii="宋体" w:hAnsi="宋体" w:cs="宋体"/>
          <w:sz w:val="21"/>
          <w:szCs w:val="21"/>
        </w:rPr>
        <w:t>GB 16799-2018《家具用皮革》；</w:t>
      </w:r>
    </w:p>
    <w:p w14:paraId="559C6733">
      <w:pPr>
        <w:pStyle w:val="7"/>
        <w:ind w:left="0" w:leftChars="0" w:firstLine="422" w:firstLineChars="200"/>
        <w:rPr>
          <w:rFonts w:ascii="宋体" w:hAnsi="宋体" w:cs="宋体"/>
          <w:b/>
          <w:bCs/>
          <w:sz w:val="21"/>
          <w:szCs w:val="21"/>
        </w:rPr>
      </w:pPr>
      <w:bookmarkStart w:id="0" w:name="_Toc16007"/>
      <w:bookmarkStart w:id="1" w:name="_Toc25730_WPSOffice_Level2"/>
      <w:bookmarkStart w:id="2" w:name="_Toc227555682"/>
      <w:r>
        <w:rPr>
          <w:rFonts w:hint="eastAsia" w:ascii="宋体" w:hAnsi="宋体" w:cs="宋体"/>
          <w:b/>
          <w:bCs/>
          <w:sz w:val="21"/>
          <w:szCs w:val="21"/>
        </w:rPr>
        <w:t>（二）质量及技术标准</w:t>
      </w:r>
      <w:bookmarkEnd w:id="0"/>
      <w:bookmarkEnd w:id="1"/>
      <w:bookmarkEnd w:id="2"/>
    </w:p>
    <w:p w14:paraId="4C487668">
      <w:pPr>
        <w:pStyle w:val="7"/>
        <w:ind w:left="0" w:leftChars="0" w:firstLine="420" w:firstLineChars="200"/>
        <w:rPr>
          <w:rFonts w:ascii="宋体" w:hAnsi="宋体" w:cs="宋体"/>
          <w:sz w:val="21"/>
          <w:szCs w:val="21"/>
        </w:rPr>
      </w:pPr>
      <w:r>
        <w:rPr>
          <w:rFonts w:hint="eastAsia" w:ascii="宋体" w:hAnsi="宋体" w:cs="宋体"/>
          <w:sz w:val="21"/>
          <w:szCs w:val="21"/>
        </w:rPr>
        <w:t>重要标准：</w:t>
      </w:r>
    </w:p>
    <w:p w14:paraId="75F1F245">
      <w:pPr>
        <w:pStyle w:val="7"/>
        <w:ind w:left="0" w:leftChars="0" w:firstLine="420" w:firstLineChars="200"/>
        <w:rPr>
          <w:rFonts w:ascii="宋体" w:hAnsi="宋体" w:cs="宋体"/>
          <w:sz w:val="21"/>
          <w:szCs w:val="21"/>
        </w:rPr>
      </w:pPr>
      <w:r>
        <w:rPr>
          <w:rFonts w:ascii="宋体" w:hAnsi="宋体" w:cs="宋体"/>
          <w:sz w:val="21"/>
          <w:szCs w:val="21"/>
        </w:rPr>
        <w:t>GB/T 35607-2024《</w:t>
      </w:r>
      <w:r>
        <w:rPr>
          <w:rFonts w:hint="eastAsia" w:ascii="宋体" w:hAnsi="宋体" w:cs="宋体"/>
          <w:sz w:val="21"/>
          <w:szCs w:val="21"/>
        </w:rPr>
        <w:t>国家优质绿色</w:t>
      </w:r>
      <w:r>
        <w:rPr>
          <w:rFonts w:ascii="宋体" w:hAnsi="宋体" w:cs="宋体"/>
          <w:sz w:val="21"/>
          <w:szCs w:val="21"/>
        </w:rPr>
        <w:t>产品评价家具》；</w:t>
      </w:r>
    </w:p>
    <w:p w14:paraId="2586075C">
      <w:pPr>
        <w:pStyle w:val="7"/>
        <w:ind w:left="0" w:leftChars="0" w:firstLine="420" w:firstLineChars="200"/>
        <w:rPr>
          <w:rFonts w:ascii="宋体" w:hAnsi="宋体" w:cs="宋体"/>
          <w:sz w:val="21"/>
          <w:szCs w:val="21"/>
        </w:rPr>
      </w:pPr>
      <w:r>
        <w:rPr>
          <w:rFonts w:ascii="宋体" w:hAnsi="宋体" w:cs="宋体"/>
          <w:sz w:val="21"/>
          <w:szCs w:val="21"/>
        </w:rPr>
        <w:t>GB/T 3325-2024《金属家具通用技术条件》；</w:t>
      </w:r>
    </w:p>
    <w:p w14:paraId="670A16AB">
      <w:pPr>
        <w:pStyle w:val="7"/>
        <w:ind w:left="0" w:leftChars="0" w:firstLine="420" w:firstLineChars="200"/>
        <w:rPr>
          <w:rFonts w:ascii="宋体" w:hAnsi="宋体" w:cs="宋体"/>
          <w:sz w:val="21"/>
          <w:szCs w:val="21"/>
        </w:rPr>
      </w:pPr>
      <w:r>
        <w:rPr>
          <w:rFonts w:ascii="宋体" w:hAnsi="宋体" w:cs="宋体"/>
          <w:sz w:val="21"/>
          <w:szCs w:val="21"/>
        </w:rPr>
        <w:t>GB/T 3324-2024《木家具通用技术条件》；</w:t>
      </w:r>
    </w:p>
    <w:p w14:paraId="295FBE2C">
      <w:pPr>
        <w:pStyle w:val="7"/>
        <w:ind w:left="0" w:leftChars="0" w:firstLine="420" w:firstLineChars="200"/>
        <w:rPr>
          <w:rFonts w:ascii="宋体" w:hAnsi="宋体" w:cs="宋体"/>
          <w:sz w:val="21"/>
          <w:szCs w:val="21"/>
        </w:rPr>
      </w:pPr>
      <w:r>
        <w:rPr>
          <w:rFonts w:hint="eastAsia" w:ascii="宋体" w:hAnsi="宋体" w:cs="宋体"/>
          <w:sz w:val="21"/>
          <w:szCs w:val="21"/>
        </w:rPr>
        <w:t>其他标准：</w:t>
      </w:r>
    </w:p>
    <w:p w14:paraId="5CC4FDEC">
      <w:pPr>
        <w:pStyle w:val="7"/>
        <w:ind w:left="0" w:leftChars="0" w:firstLine="420" w:firstLineChars="200"/>
        <w:rPr>
          <w:rFonts w:ascii="宋体" w:hAnsi="宋体" w:cs="宋体"/>
          <w:sz w:val="21"/>
          <w:szCs w:val="21"/>
        </w:rPr>
      </w:pPr>
      <w:r>
        <w:rPr>
          <w:rFonts w:hint="eastAsia" w:ascii="宋体" w:hAnsi="宋体" w:cs="宋体"/>
          <w:sz w:val="21"/>
          <w:szCs w:val="21"/>
        </w:rPr>
        <w:t>GB/T 15102-2017《浸渍胶膜纸饰面纤维板和刨花板》；</w:t>
      </w:r>
    </w:p>
    <w:p w14:paraId="0446B38F">
      <w:pPr>
        <w:pStyle w:val="7"/>
        <w:ind w:left="0" w:leftChars="0" w:firstLine="420" w:firstLineChars="200"/>
        <w:rPr>
          <w:rFonts w:ascii="宋体" w:hAnsi="宋体" w:cs="宋体"/>
          <w:sz w:val="21"/>
          <w:szCs w:val="21"/>
        </w:rPr>
      </w:pPr>
      <w:r>
        <w:rPr>
          <w:rFonts w:hint="eastAsia" w:ascii="宋体" w:hAnsi="宋体" w:cs="宋体"/>
          <w:sz w:val="21"/>
          <w:szCs w:val="21"/>
        </w:rPr>
        <w:t>GB/T 29525-2013《座椅升降气弹簧技术条件》；</w:t>
      </w:r>
    </w:p>
    <w:p w14:paraId="4B4B3FA8">
      <w:pPr>
        <w:pStyle w:val="7"/>
        <w:ind w:left="0" w:leftChars="0" w:firstLine="420" w:firstLineChars="200"/>
        <w:rPr>
          <w:rFonts w:ascii="宋体" w:hAnsi="宋体" w:cs="宋体"/>
          <w:sz w:val="21"/>
          <w:szCs w:val="21"/>
        </w:rPr>
      </w:pPr>
      <w:r>
        <w:rPr>
          <w:rFonts w:ascii="宋体" w:hAnsi="宋体" w:cs="宋体"/>
          <w:sz w:val="21"/>
          <w:szCs w:val="21"/>
        </w:rPr>
        <w:t>GB/T 10802-2023《通用软质聚氨酯泡沫塑料》；</w:t>
      </w:r>
    </w:p>
    <w:p w14:paraId="7FD24DF9">
      <w:pPr>
        <w:pStyle w:val="7"/>
        <w:ind w:left="0" w:leftChars="0" w:firstLine="420" w:firstLineChars="200"/>
        <w:rPr>
          <w:rFonts w:ascii="宋体" w:hAnsi="宋体" w:cs="宋体"/>
          <w:sz w:val="21"/>
          <w:szCs w:val="21"/>
        </w:rPr>
      </w:pPr>
      <w:r>
        <w:rPr>
          <w:rFonts w:ascii="宋体" w:hAnsi="宋体" w:cs="宋体"/>
          <w:sz w:val="21"/>
          <w:szCs w:val="21"/>
        </w:rPr>
        <w:t>GB/T 35601-2024《</w:t>
      </w:r>
      <w:r>
        <w:rPr>
          <w:rFonts w:hint="eastAsia" w:ascii="宋体" w:hAnsi="宋体" w:cs="宋体"/>
          <w:sz w:val="21"/>
          <w:szCs w:val="21"/>
        </w:rPr>
        <w:t>国家优质绿色</w:t>
      </w:r>
      <w:r>
        <w:rPr>
          <w:rFonts w:ascii="宋体" w:hAnsi="宋体" w:cs="宋体"/>
          <w:sz w:val="21"/>
          <w:szCs w:val="21"/>
        </w:rPr>
        <w:t>产品评价</w:t>
      </w:r>
      <w:r>
        <w:rPr>
          <w:rFonts w:hint="eastAsia" w:ascii="宋体" w:hAnsi="宋体" w:cs="宋体"/>
          <w:sz w:val="21"/>
          <w:szCs w:val="21"/>
        </w:rPr>
        <w:t>人造板和木质地板》；</w:t>
      </w:r>
    </w:p>
    <w:p w14:paraId="726BD67A">
      <w:pPr>
        <w:pStyle w:val="7"/>
        <w:ind w:left="0" w:leftChars="0" w:firstLine="420" w:firstLineChars="200"/>
        <w:rPr>
          <w:rFonts w:ascii="宋体" w:hAnsi="宋体" w:cs="宋体"/>
          <w:sz w:val="21"/>
          <w:szCs w:val="21"/>
        </w:rPr>
      </w:pPr>
      <w:r>
        <w:rPr>
          <w:rFonts w:hint="eastAsia" w:ascii="宋体" w:hAnsi="宋体" w:cs="宋体"/>
          <w:sz w:val="21"/>
          <w:szCs w:val="21"/>
        </w:rPr>
        <w:t>QB/T 2189-2013《家具五金杯状暗铰链》；</w:t>
      </w:r>
    </w:p>
    <w:p w14:paraId="5C490DE2">
      <w:pPr>
        <w:pStyle w:val="7"/>
        <w:ind w:left="0" w:leftChars="0" w:firstLine="420" w:firstLineChars="200"/>
        <w:rPr>
          <w:rFonts w:ascii="宋体" w:hAnsi="宋体" w:cs="宋体"/>
          <w:sz w:val="21"/>
          <w:szCs w:val="21"/>
        </w:rPr>
      </w:pPr>
      <w:r>
        <w:rPr>
          <w:rFonts w:hint="eastAsia" w:ascii="宋体" w:hAnsi="宋体" w:cs="宋体"/>
          <w:sz w:val="21"/>
          <w:szCs w:val="21"/>
        </w:rPr>
        <w:t>GB/T 11718-2021 《中密度纤维板》；</w:t>
      </w:r>
    </w:p>
    <w:p w14:paraId="68589049">
      <w:pPr>
        <w:pStyle w:val="7"/>
        <w:ind w:left="0" w:leftChars="0" w:firstLine="420" w:firstLineChars="200"/>
        <w:rPr>
          <w:rFonts w:ascii="宋体" w:hAnsi="宋体" w:cs="宋体"/>
          <w:sz w:val="21"/>
          <w:szCs w:val="21"/>
        </w:rPr>
      </w:pPr>
      <w:r>
        <w:rPr>
          <w:rFonts w:hint="eastAsia" w:ascii="宋体" w:hAnsi="宋体" w:cs="宋体"/>
          <w:sz w:val="21"/>
          <w:szCs w:val="21"/>
        </w:rPr>
        <w:t>QB/T 1621-2015 《家具锁》；</w:t>
      </w:r>
    </w:p>
    <w:p w14:paraId="14813AE7">
      <w:pPr>
        <w:pStyle w:val="7"/>
        <w:ind w:left="0" w:leftChars="0" w:firstLine="420" w:firstLineChars="200"/>
        <w:rPr>
          <w:rFonts w:ascii="宋体" w:hAnsi="宋体" w:cs="宋体"/>
          <w:sz w:val="21"/>
          <w:szCs w:val="21"/>
        </w:rPr>
      </w:pPr>
      <w:r>
        <w:rPr>
          <w:rFonts w:hint="eastAsia" w:ascii="宋体" w:hAnsi="宋体" w:cs="宋体"/>
          <w:sz w:val="21"/>
          <w:szCs w:val="21"/>
        </w:rPr>
        <w:t>GB/T 2454-2013 《家具五金抽屉导轨》；</w:t>
      </w:r>
    </w:p>
    <w:p w14:paraId="2ED456CA">
      <w:pPr>
        <w:pStyle w:val="7"/>
        <w:ind w:left="0" w:leftChars="0" w:firstLine="420" w:firstLineChars="200"/>
        <w:rPr>
          <w:rFonts w:ascii="宋体" w:hAnsi="宋体" w:cs="宋体"/>
          <w:sz w:val="21"/>
          <w:szCs w:val="21"/>
        </w:rPr>
      </w:pPr>
      <w:r>
        <w:rPr>
          <w:rFonts w:hint="eastAsia" w:ascii="宋体" w:hAnsi="宋体" w:cs="宋体"/>
          <w:sz w:val="21"/>
          <w:szCs w:val="21"/>
        </w:rPr>
        <w:t>GB/T 4765-2014 《家具用脚轮》；</w:t>
      </w:r>
    </w:p>
    <w:p w14:paraId="6C199995">
      <w:pPr>
        <w:pStyle w:val="7"/>
        <w:ind w:left="0" w:leftChars="0" w:firstLine="420" w:firstLineChars="200"/>
        <w:rPr>
          <w:rFonts w:ascii="宋体" w:hAnsi="宋体" w:cs="宋体"/>
          <w:sz w:val="21"/>
          <w:szCs w:val="21"/>
        </w:rPr>
      </w:pPr>
      <w:r>
        <w:rPr>
          <w:rFonts w:hint="eastAsia" w:ascii="宋体" w:hAnsi="宋体" w:cs="宋体"/>
          <w:sz w:val="21"/>
          <w:szCs w:val="21"/>
        </w:rPr>
        <w:t>QB/T 2280-2016《办公家具办公椅》；</w:t>
      </w:r>
    </w:p>
    <w:p w14:paraId="721BD833">
      <w:pPr>
        <w:pStyle w:val="7"/>
        <w:ind w:left="0" w:leftChars="0" w:firstLine="420" w:firstLineChars="200"/>
        <w:rPr>
          <w:rFonts w:ascii="宋体" w:hAnsi="宋体" w:cs="宋体"/>
          <w:sz w:val="21"/>
          <w:szCs w:val="21"/>
        </w:rPr>
      </w:pPr>
      <w:r>
        <w:rPr>
          <w:rFonts w:ascii="宋体" w:hAnsi="宋体" w:cs="宋体"/>
          <w:sz w:val="21"/>
          <w:szCs w:val="21"/>
        </w:rPr>
        <w:t>QB/T 1952.1-2023《软体家具</w:t>
      </w:r>
      <w:r>
        <w:rPr>
          <w:rFonts w:hint="eastAsia" w:ascii="宋体" w:hAnsi="宋体" w:cs="宋体"/>
          <w:sz w:val="21"/>
          <w:szCs w:val="21"/>
        </w:rPr>
        <w:t>沙发》。</w:t>
      </w:r>
    </w:p>
    <w:p w14:paraId="16BB830E">
      <w:pPr>
        <w:pStyle w:val="7"/>
        <w:ind w:left="0" w:leftChars="0" w:firstLine="482" w:firstLineChars="200"/>
        <w:rPr>
          <w:rFonts w:ascii="宋体" w:hAnsi="宋体" w:cs="宋体"/>
          <w:sz w:val="21"/>
          <w:szCs w:val="21"/>
        </w:rPr>
      </w:pPr>
      <w:r>
        <w:rPr>
          <w:rFonts w:hint="eastAsia" w:ascii="宋体" w:hAnsi="宋体" w:cs="宋体"/>
          <w:b/>
          <w:bCs/>
        </w:rPr>
        <w:t>及其他与本次采购的家具相关的现行最新标准；采购需求内所涉及到的标准若与现行标准冲突，均以现行的最新版本为准。</w:t>
      </w:r>
    </w:p>
    <w:p w14:paraId="5902F7CD">
      <w:pPr>
        <w:pStyle w:val="6"/>
        <w:spacing w:before="44" w:line="225" w:lineRule="auto"/>
        <w:ind w:left="0"/>
        <w:rPr>
          <w:rFonts w:ascii="微软雅黑" w:hAnsi="微软雅黑" w:eastAsia="微软雅黑" w:cs="微软雅黑"/>
          <w:b/>
          <w:bCs/>
          <w:sz w:val="28"/>
          <w:szCs w:val="28"/>
        </w:rPr>
      </w:pPr>
    </w:p>
    <w:p w14:paraId="468B40BD">
      <w:pPr>
        <w:pStyle w:val="6"/>
        <w:spacing w:before="44" w:line="225" w:lineRule="auto"/>
        <w:ind w:left="0"/>
        <w:rPr>
          <w:rFonts w:ascii="微软雅黑" w:hAnsi="微软雅黑" w:eastAsia="微软雅黑" w:cs="微软雅黑"/>
          <w:b/>
          <w:bCs/>
          <w:sz w:val="28"/>
          <w:szCs w:val="28"/>
        </w:rPr>
      </w:pPr>
    </w:p>
    <w:p w14:paraId="4E811E19">
      <w:pPr>
        <w:pStyle w:val="6"/>
        <w:spacing w:before="44" w:line="225" w:lineRule="auto"/>
        <w:ind w:left="0"/>
        <w:rPr>
          <w:rFonts w:ascii="微软雅黑" w:hAnsi="微软雅黑" w:eastAsia="微软雅黑" w:cs="微软雅黑"/>
          <w:b/>
          <w:bCs/>
          <w:sz w:val="28"/>
          <w:szCs w:val="28"/>
        </w:rPr>
      </w:pPr>
    </w:p>
    <w:p w14:paraId="48202009">
      <w:pPr>
        <w:pStyle w:val="6"/>
        <w:spacing w:before="44" w:line="225" w:lineRule="auto"/>
        <w:ind w:left="0"/>
        <w:rPr>
          <w:rFonts w:ascii="微软雅黑" w:hAnsi="微软雅黑" w:eastAsia="微软雅黑" w:cs="微软雅黑"/>
          <w:b/>
          <w:bCs/>
          <w:sz w:val="28"/>
          <w:szCs w:val="28"/>
        </w:rPr>
      </w:pPr>
    </w:p>
    <w:p w14:paraId="0F4EF89E">
      <w:pPr>
        <w:pStyle w:val="6"/>
        <w:spacing w:before="44" w:line="225" w:lineRule="auto"/>
        <w:ind w:left="0"/>
        <w:rPr>
          <w:rFonts w:ascii="微软雅黑" w:hAnsi="微软雅黑" w:eastAsia="微软雅黑" w:cs="微软雅黑"/>
          <w:b/>
          <w:bCs/>
          <w:sz w:val="28"/>
          <w:szCs w:val="28"/>
        </w:rPr>
      </w:pPr>
    </w:p>
    <w:p w14:paraId="759CACE9">
      <w:pPr>
        <w:pStyle w:val="6"/>
        <w:spacing w:before="44" w:line="225" w:lineRule="auto"/>
        <w:ind w:left="0"/>
        <w:rPr>
          <w:rFonts w:ascii="微软雅黑" w:hAnsi="微软雅黑" w:eastAsia="微软雅黑" w:cs="微软雅黑"/>
          <w:b/>
          <w:bCs/>
          <w:sz w:val="28"/>
          <w:szCs w:val="28"/>
        </w:rPr>
      </w:pPr>
    </w:p>
    <w:p w14:paraId="576C6721">
      <w:pPr>
        <w:pStyle w:val="6"/>
        <w:spacing w:before="44" w:line="225" w:lineRule="auto"/>
        <w:ind w:left="0"/>
        <w:rPr>
          <w:rFonts w:ascii="微软雅黑" w:hAnsi="微软雅黑" w:eastAsia="微软雅黑" w:cs="微软雅黑"/>
          <w:b/>
          <w:bCs/>
          <w:sz w:val="28"/>
          <w:szCs w:val="28"/>
        </w:rPr>
      </w:pPr>
    </w:p>
    <w:p w14:paraId="3A10D5A4">
      <w:pPr>
        <w:pStyle w:val="6"/>
        <w:spacing w:before="44" w:line="225" w:lineRule="auto"/>
        <w:ind w:left="0"/>
        <w:rPr>
          <w:rFonts w:ascii="微软雅黑" w:hAnsi="微软雅黑" w:eastAsia="微软雅黑" w:cs="微软雅黑"/>
          <w:b/>
          <w:bCs/>
          <w:sz w:val="28"/>
          <w:szCs w:val="28"/>
        </w:rPr>
      </w:pPr>
    </w:p>
    <w:p w14:paraId="7495CD4B">
      <w:pPr>
        <w:pStyle w:val="6"/>
        <w:spacing w:before="44" w:line="225" w:lineRule="auto"/>
        <w:ind w:left="0"/>
        <w:rPr>
          <w:rFonts w:ascii="微软雅黑" w:hAnsi="微软雅黑" w:eastAsia="微软雅黑" w:cs="微软雅黑"/>
          <w:b/>
          <w:bCs/>
          <w:sz w:val="28"/>
          <w:szCs w:val="28"/>
        </w:rPr>
      </w:pPr>
    </w:p>
    <w:p w14:paraId="3713980F">
      <w:pPr>
        <w:pStyle w:val="6"/>
        <w:spacing w:before="44" w:line="225" w:lineRule="auto"/>
        <w:ind w:left="0"/>
        <w:rPr>
          <w:rFonts w:ascii="微软雅黑" w:hAnsi="微软雅黑" w:eastAsia="微软雅黑" w:cs="微软雅黑"/>
          <w:b/>
          <w:bCs/>
          <w:sz w:val="28"/>
          <w:szCs w:val="28"/>
        </w:rPr>
      </w:pPr>
    </w:p>
    <w:p w14:paraId="0689083A">
      <w:pPr>
        <w:pStyle w:val="6"/>
        <w:spacing w:before="44" w:line="225" w:lineRule="auto"/>
        <w:ind w:left="0"/>
        <w:rPr>
          <w:rFonts w:ascii="微软雅黑" w:hAnsi="微软雅黑" w:eastAsia="微软雅黑" w:cs="微软雅黑"/>
          <w:b/>
          <w:bCs/>
          <w:sz w:val="28"/>
          <w:szCs w:val="28"/>
        </w:rPr>
      </w:pPr>
    </w:p>
    <w:p w14:paraId="48D199DA">
      <w:pPr>
        <w:pStyle w:val="6"/>
        <w:numPr>
          <w:ilvl w:val="0"/>
          <w:numId w:val="2"/>
        </w:numPr>
        <w:spacing w:before="44" w:line="225" w:lineRule="auto"/>
        <w:ind w:left="0"/>
        <w:rPr>
          <w:rFonts w:ascii="微软雅黑" w:hAnsi="微软雅黑" w:eastAsia="微软雅黑" w:cs="微软雅黑"/>
          <w:b/>
          <w:bCs/>
          <w:sz w:val="28"/>
          <w:szCs w:val="28"/>
        </w:rPr>
      </w:pPr>
      <w:r>
        <w:rPr>
          <w:rFonts w:hint="eastAsia" w:ascii="微软雅黑" w:hAnsi="微软雅黑" w:eastAsia="微软雅黑" w:cs="微软雅黑"/>
          <w:b/>
          <w:bCs/>
          <w:sz w:val="28"/>
          <w:szCs w:val="28"/>
        </w:rPr>
        <w:t>采购清单及技术参数要求</w:t>
      </w:r>
    </w:p>
    <w:tbl>
      <w:tblPr>
        <w:tblStyle w:val="10"/>
        <w:tblW w:w="4957" w:type="pct"/>
        <w:tblInd w:w="0" w:type="dxa"/>
        <w:tblLayout w:type="fixed"/>
        <w:tblCellMar>
          <w:top w:w="0" w:type="dxa"/>
          <w:left w:w="108" w:type="dxa"/>
          <w:bottom w:w="0" w:type="dxa"/>
          <w:right w:w="108" w:type="dxa"/>
        </w:tblCellMar>
      </w:tblPr>
      <w:tblGrid>
        <w:gridCol w:w="742"/>
        <w:gridCol w:w="1294"/>
        <w:gridCol w:w="1690"/>
        <w:gridCol w:w="925"/>
        <w:gridCol w:w="886"/>
        <w:gridCol w:w="8342"/>
        <w:gridCol w:w="1343"/>
      </w:tblGrid>
      <w:tr w14:paraId="59BE8EDC">
        <w:tblPrEx>
          <w:tblCellMar>
            <w:top w:w="0" w:type="dxa"/>
            <w:left w:w="108" w:type="dxa"/>
            <w:bottom w:w="0" w:type="dxa"/>
            <w:right w:w="108" w:type="dxa"/>
          </w:tblCellMar>
        </w:tblPrEx>
        <w:trPr>
          <w:trHeight w:val="452"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C491">
            <w:pPr>
              <w:widowControl/>
              <w:textAlignment w:val="center"/>
              <w:rPr>
                <w:rFonts w:ascii="宋体" w:hAnsi="宋体" w:cs="宋体"/>
                <w:color w:val="000000"/>
                <w:sz w:val="22"/>
                <w:szCs w:val="22"/>
              </w:rPr>
            </w:pPr>
            <w:r>
              <w:rPr>
                <w:rFonts w:hint="eastAsia" w:ascii="宋体" w:hAnsi="宋体" w:cs="宋体"/>
                <w:color w:val="000000"/>
                <w:sz w:val="22"/>
                <w:szCs w:val="22"/>
              </w:rPr>
              <w:t>序号</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FB5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家具名称</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AB02">
            <w:pPr>
              <w:widowControl/>
              <w:jc w:val="center"/>
              <w:textAlignment w:val="center"/>
              <w:rPr>
                <w:rFonts w:ascii="宋体" w:hAnsi="宋体" w:cs="宋体"/>
                <w:color w:val="000000"/>
                <w:sz w:val="22"/>
                <w:szCs w:val="22"/>
              </w:rPr>
            </w:pPr>
            <w:r>
              <w:rPr>
                <w:rFonts w:hint="eastAsia" w:ascii="宋体" w:hAnsi="宋体" w:cs="宋体"/>
                <w:color w:val="000000"/>
                <w:sz w:val="22"/>
                <w:szCs w:val="22"/>
              </w:rPr>
              <w:t>尺寸(W*D*H）mm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AD6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DB4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数量</w:t>
            </w:r>
          </w:p>
        </w:tc>
        <w:tc>
          <w:tcPr>
            <w:tcW w:w="2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610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技术参数</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33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线条图</w:t>
            </w:r>
          </w:p>
        </w:tc>
      </w:tr>
      <w:tr w14:paraId="709B013B">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B61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7AB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D6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800*600*750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2B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29A8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7D78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1.桌面采用25mm优质防火板，鸭嘴边（两侧材质为PVC封边），面材采用优质环保防火板饰面，甲醛释放达到国家E0级环保要求。                                                                          2.翻转器采用冷轧钢板材料，钢板厚度不小于1.1mm，表面经酸洗、磷化防腐防锈处理后静电喷塑，上面为弹舌拉手，下面为钥匙，实行双重制动。采用特制大阻力气压杆，阻尼缓冲效果，防止快速回弹。                                                                       3.桌腿采用15*50矩形方管1.0mm厚，封板0.6mm优质冷轧钢板，内外双层钢板结构，桌腿宽度50mm，深度500mm，高度725mm，背板配有隐形可敲漏50mm进线孔，配有尼龙可调节脚，耐用防滑。坚固耐用，结构牢固美观，经过除油、酸洗、磷化、打磨、静电喷塑。粉末采用选用优质热固性粉末涂料，符合GB 30981-2020 《工业防护涂料中有害物质限量》标准；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每张实验桌配置2组86型面板强电模块，配合面板需采用3C认证，面板位置厂家自行设计，整体需位置合理，使用方便、确保安全性。中标单位需负责每组实验桌的地面以上强电接线、家具内穿线及面板安装，采用优质国产国标线。采购人负责提供每组实验桌地面下布线及地面上预留出线点。</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49664">
            <w:pPr>
              <w:widowControl/>
              <w:jc w:val="center"/>
              <w:textAlignment w:val="center"/>
              <w:rPr>
                <w:rFonts w:ascii="宋体" w:hAnsi="宋体" w:cs="宋体"/>
                <w:color w:val="000000"/>
                <w:sz w:val="22"/>
                <w:szCs w:val="22"/>
              </w:rPr>
            </w:pPr>
            <w:r>
              <w:drawing>
                <wp:inline distT="0" distB="0" distL="114300" distR="114300">
                  <wp:extent cx="683260" cy="754380"/>
                  <wp:effectExtent l="0" t="0" r="2540" b="7620"/>
                  <wp:docPr id="30" name="ID_C33E117A0CA742E7BF0D6B249CA73F2E"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C33E117A0CA742E7BF0D6B249CA73F2E" descr="IMG_268"/>
                          <pic:cNvPicPr>
                            <a:picLocks noChangeAspect="1"/>
                          </pic:cNvPicPr>
                        </pic:nvPicPr>
                        <pic:blipFill>
                          <a:blip r:embed="rId4"/>
                          <a:stretch>
                            <a:fillRect/>
                          </a:stretch>
                        </pic:blipFill>
                        <pic:spPr>
                          <a:xfrm>
                            <a:off x="0" y="0"/>
                            <a:ext cx="683260" cy="754380"/>
                          </a:xfrm>
                          <a:prstGeom prst="rect">
                            <a:avLst/>
                          </a:prstGeom>
                          <a:noFill/>
                          <a:ln w="9525">
                            <a:noFill/>
                          </a:ln>
                        </pic:spPr>
                      </pic:pic>
                    </a:graphicData>
                  </a:graphic>
                </wp:inline>
              </w:drawing>
            </w:r>
          </w:p>
        </w:tc>
      </w:tr>
      <w:tr w14:paraId="5A99CC05">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2C98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BC8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8AB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1500*600*750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34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8EE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8D2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1.桌架全钢结构；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2.台面：采用≥12.7mm厚双面膜耐腐蚀实芯理化板制作，四角倒R15圆角。耐酸、耐碱、耐高温，坚固耐用，防潮、无细孔、不膨胀、不龟裂、不变形、不导电、便于维护及具有良好的承重性能；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3.桌体：采用≥0.8mm优质镀锌钢板，采用二氧化碳保护焊焊接，打磨处理，表面经耐酸碱粉末烤漆处理，符合GB 30981-2020 《工业防护涂料中有害物质限量》标准；整体结构设计合理。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4.脚板及层板：采用双层钢板，必须两层组装是设计，保证两层双面都喷涂处理，中间采用隔音材料，保证关门减少噪音；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5.合页：采用优质不锈钢模具一体成型；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6.固定桌脚：采用柜体内置可调ABS调整脚，保证调整脚前后都可以调节高低。                  7.结构描述：桌面下为一块固定隔板，桌体前端有可开门上线空间，便于检修。</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57E6">
            <w:pPr>
              <w:jc w:val="center"/>
              <w:rPr>
                <w:rFonts w:ascii="宋体" w:hAnsi="宋体" w:cs="宋体"/>
                <w:color w:val="000000"/>
                <w:sz w:val="22"/>
                <w:szCs w:val="22"/>
              </w:rPr>
            </w:pPr>
            <w:r>
              <w:drawing>
                <wp:inline distT="0" distB="0" distL="114300" distR="114300">
                  <wp:extent cx="710565" cy="471170"/>
                  <wp:effectExtent l="0" t="0" r="13335" b="508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
                          <a:stretch>
                            <a:fillRect/>
                          </a:stretch>
                        </pic:blipFill>
                        <pic:spPr>
                          <a:xfrm>
                            <a:off x="0" y="0"/>
                            <a:ext cx="710565" cy="471170"/>
                          </a:xfrm>
                          <a:prstGeom prst="rect">
                            <a:avLst/>
                          </a:prstGeom>
                          <a:noFill/>
                          <a:ln>
                            <a:noFill/>
                          </a:ln>
                        </pic:spPr>
                      </pic:pic>
                    </a:graphicData>
                  </a:graphic>
                </wp:inline>
              </w:drawing>
            </w:r>
          </w:p>
        </w:tc>
      </w:tr>
      <w:tr w14:paraId="15237111">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7F8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27E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7FC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1500*600*750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109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0C3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88</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2E5E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 全钢结构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 台面选用优质双面膜实芯理化板，板厚≥12.7mm，美观、耐用，由专用牛皮纸、色纸、表层纸、化学膜等组成。因独特的构造，使其具有卓越的抗弯、抗冲击等性能，更能承载重物不易受压而弯曲变形。由于使用双面理化膜，使其更具抗翘曲的特性，尚可翻转使用，节省资源、更加环保。四周加厚至25mm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3.柜体：采用优质冷轧钢，板裸板不低于1.0mm，采用二氧化碳保护焊焊接，边缘打磨处理，表面经酸洗、磷化及环氧树脂户外粉静电喷涂，具备较强的耐酸碱防护能力；粉末采用选用优质热固性粉末涂料，符合GB 30981-2020 《工业防护涂料中有害物质限量》标准。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4.拉手：在柜门或抽屉正面上方处一体折弯而成，外观整体流畅，造型独特美观；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5.防撞胶垫：装于抽屉及门板内侧，减缓碰撞，保护柜体；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6.门板及抽面：采用双层钢板，必须两层组装式设计，保证两层双面都经过喷涂处理，保证门板和抽面具备较强硬度，不轻易出现凹陷；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7.连接件：采用ABS专用连接组装件；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合页：采用优质304不锈钢模具一体成型，厚度为1.8mm或以上，强度必须达到一个正常成年座在门上方合页不脱落；合页两面采取6孔位设计，其中外沿四个孔位为椭圆形设计，方便在安装时门板的上下、左右调节，便于门板调节贴合柜身；合页外露杆柱采取全封焊圆弧打磨处理，表面美观大气。</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9.滑轨：三节重型滚珠滑轨，承重性强，滑动性能良好，无噪音；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10.固定桌脚：采用柜体内置可调PP塑料调整脚，保证调整脚前后都可以调节高低；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11、灯架：上下层可调灯架，内置隐藏式走线，灯架立柱装配电源插座。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3BF7">
            <w:pPr>
              <w:jc w:val="center"/>
              <w:rPr>
                <w:rFonts w:ascii="宋体" w:hAnsi="宋体" w:cs="宋体"/>
                <w:color w:val="000000"/>
                <w:sz w:val="22"/>
                <w:szCs w:val="22"/>
              </w:rPr>
            </w:pPr>
            <w:r>
              <w:drawing>
                <wp:inline distT="0" distB="0" distL="114300" distR="114300">
                  <wp:extent cx="724535" cy="511810"/>
                  <wp:effectExtent l="0" t="0" r="18415" b="2540"/>
                  <wp:docPr id="117" name="ID_E4D59590ABAE4F8FA106557847BEE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D_E4D59590ABAE4F8FA106557847BEE404"/>
                          <pic:cNvPicPr>
                            <a:picLocks noChangeAspect="1"/>
                          </pic:cNvPicPr>
                        </pic:nvPicPr>
                        <pic:blipFill>
                          <a:blip r:embed="rId6"/>
                          <a:stretch>
                            <a:fillRect/>
                          </a:stretch>
                        </pic:blipFill>
                        <pic:spPr>
                          <a:xfrm>
                            <a:off x="0" y="0"/>
                            <a:ext cx="724535" cy="511810"/>
                          </a:xfrm>
                          <a:prstGeom prst="rect">
                            <a:avLst/>
                          </a:prstGeom>
                          <a:noFill/>
                          <a:ln w="9525">
                            <a:noFill/>
                          </a:ln>
                        </pic:spPr>
                      </pic:pic>
                    </a:graphicData>
                  </a:graphic>
                </wp:inline>
              </w:drawing>
            </w:r>
          </w:p>
        </w:tc>
      </w:tr>
      <w:tr w14:paraId="3A571F45">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FC51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0BAD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A89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1600*900*750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1D7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FABF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6015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 全钢结构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 台面选用优质双面膜实芯理化板，板厚≥12.7mm，美观、耐用，由专用牛皮纸、色纸、表层纸、化学膜等组成。因独特的构造，使其具有卓越的抗弯、抗冲击等性能，更能承载重物不易受压而弯曲变形。由于使用双面理化膜，使其更具抗翘曲的特性，尚可翻转使用，节省资源、更加环保。四周加厚至25mm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3.柜体：采用优质冷轧钢，板裸板不低于1.0mm，采用二氧化碳保护焊焊接，边缘打磨处理，表面经酸洗、磷化及环氧树脂户外粉静电喷涂，具备较强的耐酸碱防护能力；粉末采用选用优质热固性粉末涂料，符合GB 30981-2020 《工业防护涂料中有害物质限量》标准。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4.拉手：在柜门或抽屉正面上方处一体折弯而成，外观整体流畅，造型独特美观；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5.防撞胶垫：装于抽屉及门板内侧，减缓碰撞，保护柜体；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6.门板及抽面：采用双层钢板，必须两层组装式设计，保证两层双面都经过喷涂处理，保证门板和抽面具备较强硬度，不轻易出现凹陷；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7.连接件：采用ABS专用连接组装件；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合页：采用优质304不锈钢模具一体成型，厚度为1.8mm或以上，强度必须达到一个正常成年座在门上方合页不脱落；合页两面采取6孔位设计，其中外沿四个孔位为椭圆形设计，方便在安装时门板的上下、左右调节，便于门板调节贴合柜身；合页外露杆柱采取全封焊圆弧打磨处理，表面美观大气。</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9.滑轨：三节重型滚珠滑轨，承重性强，滑动性能良好，无噪音；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10.固定桌脚：采用柜体内置可调PP塑料调整脚，保证调整脚前后都可以调节高低；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11、灯架：上下层可调灯架，内置隐藏式走线，灯架立柱装配电源插座。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55B55">
            <w:pPr>
              <w:jc w:val="center"/>
              <w:rPr>
                <w:rFonts w:ascii="宋体" w:hAnsi="宋体" w:cs="宋体"/>
                <w:color w:val="000000"/>
                <w:sz w:val="22"/>
                <w:szCs w:val="22"/>
              </w:rPr>
            </w:pPr>
            <w:r>
              <w:drawing>
                <wp:inline distT="0" distB="0" distL="114300" distR="114300">
                  <wp:extent cx="749935" cy="529590"/>
                  <wp:effectExtent l="0" t="0" r="12065" b="3810"/>
                  <wp:docPr id="36" name="ID_E4D59590ABAE4F8FA106557847BEE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E4D59590ABAE4F8FA106557847BEE404"/>
                          <pic:cNvPicPr>
                            <a:picLocks noChangeAspect="1"/>
                          </pic:cNvPicPr>
                        </pic:nvPicPr>
                        <pic:blipFill>
                          <a:blip r:embed="rId6"/>
                          <a:stretch>
                            <a:fillRect/>
                          </a:stretch>
                        </pic:blipFill>
                        <pic:spPr>
                          <a:xfrm>
                            <a:off x="0" y="0"/>
                            <a:ext cx="749935" cy="529590"/>
                          </a:xfrm>
                          <a:prstGeom prst="rect">
                            <a:avLst/>
                          </a:prstGeom>
                          <a:noFill/>
                          <a:ln w="9525">
                            <a:noFill/>
                          </a:ln>
                        </pic:spPr>
                      </pic:pic>
                    </a:graphicData>
                  </a:graphic>
                </wp:inline>
              </w:drawing>
            </w:r>
          </w:p>
        </w:tc>
      </w:tr>
      <w:tr w14:paraId="6BAA207F">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948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F3871">
            <w:pPr>
              <w:widowControl/>
              <w:jc w:val="center"/>
              <w:textAlignment w:val="center"/>
              <w:rPr>
                <w:rFonts w:ascii="宋体" w:hAnsi="宋体" w:cs="宋体"/>
                <w:color w:val="FF0000"/>
                <w:sz w:val="22"/>
                <w:szCs w:val="22"/>
              </w:rPr>
            </w:pPr>
            <w:r>
              <w:rPr>
                <w:rFonts w:hint="eastAsia" w:ascii="宋体" w:hAnsi="宋体" w:cs="宋体"/>
                <w:color w:val="FF0000"/>
                <w:kern w:val="0"/>
                <w:sz w:val="22"/>
                <w:szCs w:val="22"/>
                <w:lang w:bidi="ar"/>
              </w:rPr>
              <w:t>实验桌5（出样）</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74C4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1500*600*750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D2C1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FF2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148</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ECBC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1.框架结构；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台面基材国家优质选用绿色环保饰面多层板，符合GB/T35601-2024、GB/T34722-2025标准，甲醛释放量（ENF）≤0.025mg/m³，厚度25mm。外压防火板饰面。封边采用PU注射一次成型封边，四周封边无接头，粘合性强不易脱落（粘合强度≥10MPa），具有良好弹性防止学生磕伤，封边不允许超出桌面。整体牢固耐用，美观大方，抗变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3.钢架部分：脚管采用φ45mm优质圆管，横梁采用≥25*50mm优质扁管，壁厚≥1.5mm，插管连接。表面经酸洗磷化、纯环氧树脂塑粉高温固化处理，符合GB 30981-2020 《工业防护涂料中有害物质限量》标准。整体平整光滑，不允许有喷涂层脱落、鼓泡、凹陷、压痕以及表面划伤、麻点、裂痕、崩角和刃口等，切割、钻孔和倒角应去毛刺；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4.可调脚：高度可调节式脚塞，全新尼龙制作，最矮高度≥75mm，可调节升高≥20mm，有效避免拖地时将水渍附到桌脚上从而生产锈蚀。</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5.挡板：采用不低于1.0mm优质冷轧钢板冲压、折弯成型，边缘打磨处理，表面经酸洗、磷化及环氧树脂户外粉静电喷涂，具备较强的耐酸碱防护能力；</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FE8E6">
            <w:pPr>
              <w:jc w:val="center"/>
              <w:rPr>
                <w:rFonts w:ascii="宋体" w:hAnsi="宋体" w:cs="宋体"/>
                <w:color w:val="000000"/>
                <w:sz w:val="22"/>
                <w:szCs w:val="22"/>
              </w:rPr>
            </w:pPr>
            <w:r>
              <w:drawing>
                <wp:inline distT="0" distB="0" distL="114300" distR="114300">
                  <wp:extent cx="703580" cy="452120"/>
                  <wp:effectExtent l="0" t="0" r="1270" b="508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7"/>
                          <a:stretch>
                            <a:fillRect/>
                          </a:stretch>
                        </pic:blipFill>
                        <pic:spPr>
                          <a:xfrm>
                            <a:off x="0" y="0"/>
                            <a:ext cx="703580" cy="452120"/>
                          </a:xfrm>
                          <a:prstGeom prst="rect">
                            <a:avLst/>
                          </a:prstGeom>
                          <a:noFill/>
                          <a:ln>
                            <a:noFill/>
                          </a:ln>
                        </pic:spPr>
                      </pic:pic>
                    </a:graphicData>
                  </a:graphic>
                </wp:inline>
              </w:drawing>
            </w:r>
          </w:p>
        </w:tc>
      </w:tr>
      <w:tr w14:paraId="4085B588">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C59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300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6E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800*600*750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8A60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743F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1C39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1.框架结构；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台面基材国家优质选用绿色环保饰面多层板，符合GB/T35601-2024、GB/T34722-2025标准，甲醛释放量（ENF）≤0.025mg/m³，厚度25mm。外压防火板饰面。封边采用PU注射一次成型封边，四周封边无接头，粘合性强不易脱落（粘合强度≥10MPa），具有良好弹性防止学生磕伤，封边不允许超出桌面。整体牢固耐用，美观大方，抗变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3.钢架部分：脚管采用φ45mm优质圆管，横梁采用≥25*50mm优质扁管，壁厚≥1.5mm，插管连接。表面经酸洗磷化、纯环氧树脂塑粉高温固化处理，符合GB 30981-2020 《工业防护涂料中有害物质限量》标准。整体平整光滑，不允许有喷涂层脱落、鼓泡、凹陷、压痕以及表面划伤、麻点、裂痕、崩角和刃口等，切割、钻孔和倒角应去毛刺；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4.可调脚：高度可调节式脚塞，全新尼龙制作，最矮高度≥75mm，可调节升高≥20mm，有效避免拖地时将水渍附到桌脚上从而生产锈蚀。</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5.挡板：采用不低于1.0mm优质冷轧钢板冲压、折弯成型，边缘打磨处理，表面经酸洗、磷化及环氧树脂户外粉静电喷涂，具备较强的耐酸碱防护能力；</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CBEFC">
            <w:pPr>
              <w:jc w:val="center"/>
              <w:rPr>
                <w:rFonts w:ascii="宋体" w:hAnsi="宋体" w:cs="宋体"/>
                <w:color w:val="000000"/>
                <w:sz w:val="22"/>
                <w:szCs w:val="22"/>
              </w:rPr>
            </w:pPr>
            <w:r>
              <w:drawing>
                <wp:inline distT="0" distB="0" distL="114300" distR="114300">
                  <wp:extent cx="703580" cy="452120"/>
                  <wp:effectExtent l="0" t="0" r="1270" b="508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7"/>
                          <a:stretch>
                            <a:fillRect/>
                          </a:stretch>
                        </pic:blipFill>
                        <pic:spPr>
                          <a:xfrm>
                            <a:off x="0" y="0"/>
                            <a:ext cx="703580" cy="452120"/>
                          </a:xfrm>
                          <a:prstGeom prst="rect">
                            <a:avLst/>
                          </a:prstGeom>
                          <a:noFill/>
                          <a:ln>
                            <a:noFill/>
                          </a:ln>
                        </pic:spPr>
                      </pic:pic>
                    </a:graphicData>
                  </a:graphic>
                </wp:inline>
              </w:drawing>
            </w:r>
          </w:p>
        </w:tc>
      </w:tr>
      <w:tr w14:paraId="06996F44">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B9A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0F3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2A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1400*600*750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B51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D4B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103</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02AE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台面基材选用国家优质绿色环保饰面多层板，符合GB/T35601-2024、GB/T34722-2025标准，甲醛释放量（ENF）≤0.025mg/m³，厚度25mm。外压防火板饰面。采用≥1.5mm厚PVC封边条高速封边，胶水选用优质优质环保水基型胶粘剂，符合GB 18583-2008 《室内装饰装修材料》 标准。整体牢固耐用，美观大方，抗变型。                                                                       2.桌腿采用15*50矩形方管1.0mm厚，封板0.6mm优质冷轧钢板，内外双层钢板结构，桌腿宽度50mm，深度500mm，高度725mm，背板配有隐形可敲漏50mm进线孔，配有尼龙可调节脚，耐用防滑。坚固耐用，结构牢固美观，经过除油、酸洗、磷化、打磨、静电喷塑。粉末采用选用优质热固性粉末涂料，符合GB 30981-2020 《工业防护涂料中有害物质限量》标准；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每张实验桌配置4组86型面板强电模块，配合面板需采用3C认证，面板位置厂家自行设计，整体需位置合理，使用方便、确保安全性。中标单位需负责每组实验桌的地面以上强电接线、家具内穿线及面板安装，采用优质国产国标线。采购人负责提供每组实验桌地面下布线及地面上预留出线点。</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66DC3">
            <w:pPr>
              <w:jc w:val="center"/>
              <w:rPr>
                <w:rFonts w:ascii="宋体" w:hAnsi="宋体" w:cs="宋体"/>
                <w:color w:val="000000"/>
                <w:sz w:val="22"/>
                <w:szCs w:val="22"/>
              </w:rPr>
            </w:pPr>
            <w:r>
              <w:drawing>
                <wp:inline distT="0" distB="0" distL="114300" distR="114300">
                  <wp:extent cx="707390" cy="454025"/>
                  <wp:effectExtent l="0" t="0" r="16510" b="317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8"/>
                          <a:stretch>
                            <a:fillRect/>
                          </a:stretch>
                        </pic:blipFill>
                        <pic:spPr>
                          <a:xfrm>
                            <a:off x="0" y="0"/>
                            <a:ext cx="707390" cy="454025"/>
                          </a:xfrm>
                          <a:prstGeom prst="rect">
                            <a:avLst/>
                          </a:prstGeom>
                          <a:noFill/>
                          <a:ln>
                            <a:noFill/>
                          </a:ln>
                        </pic:spPr>
                      </pic:pic>
                    </a:graphicData>
                  </a:graphic>
                </wp:inline>
              </w:drawing>
            </w:r>
          </w:p>
        </w:tc>
      </w:tr>
      <w:tr w14:paraId="3C0D0146">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478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14E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实验边台</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2BA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1500*600*800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B70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35C2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B6A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1.钢木结构；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2.台面：采用≥12.7mm厚实验室专用理化板,周边加厚至≥25.4mm,倒圆角处理.,防强酸强碱，耐磨耐高温；不含任何有毒物质，无辐射，受热不产生有毒气体和物质；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3.柜身：柜身为悬柜，基材为16mm厚国家优质绿色环保饰面多层板，符合GB/T35601-2024、GB/T 34722-2017标准，甲醛释放量（ENF）≤0.025mg/m³。整体牢固耐用，美观大方，抗变型。可见截面均经过PVC封边，采用≥1.5mm厚PVC封边条高速封边，符合QB/T4463-2013《家具用封边条技术要求》标准。胶水：选用优质优质环保水基型胶粘剂，符合GB 18583-2008、HJ2541-2016 标准。贴面和封边部件应严密、平整，不允许脱胶、鼓泡、凹陷、压痕以及表面划伤、麻点、裂痕、崩角和刃口，外表的圆角、倒棱应均匀一致；整体采用组合式柜体，含2个座人空位；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4.钢架部分：主框架采用40*60*1.5mm优质方管，焊接成型，表面经酸洗磷化、纯环氧树脂塑粉高温固化处理，粉末采用选用优质热固性粉末涂料，符合GB 30981-2020 《工业防护涂料中有害物质限量》标准。平整光滑，不允许有喷涂层脱落、鼓泡、凹陷、压痕以及表面划伤、麻点、裂痕、崩角和刃口等，切割、钻孔和倒角应去毛刺；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5.防腐三节静音导轨及铰链：优质三节静音导轨及大弯铰链；</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6.拉手：铝合金条形暗拉手；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7.可调脚：采用ABS专用注塑可调脚，金属螺杆，高度可调节，防滑减震；</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84D0">
            <w:pPr>
              <w:jc w:val="center"/>
              <w:rPr>
                <w:rFonts w:ascii="宋体" w:hAnsi="宋体" w:cs="宋体"/>
                <w:color w:val="000000"/>
                <w:sz w:val="22"/>
                <w:szCs w:val="22"/>
              </w:rPr>
            </w:pPr>
            <w:r>
              <w:drawing>
                <wp:inline distT="0" distB="0" distL="114300" distR="114300">
                  <wp:extent cx="713105" cy="474980"/>
                  <wp:effectExtent l="0" t="0" r="10795" b="127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9"/>
                          <a:stretch>
                            <a:fillRect/>
                          </a:stretch>
                        </pic:blipFill>
                        <pic:spPr>
                          <a:xfrm>
                            <a:off x="0" y="0"/>
                            <a:ext cx="713105" cy="474980"/>
                          </a:xfrm>
                          <a:prstGeom prst="rect">
                            <a:avLst/>
                          </a:prstGeom>
                          <a:noFill/>
                          <a:ln w="9525">
                            <a:noFill/>
                          </a:ln>
                        </pic:spPr>
                      </pic:pic>
                    </a:graphicData>
                  </a:graphic>
                </wp:inline>
              </w:drawing>
            </w:r>
          </w:p>
        </w:tc>
      </w:tr>
      <w:tr w14:paraId="61C6F38A">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FC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D4F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实验桌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F5B1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1600*800*1650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267F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F17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D28B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 样式要求：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1)需设计成三层二工位样式，底层为实验台面，上两层为仪器隔板；</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2)铝合金型材和全钢制框架拼装组合结构，需牢固、可靠、便于维护，可以经多次拆卸后无损，继续组装使用；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3)台架连接构件需采用左右对称的8只铝压铸连接件件（下方左、右件各2只，上方左、右件各4只）；</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4)上层隔板需内嵌条形LED照明灯，此LED照明灯需采用内嵌在铝合金型材中，此LED照明灯角度可以调节，照明开关需独立控制；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5)台面上方适当位置需配置铝合金型材电源盒，电源盒固定于后方立柱上；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6)台面下方需配置全钢制抽屉1只；</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7)底部需设有可调节高度支撑脚；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2.电气性能要求：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1)输入电源：单相三线，交流220V±10%，50HZ；</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2)容量：≤2.2KVA；</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3)安全保护：接地保护，漏电保护（动作电流＜30mA），过载保护；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4)需配置1位漏电保护器、1位电源指示灯、1位照明开关、不少于9位250V/10A五孔插座，插座带安全门；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3.尺寸规格要求：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1)整体外形尺寸：不小于1600×800×1650mm（长×宽×高）；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2)台面距离地面高度：约760±5mm；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3)上层隔板距离台面高度：约460mm；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4)实验台面尺寸：不小于1600×800mm（长×宽）；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5)上层隔板尺寸：不小于1600×360mm（长×宽）；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4.材质要求：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1)型材立柱：截面尺寸不小于70*70mm，四角圆弧不小于R15mm工业级铝型材，表面阳极氧化成本色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2)铝压铸连接件：铝压铸连接件，外形尺寸不小于200×185×75mm，壁厚不小于3mm，表面抛丸后喷塑处理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3)围框框架：截面尺寸不小于20*40mm冷轧电镀锌方钢管拼装焊接制作，表面喷塑处理；固定于铝压铸连接件上，用以连接台架立柱；</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4)顶部拉杆：截面尺寸不小于40*40mm冷轧电镀锌方钢管，表面喷塑处理；固定于顶部2只铝压铸连接件上，用以支撑顶部隔板；</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5)底部拉杆：截面尺寸不小于20*80mm冷轧电镀锌方钢管拼装焊接制作，表面喷塑处理；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6)LED照明灯：上层隔板需内嵌条形LED照明灯，此LED照明灯需采用内嵌在铝合金型材中，此LED照明灯角度可以旋转调节，照明开关需独立控制；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实验台面：桌面采用E0级三聚氰胺贴面刨花板，厚度≥25mm，台面上适当位置需开2个过线孔，并配装对应的穿线盖；需耐高温、抗弯曲、防潮；甲醛释放量≤0.05mg/m³桌面前沿需安装有铝合金防滚条，防止做实验时笔，零件滚落桌面；台面前沿必须装有由铝合金主体及外包裹PVC组成的防滚条，外层包裹黑色塑料能保护桌面长时间使用而不引起边缘的破损并且对于学生做实验时保护零件滑落桌面。桌面本体设置有位于前侧并与相应的所述固定螺栓的螺纹端匹配的固定插孔以及位于下侧并与相应的所述固定插孔连通的底槽，所述固定螺栓的螺纹端通过所述固定插孔插入所述底槽内并螺纹连接有固定螺母。保证此防滚条牢固和桌面连接，不会掉落，前内凹弧面起到有效的缓解使用者的抵靠压力的作用，提升使用者的抵靠舒适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8)上层隔板：不小于18mm E0级三聚氰胺贴面刨花板，需耐高温、抗弯曲、防潮；甲醛释放量≤0.05mg/m³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抽屉：台面下方需配置1个全钢制抽屉，：a)所有组件或连接件不应断裂损坏，b)通过手触压证实，用于紧固的组件不应松动，c)所有零部件不应有影响正常运作的变形或磨损，d)五金连接件不应松动，e)所有组件的功能不应损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10)电源盒：电源盒为单面型；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配置如下：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① 外形尺寸：不小于1420*55*100mm（长*厚*高）；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② 型材盖板：需采用工业级铝合金型材，型材表面阳极氧化处理成本色；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③ 前面板材质：需采用1.2mm厚度冷轧电镀锌薄钢板，表面喷塑处理；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④ 配置10A插头、品字尾三芯电源线1根，电源线长度不小于1.8米，线芯为国标1.5平方铜芯；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电气类配件需采用3C认证，位置厂家自行设计，整体需位置合理，使用方便、确保安全性。中标单位需负责每组实验台的地面以上强电接线、家具内穿线及面板安装，采用优质国产国标线。采购人负责提供每组实验台地面下布线及地面上预留出线点。</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4E0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85800" cy="699770"/>
                  <wp:effectExtent l="0" t="0" r="0" b="5080"/>
                  <wp:docPr id="2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7"/>
                          <pic:cNvPicPr>
                            <a:picLocks noChangeAspect="1"/>
                          </pic:cNvPicPr>
                        </pic:nvPicPr>
                        <pic:blipFill>
                          <a:blip r:embed="rId10"/>
                          <a:stretch>
                            <a:fillRect/>
                          </a:stretch>
                        </pic:blipFill>
                        <pic:spPr>
                          <a:xfrm>
                            <a:off x="0" y="0"/>
                            <a:ext cx="685800" cy="699770"/>
                          </a:xfrm>
                          <a:prstGeom prst="rect">
                            <a:avLst/>
                          </a:prstGeom>
                          <a:noFill/>
                          <a:ln w="9525">
                            <a:noFill/>
                          </a:ln>
                        </pic:spPr>
                      </pic:pic>
                    </a:graphicData>
                  </a:graphic>
                </wp:inline>
              </w:drawing>
            </w:r>
          </w:p>
        </w:tc>
      </w:tr>
      <w:tr w14:paraId="21046FFC">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C50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BEA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L型屏风卡位1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99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1540*1560*1200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273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位</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B8A0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DB6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屏风:钢板屏风，为全金属结构屏风组合，屏风厚度≥40mm。铝合金框架结构，内嵌冷轧钢板，无任何非钢制填充物。上下走线板位为钢制可拆卸，外挂式扣板结构，拥有便利的横竖向走线功能，可拆卸，便于检修强弱电。盖板为厚≥1.5mm铝合金，表面阳极氧化/静电喷塑处理。钢脚架采用≥30*60mm钢制方管，管壁厚度≥1.5mm，表面高温静电喷涂。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1）正面主屏屏风：桌面上屏风上部为玻璃，下部为冷轧钢板；桌面下为冷轧钢板。</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2）侧屏屏风：桌面上为冷轧钢板，在钢板上合适位置冲孔安装3组86型面板（2强电，1弱电，弱电为采购人自行安装）；桌面下为冷轧钢板，分2段，最下段为走线检修口。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3）屏风底部配可调节脚。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4）屏风钢板面板：采用≥0.7mm一级冷轧钢板，表面静电喷粉涂装，粉末采用优质热固性粉末涂料，有害物质含量符合GB 30981-2020 标准。漆膜硬度达到2H；冲击强度无裂纹，附着力≥2级，耐腐蚀：无气泡产生、无锈迹、剥落、起皱、变色和失光现象。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板、活动柜、双层书架：桌面尺寸：1500*600*1500*600mm，活动柜为标准板式三斗柜，侧屏上双层书架尺寸1500-1560*300*800mm。整体基材选用国家优质绿色环保饰面刨花板，桌面板厚25mm，其余板件厚为18mm，符合GB/T35601-2024、GB/T 34722-2017标准，甲醛释放量（ENF）≤0.025mg/m³。饰面：正反三聚氰胺贴面，表面防潮、耐污、耐磨。封边：采用≥1.5mm厚PVC封边条高速封边，符合QB/T4463-2013标准。胶水：选用优质优质环保水基型胶粘剂，符合GB 18583-2008准。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每张工位需配置2组86型面板强电模块，面板需采用3C认证，面板位置厂家自行设计，整体需位置合理，使用方便、确保安全性。中标单位需负责每组工位的地面以上强电接线、家具内穿线及面板安装，采用优质国产国标线。采购人负责提供每组工位地面下布线及地面上预留出线点。</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953A">
            <w:pPr>
              <w:jc w:val="center"/>
              <w:rPr>
                <w:rFonts w:ascii="宋体" w:hAnsi="宋体" w:cs="宋体"/>
                <w:color w:val="000000"/>
                <w:sz w:val="22"/>
                <w:szCs w:val="22"/>
              </w:rPr>
            </w:pPr>
            <w:r>
              <w:drawing>
                <wp:inline distT="0" distB="0" distL="114300" distR="114300">
                  <wp:extent cx="709930" cy="815975"/>
                  <wp:effectExtent l="0" t="0" r="13970" b="317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1"/>
                          <a:stretch>
                            <a:fillRect/>
                          </a:stretch>
                        </pic:blipFill>
                        <pic:spPr>
                          <a:xfrm>
                            <a:off x="0" y="0"/>
                            <a:ext cx="709930" cy="815975"/>
                          </a:xfrm>
                          <a:prstGeom prst="rect">
                            <a:avLst/>
                          </a:prstGeom>
                          <a:noFill/>
                          <a:ln>
                            <a:noFill/>
                          </a:ln>
                        </pic:spPr>
                      </pic:pic>
                    </a:graphicData>
                  </a:graphic>
                </wp:inline>
              </w:drawing>
            </w:r>
          </w:p>
        </w:tc>
      </w:tr>
      <w:tr w14:paraId="7210746B">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64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BA4F2">
            <w:pPr>
              <w:widowControl/>
              <w:jc w:val="center"/>
              <w:textAlignment w:val="center"/>
              <w:rPr>
                <w:rFonts w:ascii="宋体" w:hAnsi="宋体" w:cs="宋体"/>
                <w:color w:val="FF0000"/>
                <w:sz w:val="22"/>
                <w:szCs w:val="22"/>
              </w:rPr>
            </w:pPr>
            <w:r>
              <w:rPr>
                <w:rFonts w:hint="eastAsia" w:ascii="宋体" w:hAnsi="宋体" w:cs="宋体"/>
                <w:color w:val="FF0000"/>
                <w:kern w:val="0"/>
                <w:sz w:val="22"/>
                <w:szCs w:val="22"/>
                <w:lang w:bidi="ar"/>
              </w:rPr>
              <w:t>研究生工位（出样）</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F6D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1080*540*1600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B2E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E31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F79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屏风:为全金属结构屏风组合，屏风厚度≤40mm。屏风内部采用冷轧钢管作为结构骨架厚度≥1.2mm，无任何非钢制填充物，拥有便利的横竖向走线功能，屏风钢板采用金属卡扣式连接，可拆卸，便于检修强弱电。盖板为厚≥1.5mm铝合金，表面阳极氧化/静电喷塑处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1）正面主屏屏风钢板：桌面上以隔板为界分上下2段，在钢板上合适位置冲孔安装偏孔插座（配置2强电）；桌面下分2段，最下段为走线检修口，投标人自行提供优化设计方案。</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2）侧屏屏风钢板：桌面上以隔板为界分上下2段；桌面下为整体。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3）屏风底部配可调节脚。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4）屏风钢板面板：采用≥0.7mm一级冷轧钢板，表面静电喷粉涂装，粉末采用优质热固性粉末涂料，有害物质含量符合GB 30981-2020 标准。漆膜硬度达到2H；冲击强度无裂纹，附着力≥2级，耐腐蚀：无气泡产生、无锈迹、剥落、起皱、变色和失光现象。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板及隔板：桌面尺寸：1000*500*25mm（桌面上口距地高760-770mm），隔板尺寸：1000*250*25mm（隔板上口距屏风顶部250mm），台面底部配板式木抽屉，斗面高度为≥120mm，无需拉手和锁具。基材选用国家优质绿色环保饰面多层板，符合GB/T35601-2024、GB/T 34722-2017标准，甲醛释放量（ENF）≤0.025mg/m³。饰面：正反三聚氰胺贴面，表面防潮、耐污、耐磨。封边：采用≥1.5mm厚PVC封边条高速封边，符合QB/T4463-2013标准。胶水：选用优质优质环保水基型胶粘剂，符合GB 18583-2008标准。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每张工位配置2组86型面板强电模块，面板需采用3C认证，面板位置厂家自行设计，整体需位置合理，使用方便、确保安全性。中标单位需负责每组工位的地面以上强电接线、家具内穿线及面板安装，采用优质国产国标线。采购人负责提供每组工位地面下布线及地面上预留出线点。</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FEA21">
            <w:pPr>
              <w:widowControl/>
              <w:jc w:val="center"/>
              <w:textAlignment w:val="center"/>
              <w:rPr>
                <w:rFonts w:ascii="宋体" w:hAnsi="宋体" w:cs="宋体"/>
                <w:color w:val="000000"/>
                <w:sz w:val="22"/>
                <w:szCs w:val="22"/>
              </w:rPr>
            </w:pPr>
          </w:p>
          <w:p w14:paraId="6AD4F569">
            <w:pPr>
              <w:jc w:val="center"/>
            </w:pPr>
            <w:r>
              <w:drawing>
                <wp:inline distT="0" distB="0" distL="114300" distR="114300">
                  <wp:extent cx="746125" cy="687070"/>
                  <wp:effectExtent l="0" t="0" r="15875" b="17780"/>
                  <wp:docPr id="31" name="ID_F086E6B3E94E4C92A1AE4D902E66C09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F086E6B3E94E4C92A1AE4D902E66C097" descr="IMG_282"/>
                          <pic:cNvPicPr>
                            <a:picLocks noChangeAspect="1"/>
                          </pic:cNvPicPr>
                        </pic:nvPicPr>
                        <pic:blipFill>
                          <a:blip r:embed="rId12"/>
                          <a:stretch>
                            <a:fillRect/>
                          </a:stretch>
                        </pic:blipFill>
                        <pic:spPr>
                          <a:xfrm>
                            <a:off x="0" y="0"/>
                            <a:ext cx="746125" cy="687070"/>
                          </a:xfrm>
                          <a:prstGeom prst="rect">
                            <a:avLst/>
                          </a:prstGeom>
                          <a:noFill/>
                          <a:ln w="9525">
                            <a:noFill/>
                          </a:ln>
                        </pic:spPr>
                      </pic:pic>
                    </a:graphicData>
                  </a:graphic>
                </wp:inline>
              </w:drawing>
            </w:r>
          </w:p>
        </w:tc>
      </w:tr>
      <w:tr w14:paraId="2DF58F94">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FAF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4D62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长条桌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91FB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2000*550*780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E4C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D7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B591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1、基材：选用国家优质绿色环保饰面多层板，符合GB/T35601-2024、GB/T34722-2025标准，甲醛释放量（ENF）≤0.025mg/m³。整体牢固耐用，美观大方，抗变型。桌面及脚板≥25mm厚，其余板件≥18mm厚。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4、胶水：选用优质优质环保水基型胶粘剂，符合GB 18583-2008 《室内装饰装修材料》 标准。                                                                      5、带2只万向轮，2只刹车轮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6、五金件：优质五金配件。</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10B4">
            <w:pPr>
              <w:widowControl/>
              <w:jc w:val="center"/>
              <w:textAlignment w:val="center"/>
              <w:rPr>
                <w:rFonts w:ascii="宋体" w:hAnsi="宋体" w:cs="宋体"/>
                <w:color w:val="000000"/>
                <w:sz w:val="22"/>
                <w:szCs w:val="22"/>
              </w:rPr>
            </w:pPr>
            <w:r>
              <w:drawing>
                <wp:inline distT="0" distB="0" distL="114300" distR="114300">
                  <wp:extent cx="728980" cy="398780"/>
                  <wp:effectExtent l="0" t="0" r="13970" b="1270"/>
                  <wp:docPr id="32" name="ID_2835392954544D2CBC76D8E3FA991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2835392954544D2CBC76D8E3FA991CAB"/>
                          <pic:cNvPicPr>
                            <a:picLocks noChangeAspect="1"/>
                          </pic:cNvPicPr>
                        </pic:nvPicPr>
                        <pic:blipFill>
                          <a:blip r:embed="rId13"/>
                          <a:stretch>
                            <a:fillRect/>
                          </a:stretch>
                        </pic:blipFill>
                        <pic:spPr>
                          <a:xfrm>
                            <a:off x="0" y="0"/>
                            <a:ext cx="728980" cy="398780"/>
                          </a:xfrm>
                          <a:prstGeom prst="rect">
                            <a:avLst/>
                          </a:prstGeom>
                          <a:noFill/>
                          <a:ln w="9525">
                            <a:noFill/>
                          </a:ln>
                        </pic:spPr>
                      </pic:pic>
                    </a:graphicData>
                  </a:graphic>
                </wp:inline>
              </w:drawing>
            </w:r>
          </w:p>
        </w:tc>
      </w:tr>
      <w:tr w14:paraId="7917E033">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EEC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D20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长条桌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63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2000*550*780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2C26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4AB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1B61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1、基材：选用国家优质绿色环保饰面多层板，符合GB/T35601-2024、GB/T34722-2025标准，甲醛释放量（ENF）≤0.025mg/m³。整体牢固耐用，美观大方，抗变型。桌面及脚板≥25mm厚，其余板件≥18mm厚。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4、胶水：选用优质优质环保水基型胶粘剂，符合GB 18583-2008 《室内装饰装修材料》 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5、五金件：优质五金配件。</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3BE60">
            <w:pPr>
              <w:widowControl/>
              <w:jc w:val="center"/>
              <w:textAlignment w:val="center"/>
              <w:rPr>
                <w:rFonts w:ascii="宋体" w:hAnsi="宋体" w:cs="宋体"/>
                <w:color w:val="000000"/>
                <w:sz w:val="22"/>
                <w:szCs w:val="22"/>
              </w:rPr>
            </w:pPr>
            <w:r>
              <w:drawing>
                <wp:inline distT="0" distB="0" distL="114300" distR="114300">
                  <wp:extent cx="728980" cy="414655"/>
                  <wp:effectExtent l="0" t="0" r="13970" b="4445"/>
                  <wp:docPr id="23" name="ID_4FB4F3FFF68F40ADA0C3C940A12E7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4FB4F3FFF68F40ADA0C3C940A12E77B8"/>
                          <pic:cNvPicPr>
                            <a:picLocks noChangeAspect="1"/>
                          </pic:cNvPicPr>
                        </pic:nvPicPr>
                        <pic:blipFill>
                          <a:blip r:embed="rId14"/>
                          <a:stretch>
                            <a:fillRect/>
                          </a:stretch>
                        </pic:blipFill>
                        <pic:spPr>
                          <a:xfrm>
                            <a:off x="0" y="0"/>
                            <a:ext cx="728980" cy="414655"/>
                          </a:xfrm>
                          <a:prstGeom prst="rect">
                            <a:avLst/>
                          </a:prstGeom>
                          <a:noFill/>
                          <a:ln w="9525">
                            <a:noFill/>
                          </a:ln>
                        </pic:spPr>
                      </pic:pic>
                    </a:graphicData>
                  </a:graphic>
                </wp:inline>
              </w:drawing>
            </w:r>
          </w:p>
        </w:tc>
      </w:tr>
      <w:tr w14:paraId="320602E0">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D16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7929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办公台</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4A1B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主桌：1600*800*750        侧柜：800*400*680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A8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B922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D021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1、基材：选用国家优质绿色环保饰面多层板，符合GB/T35601-2024、GB/T34722-2025标准，甲醛释放量（ENF）≤0.025mg/m³。整体牢固耐用，美观大方，抗变型。桌面及脚板≥50mm厚，其余板件≥18mm厚。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4、胶水：选用优质优质环保水基型胶粘剂，符合GB 18583-2008 《室内装饰装修材料》 标准。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5、五金件：优质五金配件。</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E9950">
            <w:pPr>
              <w:jc w:val="center"/>
              <w:rPr>
                <w:rFonts w:ascii="宋体" w:hAnsi="宋体" w:cs="宋体"/>
                <w:color w:val="000000"/>
                <w:sz w:val="22"/>
                <w:szCs w:val="22"/>
              </w:rPr>
            </w:pPr>
            <w:r>
              <w:drawing>
                <wp:inline distT="0" distB="0" distL="114300" distR="114300">
                  <wp:extent cx="702310" cy="394335"/>
                  <wp:effectExtent l="0" t="0" r="2540" b="444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5"/>
                          <a:stretch>
                            <a:fillRect/>
                          </a:stretch>
                        </pic:blipFill>
                        <pic:spPr>
                          <a:xfrm>
                            <a:off x="0" y="0"/>
                            <a:ext cx="702310" cy="394335"/>
                          </a:xfrm>
                          <a:prstGeom prst="rect">
                            <a:avLst/>
                          </a:prstGeom>
                          <a:noFill/>
                          <a:ln>
                            <a:noFill/>
                          </a:ln>
                        </pic:spPr>
                      </pic:pic>
                    </a:graphicData>
                  </a:graphic>
                </wp:inline>
              </w:drawing>
            </w:r>
          </w:p>
        </w:tc>
      </w:tr>
      <w:tr w14:paraId="3E9829E2">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B7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A45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办公台</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2A4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主桌：1600*800*750        侧柜：800*400*680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D68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D025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5DC0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1.基材：采用国家优质环保多层板：其中甲醛释放量≤0.025mg/m³，苯，甲苯未检出，二甲苯≤18μg/m³，总挥发性有机化合物≤75μg/m³，燃烧性能等级B₁ -B符合技术要求。桌面及脚板≥50mm厚，其余板件≥18mm厚。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2.面材：采用优质胡桃木皮，木皮厚度≥0.6mm。木材含水率≤12%，甲醛释放量符合检测标准。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3.封边：封边为同色实木封边。封边严密、平整、无脱胶、表面无胶渍。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4.采用优质水性油漆处理，表面光滑柔和，无颗粒，无气泡，无渣点，颜色均匀，硬度高，喷漆工艺经五底三面工艺，硬度达到2-3H级。油漆的有害物质含量符合GB18581-2020木器涂料中有害物质限量标准。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5.胶粘剂：采用水基型胶粘剂, 其中总挥发性有机物含量≤250g/L，游离甲醛≤0.1g/kg，甲苯+二甲苯，苯均未检出。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6.优质五金件。</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A916C">
            <w:pPr>
              <w:jc w:val="center"/>
              <w:rPr>
                <w:rFonts w:ascii="宋体" w:hAnsi="宋体" w:cs="宋体"/>
                <w:color w:val="000000"/>
                <w:sz w:val="22"/>
                <w:szCs w:val="22"/>
              </w:rPr>
            </w:pPr>
            <w:r>
              <w:drawing>
                <wp:inline distT="0" distB="0" distL="114300" distR="114300">
                  <wp:extent cx="700405" cy="394335"/>
                  <wp:effectExtent l="0" t="0" r="4445" b="571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6"/>
                          <a:stretch>
                            <a:fillRect/>
                          </a:stretch>
                        </pic:blipFill>
                        <pic:spPr>
                          <a:xfrm>
                            <a:off x="0" y="0"/>
                            <a:ext cx="700405" cy="394335"/>
                          </a:xfrm>
                          <a:prstGeom prst="rect">
                            <a:avLst/>
                          </a:prstGeom>
                          <a:noFill/>
                          <a:ln>
                            <a:noFill/>
                          </a:ln>
                        </pic:spPr>
                      </pic:pic>
                    </a:graphicData>
                  </a:graphic>
                </wp:inline>
              </w:drawing>
            </w:r>
          </w:p>
        </w:tc>
      </w:tr>
      <w:tr w14:paraId="3A39EC5D">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BA9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46A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方桌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980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1600*900*750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51F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15FB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5DA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1、台面基材选用国家优质绿色环保饰面多层板，符合GB/T35601-2024、GB/T34722-2025标准，甲醛释放量（ENF）≤0.025mg/m³，厚度25mm。面材采用三聚氰胺饰面纸，表面防潮、耐污、耐磨。 采用≥1.5mm厚PVC封边条高速封边，胶水选用优质优质环保水基型胶粘剂，符合GB 18583-2008 《室内装饰装修材料》 标准。整体牢固耐用，美观大方，抗变型。                                                                                2、脚架：采用钢管，经人工磨具焊接，打磨，抛光，矫正，一系列生产工艺形成，脚上梁厚度≥1.5mm。横梁：≥20*40优质钢管，厚度≥1.2mm，搭配钢制压铸滑块组装，使其更加牢固，稳定。整体静电喷塑工艺，具备防锈、防刮擦的特性。粉末采用选用优质热固性粉末涂料，符合GB 30981-2020 《工业防护涂料中有害物质限量》标准。</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611C0">
            <w:pPr>
              <w:jc w:val="center"/>
              <w:rPr>
                <w:rFonts w:ascii="宋体" w:hAnsi="宋体" w:cs="宋体"/>
                <w:color w:val="000000"/>
                <w:sz w:val="22"/>
                <w:szCs w:val="22"/>
              </w:rPr>
            </w:pPr>
            <w:r>
              <w:drawing>
                <wp:inline distT="0" distB="0" distL="114300" distR="114300">
                  <wp:extent cx="702310" cy="702310"/>
                  <wp:effectExtent l="0" t="0" r="254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17"/>
                          <a:stretch>
                            <a:fillRect/>
                          </a:stretch>
                        </pic:blipFill>
                        <pic:spPr>
                          <a:xfrm>
                            <a:off x="0" y="0"/>
                            <a:ext cx="702310" cy="702310"/>
                          </a:xfrm>
                          <a:prstGeom prst="rect">
                            <a:avLst/>
                          </a:prstGeom>
                          <a:noFill/>
                          <a:ln>
                            <a:noFill/>
                          </a:ln>
                        </pic:spPr>
                      </pic:pic>
                    </a:graphicData>
                  </a:graphic>
                </wp:inline>
              </w:drawing>
            </w:r>
          </w:p>
        </w:tc>
      </w:tr>
      <w:tr w14:paraId="05317EB5">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46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3E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会议桌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0B59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2800*1400*750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8375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997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5357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1、台面基材选用国家优质绿色环保饰面多层板，符合GB/T35601-2024、GB/T34722-2025标准，甲醛释放量（ENF）≤0.025mg/m³，厚度25mm。面材采用三聚氰胺饰面纸，表面防潮、耐污、耐磨。 采用≥1.5mm厚PVC封边条高速封边，胶水选用优质优质环保水基型胶粘剂，符合GB 18583-2008 《室内装饰装修材料》 标准。整体牢固耐用，美观大方，抗变型。                                                                                2、脚架：采用钢管，经人工磨具焊接，打磨，抛光，矫正，一系列生产工艺形成，脚上梁厚度≥1.5mm。横梁：≥20*40优质钢管，厚度≥1.2mm，搭配钢制压铸滑块组装，使其更加牢固，稳定。整体静电喷塑工艺，具备防锈、防刮擦的特性。粉末采用选用优质热固性粉末涂料，符合GB 30981-2020 《工业防护涂料中有害物质限量》标准。</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D554">
            <w:pPr>
              <w:jc w:val="center"/>
              <w:rPr>
                <w:rFonts w:ascii="宋体" w:hAnsi="宋体" w:cs="宋体"/>
                <w:color w:val="000000"/>
                <w:sz w:val="22"/>
                <w:szCs w:val="22"/>
              </w:rPr>
            </w:pPr>
            <w:r>
              <w:drawing>
                <wp:inline distT="0" distB="0" distL="114300" distR="114300">
                  <wp:extent cx="702310" cy="702310"/>
                  <wp:effectExtent l="0" t="0" r="2540" b="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17"/>
                          <a:stretch>
                            <a:fillRect/>
                          </a:stretch>
                        </pic:blipFill>
                        <pic:spPr>
                          <a:xfrm>
                            <a:off x="0" y="0"/>
                            <a:ext cx="702310" cy="702310"/>
                          </a:xfrm>
                          <a:prstGeom prst="rect">
                            <a:avLst/>
                          </a:prstGeom>
                          <a:noFill/>
                          <a:ln>
                            <a:noFill/>
                          </a:ln>
                        </pic:spPr>
                      </pic:pic>
                    </a:graphicData>
                  </a:graphic>
                </wp:inline>
              </w:drawing>
            </w:r>
          </w:p>
        </w:tc>
      </w:tr>
      <w:tr w14:paraId="7D1EFAF8">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18BD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C2B6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4门书柜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7B4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1600*400*2000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DCA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062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5D4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1、基材：选用国家优质绿色环保饰面多层板，符合GB/T35601-2024、GB/T34722-2025标准，甲醛释放量（ENF）≤0.025mg/m³。整体牢固耐用，美观大方，抗变型。板件≥18mm厚。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4、胶水：选用优质优质环保水基型胶粘剂，符合GB 18583-2008 《室内装饰装修材料》 标准。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5、五金件：优质五金配件。                                                             6、结构性能描述：上门左右为单木开门，一侧配伸缩式挂衣杆，另一侧内置2层板；上门中间为对开木框有机玻璃门，内置2层板；下木开门内置一层板。</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BDDC2">
            <w:pPr>
              <w:jc w:val="center"/>
              <w:rPr>
                <w:rFonts w:ascii="宋体" w:hAnsi="宋体" w:cs="宋体"/>
                <w:color w:val="000000"/>
                <w:sz w:val="22"/>
                <w:szCs w:val="22"/>
              </w:rPr>
            </w:pPr>
            <w:r>
              <w:drawing>
                <wp:inline distT="0" distB="0" distL="114300" distR="114300">
                  <wp:extent cx="704850" cy="828675"/>
                  <wp:effectExtent l="0" t="0" r="0" b="952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18"/>
                          <a:stretch>
                            <a:fillRect/>
                          </a:stretch>
                        </pic:blipFill>
                        <pic:spPr>
                          <a:xfrm>
                            <a:off x="0" y="0"/>
                            <a:ext cx="704850" cy="828675"/>
                          </a:xfrm>
                          <a:prstGeom prst="rect">
                            <a:avLst/>
                          </a:prstGeom>
                          <a:noFill/>
                          <a:ln>
                            <a:noFill/>
                          </a:ln>
                        </pic:spPr>
                      </pic:pic>
                    </a:graphicData>
                  </a:graphic>
                </wp:inline>
              </w:drawing>
            </w:r>
          </w:p>
        </w:tc>
      </w:tr>
      <w:tr w14:paraId="3235910C">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9993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8D9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4门书柜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1374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1600*420*2000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050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84BD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0C9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1.基材：采用国家优质环保多层板：其中甲醛释放量≤0.025mg/m³，苯，甲苯未检出，二甲苯≤18μg/m³，总挥发性有机化合物≤75μg/m³，燃烧性能等级B₁ -B符合技术要求。桌面及脚板≥50mm厚，其余板件≥18mm厚。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2.面材：采用优质胡桃木皮，木皮厚度≥0.6mm。木材含水率≤12%，甲醛释放量符合检测标准。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3.封边：封边为同色实木封边。封边严密、平整、无脱胶、表面无胶渍。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4.采用优质水性油漆处理，表面光滑柔和，无颗粒，无气泡，无渣点，颜色均匀，硬度高，喷漆工艺经五底三面工艺，硬度达到2-3H级。油漆的有害物质含量符合GB18581-2020木器涂料中有害物质限量标准。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5.胶粘剂：采用水基型胶粘剂, 其中总挥发性有机物含量≤250g/L，游离甲醛≤0.1g/kg，甲苯+二甲苯，苯均未检出。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6.优质五金件。                                                                     7、结构性能描述：上门左右为单木开门，一侧配伸缩式挂衣杆，另一侧内置2层板；上门中间为对开木框有机玻璃门，内置2层板；下木开门内置一层板。</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2C60">
            <w:pPr>
              <w:jc w:val="center"/>
              <w:rPr>
                <w:rFonts w:ascii="宋体" w:hAnsi="宋体" w:cs="宋体"/>
                <w:color w:val="000000"/>
                <w:sz w:val="22"/>
                <w:szCs w:val="22"/>
              </w:rPr>
            </w:pPr>
            <w:r>
              <w:drawing>
                <wp:inline distT="0" distB="0" distL="114300" distR="114300">
                  <wp:extent cx="704850" cy="828675"/>
                  <wp:effectExtent l="0" t="0" r="0" b="952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18"/>
                          <a:stretch>
                            <a:fillRect/>
                          </a:stretch>
                        </pic:blipFill>
                        <pic:spPr>
                          <a:xfrm>
                            <a:off x="0" y="0"/>
                            <a:ext cx="704850" cy="828675"/>
                          </a:xfrm>
                          <a:prstGeom prst="rect">
                            <a:avLst/>
                          </a:prstGeom>
                          <a:noFill/>
                          <a:ln>
                            <a:noFill/>
                          </a:ln>
                        </pic:spPr>
                      </pic:pic>
                    </a:graphicData>
                  </a:graphic>
                </wp:inline>
              </w:drawing>
            </w:r>
          </w:p>
        </w:tc>
      </w:tr>
      <w:tr w14:paraId="790C5F24">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8E3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7AE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钢制文件柜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5D2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900*400*1800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83D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A2B3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5D93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1.材质： 采用一级冷轧板，</w:t>
            </w:r>
            <w:r>
              <w:rPr>
                <w:rFonts w:hint="eastAsia" w:ascii="宋体" w:hAnsi="宋体" w:cs="宋体"/>
                <w:color w:val="000000"/>
                <w:kern w:val="0"/>
                <w:sz w:val="22"/>
                <w:szCs w:val="22"/>
                <w:lang w:val="en-US" w:eastAsia="zh-CN" w:bidi="ar"/>
              </w:rPr>
              <w:t>裸</w:t>
            </w:r>
            <w:r>
              <w:rPr>
                <w:rFonts w:hint="eastAsia" w:ascii="宋体" w:hAnsi="宋体" w:cs="宋体"/>
                <w:color w:val="000000"/>
                <w:kern w:val="0"/>
                <w:sz w:val="22"/>
                <w:szCs w:val="22"/>
                <w:lang w:bidi="ar"/>
              </w:rPr>
              <w:t>板厚≥0.</w:t>
            </w:r>
            <w:r>
              <w:rPr>
                <w:rFonts w:hint="eastAsia" w:ascii="宋体" w:hAnsi="宋体" w:cs="宋体"/>
                <w:color w:val="000000"/>
                <w:kern w:val="0"/>
                <w:sz w:val="22"/>
                <w:szCs w:val="22"/>
                <w:lang w:val="en-US" w:eastAsia="zh-CN" w:bidi="ar"/>
              </w:rPr>
              <w:t>7</w:t>
            </w:r>
            <w:r>
              <w:rPr>
                <w:rFonts w:hint="eastAsia" w:ascii="宋体" w:hAnsi="宋体" w:cs="宋体"/>
                <w:color w:val="000000"/>
                <w:kern w:val="0"/>
                <w:sz w:val="22"/>
                <w:szCs w:val="22"/>
                <w:lang w:bidi="ar"/>
              </w:rPr>
              <w:t>mm,表面静电喷涂处理,采用环氧树脂及聚酯， 混合型热固性粉末涂料，涂层厚度达≥60μ</w:t>
            </w:r>
            <w:r>
              <w:rPr>
                <w:rFonts w:ascii="宋体" w:hAnsi="宋体" w:cs="宋体"/>
                <w:color w:val="000000"/>
                <w:kern w:val="0"/>
                <w:sz w:val="22"/>
                <w:szCs w:val="22"/>
                <w:lang w:bidi="ar"/>
              </w:rPr>
              <w:t>m</w:t>
            </w:r>
            <w:r>
              <w:rPr>
                <w:rFonts w:hint="eastAsia" w:ascii="宋体" w:hAnsi="宋体" w:cs="宋体"/>
                <w:color w:val="000000"/>
                <w:kern w:val="0"/>
                <w:sz w:val="22"/>
                <w:szCs w:val="22"/>
                <w:lang w:bidi="ar"/>
              </w:rPr>
              <w:t>。绝缘性高，附着力≥2级，硬度≥2H。</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2.表面静电喷粉涂装，静电粉末喷涂处理，表面无颗粒、无挂流。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3.五金：1）锁具：锁芯拨动件扭矩及锁头固定连接静拉力合格。2）铰链：符合耐久性开合无磨损。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4.结构描述：上为钢框内嵌有机玻璃对开门，内设1块搁板；中为左右二斗；下为全钢对开门，内设1块搁板，层板下设加强筋。</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3D158">
            <w:pPr>
              <w:jc w:val="center"/>
              <w:rPr>
                <w:rFonts w:ascii="宋体" w:hAnsi="宋体" w:cs="宋体"/>
                <w:color w:val="000000"/>
                <w:sz w:val="22"/>
                <w:szCs w:val="22"/>
              </w:rPr>
            </w:pPr>
            <w:r>
              <w:drawing>
                <wp:inline distT="0" distB="0" distL="114300" distR="114300">
                  <wp:extent cx="760095" cy="1104265"/>
                  <wp:effectExtent l="0" t="0" r="1905" b="635"/>
                  <wp:docPr id="26" name="ID_2D638627A1E1493092EDB47128919908"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2D638627A1E1493092EDB47128919908" descr="IMG_341"/>
                          <pic:cNvPicPr>
                            <a:picLocks noChangeAspect="1"/>
                          </pic:cNvPicPr>
                        </pic:nvPicPr>
                        <pic:blipFill>
                          <a:blip r:embed="rId19"/>
                          <a:stretch>
                            <a:fillRect/>
                          </a:stretch>
                        </pic:blipFill>
                        <pic:spPr>
                          <a:xfrm>
                            <a:off x="0" y="0"/>
                            <a:ext cx="760095" cy="1104265"/>
                          </a:xfrm>
                          <a:prstGeom prst="rect">
                            <a:avLst/>
                          </a:prstGeom>
                          <a:noFill/>
                          <a:ln w="9525">
                            <a:noFill/>
                          </a:ln>
                        </pic:spPr>
                      </pic:pic>
                    </a:graphicData>
                  </a:graphic>
                </wp:inline>
              </w:drawing>
            </w:r>
          </w:p>
        </w:tc>
      </w:tr>
      <w:tr w14:paraId="02D06D4A">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3E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4F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钢制矮柜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D055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900*400*1050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437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1D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C6CD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1.材质： 采用一级冷轧板，</w:t>
            </w:r>
            <w:r>
              <w:rPr>
                <w:rFonts w:hint="eastAsia" w:ascii="宋体" w:hAnsi="宋体" w:cs="宋体"/>
                <w:color w:val="000000"/>
                <w:kern w:val="0"/>
                <w:sz w:val="22"/>
                <w:szCs w:val="22"/>
                <w:lang w:val="en-US" w:eastAsia="zh-CN" w:bidi="ar"/>
              </w:rPr>
              <w:t>裸</w:t>
            </w:r>
            <w:r>
              <w:rPr>
                <w:rFonts w:hint="eastAsia" w:ascii="宋体" w:hAnsi="宋体" w:cs="宋体"/>
                <w:color w:val="000000"/>
                <w:kern w:val="0"/>
                <w:sz w:val="22"/>
                <w:szCs w:val="22"/>
                <w:lang w:bidi="ar"/>
              </w:rPr>
              <w:t>板厚≥0.</w:t>
            </w:r>
            <w:r>
              <w:rPr>
                <w:rFonts w:hint="eastAsia" w:ascii="宋体" w:hAnsi="宋体" w:cs="宋体"/>
                <w:color w:val="000000"/>
                <w:kern w:val="0"/>
                <w:sz w:val="22"/>
                <w:szCs w:val="22"/>
                <w:lang w:val="en-US" w:eastAsia="zh-CN" w:bidi="ar"/>
              </w:rPr>
              <w:t>7</w:t>
            </w:r>
            <w:r>
              <w:rPr>
                <w:rFonts w:hint="eastAsia" w:ascii="宋体" w:hAnsi="宋体" w:cs="宋体"/>
                <w:color w:val="000000"/>
                <w:kern w:val="0"/>
                <w:sz w:val="22"/>
                <w:szCs w:val="22"/>
                <w:lang w:bidi="ar"/>
              </w:rPr>
              <w:t>mm,表面静电喷涂处理,采用环氧树脂及聚酯， 混合型热固性粉末涂料，涂层厚度达≥60μ</w:t>
            </w:r>
            <w:r>
              <w:rPr>
                <w:rFonts w:ascii="宋体" w:hAnsi="宋体" w:cs="宋体"/>
                <w:color w:val="000000"/>
                <w:kern w:val="0"/>
                <w:sz w:val="22"/>
                <w:szCs w:val="22"/>
                <w:lang w:bidi="ar"/>
              </w:rPr>
              <w:t>m</w:t>
            </w:r>
            <w:r>
              <w:rPr>
                <w:rFonts w:hint="eastAsia" w:ascii="宋体" w:hAnsi="宋体" w:cs="宋体"/>
                <w:color w:val="000000"/>
                <w:kern w:val="0"/>
                <w:sz w:val="22"/>
                <w:szCs w:val="22"/>
                <w:lang w:bidi="ar"/>
              </w:rPr>
              <w:t>。绝缘性高，附着力≥2级，硬度≥2H。</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2.表面静电喷粉涂装，静电粉末喷涂处理，表面无颗粒、无挂流。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3.五金：1）锁具：锁芯拨动件扭矩及锁头固定连接静拉力合格。2）铰链：符合耐久性开合无磨损。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4.结构描述：上为二抽屉；下为全钢对开门，内设1块搁板，层板下设加强筋。</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629EC">
            <w:pPr>
              <w:jc w:val="center"/>
              <w:rPr>
                <w:rFonts w:ascii="宋体" w:hAnsi="宋体" w:cs="宋体"/>
                <w:color w:val="000000"/>
                <w:sz w:val="22"/>
                <w:szCs w:val="22"/>
              </w:rPr>
            </w:pPr>
            <w:r>
              <w:drawing>
                <wp:inline distT="0" distB="0" distL="114300" distR="114300">
                  <wp:extent cx="538480" cy="612775"/>
                  <wp:effectExtent l="0" t="0" r="13970" b="1587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0"/>
                          <a:stretch>
                            <a:fillRect/>
                          </a:stretch>
                        </pic:blipFill>
                        <pic:spPr>
                          <a:xfrm>
                            <a:off x="0" y="0"/>
                            <a:ext cx="538480" cy="612775"/>
                          </a:xfrm>
                          <a:prstGeom prst="rect">
                            <a:avLst/>
                          </a:prstGeom>
                          <a:noFill/>
                          <a:ln>
                            <a:noFill/>
                          </a:ln>
                        </pic:spPr>
                      </pic:pic>
                    </a:graphicData>
                  </a:graphic>
                </wp:inline>
              </w:drawing>
            </w:r>
          </w:p>
        </w:tc>
      </w:tr>
      <w:tr w14:paraId="1B9BB8F4">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41B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C251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钢制文件柜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DAC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900*400*1800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BB2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4CF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440A">
            <w:pPr>
              <w:widowControl/>
              <w:numPr>
                <w:ilvl w:val="0"/>
                <w:numId w:val="3"/>
              </w:numPr>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材质： 采用一级冷轧板，</w:t>
            </w:r>
            <w:r>
              <w:rPr>
                <w:rFonts w:hint="eastAsia" w:ascii="宋体" w:hAnsi="宋体" w:cs="宋体"/>
                <w:color w:val="000000"/>
                <w:kern w:val="0"/>
                <w:sz w:val="22"/>
                <w:szCs w:val="22"/>
                <w:lang w:val="en-US" w:eastAsia="zh-CN" w:bidi="ar"/>
              </w:rPr>
              <w:t>裸</w:t>
            </w:r>
            <w:r>
              <w:rPr>
                <w:rFonts w:hint="eastAsia" w:ascii="宋体" w:hAnsi="宋体" w:cs="宋体"/>
                <w:color w:val="000000"/>
                <w:kern w:val="0"/>
                <w:sz w:val="22"/>
                <w:szCs w:val="22"/>
                <w:lang w:bidi="ar"/>
              </w:rPr>
              <w:t>板厚≥0.</w:t>
            </w:r>
            <w:r>
              <w:rPr>
                <w:rFonts w:hint="eastAsia" w:ascii="宋体" w:hAnsi="宋体" w:cs="宋体"/>
                <w:color w:val="000000"/>
                <w:kern w:val="0"/>
                <w:sz w:val="22"/>
                <w:szCs w:val="22"/>
                <w:lang w:val="en-US" w:eastAsia="zh-CN" w:bidi="ar"/>
              </w:rPr>
              <w:t>7</w:t>
            </w:r>
            <w:r>
              <w:rPr>
                <w:rFonts w:hint="eastAsia" w:ascii="宋体" w:hAnsi="宋体" w:cs="宋体"/>
                <w:color w:val="000000"/>
                <w:kern w:val="0"/>
                <w:sz w:val="22"/>
                <w:szCs w:val="22"/>
                <w:lang w:bidi="ar"/>
              </w:rPr>
              <w:t>mm,表面静电喷涂处理,采用环氧树脂及聚酯， 混合型热固性粉末涂料，涂层厚度达≥60μ</w:t>
            </w:r>
            <w:r>
              <w:rPr>
                <w:rFonts w:ascii="宋体" w:hAnsi="宋体" w:cs="宋体"/>
                <w:color w:val="000000"/>
                <w:kern w:val="0"/>
                <w:sz w:val="22"/>
                <w:szCs w:val="22"/>
                <w:lang w:bidi="ar"/>
              </w:rPr>
              <w:t>m</w:t>
            </w:r>
            <w:r>
              <w:rPr>
                <w:rFonts w:hint="eastAsia" w:ascii="宋体" w:hAnsi="宋体" w:cs="宋体"/>
                <w:color w:val="000000"/>
                <w:kern w:val="0"/>
                <w:sz w:val="22"/>
                <w:szCs w:val="22"/>
                <w:lang w:bidi="ar"/>
              </w:rPr>
              <w:t>。绝缘性高，附着力≥2级，硬度≥2H。</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2.表面静电喷粉涂装，静电粉末喷涂处理，表面无颗粒、无挂流。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3.五金：1）锁具：锁芯拨动件扭矩及锁头固定连接静拉力合格。2）铰链：符合耐久性开合无磨损。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4.结构描述：5组全钢对开门。</w:t>
            </w:r>
          </w:p>
          <w:p w14:paraId="51C60155">
            <w:pPr>
              <w:widowControl/>
              <w:jc w:val="left"/>
              <w:textAlignment w:val="center"/>
              <w:rPr>
                <w:rFonts w:ascii="宋体" w:hAnsi="宋体" w:cs="宋体"/>
                <w:color w:val="000000"/>
                <w:kern w:val="0"/>
                <w:sz w:val="22"/>
                <w:szCs w:val="22"/>
                <w:lang w:bidi="ar"/>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D777">
            <w:pPr>
              <w:jc w:val="center"/>
              <w:rPr>
                <w:rFonts w:ascii="宋体" w:hAnsi="宋体" w:cs="宋体"/>
                <w:color w:val="000000"/>
                <w:sz w:val="22"/>
                <w:szCs w:val="22"/>
              </w:rPr>
            </w:pPr>
            <w:r>
              <w:drawing>
                <wp:inline distT="0" distB="0" distL="114300" distR="114300">
                  <wp:extent cx="702310" cy="702310"/>
                  <wp:effectExtent l="0" t="0" r="0" b="254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21"/>
                          <a:stretch>
                            <a:fillRect/>
                          </a:stretch>
                        </pic:blipFill>
                        <pic:spPr>
                          <a:xfrm>
                            <a:off x="0" y="0"/>
                            <a:ext cx="702310" cy="702310"/>
                          </a:xfrm>
                          <a:prstGeom prst="rect">
                            <a:avLst/>
                          </a:prstGeom>
                          <a:noFill/>
                          <a:ln>
                            <a:noFill/>
                          </a:ln>
                        </pic:spPr>
                      </pic:pic>
                    </a:graphicData>
                  </a:graphic>
                </wp:inline>
              </w:drawing>
            </w:r>
          </w:p>
        </w:tc>
      </w:tr>
      <w:tr w14:paraId="25B6A069">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C2C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66B0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钢制文件柜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E78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900*400*370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47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81D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2458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1.材质： 采用一级冷轧板，</w:t>
            </w:r>
            <w:r>
              <w:rPr>
                <w:rFonts w:hint="eastAsia" w:ascii="宋体" w:hAnsi="宋体" w:cs="宋体"/>
                <w:color w:val="000000"/>
                <w:kern w:val="0"/>
                <w:sz w:val="22"/>
                <w:szCs w:val="22"/>
                <w:lang w:val="en-US" w:eastAsia="zh-CN" w:bidi="ar"/>
              </w:rPr>
              <w:t>裸</w:t>
            </w:r>
            <w:r>
              <w:rPr>
                <w:rFonts w:hint="eastAsia" w:ascii="宋体" w:hAnsi="宋体" w:cs="宋体"/>
                <w:color w:val="000000"/>
                <w:kern w:val="0"/>
                <w:sz w:val="22"/>
                <w:szCs w:val="22"/>
                <w:lang w:bidi="ar"/>
              </w:rPr>
              <w:t>板厚≥0.</w:t>
            </w:r>
            <w:r>
              <w:rPr>
                <w:rFonts w:hint="eastAsia" w:ascii="宋体" w:hAnsi="宋体" w:cs="宋体"/>
                <w:color w:val="000000"/>
                <w:kern w:val="0"/>
                <w:sz w:val="22"/>
                <w:szCs w:val="22"/>
                <w:lang w:val="en-US" w:eastAsia="zh-CN" w:bidi="ar"/>
              </w:rPr>
              <w:t>7</w:t>
            </w:r>
            <w:r>
              <w:rPr>
                <w:rFonts w:hint="eastAsia" w:ascii="宋体" w:hAnsi="宋体" w:cs="宋体"/>
                <w:color w:val="000000"/>
                <w:kern w:val="0"/>
                <w:sz w:val="22"/>
                <w:szCs w:val="22"/>
                <w:lang w:bidi="ar"/>
              </w:rPr>
              <w:t>mm,表面静电喷涂处理,采用环氧树脂及聚酯， 混合型热固性粉末涂料，涂层厚度达≥60μ</w:t>
            </w:r>
            <w:r>
              <w:rPr>
                <w:rFonts w:ascii="宋体" w:hAnsi="宋体" w:cs="宋体"/>
                <w:color w:val="000000"/>
                <w:kern w:val="0"/>
                <w:sz w:val="22"/>
                <w:szCs w:val="22"/>
                <w:lang w:bidi="ar"/>
              </w:rPr>
              <w:t>m</w:t>
            </w:r>
            <w:r>
              <w:rPr>
                <w:rFonts w:hint="eastAsia" w:ascii="宋体" w:hAnsi="宋体" w:cs="宋体"/>
                <w:color w:val="000000"/>
                <w:kern w:val="0"/>
                <w:sz w:val="22"/>
                <w:szCs w:val="22"/>
                <w:lang w:bidi="ar"/>
              </w:rPr>
              <w:t>。绝缘性高，附着力≥2级，硬度≥2H。</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2.表面静电喷粉涂装，静电粉末喷涂处理，表面无颗粒、无挂流。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3.五金：1）锁具：锁芯拨动件扭矩及锁头固定连接静拉力合格。2）铰链：符合耐久性开合无磨损。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4.结构描述：全钢对开门。</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0C8C5">
            <w:pPr>
              <w:jc w:val="center"/>
              <w:rPr>
                <w:rFonts w:ascii="宋体" w:hAnsi="宋体" w:cs="宋体"/>
                <w:color w:val="000000"/>
                <w:sz w:val="22"/>
                <w:szCs w:val="22"/>
              </w:rPr>
            </w:pPr>
            <w:r>
              <w:drawing>
                <wp:inline distT="0" distB="0" distL="114300" distR="114300">
                  <wp:extent cx="702310" cy="405765"/>
                  <wp:effectExtent l="0" t="0" r="2540" b="1333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22"/>
                          <a:stretch>
                            <a:fillRect/>
                          </a:stretch>
                        </pic:blipFill>
                        <pic:spPr>
                          <a:xfrm>
                            <a:off x="0" y="0"/>
                            <a:ext cx="702310" cy="405765"/>
                          </a:xfrm>
                          <a:prstGeom prst="rect">
                            <a:avLst/>
                          </a:prstGeom>
                          <a:noFill/>
                          <a:ln>
                            <a:noFill/>
                          </a:ln>
                        </pic:spPr>
                      </pic:pic>
                    </a:graphicData>
                  </a:graphic>
                </wp:inline>
              </w:drawing>
            </w:r>
          </w:p>
        </w:tc>
      </w:tr>
      <w:tr w14:paraId="0912BF8E">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B8C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5D48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陈列柜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104B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900*450*1800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EF9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1100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583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1、基材：选用国家优质绿色环保饰面多层板，符合GB/T35601-2024、GB/T34722-2025标准，甲醛释放量（ENF）≤0.025mg/m³。整体牢固耐用，美观大方，抗变型。板件≥18mm厚。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4、胶水：选用优质优质环保水基型胶粘剂，符合GB 18583-2008 《室内装饰装修材料》 标准。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5、五金件：优质五金配件。                                                             6、结构性能描述：上门为对开木框玻璃门，内置3层板带挡条层板，层板向前倾斜安装；下木开门内置二层板。每层层板下加20*20mm加强支撑方管。</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8532">
            <w:pPr>
              <w:jc w:val="center"/>
              <w:rPr>
                <w:rFonts w:ascii="宋体" w:hAnsi="宋体" w:cs="宋体"/>
                <w:color w:val="000000"/>
                <w:sz w:val="22"/>
                <w:szCs w:val="22"/>
              </w:rPr>
            </w:pPr>
            <w:r>
              <w:drawing>
                <wp:inline distT="0" distB="0" distL="114300" distR="114300">
                  <wp:extent cx="702310" cy="364490"/>
                  <wp:effectExtent l="0" t="0" r="2540" b="1651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23"/>
                          <a:stretch>
                            <a:fillRect/>
                          </a:stretch>
                        </pic:blipFill>
                        <pic:spPr>
                          <a:xfrm>
                            <a:off x="0" y="0"/>
                            <a:ext cx="702310" cy="364490"/>
                          </a:xfrm>
                          <a:prstGeom prst="rect">
                            <a:avLst/>
                          </a:prstGeom>
                          <a:noFill/>
                          <a:ln>
                            <a:noFill/>
                          </a:ln>
                        </pic:spPr>
                      </pic:pic>
                    </a:graphicData>
                  </a:graphic>
                </wp:inline>
              </w:drawing>
            </w:r>
          </w:p>
        </w:tc>
      </w:tr>
      <w:tr w14:paraId="2403BB39">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3F0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3FB01">
            <w:pPr>
              <w:widowControl/>
              <w:jc w:val="center"/>
              <w:textAlignment w:val="center"/>
              <w:rPr>
                <w:rFonts w:ascii="宋体" w:hAnsi="宋体" w:cs="宋体"/>
                <w:color w:val="FF0000"/>
                <w:sz w:val="22"/>
                <w:szCs w:val="22"/>
              </w:rPr>
            </w:pPr>
            <w:r>
              <w:rPr>
                <w:rFonts w:hint="eastAsia" w:ascii="宋体" w:hAnsi="宋体" w:cs="宋体"/>
                <w:color w:val="FF0000"/>
                <w:kern w:val="0"/>
                <w:sz w:val="22"/>
                <w:szCs w:val="22"/>
                <w:lang w:bidi="ar"/>
              </w:rPr>
              <w:t>方凳（出样）</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78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360*260*450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088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639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950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954F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凳面基材选用国家优质绿色环保饰面多层板，符合GB/T35601-2024、GB/T34722-2025标准，甲醛释放量（ENF）≤0.025mg/m³，厚度18mm。面材采用三聚氰胺饰面纸，表面防潮、耐污、耐磨。封边采用PU注射一次成型封边，四周封边无接头，粘合性强不易脱落（粘合强度≥10MPa），具有良好弹性防止学生磕伤，封边不允许超出凳面。整体牢固耐用，美观大方，抗变型。                                                                                2、脚架：采用≥25*25mm钢管，壁厚≥1.5mm，经人工磨具焊接，打磨，抛光，一系列生产工艺形成。整体静电喷塑工艺，具备防锈、防刮擦的特性。粉末采用选用优质热固性粉末涂料，符合GB 30981-2020 《工业防护涂料中有害物质限量》标准。</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3CF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725805" cy="731520"/>
                  <wp:effectExtent l="0" t="0" r="17145" b="11430"/>
                  <wp:docPr id="2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61"/>
                          <pic:cNvPicPr>
                            <a:picLocks noChangeAspect="1"/>
                          </pic:cNvPicPr>
                        </pic:nvPicPr>
                        <pic:blipFill>
                          <a:blip r:embed="rId24"/>
                          <a:stretch>
                            <a:fillRect/>
                          </a:stretch>
                        </pic:blipFill>
                        <pic:spPr>
                          <a:xfrm>
                            <a:off x="0" y="0"/>
                            <a:ext cx="725805" cy="731520"/>
                          </a:xfrm>
                          <a:prstGeom prst="rect">
                            <a:avLst/>
                          </a:prstGeom>
                          <a:noFill/>
                          <a:ln w="9525">
                            <a:noFill/>
                          </a:ln>
                        </pic:spPr>
                      </pic:pic>
                    </a:graphicData>
                  </a:graphic>
                </wp:inline>
              </w:drawing>
            </w:r>
          </w:p>
        </w:tc>
      </w:tr>
      <w:tr w14:paraId="3B919994">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C75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0A5E">
            <w:pPr>
              <w:widowControl/>
              <w:jc w:val="center"/>
              <w:textAlignment w:val="center"/>
              <w:rPr>
                <w:rFonts w:ascii="宋体" w:hAnsi="宋体" w:cs="宋体"/>
                <w:color w:val="FF0000"/>
                <w:sz w:val="22"/>
                <w:szCs w:val="22"/>
              </w:rPr>
            </w:pPr>
            <w:r>
              <w:rPr>
                <w:rFonts w:hint="eastAsia" w:ascii="宋体" w:hAnsi="宋体" w:cs="宋体"/>
                <w:color w:val="FF0000"/>
                <w:kern w:val="0"/>
                <w:sz w:val="22"/>
                <w:szCs w:val="22"/>
                <w:lang w:bidi="ar"/>
              </w:rPr>
              <w:t>折叠椅（出样）</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EE66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610*645*850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FE99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14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EE81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材质说明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椅背：固定椅背，PA一体注塑成型，竖纹镂空的纹理设计提高背的弹性。增加舒适度,具有透气功能。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座垫：全网镂空曲面设计坐垫，优质网布面料，弹性好，透气性强，耐磨，易打理，最大限度缓解腰背部压力的同时，腿部获得完全支撑，使得人体上半身的压力能够均匀分布到臀部和大腿，避免形成局部压力。</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底座：采配加厚PP工程塑料防尘底壳。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扶手：一体成型固定扶手，PA+15%玻纤材质。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椅架管：优质钢管，静电喷塑工艺，规格尺寸≥20.5*32.5*T1.5mm，通过φ≥8.5cm的铝合金转轴连接靠背、扶手，稳定不变形。</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脚垫：前脚为PA+玻纤固定脚垫，后脚为Φ50mm黑色PU静音轮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功能说明：坐垫可上翻，底座内置限位卡扣，上翻到限位点后坐垫不会掉落。全折叠收纳，并可独立站立，节省空间，PU静音万向轮，便于搬动，能够快速调整布局，满足不同环境。</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1C8E">
            <w:pPr>
              <w:widowControl/>
              <w:jc w:val="center"/>
              <w:textAlignment w:val="center"/>
              <w:rPr>
                <w:rFonts w:ascii="宋体" w:hAnsi="宋体" w:cs="宋体"/>
                <w:color w:val="000000"/>
                <w:sz w:val="22"/>
                <w:szCs w:val="22"/>
              </w:rPr>
            </w:pPr>
            <w:r>
              <w:drawing>
                <wp:inline distT="0" distB="0" distL="114300" distR="114300">
                  <wp:extent cx="698500" cy="632460"/>
                  <wp:effectExtent l="0" t="0" r="6350" b="15240"/>
                  <wp:docPr id="33" name="ID_840F616E92324445BC7F9CE7C9E93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840F616E92324445BC7F9CE7C9E9308B"/>
                          <pic:cNvPicPr>
                            <a:picLocks noChangeAspect="1"/>
                          </pic:cNvPicPr>
                        </pic:nvPicPr>
                        <pic:blipFill>
                          <a:blip r:embed="rId25"/>
                          <a:stretch>
                            <a:fillRect/>
                          </a:stretch>
                        </pic:blipFill>
                        <pic:spPr>
                          <a:xfrm>
                            <a:off x="0" y="0"/>
                            <a:ext cx="698500" cy="632460"/>
                          </a:xfrm>
                          <a:prstGeom prst="rect">
                            <a:avLst/>
                          </a:prstGeom>
                          <a:noFill/>
                          <a:ln>
                            <a:noFill/>
                          </a:ln>
                        </pic:spPr>
                      </pic:pic>
                    </a:graphicData>
                  </a:graphic>
                </wp:inline>
              </w:drawing>
            </w:r>
          </w:p>
        </w:tc>
      </w:tr>
      <w:tr w14:paraId="00134D41">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BC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E26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办公椅1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46FD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常规</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BB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4EF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9D9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采用优质弹力网布面料柔软舒适，坐感舒适；海绵：优质高密度海绵，坐面密度≥25kg/m³，回弹性≥50%，75%压缩永久变形≤5%，回弹性能好、坐感舒适。曲木板材经热压成型，板材绿色环保，板材厚度≥12mm。板材承受压力达≥300KG，经防潮、防腐、防蛀等化学处理。气压棒升降自如，尼龙五星脚架；骨架：ABS工程塑料一体成型。ABS工程塑料一体成型扶手。脚轮采用50MMPU面尼龙轮。</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0E8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08965" cy="798830"/>
                  <wp:effectExtent l="0" t="0" r="635" b="127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26"/>
                          <a:stretch>
                            <a:fillRect/>
                          </a:stretch>
                        </pic:blipFill>
                        <pic:spPr>
                          <a:xfrm>
                            <a:off x="0" y="0"/>
                            <a:ext cx="608965" cy="798830"/>
                          </a:xfrm>
                          <a:prstGeom prst="rect">
                            <a:avLst/>
                          </a:prstGeom>
                          <a:noFill/>
                          <a:ln w="9525">
                            <a:noFill/>
                          </a:ln>
                        </pic:spPr>
                      </pic:pic>
                    </a:graphicData>
                  </a:graphic>
                </wp:inline>
              </w:drawing>
            </w:r>
          </w:p>
        </w:tc>
      </w:tr>
      <w:tr w14:paraId="747D2473">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3A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97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办公椅2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2EA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常规</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BFE9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39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4B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面料，高椅背采用优质高弹性3D透气网，不变形，椅座采用优质面料，布料均采用3M防污处理。3M包括防油污，防水，防磨损及抗尘埃，透气性强，柔软且富于韧性,耐干摩擦色牢度（级）≥4，不含可分解致癌芳香胺染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2、海绵，座垫海棉，采用优质高密度定型海绵，坐面密度≥35kg/m³，回弹性≥50%，75%压缩永久变形≤5%，回弹性能好、坐感舒适造形采用人体工程学凹型设计，分散臂部压力。</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3、一次成型PP靠背，头枕可以升降.角度调节，椅背为背腰分离结构，腰托采用分段式腰托，腰托加内置弹簧，自适应调节腰托，椅背倾仰时，椅背为双推背功能，腰椅背加装饰盖</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4、15层木皮经纵横交错热压成15mm曲木板。</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5、尼龙6+43%玻璃纤维，可承受1136KG下压力（静态）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6、采用气压棒，该气压棒在正常使用下能承受20万次的循环加压而不出现金属疲劳。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7、采用强化尼龙椅轮。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8、PP固定扶手，扶手面采用弧形流线型设计，仿升降扶手外观，扶手面采用细纹磨砂纹路，扶手支架采用一体成形模注塑胶，扶手面颜色可选黑色或灰色，扶手正面下压力达到133KG和66.7KG的横向拖力不会产生断裂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9、底盘采用三档锁定倾仰底盘，倾仰角度135-140度，内置防爆钢板 ，一杆式操作，防撞功能（压背解锁），调节气杆上下升降，带负责调节功能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10、尼龙五星脚架，带午休脚踏</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43D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40715" cy="969010"/>
                  <wp:effectExtent l="0" t="0" r="6985" b="254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27"/>
                          <a:stretch>
                            <a:fillRect/>
                          </a:stretch>
                        </pic:blipFill>
                        <pic:spPr>
                          <a:xfrm>
                            <a:off x="0" y="0"/>
                            <a:ext cx="640715" cy="969010"/>
                          </a:xfrm>
                          <a:prstGeom prst="rect">
                            <a:avLst/>
                          </a:prstGeom>
                          <a:noFill/>
                          <a:ln w="9525">
                            <a:noFill/>
                          </a:ln>
                        </pic:spPr>
                      </pic:pic>
                    </a:graphicData>
                  </a:graphic>
                </wp:inline>
              </w:drawing>
            </w:r>
          </w:p>
        </w:tc>
      </w:tr>
      <w:tr w14:paraId="60CF3CBD">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4E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DDD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茶水柜1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A91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800*400*900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0A1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D2A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4FC3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1、基材：选用国家优质绿色环保饰面多层板，符合GB/T35601-2024、GB/T34722-2025标准，甲醛释放量（ENF）≤0.025mg/m³。整体牢固耐用，美观大方，抗变型。板件≥18mm厚。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4、胶水：选用优质优质环保水基型胶粘剂，符合GB 18583-2008 《室内装饰装修材料》 标准。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5、五金件：优质五金配件。                                                             6、结构性能描述：上部为左右2抽屉，下木开门内置一层板，内置1层板。</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E2C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83895" cy="690880"/>
                  <wp:effectExtent l="0" t="0" r="1905" b="1397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28"/>
                          <a:stretch>
                            <a:fillRect/>
                          </a:stretch>
                        </pic:blipFill>
                        <pic:spPr>
                          <a:xfrm>
                            <a:off x="0" y="0"/>
                            <a:ext cx="683895" cy="690880"/>
                          </a:xfrm>
                          <a:prstGeom prst="rect">
                            <a:avLst/>
                          </a:prstGeom>
                          <a:noFill/>
                          <a:ln w="9525">
                            <a:noFill/>
                          </a:ln>
                        </pic:spPr>
                      </pic:pic>
                    </a:graphicData>
                  </a:graphic>
                </wp:inline>
              </w:drawing>
            </w:r>
          </w:p>
        </w:tc>
      </w:tr>
      <w:tr w14:paraId="6FA887B1">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49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14AB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双人沙发</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FC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标准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19A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D20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D337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1.面料：优质西皮，耐曲折、柔软度好、抗拉强度大、具有透气性。皮质表面涂层厚度≥550um，涂层粘着牢度≥2.5N/10mm，摩擦色牢度（干擦、湿擦、碱性汗液）≥4级，撕裂力≥50N，PH值≥3.2，游离甲醛≤100mg/kg</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2.木质框架：沙发框架采用多层木板成型；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3.坐垫：内部泡绵为多异氰酸酯与多元醇共聚物切割成型；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4.沙发脚：钢制沙发脚≥φ30*200mmH，壁厚≥1.5mm。</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256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98500" cy="467360"/>
                  <wp:effectExtent l="0" t="0" r="6350" b="889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29"/>
                          <a:stretch>
                            <a:fillRect/>
                          </a:stretch>
                        </pic:blipFill>
                        <pic:spPr>
                          <a:xfrm>
                            <a:off x="0" y="0"/>
                            <a:ext cx="698500" cy="467360"/>
                          </a:xfrm>
                          <a:prstGeom prst="rect">
                            <a:avLst/>
                          </a:prstGeom>
                          <a:noFill/>
                          <a:ln w="9525">
                            <a:noFill/>
                          </a:ln>
                        </pic:spPr>
                      </pic:pic>
                    </a:graphicData>
                  </a:graphic>
                </wp:inline>
              </w:drawing>
            </w:r>
          </w:p>
        </w:tc>
      </w:tr>
      <w:tr w14:paraId="4A5F8C70">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1C8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85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三人沙发</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F5EE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标准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1BD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43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D2480">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1.面料：优质西皮，耐曲折、柔软度好、抗拉强度大、具有透气性。皮质表面涂层厚度≥550um，涂层粘着牢度≥2.5N/10mm，摩擦色牢度（干擦、湿擦、碱性汗液）≥4级，撕裂力≥50N，PH值≥3.2，游离甲醛≤100mg/kg</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2.木质框架：沙发框架采用多层木板成型；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3.坐垫：内部泡绵为多异氰酸酯与多元醇共聚物切割成型；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4.沙发脚：钢制沙发脚≥φ30*200mmH，壁厚≥1.5mm。</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42D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92785" cy="463550"/>
                  <wp:effectExtent l="0" t="0" r="12065" b="12700"/>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30"/>
                          <a:stretch>
                            <a:fillRect/>
                          </a:stretch>
                        </pic:blipFill>
                        <pic:spPr>
                          <a:xfrm>
                            <a:off x="0" y="0"/>
                            <a:ext cx="692785" cy="463550"/>
                          </a:xfrm>
                          <a:prstGeom prst="rect">
                            <a:avLst/>
                          </a:prstGeom>
                          <a:noFill/>
                          <a:ln w="9525">
                            <a:noFill/>
                          </a:ln>
                        </pic:spPr>
                      </pic:pic>
                    </a:graphicData>
                  </a:graphic>
                </wp:inline>
              </w:drawing>
            </w:r>
          </w:p>
        </w:tc>
      </w:tr>
      <w:tr w14:paraId="72BD7B75">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6FD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D1E7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方茶几</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24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600*600*450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9232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369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EFA8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桌面基材：选用绿色环保饰面多层板，符合GB/T35601-2024、GB/T34722-2025标准，甲醛释放量（ENF）≤0.025mg/m³。整体牢固耐用，美观大方，抗变型。板件≥25mm厚。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2.PVC 封边条：厚度≥1.5mm，高品质PVC，不易断裂，热溶胶封边工艺，封边严密、平整、无脱胶、表面无胶渍。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3.钢脚：钢制≥20*40方管喷涂茶几架，壁厚≥1.2mm。</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CB43E">
            <w:pPr>
              <w:jc w:val="center"/>
              <w:rPr>
                <w:rFonts w:ascii="宋体" w:hAnsi="宋体" w:cs="宋体"/>
                <w:color w:val="000000"/>
                <w:sz w:val="22"/>
                <w:szCs w:val="22"/>
              </w:rPr>
            </w:pPr>
            <w:r>
              <w:drawing>
                <wp:inline distT="0" distB="0" distL="114300" distR="114300">
                  <wp:extent cx="706120" cy="596265"/>
                  <wp:effectExtent l="0" t="0" r="17780" b="1333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1"/>
                          <a:stretch>
                            <a:fillRect/>
                          </a:stretch>
                        </pic:blipFill>
                        <pic:spPr>
                          <a:xfrm>
                            <a:off x="0" y="0"/>
                            <a:ext cx="706120" cy="596265"/>
                          </a:xfrm>
                          <a:prstGeom prst="rect">
                            <a:avLst/>
                          </a:prstGeom>
                          <a:noFill/>
                          <a:ln>
                            <a:noFill/>
                          </a:ln>
                        </pic:spPr>
                      </pic:pic>
                    </a:graphicData>
                  </a:graphic>
                </wp:inline>
              </w:drawing>
            </w:r>
          </w:p>
        </w:tc>
      </w:tr>
      <w:tr w14:paraId="5A4C85CD">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2979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96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长茶几</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44E2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1200*600*450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E109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B9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1C44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桌面基材：选用绿色环保饰面多层板，符合GB/T35601-2024、GB/T34722-2025标准，甲醛释放量（ENF）≤0.025mg/m³。整体牢固耐用，美观大方，抗变型。板件≥25mm厚。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2.PVC 封边条：厚度≥1.5mm，高品质PVC，不易断裂，热溶胶封边工艺，封边严密、平整、无脱胶、表面无胶渍。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3.钢脚：钢制≥20*40方管喷涂茶几架，壁厚≥1.2mm。</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A848">
            <w:pPr>
              <w:jc w:val="center"/>
              <w:rPr>
                <w:rFonts w:ascii="宋体" w:hAnsi="宋体" w:cs="宋体"/>
                <w:color w:val="000000"/>
                <w:sz w:val="22"/>
                <w:szCs w:val="22"/>
              </w:rPr>
            </w:pPr>
            <w:r>
              <w:drawing>
                <wp:inline distT="0" distB="0" distL="114300" distR="114300">
                  <wp:extent cx="706120" cy="423545"/>
                  <wp:effectExtent l="0" t="0" r="17780" b="1460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2"/>
                          <a:stretch>
                            <a:fillRect/>
                          </a:stretch>
                        </pic:blipFill>
                        <pic:spPr>
                          <a:xfrm>
                            <a:off x="0" y="0"/>
                            <a:ext cx="706120" cy="423545"/>
                          </a:xfrm>
                          <a:prstGeom prst="rect">
                            <a:avLst/>
                          </a:prstGeom>
                          <a:noFill/>
                          <a:ln>
                            <a:noFill/>
                          </a:ln>
                        </pic:spPr>
                      </pic:pic>
                    </a:graphicData>
                  </a:graphic>
                </wp:inline>
              </w:drawing>
            </w:r>
          </w:p>
        </w:tc>
      </w:tr>
      <w:tr w14:paraId="1AC3758E">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62E1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85D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休闲桌椅</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937BB">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桌子：φ1000*750</w:t>
            </w:r>
          </w:p>
          <w:p w14:paraId="2186A20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椅子：标准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6C9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E62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C2DD">
            <w:pPr>
              <w:widowControl/>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配置：一桌四椅</w:t>
            </w:r>
          </w:p>
          <w:p w14:paraId="73E09970">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桌子：                                                                              1.基材：选用白蜡木原木，无卷翘、变形、开裂，经杀菌、烘干、防腐、防蛀等处理，纹理清晰自然，色泽一致，美观大方，无结疤，无瑕疵，结构牢固，无晃动现象。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2.水性漆：采用环保水性底、面漆涂饰，五底三面工艺，透明度高，附着力强，色泽美观，不变色，光滑耐磨，手感好，无鼓泡、木质毛刺、裂缝、皱皮和崩角，硬度高，抗刮性强。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3.结构：全部采用榫卯结构工艺。                                                      椅子：                                                                                1.面料：优质布艺覆面，游离甲醛未检出，无色差，经液态浸色及防潮、防污等工艺处理，光泽持久性透气性强、耐磨性强、无异味、弹性好、肌理清晰，健康环保，经久耐用。                                                                                2.座外框：PP一次成型注塑                                                                    3.油漆：采用环保油性漆，有害物质释放量达到国家相关环保标准；表面平整，无明显颗粒、渣点，颜色均匀，硬度高，耐磨性强，能长久保持漆面效果；封闭底着色油漆工艺，经四底两面，清晰体现实木质感。                                                                                                  4.脚：多层曲木脚</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6226">
            <w:pPr>
              <w:jc w:val="center"/>
              <w:rPr>
                <w:rFonts w:ascii="宋体" w:hAnsi="宋体" w:cs="宋体"/>
                <w:color w:val="000000"/>
                <w:sz w:val="22"/>
                <w:szCs w:val="22"/>
              </w:rPr>
            </w:pPr>
            <w:r>
              <w:drawing>
                <wp:inline distT="0" distB="0" distL="114300" distR="114300">
                  <wp:extent cx="709295" cy="945515"/>
                  <wp:effectExtent l="0" t="0" r="14605" b="6985"/>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33"/>
                          <a:stretch>
                            <a:fillRect/>
                          </a:stretch>
                        </pic:blipFill>
                        <pic:spPr>
                          <a:xfrm>
                            <a:off x="0" y="0"/>
                            <a:ext cx="709295" cy="945515"/>
                          </a:xfrm>
                          <a:prstGeom prst="rect">
                            <a:avLst/>
                          </a:prstGeom>
                          <a:noFill/>
                          <a:ln>
                            <a:noFill/>
                          </a:ln>
                        </pic:spPr>
                      </pic:pic>
                    </a:graphicData>
                  </a:graphic>
                </wp:inline>
              </w:drawing>
            </w:r>
            <w:r>
              <w:drawing>
                <wp:inline distT="0" distB="0" distL="114300" distR="114300">
                  <wp:extent cx="702310" cy="702310"/>
                  <wp:effectExtent l="0" t="0" r="2540" b="254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34"/>
                          <a:stretch>
                            <a:fillRect/>
                          </a:stretch>
                        </pic:blipFill>
                        <pic:spPr>
                          <a:xfrm>
                            <a:off x="0" y="0"/>
                            <a:ext cx="702310" cy="702310"/>
                          </a:xfrm>
                          <a:prstGeom prst="rect">
                            <a:avLst/>
                          </a:prstGeom>
                          <a:noFill/>
                          <a:ln>
                            <a:noFill/>
                          </a:ln>
                        </pic:spPr>
                      </pic:pic>
                    </a:graphicData>
                  </a:graphic>
                </wp:inline>
              </w:drawing>
            </w:r>
          </w:p>
        </w:tc>
      </w:tr>
      <w:tr w14:paraId="2FCCCC73">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885A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A5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休闲桌椅</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2D480">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桌子：φ1000*750</w:t>
            </w:r>
          </w:p>
          <w:p w14:paraId="37BC65C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椅子：标准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4D4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0AA6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BE6E">
            <w:pPr>
              <w:widowControl/>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配置：一桌四椅</w:t>
            </w:r>
          </w:p>
          <w:p w14:paraId="777E8E4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桌子：                                                                          1.基材：选用白蜡木原木，无卷翘、变形、开裂，经杀菌、烘干、防腐、防蛀等处理，纹理清晰自然，色泽一致，美观大方，无结疤，无瑕疵，结构牢固，无晃动现象。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2.水性漆：采用环保水性底、面漆涂饰，五底三面工艺，透明度高，附着力强，色泽美观，不变色，光滑耐磨，手感好，无鼓泡、木质毛刺、裂缝、皱皮和崩角，硬度高，抗刮性强。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3.结构：全部采用榫卯结构工艺。                                                     椅子：                                                                                 1.面料：优质布艺覆面，游离甲醛未检出，无色差，经液态浸色及防潮、防污等工艺处理，光泽持久性透气性强、耐磨性强、无异味、弹性好、肌理清晰，健康环保，经久耐用。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海绵：用高密度定型棉，密度为≥40kg/m³，回弹性能≥60%，压缩永久变形≤3%；理化性能符合国家现行标准。软硬适中，反复坐压不变形、不塌陷，表面涂有防止老化变形的保护膜；压膜量达到国家现行检测标准。质国标五金配件，耐氧化、耐腐蚀，经久耐用。                                                                     3.脚：白蜡实木，含水率8%-12%，经高温烘烤，防虫、防霉变；表面采用油性清漆处理，抗磨花能力强、防水性能好。</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7995A">
            <w:pPr>
              <w:jc w:val="center"/>
              <w:rPr>
                <w:rFonts w:ascii="宋体" w:hAnsi="宋体" w:cs="宋体"/>
                <w:color w:val="000000"/>
                <w:sz w:val="22"/>
                <w:szCs w:val="22"/>
              </w:rPr>
            </w:pPr>
            <w:r>
              <w:drawing>
                <wp:inline distT="0" distB="0" distL="114300" distR="114300">
                  <wp:extent cx="702310" cy="702310"/>
                  <wp:effectExtent l="0" t="0" r="2540" b="254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34"/>
                          <a:stretch>
                            <a:fillRect/>
                          </a:stretch>
                        </pic:blipFill>
                        <pic:spPr>
                          <a:xfrm>
                            <a:off x="0" y="0"/>
                            <a:ext cx="702310" cy="702310"/>
                          </a:xfrm>
                          <a:prstGeom prst="rect">
                            <a:avLst/>
                          </a:prstGeom>
                          <a:noFill/>
                          <a:ln>
                            <a:noFill/>
                          </a:ln>
                        </pic:spPr>
                      </pic:pic>
                    </a:graphicData>
                  </a:graphic>
                </wp:inline>
              </w:drawing>
            </w:r>
            <w:r>
              <w:drawing>
                <wp:inline distT="0" distB="0" distL="114300" distR="114300">
                  <wp:extent cx="702310" cy="702310"/>
                  <wp:effectExtent l="0" t="0" r="0" b="254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35"/>
                          <a:stretch>
                            <a:fillRect/>
                          </a:stretch>
                        </pic:blipFill>
                        <pic:spPr>
                          <a:xfrm>
                            <a:off x="0" y="0"/>
                            <a:ext cx="702310" cy="702310"/>
                          </a:xfrm>
                          <a:prstGeom prst="rect">
                            <a:avLst/>
                          </a:prstGeom>
                          <a:noFill/>
                          <a:ln>
                            <a:noFill/>
                          </a:ln>
                        </pic:spPr>
                      </pic:pic>
                    </a:graphicData>
                  </a:graphic>
                </wp:inline>
              </w:drawing>
            </w:r>
          </w:p>
        </w:tc>
      </w:tr>
      <w:tr w14:paraId="499F6D14">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9952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1D0B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小圆桌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13F0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φ900*750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3963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F2CC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415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桌面基材：选用国家优质绿色环保饰面多层板，符合GB/T35601-2024、GB/T34722-2025标准，甲醛释放量（ENF）≤0.025mg/m³。整体牢固耐用，美观大方，抗变型。板件≥25mm厚。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2.PVC 封边条：厚度≥1.5mm，高品质PVC，不易断裂，热溶胶封边工艺，封边严密、平整、无脱胶、表面无胶渍。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3.桌架为: 底座≥ 8mm 实心铁板,立柱直径≥  60×1.5mm圆管，上托盘 ≥ 3mm 铁板冷压磨具成型，烤漆磨砂白，组装式结构，方便拆装，组装采用内六角螺栓固定;承重≥150kg;</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3.五金配件:采用优质五金螺丝，所有五金件作防锈、防腐处理。</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1BC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97230" cy="702310"/>
                  <wp:effectExtent l="0" t="0" r="0" b="254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36"/>
                          <a:stretch>
                            <a:fillRect/>
                          </a:stretch>
                        </pic:blipFill>
                        <pic:spPr>
                          <a:xfrm>
                            <a:off x="0" y="0"/>
                            <a:ext cx="697230" cy="702310"/>
                          </a:xfrm>
                          <a:prstGeom prst="rect">
                            <a:avLst/>
                          </a:prstGeom>
                          <a:noFill/>
                          <a:ln w="9525">
                            <a:noFill/>
                          </a:ln>
                        </pic:spPr>
                      </pic:pic>
                    </a:graphicData>
                  </a:graphic>
                </wp:inline>
              </w:drawing>
            </w:r>
          </w:p>
        </w:tc>
      </w:tr>
      <w:tr w14:paraId="00C03922">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F86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3A35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钢制置物架</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D78A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2250*600*2000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68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1B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A65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1.采用优质冷轧钢板，成型后表面经过除油、去锈、磷化等工序处理，表面采用亚光静电喷涂，涂层牢固，涂层厚度≥0.1mm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2.顶底四层，层板厚度≥0.6mm</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DC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741680" cy="741680"/>
                  <wp:effectExtent l="0" t="0" r="1270" b="1270"/>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37"/>
                          <a:stretch>
                            <a:fillRect/>
                          </a:stretch>
                        </pic:blipFill>
                        <pic:spPr>
                          <a:xfrm>
                            <a:off x="0" y="0"/>
                            <a:ext cx="741680" cy="741680"/>
                          </a:xfrm>
                          <a:prstGeom prst="rect">
                            <a:avLst/>
                          </a:prstGeom>
                          <a:noFill/>
                          <a:ln w="9525">
                            <a:noFill/>
                          </a:ln>
                        </pic:spPr>
                      </pic:pic>
                    </a:graphicData>
                  </a:graphic>
                </wp:inline>
              </w:drawing>
            </w:r>
          </w:p>
        </w:tc>
      </w:tr>
      <w:tr w14:paraId="20053CC3">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04E1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72A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演讲台</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3AF8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800*600*1200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36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A3D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3FD3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整体全实木打造，木质为橡胶木材质，绿色环保，木质均匀，使用寿命长；2、面刷清漆，主要成分为树脂和溶剂，具有光泽好、成膜快、耐水性佳等特性；3、面板木纹纹理自然，颜色线条拼合细密，板厚度为18mm，4、采用优质五金配件紧密拼接，封边细腻，转角过渡自然，间隙细小且均均匀。</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9E78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713740" cy="713740"/>
                  <wp:effectExtent l="0" t="0" r="0" b="1079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38"/>
                          <a:stretch>
                            <a:fillRect/>
                          </a:stretch>
                        </pic:blipFill>
                        <pic:spPr>
                          <a:xfrm>
                            <a:off x="0" y="0"/>
                            <a:ext cx="713740" cy="713740"/>
                          </a:xfrm>
                          <a:prstGeom prst="rect">
                            <a:avLst/>
                          </a:prstGeom>
                          <a:noFill/>
                          <a:ln w="9525">
                            <a:noFill/>
                          </a:ln>
                        </pic:spPr>
                      </pic:pic>
                    </a:graphicData>
                  </a:graphic>
                </wp:inline>
              </w:drawing>
            </w:r>
          </w:p>
        </w:tc>
      </w:tr>
      <w:tr w14:paraId="43D348F8">
        <w:tblPrEx>
          <w:tblCellMar>
            <w:top w:w="0" w:type="dxa"/>
            <w:left w:w="108" w:type="dxa"/>
            <w:bottom w:w="0" w:type="dxa"/>
            <w:right w:w="108" w:type="dxa"/>
          </w:tblCellMar>
        </w:tblPrEx>
        <w:trPr>
          <w:trHeight w:val="439"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3443275">
            <w:pPr>
              <w:rPr>
                <w:rFonts w:ascii="宋体" w:hAnsi="宋体" w:cs="宋体"/>
                <w:color w:val="000000"/>
                <w:sz w:val="22"/>
                <w:szCs w:val="22"/>
              </w:rPr>
            </w:pPr>
            <w:r>
              <w:rPr>
                <w:rFonts w:hint="eastAsia" w:ascii="宋体" w:hAnsi="宋体" w:cs="宋体"/>
                <w:color w:val="000000"/>
                <w:kern w:val="0"/>
                <w:sz w:val="22"/>
                <w:szCs w:val="22"/>
                <w:lang w:bidi="ar"/>
              </w:rPr>
              <w:t>六楼配置</w:t>
            </w:r>
          </w:p>
        </w:tc>
      </w:tr>
      <w:tr w14:paraId="63843218">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BDB0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4F0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研究生工位</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ED7B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1080*540*1600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EA2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B6D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C230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屏风:为全金属结构屏风组合，屏风厚度≤40mm。屏风内部采用冷轧钢管作为结构骨架厚度≥1.2mm，无任何非钢制填充物，拥有便利的横竖向走线功能，屏风钢板采用金属卡扣式连接，可拆卸，便于检修强弱电。盖板为厚≥1.5mm铝合金，表面阳极氧化/静电喷塑处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1）正面主屏屏风钢板：桌面上以隔板为界分上下2段，在钢板上合适位置冲孔安装偏孔插座（配置2强电）；桌面下分2段，最下段为走线检修口，投标人自行提供优化设计方案。</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2）侧屏屏风钢板：桌面上以隔板为界分上下2段；桌面下为整体。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3）屏风底部配可调节脚。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4）屏风钢板面板：采用≥0.7mm一级冷轧钢板，表面静电喷粉涂装，粉末采用优质热固性粉末涂料，有害物质含量符合GB 30981-2020 标准。漆膜硬度达到2H；冲击强度无裂纹，附着力≥2级，耐腐蚀：无气泡产生、无锈迹、剥落、起皱、变色和失光现象。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板及隔板：桌面尺寸：1000*500*25mm（桌面上口距地高760-770mm），隔板尺寸：1000*250*25mm（隔板上口距屏风顶部250mm），台面底部配板式木抽屉，斗面高度为≥120mm，无需拉手和锁具。基材选用国家优质绿色环保饰面多层板，符合GB/T35601-2024、GB/T 34722-2017标准，甲醛释放量（ENF）≤0.025mg/m³。饰面：正反三聚氰胺贴面，表面防潮、耐污、耐磨。封边：采用≥1.5mm厚PVC封边条高速封边，符合QB/T4463-2013标准。胶水：选用优质优质环保水基型胶粘剂，符合GB 18583-2008标准。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每张工位配置2组86型面板强电模块，面板需采用3C认证，面板位置厂家自行设计，整体需位置合理，使用方便、确保安全性。中标单位需负责每组工位的地面以上强电接线、家具内穿线及面板安装，采用优质国产国标线。采购人负责提供每组工位地面下布线及地面上预留出线点。</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DB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859155" cy="868045"/>
                  <wp:effectExtent l="0" t="0" r="17145" b="825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39"/>
                          <a:stretch>
                            <a:fillRect/>
                          </a:stretch>
                        </pic:blipFill>
                        <pic:spPr>
                          <a:xfrm>
                            <a:off x="0" y="0"/>
                            <a:ext cx="859155" cy="868045"/>
                          </a:xfrm>
                          <a:prstGeom prst="rect">
                            <a:avLst/>
                          </a:prstGeom>
                          <a:noFill/>
                          <a:ln w="9525">
                            <a:noFill/>
                          </a:ln>
                        </pic:spPr>
                      </pic:pic>
                    </a:graphicData>
                  </a:graphic>
                </wp:inline>
              </w:drawing>
            </w:r>
          </w:p>
        </w:tc>
      </w:tr>
      <w:tr w14:paraId="7DC427F2">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817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D1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研究生工位椅</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394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582*628*988-1036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1A6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07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6122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1.结构：椅背.腰枕和座框都为内外双框结构，保证网面弹力不会因使用时间长短影响坐感的舒适度；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2.材质：椅架为钢管.背.腰和坐框为环保高光尼龙料，面料采用高弹力网布，透气性强，柔软且富于韧性,耐干摩擦色牢度（级）≥4，不含可分解致癌芳香胺染料。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3.椅背/腰枕：椅背可以上下5档高低升降调节(调节高度为≥5CM)，自适应双弹簧结构可旋转（旋转≥30度）腰枕；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4.座垫：环保无石粉高弹力座前棉.座垫四周采用特制钢丝工艺加固定，久坐不塌，始终保持坐面的舒适度；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5.弓形架：椅架为钢管，管径为≥25MM,管壁厚度为≥2.5MM,单管加工，避免了转弯处套管产生的异响.电镕圾面工艺处理。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6.环保PU扶手面，PU厚度为≥4CM，PU长度为≥33CM，扶手上口距地高度≤620mm。（此椅需能推到研究生工位桌下）</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751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68020" cy="851535"/>
                  <wp:effectExtent l="0" t="0" r="17780" b="571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40"/>
                          <a:stretch>
                            <a:fillRect/>
                          </a:stretch>
                        </pic:blipFill>
                        <pic:spPr>
                          <a:xfrm>
                            <a:off x="0" y="0"/>
                            <a:ext cx="668020" cy="851535"/>
                          </a:xfrm>
                          <a:prstGeom prst="rect">
                            <a:avLst/>
                          </a:prstGeom>
                          <a:noFill/>
                          <a:ln w="9525">
                            <a:noFill/>
                          </a:ln>
                        </pic:spPr>
                      </pic:pic>
                    </a:graphicData>
                  </a:graphic>
                </wp:inline>
              </w:drawing>
            </w:r>
          </w:p>
        </w:tc>
      </w:tr>
      <w:tr w14:paraId="64C97B39">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A31B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7C8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六层书架</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B9C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900*600*2200</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5BD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节</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77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B2C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1、主体框架用： 壁厚不低于1.5mm 厚优质冷轧钢板，经数控冲孔、折弯、激光焊接成型，结构刚性强。表面采用 环氧树脂静电喷塑工艺，预处理流程包含除油→酸洗→磷化→水洗→烘干，粉末采用选用“阿克苏”“立邦”或同档次热固性粉末涂料，符合GB 30981-2020 《工业防护涂料中有害物质限量》标准。框架立柱尺寸为 50mm×50mm 方管（内置加强筋），横向横梁间距 300mm-400mm，确保层板承重时框架无明显变形。                                                                                                      2、书架层板：钢制层板，表面喷塑处理，边缘经内卷边工艺（卷边高度≥15mm），防止取书时划伤手部，同时增强层板承重刚性。层板底部配备加强筋（1.0mm厚冷轧钢，间距250mm-300mm），单块层板均匀承重可达 80kg-120kg（对应图书堆叠高度≤350mm，约 80-100 册 32 开图书），层板高度可通过卡扣调节（每档 20mm-30mm），适配不同高度图书。部分高端款式层板表面做 防滑纹理处理，防止图书倾倒时滑落。                                                                                            3、侧板及四周围板：选用绿色环保饰面多层板，符合GB/T35601-2024、GB/T34722-2025标准，甲醛释放量（ENF）≤0.025mg/mm，0.5mm胡桃木皮贴面，采用优质水性油漆处理，油漆的有害物质含量符合GB18581-2020《木器涂料中有害物质限量》标准。</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1E913">
            <w:pPr>
              <w:widowControl/>
              <w:jc w:val="center"/>
              <w:textAlignment w:val="center"/>
              <w:rPr>
                <w:rFonts w:ascii="宋体" w:hAnsi="宋体" w:cs="宋体"/>
                <w:color w:val="000000"/>
                <w:sz w:val="22"/>
                <w:szCs w:val="22"/>
              </w:rPr>
            </w:pPr>
            <w:r>
              <w:drawing>
                <wp:inline distT="0" distB="0" distL="114300" distR="114300">
                  <wp:extent cx="703580" cy="707390"/>
                  <wp:effectExtent l="0" t="0" r="1270" b="16510"/>
                  <wp:docPr id="34" name="ID_B6C7B082C44C473C99E18A449D62C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_B6C7B082C44C473C99E18A449D62CC03"/>
                          <pic:cNvPicPr>
                            <a:picLocks noChangeAspect="1"/>
                          </pic:cNvPicPr>
                        </pic:nvPicPr>
                        <pic:blipFill>
                          <a:blip r:embed="rId41"/>
                          <a:stretch>
                            <a:fillRect/>
                          </a:stretch>
                        </pic:blipFill>
                        <pic:spPr>
                          <a:xfrm>
                            <a:off x="0" y="0"/>
                            <a:ext cx="703580" cy="707390"/>
                          </a:xfrm>
                          <a:prstGeom prst="rect">
                            <a:avLst/>
                          </a:prstGeom>
                          <a:noFill/>
                          <a:ln w="9525">
                            <a:noFill/>
                          </a:ln>
                        </pic:spPr>
                      </pic:pic>
                    </a:graphicData>
                  </a:graphic>
                </wp:inline>
              </w:drawing>
            </w:r>
          </w:p>
        </w:tc>
      </w:tr>
      <w:tr w14:paraId="3133B117">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32D7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E8C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70F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1000*550*750</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E93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70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144F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1、基材：选用绿色环保饰面多层板，符合GB/T35601-2024、GB/T34722-2025标准，甲醛释放量（ENF）≤0.025mg/m³。整体牢固耐用，美观大方，抗变型。桌面及脚板≥25mm厚，其余板件≥18mm厚。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2、饰面：正反三聚氰胺贴面，表面防潮、耐污、耐磨，表面不可留有压痕、划伤、斑点和凹凸不平，同批产品不得出现明显色差。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 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4、胶水：选用优质优质环保水基型胶粘剂，符合GB 18583-2008 《室内装饰装修材料》 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5、五金件：优质五金配件。</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C07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735965" cy="546100"/>
                  <wp:effectExtent l="0" t="0" r="6985" b="6350"/>
                  <wp:docPr id="1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74"/>
                          <pic:cNvPicPr>
                            <a:picLocks noChangeAspect="1"/>
                          </pic:cNvPicPr>
                        </pic:nvPicPr>
                        <pic:blipFill>
                          <a:blip r:embed="rId42"/>
                          <a:stretch>
                            <a:fillRect/>
                          </a:stretch>
                        </pic:blipFill>
                        <pic:spPr>
                          <a:xfrm>
                            <a:off x="0" y="0"/>
                            <a:ext cx="735965" cy="546100"/>
                          </a:xfrm>
                          <a:prstGeom prst="rect">
                            <a:avLst/>
                          </a:prstGeom>
                          <a:noFill/>
                          <a:ln w="9525">
                            <a:noFill/>
                          </a:ln>
                        </pic:spPr>
                      </pic:pic>
                    </a:graphicData>
                  </a:graphic>
                </wp:inline>
              </w:drawing>
            </w:r>
          </w:p>
        </w:tc>
      </w:tr>
      <w:tr w14:paraId="25A546F3">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7E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55BE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仪器柜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9F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1000*500*2000</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9E2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B0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028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1、柜体：采用1.0mm 厚优质冷轧钢板，经数控冲压、折弯、激光焊接成型，结构稳固。表面做 环氧树脂静电喷塑处理，预处理流程包含除油→酸洗→磷化→水洗→烘干，可有效抵御实验室潮湿环境，防止柜体锈蚀。柜门为同材质钢板，部分型号配备 观察窗，方便查看内部仪器状态度。                                                                           2、层板：1.0mm厚，表面喷塑处理，四周经折弯加强（边缘高度 15mm，防止仪器滑落），可通过卡扣调节层高（每档 20mm），单块层板均匀承重 50kg-100kg，能存放大中型仪器。                                                                            3、304不锈钢合页（可开合≥5 万次，无松动），304不锈钢拉手，柜体下面配备承重可调节脚轮。                                                                                  4、柜内根据需要，可具备配备电源插座 （防溅水 IP54 等级，带过载保护，适配 220V/10A 仪器）、LED 照明灯带（功率 5W，色温 4000K 中性光，照度≥200lux，方便取放仪器）；化学仪器柜配备 防泄漏托盘（PP 材质，容积≥5L，可收集泄漏试剂，防止污染柜体）。</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1D3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66750" cy="860425"/>
                  <wp:effectExtent l="0" t="0" r="0" b="1587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43"/>
                          <a:stretch>
                            <a:fillRect/>
                          </a:stretch>
                        </pic:blipFill>
                        <pic:spPr>
                          <a:xfrm>
                            <a:off x="0" y="0"/>
                            <a:ext cx="666750" cy="860425"/>
                          </a:xfrm>
                          <a:prstGeom prst="rect">
                            <a:avLst/>
                          </a:prstGeom>
                          <a:noFill/>
                          <a:ln w="9525">
                            <a:noFill/>
                          </a:ln>
                        </pic:spPr>
                      </pic:pic>
                    </a:graphicData>
                  </a:graphic>
                </wp:inline>
              </w:drawing>
            </w:r>
          </w:p>
        </w:tc>
      </w:tr>
      <w:tr w14:paraId="3CA8A871">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F7D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EEC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钢制文件柜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CB1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900*400*1800</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F4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592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FA3C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1.材质： 采用一级冷轧板，</w:t>
            </w:r>
            <w:r>
              <w:rPr>
                <w:rFonts w:hint="eastAsia" w:ascii="宋体" w:hAnsi="宋体" w:cs="宋体"/>
                <w:color w:val="000000"/>
                <w:kern w:val="0"/>
                <w:sz w:val="22"/>
                <w:szCs w:val="22"/>
                <w:lang w:val="en-US" w:eastAsia="zh-CN" w:bidi="ar"/>
              </w:rPr>
              <w:t>裸</w:t>
            </w:r>
            <w:r>
              <w:rPr>
                <w:rFonts w:hint="eastAsia" w:ascii="宋体" w:hAnsi="宋体" w:cs="宋体"/>
                <w:color w:val="000000"/>
                <w:kern w:val="0"/>
                <w:sz w:val="22"/>
                <w:szCs w:val="22"/>
                <w:lang w:bidi="ar"/>
              </w:rPr>
              <w:t>板厚≥0.</w:t>
            </w:r>
            <w:r>
              <w:rPr>
                <w:rFonts w:hint="eastAsia" w:ascii="宋体" w:hAnsi="宋体" w:cs="宋体"/>
                <w:color w:val="000000"/>
                <w:kern w:val="0"/>
                <w:sz w:val="22"/>
                <w:szCs w:val="22"/>
                <w:lang w:val="en-US" w:eastAsia="zh-CN" w:bidi="ar"/>
              </w:rPr>
              <w:t>7</w:t>
            </w:r>
            <w:r>
              <w:rPr>
                <w:rFonts w:hint="eastAsia" w:ascii="宋体" w:hAnsi="宋体" w:cs="宋体"/>
                <w:color w:val="000000"/>
                <w:kern w:val="0"/>
                <w:sz w:val="22"/>
                <w:szCs w:val="22"/>
                <w:lang w:bidi="ar"/>
              </w:rPr>
              <w:t>mm,表面静电喷涂处理,采用环氧树脂及聚酯， 混合型热固性粉末涂料，涂层厚度达≥60um。绝缘性高，附着力≥2级，硬度≥2H。</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2.表面静电喷粉涂装，静电粉末喷涂处理，表面无颗粒、无挂流。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3.五金：1）锁具：锁芯拨动件扭矩及锁头固定连接静拉力合格。2）铰链：符合耐久性开合无磨损。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4.结构描述：上为钢框内嵌有机玻璃对开门，内设1块搁板；下为全钢对开门，内设1块搁板，层板下设加强筋。</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005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716280" cy="1040765"/>
                  <wp:effectExtent l="0" t="0" r="7620" b="698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44"/>
                          <a:stretch>
                            <a:fillRect/>
                          </a:stretch>
                        </pic:blipFill>
                        <pic:spPr>
                          <a:xfrm>
                            <a:off x="0" y="0"/>
                            <a:ext cx="716280" cy="1040765"/>
                          </a:xfrm>
                          <a:prstGeom prst="rect">
                            <a:avLst/>
                          </a:prstGeom>
                          <a:noFill/>
                          <a:ln w="9525">
                            <a:noFill/>
                          </a:ln>
                        </pic:spPr>
                      </pic:pic>
                    </a:graphicData>
                  </a:graphic>
                </wp:inline>
              </w:drawing>
            </w:r>
          </w:p>
        </w:tc>
      </w:tr>
      <w:tr w14:paraId="1C6FAEC5">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1F0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1C1B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研讨桌</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12F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1450*</w:t>
            </w:r>
            <w:r>
              <w:rPr>
                <w:rFonts w:hint="eastAsia" w:ascii="宋体" w:hAnsi="宋体" w:cs="宋体"/>
                <w:color w:val="000000"/>
                <w:kern w:val="0"/>
                <w:sz w:val="22"/>
                <w:szCs w:val="22"/>
                <w:lang w:val="en-US" w:eastAsia="zh-CN" w:bidi="ar"/>
              </w:rPr>
              <w:t>6</w:t>
            </w:r>
            <w:r>
              <w:rPr>
                <w:rFonts w:hint="eastAsia" w:ascii="宋体" w:hAnsi="宋体" w:cs="宋体"/>
                <w:color w:val="000000"/>
                <w:kern w:val="0"/>
                <w:sz w:val="22"/>
                <w:szCs w:val="22"/>
                <w:lang w:bidi="ar"/>
              </w:rPr>
              <w:t>00*760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838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97B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319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桌面：基材选用国家优质绿色环保饰面多层板，符合GB/T35601-2024、GB/T34722-2025标准，甲醛释放量（ENF）≤0.025mg/m³，厚度≥25mm。面材采用三聚氰胺饰面纸，表面防潮、耐污、耐磨。封边采用PU注射一次成型封边，四周封边无接头，粘合性强不易脱落（粘合强度≥10MPa），具有良好弹性防止学生磕伤，封边不允许超出台面。</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2、前挡板：采用环保型饰面多层板制作（甲醛释放量ENF≤0.025mg/m³)，板厚度≥18mm,采用≥1.5mm厚PVC封边条高速封边，胶水选用优质优质环保水基型胶粘剂，符合GB 18583-2008 《室内装饰装修材料》 标准。整体牢固耐用，美观大方，抗变型。                                                                                                                                                                              3、前挡板装饰盖：采用优质ABS多元素复合材料经模具压铸成型。型成弧型，美观大方，具有曲线美，规格长≥300mm，宽≥60mm，厚≥2mm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4、桌面支撑梁：采用优质方管(40×20×T2.0mm)，表面采用防锈静电喷涂处理，涂层厚度达≥80μm。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书网：钢网采用优质钢板(厚度≥1.0mm)经模具折弯成形，两侧采用优质钢板(厚度≥2.0mm)经模具冲压成形后，一起再焊接成型,书网前端带卷边，里套有加强管，直径≥13mm，管厚≥1.5mm。表面采用防锈静电喷涂处理，符合GB 30981-2020 《工业防护涂料中有害物质限量》标准，实用牢固，承重≥25kg。</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6、脚管：采用优质冷轧钢管长≥83mm，宽≥35mm，厚度为T≥1.5mm表面采用防锈静电喷涂处理。脚管与地面成≥80度角。脚管右侧内套有≥250N汽杆，汽杆长度为≥375mm，脚管上端盖上装饰盖，整体美观大方。</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7、脚掌：采用优质高精度铝材经模具压注而成，长为≥480mm，宽为≥65mm，壁厚平均为≥3mm ，牢固耐用，美观大方，抗变型。脚掌内筋条形状为菱形条，壁厚为≥3mm， 牢固耐用，美观大方，抗变型。脚掌后安装 此带轮带锁脚垫，脚掌前安装 此带轮不带锁脚垫，前、后均配有加固脚轮避紧套。                                                          8、折叠装饰盖：采用优质ABS多元素复合材料经模具压铸成型，配件外观形状、开槽位置均与折叠扣吻合，覆盖折叠功能配置，整体美观、高档次，规格：长≥330mm*宽≥80mm*高≥130mm。</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BE1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83260" cy="952500"/>
                  <wp:effectExtent l="0" t="0" r="2540" b="0"/>
                  <wp:docPr id="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IMG_277"/>
                          <pic:cNvPicPr>
                            <a:picLocks noChangeAspect="1"/>
                          </pic:cNvPicPr>
                        </pic:nvPicPr>
                        <pic:blipFill>
                          <a:blip r:embed="rId45"/>
                          <a:stretch>
                            <a:fillRect/>
                          </a:stretch>
                        </pic:blipFill>
                        <pic:spPr>
                          <a:xfrm>
                            <a:off x="0" y="0"/>
                            <a:ext cx="683260" cy="952500"/>
                          </a:xfrm>
                          <a:prstGeom prst="rect">
                            <a:avLst/>
                          </a:prstGeom>
                          <a:noFill/>
                          <a:ln w="9525">
                            <a:noFill/>
                          </a:ln>
                        </pic:spPr>
                      </pic:pic>
                    </a:graphicData>
                  </a:graphic>
                </wp:inline>
              </w:drawing>
            </w:r>
          </w:p>
        </w:tc>
      </w:tr>
      <w:tr w14:paraId="144C7350">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2D2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19A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研讨椅</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6C8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610*645*850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4F4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CA8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68</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753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材质说明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椅背：固定椅背，PA一体注塑成型，竖纹镂空的纹理设计提高背的弹性。增加舒适度,具有透气功能。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座垫：全网镂空曲面设计坐垫，优质网布面料，弹性好，透气性强，耐磨，易打理，最大限度缓解腰背部压力的同时，腿部获得完全支撑，使得人体上半身的压力能够均匀分布到臀部和大腿，避免形成局部压力。</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底座：采配加厚PP工程塑料防尘底壳。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扶手：一体成型固定扶手，PA+15%玻纤材质。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椅架管：优质钢管，静电喷塑工艺，规格尺寸≥20.5*32.5*T1.5mm，通过φ≥8.5cm的铝合金转轴连接靠背、扶手，稳定不变形。</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脚垫：前脚为PA+玻纤固定脚垫，后脚为Φ50mm黑色PU静音轮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功能说明：坐垫可上翻，底座内置限位卡扣，上翻到限位点后坐垫不会掉落。全折叠收纳，并可独立站立，节省空间，PU静音万向轮，便于搬动，能够快速调整布局，满足不同环境。</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851B">
            <w:pPr>
              <w:widowControl/>
              <w:jc w:val="center"/>
              <w:textAlignment w:val="center"/>
              <w:rPr>
                <w:rFonts w:ascii="宋体" w:hAnsi="宋体" w:cs="宋体"/>
                <w:color w:val="000000"/>
                <w:sz w:val="22"/>
                <w:szCs w:val="22"/>
              </w:rPr>
            </w:pPr>
            <w:r>
              <w:drawing>
                <wp:inline distT="0" distB="0" distL="114300" distR="114300">
                  <wp:extent cx="687070" cy="708660"/>
                  <wp:effectExtent l="0" t="0" r="17780" b="15240"/>
                  <wp:docPr id="35" name="ID_B3534DDC403A4D52B3CB8B92FEE61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B3534DDC403A4D52B3CB8B92FEE618ED"/>
                          <pic:cNvPicPr>
                            <a:picLocks noChangeAspect="1"/>
                          </pic:cNvPicPr>
                        </pic:nvPicPr>
                        <pic:blipFill>
                          <a:blip r:embed="rId46"/>
                          <a:stretch>
                            <a:fillRect/>
                          </a:stretch>
                        </pic:blipFill>
                        <pic:spPr>
                          <a:xfrm>
                            <a:off x="0" y="0"/>
                            <a:ext cx="687070" cy="708660"/>
                          </a:xfrm>
                          <a:prstGeom prst="rect">
                            <a:avLst/>
                          </a:prstGeom>
                          <a:noFill/>
                          <a:ln>
                            <a:noFill/>
                          </a:ln>
                        </pic:spPr>
                      </pic:pic>
                    </a:graphicData>
                  </a:graphic>
                </wp:inline>
              </w:drawing>
            </w:r>
          </w:p>
        </w:tc>
      </w:tr>
      <w:tr w14:paraId="095AC4A0">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6DF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B47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办公椅2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3F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常规</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B35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把</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F5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D577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面料，高椅背采用优质高弹性3D透气网，不变形，椅座采用优质面料，布料均采用3M防污处理。3M包括防油污，防水，防磨损及抗尘埃，透气性强，柔软且富于韧性,耐干摩擦色牢度（级）≥4，不含可分解致癌芳香胺染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2、海绵，座垫海棉，采用优质高密度定型海绵，坐面密度≥35kg/m³，回弹性≥50%，75%压缩永久变形≤5%，回弹性能好、坐感舒适造形采用人体工程学凹型设计，分散臂部压力。</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3、一次成型PP靠背，头枕可以升降.角度调节，椅背为背腰分离结构，腰托采用分段式腰托，腰托加内置弹簧，自适应调节腰托，椅背倾仰时，椅背为双推背功能，腰椅背加装饰盖</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4、15层木皮经纵横交错热压成15mm曲木板。</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5、尼龙6+43%玻璃纤维，可承受1136KG下压力（静态）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6、采用气压棒，该气压棒在正常使用下能承受20万次的循环加压而不出现金属疲劳。</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7、采用强化尼龙椅轮。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8、PP固定扶手，扶手面采用弧形流线型设计，仿升降扶手外观，扶手面采用细纹磨砂纹路，扶手支架采用一体成形模注塑胶，扶手面颜色可选黑色或灰色，扶手正面下压力达到133KG和66.7KG的横向拖力不会产生断裂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9、底盘采用三档锁定倾仰底盘，倾仰角度135-140度，内置防爆钢板 ，一杆式操作，防撞功能（压背解锁），调节气杆上下升降，带负责调节功能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10、尼龙五星脚架，带午休脚踏</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34B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64845" cy="1005840"/>
                  <wp:effectExtent l="0" t="0" r="1905" b="3810"/>
                  <wp:docPr id="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IMG_279"/>
                          <pic:cNvPicPr>
                            <a:picLocks noChangeAspect="1"/>
                          </pic:cNvPicPr>
                        </pic:nvPicPr>
                        <pic:blipFill>
                          <a:blip r:embed="rId47"/>
                          <a:stretch>
                            <a:fillRect/>
                          </a:stretch>
                        </pic:blipFill>
                        <pic:spPr>
                          <a:xfrm>
                            <a:off x="0" y="0"/>
                            <a:ext cx="664845" cy="1005840"/>
                          </a:xfrm>
                          <a:prstGeom prst="rect">
                            <a:avLst/>
                          </a:prstGeom>
                          <a:noFill/>
                          <a:ln w="9525">
                            <a:noFill/>
                          </a:ln>
                        </pic:spPr>
                      </pic:pic>
                    </a:graphicData>
                  </a:graphic>
                </wp:inline>
              </w:drawing>
            </w:r>
          </w:p>
        </w:tc>
      </w:tr>
      <w:tr w14:paraId="70538F9A">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404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346F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双人沙发</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5893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标准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0E3D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FA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70B5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1.面料：优质西皮，耐曲折、柔软度好、抗拉强度大、具有透气性。皮质表面涂层厚度≥550um，涂层粘着牢度≥2.5N/10mm，摩擦色牢度（干擦、湿擦、碱性汗液）≥4级，撕裂力≥50N，PH值≥3.2，游离甲醛≤100mg/kg</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2.木质框架：沙发框架采用多层木板成型；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3.坐垫：内部泡绵为多异氰酸酯与多元醇共聚物切割成型；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4.沙发脚：钢制沙发脚≥φ30*200mmH，壁厚≥1.5mm。</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96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63575" cy="444500"/>
                  <wp:effectExtent l="0" t="0" r="3175" b="12700"/>
                  <wp:docPr id="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IMG_280"/>
                          <pic:cNvPicPr>
                            <a:picLocks noChangeAspect="1"/>
                          </pic:cNvPicPr>
                        </pic:nvPicPr>
                        <pic:blipFill>
                          <a:blip r:embed="rId48"/>
                          <a:stretch>
                            <a:fillRect/>
                          </a:stretch>
                        </pic:blipFill>
                        <pic:spPr>
                          <a:xfrm>
                            <a:off x="0" y="0"/>
                            <a:ext cx="663575" cy="444500"/>
                          </a:xfrm>
                          <a:prstGeom prst="rect">
                            <a:avLst/>
                          </a:prstGeom>
                          <a:noFill/>
                          <a:ln w="9525">
                            <a:noFill/>
                          </a:ln>
                        </pic:spPr>
                      </pic:pic>
                    </a:graphicData>
                  </a:graphic>
                </wp:inline>
              </w:drawing>
            </w:r>
          </w:p>
        </w:tc>
      </w:tr>
      <w:tr w14:paraId="45C067E9">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DCC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3F95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茶几</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7666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600*600*450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38C8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E9A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65BE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1、全实木，胡桃木实木，木质密度≥0.65g/cm³，气干含水率控制在 8%-12%，避免因湿度变化导致脚架变形、开裂。木材纹理呈清晰的直线型或略带波浪纹，色泽均匀。脚架榫卯接口公差≤0.1mm，拼接后缝隙≤0.2mm；                                                                                   2、采用优质水性油漆处理，表面光滑柔和，无颗粒，无气泡，无渣点，颜色均匀，硬度高，喷漆工艺经五底三面工艺，硬度达到2-3H级。油漆的有害物质含量符合GB18581-2020木器涂料中有害物质限量 标准。</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67E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661035" cy="596265"/>
                  <wp:effectExtent l="0" t="0" r="5715" b="13335"/>
                  <wp:docPr id="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IMG_281"/>
                          <pic:cNvPicPr>
                            <a:picLocks noChangeAspect="1"/>
                          </pic:cNvPicPr>
                        </pic:nvPicPr>
                        <pic:blipFill>
                          <a:blip r:embed="rId49"/>
                          <a:stretch>
                            <a:fillRect/>
                          </a:stretch>
                        </pic:blipFill>
                        <pic:spPr>
                          <a:xfrm>
                            <a:off x="0" y="0"/>
                            <a:ext cx="661035" cy="596265"/>
                          </a:xfrm>
                          <a:prstGeom prst="rect">
                            <a:avLst/>
                          </a:prstGeom>
                          <a:noFill/>
                          <a:ln w="9525">
                            <a:noFill/>
                          </a:ln>
                        </pic:spPr>
                      </pic:pic>
                    </a:graphicData>
                  </a:graphic>
                </wp:inline>
              </w:drawing>
            </w:r>
          </w:p>
        </w:tc>
      </w:tr>
      <w:tr w14:paraId="3DD14AE9">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B1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D67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大茶水柜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339E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3100*600*2400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760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组</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5E6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98E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1、基材：选用国家优质绿色环保饰面多层板，符合GB/T35601-2024、GB/T34722-2025标准，甲醛释放量（ENF）≤0.025mg/m³。整体牢固耐用，美观大方，抗变型。板件18mm厚。                                                      2、饰面：正反三聚氰胺贴面，表面防潮、耐污、耐磨，表面不可留有压痕、划伤、斑点和凹凸不平，同批产品不得出现明显色差。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3、封边:采用≥1.5mm厚PVC封边条高速封边，符合QB/T4463-2013《家具用封边条技术要求》标准。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4、胶水:选用优质优质环保水基型胶粘剂，符合GB 18583-2008 《室内装饰装修材料》 标准。                                                                                                                                                   5、石英石台面，厚度≥15mm，具有高硬度（防刮擦）、耐高温（短期耐受 300℃-400℃高温，无开裂）、耐油污（表面无毛孔，油污不易渗透）特性，                                                                                                                                  6、优质五金配件，阻尼铰链及阻尼三节导轨，配4000K色温的LED灯带。                                                7、尺寸根据现场实际尺寸制作。</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5AC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552450" cy="942975"/>
                  <wp:effectExtent l="0" t="0" r="0" b="9525"/>
                  <wp:docPr id="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descr="IMG_282"/>
                          <pic:cNvPicPr>
                            <a:picLocks noChangeAspect="1"/>
                          </pic:cNvPicPr>
                        </pic:nvPicPr>
                        <pic:blipFill>
                          <a:blip r:embed="rId50"/>
                          <a:stretch>
                            <a:fillRect/>
                          </a:stretch>
                        </pic:blipFill>
                        <pic:spPr>
                          <a:xfrm>
                            <a:off x="0" y="0"/>
                            <a:ext cx="552450" cy="942975"/>
                          </a:xfrm>
                          <a:prstGeom prst="rect">
                            <a:avLst/>
                          </a:prstGeom>
                          <a:noFill/>
                          <a:ln w="9525">
                            <a:noFill/>
                          </a:ln>
                        </pic:spPr>
                      </pic:pic>
                    </a:graphicData>
                  </a:graphic>
                </wp:inline>
              </w:drawing>
            </w:r>
          </w:p>
        </w:tc>
      </w:tr>
      <w:tr w14:paraId="59E68625">
        <w:tblPrEx>
          <w:tblCellMar>
            <w:top w:w="0" w:type="dxa"/>
            <w:left w:w="108" w:type="dxa"/>
            <w:bottom w:w="0" w:type="dxa"/>
            <w:right w:w="108" w:type="dxa"/>
          </w:tblCellMar>
        </w:tblPrEx>
        <w:trPr>
          <w:trHeight w:val="2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E8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ECE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茶水柜</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63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800*400*900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8BB1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854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2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661D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1.基材：采用国家优质环保免漆板：其中甲醛释放量≤0.025mg/m³，苯，甲苯未检出，二甲苯≤18μg/m³，总挥发性有机化合物≤75μg/m³，燃烧性能等级B</w:t>
            </w:r>
            <w:r>
              <w:rPr>
                <w:color w:val="000000"/>
                <w:kern w:val="0"/>
                <w:sz w:val="22"/>
                <w:szCs w:val="22"/>
                <w:lang w:bidi="ar"/>
              </w:rPr>
              <w:t>₁</w:t>
            </w:r>
            <w:r>
              <w:rPr>
                <w:rFonts w:hint="eastAsia" w:ascii="宋体" w:hAnsi="宋体" w:cs="宋体"/>
                <w:color w:val="000000"/>
                <w:kern w:val="0"/>
                <w:sz w:val="22"/>
                <w:szCs w:val="22"/>
                <w:lang w:bidi="ar"/>
              </w:rPr>
              <w:t xml:space="preserve"> -B符合技术要求。板件≥18mm厚。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2.面材：采用优质胡桃木皮，木皮厚度≥0.6mm。木材含水率≤12%，甲醛释放量符合检测标准。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3.封边：封边为同色实木封边。封边严密、平整、无脱胶、表面无胶渍。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4.采用优质水性油漆处理，表面光滑柔和，无颗粒，无气泡，无渣点，颜色均匀，硬度高，喷漆工艺经五底三面工艺，硬度达到2-3H级。油漆的有害物质含量符合GB18581-2020木器涂料中有害物质限量 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5.胶粘剂：采用水基型胶粘剂, 其中总挥发性有机物含量≤250g/L，游离甲醛≤0.1g/kg，甲苯+二甲苯，苯均未检出。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6.优质五金件。                                                                     7.结构性能描述：下部为左右2抽屉，上木框嵌有机玻璃开门，内置一层板。</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8E2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drawing>
                <wp:inline distT="0" distB="0" distL="114300" distR="114300">
                  <wp:extent cx="715645" cy="715645"/>
                  <wp:effectExtent l="0" t="0" r="8255" b="8255"/>
                  <wp:docPr id="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IMG_283"/>
                          <pic:cNvPicPr>
                            <a:picLocks noChangeAspect="1"/>
                          </pic:cNvPicPr>
                        </pic:nvPicPr>
                        <pic:blipFill>
                          <a:blip r:embed="rId51"/>
                          <a:stretch>
                            <a:fillRect/>
                          </a:stretch>
                        </pic:blipFill>
                        <pic:spPr>
                          <a:xfrm>
                            <a:off x="0" y="0"/>
                            <a:ext cx="715645" cy="715645"/>
                          </a:xfrm>
                          <a:prstGeom prst="rect">
                            <a:avLst/>
                          </a:prstGeom>
                          <a:noFill/>
                          <a:ln w="9525">
                            <a:noFill/>
                          </a:ln>
                        </pic:spPr>
                      </pic:pic>
                    </a:graphicData>
                  </a:graphic>
                </wp:inline>
              </w:drawing>
            </w:r>
          </w:p>
        </w:tc>
      </w:tr>
    </w:tbl>
    <w:p w14:paraId="7DFA16F6">
      <w:pPr>
        <w:pStyle w:val="4"/>
        <w:rPr>
          <w:rFonts w:ascii="宋体" w:hAnsi="宋体" w:eastAsia="宋体" w:cs="宋体"/>
          <w:b w:val="0"/>
          <w:color w:val="000000"/>
          <w:kern w:val="0"/>
          <w:sz w:val="20"/>
          <w:szCs w:val="20"/>
          <w:lang w:bidi="ar"/>
        </w:rPr>
      </w:pPr>
      <w:r>
        <w:rPr>
          <w:rFonts w:hint="eastAsia" w:ascii="宋体" w:hAnsi="宋体" w:eastAsia="宋体" w:cs="宋体"/>
          <w:b w:val="0"/>
          <w:color w:val="000000"/>
          <w:kern w:val="0"/>
          <w:sz w:val="20"/>
          <w:szCs w:val="20"/>
          <w:lang w:bidi="ar"/>
        </w:rPr>
        <w:t>注：</w:t>
      </w:r>
    </w:p>
    <w:p w14:paraId="56B9999E">
      <w:pPr>
        <w:pStyle w:val="4"/>
        <w:rPr>
          <w:rFonts w:ascii="宋体" w:hAnsi="宋体" w:eastAsia="宋体" w:cs="宋体"/>
          <w:b w:val="0"/>
          <w:color w:val="000000"/>
          <w:kern w:val="0"/>
          <w:sz w:val="20"/>
          <w:szCs w:val="20"/>
          <w:lang w:bidi="ar"/>
        </w:rPr>
      </w:pPr>
      <w:r>
        <w:rPr>
          <w:rFonts w:hint="eastAsia" w:ascii="宋体" w:hAnsi="宋体" w:eastAsia="宋体" w:cs="宋体"/>
          <w:b w:val="0"/>
          <w:color w:val="000000"/>
          <w:kern w:val="0"/>
          <w:sz w:val="20"/>
          <w:szCs w:val="20"/>
          <w:lang w:bidi="ar"/>
        </w:rPr>
        <w:t>1）投标方应对投标货物、尺寸规格、颜色、材料、质量、性能等作出说明，提供所投产品的技术参数偏离表，按实际情况注明以上清单产品各项技术参数偏离情况（正偏离/满足/负偏离），技术要求偏离表不能违背真实的参数和指标。</w:t>
      </w:r>
    </w:p>
    <w:p w14:paraId="1BBEED62">
      <w:pPr>
        <w:pStyle w:val="4"/>
        <w:rPr>
          <w:rFonts w:ascii="宋体" w:hAnsi="宋体" w:eastAsia="宋体" w:cs="宋体"/>
          <w:b w:val="0"/>
          <w:color w:val="000000"/>
          <w:kern w:val="0"/>
          <w:sz w:val="20"/>
          <w:szCs w:val="20"/>
          <w:lang w:bidi="ar"/>
        </w:rPr>
      </w:pPr>
      <w:r>
        <w:rPr>
          <w:rFonts w:hint="eastAsia" w:ascii="宋体" w:hAnsi="宋体" w:eastAsia="宋体" w:cs="宋体"/>
          <w:b w:val="0"/>
          <w:color w:val="000000"/>
          <w:kern w:val="0"/>
          <w:sz w:val="20"/>
          <w:szCs w:val="20"/>
          <w:lang w:bidi="ar"/>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539C2C2C">
      <w:pPr>
        <w:pStyle w:val="4"/>
        <w:rPr>
          <w:rFonts w:ascii="宋体" w:hAnsi="宋体" w:eastAsia="宋体" w:cs="宋体"/>
          <w:b w:val="0"/>
          <w:color w:val="000000"/>
          <w:kern w:val="0"/>
          <w:sz w:val="20"/>
          <w:szCs w:val="20"/>
          <w:lang w:bidi="ar"/>
        </w:rPr>
      </w:pPr>
      <w:r>
        <w:rPr>
          <w:rFonts w:hint="eastAsia" w:ascii="宋体" w:hAnsi="宋体" w:eastAsia="宋体" w:cs="宋体"/>
          <w:b w:val="0"/>
          <w:color w:val="000000"/>
          <w:kern w:val="0"/>
          <w:sz w:val="20"/>
          <w:szCs w:val="20"/>
          <w:lang w:bidi="ar"/>
        </w:rPr>
        <w:t>3）项目需求中指出的技术标准与规范如有更新，应以最新的标准规范实施。</w:t>
      </w:r>
    </w:p>
    <w:p w14:paraId="72BCB164">
      <w:pPr>
        <w:pStyle w:val="4"/>
        <w:rPr>
          <w:rFonts w:ascii="宋体" w:hAnsi="宋体" w:eastAsia="宋体" w:cs="宋体"/>
          <w:b w:val="0"/>
          <w:color w:val="000000"/>
          <w:kern w:val="0"/>
          <w:sz w:val="20"/>
          <w:szCs w:val="20"/>
          <w:lang w:bidi="ar"/>
        </w:rPr>
      </w:pPr>
      <w:r>
        <w:rPr>
          <w:rFonts w:hint="eastAsia" w:ascii="宋体" w:hAnsi="宋体" w:eastAsia="宋体" w:cs="宋体"/>
          <w:b w:val="0"/>
          <w:color w:val="000000"/>
          <w:kern w:val="0"/>
          <w:sz w:val="20"/>
          <w:szCs w:val="20"/>
          <w:lang w:bidi="ar"/>
        </w:rPr>
        <w:t>4）所有采购家具产品，均需经使用方确认最终的色样方可采购或制作。</w:t>
      </w:r>
    </w:p>
    <w:p w14:paraId="26A831EE">
      <w:pPr>
        <w:pStyle w:val="6"/>
        <w:spacing w:before="44" w:line="225" w:lineRule="auto"/>
        <w:ind w:left="0"/>
        <w:rPr>
          <w:rFonts w:ascii="微软雅黑" w:hAnsi="微软雅黑" w:eastAsia="微软雅黑" w:cs="微软雅黑"/>
          <w:b/>
          <w:bCs/>
          <w:sz w:val="28"/>
          <w:szCs w:val="28"/>
        </w:rPr>
      </w:pPr>
    </w:p>
    <w:p w14:paraId="54F3056A">
      <w:pPr>
        <w:pStyle w:val="6"/>
        <w:spacing w:before="44" w:line="225" w:lineRule="auto"/>
        <w:ind w:left="0"/>
        <w:rPr>
          <w:rFonts w:ascii="微软雅黑" w:hAnsi="微软雅黑" w:eastAsia="微软雅黑" w:cs="微软雅黑"/>
          <w:b/>
          <w:bCs/>
          <w:sz w:val="28"/>
          <w:szCs w:val="28"/>
        </w:rPr>
      </w:pPr>
    </w:p>
    <w:p w14:paraId="2FC039B1">
      <w:pPr>
        <w:pStyle w:val="6"/>
        <w:numPr>
          <w:ilvl w:val="0"/>
          <w:numId w:val="2"/>
        </w:numPr>
        <w:spacing w:before="44" w:line="225" w:lineRule="auto"/>
        <w:ind w:left="0"/>
        <w:rPr>
          <w:rFonts w:ascii="微软雅黑" w:hAnsi="微软雅黑" w:eastAsia="微软雅黑" w:cs="微软雅黑"/>
          <w:b/>
          <w:bCs/>
          <w:sz w:val="28"/>
          <w:szCs w:val="28"/>
        </w:rPr>
      </w:pPr>
      <w:r>
        <w:rPr>
          <w:rFonts w:hint="eastAsia" w:ascii="微软雅黑" w:hAnsi="微软雅黑" w:eastAsia="微软雅黑" w:cs="微软雅黑"/>
          <w:b/>
          <w:bCs/>
          <w:sz w:val="28"/>
          <w:szCs w:val="28"/>
        </w:rPr>
        <w:t>材料要求</w:t>
      </w:r>
    </w:p>
    <w:p w14:paraId="0B1E0938">
      <w:pPr>
        <w:spacing w:line="360" w:lineRule="auto"/>
        <w:rPr>
          <w:rFonts w:ascii="微软雅黑" w:hAnsi="微软雅黑" w:eastAsia="微软雅黑" w:cs="微软雅黑"/>
          <w:b/>
          <w:bCs/>
          <w:sz w:val="28"/>
          <w:szCs w:val="28"/>
        </w:rPr>
      </w:pPr>
      <w:r>
        <w:rPr>
          <w:rFonts w:hint="eastAsia" w:ascii="微软雅黑" w:hAnsi="微软雅黑" w:eastAsia="微软雅黑" w:cs="微软雅黑"/>
          <w:b/>
          <w:bCs/>
          <w:sz w:val="28"/>
          <w:szCs w:val="28"/>
        </w:rPr>
        <w:t>提供以下材料的检测报告用作评分及验收：</w:t>
      </w:r>
    </w:p>
    <w:p w14:paraId="36AFF5D7">
      <w:pPr>
        <w:numPr>
          <w:ilvl w:val="255"/>
          <w:numId w:val="0"/>
        </w:numPr>
        <w:spacing w:before="123"/>
        <w:outlineLvl w:val="6"/>
        <w:rPr>
          <w:rFonts w:ascii="微软雅黑" w:hAnsi="微软雅黑" w:eastAsia="微软雅黑" w:cs="微软雅黑"/>
          <w:b/>
          <w:bCs/>
          <w:sz w:val="24"/>
        </w:rPr>
      </w:pPr>
      <w:r>
        <w:rPr>
          <w:rFonts w:hint="eastAsia" w:ascii="微软雅黑" w:hAnsi="微软雅黑" w:eastAsia="微软雅黑" w:cs="微软雅黑"/>
          <w:b/>
          <w:bCs/>
          <w:sz w:val="24"/>
        </w:rPr>
        <w:t>1、理化板（台面）-(1)：</w:t>
      </w:r>
      <w:r>
        <w:rPr>
          <w:rFonts w:hint="eastAsia" w:ascii="微软雅黑" w:hAnsi="微软雅黑" w:eastAsia="微软雅黑" w:cs="微软雅黑"/>
          <w:sz w:val="24"/>
        </w:rPr>
        <w:t>通过抽样检验（非委托送检），按照GB/T17657-2022 4.43标准检验，其中65%硝酸、98%硫酸、37%盐酸、40%氢氟酸、88%甲酸、99%乙酸、硝酸银饱和液、85%磷酸、30%过氧化氢、N,N-二甲基甲酰胺、王水、77%硫酸+65%硝酸等不少于82种溶液或试剂，覆盖玻璃板和不覆盖检验结果均达到5级并无明显变化。</w:t>
      </w:r>
    </w:p>
    <w:p w14:paraId="6C4F6741">
      <w:pPr>
        <w:numPr>
          <w:ilvl w:val="255"/>
          <w:numId w:val="0"/>
        </w:numPr>
        <w:spacing w:before="123"/>
        <w:outlineLvl w:val="6"/>
        <w:rPr>
          <w:rFonts w:ascii="微软雅黑" w:hAnsi="微软雅黑" w:eastAsia="微软雅黑" w:cs="微软雅黑"/>
          <w:sz w:val="24"/>
        </w:rPr>
      </w:pPr>
      <w:r>
        <w:rPr>
          <w:rFonts w:hint="eastAsia" w:ascii="微软雅黑" w:hAnsi="微软雅黑" w:eastAsia="微软雅黑" w:cs="微软雅黑"/>
          <w:b/>
          <w:bCs/>
          <w:sz w:val="24"/>
        </w:rPr>
        <w:t>2、理化板（台面）-</w:t>
      </w:r>
      <w:r>
        <w:rPr>
          <w:rFonts w:hint="eastAsia" w:ascii="微软雅黑" w:hAnsi="微软雅黑" w:eastAsia="微软雅黑" w:cs="微软雅黑"/>
          <w:sz w:val="24"/>
        </w:rPr>
        <w:t>(2)</w:t>
      </w:r>
      <w:r>
        <w:rPr>
          <w:rFonts w:hint="eastAsia" w:ascii="微软雅黑" w:hAnsi="微软雅黑" w:eastAsia="微软雅黑" w:cs="微软雅黑"/>
          <w:b/>
          <w:bCs/>
          <w:sz w:val="24"/>
        </w:rPr>
        <w:t>：</w:t>
      </w:r>
      <w:r>
        <w:rPr>
          <w:rFonts w:hint="eastAsia" w:ascii="微软雅黑" w:hAnsi="微软雅黑" w:eastAsia="微软雅黑" w:cs="微软雅黑"/>
          <w:sz w:val="24"/>
        </w:rPr>
        <w:t>通过抽样检验（非委托送检），物理性能符合GB/T7911-2024技术要求，静曲强度、尺寸稳定性、耐龟裂、抗大球冲击、弯曲弹性模量等不少于27种检测项目结果合格。其中耐辐射热</w:t>
      </w:r>
      <w:bookmarkStart w:id="3" w:name="OLE_LINK1"/>
      <w:r>
        <w:rPr>
          <w:rFonts w:hint="eastAsia" w:ascii="微软雅黑" w:hAnsi="微软雅黑" w:eastAsia="微软雅黑" w:cs="微软雅黑"/>
          <w:sz w:val="24"/>
        </w:rPr>
        <w:t>≥3</w:t>
      </w:r>
      <w:bookmarkEnd w:id="3"/>
      <w:r>
        <w:rPr>
          <w:rFonts w:hint="eastAsia" w:ascii="微软雅黑" w:hAnsi="微软雅黑" w:eastAsia="微软雅黑" w:cs="微软雅黑"/>
          <w:sz w:val="24"/>
        </w:rPr>
        <w:t>00s；耐龟裂、耐干热、耐沸水装饰面质量及侧面质量均达到5级；苯酚释放量未检出；总挥发性有机化合物（TVOC）检测结果≤5，达到I级。</w:t>
      </w:r>
    </w:p>
    <w:p w14:paraId="14D6AEEC">
      <w:pPr>
        <w:numPr>
          <w:ilvl w:val="255"/>
          <w:numId w:val="0"/>
        </w:numPr>
        <w:spacing w:before="123"/>
        <w:outlineLvl w:val="6"/>
        <w:rPr>
          <w:rFonts w:ascii="微软雅黑" w:hAnsi="微软雅黑" w:eastAsia="微软雅黑" w:cs="微软雅黑"/>
          <w:sz w:val="24"/>
        </w:rPr>
      </w:pPr>
      <w:r>
        <w:rPr>
          <w:rFonts w:hint="eastAsia" w:ascii="微软雅黑" w:hAnsi="微软雅黑" w:eastAsia="微软雅黑" w:cs="微软雅黑"/>
          <w:b/>
          <w:bCs/>
          <w:sz w:val="24"/>
        </w:rPr>
        <w:t>3、理化板（台面）-</w:t>
      </w:r>
      <w:r>
        <w:rPr>
          <w:rFonts w:hint="eastAsia" w:ascii="微软雅黑" w:hAnsi="微软雅黑" w:eastAsia="微软雅黑" w:cs="微软雅黑"/>
          <w:sz w:val="24"/>
        </w:rPr>
        <w:t>(3)</w:t>
      </w:r>
      <w:r>
        <w:rPr>
          <w:rFonts w:hint="eastAsia" w:ascii="微软雅黑" w:hAnsi="微软雅黑" w:eastAsia="微软雅黑" w:cs="微软雅黑"/>
          <w:b/>
          <w:bCs/>
          <w:sz w:val="24"/>
        </w:rPr>
        <w:t>：</w:t>
      </w:r>
      <w:r>
        <w:rPr>
          <w:rFonts w:hint="eastAsia" w:ascii="微软雅黑" w:hAnsi="微软雅黑" w:eastAsia="微软雅黑" w:cs="微软雅黑"/>
          <w:sz w:val="24"/>
        </w:rPr>
        <w:t>燃烧性能符合GB8624-2012标准达到B1（C-sl,d0,t0）级，检测结果达到点燃时间60s内焰尖高度</w:t>
      </w:r>
      <w:bookmarkStart w:id="4" w:name="_Hlk207283092"/>
      <w:r>
        <w:rPr>
          <w:rFonts w:hint="eastAsia" w:ascii="微软雅黑" w:hAnsi="微软雅黑" w:eastAsia="微软雅黑" w:cs="微软雅黑"/>
          <w:sz w:val="24"/>
        </w:rPr>
        <w:t>≤</w:t>
      </w:r>
      <w:bookmarkEnd w:id="4"/>
      <w:r>
        <w:rPr>
          <w:rFonts w:hint="eastAsia" w:ascii="微软雅黑" w:hAnsi="微软雅黑" w:eastAsia="微软雅黑" w:cs="微软雅黑"/>
          <w:sz w:val="24"/>
        </w:rPr>
        <w:t>50mm；烟气毒性等级达到ZA1级。按GB/T2408-2021标准检测，水平燃烧性能和垂直燃烧性能均为合格。耐黄变色牢度，按GB/T17657-2022标准检验，辐照时间168h，达到5级。</w:t>
      </w:r>
    </w:p>
    <w:p w14:paraId="7E4847A2">
      <w:pPr>
        <w:numPr>
          <w:ilvl w:val="255"/>
          <w:numId w:val="0"/>
        </w:numPr>
        <w:spacing w:before="123"/>
        <w:outlineLvl w:val="6"/>
        <w:rPr>
          <w:rFonts w:hint="eastAsia" w:ascii="微软雅黑" w:hAnsi="微软雅黑" w:eastAsia="微软雅黑" w:cs="微软雅黑"/>
          <w:sz w:val="24"/>
        </w:rPr>
      </w:pPr>
      <w:r>
        <w:rPr>
          <w:rFonts w:hint="eastAsia" w:ascii="微软雅黑" w:hAnsi="微软雅黑" w:eastAsia="微软雅黑" w:cs="微软雅黑"/>
          <w:b/>
          <w:bCs/>
          <w:sz w:val="24"/>
        </w:rPr>
        <w:t>4、理化板（台面）-</w:t>
      </w:r>
      <w:r>
        <w:rPr>
          <w:rFonts w:hint="eastAsia" w:ascii="微软雅黑" w:hAnsi="微软雅黑" w:eastAsia="微软雅黑" w:cs="微软雅黑"/>
          <w:sz w:val="24"/>
        </w:rPr>
        <w:t>(4)</w:t>
      </w:r>
      <w:r>
        <w:rPr>
          <w:rFonts w:hint="eastAsia" w:ascii="微软雅黑" w:hAnsi="微软雅黑" w:eastAsia="微软雅黑" w:cs="微软雅黑"/>
          <w:b/>
          <w:bCs/>
          <w:sz w:val="24"/>
        </w:rPr>
        <w:t>：</w:t>
      </w:r>
      <w:r>
        <w:rPr>
          <w:rFonts w:hint="eastAsia" w:ascii="微软雅黑" w:hAnsi="微软雅黑" w:eastAsia="微软雅黑" w:cs="微软雅黑"/>
          <w:sz w:val="24"/>
        </w:rPr>
        <w:t>环保性能：甲醛释放量按GB/39600-2021检测标准，达到Enf级；结果要求≤0.02mg/m3。按JC/T1074-2021标准检测，甲醛24h净化效率≥87%。按CDPH/EHLB/标准方法(2017年,1.2版本)，学校教室及私人办公室的室内空气浓度检测(ug/m³)，TVOC、二氯苯、二甲基甲酰胺、正乙烷等超过30种以上有害物质均为未检出。</w:t>
      </w:r>
    </w:p>
    <w:p w14:paraId="4FA5EFD0">
      <w:pPr>
        <w:numPr>
          <w:ilvl w:val="255"/>
          <w:numId w:val="0"/>
        </w:numPr>
        <w:spacing w:before="123"/>
        <w:outlineLvl w:val="6"/>
        <w:rPr>
          <w:rFonts w:ascii="微软雅黑" w:hAnsi="微软雅黑" w:eastAsia="微软雅黑" w:cs="微软雅黑"/>
          <w:sz w:val="24"/>
        </w:rPr>
      </w:pPr>
      <w:r>
        <w:rPr>
          <w:rFonts w:hint="eastAsia" w:ascii="微软雅黑" w:hAnsi="微软雅黑" w:eastAsia="微软雅黑" w:cs="微软雅黑"/>
          <w:b/>
          <w:bCs/>
          <w:sz w:val="24"/>
        </w:rPr>
        <w:t>5、理化板（台面）-</w:t>
      </w:r>
      <w:r>
        <w:rPr>
          <w:rFonts w:hint="eastAsia" w:ascii="微软雅黑" w:hAnsi="微软雅黑" w:eastAsia="微软雅黑" w:cs="微软雅黑"/>
          <w:sz w:val="24"/>
        </w:rPr>
        <w:t>(5)</w:t>
      </w:r>
      <w:r>
        <w:rPr>
          <w:rFonts w:hint="eastAsia" w:ascii="微软雅黑" w:hAnsi="微软雅黑" w:eastAsia="微软雅黑" w:cs="微软雅黑"/>
          <w:b/>
          <w:bCs/>
          <w:sz w:val="24"/>
        </w:rPr>
        <w:t>：</w:t>
      </w:r>
      <w:r>
        <w:rPr>
          <w:rFonts w:hint="eastAsia" w:ascii="微软雅黑" w:hAnsi="微软雅黑" w:eastAsia="微软雅黑" w:cs="微软雅黑"/>
          <w:sz w:val="24"/>
        </w:rPr>
        <w:t>抗菌性能：依据JC/T 2039-2010标准检测，检测包括以下菌种：大肠杆菌、肺炎克雷伯氏菌、金黄色葡萄球菌、表皮葡萄球菌、宋</w:t>
      </w:r>
      <w:bookmarkStart w:id="5" w:name="_Hlk160020534"/>
      <w:r>
        <w:rPr>
          <w:rFonts w:hint="eastAsia" w:ascii="微软雅黑" w:hAnsi="微软雅黑" w:eastAsia="微软雅黑" w:cs="微软雅黑"/>
          <w:sz w:val="24"/>
        </w:rPr>
        <w:t>氏</w:t>
      </w:r>
      <w:bookmarkEnd w:id="5"/>
      <w:r>
        <w:rPr>
          <w:rFonts w:hint="eastAsia" w:ascii="微软雅黑" w:hAnsi="微软雅黑" w:eastAsia="微软雅黑" w:cs="微软雅黑"/>
          <w:sz w:val="24"/>
        </w:rPr>
        <w:t>志贺氏菌，5种菌种的检测结果抗菌率均≥92%。</w:t>
      </w:r>
    </w:p>
    <w:p w14:paraId="21B75AEB">
      <w:pPr>
        <w:spacing w:before="123" w:line="360" w:lineRule="auto"/>
        <w:outlineLvl w:val="6"/>
        <w:rPr>
          <w:rFonts w:ascii="微软雅黑" w:hAnsi="微软雅黑" w:eastAsia="微软雅黑" w:cs="微软雅黑"/>
          <w:sz w:val="24"/>
        </w:rPr>
      </w:pPr>
      <w:r>
        <w:rPr>
          <w:rFonts w:hint="eastAsia" w:ascii="微软雅黑" w:hAnsi="微软雅黑" w:eastAsia="微软雅黑" w:cs="微软雅黑"/>
          <w:b/>
          <w:bCs/>
          <w:sz w:val="24"/>
        </w:rPr>
        <w:t>6、饰面多层板：</w:t>
      </w:r>
      <w:r>
        <w:rPr>
          <w:rFonts w:hint="eastAsia" w:ascii="微软雅黑" w:hAnsi="微软雅黑" w:eastAsia="微软雅黑" w:cs="微软雅黑"/>
          <w:sz w:val="24"/>
        </w:rPr>
        <w:t>符合GB/T35601-2024、GB/T34722-2025要求，其中，含水率6～14%、横向静曲强度最小值≥12%、横向静曲强度平均值≥15%、表面耐划痕合格、甲醛释放量≤0.025mg/m³。</w:t>
      </w:r>
    </w:p>
    <w:p w14:paraId="7B8A0434">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7、PVC封标条：</w:t>
      </w:r>
      <w:r>
        <w:rPr>
          <w:rFonts w:hint="eastAsia" w:ascii="微软雅黑" w:hAnsi="微软雅黑" w:eastAsia="微软雅黑" w:cs="微软雅黑"/>
          <w:sz w:val="24"/>
        </w:rPr>
        <w:t>符合QB/T 4463-2013标准，其中氯乙烯单体：≤0.1mg/kg，耐冷热循坏应无龟裂、无鼓泡、无变色、无起皱。</w:t>
      </w:r>
    </w:p>
    <w:p w14:paraId="214E758C">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8、水性漆：</w:t>
      </w:r>
      <w:r>
        <w:rPr>
          <w:rFonts w:hint="eastAsia" w:ascii="微软雅黑" w:hAnsi="微软雅黑" w:eastAsia="微软雅黑" w:cs="微软雅黑"/>
          <w:sz w:val="24"/>
        </w:rPr>
        <w:t>符合GB 18581-2020标准，其中VOC含量≤250g/L，甲醛含量≤100mg/kg，总铅含量≤90mg/kg,可溶性重金属含量：其中镉≤75mg/kg、铬≤60mg/kg、汞≤60mg/kg，苯系物总和含量≤250mg/kg。</w:t>
      </w:r>
    </w:p>
    <w:p w14:paraId="4334427C">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9</w:t>
      </w:r>
      <w:r>
        <w:rPr>
          <w:rFonts w:ascii="微软雅黑" w:hAnsi="微软雅黑" w:eastAsia="微软雅黑" w:cs="微软雅黑"/>
          <w:b/>
          <w:bCs/>
          <w:sz w:val="24"/>
        </w:rPr>
        <w:t>、</w:t>
      </w:r>
      <w:r>
        <w:rPr>
          <w:rFonts w:hint="eastAsia" w:ascii="微软雅黑" w:hAnsi="微软雅黑" w:eastAsia="微软雅黑" w:cs="微软雅黑"/>
          <w:b/>
          <w:bCs/>
          <w:sz w:val="24"/>
        </w:rPr>
        <w:t>皮革：</w:t>
      </w:r>
      <w:r>
        <w:rPr>
          <w:rFonts w:hint="eastAsia" w:ascii="微软雅黑" w:hAnsi="微软雅黑" w:eastAsia="微软雅黑" w:cs="微软雅黑"/>
          <w:sz w:val="24"/>
        </w:rPr>
        <w:t>符合GB/T 16799-2018标准，其中禁用偶氮染料≤30mg/kg，耐光性≥5级，耐磨性(CS-10,500 g,500r)无明显损伤、剥落，挥发性有机物（VOC）≤150mg/kg。</w:t>
      </w:r>
    </w:p>
    <w:p w14:paraId="38BAB768">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10</w:t>
      </w:r>
      <w:r>
        <w:rPr>
          <w:rFonts w:ascii="微软雅黑" w:hAnsi="微软雅黑" w:eastAsia="微软雅黑" w:cs="微软雅黑"/>
          <w:b/>
          <w:bCs/>
          <w:sz w:val="24"/>
        </w:rPr>
        <w:t>、钢管</w:t>
      </w:r>
      <w:r>
        <w:rPr>
          <w:rFonts w:hint="eastAsia" w:ascii="微软雅黑" w:hAnsi="微软雅黑" w:eastAsia="微软雅黑" w:cs="微软雅黑"/>
          <w:b/>
          <w:bCs/>
          <w:sz w:val="24"/>
        </w:rPr>
        <w:t>：</w:t>
      </w:r>
      <w:r>
        <w:rPr>
          <w:rFonts w:hint="eastAsia" w:ascii="微软雅黑" w:hAnsi="微软雅黑" w:eastAsia="微软雅黑" w:cs="微软雅黑"/>
          <w:sz w:val="24"/>
        </w:rPr>
        <w:t>符合QB/T 3826-1999 QB/T 3832-1999标准，其中中性盐雾试验100h合格。</w:t>
      </w:r>
    </w:p>
    <w:p w14:paraId="04B1B6A5">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11</w:t>
      </w:r>
      <w:r>
        <w:rPr>
          <w:rFonts w:ascii="微软雅黑" w:hAnsi="微软雅黑" w:eastAsia="微软雅黑" w:cs="微软雅黑"/>
          <w:b/>
          <w:bCs/>
          <w:sz w:val="24"/>
        </w:rPr>
        <w:t>、</w:t>
      </w:r>
      <w:r>
        <w:rPr>
          <w:rFonts w:hint="eastAsia" w:ascii="微软雅黑" w:hAnsi="微软雅黑" w:eastAsia="微软雅黑" w:cs="微软雅黑"/>
          <w:b/>
          <w:bCs/>
          <w:sz w:val="24"/>
        </w:rPr>
        <w:t>木皮：</w:t>
      </w:r>
      <w:r>
        <w:rPr>
          <w:rFonts w:hint="eastAsia" w:ascii="微软雅黑" w:hAnsi="微软雅黑" w:eastAsia="微软雅黑" w:cs="微软雅黑"/>
          <w:sz w:val="24"/>
        </w:rPr>
        <w:t>符合GB/T 13010-2020、GB/T 3324-2024、GB18584-2024标准，其中，厚度≥0.6mm、木材含水率8%～15.8%、甲醛释放量≤0.08mg/m³</w:t>
      </w:r>
    </w:p>
    <w:p w14:paraId="675D9054">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12、三合一连接件：</w:t>
      </w:r>
      <w:r>
        <w:rPr>
          <w:rFonts w:hint="eastAsia" w:ascii="微软雅黑" w:hAnsi="微软雅黑" w:eastAsia="微软雅黑" w:cs="微软雅黑"/>
          <w:sz w:val="24"/>
        </w:rPr>
        <w:t>符合GB/T 28203-2011标准，金属漆膜耐腐蚀：100h内，观察在溶剂中的样本上划道两侧3mm以外,应无气泡产生;100h后,检查划道两侧3mm以外,应无锈迹、剥落、起皱变色和失光等现象；金属镀层抗盐雾：18 h,1.5 mm以下锈点&lt;20点/dm',其中&gt;1.0mm锈点不超过5点(距离边缘棱角2 mm以内的不计)。</w:t>
      </w:r>
    </w:p>
    <w:p w14:paraId="429AABE7">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13</w:t>
      </w:r>
      <w:r>
        <w:rPr>
          <w:rFonts w:ascii="微软雅黑" w:hAnsi="微软雅黑" w:eastAsia="微软雅黑" w:cs="微软雅黑"/>
          <w:b/>
          <w:bCs/>
          <w:sz w:val="24"/>
        </w:rPr>
        <w:t>、万向轮</w:t>
      </w:r>
      <w:r>
        <w:rPr>
          <w:rFonts w:hint="eastAsia" w:ascii="微软雅黑" w:hAnsi="微软雅黑" w:eastAsia="微软雅黑" w:cs="微软雅黑"/>
          <w:b/>
          <w:bCs/>
          <w:sz w:val="24"/>
        </w:rPr>
        <w:t>：</w:t>
      </w:r>
      <w:r>
        <w:rPr>
          <w:rFonts w:hint="eastAsia" w:ascii="微软雅黑" w:hAnsi="微软雅黑" w:eastAsia="微软雅黑" w:cs="微软雅黑"/>
          <w:sz w:val="24"/>
        </w:rPr>
        <w:t>符合QB/T 4765-2014‌标准，抗冲击性、动载荷、静载荷、滚动阻力、旋转阻力均合格。</w:t>
      </w:r>
    </w:p>
    <w:p w14:paraId="5365F27D">
      <w:pPr>
        <w:spacing w:before="123" w:line="360" w:lineRule="auto"/>
        <w:outlineLvl w:val="6"/>
        <w:rPr>
          <w:rFonts w:ascii="微软雅黑" w:hAnsi="微软雅黑" w:eastAsia="微软雅黑" w:cs="微软雅黑"/>
          <w:sz w:val="24"/>
        </w:rPr>
      </w:pPr>
      <w:r>
        <w:rPr>
          <w:rFonts w:hint="eastAsia" w:ascii="微软雅黑" w:hAnsi="微软雅黑" w:eastAsia="微软雅黑" w:cs="微软雅黑"/>
          <w:b/>
          <w:bCs/>
          <w:sz w:val="24"/>
        </w:rPr>
        <w:t>14、PA椅背：</w:t>
      </w:r>
      <w:r>
        <w:rPr>
          <w:rFonts w:hint="eastAsia" w:ascii="微软雅黑" w:hAnsi="微软雅黑" w:eastAsia="微软雅黑" w:cs="微软雅黑"/>
          <w:sz w:val="24"/>
        </w:rPr>
        <w:t>符合GB/T32487-2016标准，其中重金属：可溶性铅≤90mg/kg、可溶性镉≤50mg/kg、可溶性铬≤25mg/kg、可溶性汞≤25mg/kg。</w:t>
      </w:r>
    </w:p>
    <w:p w14:paraId="117A30D0">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15、塑粉（金属喷漆涂层）：</w:t>
      </w:r>
      <w:r>
        <w:rPr>
          <w:rFonts w:hint="eastAsia" w:ascii="微软雅黑" w:hAnsi="微软雅黑" w:eastAsia="微软雅黑" w:cs="微软雅黑"/>
          <w:sz w:val="24"/>
        </w:rPr>
        <w:t>符合HG/T 2006-2022标准，其中外观色泽均匀，无异物，呈松散粉末状；干附着力≤1级。</w:t>
      </w:r>
    </w:p>
    <w:p w14:paraId="42664C60">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b/>
          <w:bCs/>
          <w:sz w:val="24"/>
        </w:rPr>
        <w:t>16、气压棒：</w:t>
      </w:r>
      <w:r>
        <w:rPr>
          <w:rFonts w:hint="eastAsia" w:ascii="微软雅黑" w:hAnsi="微软雅黑" w:eastAsia="微软雅黑" w:cs="微软雅黑"/>
          <w:sz w:val="24"/>
        </w:rPr>
        <w:t>符合GB/T 29525-2013标准，其中，循环寿命：经高低温性能试验后的气弹簧,再经6X10*次循环寿命(当行程&lt;60mm时,按实际行程;当行程&gt;60mm时,按60mm行程)试验后,公称力F,的总衰减量应不大于 13%；抗压特性：将锁定在任意位置的气弹簧经轴向载荷550N锁定冲击1X10'次后，力特性不变；气弹簧经轴向载荷1300N负载验证冲击一次后,力特性不变；气弹簧在1000N载荷下经1.2x10'次旋转试验后，力特性不变。</w:t>
      </w:r>
    </w:p>
    <w:p w14:paraId="44ED895A">
      <w:pPr>
        <w:spacing w:before="123" w:line="312" w:lineRule="auto"/>
        <w:outlineLvl w:val="6"/>
        <w:rPr>
          <w:rFonts w:ascii="微软雅黑" w:hAnsi="微软雅黑" w:eastAsia="微软雅黑" w:cs="微软雅黑"/>
          <w:sz w:val="24"/>
        </w:rPr>
      </w:pPr>
    </w:p>
    <w:p w14:paraId="18174A15">
      <w:pPr>
        <w:spacing w:before="123" w:line="312" w:lineRule="auto"/>
        <w:outlineLvl w:val="6"/>
        <w:rPr>
          <w:rFonts w:ascii="微软雅黑" w:hAnsi="微软雅黑" w:eastAsia="微软雅黑" w:cs="微软雅黑"/>
          <w:b/>
          <w:bCs/>
          <w:sz w:val="24"/>
        </w:rPr>
      </w:pPr>
      <w:r>
        <w:rPr>
          <w:rFonts w:hint="eastAsia" w:ascii="微软雅黑" w:hAnsi="微软雅黑" w:eastAsia="微软雅黑" w:cs="微软雅黑"/>
          <w:b/>
          <w:bCs/>
          <w:sz w:val="24"/>
        </w:rPr>
        <w:t>检测报告要求：</w:t>
      </w:r>
    </w:p>
    <w:p w14:paraId="56E81354">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sz w:val="24"/>
        </w:rPr>
        <w:t>1、检测机构要求:国家认可的检测机构出具的具有“CMA”标识的检测报告；</w:t>
      </w:r>
    </w:p>
    <w:p w14:paraId="662246AF">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sz w:val="24"/>
        </w:rPr>
        <w:t>2、受检单位要求：检测报告上的委托单位(受检单位)名称必须与投标人或投标产品生产厂家或原材料的生产厂家一致；如投标人提供的检测报告上的委托单位为投标产品生产厂家或原材料生产厂家的，则需提供对应厂家针对本项目的检测报告使用授权书。</w:t>
      </w:r>
    </w:p>
    <w:p w14:paraId="69D97C05">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sz w:val="24"/>
        </w:rPr>
        <w:t>3、检测时间要求：本项目提供的检测报告签发日期不早于2024年1月1日。</w:t>
      </w:r>
    </w:p>
    <w:p w14:paraId="15DDC65E">
      <w:pPr>
        <w:spacing w:before="123" w:line="312" w:lineRule="auto"/>
        <w:outlineLvl w:val="6"/>
        <w:rPr>
          <w:rFonts w:ascii="微软雅黑" w:hAnsi="微软雅黑" w:eastAsia="微软雅黑" w:cs="微软雅黑"/>
          <w:b/>
          <w:bCs/>
          <w:sz w:val="24"/>
        </w:rPr>
      </w:pPr>
      <w:r>
        <w:rPr>
          <w:rFonts w:hint="eastAsia" w:ascii="微软雅黑" w:hAnsi="微软雅黑" w:eastAsia="微软雅黑" w:cs="微软雅黑"/>
          <w:b/>
          <w:bCs/>
          <w:sz w:val="24"/>
        </w:rPr>
        <w:t>其他：</w:t>
      </w:r>
    </w:p>
    <w:p w14:paraId="1F333469">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sz w:val="24"/>
        </w:rPr>
        <w:t>1、上述原材料要求如与“三、采购清单及技术参数要求”不一致，以上述要求为准，检测报告原件备查；</w:t>
      </w:r>
    </w:p>
    <w:p w14:paraId="4C41B19F">
      <w:pPr>
        <w:spacing w:before="123" w:line="312" w:lineRule="auto"/>
        <w:outlineLvl w:val="6"/>
        <w:rPr>
          <w:rFonts w:ascii="微软雅黑" w:hAnsi="微软雅黑" w:eastAsia="微软雅黑" w:cs="微软雅黑"/>
          <w:sz w:val="24"/>
        </w:rPr>
      </w:pPr>
      <w:r>
        <w:rPr>
          <w:rFonts w:hint="eastAsia" w:ascii="微软雅黑" w:hAnsi="微软雅黑" w:eastAsia="微软雅黑" w:cs="微软雅黑"/>
          <w:sz w:val="24"/>
        </w:rPr>
        <w:t>2、针对不同叫法的同一原材料，其检测报告均予认可（如名称不一致，需注明需求中对应的原材料名称）。</w:t>
      </w:r>
    </w:p>
    <w:p w14:paraId="18831A4D">
      <w:pPr>
        <w:spacing w:before="121" w:line="360" w:lineRule="auto"/>
        <w:rPr>
          <w:rFonts w:ascii="微软雅黑" w:hAnsi="微软雅黑" w:eastAsia="微软雅黑" w:cs="微软雅黑"/>
          <w:b/>
          <w:bCs/>
        </w:rPr>
      </w:pPr>
      <w:r>
        <w:rPr>
          <w:rFonts w:hint="eastAsia" w:ascii="微软雅黑" w:hAnsi="微软雅黑" w:eastAsia="微软雅黑" w:cs="微软雅黑"/>
          <w:b/>
          <w:bCs/>
          <w:spacing w:val="-5"/>
          <w:sz w:val="28"/>
          <w:szCs w:val="28"/>
        </w:rPr>
        <w:t>五、颜色要求</w:t>
      </w:r>
    </w:p>
    <w:p w14:paraId="1188EF91">
      <w:pPr>
        <w:spacing w:before="311"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tbl>
      <w:tblPr>
        <w:tblStyle w:val="15"/>
        <w:tblW w:w="14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64" w:type="dxa"/>
          <w:left w:w="128" w:type="dxa"/>
          <w:bottom w:w="64" w:type="dxa"/>
          <w:right w:w="128" w:type="dxa"/>
        </w:tblCellMar>
      </w:tblPr>
      <w:tblGrid>
        <w:gridCol w:w="6351"/>
        <w:gridCol w:w="7976"/>
      </w:tblGrid>
      <w:tr w14:paraId="73C98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blHeader/>
          <w:jc w:val="center"/>
        </w:trPr>
        <w:tc>
          <w:tcPr>
            <w:tcW w:w="6351" w:type="dxa"/>
            <w:vAlign w:val="center"/>
          </w:tcPr>
          <w:p w14:paraId="76C61DDB">
            <w:pPr>
              <w:pStyle w:val="14"/>
              <w:snapToGrid w:val="0"/>
              <w:spacing w:before="237" w:line="360" w:lineRule="auto"/>
              <w:jc w:val="center"/>
              <w:rPr>
                <w:rFonts w:ascii="微软雅黑" w:hAnsi="微软雅黑" w:eastAsia="微软雅黑" w:cs="微软雅黑"/>
                <w:b/>
                <w:bCs/>
                <w:sz w:val="24"/>
                <w:szCs w:val="24"/>
              </w:rPr>
            </w:pPr>
            <w:r>
              <w:rPr>
                <w:rFonts w:hint="eastAsia" w:ascii="微软雅黑" w:hAnsi="微软雅黑" w:eastAsia="微软雅黑" w:cs="微软雅黑"/>
                <w:b/>
                <w:bCs/>
                <w:spacing w:val="-8"/>
                <w:sz w:val="24"/>
                <w:szCs w:val="24"/>
              </w:rPr>
              <w:t>分类</w:t>
            </w:r>
          </w:p>
        </w:tc>
        <w:tc>
          <w:tcPr>
            <w:tcW w:w="7976" w:type="dxa"/>
            <w:vAlign w:val="center"/>
          </w:tcPr>
          <w:p w14:paraId="605A0CD5">
            <w:pPr>
              <w:pStyle w:val="14"/>
              <w:snapToGrid w:val="0"/>
              <w:spacing w:before="238" w:line="360" w:lineRule="auto"/>
              <w:ind w:left="152"/>
              <w:jc w:val="center"/>
              <w:rPr>
                <w:rFonts w:ascii="微软雅黑" w:hAnsi="微软雅黑" w:eastAsia="微软雅黑" w:cs="微软雅黑"/>
                <w:b/>
                <w:bCs/>
                <w:sz w:val="24"/>
                <w:szCs w:val="24"/>
              </w:rPr>
            </w:pPr>
            <w:r>
              <w:rPr>
                <w:rFonts w:hint="eastAsia" w:ascii="微软雅黑" w:hAnsi="微软雅黑" w:eastAsia="微软雅黑" w:cs="微软雅黑"/>
                <w:b/>
                <w:bCs/>
                <w:spacing w:val="3"/>
                <w:sz w:val="24"/>
                <w:szCs w:val="24"/>
              </w:rPr>
              <w:t>主体颜色</w:t>
            </w:r>
          </w:p>
        </w:tc>
      </w:tr>
      <w:tr w14:paraId="7BB78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6351" w:type="dxa"/>
            <w:vAlign w:val="center"/>
          </w:tcPr>
          <w:p w14:paraId="68CF1D06">
            <w:pPr>
              <w:pStyle w:val="14"/>
              <w:snapToGrid w:val="0"/>
              <w:spacing w:before="94" w:line="360" w:lineRule="auto"/>
              <w:jc w:val="center"/>
              <w:rPr>
                <w:rFonts w:ascii="微软雅黑" w:hAnsi="微软雅黑" w:eastAsia="微软雅黑" w:cs="微软雅黑"/>
                <w:sz w:val="24"/>
                <w:szCs w:val="24"/>
              </w:rPr>
            </w:pPr>
            <w:r>
              <w:rPr>
                <w:rFonts w:hint="eastAsia" w:ascii="微软雅黑" w:hAnsi="微软雅黑" w:eastAsia="微软雅黑" w:cs="微软雅黑"/>
                <w:sz w:val="24"/>
                <w:szCs w:val="24"/>
              </w:rPr>
              <w:t>木质</w:t>
            </w:r>
          </w:p>
        </w:tc>
        <w:tc>
          <w:tcPr>
            <w:tcW w:w="7976" w:type="dxa"/>
            <w:vAlign w:val="center"/>
          </w:tcPr>
          <w:p w14:paraId="7728D0A9">
            <w:pPr>
              <w:pStyle w:val="14"/>
              <w:snapToGrid w:val="0"/>
              <w:spacing w:before="86"/>
              <w:jc w:val="center"/>
              <w:rPr>
                <w:rFonts w:ascii="微软雅黑" w:hAnsi="微软雅黑" w:eastAsia="微软雅黑" w:cs="微软雅黑"/>
                <w:sz w:val="24"/>
                <w:szCs w:val="24"/>
              </w:rPr>
            </w:pPr>
            <w:r>
              <w:rPr>
                <w:rFonts w:hint="eastAsia" w:ascii="微软雅黑" w:hAnsi="微软雅黑" w:eastAsia="微软雅黑" w:cs="微软雅黑"/>
                <w:spacing w:val="-1"/>
                <w:sz w:val="24"/>
                <w:szCs w:val="24"/>
              </w:rPr>
              <w:t>胡桃木色</w:t>
            </w:r>
          </w:p>
        </w:tc>
      </w:tr>
      <w:tr w14:paraId="6B22D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6351" w:type="dxa"/>
            <w:vAlign w:val="center"/>
          </w:tcPr>
          <w:p w14:paraId="7926C3EB">
            <w:pPr>
              <w:pStyle w:val="14"/>
              <w:snapToGrid w:val="0"/>
              <w:spacing w:before="94" w:line="360" w:lineRule="auto"/>
              <w:jc w:val="center"/>
              <w:rPr>
                <w:rFonts w:ascii="微软雅黑" w:hAnsi="微软雅黑" w:eastAsia="微软雅黑" w:cs="微软雅黑"/>
                <w:sz w:val="24"/>
                <w:szCs w:val="24"/>
              </w:rPr>
            </w:pPr>
            <w:r>
              <w:rPr>
                <w:rFonts w:hint="eastAsia" w:ascii="微软雅黑" w:hAnsi="微软雅黑" w:eastAsia="微软雅黑" w:cs="微软雅黑"/>
                <w:sz w:val="24"/>
                <w:szCs w:val="24"/>
              </w:rPr>
              <w:t>钢制</w:t>
            </w:r>
          </w:p>
        </w:tc>
        <w:tc>
          <w:tcPr>
            <w:tcW w:w="7976" w:type="dxa"/>
            <w:vAlign w:val="center"/>
          </w:tcPr>
          <w:p w14:paraId="23209789">
            <w:pPr>
              <w:pStyle w:val="14"/>
              <w:snapToGrid w:val="0"/>
              <w:spacing w:before="86" w:line="360" w:lineRule="auto"/>
              <w:jc w:val="center"/>
              <w:rPr>
                <w:rFonts w:ascii="微软雅黑" w:hAnsi="微软雅黑" w:eastAsia="微软雅黑" w:cs="微软雅黑"/>
                <w:spacing w:val="-1"/>
                <w:sz w:val="24"/>
                <w:szCs w:val="24"/>
              </w:rPr>
            </w:pPr>
            <w:r>
              <w:rPr>
                <w:rFonts w:hint="eastAsia" w:ascii="微软雅黑" w:hAnsi="微软雅黑" w:eastAsia="微软雅黑" w:cs="微软雅黑"/>
                <w:spacing w:val="-1"/>
                <w:sz w:val="24"/>
                <w:szCs w:val="24"/>
              </w:rPr>
              <w:t>银灰色、白色</w:t>
            </w:r>
          </w:p>
        </w:tc>
      </w:tr>
      <w:tr w14:paraId="5E501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351" w:type="dxa"/>
            <w:vAlign w:val="center"/>
          </w:tcPr>
          <w:p w14:paraId="4142679A">
            <w:pPr>
              <w:pStyle w:val="14"/>
              <w:snapToGrid w:val="0"/>
              <w:spacing w:before="94" w:line="360" w:lineRule="auto"/>
              <w:jc w:val="center"/>
              <w:rPr>
                <w:rFonts w:ascii="微软雅黑" w:hAnsi="微软雅黑" w:eastAsia="微软雅黑" w:cs="微软雅黑"/>
                <w:sz w:val="24"/>
                <w:szCs w:val="24"/>
              </w:rPr>
            </w:pPr>
            <w:r>
              <w:rPr>
                <w:rFonts w:hint="eastAsia" w:ascii="微软雅黑" w:hAnsi="微软雅黑" w:eastAsia="微软雅黑" w:cs="微软雅黑"/>
                <w:sz w:val="24"/>
                <w:szCs w:val="24"/>
              </w:rPr>
              <w:t>网椅</w:t>
            </w:r>
          </w:p>
        </w:tc>
        <w:tc>
          <w:tcPr>
            <w:tcW w:w="7976" w:type="dxa"/>
            <w:vAlign w:val="center"/>
          </w:tcPr>
          <w:p w14:paraId="6BA93D6D">
            <w:pPr>
              <w:pStyle w:val="14"/>
              <w:snapToGrid w:val="0"/>
              <w:spacing w:before="86" w:line="360" w:lineRule="auto"/>
              <w:jc w:val="center"/>
              <w:rPr>
                <w:rFonts w:ascii="微软雅黑" w:hAnsi="微软雅黑" w:eastAsia="微软雅黑" w:cs="微软雅黑"/>
                <w:spacing w:val="-1"/>
                <w:sz w:val="24"/>
                <w:szCs w:val="24"/>
              </w:rPr>
            </w:pPr>
            <w:r>
              <w:rPr>
                <w:rFonts w:hint="eastAsia" w:ascii="微软雅黑" w:hAnsi="微软雅黑" w:eastAsia="微软雅黑" w:cs="微软雅黑"/>
                <w:spacing w:val="-1"/>
                <w:sz w:val="24"/>
                <w:szCs w:val="24"/>
              </w:rPr>
              <w:t>黑色、灰色</w:t>
            </w:r>
          </w:p>
        </w:tc>
      </w:tr>
      <w:tr w14:paraId="55A1E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jc w:val="center"/>
        </w:trPr>
        <w:tc>
          <w:tcPr>
            <w:tcW w:w="6351" w:type="dxa"/>
            <w:vAlign w:val="center"/>
          </w:tcPr>
          <w:p w14:paraId="430194DF">
            <w:pPr>
              <w:pStyle w:val="14"/>
              <w:snapToGrid w:val="0"/>
              <w:spacing w:before="268" w:line="360" w:lineRule="auto"/>
              <w:jc w:val="center"/>
              <w:rPr>
                <w:rFonts w:ascii="微软雅黑" w:hAnsi="微软雅黑" w:eastAsia="微软雅黑" w:cs="微软雅黑"/>
                <w:sz w:val="24"/>
                <w:szCs w:val="24"/>
              </w:rPr>
            </w:pPr>
            <w:r>
              <w:rPr>
                <w:rFonts w:hint="eastAsia" w:ascii="微软雅黑" w:hAnsi="微软雅黑" w:eastAsia="微软雅黑" w:cs="微软雅黑"/>
                <w:sz w:val="24"/>
                <w:szCs w:val="24"/>
              </w:rPr>
              <w:t>皮革</w:t>
            </w:r>
          </w:p>
        </w:tc>
        <w:tc>
          <w:tcPr>
            <w:tcW w:w="7976" w:type="dxa"/>
            <w:vAlign w:val="center"/>
          </w:tcPr>
          <w:p w14:paraId="0C21B71B">
            <w:pPr>
              <w:pStyle w:val="14"/>
              <w:snapToGrid w:val="0"/>
              <w:spacing w:before="127" w:line="360" w:lineRule="auto"/>
              <w:jc w:val="center"/>
              <w:rPr>
                <w:rFonts w:ascii="微软雅黑" w:hAnsi="微软雅黑" w:eastAsia="微软雅黑" w:cs="微软雅黑"/>
                <w:sz w:val="24"/>
                <w:szCs w:val="24"/>
              </w:rPr>
            </w:pPr>
            <w:r>
              <w:rPr>
                <w:rFonts w:hint="eastAsia" w:ascii="微软雅黑" w:hAnsi="微软雅黑" w:eastAsia="微软雅黑" w:cs="微软雅黑"/>
                <w:sz w:val="24"/>
                <w:szCs w:val="24"/>
              </w:rPr>
              <w:t>黑色</w:t>
            </w:r>
          </w:p>
        </w:tc>
      </w:tr>
    </w:tbl>
    <w:p w14:paraId="79E8E516">
      <w:pPr>
        <w:tabs>
          <w:tab w:val="left" w:pos="1614"/>
        </w:tabs>
        <w:spacing w:line="360" w:lineRule="auto"/>
        <w:ind w:firstLine="420" w:firstLineChars="200"/>
        <w:rPr>
          <w:rFonts w:ascii="微软雅黑" w:hAnsi="微软雅黑" w:eastAsia="微软雅黑" w:cs="微软雅黑"/>
        </w:rPr>
      </w:pPr>
      <w:r>
        <w:rPr>
          <w:rFonts w:hint="eastAsia" w:ascii="微软雅黑" w:hAnsi="微软雅黑" w:eastAsia="微软雅黑" w:cs="微软雅黑"/>
        </w:rPr>
        <w:tab/>
      </w:r>
    </w:p>
    <w:p w14:paraId="6310EE59">
      <w:pPr>
        <w:tabs>
          <w:tab w:val="left" w:pos="1614"/>
        </w:tabs>
        <w:spacing w:line="360" w:lineRule="auto"/>
        <w:rPr>
          <w:rFonts w:ascii="微软雅黑" w:hAnsi="微软雅黑" w:eastAsia="微软雅黑" w:cs="微软雅黑"/>
        </w:rPr>
      </w:pPr>
    </w:p>
    <w:p w14:paraId="0464DF51">
      <w:pPr>
        <w:tabs>
          <w:tab w:val="left" w:pos="1614"/>
        </w:tabs>
        <w:spacing w:line="360" w:lineRule="auto"/>
        <w:rPr>
          <w:rFonts w:ascii="微软雅黑" w:hAnsi="微软雅黑" w:eastAsia="微软雅黑" w:cs="微软雅黑"/>
        </w:rPr>
      </w:pPr>
    </w:p>
    <w:p w14:paraId="562B3864">
      <w:pPr>
        <w:tabs>
          <w:tab w:val="left" w:pos="1614"/>
        </w:tabs>
        <w:spacing w:line="360" w:lineRule="auto"/>
        <w:rPr>
          <w:rFonts w:ascii="微软雅黑" w:hAnsi="微软雅黑" w:eastAsia="微软雅黑" w:cs="微软雅黑"/>
        </w:rPr>
      </w:pPr>
    </w:p>
    <w:p w14:paraId="08B2A114">
      <w:pPr>
        <w:tabs>
          <w:tab w:val="left" w:pos="1614"/>
        </w:tabs>
        <w:spacing w:line="360" w:lineRule="auto"/>
        <w:rPr>
          <w:rFonts w:ascii="微软雅黑" w:hAnsi="微软雅黑" w:eastAsia="微软雅黑" w:cs="微软雅黑"/>
        </w:rPr>
      </w:pPr>
    </w:p>
    <w:p w14:paraId="3F5F8DB3">
      <w:pPr>
        <w:tabs>
          <w:tab w:val="left" w:pos="1614"/>
        </w:tabs>
        <w:spacing w:line="360" w:lineRule="auto"/>
        <w:rPr>
          <w:rFonts w:ascii="微软雅黑" w:hAnsi="微软雅黑" w:eastAsia="微软雅黑" w:cs="微软雅黑"/>
        </w:rPr>
      </w:pPr>
    </w:p>
    <w:p w14:paraId="79B07BE1">
      <w:pPr>
        <w:spacing w:before="1" w:line="360" w:lineRule="auto"/>
        <w:rPr>
          <w:rFonts w:ascii="微软雅黑" w:hAnsi="微软雅黑" w:eastAsia="微软雅黑" w:cs="微软雅黑"/>
          <w:b/>
          <w:bCs/>
          <w:sz w:val="28"/>
          <w:szCs w:val="28"/>
        </w:rPr>
      </w:pPr>
      <w:r>
        <w:rPr>
          <w:rFonts w:hint="eastAsia" w:ascii="微软雅黑" w:hAnsi="微软雅黑" w:eastAsia="微软雅黑" w:cs="微软雅黑"/>
          <w:b/>
          <w:bCs/>
          <w:sz w:val="28"/>
          <w:szCs w:val="28"/>
        </w:rPr>
        <w:t>六、样品要求</w:t>
      </w:r>
    </w:p>
    <w:p w14:paraId="2A882BD9">
      <w:pPr>
        <w:spacing w:before="1" w:line="360" w:lineRule="auto"/>
        <w:ind w:left="420" w:leftChars="200"/>
        <w:rPr>
          <w:rFonts w:ascii="微软雅黑" w:hAnsi="微软雅黑" w:eastAsia="微软雅黑" w:cs="微软雅黑"/>
          <w:sz w:val="24"/>
        </w:rPr>
      </w:pPr>
      <w:r>
        <w:rPr>
          <w:rFonts w:hint="eastAsia" w:ascii="微软雅黑" w:hAnsi="微软雅黑" w:eastAsia="微软雅黑" w:cs="微软雅黑"/>
          <w:sz w:val="24"/>
        </w:rPr>
        <w:t>投标人需要按以下要求提交样品，中标样品交由采购人作为履约验收参考，最终产品使用的原辅材料不得低于样品的标准。</w:t>
      </w:r>
    </w:p>
    <w:tbl>
      <w:tblPr>
        <w:tblStyle w:val="15"/>
        <w:tblpPr w:leftFromText="180" w:rightFromText="180" w:vertAnchor="text" w:horzAnchor="page" w:tblpXSpec="center" w:tblpY="92"/>
        <w:tblOverlap w:val="never"/>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80" w:type="dxa"/>
          <w:left w:w="128" w:type="dxa"/>
          <w:bottom w:w="80" w:type="dxa"/>
          <w:right w:w="128" w:type="dxa"/>
        </w:tblCellMar>
      </w:tblPr>
      <w:tblGrid>
        <w:gridCol w:w="1955"/>
        <w:gridCol w:w="7737"/>
        <w:gridCol w:w="3738"/>
        <w:gridCol w:w="1961"/>
      </w:tblGrid>
      <w:tr w14:paraId="24375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737" w:hRule="atLeast"/>
          <w:tblHeader/>
          <w:jc w:val="center"/>
        </w:trPr>
        <w:tc>
          <w:tcPr>
            <w:tcW w:w="635" w:type="pct"/>
            <w:vAlign w:val="center"/>
          </w:tcPr>
          <w:p w14:paraId="42ECF799">
            <w:pPr>
              <w:pStyle w:val="14"/>
              <w:snapToGrid w:val="0"/>
              <w:spacing w:before="246"/>
              <w:jc w:val="center"/>
              <w:rPr>
                <w:rFonts w:ascii="微软雅黑" w:hAnsi="微软雅黑" w:eastAsia="微软雅黑" w:cs="微软雅黑"/>
                <w:b/>
                <w:bCs/>
                <w:sz w:val="24"/>
                <w:szCs w:val="24"/>
              </w:rPr>
            </w:pPr>
            <w:r>
              <w:rPr>
                <w:rFonts w:hint="eastAsia" w:ascii="微软雅黑" w:hAnsi="微软雅黑" w:eastAsia="微软雅黑" w:cs="微软雅黑"/>
                <w:b/>
                <w:bCs/>
                <w:spacing w:val="-8"/>
                <w:sz w:val="24"/>
                <w:szCs w:val="24"/>
              </w:rPr>
              <w:t>分类</w:t>
            </w:r>
          </w:p>
        </w:tc>
        <w:tc>
          <w:tcPr>
            <w:tcW w:w="2513" w:type="pct"/>
            <w:vAlign w:val="center"/>
          </w:tcPr>
          <w:p w14:paraId="26B49C92">
            <w:pPr>
              <w:pStyle w:val="14"/>
              <w:snapToGrid w:val="0"/>
              <w:spacing w:before="246"/>
              <w:ind w:left="132"/>
              <w:jc w:val="center"/>
              <w:rPr>
                <w:rFonts w:ascii="微软雅黑" w:hAnsi="微软雅黑" w:eastAsia="微软雅黑" w:cs="微软雅黑"/>
                <w:b/>
                <w:bCs/>
                <w:sz w:val="24"/>
                <w:szCs w:val="24"/>
              </w:rPr>
            </w:pPr>
            <w:r>
              <w:rPr>
                <w:rFonts w:hint="eastAsia" w:ascii="微软雅黑" w:hAnsi="微软雅黑" w:eastAsia="微软雅黑" w:cs="微软雅黑"/>
                <w:b/>
                <w:bCs/>
                <w:spacing w:val="3"/>
                <w:sz w:val="24"/>
                <w:szCs w:val="24"/>
              </w:rPr>
              <w:t>样品要求</w:t>
            </w:r>
          </w:p>
        </w:tc>
        <w:tc>
          <w:tcPr>
            <w:tcW w:w="1214" w:type="pct"/>
            <w:vAlign w:val="center"/>
          </w:tcPr>
          <w:p w14:paraId="0716501C">
            <w:pPr>
              <w:pStyle w:val="14"/>
              <w:snapToGrid w:val="0"/>
              <w:spacing w:before="244"/>
              <w:ind w:left="106"/>
              <w:jc w:val="center"/>
              <w:rPr>
                <w:rFonts w:ascii="微软雅黑" w:hAnsi="微软雅黑" w:eastAsia="微软雅黑" w:cs="微软雅黑"/>
                <w:b/>
                <w:bCs/>
                <w:sz w:val="24"/>
                <w:szCs w:val="24"/>
              </w:rPr>
            </w:pPr>
            <w:r>
              <w:rPr>
                <w:rFonts w:hint="eastAsia" w:ascii="微软雅黑" w:hAnsi="微软雅黑" w:eastAsia="微软雅黑" w:cs="微软雅黑"/>
                <w:b/>
                <w:bCs/>
                <w:spacing w:val="7"/>
                <w:sz w:val="24"/>
                <w:szCs w:val="24"/>
              </w:rPr>
              <w:t>参考尺寸(单位mm)</w:t>
            </w:r>
          </w:p>
        </w:tc>
        <w:tc>
          <w:tcPr>
            <w:tcW w:w="637" w:type="pct"/>
            <w:vAlign w:val="center"/>
          </w:tcPr>
          <w:p w14:paraId="4B4676C8">
            <w:pPr>
              <w:pStyle w:val="14"/>
              <w:snapToGrid w:val="0"/>
              <w:spacing w:before="244"/>
              <w:ind w:left="106"/>
              <w:jc w:val="center"/>
              <w:rPr>
                <w:rFonts w:ascii="微软雅黑" w:hAnsi="微软雅黑" w:eastAsia="微软雅黑" w:cs="微软雅黑"/>
                <w:b/>
                <w:bCs/>
                <w:spacing w:val="7"/>
                <w:sz w:val="24"/>
                <w:szCs w:val="24"/>
              </w:rPr>
            </w:pPr>
            <w:r>
              <w:rPr>
                <w:rFonts w:hint="eastAsia" w:ascii="微软雅黑" w:hAnsi="微软雅黑" w:eastAsia="微软雅黑" w:cs="微软雅黑"/>
                <w:b/>
                <w:bCs/>
                <w:spacing w:val="7"/>
                <w:sz w:val="24"/>
                <w:szCs w:val="24"/>
              </w:rPr>
              <w:t>数量</w:t>
            </w:r>
          </w:p>
        </w:tc>
      </w:tr>
      <w:tr w14:paraId="046AF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737" w:hRule="atLeast"/>
          <w:jc w:val="center"/>
        </w:trPr>
        <w:tc>
          <w:tcPr>
            <w:tcW w:w="635" w:type="pct"/>
            <w:vAlign w:val="center"/>
          </w:tcPr>
          <w:p w14:paraId="56D969A6">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实验桌5</w:t>
            </w:r>
          </w:p>
        </w:tc>
        <w:tc>
          <w:tcPr>
            <w:tcW w:w="2513" w:type="pct"/>
            <w:vAlign w:val="center"/>
          </w:tcPr>
          <w:p w14:paraId="03B7C4DD">
            <w:pPr>
              <w:ind w:left="420" w:leftChars="200"/>
              <w:jc w:val="center"/>
              <w:rPr>
                <w:rFonts w:ascii="微软雅黑" w:hAnsi="微软雅黑" w:eastAsia="微软雅黑" w:cs="微软雅黑"/>
                <w:sz w:val="24"/>
              </w:rPr>
            </w:pPr>
            <w:r>
              <w:rPr>
                <w:rFonts w:ascii="微软雅黑" w:hAnsi="微软雅黑" w:eastAsia="微软雅黑" w:cs="微软雅黑"/>
                <w:sz w:val="24"/>
              </w:rPr>
              <w:t>参照“采购清单及技术参数要求、序号</w:t>
            </w:r>
            <w:r>
              <w:rPr>
                <w:rFonts w:hint="eastAsia" w:ascii="微软雅黑" w:hAnsi="微软雅黑" w:eastAsia="微软雅黑" w:cs="微软雅黑"/>
                <w:sz w:val="24"/>
              </w:rPr>
              <w:t>5、实验桌5”技术要求</w:t>
            </w:r>
          </w:p>
        </w:tc>
        <w:tc>
          <w:tcPr>
            <w:tcW w:w="1214" w:type="pct"/>
            <w:vAlign w:val="center"/>
          </w:tcPr>
          <w:p w14:paraId="04AB762F">
            <w:pPr>
              <w:ind w:left="420" w:leftChars="200"/>
              <w:jc w:val="center"/>
              <w:rPr>
                <w:rFonts w:ascii="微软雅黑" w:hAnsi="微软雅黑" w:eastAsia="微软雅黑" w:cs="微软雅黑"/>
                <w:sz w:val="24"/>
              </w:rPr>
            </w:pPr>
            <w:r>
              <w:rPr>
                <w:rFonts w:ascii="微软雅黑" w:hAnsi="微软雅黑" w:eastAsia="微软雅黑" w:cs="微软雅黑"/>
                <w:sz w:val="24"/>
              </w:rPr>
              <w:t>1500*600*750</w:t>
            </w:r>
          </w:p>
        </w:tc>
        <w:tc>
          <w:tcPr>
            <w:tcW w:w="637" w:type="pct"/>
            <w:vAlign w:val="center"/>
          </w:tcPr>
          <w:p w14:paraId="1D9103C2">
            <w:pPr>
              <w:jc w:val="center"/>
              <w:rPr>
                <w:rFonts w:ascii="微软雅黑" w:hAnsi="微软雅黑" w:eastAsia="微软雅黑" w:cs="微软雅黑"/>
                <w:sz w:val="24"/>
              </w:rPr>
            </w:pPr>
            <w:r>
              <w:rPr>
                <w:rFonts w:hint="eastAsia" w:ascii="微软雅黑" w:hAnsi="微软雅黑" w:eastAsia="微软雅黑" w:cs="微软雅黑"/>
                <w:sz w:val="24"/>
              </w:rPr>
              <w:t>1张</w:t>
            </w:r>
          </w:p>
        </w:tc>
      </w:tr>
      <w:tr w14:paraId="6B666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737" w:hRule="atLeast"/>
          <w:jc w:val="center"/>
        </w:trPr>
        <w:tc>
          <w:tcPr>
            <w:tcW w:w="635" w:type="pct"/>
            <w:vAlign w:val="center"/>
          </w:tcPr>
          <w:p w14:paraId="4CE56ED9">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研究生工位</w:t>
            </w:r>
          </w:p>
        </w:tc>
        <w:tc>
          <w:tcPr>
            <w:tcW w:w="2513" w:type="pct"/>
            <w:vAlign w:val="center"/>
          </w:tcPr>
          <w:p w14:paraId="391FE528">
            <w:pPr>
              <w:ind w:left="420" w:leftChars="200"/>
              <w:jc w:val="center"/>
              <w:rPr>
                <w:rFonts w:ascii="微软雅黑" w:hAnsi="微软雅黑" w:eastAsia="微软雅黑" w:cs="微软雅黑"/>
                <w:sz w:val="24"/>
              </w:rPr>
            </w:pPr>
            <w:r>
              <w:rPr>
                <w:rFonts w:ascii="微软雅黑" w:hAnsi="微软雅黑" w:eastAsia="微软雅黑" w:cs="微软雅黑"/>
                <w:sz w:val="24"/>
              </w:rPr>
              <w:t>参照“采购清单及技术参数要求、序号</w:t>
            </w:r>
            <w:r>
              <w:rPr>
                <w:rFonts w:hint="eastAsia" w:ascii="微软雅黑" w:hAnsi="微软雅黑" w:eastAsia="微软雅黑" w:cs="微软雅黑"/>
                <w:sz w:val="24"/>
              </w:rPr>
              <w:t>11、研究生工位”技术要求</w:t>
            </w:r>
          </w:p>
          <w:p w14:paraId="1D32CA14">
            <w:pPr>
              <w:ind w:left="420" w:leftChars="200"/>
              <w:jc w:val="center"/>
              <w:rPr>
                <w:rFonts w:ascii="微软雅黑" w:hAnsi="微软雅黑" w:eastAsia="微软雅黑" w:cs="微软雅黑"/>
                <w:sz w:val="24"/>
              </w:rPr>
            </w:pPr>
            <w:r>
              <w:rPr>
                <w:rFonts w:ascii="微软雅黑" w:hAnsi="微软雅黑" w:eastAsia="微软雅黑" w:cs="微软雅黑"/>
                <w:sz w:val="24"/>
              </w:rPr>
              <w:t>样品桌需安装2组86型面板强电模块</w:t>
            </w:r>
          </w:p>
        </w:tc>
        <w:tc>
          <w:tcPr>
            <w:tcW w:w="1214" w:type="pct"/>
            <w:vAlign w:val="center"/>
          </w:tcPr>
          <w:p w14:paraId="18459B08">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桌面尺寸：1000*500*25</w:t>
            </w:r>
          </w:p>
          <w:p w14:paraId="056F06B6">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隔板尺寸：1000*250*25</w:t>
            </w:r>
          </w:p>
          <w:p w14:paraId="7DCDCC92">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板式抽屉斗面高度≥120</w:t>
            </w:r>
          </w:p>
          <w:p w14:paraId="391B3A52">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屏风厚度≤40</w:t>
            </w:r>
          </w:p>
        </w:tc>
        <w:tc>
          <w:tcPr>
            <w:tcW w:w="637" w:type="pct"/>
            <w:vAlign w:val="center"/>
          </w:tcPr>
          <w:p w14:paraId="1FB80C21">
            <w:pPr>
              <w:jc w:val="center"/>
              <w:rPr>
                <w:rFonts w:ascii="微软雅黑" w:hAnsi="微软雅黑" w:eastAsia="微软雅黑" w:cs="微软雅黑"/>
                <w:sz w:val="24"/>
              </w:rPr>
            </w:pPr>
            <w:r>
              <w:rPr>
                <w:rFonts w:hint="eastAsia" w:ascii="微软雅黑" w:hAnsi="微软雅黑" w:eastAsia="微软雅黑" w:cs="微软雅黑"/>
                <w:sz w:val="24"/>
              </w:rPr>
              <w:t>1套</w:t>
            </w:r>
          </w:p>
        </w:tc>
      </w:tr>
      <w:tr w14:paraId="0BF4C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7" w:hRule="atLeast"/>
          <w:jc w:val="center"/>
        </w:trPr>
        <w:tc>
          <w:tcPr>
            <w:tcW w:w="635" w:type="pct"/>
            <w:vAlign w:val="center"/>
          </w:tcPr>
          <w:p w14:paraId="2079404E">
            <w:pPr>
              <w:ind w:left="420" w:leftChars="200"/>
              <w:jc w:val="center"/>
              <w:rPr>
                <w:rFonts w:ascii="微软雅黑" w:hAnsi="微软雅黑" w:eastAsia="微软雅黑" w:cs="微软雅黑"/>
                <w:sz w:val="24"/>
              </w:rPr>
            </w:pPr>
            <w:r>
              <w:rPr>
                <w:rFonts w:ascii="微软雅黑" w:hAnsi="微软雅黑" w:eastAsia="微软雅黑" w:cs="微软雅黑"/>
                <w:sz w:val="24"/>
              </w:rPr>
              <w:t>方凳</w:t>
            </w:r>
          </w:p>
        </w:tc>
        <w:tc>
          <w:tcPr>
            <w:tcW w:w="2513" w:type="pct"/>
            <w:vAlign w:val="center"/>
          </w:tcPr>
          <w:p w14:paraId="67A5F54F">
            <w:pPr>
              <w:ind w:left="420" w:leftChars="200"/>
              <w:jc w:val="center"/>
              <w:rPr>
                <w:rFonts w:ascii="微软雅黑" w:hAnsi="微软雅黑" w:eastAsia="微软雅黑" w:cs="微软雅黑"/>
                <w:sz w:val="24"/>
              </w:rPr>
            </w:pPr>
            <w:r>
              <w:rPr>
                <w:rFonts w:ascii="微软雅黑" w:hAnsi="微软雅黑" w:eastAsia="微软雅黑" w:cs="微软雅黑"/>
                <w:sz w:val="24"/>
              </w:rPr>
              <w:t>参照“采购清单及技术参数要求、序号</w:t>
            </w:r>
            <w:r>
              <w:rPr>
                <w:rFonts w:hint="eastAsia" w:ascii="微软雅黑" w:hAnsi="微软雅黑" w:eastAsia="微软雅黑" w:cs="微软雅黑"/>
                <w:sz w:val="24"/>
              </w:rPr>
              <w:t>25、</w:t>
            </w:r>
            <w:r>
              <w:rPr>
                <w:rFonts w:ascii="微软雅黑" w:hAnsi="微软雅黑" w:eastAsia="微软雅黑" w:cs="微软雅黑"/>
                <w:sz w:val="24"/>
              </w:rPr>
              <w:t>方凳</w:t>
            </w:r>
            <w:r>
              <w:rPr>
                <w:rFonts w:hint="eastAsia" w:ascii="微软雅黑" w:hAnsi="微软雅黑" w:eastAsia="微软雅黑" w:cs="微软雅黑"/>
                <w:sz w:val="24"/>
              </w:rPr>
              <w:t>”技术要求</w:t>
            </w:r>
          </w:p>
        </w:tc>
        <w:tc>
          <w:tcPr>
            <w:tcW w:w="1214" w:type="pct"/>
            <w:vAlign w:val="center"/>
          </w:tcPr>
          <w:p w14:paraId="7B74455B">
            <w:pPr>
              <w:ind w:left="420" w:leftChars="200"/>
              <w:jc w:val="center"/>
              <w:rPr>
                <w:rFonts w:ascii="微软雅黑" w:hAnsi="微软雅黑" w:eastAsia="微软雅黑" w:cs="微软雅黑"/>
                <w:sz w:val="24"/>
              </w:rPr>
            </w:pPr>
            <w:r>
              <w:rPr>
                <w:rFonts w:ascii="微软雅黑" w:hAnsi="微软雅黑" w:eastAsia="微软雅黑" w:cs="微软雅黑"/>
                <w:sz w:val="24"/>
              </w:rPr>
              <w:t>360*260*450</w:t>
            </w:r>
          </w:p>
        </w:tc>
        <w:tc>
          <w:tcPr>
            <w:tcW w:w="637" w:type="pct"/>
            <w:vAlign w:val="center"/>
          </w:tcPr>
          <w:p w14:paraId="406B7684">
            <w:pPr>
              <w:jc w:val="center"/>
              <w:rPr>
                <w:rFonts w:ascii="微软雅黑" w:hAnsi="微软雅黑" w:eastAsia="微软雅黑" w:cs="微软雅黑"/>
                <w:sz w:val="24"/>
              </w:rPr>
            </w:pPr>
            <w:r>
              <w:rPr>
                <w:rFonts w:hint="eastAsia" w:ascii="微软雅黑" w:hAnsi="微软雅黑" w:eastAsia="微软雅黑" w:cs="微软雅黑"/>
                <w:sz w:val="24"/>
              </w:rPr>
              <w:t>1只</w:t>
            </w:r>
          </w:p>
        </w:tc>
      </w:tr>
      <w:tr w14:paraId="6ACC4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737" w:hRule="atLeast"/>
          <w:jc w:val="center"/>
        </w:trPr>
        <w:tc>
          <w:tcPr>
            <w:tcW w:w="635" w:type="pct"/>
            <w:vAlign w:val="center"/>
          </w:tcPr>
          <w:p w14:paraId="4D8FD278">
            <w:pPr>
              <w:ind w:left="420" w:leftChars="200"/>
              <w:jc w:val="center"/>
              <w:rPr>
                <w:rFonts w:ascii="微软雅黑" w:hAnsi="微软雅黑" w:eastAsia="微软雅黑" w:cs="微软雅黑"/>
                <w:sz w:val="24"/>
              </w:rPr>
            </w:pPr>
            <w:r>
              <w:rPr>
                <w:rFonts w:ascii="微软雅黑" w:hAnsi="微软雅黑" w:eastAsia="微软雅黑" w:cs="微软雅黑"/>
                <w:sz w:val="24"/>
              </w:rPr>
              <w:t>折叠椅</w:t>
            </w:r>
          </w:p>
        </w:tc>
        <w:tc>
          <w:tcPr>
            <w:tcW w:w="2513" w:type="pct"/>
            <w:vAlign w:val="center"/>
          </w:tcPr>
          <w:p w14:paraId="24AE7C31">
            <w:pPr>
              <w:ind w:left="420" w:leftChars="200"/>
              <w:jc w:val="center"/>
              <w:rPr>
                <w:rFonts w:ascii="微软雅黑" w:hAnsi="微软雅黑" w:eastAsia="微软雅黑" w:cs="微软雅黑"/>
                <w:sz w:val="24"/>
              </w:rPr>
            </w:pPr>
            <w:r>
              <w:rPr>
                <w:rFonts w:ascii="微软雅黑" w:hAnsi="微软雅黑" w:eastAsia="微软雅黑" w:cs="微软雅黑"/>
                <w:sz w:val="24"/>
              </w:rPr>
              <w:t>参照“采购清单及技术参数要求、序号</w:t>
            </w:r>
            <w:r>
              <w:rPr>
                <w:rFonts w:hint="eastAsia" w:ascii="微软雅黑" w:hAnsi="微软雅黑" w:eastAsia="微软雅黑" w:cs="微软雅黑"/>
                <w:sz w:val="24"/>
              </w:rPr>
              <w:t>26、</w:t>
            </w:r>
            <w:r>
              <w:rPr>
                <w:rFonts w:ascii="微软雅黑" w:hAnsi="微软雅黑" w:eastAsia="微软雅黑" w:cs="微软雅黑"/>
                <w:sz w:val="24"/>
              </w:rPr>
              <w:t>折叠椅</w:t>
            </w:r>
            <w:r>
              <w:rPr>
                <w:rFonts w:hint="eastAsia" w:ascii="微软雅黑" w:hAnsi="微软雅黑" w:eastAsia="微软雅黑" w:cs="微软雅黑"/>
                <w:sz w:val="24"/>
              </w:rPr>
              <w:t>”技术要求</w:t>
            </w:r>
          </w:p>
        </w:tc>
        <w:tc>
          <w:tcPr>
            <w:tcW w:w="1214" w:type="pct"/>
            <w:vAlign w:val="center"/>
          </w:tcPr>
          <w:p w14:paraId="47C071FC">
            <w:pPr>
              <w:ind w:left="420" w:leftChars="200"/>
              <w:jc w:val="center"/>
              <w:rPr>
                <w:rFonts w:ascii="微软雅黑" w:hAnsi="微软雅黑" w:eastAsia="微软雅黑" w:cs="微软雅黑"/>
                <w:sz w:val="24"/>
              </w:rPr>
            </w:pPr>
            <w:r>
              <w:rPr>
                <w:rFonts w:hint="eastAsia" w:ascii="微软雅黑" w:hAnsi="微软雅黑" w:eastAsia="微软雅黑" w:cs="微软雅黑"/>
                <w:sz w:val="24"/>
              </w:rPr>
              <w:t>610*645*850</w:t>
            </w:r>
          </w:p>
        </w:tc>
        <w:tc>
          <w:tcPr>
            <w:tcW w:w="637" w:type="pct"/>
            <w:vAlign w:val="center"/>
          </w:tcPr>
          <w:p w14:paraId="75205F65">
            <w:pPr>
              <w:jc w:val="center"/>
              <w:rPr>
                <w:rFonts w:ascii="微软雅黑" w:hAnsi="微软雅黑" w:eastAsia="微软雅黑" w:cs="微软雅黑"/>
                <w:sz w:val="24"/>
              </w:rPr>
            </w:pPr>
            <w:r>
              <w:rPr>
                <w:rFonts w:hint="eastAsia" w:ascii="微软雅黑" w:hAnsi="微软雅黑" w:eastAsia="微软雅黑" w:cs="微软雅黑"/>
                <w:sz w:val="24"/>
              </w:rPr>
              <w:t>1把</w:t>
            </w:r>
          </w:p>
        </w:tc>
      </w:tr>
    </w:tbl>
    <w:p w14:paraId="0552420B">
      <w:pPr>
        <w:spacing w:line="360" w:lineRule="auto"/>
        <w:ind w:left="420" w:leftChars="200"/>
        <w:rPr>
          <w:rFonts w:ascii="微软雅黑" w:hAnsi="微软雅黑" w:eastAsia="微软雅黑" w:cs="微软雅黑"/>
          <w:sz w:val="24"/>
        </w:rPr>
      </w:pPr>
      <w:r>
        <w:rPr>
          <w:rFonts w:hint="eastAsia" w:ascii="微软雅黑" w:hAnsi="微软雅黑" w:eastAsia="微软雅黑" w:cs="微软雅黑"/>
          <w:sz w:val="24"/>
        </w:rPr>
        <w:t>1.投标人需在标书中提供样品清单：列出此次投标的样品以及样品涉及的基材（板材）、五金配件等、型号、制造厂商清单。</w:t>
      </w:r>
    </w:p>
    <w:p w14:paraId="7923710F">
      <w:pPr>
        <w:spacing w:line="360" w:lineRule="auto"/>
        <w:ind w:left="420" w:leftChars="200"/>
        <w:rPr>
          <w:rFonts w:ascii="微软雅黑" w:hAnsi="微软雅黑" w:eastAsia="微软雅黑" w:cs="微软雅黑"/>
          <w:sz w:val="24"/>
        </w:rPr>
      </w:pPr>
      <w:r>
        <w:rPr>
          <w:rFonts w:hint="eastAsia" w:ascii="微软雅黑" w:hAnsi="微软雅黑" w:eastAsia="微软雅黑" w:cs="微软雅黑"/>
          <w:sz w:val="24"/>
        </w:rPr>
        <w:t>2.尺寸和规格可根据情况合理波动。投标人中标后需按照采购需求中要求的规格尺寸生产，不得影响交付正常使用。</w:t>
      </w:r>
    </w:p>
    <w:p w14:paraId="7DCCAFFC">
      <w:pPr>
        <w:spacing w:line="360" w:lineRule="auto"/>
        <w:ind w:left="420" w:leftChars="200"/>
        <w:rPr>
          <w:rFonts w:ascii="微软雅黑" w:hAnsi="微软雅黑" w:eastAsia="微软雅黑" w:cs="微软雅黑"/>
          <w:sz w:val="24"/>
        </w:rPr>
      </w:pPr>
      <w:r>
        <w:rPr>
          <w:rFonts w:hint="eastAsia" w:ascii="微软雅黑" w:hAnsi="微软雅黑" w:eastAsia="微软雅黑" w:cs="微软雅黑"/>
          <w:sz w:val="24"/>
        </w:rPr>
        <w:t>3.投标人备好安装工具及备用电池，在规定时间内完成安装。</w:t>
      </w:r>
    </w:p>
    <w:p w14:paraId="7C0DC829">
      <w:pPr>
        <w:spacing w:line="360" w:lineRule="auto"/>
        <w:ind w:left="420" w:leftChars="200"/>
        <w:rPr>
          <w:rFonts w:ascii="微软雅黑" w:hAnsi="微软雅黑" w:eastAsia="微软雅黑" w:cs="微软雅黑"/>
          <w:sz w:val="24"/>
        </w:rPr>
      </w:pPr>
      <w:r>
        <w:rPr>
          <w:rFonts w:hint="eastAsia" w:ascii="微软雅黑" w:hAnsi="微软雅黑" w:eastAsia="微软雅黑" w:cs="微软雅黑"/>
          <w:sz w:val="24"/>
        </w:rPr>
        <w:t>4.投标人提前一天向采购人明确送样的具体时间并报备车辆信息和人员信息，听从采购人的安排卸货、停车。</w:t>
      </w:r>
    </w:p>
    <w:p w14:paraId="61FEFACF">
      <w:pPr>
        <w:spacing w:line="360" w:lineRule="auto"/>
        <w:ind w:left="420" w:leftChars="200"/>
        <w:rPr>
          <w:rFonts w:hint="eastAsia" w:ascii="微软雅黑" w:hAnsi="微软雅黑" w:eastAsia="微软雅黑" w:cs="微软雅黑"/>
          <w:sz w:val="24"/>
        </w:rPr>
      </w:pPr>
      <w:r>
        <w:rPr>
          <w:rFonts w:hint="eastAsia" w:ascii="微软雅黑" w:hAnsi="微软雅黑" w:eastAsia="微软雅黑" w:cs="微软雅黑"/>
          <w:sz w:val="24"/>
        </w:rPr>
        <w:t>5.投标人运货上楼时，按规定使用电梯；同时做好安全文明施工措施，不得损坏采购人房屋及设施。</w:t>
      </w:r>
    </w:p>
    <w:p w14:paraId="6BC1FCD2">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6.为了保证产品的稳定性，成品样品不接受3D打印。</w:t>
      </w:r>
    </w:p>
    <w:p w14:paraId="582C43C3">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7.投标实样送达地点：上海电力大学临港校区，联系人：胡荣，联系电话：18116341263，送达截止时间为开标前一个工作日</w:t>
      </w:r>
      <w:r>
        <w:rPr>
          <w:rFonts w:hint="eastAsia" w:ascii="微软雅黑" w:hAnsi="微软雅黑" w:eastAsia="微软雅黑" w:cs="微软雅黑"/>
          <w:sz w:val="24"/>
          <w:szCs w:val="24"/>
          <w:highlight w:val="none"/>
        </w:rPr>
        <w:t>17时</w:t>
      </w:r>
      <w:r>
        <w:rPr>
          <w:rFonts w:hint="eastAsia" w:ascii="微软雅黑" w:hAnsi="微软雅黑" w:eastAsia="微软雅黑" w:cs="微软雅黑"/>
          <w:kern w:val="2"/>
          <w:sz w:val="24"/>
          <w:szCs w:val="24"/>
          <w:highlight w:val="none"/>
          <w:lang w:val="en-US" w:eastAsia="zh-CN" w:bidi="ar-SA"/>
        </w:rPr>
        <w:t>。</w:t>
      </w:r>
    </w:p>
    <w:p w14:paraId="06544531">
      <w:pPr>
        <w:spacing w:line="360" w:lineRule="auto"/>
        <w:ind w:left="420" w:leftChars="200"/>
        <w:rPr>
          <w:rFonts w:hint="eastAsia" w:ascii="微软雅黑" w:hAnsi="微软雅黑" w:eastAsia="微软雅黑" w:cs="微软雅黑"/>
          <w:sz w:val="24"/>
        </w:rPr>
      </w:pPr>
    </w:p>
    <w:p w14:paraId="3107CC12">
      <w:pPr>
        <w:pStyle w:val="6"/>
        <w:spacing w:before="120" w:line="360" w:lineRule="auto"/>
        <w:outlineLvl w:val="6"/>
        <w:rPr>
          <w:rFonts w:ascii="微软雅黑" w:hAnsi="微软雅黑" w:eastAsia="微软雅黑" w:cs="微软雅黑"/>
        </w:rPr>
      </w:pPr>
      <w:r>
        <w:rPr>
          <w:rFonts w:hint="eastAsia" w:ascii="微软雅黑" w:hAnsi="微软雅黑" w:eastAsia="微软雅黑" w:cs="微软雅黑"/>
          <w:b/>
          <w:bCs/>
          <w:spacing w:val="-4"/>
          <w:sz w:val="28"/>
          <w:szCs w:val="28"/>
        </w:rPr>
        <w:t>七、供货及验收</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80" w:type="dxa"/>
          <w:left w:w="128" w:type="dxa"/>
          <w:bottom w:w="80" w:type="dxa"/>
          <w:right w:w="128" w:type="dxa"/>
        </w:tblCellMar>
      </w:tblPr>
      <w:tblGrid>
        <w:gridCol w:w="2201"/>
        <w:gridCol w:w="13187"/>
      </w:tblGrid>
      <w:tr w14:paraId="05F4C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blHeader/>
          <w:jc w:val="center"/>
        </w:trPr>
        <w:tc>
          <w:tcPr>
            <w:tcW w:w="715" w:type="pct"/>
            <w:vAlign w:val="center"/>
          </w:tcPr>
          <w:p w14:paraId="4F7C8AB8">
            <w:pPr>
              <w:spacing w:line="360" w:lineRule="auto"/>
              <w:rPr>
                <w:rFonts w:ascii="微软雅黑" w:hAnsi="微软雅黑" w:eastAsia="微软雅黑" w:cs="微软雅黑"/>
                <w:sz w:val="24"/>
              </w:rPr>
            </w:pPr>
            <w:r>
              <w:rPr>
                <w:rFonts w:hint="eastAsia" w:ascii="微软雅黑" w:hAnsi="微软雅黑" w:eastAsia="微软雅黑" w:cs="微软雅黑"/>
                <w:sz w:val="24"/>
              </w:rPr>
              <w:t>分类</w:t>
            </w:r>
          </w:p>
        </w:tc>
        <w:tc>
          <w:tcPr>
            <w:tcW w:w="4284" w:type="pct"/>
            <w:vAlign w:val="center"/>
          </w:tcPr>
          <w:p w14:paraId="31BAA5B9">
            <w:pPr>
              <w:spacing w:line="360" w:lineRule="auto"/>
              <w:rPr>
                <w:rFonts w:ascii="微软雅黑" w:hAnsi="微软雅黑" w:eastAsia="微软雅黑" w:cs="微软雅黑"/>
                <w:sz w:val="24"/>
              </w:rPr>
            </w:pPr>
            <w:r>
              <w:rPr>
                <w:rFonts w:hint="eastAsia" w:ascii="微软雅黑" w:hAnsi="微软雅黑" w:eastAsia="微软雅黑" w:cs="微软雅黑"/>
                <w:sz w:val="24"/>
              </w:rPr>
              <w:t>内容</w:t>
            </w:r>
          </w:p>
        </w:tc>
      </w:tr>
      <w:tr w14:paraId="22D7F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jc w:val="center"/>
        </w:trPr>
        <w:tc>
          <w:tcPr>
            <w:tcW w:w="715" w:type="pct"/>
            <w:vAlign w:val="center"/>
          </w:tcPr>
          <w:p w14:paraId="7AE4387E">
            <w:pPr>
              <w:spacing w:line="360" w:lineRule="auto"/>
              <w:rPr>
                <w:rFonts w:ascii="微软雅黑" w:hAnsi="微软雅黑" w:eastAsia="微软雅黑" w:cs="微软雅黑"/>
                <w:sz w:val="24"/>
              </w:rPr>
            </w:pPr>
          </w:p>
          <w:p w14:paraId="1C19FD21">
            <w:pPr>
              <w:spacing w:line="360" w:lineRule="auto"/>
              <w:rPr>
                <w:rFonts w:ascii="微软雅黑" w:hAnsi="微软雅黑" w:eastAsia="微软雅黑" w:cs="微软雅黑"/>
                <w:sz w:val="24"/>
              </w:rPr>
            </w:pPr>
            <w:r>
              <w:rPr>
                <w:rFonts w:hint="eastAsia" w:ascii="微软雅黑" w:hAnsi="微软雅黑" w:eastAsia="微软雅黑" w:cs="微软雅黑"/>
                <w:sz w:val="24"/>
              </w:rPr>
              <w:t>供货要求</w:t>
            </w:r>
          </w:p>
        </w:tc>
        <w:tc>
          <w:tcPr>
            <w:tcW w:w="4284" w:type="pct"/>
            <w:vAlign w:val="center"/>
          </w:tcPr>
          <w:p w14:paraId="38A644B4">
            <w:pPr>
              <w:rPr>
                <w:rFonts w:ascii="微软雅黑" w:hAnsi="微软雅黑" w:eastAsia="微软雅黑" w:cs="微软雅黑"/>
                <w:sz w:val="24"/>
              </w:rPr>
            </w:pPr>
            <w:r>
              <w:rPr>
                <w:rFonts w:hint="eastAsia" w:ascii="微软雅黑" w:hAnsi="微软雅黑" w:eastAsia="微软雅黑" w:cs="微软雅黑"/>
                <w:sz w:val="24"/>
              </w:rPr>
              <w:t>1、中标人所提供的货物应符合国家相关质量标准。货物名称、型号规格、数量、颜色、外观等符合采购人要求，不得有损毁或损坏。</w:t>
            </w:r>
          </w:p>
          <w:p w14:paraId="1308A22B">
            <w:pPr>
              <w:rPr>
                <w:rFonts w:ascii="微软雅黑" w:hAnsi="微软雅黑" w:eastAsia="微软雅黑" w:cs="微软雅黑"/>
                <w:sz w:val="24"/>
              </w:rPr>
            </w:pPr>
            <w:r>
              <w:rPr>
                <w:rFonts w:hint="eastAsia" w:ascii="微软雅黑" w:hAnsi="微软雅黑" w:eastAsia="微软雅黑" w:cs="微软雅黑"/>
                <w:sz w:val="24"/>
              </w:rPr>
              <w:t>2、本项目涉及房间数量较多，会存在尺寸偏差、受限基础设施等情况，中标人需对现场每间教室及其他空间进行复测，保证家具及时安装到位。</w:t>
            </w:r>
          </w:p>
          <w:p w14:paraId="21F9E0CC">
            <w:pPr>
              <w:rPr>
                <w:rFonts w:ascii="微软雅黑" w:hAnsi="微软雅黑" w:eastAsia="微软雅黑" w:cs="微软雅黑"/>
                <w:sz w:val="24"/>
              </w:rPr>
            </w:pPr>
            <w:r>
              <w:rPr>
                <w:rFonts w:hint="eastAsia" w:ascii="微软雅黑" w:hAnsi="微软雅黑" w:eastAsia="微软雅黑" w:cs="微软雅黑"/>
                <w:sz w:val="24"/>
              </w:rPr>
              <w:t>3、投标人需要承担安装过程中与工程相关费用：电路材料、电源配件（需要3C认证）、耗材等费用。投标人需提供电路安装人员的电工证明文件。</w:t>
            </w:r>
          </w:p>
          <w:p w14:paraId="322E5510">
            <w:pPr>
              <w:rPr>
                <w:rFonts w:ascii="微软雅黑" w:hAnsi="微软雅黑" w:eastAsia="微软雅黑" w:cs="微软雅黑"/>
                <w:sz w:val="24"/>
              </w:rPr>
            </w:pPr>
            <w:r>
              <w:rPr>
                <w:rFonts w:hint="eastAsia" w:ascii="微软雅黑" w:hAnsi="微软雅黑" w:eastAsia="微软雅黑" w:cs="微软雅黑"/>
                <w:sz w:val="24"/>
              </w:rPr>
              <w:t>4、由于该项目处于施工现场，投标人需要考虑现场能源使用、水电配合、路面运输、垃圾外运、垂直运输、房屋成品保护、安保仓储、现场综合协调、外部检查协调等费用。</w:t>
            </w:r>
          </w:p>
          <w:p w14:paraId="2627369D">
            <w:pPr>
              <w:rPr>
                <w:rFonts w:ascii="微软雅黑" w:hAnsi="微软雅黑" w:eastAsia="微软雅黑" w:cs="微软雅黑"/>
                <w:sz w:val="24"/>
              </w:rPr>
            </w:pPr>
            <w:r>
              <w:rPr>
                <w:rFonts w:hint="eastAsia" w:ascii="微软雅黑" w:hAnsi="微软雅黑" w:eastAsia="微软雅黑" w:cs="微软雅黑"/>
                <w:sz w:val="24"/>
              </w:rPr>
              <w:t>5、当基建项目工程进度与家具现场安装进度出现不一致时，需要以采购人具备现场安装条件的时间为准，为此需要供应商备有充足的仓储空间，配合项目整体进度。</w:t>
            </w:r>
          </w:p>
          <w:p w14:paraId="2A538051">
            <w:pPr>
              <w:rPr>
                <w:rFonts w:ascii="微软雅黑" w:hAnsi="微软雅黑" w:eastAsia="微软雅黑" w:cs="微软雅黑"/>
                <w:sz w:val="24"/>
              </w:rPr>
            </w:pPr>
            <w:r>
              <w:rPr>
                <w:rFonts w:hint="eastAsia" w:ascii="微软雅黑" w:hAnsi="微软雅黑" w:eastAsia="微软雅黑" w:cs="微软雅黑"/>
                <w:sz w:val="24"/>
              </w:rPr>
              <w:t>6、安装场地为施工现场，投标方须自行承担安全责任，在此期间发生的任何安全事故由其自行负责。</w:t>
            </w:r>
          </w:p>
        </w:tc>
      </w:tr>
      <w:tr w14:paraId="7F44F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jc w:val="center"/>
        </w:trPr>
        <w:tc>
          <w:tcPr>
            <w:tcW w:w="715" w:type="pct"/>
            <w:vAlign w:val="center"/>
          </w:tcPr>
          <w:p w14:paraId="3307E8A6">
            <w:pPr>
              <w:spacing w:line="360" w:lineRule="auto"/>
              <w:jc w:val="center"/>
              <w:rPr>
                <w:rFonts w:ascii="微软雅黑" w:hAnsi="微软雅黑" w:eastAsia="微软雅黑" w:cs="微软雅黑"/>
                <w:sz w:val="24"/>
              </w:rPr>
            </w:pPr>
            <w:r>
              <w:rPr>
                <w:rFonts w:hint="eastAsia" w:ascii="微软雅黑" w:hAnsi="微软雅黑" w:eastAsia="微软雅黑" w:cs="微软雅黑"/>
                <w:sz w:val="24"/>
              </w:rPr>
              <w:t>包装要求</w:t>
            </w:r>
          </w:p>
        </w:tc>
        <w:tc>
          <w:tcPr>
            <w:tcW w:w="4284" w:type="pct"/>
            <w:vAlign w:val="center"/>
          </w:tcPr>
          <w:p w14:paraId="10320BB4">
            <w:pPr>
              <w:rPr>
                <w:rFonts w:ascii="微软雅黑" w:hAnsi="微软雅黑" w:eastAsia="微软雅黑" w:cs="微软雅黑"/>
                <w:sz w:val="24"/>
              </w:rPr>
            </w:pPr>
            <w:r>
              <w:rPr>
                <w:rFonts w:hint="eastAsia" w:ascii="微软雅黑" w:hAnsi="微软雅黑" w:eastAsia="微软雅黑" w:cs="微软雅黑"/>
                <w:sz w:val="24"/>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0734F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15" w:type="pct"/>
            <w:vAlign w:val="center"/>
          </w:tcPr>
          <w:p w14:paraId="08587127">
            <w:pPr>
              <w:spacing w:line="360" w:lineRule="auto"/>
              <w:jc w:val="center"/>
              <w:rPr>
                <w:rFonts w:ascii="微软雅黑" w:hAnsi="微软雅黑" w:eastAsia="微软雅黑" w:cs="微软雅黑"/>
                <w:sz w:val="24"/>
              </w:rPr>
            </w:pPr>
            <w:r>
              <w:rPr>
                <w:rFonts w:hint="eastAsia" w:ascii="微软雅黑" w:hAnsi="微软雅黑" w:eastAsia="微软雅黑" w:cs="微软雅黑"/>
                <w:sz w:val="24"/>
              </w:rPr>
              <w:t>验收要求</w:t>
            </w:r>
          </w:p>
        </w:tc>
        <w:tc>
          <w:tcPr>
            <w:tcW w:w="4284" w:type="pct"/>
            <w:vAlign w:val="center"/>
          </w:tcPr>
          <w:p w14:paraId="4863367B">
            <w:pPr>
              <w:rPr>
                <w:rFonts w:ascii="微软雅黑" w:hAnsi="微软雅黑" w:eastAsia="微软雅黑" w:cs="微软雅黑"/>
                <w:sz w:val="24"/>
              </w:rPr>
            </w:pPr>
            <w:r>
              <w:rPr>
                <w:rFonts w:hint="eastAsia" w:ascii="微软雅黑" w:hAnsi="微软雅黑" w:eastAsia="微软雅黑" w:cs="微软雅黑"/>
                <w:sz w:val="24"/>
              </w:rPr>
              <w:t>1.家具安装、调试后，由供、需双方按照合同约定对家具进行验收。验收包括清点型号、数量、检查外观等，供应商应当提供家具清单(各类家具分项开立并标注详细数量)等文件。</w:t>
            </w:r>
          </w:p>
          <w:p w14:paraId="17577BB8">
            <w:pPr>
              <w:rPr>
                <w:rFonts w:ascii="微软雅黑" w:hAnsi="微软雅黑" w:eastAsia="微软雅黑" w:cs="微软雅黑"/>
                <w:sz w:val="24"/>
              </w:rPr>
            </w:pPr>
            <w:r>
              <w:rPr>
                <w:rFonts w:hint="eastAsia" w:ascii="微软雅黑" w:hAnsi="微软雅黑" w:eastAsia="微软雅黑" w:cs="微软雅黑"/>
                <w:sz w:val="24"/>
              </w:rPr>
              <w:t>2.正式验收前，中标人须委托第三方机构对家具进行质量和环保相关检测，检验不合格不予验收,验收检测费用将由中标单位承担。</w:t>
            </w:r>
          </w:p>
        </w:tc>
      </w:tr>
    </w:tbl>
    <w:p w14:paraId="527B9128">
      <w:pPr>
        <w:spacing w:line="360" w:lineRule="auto"/>
        <w:rPr>
          <w:rFonts w:ascii="微软雅黑" w:hAnsi="微软雅黑" w:eastAsia="微软雅黑" w:cs="微软雅黑"/>
        </w:rPr>
        <w:sectPr>
          <w:pgSz w:w="16838" w:h="11906" w:orient="landscape"/>
          <w:pgMar w:top="850" w:right="850" w:bottom="850" w:left="850" w:header="0" w:footer="0" w:gutter="0"/>
          <w:cols w:space="720" w:num="1"/>
        </w:sectPr>
      </w:pPr>
    </w:p>
    <w:p w14:paraId="1380484C">
      <w:pPr>
        <w:pStyle w:val="6"/>
        <w:spacing w:before="120" w:line="360" w:lineRule="auto"/>
        <w:ind w:left="0"/>
        <w:rPr>
          <w:rFonts w:ascii="微软雅黑" w:hAnsi="微软雅黑" w:eastAsia="微软雅黑" w:cs="微软雅黑"/>
        </w:rPr>
      </w:pPr>
      <w:r>
        <w:rPr>
          <w:rFonts w:hint="eastAsia" w:ascii="微软雅黑" w:hAnsi="微软雅黑" w:eastAsia="微软雅黑" w:cs="微软雅黑"/>
          <w:b/>
          <w:bCs/>
          <w:spacing w:val="-3"/>
          <w:sz w:val="28"/>
          <w:szCs w:val="28"/>
        </w:rPr>
        <w:t>八、服务要求</w:t>
      </w:r>
    </w:p>
    <w:tbl>
      <w:tblPr>
        <w:tblStyle w:val="15"/>
        <w:tblpPr w:leftFromText="180" w:rightFromText="180" w:vertAnchor="text" w:horzAnchor="page" w:tblpXSpec="center" w:tblpY="151"/>
        <w:tblOverlap w:val="never"/>
        <w:tblW w:w="149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5"/>
        <w:gridCol w:w="12007"/>
      </w:tblGrid>
      <w:tr w14:paraId="1327E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2905" w:type="dxa"/>
          </w:tcPr>
          <w:p w14:paraId="51D22A88">
            <w:pPr>
              <w:pStyle w:val="14"/>
              <w:spacing w:before="180" w:line="360" w:lineRule="auto"/>
              <w:jc w:val="center"/>
              <w:rPr>
                <w:rFonts w:ascii="微软雅黑" w:hAnsi="微软雅黑" w:eastAsia="微软雅黑" w:cs="微软雅黑"/>
                <w:b/>
                <w:bCs/>
                <w:sz w:val="24"/>
                <w:szCs w:val="24"/>
              </w:rPr>
            </w:pPr>
            <w:r>
              <w:rPr>
                <w:rFonts w:hint="eastAsia" w:ascii="微软雅黑" w:hAnsi="微软雅黑" w:eastAsia="微软雅黑" w:cs="微软雅黑"/>
                <w:b/>
                <w:bCs/>
                <w:sz w:val="24"/>
                <w:szCs w:val="24"/>
              </w:rPr>
              <w:t>分类</w:t>
            </w:r>
          </w:p>
        </w:tc>
        <w:tc>
          <w:tcPr>
            <w:tcW w:w="12007" w:type="dxa"/>
          </w:tcPr>
          <w:p w14:paraId="48DA28C3">
            <w:pPr>
              <w:pStyle w:val="14"/>
              <w:spacing w:before="180" w:line="360" w:lineRule="auto"/>
              <w:ind w:left="5431"/>
              <w:rPr>
                <w:rFonts w:ascii="微软雅黑" w:hAnsi="微软雅黑" w:eastAsia="微软雅黑" w:cs="微软雅黑"/>
                <w:b/>
                <w:bCs/>
                <w:sz w:val="24"/>
                <w:szCs w:val="24"/>
              </w:rPr>
            </w:pPr>
            <w:r>
              <w:rPr>
                <w:rFonts w:hint="eastAsia" w:ascii="微软雅黑" w:hAnsi="微软雅黑" w:eastAsia="微软雅黑" w:cs="微软雅黑"/>
                <w:b/>
                <w:bCs/>
                <w:sz w:val="24"/>
                <w:szCs w:val="24"/>
              </w:rPr>
              <w:t>内容</w:t>
            </w:r>
          </w:p>
        </w:tc>
      </w:tr>
      <w:tr w14:paraId="2495E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jc w:val="center"/>
        </w:trPr>
        <w:tc>
          <w:tcPr>
            <w:tcW w:w="2905" w:type="dxa"/>
            <w:vAlign w:val="center"/>
          </w:tcPr>
          <w:p w14:paraId="74B94107">
            <w:pPr>
              <w:pStyle w:val="14"/>
              <w:spacing w:before="182" w:line="360" w:lineRule="auto"/>
              <w:jc w:val="center"/>
              <w:rPr>
                <w:rFonts w:ascii="微软雅黑" w:hAnsi="微软雅黑" w:eastAsia="微软雅黑" w:cs="微软雅黑"/>
                <w:sz w:val="24"/>
                <w:szCs w:val="24"/>
              </w:rPr>
            </w:pPr>
            <w:r>
              <w:rPr>
                <w:rFonts w:hint="eastAsia" w:ascii="微软雅黑" w:hAnsi="微软雅黑" w:eastAsia="微软雅黑" w:cs="微软雅黑"/>
                <w:sz w:val="24"/>
                <w:szCs w:val="24"/>
              </w:rPr>
              <w:t>保修服务</w:t>
            </w:r>
          </w:p>
        </w:tc>
        <w:tc>
          <w:tcPr>
            <w:tcW w:w="12007" w:type="dxa"/>
          </w:tcPr>
          <w:p w14:paraId="6BF130A2">
            <w:pPr>
              <w:pStyle w:val="14"/>
              <w:spacing w:before="182"/>
              <w:ind w:left="152"/>
              <w:rPr>
                <w:rFonts w:ascii="微软雅黑" w:hAnsi="微软雅黑" w:eastAsia="微软雅黑" w:cs="微软雅黑"/>
                <w:sz w:val="24"/>
                <w:szCs w:val="24"/>
              </w:rPr>
            </w:pPr>
            <w:r>
              <w:rPr>
                <w:rFonts w:hint="eastAsia" w:ascii="微软雅黑" w:hAnsi="微软雅黑" w:eastAsia="微软雅黑" w:cs="微软雅黑"/>
                <w:sz w:val="24"/>
                <w:szCs w:val="24"/>
              </w:rPr>
              <w:t>家具免费保修期应当≥10年。免费保修期内，除采购人因非正常使用造成的损坏外，家具的损坏维修或换新所涉及的运输、材料、配件、人工等所有费用由投标人承担，投标人应当承诺每年对所供家具进行巡检。免费保修期满后，以成本价格提供家具所需零配件和维修服务。</w:t>
            </w:r>
            <w:r>
              <w:rPr>
                <w:rFonts w:hint="eastAsia" w:ascii="微软雅黑" w:hAnsi="微软雅黑" w:eastAsia="微软雅黑" w:cs="微软雅黑"/>
                <w:sz w:val="24"/>
                <w:szCs w:val="24"/>
                <w:lang w:val="en-US" w:eastAsia="zh-CN"/>
              </w:rPr>
              <w:t>家具免费保修期内提供不少于5次免费拆装服务。</w:t>
            </w:r>
          </w:p>
        </w:tc>
      </w:tr>
      <w:tr w14:paraId="4C5DE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jc w:val="center"/>
        </w:trPr>
        <w:tc>
          <w:tcPr>
            <w:tcW w:w="2905" w:type="dxa"/>
            <w:vAlign w:val="center"/>
          </w:tcPr>
          <w:p w14:paraId="14AC1E0D">
            <w:pPr>
              <w:pStyle w:val="14"/>
              <w:spacing w:before="203" w:line="360" w:lineRule="auto"/>
              <w:jc w:val="center"/>
              <w:rPr>
                <w:rFonts w:ascii="微软雅黑" w:hAnsi="微软雅黑" w:eastAsia="微软雅黑" w:cs="微软雅黑"/>
                <w:sz w:val="24"/>
                <w:szCs w:val="24"/>
              </w:rPr>
            </w:pPr>
            <w:r>
              <w:rPr>
                <w:rFonts w:hint="eastAsia" w:ascii="微软雅黑" w:hAnsi="微软雅黑" w:eastAsia="微软雅黑" w:cs="微软雅黑"/>
                <w:spacing w:val="7"/>
                <w:sz w:val="24"/>
                <w:szCs w:val="24"/>
              </w:rPr>
              <w:t>应急能力</w:t>
            </w:r>
          </w:p>
        </w:tc>
        <w:tc>
          <w:tcPr>
            <w:tcW w:w="12007" w:type="dxa"/>
            <w:vAlign w:val="center"/>
          </w:tcPr>
          <w:p w14:paraId="65E789CD">
            <w:pPr>
              <w:pStyle w:val="14"/>
              <w:spacing w:before="182"/>
              <w:ind w:left="152"/>
              <w:rPr>
                <w:rFonts w:ascii="微软雅黑" w:hAnsi="微软雅黑" w:eastAsia="微软雅黑" w:cs="微软雅黑"/>
                <w:sz w:val="24"/>
                <w:szCs w:val="24"/>
              </w:rPr>
            </w:pPr>
            <w:r>
              <w:rPr>
                <w:rFonts w:hint="eastAsia" w:ascii="微软雅黑" w:hAnsi="微软雅黑" w:eastAsia="微软雅黑" w:cs="微软雅黑"/>
                <w:sz w:val="24"/>
                <w:szCs w:val="24"/>
              </w:rPr>
              <w:t>供应商应当拥有维修服务能力，提供售后服务支持。如遇质量问题，供应商应当在接到通知2小时内予以响应，并于8小时内解决完毕或提供代用产品。</w:t>
            </w:r>
          </w:p>
        </w:tc>
      </w:tr>
    </w:tbl>
    <w:p w14:paraId="11661490">
      <w:pPr>
        <w:ind w:right="13598" w:rightChars="6475"/>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5F"/>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6E986F"/>
    <w:multiLevelType w:val="singleLevel"/>
    <w:tmpl w:val="C96E986F"/>
    <w:lvl w:ilvl="0" w:tentative="0">
      <w:start w:val="2"/>
      <w:numFmt w:val="chineseCounting"/>
      <w:suff w:val="nothing"/>
      <w:lvlText w:val="%1、"/>
      <w:lvlJc w:val="left"/>
      <w:rPr>
        <w:rFonts w:hint="eastAsia"/>
      </w:rPr>
    </w:lvl>
  </w:abstractNum>
  <w:abstractNum w:abstractNumId="1">
    <w:nsid w:val="FAEC9480"/>
    <w:multiLevelType w:val="singleLevel"/>
    <w:tmpl w:val="FAEC9480"/>
    <w:lvl w:ilvl="0" w:tentative="0">
      <w:start w:val="1"/>
      <w:numFmt w:val="decimal"/>
      <w:lvlText w:val="%1."/>
      <w:lvlJc w:val="left"/>
      <w:pPr>
        <w:tabs>
          <w:tab w:val="left" w:pos="312"/>
        </w:tabs>
      </w:pPr>
    </w:lvl>
  </w:abstractNum>
  <w:abstractNum w:abstractNumId="2">
    <w:nsid w:val="421AB37D"/>
    <w:multiLevelType w:val="singleLevel"/>
    <w:tmpl w:val="421AB37D"/>
    <w:lvl w:ilvl="0" w:tentative="0">
      <w:start w:val="1"/>
      <w:numFmt w:val="chineseCounting"/>
      <w:pStyle w:val="3"/>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MWI4ZjhmZjFiNjc2NmJkZTZiMDJkYjZjZGE3YWQifQ=="/>
  </w:docVars>
  <w:rsids>
    <w:rsidRoot w:val="00006C2D"/>
    <w:rsid w:val="00003AFA"/>
    <w:rsid w:val="00006C2D"/>
    <w:rsid w:val="000F5645"/>
    <w:rsid w:val="003B5112"/>
    <w:rsid w:val="003D4818"/>
    <w:rsid w:val="007A3406"/>
    <w:rsid w:val="00844285"/>
    <w:rsid w:val="00BF1A33"/>
    <w:rsid w:val="00F431B9"/>
    <w:rsid w:val="00F93E14"/>
    <w:rsid w:val="01965D31"/>
    <w:rsid w:val="01E90844"/>
    <w:rsid w:val="024E68F9"/>
    <w:rsid w:val="027C16B8"/>
    <w:rsid w:val="02897931"/>
    <w:rsid w:val="02FE031F"/>
    <w:rsid w:val="041A2F36"/>
    <w:rsid w:val="0431202E"/>
    <w:rsid w:val="044E0E32"/>
    <w:rsid w:val="047D1CE0"/>
    <w:rsid w:val="047F420A"/>
    <w:rsid w:val="04A66578"/>
    <w:rsid w:val="04C95D42"/>
    <w:rsid w:val="04EE058D"/>
    <w:rsid w:val="05047743"/>
    <w:rsid w:val="05085485"/>
    <w:rsid w:val="05597A8E"/>
    <w:rsid w:val="056F2E0E"/>
    <w:rsid w:val="05DF22A5"/>
    <w:rsid w:val="05E41A4E"/>
    <w:rsid w:val="05F41565"/>
    <w:rsid w:val="06695AAF"/>
    <w:rsid w:val="06710E08"/>
    <w:rsid w:val="06B34F7C"/>
    <w:rsid w:val="06BA1548"/>
    <w:rsid w:val="06DE46EF"/>
    <w:rsid w:val="06E8731C"/>
    <w:rsid w:val="072D5EC8"/>
    <w:rsid w:val="077E1A2E"/>
    <w:rsid w:val="078523E2"/>
    <w:rsid w:val="084A5FDC"/>
    <w:rsid w:val="08726929"/>
    <w:rsid w:val="08744BDF"/>
    <w:rsid w:val="08CC4A1B"/>
    <w:rsid w:val="097A3797"/>
    <w:rsid w:val="0988465A"/>
    <w:rsid w:val="09A45050"/>
    <w:rsid w:val="09E244F6"/>
    <w:rsid w:val="0A256191"/>
    <w:rsid w:val="0A997C59"/>
    <w:rsid w:val="0A9F23E7"/>
    <w:rsid w:val="0AA34EE0"/>
    <w:rsid w:val="0AAF0151"/>
    <w:rsid w:val="0B0E30C9"/>
    <w:rsid w:val="0B7A075E"/>
    <w:rsid w:val="0B8F3022"/>
    <w:rsid w:val="0C41302A"/>
    <w:rsid w:val="0CB33F28"/>
    <w:rsid w:val="0CBF0B1F"/>
    <w:rsid w:val="0D1129FD"/>
    <w:rsid w:val="0D3F57BC"/>
    <w:rsid w:val="0D6A0246"/>
    <w:rsid w:val="0D7C07BE"/>
    <w:rsid w:val="0D8458C4"/>
    <w:rsid w:val="0DA63A8D"/>
    <w:rsid w:val="0DAD4881"/>
    <w:rsid w:val="0DB241E0"/>
    <w:rsid w:val="0DF90060"/>
    <w:rsid w:val="0E122ED0"/>
    <w:rsid w:val="0E2826F4"/>
    <w:rsid w:val="0E2B3022"/>
    <w:rsid w:val="0E372937"/>
    <w:rsid w:val="0E883192"/>
    <w:rsid w:val="0EAF24CD"/>
    <w:rsid w:val="0ED711EA"/>
    <w:rsid w:val="0F2C6214"/>
    <w:rsid w:val="0F977B31"/>
    <w:rsid w:val="0FA405E3"/>
    <w:rsid w:val="0FA61B22"/>
    <w:rsid w:val="0FB0474F"/>
    <w:rsid w:val="0FEB18AD"/>
    <w:rsid w:val="10545A22"/>
    <w:rsid w:val="10CF6E57"/>
    <w:rsid w:val="10D80401"/>
    <w:rsid w:val="10E01064"/>
    <w:rsid w:val="10E05803"/>
    <w:rsid w:val="10F44B0F"/>
    <w:rsid w:val="11163882"/>
    <w:rsid w:val="112F3D99"/>
    <w:rsid w:val="1142587A"/>
    <w:rsid w:val="114A2981"/>
    <w:rsid w:val="11877731"/>
    <w:rsid w:val="118C2781"/>
    <w:rsid w:val="11A622AD"/>
    <w:rsid w:val="11CB5043"/>
    <w:rsid w:val="11F70DB3"/>
    <w:rsid w:val="125C0BBE"/>
    <w:rsid w:val="126D3C74"/>
    <w:rsid w:val="12957C2C"/>
    <w:rsid w:val="12C10A21"/>
    <w:rsid w:val="13394A5B"/>
    <w:rsid w:val="134D0507"/>
    <w:rsid w:val="13A50343"/>
    <w:rsid w:val="13A97E33"/>
    <w:rsid w:val="14037464"/>
    <w:rsid w:val="14292D22"/>
    <w:rsid w:val="143376FC"/>
    <w:rsid w:val="145E6E6F"/>
    <w:rsid w:val="14AF1479"/>
    <w:rsid w:val="150A66AF"/>
    <w:rsid w:val="152139F9"/>
    <w:rsid w:val="153876C0"/>
    <w:rsid w:val="15835356"/>
    <w:rsid w:val="15C471A6"/>
    <w:rsid w:val="15C50828"/>
    <w:rsid w:val="163A6782"/>
    <w:rsid w:val="163F682C"/>
    <w:rsid w:val="16565924"/>
    <w:rsid w:val="16AD3AAA"/>
    <w:rsid w:val="16E55626"/>
    <w:rsid w:val="16EF2001"/>
    <w:rsid w:val="16FC471D"/>
    <w:rsid w:val="171C6B6E"/>
    <w:rsid w:val="1752433D"/>
    <w:rsid w:val="175B7696"/>
    <w:rsid w:val="17AD6B86"/>
    <w:rsid w:val="17F453F5"/>
    <w:rsid w:val="18072ACC"/>
    <w:rsid w:val="18253800"/>
    <w:rsid w:val="18301B92"/>
    <w:rsid w:val="184E0FA9"/>
    <w:rsid w:val="185760AF"/>
    <w:rsid w:val="189F1A11"/>
    <w:rsid w:val="18B76B4E"/>
    <w:rsid w:val="193D1C1D"/>
    <w:rsid w:val="195C4B5C"/>
    <w:rsid w:val="197D7D98"/>
    <w:rsid w:val="19962C07"/>
    <w:rsid w:val="1A4F2DB6"/>
    <w:rsid w:val="1A55661F"/>
    <w:rsid w:val="1AE6196C"/>
    <w:rsid w:val="1B2E0C1E"/>
    <w:rsid w:val="1BFD51C0"/>
    <w:rsid w:val="1C0C01EF"/>
    <w:rsid w:val="1C224576"/>
    <w:rsid w:val="1C417A9B"/>
    <w:rsid w:val="1C980A44"/>
    <w:rsid w:val="1D251260"/>
    <w:rsid w:val="1D531643"/>
    <w:rsid w:val="1D5F1562"/>
    <w:rsid w:val="1DBB0E8E"/>
    <w:rsid w:val="1DDA6E3B"/>
    <w:rsid w:val="1E116D00"/>
    <w:rsid w:val="1E2A6014"/>
    <w:rsid w:val="1E4F5A7B"/>
    <w:rsid w:val="1E700A63"/>
    <w:rsid w:val="1E737DAB"/>
    <w:rsid w:val="1EB7A284"/>
    <w:rsid w:val="1EB853CE"/>
    <w:rsid w:val="1ED744A9"/>
    <w:rsid w:val="1EE73F05"/>
    <w:rsid w:val="1EF328AA"/>
    <w:rsid w:val="1F1F489E"/>
    <w:rsid w:val="1F613647"/>
    <w:rsid w:val="1F775289"/>
    <w:rsid w:val="1FB91191"/>
    <w:rsid w:val="20000DDB"/>
    <w:rsid w:val="204F3608"/>
    <w:rsid w:val="207108B9"/>
    <w:rsid w:val="209C0195"/>
    <w:rsid w:val="20A83220"/>
    <w:rsid w:val="20BE47F2"/>
    <w:rsid w:val="20EB1A8B"/>
    <w:rsid w:val="2127683B"/>
    <w:rsid w:val="21486EDD"/>
    <w:rsid w:val="21577120"/>
    <w:rsid w:val="2177331E"/>
    <w:rsid w:val="21921F06"/>
    <w:rsid w:val="219D3455"/>
    <w:rsid w:val="21A32365"/>
    <w:rsid w:val="21DF0EC4"/>
    <w:rsid w:val="221E379A"/>
    <w:rsid w:val="22680EB9"/>
    <w:rsid w:val="22943373"/>
    <w:rsid w:val="22965A26"/>
    <w:rsid w:val="23171F20"/>
    <w:rsid w:val="233F30E4"/>
    <w:rsid w:val="23843AD1"/>
    <w:rsid w:val="23E922D9"/>
    <w:rsid w:val="23F073B8"/>
    <w:rsid w:val="2443573A"/>
    <w:rsid w:val="248F6BD1"/>
    <w:rsid w:val="24C83E91"/>
    <w:rsid w:val="24E52C95"/>
    <w:rsid w:val="24F42ED8"/>
    <w:rsid w:val="250F386E"/>
    <w:rsid w:val="255120D8"/>
    <w:rsid w:val="25633A40"/>
    <w:rsid w:val="25783B09"/>
    <w:rsid w:val="2590132F"/>
    <w:rsid w:val="2596165B"/>
    <w:rsid w:val="259C15A5"/>
    <w:rsid w:val="25E92311"/>
    <w:rsid w:val="26103D41"/>
    <w:rsid w:val="266E0B52"/>
    <w:rsid w:val="2677791D"/>
    <w:rsid w:val="27475541"/>
    <w:rsid w:val="275814FC"/>
    <w:rsid w:val="27800A53"/>
    <w:rsid w:val="27822A1D"/>
    <w:rsid w:val="27BD5803"/>
    <w:rsid w:val="27C272BD"/>
    <w:rsid w:val="27E40FE2"/>
    <w:rsid w:val="281713B7"/>
    <w:rsid w:val="284E28FF"/>
    <w:rsid w:val="28B5297E"/>
    <w:rsid w:val="28CD7CC8"/>
    <w:rsid w:val="28F33BD2"/>
    <w:rsid w:val="292A511A"/>
    <w:rsid w:val="29E057D9"/>
    <w:rsid w:val="29E34DDA"/>
    <w:rsid w:val="2A021BF3"/>
    <w:rsid w:val="2A21651D"/>
    <w:rsid w:val="2A53737E"/>
    <w:rsid w:val="2A6C52BE"/>
    <w:rsid w:val="2A7F3244"/>
    <w:rsid w:val="2A8A2314"/>
    <w:rsid w:val="2B113A59"/>
    <w:rsid w:val="2B361B54"/>
    <w:rsid w:val="2BAE4AC7"/>
    <w:rsid w:val="2BE05F64"/>
    <w:rsid w:val="2C3B319A"/>
    <w:rsid w:val="2C624BCB"/>
    <w:rsid w:val="2C721548"/>
    <w:rsid w:val="2CA84CD4"/>
    <w:rsid w:val="2D2F0F51"/>
    <w:rsid w:val="2D314CC9"/>
    <w:rsid w:val="2D3622E0"/>
    <w:rsid w:val="2DA03BFD"/>
    <w:rsid w:val="2DA82AB1"/>
    <w:rsid w:val="2DDE64D3"/>
    <w:rsid w:val="2E9D638E"/>
    <w:rsid w:val="2F06773C"/>
    <w:rsid w:val="2F176141"/>
    <w:rsid w:val="2F234AE5"/>
    <w:rsid w:val="2F4131BE"/>
    <w:rsid w:val="2F452CAE"/>
    <w:rsid w:val="2F8E1F35"/>
    <w:rsid w:val="2FEC3129"/>
    <w:rsid w:val="305111DE"/>
    <w:rsid w:val="30907F59"/>
    <w:rsid w:val="30D37E45"/>
    <w:rsid w:val="31554CFE"/>
    <w:rsid w:val="318A49A8"/>
    <w:rsid w:val="319D6CD7"/>
    <w:rsid w:val="32F26CA9"/>
    <w:rsid w:val="32F347CF"/>
    <w:rsid w:val="3381002D"/>
    <w:rsid w:val="338813BB"/>
    <w:rsid w:val="33A06705"/>
    <w:rsid w:val="33B43F5E"/>
    <w:rsid w:val="33F64577"/>
    <w:rsid w:val="34060532"/>
    <w:rsid w:val="342F7A89"/>
    <w:rsid w:val="349E076A"/>
    <w:rsid w:val="351B1DBB"/>
    <w:rsid w:val="356B4AF0"/>
    <w:rsid w:val="35777939"/>
    <w:rsid w:val="35E36D7D"/>
    <w:rsid w:val="35FE2DA3"/>
    <w:rsid w:val="362F5B1E"/>
    <w:rsid w:val="363A6674"/>
    <w:rsid w:val="36562177"/>
    <w:rsid w:val="3687595A"/>
    <w:rsid w:val="36C21BE7"/>
    <w:rsid w:val="36EE7787"/>
    <w:rsid w:val="36F00D16"/>
    <w:rsid w:val="37C30C14"/>
    <w:rsid w:val="3845787B"/>
    <w:rsid w:val="385B52F0"/>
    <w:rsid w:val="385C6972"/>
    <w:rsid w:val="38E86458"/>
    <w:rsid w:val="38F92413"/>
    <w:rsid w:val="39203E44"/>
    <w:rsid w:val="393647F9"/>
    <w:rsid w:val="3A103EB8"/>
    <w:rsid w:val="3A140BF3"/>
    <w:rsid w:val="3A15327D"/>
    <w:rsid w:val="3A286675"/>
    <w:rsid w:val="3A6F0903"/>
    <w:rsid w:val="3A7206CF"/>
    <w:rsid w:val="3A82188E"/>
    <w:rsid w:val="3A9643BE"/>
    <w:rsid w:val="3AB94550"/>
    <w:rsid w:val="3B005CDB"/>
    <w:rsid w:val="3B117EE8"/>
    <w:rsid w:val="3B3616FD"/>
    <w:rsid w:val="3B653D90"/>
    <w:rsid w:val="3B824942"/>
    <w:rsid w:val="3BC92571"/>
    <w:rsid w:val="3C6329C5"/>
    <w:rsid w:val="3C807ACE"/>
    <w:rsid w:val="3C8D17F0"/>
    <w:rsid w:val="3CE37662"/>
    <w:rsid w:val="3CEF24AB"/>
    <w:rsid w:val="3D2832C7"/>
    <w:rsid w:val="3D4F2038"/>
    <w:rsid w:val="3D536596"/>
    <w:rsid w:val="3D545119"/>
    <w:rsid w:val="3E2C6DE7"/>
    <w:rsid w:val="3E646581"/>
    <w:rsid w:val="3EBF7C5B"/>
    <w:rsid w:val="3ED74FA5"/>
    <w:rsid w:val="3F4A39C9"/>
    <w:rsid w:val="3F530871"/>
    <w:rsid w:val="3F5E5B15"/>
    <w:rsid w:val="3F632CDC"/>
    <w:rsid w:val="3F696545"/>
    <w:rsid w:val="3FB6105E"/>
    <w:rsid w:val="3FBC2D85"/>
    <w:rsid w:val="3FCA68B7"/>
    <w:rsid w:val="3FD2281E"/>
    <w:rsid w:val="4012098A"/>
    <w:rsid w:val="40662A84"/>
    <w:rsid w:val="40953369"/>
    <w:rsid w:val="40A67324"/>
    <w:rsid w:val="40D73687"/>
    <w:rsid w:val="41053ABB"/>
    <w:rsid w:val="410B7187"/>
    <w:rsid w:val="41B65345"/>
    <w:rsid w:val="41B810BD"/>
    <w:rsid w:val="41F83BB0"/>
    <w:rsid w:val="42165DE4"/>
    <w:rsid w:val="423A41C8"/>
    <w:rsid w:val="423D5A66"/>
    <w:rsid w:val="42AC04F6"/>
    <w:rsid w:val="42E12896"/>
    <w:rsid w:val="434A043B"/>
    <w:rsid w:val="434F77FF"/>
    <w:rsid w:val="43503578"/>
    <w:rsid w:val="438A0837"/>
    <w:rsid w:val="43B9736F"/>
    <w:rsid w:val="44901E7E"/>
    <w:rsid w:val="44D97CC8"/>
    <w:rsid w:val="45190DBA"/>
    <w:rsid w:val="4618037D"/>
    <w:rsid w:val="462C5BD6"/>
    <w:rsid w:val="464F5D68"/>
    <w:rsid w:val="46537607"/>
    <w:rsid w:val="46DF70EC"/>
    <w:rsid w:val="46F030A7"/>
    <w:rsid w:val="477F61D9"/>
    <w:rsid w:val="478B2DD0"/>
    <w:rsid w:val="478B6C9B"/>
    <w:rsid w:val="47B70069"/>
    <w:rsid w:val="48036E0A"/>
    <w:rsid w:val="48233009"/>
    <w:rsid w:val="484F3AB2"/>
    <w:rsid w:val="48561630"/>
    <w:rsid w:val="486F3B0A"/>
    <w:rsid w:val="48A97251"/>
    <w:rsid w:val="48AE5CCA"/>
    <w:rsid w:val="48C71C96"/>
    <w:rsid w:val="49156DF5"/>
    <w:rsid w:val="49170DBF"/>
    <w:rsid w:val="492E435B"/>
    <w:rsid w:val="49437E06"/>
    <w:rsid w:val="495A6EFE"/>
    <w:rsid w:val="4A113A61"/>
    <w:rsid w:val="4A407EA2"/>
    <w:rsid w:val="4A6F7794"/>
    <w:rsid w:val="4A77693B"/>
    <w:rsid w:val="4A934476"/>
    <w:rsid w:val="4AE7656F"/>
    <w:rsid w:val="4B154342"/>
    <w:rsid w:val="4B2D4C04"/>
    <w:rsid w:val="4B4E3E56"/>
    <w:rsid w:val="4BC93EC7"/>
    <w:rsid w:val="4BD9235C"/>
    <w:rsid w:val="4BEE392E"/>
    <w:rsid w:val="4D1F46E6"/>
    <w:rsid w:val="4D2B308B"/>
    <w:rsid w:val="4D330192"/>
    <w:rsid w:val="4D8C33FE"/>
    <w:rsid w:val="4D8C39CA"/>
    <w:rsid w:val="4F035942"/>
    <w:rsid w:val="4F0B3174"/>
    <w:rsid w:val="4F1338C8"/>
    <w:rsid w:val="4F29184C"/>
    <w:rsid w:val="4FA03191"/>
    <w:rsid w:val="4FB0640B"/>
    <w:rsid w:val="4FD03A76"/>
    <w:rsid w:val="4FE35D07"/>
    <w:rsid w:val="50067B21"/>
    <w:rsid w:val="50527440"/>
    <w:rsid w:val="505F69DA"/>
    <w:rsid w:val="50642410"/>
    <w:rsid w:val="508A631B"/>
    <w:rsid w:val="509E3B74"/>
    <w:rsid w:val="516C5A20"/>
    <w:rsid w:val="521E31BF"/>
    <w:rsid w:val="523C1897"/>
    <w:rsid w:val="5253273C"/>
    <w:rsid w:val="52642504"/>
    <w:rsid w:val="52E02222"/>
    <w:rsid w:val="536E3CD2"/>
    <w:rsid w:val="53BB67EB"/>
    <w:rsid w:val="546450D5"/>
    <w:rsid w:val="54943E52"/>
    <w:rsid w:val="54971006"/>
    <w:rsid w:val="549C03CB"/>
    <w:rsid w:val="54B716A8"/>
    <w:rsid w:val="54F75F49"/>
    <w:rsid w:val="553E1482"/>
    <w:rsid w:val="55524F2D"/>
    <w:rsid w:val="55B17EA6"/>
    <w:rsid w:val="55C51BA3"/>
    <w:rsid w:val="55D02A22"/>
    <w:rsid w:val="56091A90"/>
    <w:rsid w:val="56603458"/>
    <w:rsid w:val="56847368"/>
    <w:rsid w:val="56A45C5C"/>
    <w:rsid w:val="56B23ED5"/>
    <w:rsid w:val="56DE2F1C"/>
    <w:rsid w:val="57497BC3"/>
    <w:rsid w:val="583848AE"/>
    <w:rsid w:val="58DF2F7C"/>
    <w:rsid w:val="590F1AB3"/>
    <w:rsid w:val="59126EAD"/>
    <w:rsid w:val="591F781C"/>
    <w:rsid w:val="59484FC5"/>
    <w:rsid w:val="59656C38"/>
    <w:rsid w:val="5A24333C"/>
    <w:rsid w:val="5A2450EA"/>
    <w:rsid w:val="5A441CD8"/>
    <w:rsid w:val="5A533610"/>
    <w:rsid w:val="5A851901"/>
    <w:rsid w:val="5AC70954"/>
    <w:rsid w:val="5B596270"/>
    <w:rsid w:val="5B9242D5"/>
    <w:rsid w:val="5C6A7000"/>
    <w:rsid w:val="5C7B120D"/>
    <w:rsid w:val="5C82434A"/>
    <w:rsid w:val="5CE768A3"/>
    <w:rsid w:val="5CE96177"/>
    <w:rsid w:val="5CF35248"/>
    <w:rsid w:val="5DE80B25"/>
    <w:rsid w:val="5E343D6A"/>
    <w:rsid w:val="5E385608"/>
    <w:rsid w:val="5E3D49CC"/>
    <w:rsid w:val="5E9F11E3"/>
    <w:rsid w:val="5FB16D0D"/>
    <w:rsid w:val="600A0901"/>
    <w:rsid w:val="600F2399"/>
    <w:rsid w:val="603242D9"/>
    <w:rsid w:val="60732927"/>
    <w:rsid w:val="60CF1B28"/>
    <w:rsid w:val="60DD2497"/>
    <w:rsid w:val="610C1D8A"/>
    <w:rsid w:val="617940FB"/>
    <w:rsid w:val="6181445A"/>
    <w:rsid w:val="61926DDD"/>
    <w:rsid w:val="62145A44"/>
    <w:rsid w:val="63302147"/>
    <w:rsid w:val="63520F1A"/>
    <w:rsid w:val="63B55005"/>
    <w:rsid w:val="642F125B"/>
    <w:rsid w:val="64721148"/>
    <w:rsid w:val="64FE574A"/>
    <w:rsid w:val="65491EA9"/>
    <w:rsid w:val="65A3655A"/>
    <w:rsid w:val="65C23A09"/>
    <w:rsid w:val="65DE7E6E"/>
    <w:rsid w:val="666B40A1"/>
    <w:rsid w:val="672B6D3E"/>
    <w:rsid w:val="676905E0"/>
    <w:rsid w:val="67A05FCC"/>
    <w:rsid w:val="67C779FD"/>
    <w:rsid w:val="67D31EFE"/>
    <w:rsid w:val="67EC2FBF"/>
    <w:rsid w:val="68330BEE"/>
    <w:rsid w:val="68945B31"/>
    <w:rsid w:val="68B03FED"/>
    <w:rsid w:val="68CA1553"/>
    <w:rsid w:val="69112CDD"/>
    <w:rsid w:val="693E5A9D"/>
    <w:rsid w:val="6965127B"/>
    <w:rsid w:val="6A100511"/>
    <w:rsid w:val="6A3142C9"/>
    <w:rsid w:val="6B170353"/>
    <w:rsid w:val="6B6535FA"/>
    <w:rsid w:val="6B785296"/>
    <w:rsid w:val="6BC35959"/>
    <w:rsid w:val="6BCE4EB6"/>
    <w:rsid w:val="6BDF5315"/>
    <w:rsid w:val="6BEF5F59"/>
    <w:rsid w:val="6BF95CAB"/>
    <w:rsid w:val="6C16685D"/>
    <w:rsid w:val="6C521745"/>
    <w:rsid w:val="6CC4275D"/>
    <w:rsid w:val="6CED6224"/>
    <w:rsid w:val="6CF90658"/>
    <w:rsid w:val="6D0A2754"/>
    <w:rsid w:val="6D433682"/>
    <w:rsid w:val="6D6515A4"/>
    <w:rsid w:val="6D910891"/>
    <w:rsid w:val="6D91263F"/>
    <w:rsid w:val="6DC5678C"/>
    <w:rsid w:val="6E1703AC"/>
    <w:rsid w:val="6E6B2E90"/>
    <w:rsid w:val="6E6E472E"/>
    <w:rsid w:val="6E8977BA"/>
    <w:rsid w:val="6EBD1212"/>
    <w:rsid w:val="6ECE341F"/>
    <w:rsid w:val="6ED37A62"/>
    <w:rsid w:val="6EED7D49"/>
    <w:rsid w:val="700E61C9"/>
    <w:rsid w:val="70271038"/>
    <w:rsid w:val="706D2465"/>
    <w:rsid w:val="706E4EB9"/>
    <w:rsid w:val="70756248"/>
    <w:rsid w:val="70763D6E"/>
    <w:rsid w:val="70897BFE"/>
    <w:rsid w:val="70C04FE9"/>
    <w:rsid w:val="712E1E5A"/>
    <w:rsid w:val="71562C1B"/>
    <w:rsid w:val="71641E18"/>
    <w:rsid w:val="71791D68"/>
    <w:rsid w:val="71C22345"/>
    <w:rsid w:val="71E82A49"/>
    <w:rsid w:val="721D0945"/>
    <w:rsid w:val="723B62E7"/>
    <w:rsid w:val="72CB65F3"/>
    <w:rsid w:val="73614861"/>
    <w:rsid w:val="736F0F97"/>
    <w:rsid w:val="737F2F3A"/>
    <w:rsid w:val="73974727"/>
    <w:rsid w:val="739813D7"/>
    <w:rsid w:val="73AF7CC3"/>
    <w:rsid w:val="73C372CA"/>
    <w:rsid w:val="74654825"/>
    <w:rsid w:val="749D4236"/>
    <w:rsid w:val="74EE4AA7"/>
    <w:rsid w:val="7513602F"/>
    <w:rsid w:val="751D2A0A"/>
    <w:rsid w:val="75AA195E"/>
    <w:rsid w:val="75B25848"/>
    <w:rsid w:val="75BA46FD"/>
    <w:rsid w:val="75EB3B20"/>
    <w:rsid w:val="76432944"/>
    <w:rsid w:val="765468FF"/>
    <w:rsid w:val="76592168"/>
    <w:rsid w:val="76870A83"/>
    <w:rsid w:val="76B4114C"/>
    <w:rsid w:val="76C515AB"/>
    <w:rsid w:val="76E804FA"/>
    <w:rsid w:val="77866F8C"/>
    <w:rsid w:val="786D1EFA"/>
    <w:rsid w:val="78CF226D"/>
    <w:rsid w:val="791E4FA3"/>
    <w:rsid w:val="79637C4A"/>
    <w:rsid w:val="79E93803"/>
    <w:rsid w:val="79EC53E5"/>
    <w:rsid w:val="7A440A39"/>
    <w:rsid w:val="7A794B87"/>
    <w:rsid w:val="7A8B129B"/>
    <w:rsid w:val="7ADC6EC3"/>
    <w:rsid w:val="7AE83ABA"/>
    <w:rsid w:val="7B1F572E"/>
    <w:rsid w:val="7B450F0D"/>
    <w:rsid w:val="7B76251D"/>
    <w:rsid w:val="7BA35EEC"/>
    <w:rsid w:val="7BB87301"/>
    <w:rsid w:val="7C4A67DB"/>
    <w:rsid w:val="7C661E25"/>
    <w:rsid w:val="7CA12173"/>
    <w:rsid w:val="7CAD4FBB"/>
    <w:rsid w:val="7CBB3234"/>
    <w:rsid w:val="7CC678C0"/>
    <w:rsid w:val="7D80622C"/>
    <w:rsid w:val="7DA05B77"/>
    <w:rsid w:val="7E184CDD"/>
    <w:rsid w:val="7E225630"/>
    <w:rsid w:val="7E971A7F"/>
    <w:rsid w:val="7EB663A9"/>
    <w:rsid w:val="7EC363D0"/>
    <w:rsid w:val="7EE2259A"/>
    <w:rsid w:val="7EF221E3"/>
    <w:rsid w:val="7EFE041F"/>
    <w:rsid w:val="7F020597"/>
    <w:rsid w:val="7F315A30"/>
    <w:rsid w:val="7F3472CE"/>
    <w:rsid w:val="7F590AE3"/>
    <w:rsid w:val="7F851DA9"/>
    <w:rsid w:val="7F954211"/>
    <w:rsid w:val="7FD47BF4"/>
    <w:rsid w:val="7FDF0FB8"/>
    <w:rsid w:val="7FDF8746"/>
    <w:rsid w:val="7FE9455C"/>
    <w:rsid w:val="7FFC2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
    <w:qFormat/>
    <w:uiPriority w:val="0"/>
    <w:pPr>
      <w:keepNext/>
      <w:keepLines/>
      <w:spacing w:before="340" w:after="330" w:line="578" w:lineRule="atLeast"/>
      <w:jc w:val="left"/>
      <w:outlineLvl w:val="0"/>
    </w:pPr>
    <w:rPr>
      <w:b/>
      <w:kern w:val="44"/>
      <w:sz w:val="32"/>
      <w:szCs w:val="20"/>
    </w:rPr>
  </w:style>
  <w:style w:type="paragraph" w:styleId="3">
    <w:name w:val="heading 2"/>
    <w:basedOn w:val="1"/>
    <w:next w:val="1"/>
    <w:semiHidden/>
    <w:unhideWhenUsed/>
    <w:qFormat/>
    <w:uiPriority w:val="0"/>
    <w:pPr>
      <w:keepNext/>
      <w:keepLines/>
      <w:numPr>
        <w:ilvl w:val="0"/>
        <w:numId w:val="1"/>
      </w:numPr>
      <w:spacing w:before="260" w:after="260" w:line="415" w:lineRule="auto"/>
      <w:outlineLvl w:val="1"/>
    </w:pPr>
    <w:rPr>
      <w:rFonts w:ascii="Arial" w:hAnsi="Arial" w:eastAsia="黑体"/>
      <w:b/>
      <w:sz w:val="32"/>
    </w:rPr>
  </w:style>
  <w:style w:type="paragraph" w:styleId="4">
    <w:name w:val="heading 6"/>
    <w:basedOn w:val="1"/>
    <w:next w:val="1"/>
    <w:qFormat/>
    <w:uiPriority w:val="0"/>
    <w:pPr>
      <w:keepNext/>
      <w:keepLines/>
      <w:spacing w:before="240" w:after="64" w:line="317" w:lineRule="auto"/>
      <w:outlineLvl w:val="5"/>
    </w:pPr>
    <w:rPr>
      <w:rFonts w:eastAsia="黑体"/>
      <w:b/>
      <w:sz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rFonts w:ascii="Calibri" w:hAnsi="Calibri"/>
      <w:szCs w:val="21"/>
    </w:rPr>
  </w:style>
  <w:style w:type="paragraph" w:styleId="6">
    <w:name w:val="Body Text"/>
    <w:basedOn w:val="1"/>
    <w:qFormat/>
    <w:uiPriority w:val="1"/>
    <w:pPr>
      <w:ind w:left="120"/>
    </w:pPr>
    <w:rPr>
      <w:rFonts w:ascii="宋体" w:hAnsi="宋体"/>
      <w:szCs w:val="21"/>
    </w:rPr>
  </w:style>
  <w:style w:type="paragraph" w:styleId="7">
    <w:name w:val="index 4"/>
    <w:basedOn w:val="1"/>
    <w:next w:val="1"/>
    <w:qFormat/>
    <w:uiPriority w:val="0"/>
    <w:pPr>
      <w:spacing w:line="360" w:lineRule="auto"/>
      <w:ind w:left="600" w:leftChars="600"/>
    </w:pPr>
    <w:rPr>
      <w:sz w:val="24"/>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1">
    <w:name w:val="Table Grid"/>
    <w:basedOn w:val="10"/>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3">
    <w:name w:val="标题 1 字符"/>
    <w:link w:val="2"/>
    <w:qFormat/>
    <w:uiPriority w:val="9"/>
    <w:rPr>
      <w:rFonts w:ascii="Times New Roman" w:hAnsi="Times New Roman" w:eastAsia="宋体"/>
      <w:b/>
      <w:kern w:val="44"/>
      <w:sz w:val="32"/>
    </w:rPr>
  </w:style>
  <w:style w:type="paragraph" w:customStyle="1" w:styleId="14">
    <w:name w:val="Table Text"/>
    <w:basedOn w:val="1"/>
    <w:semiHidden/>
    <w:qFormat/>
    <w:uiPriority w:val="0"/>
    <w:rPr>
      <w:rFonts w:ascii="宋体" w:hAnsi="宋体" w:cs="宋体"/>
      <w:sz w:val="28"/>
      <w:szCs w:val="28"/>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font41"/>
    <w:basedOn w:val="12"/>
    <w:qFormat/>
    <w:uiPriority w:val="0"/>
    <w:rPr>
      <w:rFonts w:hint="eastAsia" w:ascii="微软雅黑" w:hAnsi="微软雅黑" w:eastAsia="微软雅黑" w:cs="微软雅黑"/>
      <w:color w:val="000000"/>
      <w:sz w:val="24"/>
      <w:szCs w:val="24"/>
      <w:u w:val="none"/>
    </w:rPr>
  </w:style>
  <w:style w:type="character" w:customStyle="1" w:styleId="17">
    <w:name w:val="页脚 字符"/>
    <w:basedOn w:val="12"/>
    <w:link w:val="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1161</Words>
  <Characters>1513</Characters>
  <Lines>227</Lines>
  <Paragraphs>64</Paragraphs>
  <TotalTime>5</TotalTime>
  <ScaleCrop>false</ScaleCrop>
  <LinksUpToDate>false</LinksUpToDate>
  <CharactersWithSpaces>1693</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2021-06-29T19:06:00Z</dcterms:created>
  <dc:creator>pc-hq208</dc:creator>
  <cp:lastModifiedBy>王国林</cp:lastModifiedBy>
  <cp:lastPrinted>2025-10-19T20:20:00Z</cp:lastPrinted>
  <dcterms:modified xsi:type="dcterms:W3CDTF">2025-11-11T15:42:13Z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FC00B1A574F84E4386708324D151391C</vt:lpwstr>
  </property>
  <property fmtid="{D5CDD505-2E9C-101B-9397-08002B2CF9AE}" pid="4" name="KSOTemplateDocerSaveRecord">
    <vt:lpwstr>eyJoZGlkIjoiNDkxMjAyNjBiOWI5NmRlZWRmYTE5OGUxNmJlNTVjN2YiLCJ1c2VySWQiOiI0NTY0ODYzMTMifQ==</vt:lpwstr>
  </property>
</Properties>
</file>