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center"/>
        <w:rPr>
          <w:rFonts w:hint="eastAsia" w:ascii="宋体" w:hAnsi="宋体" w:cs="宋体"/>
          <w:b/>
          <w:kern w:val="0"/>
          <w:sz w:val="28"/>
          <w:szCs w:val="28"/>
        </w:rPr>
      </w:pPr>
      <w:bookmarkStart w:id="0" w:name="OLE_LINK2"/>
      <w:bookmarkStart w:id="1" w:name="OLE_LINK1"/>
      <w:r>
        <w:rPr>
          <w:rFonts w:hint="eastAsia" w:ascii="宋体" w:hAnsi="宋体" w:cs="宋体"/>
          <w:b/>
          <w:kern w:val="0"/>
          <w:sz w:val="28"/>
          <w:szCs w:val="28"/>
        </w:rPr>
        <w:t xml:space="preserve">  2025年度上海市为老服务机构综合责任保险</w:t>
      </w:r>
      <w:bookmarkEnd w:id="0"/>
      <w:bookmarkEnd w:id="1"/>
    </w:p>
    <w:p>
      <w:pPr>
        <w:widowControl/>
        <w:shd w:val="clear" w:color="auto" w:fill="FFFFFF"/>
        <w:spacing w:line="360" w:lineRule="auto"/>
        <w:jc w:val="center"/>
        <w:rPr>
          <w:rFonts w:ascii="宋体" w:hAnsi="宋体" w:cs="宋体"/>
          <w:b/>
          <w:kern w:val="0"/>
          <w:sz w:val="28"/>
          <w:szCs w:val="28"/>
        </w:rPr>
      </w:pPr>
      <w:r>
        <w:rPr>
          <w:rFonts w:hint="eastAsia" w:ascii="宋体" w:hAnsi="宋体" w:cs="宋体"/>
          <w:b/>
          <w:kern w:val="0"/>
          <w:sz w:val="28"/>
          <w:szCs w:val="28"/>
        </w:rPr>
        <w:t>采购需求</w:t>
      </w:r>
    </w:p>
    <w:p>
      <w:pPr>
        <w:widowControl/>
        <w:shd w:val="clear" w:color="auto" w:fill="FFFFFF"/>
        <w:spacing w:line="360" w:lineRule="auto"/>
        <w:jc w:val="left"/>
        <w:rPr>
          <w:rFonts w:ascii="宋体" w:hAnsi="宋体" w:cs="宋体"/>
          <w:kern w:val="0"/>
          <w:szCs w:val="21"/>
        </w:rPr>
      </w:pPr>
    </w:p>
    <w:p>
      <w:pPr>
        <w:widowControl/>
        <w:shd w:val="clear" w:color="auto" w:fill="FFFFFF"/>
        <w:spacing w:line="360" w:lineRule="auto"/>
        <w:ind w:firstLine="482" w:firstLineChars="200"/>
        <w:rPr>
          <w:rFonts w:ascii="宋体" w:hAnsi="宋体" w:cs="宋体"/>
          <w:b/>
          <w:kern w:val="0"/>
          <w:sz w:val="24"/>
        </w:rPr>
      </w:pPr>
      <w:r>
        <w:rPr>
          <w:rFonts w:hint="eastAsia" w:ascii="宋体" w:hAnsi="宋体" w:cs="宋体"/>
          <w:b/>
          <w:kern w:val="0"/>
          <w:sz w:val="24"/>
        </w:rPr>
        <w:t>一、项目用途：</w:t>
      </w:r>
    </w:p>
    <w:p>
      <w:pPr>
        <w:widowControl/>
        <w:shd w:val="clear" w:color="auto" w:fill="FFFFFF"/>
        <w:spacing w:line="360" w:lineRule="auto"/>
        <w:ind w:firstLine="451" w:firstLineChars="188"/>
        <w:rPr>
          <w:rFonts w:ascii="宋体" w:hAnsi="宋体" w:cs="宋体"/>
          <w:kern w:val="0"/>
          <w:sz w:val="24"/>
        </w:rPr>
      </w:pPr>
      <w:r>
        <w:rPr>
          <w:rFonts w:hint="eastAsia" w:ascii="宋体" w:hAnsi="宋体" w:cs="宋体"/>
          <w:kern w:val="0"/>
          <w:sz w:val="24"/>
        </w:rPr>
        <w:t>本项目用于保障本市从事社区养老服务具体工作的机构(组织)抵御经营责任风险，包含面临的经营活动中的第三者责任风险，以及服务人员工作中人身损害导致机构（组织）产生的民事责任风险。</w:t>
      </w:r>
    </w:p>
    <w:p>
      <w:pPr>
        <w:widowControl/>
        <w:shd w:val="clear" w:color="auto" w:fill="FFFFFF"/>
        <w:spacing w:line="360" w:lineRule="auto"/>
        <w:ind w:firstLine="451" w:firstLineChars="188"/>
        <w:rPr>
          <w:rFonts w:ascii="宋体" w:hAnsi="宋体" w:cs="宋体"/>
          <w:kern w:val="0"/>
          <w:sz w:val="24"/>
        </w:rPr>
      </w:pPr>
      <w:r>
        <w:rPr>
          <w:rFonts w:hint="eastAsia" w:ascii="宋体" w:hAnsi="宋体" w:cs="宋体"/>
          <w:kern w:val="0"/>
          <w:sz w:val="24"/>
        </w:rPr>
        <w:t>保障对象为本市居家社区养老服务机构。包括社区综合为老服务中心、社区老年人日间照料中心、社区长者食堂、长者运动健康之家等社区为老服务机构和老年人助餐点、家门口养老服务站、社区睦邻点、老年活动室等养老服务场所设施，以及居家养老服务机构、提供家庭照护床位和助医陪诊的养老服务机构等其他提供上门为老服务的机构。</w:t>
      </w:r>
    </w:p>
    <w:p>
      <w:pPr>
        <w:widowControl/>
        <w:shd w:val="clear" w:color="auto" w:fill="FFFFFF"/>
        <w:spacing w:line="360" w:lineRule="auto"/>
        <w:ind w:firstLine="451" w:firstLineChars="188"/>
        <w:rPr>
          <w:rFonts w:ascii="宋体" w:hAnsi="宋体" w:cs="宋体"/>
          <w:kern w:val="0"/>
          <w:sz w:val="24"/>
        </w:rPr>
      </w:pPr>
      <w:r>
        <w:rPr>
          <w:rFonts w:hint="eastAsia" w:ascii="宋体" w:hAnsi="宋体" w:cs="宋体"/>
          <w:kern w:val="0"/>
          <w:sz w:val="24"/>
        </w:rPr>
        <w:t>本项目由上海市民政局作为投保人，本市各区（街镇）社区养老服务机构和服务组织、实际经营管理的第三方以及各类服务提供方均可作为保险合同的被保险人。</w:t>
      </w:r>
    </w:p>
    <w:p>
      <w:pPr>
        <w:widowControl/>
        <w:shd w:val="clear" w:color="auto" w:fill="FFFFFF"/>
        <w:spacing w:line="360" w:lineRule="auto"/>
        <w:ind w:firstLine="405"/>
        <w:rPr>
          <w:rFonts w:ascii="宋体" w:hAnsi="宋体" w:cs="宋体"/>
          <w:kern w:val="0"/>
          <w:sz w:val="24"/>
        </w:rPr>
      </w:pPr>
      <w:r>
        <w:rPr>
          <w:rFonts w:hint="eastAsia" w:ascii="宋体" w:hAnsi="宋体" w:cs="宋体"/>
          <w:b/>
          <w:kern w:val="0"/>
          <w:sz w:val="24"/>
        </w:rPr>
        <w:t>二、项目期限</w:t>
      </w:r>
      <w:r>
        <w:rPr>
          <w:rFonts w:hint="eastAsia" w:ascii="宋体" w:hAnsi="宋体" w:cs="宋体"/>
          <w:kern w:val="0"/>
          <w:sz w:val="24"/>
        </w:rPr>
        <w:t>：</w:t>
      </w:r>
    </w:p>
    <w:p>
      <w:pPr>
        <w:spacing w:line="360" w:lineRule="auto"/>
        <w:ind w:firstLine="420"/>
        <w:rPr>
          <w:rFonts w:ascii="宋体" w:hAnsi="宋体"/>
          <w:sz w:val="24"/>
        </w:rPr>
      </w:pPr>
      <w:r>
        <w:rPr>
          <w:rFonts w:hint="eastAsia" w:ascii="宋体" w:hAnsi="宋体"/>
          <w:sz w:val="24"/>
        </w:rPr>
        <w:t>2025年10月1日起至2026年9月3</w:t>
      </w:r>
      <w:r>
        <w:rPr>
          <w:rFonts w:hint="eastAsia" w:ascii="宋体" w:hAnsi="宋体"/>
          <w:sz w:val="24"/>
          <w:lang w:val="en-US" w:eastAsia="zh-CN"/>
        </w:rPr>
        <w:t>0</w:t>
      </w:r>
      <w:r>
        <w:rPr>
          <w:rFonts w:hint="eastAsia" w:ascii="宋体" w:hAnsi="宋体"/>
          <w:sz w:val="24"/>
        </w:rPr>
        <w:t>日。</w:t>
      </w:r>
    </w:p>
    <w:p>
      <w:pPr>
        <w:widowControl/>
        <w:shd w:val="clear" w:color="auto" w:fill="FFFFFF"/>
        <w:spacing w:line="360" w:lineRule="auto"/>
        <w:ind w:firstLine="405"/>
        <w:jc w:val="left"/>
        <w:rPr>
          <w:rFonts w:ascii="宋体" w:hAnsi="宋体" w:cs="宋体"/>
          <w:kern w:val="0"/>
          <w:sz w:val="24"/>
        </w:rPr>
      </w:pPr>
      <w:r>
        <w:rPr>
          <w:rFonts w:hint="eastAsia" w:ascii="宋体" w:hAnsi="宋体" w:cs="宋体"/>
          <w:b/>
          <w:kern w:val="0"/>
          <w:sz w:val="24"/>
        </w:rPr>
        <w:t>三、基本要求</w:t>
      </w:r>
      <w:r>
        <w:rPr>
          <w:rFonts w:hint="eastAsia" w:ascii="宋体" w:hAnsi="宋体" w:cs="宋体"/>
          <w:kern w:val="0"/>
          <w:sz w:val="24"/>
        </w:rPr>
        <w:t>：</w:t>
      </w:r>
    </w:p>
    <w:p>
      <w:pPr>
        <w:widowControl/>
        <w:shd w:val="clear" w:color="auto" w:fill="FFFFFF"/>
        <w:spacing w:line="360" w:lineRule="auto"/>
        <w:ind w:firstLine="480" w:firstLineChars="200"/>
        <w:rPr>
          <w:rFonts w:ascii="宋体" w:hAnsi="宋体" w:cs="宋体"/>
          <w:kern w:val="0"/>
          <w:sz w:val="24"/>
        </w:rPr>
      </w:pPr>
      <w:r>
        <w:rPr>
          <w:rFonts w:hint="eastAsia" w:ascii="宋体" w:hAnsi="宋体" w:cs="宋体"/>
          <w:kern w:val="0"/>
          <w:sz w:val="24"/>
        </w:rPr>
        <w:t>1.基本保险责任：</w:t>
      </w:r>
    </w:p>
    <w:p>
      <w:pPr>
        <w:widowControl/>
        <w:shd w:val="clear" w:color="auto" w:fill="FFFFFF"/>
        <w:spacing w:line="360" w:lineRule="auto"/>
        <w:ind w:firstLine="480" w:firstLineChars="200"/>
        <w:rPr>
          <w:rFonts w:ascii="宋体" w:hAnsi="宋体" w:cs="宋体"/>
          <w:kern w:val="0"/>
          <w:sz w:val="24"/>
        </w:rPr>
      </w:pPr>
      <w:r>
        <w:rPr>
          <w:rFonts w:hint="eastAsia" w:ascii="宋体" w:hAnsi="宋体" w:cs="宋体"/>
          <w:kern w:val="0"/>
          <w:sz w:val="24"/>
        </w:rPr>
        <w:t>（1）被服务对象（老年人）在接受居家社区养老服务机构服务期间（包括在社区为老服务机构、养老服务场所设施内以及在老年人家中开展上门服务、在助医陪诊过程中等情形），发生人身损害，其中依法应由居家社区养老服务机构承担的经济赔偿责任的，由保险公司在约定的赔偿项目及限额内给予赔偿。</w:t>
      </w:r>
    </w:p>
    <w:p>
      <w:pPr>
        <w:widowControl/>
        <w:shd w:val="clear" w:color="auto" w:fill="FFFFFF"/>
        <w:spacing w:line="360" w:lineRule="auto"/>
        <w:ind w:firstLine="516" w:firstLineChars="215"/>
        <w:rPr>
          <w:rFonts w:ascii="宋体" w:hAnsi="宋体" w:cs="宋体"/>
          <w:kern w:val="0"/>
          <w:sz w:val="24"/>
        </w:rPr>
      </w:pPr>
      <w:r>
        <w:rPr>
          <w:rFonts w:hint="eastAsia" w:ascii="宋体" w:hAnsi="宋体" w:cs="宋体"/>
          <w:kern w:val="0"/>
          <w:sz w:val="24"/>
        </w:rPr>
        <w:t>（2）居家社区养老服务机构在服务场所内（包括在社区为老服务机构、养老服务场所设施内以及在老年人家中开展上门服务、在助医陪诊过程中等情形）因经营过失引发对其他不特定第三方依法应承担经济赔偿的，由保险公司在约定的赔偿项目及限额内给予赔偿。</w:t>
      </w:r>
    </w:p>
    <w:p>
      <w:pPr>
        <w:widowControl/>
        <w:shd w:val="clear" w:color="auto" w:fill="FFFFFF"/>
        <w:spacing w:line="360" w:lineRule="auto"/>
        <w:ind w:firstLine="516" w:firstLineChars="215"/>
        <w:rPr>
          <w:rFonts w:ascii="宋体" w:hAnsi="宋体" w:cs="宋体"/>
          <w:kern w:val="0"/>
          <w:sz w:val="24"/>
        </w:rPr>
      </w:pPr>
      <w:r>
        <w:rPr>
          <w:rFonts w:hint="eastAsia" w:ascii="宋体" w:hAnsi="宋体" w:cs="宋体"/>
          <w:kern w:val="0"/>
          <w:sz w:val="24"/>
        </w:rPr>
        <w:t>（3）居家社区养老服务机构的养老护理、送餐、提供家庭照护床位服务、助医陪诊等工作人员自身在工作期间(含往返途中)发生的人身损害的（包括驾驶无牌照的送餐车或自行车发生意外事故、服务人员突发疾病死亡或在48小时之内经抢救无效死亡的），由保险公司在约定的赔偿项目及限额内给予赔偿。</w:t>
      </w:r>
    </w:p>
    <w:p>
      <w:pPr>
        <w:widowControl/>
        <w:shd w:val="clear" w:color="auto" w:fill="FFFFFF"/>
        <w:spacing w:line="360" w:lineRule="auto"/>
        <w:ind w:firstLine="516" w:firstLineChars="215"/>
        <w:rPr>
          <w:rFonts w:ascii="宋体" w:hAnsi="宋体" w:cs="宋体"/>
          <w:kern w:val="0"/>
          <w:sz w:val="24"/>
        </w:rPr>
      </w:pPr>
      <w:r>
        <w:rPr>
          <w:rFonts w:hint="eastAsia" w:ascii="宋体" w:hAnsi="宋体" w:cs="宋体"/>
          <w:kern w:val="0"/>
          <w:sz w:val="24"/>
        </w:rPr>
        <w:t>（4）保险事故发生后，居家社区养老服务机构因保险事故而被提起仲裁或者诉讼的，对应由居家社区养老服务机构支付的仲裁或诉讼费用，以及事先经保险公司书面同意支付的其他必要的、合理的费用，由保险公司在约定的赔偿项目及限额内给予赔偿。</w:t>
      </w:r>
    </w:p>
    <w:p>
      <w:pPr>
        <w:widowControl/>
        <w:shd w:val="clear" w:color="auto" w:fill="FFFFFF"/>
        <w:spacing w:line="360" w:lineRule="auto"/>
        <w:ind w:firstLine="516" w:firstLineChars="215"/>
        <w:rPr>
          <w:rFonts w:ascii="宋体" w:hAnsi="宋体" w:cs="宋体"/>
          <w:kern w:val="0"/>
          <w:sz w:val="24"/>
        </w:rPr>
      </w:pPr>
      <w:r>
        <w:rPr>
          <w:rFonts w:hint="eastAsia" w:ascii="宋体" w:hAnsi="宋体" w:cs="宋体"/>
          <w:kern w:val="0"/>
          <w:sz w:val="24"/>
        </w:rPr>
        <w:t>2.扩展保险责任</w:t>
      </w:r>
    </w:p>
    <w:p>
      <w:pPr>
        <w:widowControl/>
        <w:shd w:val="clear" w:color="auto" w:fill="FFFFFF"/>
        <w:spacing w:line="360" w:lineRule="auto"/>
        <w:ind w:firstLine="516" w:firstLineChars="215"/>
        <w:rPr>
          <w:rFonts w:ascii="宋体" w:hAnsi="宋体" w:cs="宋体"/>
          <w:kern w:val="0"/>
          <w:sz w:val="24"/>
        </w:rPr>
      </w:pPr>
      <w:r>
        <w:rPr>
          <w:rFonts w:hint="eastAsia" w:ascii="宋体" w:hAnsi="宋体" w:cs="宋体"/>
          <w:kern w:val="0"/>
          <w:sz w:val="24"/>
        </w:rPr>
        <w:t>本项目需保险人扩展承保火灾和爆炸责任、广告及装饰装置责任、食品、饮料责任、公共卫生设施缺陷责任，罢</w:t>
      </w:r>
      <w:r>
        <w:rPr>
          <w:rFonts w:hint="eastAsia" w:ascii="宋体" w:hAnsi="宋体" w:cs="宋体"/>
          <w:kern w:val="0"/>
          <w:sz w:val="24"/>
          <w:lang w:val="en-US" w:eastAsia="zh-CN"/>
        </w:rPr>
        <w:t>`</w:t>
      </w:r>
      <w:r>
        <w:rPr>
          <w:rFonts w:hint="eastAsia" w:ascii="宋体" w:hAnsi="宋体" w:cs="宋体"/>
          <w:kern w:val="0"/>
          <w:sz w:val="24"/>
        </w:rPr>
        <w:t>工暴</w:t>
      </w:r>
      <w:r>
        <w:rPr>
          <w:rFonts w:hint="eastAsia" w:ascii="宋体" w:hAnsi="宋体" w:cs="宋体"/>
          <w:kern w:val="0"/>
          <w:sz w:val="24"/>
          <w:lang w:val="en-US" w:eastAsia="zh-CN"/>
        </w:rPr>
        <w:t>`</w:t>
      </w:r>
      <w:r>
        <w:rPr>
          <w:rFonts w:hint="eastAsia" w:ascii="宋体" w:hAnsi="宋体" w:cs="宋体"/>
          <w:kern w:val="0"/>
          <w:sz w:val="24"/>
        </w:rPr>
        <w:t>乱民众骚</w:t>
      </w:r>
      <w:r>
        <w:rPr>
          <w:rFonts w:hint="eastAsia" w:ascii="宋体" w:hAnsi="宋体" w:cs="宋体"/>
          <w:kern w:val="0"/>
          <w:sz w:val="24"/>
          <w:lang w:val="en-US" w:eastAsia="zh-CN"/>
        </w:rPr>
        <w:t>`</w:t>
      </w:r>
      <w:r>
        <w:rPr>
          <w:rFonts w:hint="eastAsia" w:ascii="宋体" w:hAnsi="宋体" w:cs="宋体"/>
          <w:kern w:val="0"/>
          <w:sz w:val="24"/>
        </w:rPr>
        <w:t>乱或恶意破坏责任、电梯、升降机责任、护理职业责任、提供物品及服务责任等导致的服务对象或其他第三者的人身伤害，同时需承保救火费用和急救费用等相关费用。</w:t>
      </w:r>
    </w:p>
    <w:p>
      <w:pPr>
        <w:widowControl/>
        <w:shd w:val="clear" w:color="auto" w:fill="FFFFFF"/>
        <w:spacing w:line="360" w:lineRule="auto"/>
        <w:ind w:firstLine="480" w:firstLineChars="200"/>
        <w:rPr>
          <w:rFonts w:ascii="宋体" w:hAnsi="宋体" w:cs="宋体"/>
          <w:kern w:val="0"/>
          <w:sz w:val="24"/>
        </w:rPr>
      </w:pPr>
      <w:r>
        <w:rPr>
          <w:rFonts w:hint="eastAsia" w:ascii="宋体" w:hAnsi="宋体" w:cs="宋体"/>
          <w:kern w:val="0"/>
          <w:sz w:val="24"/>
        </w:rPr>
        <w:t>3.保费计算方式：由两部分组成。居家社区养老服务机构的保费，最高限额为300元/家/年</w:t>
      </w:r>
      <w:r>
        <w:rPr>
          <w:rFonts w:hint="eastAsia" w:ascii="宋体" w:hAnsi="宋体" w:cs="宋体"/>
          <w:kern w:val="0"/>
          <w:sz w:val="24"/>
          <w:lang w:eastAsia="zh-CN"/>
        </w:rPr>
        <w:t>（包含服务对象和其他第三者赔偿责任）</w:t>
      </w:r>
      <w:r>
        <w:rPr>
          <w:rFonts w:hint="eastAsia" w:ascii="宋体" w:hAnsi="宋体" w:cs="宋体"/>
          <w:kern w:val="0"/>
          <w:sz w:val="24"/>
        </w:rPr>
        <w:t>；居家社区养老服务机构所属服务人员（包含养老护理、送餐、提供家庭照护床位服务、助医陪诊等工作人员）的保费，最高限额为15元/人/年</w:t>
      </w:r>
      <w:r>
        <w:rPr>
          <w:rFonts w:hint="eastAsia" w:ascii="宋体" w:hAnsi="宋体" w:cs="宋体"/>
          <w:kern w:val="0"/>
          <w:sz w:val="24"/>
          <w:lang w:eastAsia="zh-CN"/>
        </w:rPr>
        <w:t>（包含服务人员赔偿责任</w:t>
      </w:r>
      <w:bookmarkStart w:id="3" w:name="_GoBack"/>
      <w:bookmarkEnd w:id="3"/>
      <w:r>
        <w:rPr>
          <w:rFonts w:hint="eastAsia" w:ascii="宋体" w:hAnsi="宋体" w:cs="宋体"/>
          <w:kern w:val="0"/>
          <w:sz w:val="24"/>
          <w:lang w:eastAsia="zh-CN"/>
        </w:rPr>
        <w:t>）</w:t>
      </w:r>
      <w:r>
        <w:rPr>
          <w:rFonts w:hint="eastAsia" w:ascii="宋体" w:hAnsi="宋体" w:cs="宋体"/>
          <w:kern w:val="0"/>
          <w:sz w:val="24"/>
        </w:rPr>
        <w:t>。</w:t>
      </w:r>
    </w:p>
    <w:p>
      <w:pPr>
        <w:widowControl/>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4.全市居家社区养老服务机构及其服务人员的数量，以投保时提供的实际数量为准。</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lang w:val="en-US" w:eastAsia="zh-CN"/>
        </w:rPr>
        <w:t>5</w:t>
      </w:r>
      <w:r>
        <w:rPr>
          <w:rFonts w:hint="eastAsia" w:ascii="宋体" w:hAnsi="宋体" w:cs="宋体"/>
          <w:kern w:val="0"/>
          <w:sz w:val="24"/>
        </w:rPr>
        <w:t>.赔偿限额要求：</w:t>
      </w:r>
    </w:p>
    <w:tbl>
      <w:tblPr>
        <w:tblStyle w:val="3"/>
        <w:tblW w:w="97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800"/>
        <w:gridCol w:w="1440"/>
        <w:gridCol w:w="1980"/>
        <w:gridCol w:w="16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rPr>
        <w:tc>
          <w:tcPr>
            <w:tcW w:w="3420" w:type="dxa"/>
            <w:gridSpan w:val="2"/>
            <w:vAlign w:val="center"/>
          </w:tcPr>
          <w:p>
            <w:pPr>
              <w:adjustRightInd w:val="0"/>
              <w:snapToGrid w:val="0"/>
              <w:spacing w:line="320" w:lineRule="exact"/>
              <w:jc w:val="center"/>
              <w:rPr>
                <w:rFonts w:ascii="宋体" w:hAnsi="宋体"/>
                <w:b/>
                <w:szCs w:val="21"/>
              </w:rPr>
            </w:pPr>
            <w:r>
              <w:rPr>
                <w:rFonts w:hint="eastAsia" w:ascii="宋体" w:hAnsi="宋体"/>
                <w:b/>
                <w:szCs w:val="21"/>
              </w:rPr>
              <w:t>服务人员赔偿责任</w:t>
            </w:r>
          </w:p>
        </w:tc>
        <w:tc>
          <w:tcPr>
            <w:tcW w:w="3420" w:type="dxa"/>
            <w:gridSpan w:val="2"/>
            <w:vAlign w:val="center"/>
          </w:tcPr>
          <w:p>
            <w:pPr>
              <w:adjustRightInd w:val="0"/>
              <w:snapToGrid w:val="0"/>
              <w:spacing w:line="320" w:lineRule="exact"/>
              <w:jc w:val="center"/>
              <w:rPr>
                <w:rFonts w:ascii="宋体" w:hAnsi="宋体"/>
                <w:b/>
                <w:szCs w:val="21"/>
              </w:rPr>
            </w:pPr>
            <w:r>
              <w:rPr>
                <w:rFonts w:hint="eastAsia" w:ascii="宋体" w:hAnsi="宋体"/>
                <w:b/>
                <w:szCs w:val="21"/>
              </w:rPr>
              <w:t>服务对象赔偿责任</w:t>
            </w:r>
          </w:p>
        </w:tc>
        <w:tc>
          <w:tcPr>
            <w:tcW w:w="2880" w:type="dxa"/>
            <w:gridSpan w:val="2"/>
            <w:vAlign w:val="center"/>
          </w:tcPr>
          <w:p>
            <w:pPr>
              <w:adjustRightInd w:val="0"/>
              <w:snapToGrid w:val="0"/>
              <w:spacing w:line="320" w:lineRule="exact"/>
              <w:jc w:val="center"/>
              <w:rPr>
                <w:rFonts w:ascii="宋体" w:hAnsi="宋体"/>
                <w:b/>
                <w:szCs w:val="21"/>
              </w:rPr>
            </w:pPr>
            <w:r>
              <w:rPr>
                <w:rFonts w:hint="eastAsia" w:ascii="宋体" w:hAnsi="宋体"/>
                <w:b/>
                <w:szCs w:val="21"/>
              </w:rPr>
              <w:t>其他第三者赔偿责任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trPr>
        <w:tc>
          <w:tcPr>
            <w:tcW w:w="1620" w:type="dxa"/>
            <w:vAlign w:val="center"/>
          </w:tcPr>
          <w:p>
            <w:pPr>
              <w:adjustRightInd w:val="0"/>
              <w:snapToGrid w:val="0"/>
              <w:spacing w:line="320" w:lineRule="exact"/>
              <w:jc w:val="center"/>
              <w:rPr>
                <w:rFonts w:ascii="宋体" w:hAnsi="宋体"/>
                <w:b/>
                <w:szCs w:val="21"/>
              </w:rPr>
            </w:pPr>
            <w:r>
              <w:rPr>
                <w:rFonts w:hint="eastAsia" w:ascii="宋体" w:hAnsi="宋体"/>
                <w:b/>
                <w:szCs w:val="21"/>
              </w:rPr>
              <w:t>赔偿项目</w:t>
            </w:r>
          </w:p>
        </w:tc>
        <w:tc>
          <w:tcPr>
            <w:tcW w:w="1800" w:type="dxa"/>
            <w:vAlign w:val="center"/>
          </w:tcPr>
          <w:p>
            <w:pPr>
              <w:adjustRightInd w:val="0"/>
              <w:snapToGrid w:val="0"/>
              <w:spacing w:line="320" w:lineRule="exact"/>
              <w:jc w:val="center"/>
              <w:rPr>
                <w:rFonts w:ascii="宋体" w:hAnsi="宋体"/>
                <w:b/>
                <w:szCs w:val="21"/>
              </w:rPr>
            </w:pPr>
            <w:r>
              <w:rPr>
                <w:rFonts w:hint="eastAsia" w:ascii="宋体" w:hAnsi="宋体"/>
                <w:b/>
                <w:szCs w:val="21"/>
              </w:rPr>
              <w:t>赔偿限额</w:t>
            </w:r>
          </w:p>
        </w:tc>
        <w:tc>
          <w:tcPr>
            <w:tcW w:w="1440" w:type="dxa"/>
            <w:vAlign w:val="center"/>
          </w:tcPr>
          <w:p>
            <w:pPr>
              <w:adjustRightInd w:val="0"/>
              <w:snapToGrid w:val="0"/>
              <w:spacing w:line="320" w:lineRule="exact"/>
              <w:jc w:val="center"/>
              <w:rPr>
                <w:rFonts w:ascii="宋体" w:hAnsi="宋体"/>
                <w:b/>
                <w:szCs w:val="21"/>
              </w:rPr>
            </w:pPr>
            <w:r>
              <w:rPr>
                <w:rFonts w:hint="eastAsia" w:ascii="宋体" w:hAnsi="宋体"/>
                <w:b/>
                <w:szCs w:val="21"/>
              </w:rPr>
              <w:t>赔偿项目</w:t>
            </w:r>
          </w:p>
        </w:tc>
        <w:tc>
          <w:tcPr>
            <w:tcW w:w="1980" w:type="dxa"/>
            <w:vAlign w:val="center"/>
          </w:tcPr>
          <w:p>
            <w:pPr>
              <w:adjustRightInd w:val="0"/>
              <w:snapToGrid w:val="0"/>
              <w:spacing w:line="320" w:lineRule="exact"/>
              <w:jc w:val="center"/>
              <w:rPr>
                <w:rFonts w:ascii="宋体" w:hAnsi="宋体"/>
                <w:b/>
                <w:szCs w:val="21"/>
              </w:rPr>
            </w:pPr>
            <w:r>
              <w:rPr>
                <w:rFonts w:hint="eastAsia" w:ascii="宋体" w:hAnsi="宋体"/>
                <w:b/>
                <w:szCs w:val="21"/>
              </w:rPr>
              <w:t>赔偿限额</w:t>
            </w:r>
          </w:p>
        </w:tc>
        <w:tc>
          <w:tcPr>
            <w:tcW w:w="1620" w:type="dxa"/>
            <w:vAlign w:val="center"/>
          </w:tcPr>
          <w:p>
            <w:pPr>
              <w:adjustRightInd w:val="0"/>
              <w:snapToGrid w:val="0"/>
              <w:spacing w:line="320" w:lineRule="exact"/>
              <w:jc w:val="center"/>
              <w:rPr>
                <w:rFonts w:ascii="宋体" w:hAnsi="宋体"/>
                <w:b/>
                <w:szCs w:val="21"/>
              </w:rPr>
            </w:pPr>
            <w:r>
              <w:rPr>
                <w:rFonts w:hint="eastAsia" w:ascii="宋体" w:hAnsi="宋体"/>
                <w:b/>
                <w:szCs w:val="21"/>
              </w:rPr>
              <w:t>赔偿项目</w:t>
            </w:r>
          </w:p>
          <w:p>
            <w:pPr>
              <w:adjustRightInd w:val="0"/>
              <w:snapToGrid w:val="0"/>
              <w:spacing w:line="320" w:lineRule="exact"/>
              <w:jc w:val="center"/>
              <w:rPr>
                <w:rFonts w:ascii="宋体" w:hAnsi="宋体"/>
                <w:szCs w:val="21"/>
              </w:rPr>
            </w:pPr>
            <w:r>
              <w:rPr>
                <w:rFonts w:hint="eastAsia" w:ascii="宋体" w:hAnsi="宋体"/>
                <w:sz w:val="18"/>
                <w:szCs w:val="18"/>
              </w:rPr>
              <w:t>（见表下*注释）</w:t>
            </w:r>
          </w:p>
        </w:tc>
        <w:tc>
          <w:tcPr>
            <w:tcW w:w="1260" w:type="dxa"/>
            <w:vAlign w:val="center"/>
          </w:tcPr>
          <w:p>
            <w:pPr>
              <w:adjustRightInd w:val="0"/>
              <w:snapToGrid w:val="0"/>
              <w:spacing w:line="320" w:lineRule="exact"/>
              <w:jc w:val="center"/>
              <w:rPr>
                <w:rFonts w:ascii="宋体" w:hAnsi="宋体"/>
                <w:b/>
                <w:szCs w:val="21"/>
              </w:rPr>
            </w:pPr>
            <w:r>
              <w:rPr>
                <w:rFonts w:hint="eastAsia" w:ascii="宋体" w:hAnsi="宋体"/>
                <w:b/>
                <w:szCs w:val="21"/>
              </w:rPr>
              <w:t>赔偿限额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trPr>
        <w:tc>
          <w:tcPr>
            <w:tcW w:w="1620" w:type="dxa"/>
            <w:vAlign w:val="center"/>
          </w:tcPr>
          <w:p>
            <w:pPr>
              <w:adjustRightInd w:val="0"/>
              <w:snapToGrid w:val="0"/>
              <w:spacing w:line="320" w:lineRule="exact"/>
              <w:rPr>
                <w:rFonts w:ascii="宋体" w:hAnsi="宋体"/>
                <w:szCs w:val="21"/>
              </w:rPr>
            </w:pPr>
            <w:r>
              <w:rPr>
                <w:rFonts w:hint="eastAsia" w:ascii="宋体" w:hAnsi="宋体"/>
                <w:szCs w:val="21"/>
              </w:rPr>
              <w:t>意外身故</w:t>
            </w:r>
          </w:p>
        </w:tc>
        <w:tc>
          <w:tcPr>
            <w:tcW w:w="1800" w:type="dxa"/>
            <w:vAlign w:val="center"/>
          </w:tcPr>
          <w:p>
            <w:pPr>
              <w:adjustRightInd w:val="0"/>
              <w:snapToGrid w:val="0"/>
              <w:spacing w:line="320" w:lineRule="exact"/>
              <w:rPr>
                <w:rFonts w:ascii="宋体" w:hAnsi="宋体"/>
                <w:szCs w:val="21"/>
              </w:rPr>
            </w:pPr>
            <w:r>
              <w:rPr>
                <w:rFonts w:hint="eastAsia" w:ascii="宋体" w:hAnsi="宋体"/>
                <w:szCs w:val="21"/>
              </w:rPr>
              <w:t>80,000/人</w:t>
            </w:r>
          </w:p>
        </w:tc>
        <w:tc>
          <w:tcPr>
            <w:tcW w:w="1440" w:type="dxa"/>
            <w:vAlign w:val="center"/>
          </w:tcPr>
          <w:p>
            <w:pPr>
              <w:adjustRightInd w:val="0"/>
              <w:snapToGrid w:val="0"/>
              <w:spacing w:line="320" w:lineRule="exact"/>
              <w:rPr>
                <w:rFonts w:ascii="宋体" w:hAnsi="宋体"/>
                <w:szCs w:val="21"/>
              </w:rPr>
            </w:pPr>
            <w:r>
              <w:rPr>
                <w:rFonts w:hint="eastAsia" w:ascii="宋体" w:hAnsi="宋体"/>
                <w:szCs w:val="21"/>
              </w:rPr>
              <w:t>意外身故</w:t>
            </w:r>
          </w:p>
        </w:tc>
        <w:tc>
          <w:tcPr>
            <w:tcW w:w="1980" w:type="dxa"/>
            <w:vAlign w:val="center"/>
          </w:tcPr>
          <w:p>
            <w:pPr>
              <w:adjustRightInd w:val="0"/>
              <w:snapToGrid w:val="0"/>
              <w:spacing w:line="320" w:lineRule="exact"/>
              <w:rPr>
                <w:rFonts w:ascii="宋体" w:hAnsi="宋体"/>
                <w:szCs w:val="21"/>
              </w:rPr>
            </w:pPr>
            <w:r>
              <w:rPr>
                <w:rFonts w:hint="eastAsia" w:ascii="宋体" w:hAnsi="宋体"/>
                <w:szCs w:val="21"/>
              </w:rPr>
              <w:t>80,000/人</w:t>
            </w:r>
          </w:p>
        </w:tc>
        <w:tc>
          <w:tcPr>
            <w:tcW w:w="1620" w:type="dxa"/>
            <w:vMerge w:val="restart"/>
            <w:vAlign w:val="center"/>
          </w:tcPr>
          <w:p>
            <w:pPr>
              <w:adjustRightInd w:val="0"/>
              <w:snapToGrid w:val="0"/>
              <w:spacing w:line="320" w:lineRule="exact"/>
              <w:rPr>
                <w:rFonts w:ascii="宋体" w:hAnsi="宋体"/>
                <w:szCs w:val="21"/>
              </w:rPr>
            </w:pPr>
            <w:r>
              <w:rPr>
                <w:rFonts w:hint="eastAsia" w:ascii="宋体" w:hAnsi="宋体"/>
                <w:szCs w:val="21"/>
              </w:rPr>
              <w:t>每人每次事故</w:t>
            </w:r>
          </w:p>
        </w:tc>
        <w:tc>
          <w:tcPr>
            <w:tcW w:w="1260" w:type="dxa"/>
            <w:vMerge w:val="restart"/>
            <w:vAlign w:val="center"/>
          </w:tcPr>
          <w:p>
            <w:pPr>
              <w:adjustRightInd w:val="0"/>
              <w:snapToGrid w:val="0"/>
              <w:spacing w:line="320" w:lineRule="exact"/>
              <w:jc w:val="center"/>
              <w:rPr>
                <w:rFonts w:ascii="宋体" w:hAnsi="宋体"/>
                <w:spacing w:val="-10"/>
                <w:szCs w:val="21"/>
              </w:rPr>
            </w:pPr>
            <w:r>
              <w:rPr>
                <w:rFonts w:hint="eastAsia" w:ascii="宋体" w:hAnsi="宋体"/>
                <w:spacing w:val="-10"/>
                <w:szCs w:val="21"/>
              </w:rPr>
              <w:t>80,000/人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9" w:hRule="atLeast"/>
        </w:trPr>
        <w:tc>
          <w:tcPr>
            <w:tcW w:w="1620" w:type="dxa"/>
            <w:vAlign w:val="center"/>
          </w:tcPr>
          <w:p>
            <w:pPr>
              <w:adjustRightInd w:val="0"/>
              <w:snapToGrid w:val="0"/>
              <w:spacing w:line="320" w:lineRule="exact"/>
              <w:rPr>
                <w:rFonts w:ascii="宋体" w:hAnsi="宋体"/>
                <w:szCs w:val="21"/>
              </w:rPr>
            </w:pPr>
            <w:r>
              <w:rPr>
                <w:rFonts w:hint="eastAsia" w:ascii="宋体" w:hAnsi="宋体"/>
                <w:szCs w:val="21"/>
              </w:rPr>
              <w:t>意外永久伤残</w:t>
            </w:r>
          </w:p>
        </w:tc>
        <w:tc>
          <w:tcPr>
            <w:tcW w:w="1800" w:type="dxa"/>
            <w:vAlign w:val="center"/>
          </w:tcPr>
          <w:p>
            <w:pPr>
              <w:adjustRightInd w:val="0"/>
              <w:snapToGrid w:val="0"/>
              <w:spacing w:line="320" w:lineRule="exact"/>
              <w:rPr>
                <w:rFonts w:ascii="宋体" w:hAnsi="宋体"/>
                <w:szCs w:val="21"/>
              </w:rPr>
            </w:pPr>
            <w:r>
              <w:rPr>
                <w:rFonts w:hint="eastAsia" w:ascii="宋体" w:hAnsi="宋体"/>
                <w:szCs w:val="21"/>
              </w:rPr>
              <w:t>按赔付比例，最高80,000/人</w:t>
            </w:r>
          </w:p>
        </w:tc>
        <w:tc>
          <w:tcPr>
            <w:tcW w:w="1440" w:type="dxa"/>
            <w:vAlign w:val="center"/>
          </w:tcPr>
          <w:p>
            <w:pPr>
              <w:adjustRightInd w:val="0"/>
              <w:snapToGrid w:val="0"/>
              <w:spacing w:line="320" w:lineRule="exact"/>
              <w:rPr>
                <w:rFonts w:ascii="宋体" w:hAnsi="宋体"/>
                <w:szCs w:val="21"/>
              </w:rPr>
            </w:pPr>
            <w:r>
              <w:rPr>
                <w:rFonts w:hint="eastAsia" w:ascii="宋体" w:hAnsi="宋体"/>
                <w:szCs w:val="21"/>
              </w:rPr>
              <w:t>意外永久伤残</w:t>
            </w:r>
          </w:p>
        </w:tc>
        <w:tc>
          <w:tcPr>
            <w:tcW w:w="1980" w:type="dxa"/>
            <w:vAlign w:val="center"/>
          </w:tcPr>
          <w:p>
            <w:pPr>
              <w:adjustRightInd w:val="0"/>
              <w:snapToGrid w:val="0"/>
              <w:spacing w:line="320" w:lineRule="exact"/>
              <w:rPr>
                <w:rFonts w:ascii="宋体" w:hAnsi="宋体"/>
                <w:szCs w:val="21"/>
              </w:rPr>
            </w:pPr>
            <w:r>
              <w:rPr>
                <w:rFonts w:hint="eastAsia" w:ascii="宋体" w:hAnsi="宋体"/>
                <w:szCs w:val="21"/>
              </w:rPr>
              <w:t>按赔付比例，最高80,000/人</w:t>
            </w:r>
          </w:p>
        </w:tc>
        <w:tc>
          <w:tcPr>
            <w:tcW w:w="1620" w:type="dxa"/>
            <w:vMerge w:val="continue"/>
            <w:vAlign w:val="center"/>
          </w:tcPr>
          <w:p>
            <w:pPr>
              <w:adjustRightInd w:val="0"/>
              <w:snapToGrid w:val="0"/>
              <w:spacing w:line="320" w:lineRule="exact"/>
              <w:rPr>
                <w:rFonts w:ascii="宋体" w:hAnsi="宋体"/>
                <w:szCs w:val="21"/>
              </w:rPr>
            </w:pPr>
          </w:p>
        </w:tc>
        <w:tc>
          <w:tcPr>
            <w:tcW w:w="1260" w:type="dxa"/>
            <w:vMerge w:val="continue"/>
            <w:vAlign w:val="center"/>
          </w:tcPr>
          <w:p>
            <w:pPr>
              <w:adjustRightInd w:val="0"/>
              <w:snapToGrid w:val="0"/>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620" w:type="dxa"/>
            <w:vAlign w:val="center"/>
          </w:tcPr>
          <w:p>
            <w:pPr>
              <w:adjustRightInd w:val="0"/>
              <w:snapToGrid w:val="0"/>
              <w:spacing w:line="320" w:lineRule="exact"/>
              <w:rPr>
                <w:rFonts w:ascii="宋体" w:hAnsi="宋体"/>
                <w:szCs w:val="21"/>
              </w:rPr>
            </w:pPr>
            <w:r>
              <w:rPr>
                <w:rFonts w:hint="eastAsia" w:ascii="宋体" w:hAnsi="宋体"/>
                <w:szCs w:val="21"/>
              </w:rPr>
              <w:t>意外医疗费用</w:t>
            </w:r>
          </w:p>
        </w:tc>
        <w:tc>
          <w:tcPr>
            <w:tcW w:w="1800" w:type="dxa"/>
            <w:vAlign w:val="center"/>
          </w:tcPr>
          <w:p>
            <w:pPr>
              <w:adjustRightInd w:val="0"/>
              <w:snapToGrid w:val="0"/>
              <w:spacing w:line="320" w:lineRule="exact"/>
              <w:rPr>
                <w:rFonts w:ascii="宋体" w:hAnsi="宋体"/>
                <w:szCs w:val="21"/>
              </w:rPr>
            </w:pPr>
            <w:r>
              <w:rPr>
                <w:rFonts w:hint="eastAsia" w:ascii="宋体" w:hAnsi="宋体"/>
                <w:szCs w:val="21"/>
              </w:rPr>
              <w:t>10,000/人/次</w:t>
            </w:r>
            <w:r>
              <w:rPr>
                <w:rFonts w:hint="eastAsia"/>
                <w:bCs/>
                <w:szCs w:val="21"/>
              </w:rPr>
              <w:t>，无免赔，100%赔付，范围同社保</w:t>
            </w:r>
          </w:p>
        </w:tc>
        <w:tc>
          <w:tcPr>
            <w:tcW w:w="1440" w:type="dxa"/>
            <w:vAlign w:val="center"/>
          </w:tcPr>
          <w:p>
            <w:pPr>
              <w:adjustRightInd w:val="0"/>
              <w:snapToGrid w:val="0"/>
              <w:spacing w:line="320" w:lineRule="exact"/>
              <w:rPr>
                <w:rFonts w:ascii="宋体" w:hAnsi="宋体"/>
                <w:szCs w:val="21"/>
              </w:rPr>
            </w:pPr>
            <w:r>
              <w:rPr>
                <w:rFonts w:hint="eastAsia" w:ascii="宋体" w:hAnsi="宋体"/>
                <w:szCs w:val="21"/>
              </w:rPr>
              <w:t>意外医疗费用</w:t>
            </w:r>
          </w:p>
        </w:tc>
        <w:tc>
          <w:tcPr>
            <w:tcW w:w="1980" w:type="dxa"/>
            <w:vAlign w:val="center"/>
          </w:tcPr>
          <w:p>
            <w:pPr>
              <w:adjustRightInd w:val="0"/>
              <w:snapToGrid w:val="0"/>
              <w:spacing w:line="320" w:lineRule="exact"/>
              <w:rPr>
                <w:rFonts w:ascii="宋体" w:hAnsi="宋体"/>
                <w:szCs w:val="21"/>
              </w:rPr>
            </w:pPr>
            <w:r>
              <w:rPr>
                <w:rFonts w:hint="eastAsia" w:ascii="宋体" w:hAnsi="宋体"/>
                <w:szCs w:val="21"/>
              </w:rPr>
              <w:t>10,000/人/次，无免赔，100%赔付，范围同社保</w:t>
            </w:r>
          </w:p>
        </w:tc>
        <w:tc>
          <w:tcPr>
            <w:tcW w:w="1620" w:type="dxa"/>
            <w:vMerge w:val="continue"/>
            <w:vAlign w:val="center"/>
          </w:tcPr>
          <w:p>
            <w:pPr>
              <w:adjustRightInd w:val="0"/>
              <w:snapToGrid w:val="0"/>
              <w:spacing w:line="320" w:lineRule="exact"/>
              <w:rPr>
                <w:rFonts w:ascii="宋体" w:hAnsi="宋体"/>
                <w:szCs w:val="21"/>
              </w:rPr>
            </w:pPr>
          </w:p>
        </w:tc>
        <w:tc>
          <w:tcPr>
            <w:tcW w:w="1260" w:type="dxa"/>
            <w:vMerge w:val="continue"/>
            <w:vAlign w:val="center"/>
          </w:tcPr>
          <w:p>
            <w:pPr>
              <w:adjustRightInd w:val="0"/>
              <w:snapToGrid w:val="0"/>
              <w:spacing w:line="3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1620" w:type="dxa"/>
            <w:vAlign w:val="center"/>
          </w:tcPr>
          <w:p>
            <w:pPr>
              <w:adjustRightInd w:val="0"/>
              <w:snapToGrid w:val="0"/>
              <w:spacing w:line="320" w:lineRule="exact"/>
              <w:rPr>
                <w:rFonts w:ascii="宋体" w:hAnsi="宋体"/>
                <w:szCs w:val="21"/>
              </w:rPr>
            </w:pPr>
            <w:r>
              <w:rPr>
                <w:rFonts w:hint="eastAsia" w:ascii="宋体" w:hAnsi="宋体"/>
                <w:szCs w:val="21"/>
              </w:rPr>
              <w:t>意外伤害住院补贴</w:t>
            </w:r>
          </w:p>
        </w:tc>
        <w:tc>
          <w:tcPr>
            <w:tcW w:w="1800" w:type="dxa"/>
            <w:vAlign w:val="center"/>
          </w:tcPr>
          <w:p>
            <w:pPr>
              <w:adjustRightInd w:val="0"/>
              <w:snapToGrid w:val="0"/>
              <w:spacing w:line="320" w:lineRule="exact"/>
              <w:rPr>
                <w:rFonts w:ascii="宋体" w:hAnsi="宋体"/>
                <w:szCs w:val="21"/>
              </w:rPr>
            </w:pPr>
            <w:r>
              <w:rPr>
                <w:rFonts w:hint="eastAsia" w:ascii="宋体" w:hAnsi="宋体"/>
                <w:szCs w:val="21"/>
              </w:rPr>
              <w:t>40元/天，最高180天</w:t>
            </w:r>
            <w:r>
              <w:rPr>
                <w:rFonts w:hint="eastAsia"/>
                <w:bCs/>
                <w:szCs w:val="21"/>
              </w:rPr>
              <w:t>，无免赔天数</w:t>
            </w:r>
          </w:p>
        </w:tc>
        <w:tc>
          <w:tcPr>
            <w:tcW w:w="1440" w:type="dxa"/>
            <w:vAlign w:val="center"/>
          </w:tcPr>
          <w:p>
            <w:pPr>
              <w:adjustRightInd w:val="0"/>
              <w:snapToGrid w:val="0"/>
              <w:spacing w:line="320" w:lineRule="exact"/>
              <w:rPr>
                <w:rFonts w:ascii="宋体" w:hAnsi="宋体"/>
                <w:szCs w:val="21"/>
              </w:rPr>
            </w:pPr>
            <w:r>
              <w:rPr>
                <w:rFonts w:hint="eastAsia" w:ascii="宋体" w:hAnsi="宋体"/>
                <w:szCs w:val="21"/>
              </w:rPr>
              <w:t>意外伤害住院补贴</w:t>
            </w:r>
          </w:p>
        </w:tc>
        <w:tc>
          <w:tcPr>
            <w:tcW w:w="1980" w:type="dxa"/>
            <w:vAlign w:val="center"/>
          </w:tcPr>
          <w:p>
            <w:pPr>
              <w:adjustRightInd w:val="0"/>
              <w:snapToGrid w:val="0"/>
              <w:spacing w:line="320" w:lineRule="exact"/>
              <w:rPr>
                <w:rFonts w:ascii="宋体" w:hAnsi="宋体"/>
                <w:szCs w:val="21"/>
              </w:rPr>
            </w:pPr>
            <w:r>
              <w:rPr>
                <w:rFonts w:hint="eastAsia" w:ascii="宋体" w:hAnsi="宋体"/>
                <w:szCs w:val="21"/>
              </w:rPr>
              <w:t>40元/天，最高180天</w:t>
            </w:r>
            <w:r>
              <w:rPr>
                <w:rFonts w:hint="eastAsia"/>
                <w:bCs/>
                <w:szCs w:val="21"/>
              </w:rPr>
              <w:t>，无免赔天数</w:t>
            </w:r>
          </w:p>
        </w:tc>
        <w:tc>
          <w:tcPr>
            <w:tcW w:w="1620" w:type="dxa"/>
            <w:vMerge w:val="continue"/>
            <w:vAlign w:val="center"/>
          </w:tcPr>
          <w:p>
            <w:pPr>
              <w:adjustRightInd w:val="0"/>
              <w:snapToGrid w:val="0"/>
              <w:spacing w:line="320" w:lineRule="exact"/>
              <w:rPr>
                <w:bCs/>
                <w:szCs w:val="21"/>
              </w:rPr>
            </w:pPr>
          </w:p>
        </w:tc>
        <w:tc>
          <w:tcPr>
            <w:tcW w:w="1260" w:type="dxa"/>
            <w:vMerge w:val="continue"/>
            <w:vAlign w:val="center"/>
          </w:tcPr>
          <w:p>
            <w:pPr>
              <w:adjustRightInd w:val="0"/>
              <w:snapToGrid w:val="0"/>
              <w:spacing w:line="320" w:lineRule="exac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trPr>
        <w:tc>
          <w:tcPr>
            <w:tcW w:w="1620" w:type="dxa"/>
            <w:vAlign w:val="center"/>
          </w:tcPr>
          <w:p>
            <w:pPr>
              <w:adjustRightInd w:val="0"/>
              <w:snapToGrid w:val="0"/>
              <w:spacing w:line="320" w:lineRule="exact"/>
              <w:rPr>
                <w:rFonts w:ascii="宋体" w:hAnsi="宋体"/>
                <w:szCs w:val="21"/>
              </w:rPr>
            </w:pPr>
            <w:r>
              <w:rPr>
                <w:rFonts w:hint="eastAsia" w:ascii="宋体" w:hAnsi="宋体"/>
                <w:szCs w:val="21"/>
              </w:rPr>
              <w:t>骨折脱位保险金</w:t>
            </w:r>
          </w:p>
        </w:tc>
        <w:tc>
          <w:tcPr>
            <w:tcW w:w="1800" w:type="dxa"/>
            <w:vAlign w:val="center"/>
          </w:tcPr>
          <w:p>
            <w:pPr>
              <w:adjustRightInd w:val="0"/>
              <w:snapToGrid w:val="0"/>
              <w:spacing w:line="320" w:lineRule="exact"/>
              <w:rPr>
                <w:rFonts w:ascii="宋体" w:hAnsi="宋体"/>
                <w:szCs w:val="21"/>
              </w:rPr>
            </w:pPr>
            <w:r>
              <w:rPr>
                <w:rFonts w:hint="eastAsia" w:ascii="宋体" w:hAnsi="宋体"/>
                <w:szCs w:val="21"/>
              </w:rPr>
              <w:t>最高4000元/人（参照骨折与脱位类别表对应的补偿金，不同部位可累计赔付，最高不超过4000）</w:t>
            </w:r>
          </w:p>
        </w:tc>
        <w:tc>
          <w:tcPr>
            <w:tcW w:w="1440" w:type="dxa"/>
            <w:vAlign w:val="center"/>
          </w:tcPr>
          <w:p>
            <w:pPr>
              <w:adjustRightInd w:val="0"/>
              <w:snapToGrid w:val="0"/>
              <w:spacing w:line="320" w:lineRule="exact"/>
              <w:rPr>
                <w:rFonts w:ascii="宋体" w:hAnsi="宋体"/>
                <w:szCs w:val="21"/>
              </w:rPr>
            </w:pPr>
            <w:r>
              <w:rPr>
                <w:rFonts w:hint="eastAsia" w:ascii="宋体" w:hAnsi="宋体"/>
                <w:szCs w:val="21"/>
              </w:rPr>
              <w:t>骨折脱位保险金</w:t>
            </w:r>
          </w:p>
        </w:tc>
        <w:tc>
          <w:tcPr>
            <w:tcW w:w="1980" w:type="dxa"/>
            <w:vAlign w:val="center"/>
          </w:tcPr>
          <w:p>
            <w:pPr>
              <w:adjustRightInd w:val="0"/>
              <w:snapToGrid w:val="0"/>
              <w:spacing w:line="320" w:lineRule="exact"/>
              <w:rPr>
                <w:rFonts w:ascii="宋体" w:hAnsi="宋体"/>
                <w:szCs w:val="21"/>
              </w:rPr>
            </w:pPr>
            <w:r>
              <w:rPr>
                <w:rFonts w:hint="eastAsia" w:ascii="宋体" w:hAnsi="宋体"/>
                <w:szCs w:val="21"/>
              </w:rPr>
              <w:t>最高4000元/人（参照骨折与脱位类别表对应的补偿金，不同部位可累计赔付，最高不超过4000）</w:t>
            </w:r>
          </w:p>
        </w:tc>
        <w:tc>
          <w:tcPr>
            <w:tcW w:w="1620" w:type="dxa"/>
            <w:vMerge w:val="continue"/>
            <w:vAlign w:val="center"/>
          </w:tcPr>
          <w:p>
            <w:pPr>
              <w:adjustRightInd w:val="0"/>
              <w:snapToGrid w:val="0"/>
              <w:spacing w:line="320" w:lineRule="exact"/>
              <w:rPr>
                <w:rFonts w:ascii="宋体" w:hAnsi="宋体"/>
                <w:szCs w:val="21"/>
              </w:rPr>
            </w:pPr>
          </w:p>
        </w:tc>
        <w:tc>
          <w:tcPr>
            <w:tcW w:w="1260" w:type="dxa"/>
            <w:vMerge w:val="continue"/>
            <w:vAlign w:val="center"/>
          </w:tcPr>
          <w:p>
            <w:pPr>
              <w:adjustRightInd w:val="0"/>
              <w:snapToGrid w:val="0"/>
              <w:spacing w:line="3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620" w:type="dxa"/>
            <w:vAlign w:val="center"/>
          </w:tcPr>
          <w:p>
            <w:pPr>
              <w:adjustRightInd w:val="0"/>
              <w:snapToGrid w:val="0"/>
              <w:spacing w:line="320" w:lineRule="exact"/>
              <w:rPr>
                <w:rFonts w:ascii="宋体" w:hAnsi="宋体"/>
                <w:szCs w:val="21"/>
              </w:rPr>
            </w:pPr>
            <w:r>
              <w:rPr>
                <w:rFonts w:hint="eastAsia" w:ascii="宋体" w:hAnsi="宋体"/>
                <w:szCs w:val="21"/>
              </w:rPr>
              <w:t>暂时丧失工作能力（误工费）</w:t>
            </w:r>
          </w:p>
        </w:tc>
        <w:tc>
          <w:tcPr>
            <w:tcW w:w="1800" w:type="dxa"/>
            <w:vAlign w:val="center"/>
          </w:tcPr>
          <w:p>
            <w:pPr>
              <w:adjustRightInd w:val="0"/>
              <w:snapToGrid w:val="0"/>
              <w:spacing w:line="320" w:lineRule="exact"/>
              <w:rPr>
                <w:rFonts w:ascii="宋体" w:hAnsi="宋体"/>
                <w:szCs w:val="21"/>
              </w:rPr>
            </w:pPr>
            <w:r>
              <w:rPr>
                <w:rFonts w:hint="eastAsia" w:ascii="宋体" w:hAnsi="宋体"/>
                <w:szCs w:val="21"/>
              </w:rPr>
              <w:t>100/天（最高180天）</w:t>
            </w:r>
          </w:p>
        </w:tc>
        <w:tc>
          <w:tcPr>
            <w:tcW w:w="1440" w:type="dxa"/>
            <w:vAlign w:val="center"/>
          </w:tcPr>
          <w:p>
            <w:pPr>
              <w:adjustRightInd w:val="0"/>
              <w:snapToGrid w:val="0"/>
              <w:spacing w:line="320" w:lineRule="exact"/>
              <w:rPr>
                <w:rFonts w:ascii="宋体" w:hAnsi="宋体"/>
                <w:szCs w:val="21"/>
              </w:rPr>
            </w:pPr>
          </w:p>
        </w:tc>
        <w:tc>
          <w:tcPr>
            <w:tcW w:w="1980" w:type="dxa"/>
            <w:vAlign w:val="center"/>
          </w:tcPr>
          <w:p>
            <w:pPr>
              <w:adjustRightInd w:val="0"/>
              <w:snapToGrid w:val="0"/>
              <w:spacing w:line="320" w:lineRule="exact"/>
              <w:rPr>
                <w:rFonts w:ascii="宋体" w:hAnsi="宋体"/>
                <w:szCs w:val="21"/>
              </w:rPr>
            </w:pPr>
          </w:p>
        </w:tc>
        <w:tc>
          <w:tcPr>
            <w:tcW w:w="1620" w:type="dxa"/>
            <w:vMerge w:val="continue"/>
            <w:vAlign w:val="center"/>
          </w:tcPr>
          <w:p>
            <w:pPr>
              <w:adjustRightInd w:val="0"/>
              <w:snapToGrid w:val="0"/>
              <w:spacing w:line="320" w:lineRule="exact"/>
              <w:rPr>
                <w:rFonts w:ascii="宋体" w:hAnsi="宋体"/>
                <w:szCs w:val="21"/>
              </w:rPr>
            </w:pPr>
          </w:p>
        </w:tc>
        <w:tc>
          <w:tcPr>
            <w:tcW w:w="1260" w:type="dxa"/>
            <w:vMerge w:val="continue"/>
            <w:vAlign w:val="center"/>
          </w:tcPr>
          <w:p>
            <w:pPr>
              <w:adjustRightInd w:val="0"/>
              <w:snapToGrid w:val="0"/>
              <w:spacing w:line="3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1620" w:type="dxa"/>
            <w:vAlign w:val="center"/>
          </w:tcPr>
          <w:p>
            <w:pPr>
              <w:adjustRightInd w:val="0"/>
              <w:snapToGrid w:val="0"/>
              <w:spacing w:line="320" w:lineRule="exact"/>
              <w:rPr>
                <w:bCs/>
                <w:szCs w:val="21"/>
              </w:rPr>
            </w:pPr>
            <w:r>
              <w:rPr>
                <w:rFonts w:hint="eastAsia" w:ascii="宋体" w:hAnsi="宋体"/>
                <w:szCs w:val="21"/>
              </w:rPr>
              <w:t>保险期限内，本合同项下全年累计赔偿限额</w:t>
            </w:r>
          </w:p>
        </w:tc>
        <w:tc>
          <w:tcPr>
            <w:tcW w:w="1800" w:type="dxa"/>
            <w:vAlign w:val="center"/>
          </w:tcPr>
          <w:p>
            <w:pPr>
              <w:adjustRightInd w:val="0"/>
              <w:snapToGrid w:val="0"/>
              <w:spacing w:line="320" w:lineRule="exact"/>
              <w:rPr>
                <w:bCs/>
                <w:szCs w:val="21"/>
              </w:rPr>
            </w:pPr>
            <w:r>
              <w:rPr>
                <w:rFonts w:hint="eastAsia"/>
                <w:bCs/>
                <w:szCs w:val="21"/>
              </w:rPr>
              <w:t>18,000,000</w:t>
            </w:r>
          </w:p>
        </w:tc>
        <w:tc>
          <w:tcPr>
            <w:tcW w:w="1440" w:type="dxa"/>
            <w:vAlign w:val="center"/>
          </w:tcPr>
          <w:p>
            <w:pPr>
              <w:adjustRightInd w:val="0"/>
              <w:snapToGrid w:val="0"/>
              <w:spacing w:line="320" w:lineRule="exact"/>
              <w:rPr>
                <w:bCs/>
                <w:szCs w:val="21"/>
              </w:rPr>
            </w:pPr>
            <w:r>
              <w:rPr>
                <w:rFonts w:hint="eastAsia" w:ascii="宋体" w:hAnsi="宋体"/>
                <w:szCs w:val="21"/>
              </w:rPr>
              <w:t>保险期限内，本合同项下，每次事故及全年累计赔偿限额</w:t>
            </w:r>
          </w:p>
        </w:tc>
        <w:tc>
          <w:tcPr>
            <w:tcW w:w="1980" w:type="dxa"/>
            <w:vAlign w:val="center"/>
          </w:tcPr>
          <w:p>
            <w:pPr>
              <w:adjustRightInd w:val="0"/>
              <w:snapToGrid w:val="0"/>
              <w:spacing w:line="320" w:lineRule="exact"/>
              <w:rPr>
                <w:bCs/>
                <w:szCs w:val="21"/>
              </w:rPr>
            </w:pPr>
            <w:r>
              <w:rPr>
                <w:rFonts w:hint="eastAsia"/>
                <w:bCs/>
                <w:szCs w:val="21"/>
              </w:rPr>
              <w:t>9,000,000</w:t>
            </w:r>
          </w:p>
        </w:tc>
        <w:tc>
          <w:tcPr>
            <w:tcW w:w="1620" w:type="dxa"/>
            <w:vAlign w:val="center"/>
          </w:tcPr>
          <w:p>
            <w:pPr>
              <w:adjustRightInd w:val="0"/>
              <w:snapToGrid w:val="0"/>
              <w:spacing w:line="320" w:lineRule="exact"/>
              <w:rPr>
                <w:bCs/>
                <w:szCs w:val="21"/>
              </w:rPr>
            </w:pPr>
            <w:r>
              <w:rPr>
                <w:rFonts w:hint="eastAsia" w:ascii="宋体" w:hAnsi="宋体"/>
                <w:szCs w:val="21"/>
              </w:rPr>
              <w:t>保险期限内，本合同项下，每次事故及全年累计赔偿限额</w:t>
            </w:r>
          </w:p>
        </w:tc>
        <w:tc>
          <w:tcPr>
            <w:tcW w:w="1260" w:type="dxa"/>
            <w:vAlign w:val="center"/>
          </w:tcPr>
          <w:p>
            <w:pPr>
              <w:adjustRightInd w:val="0"/>
              <w:snapToGrid w:val="0"/>
              <w:spacing w:line="320" w:lineRule="exact"/>
              <w:rPr>
                <w:bCs/>
                <w:szCs w:val="21"/>
              </w:rPr>
            </w:pPr>
            <w:r>
              <w:rPr>
                <w:rFonts w:hint="eastAsia" w:ascii="宋体" w:hAnsi="宋体"/>
                <w:szCs w:val="21"/>
              </w:rPr>
              <w:t>6,000,000</w:t>
            </w:r>
          </w:p>
        </w:tc>
      </w:tr>
    </w:tbl>
    <w:p>
      <w:pPr>
        <w:spacing w:line="360" w:lineRule="auto"/>
        <w:ind w:firstLine="420" w:firstLineChars="200"/>
        <w:rPr>
          <w:rFonts w:ascii="宋体" w:hAnsi="宋体"/>
          <w:szCs w:val="21"/>
        </w:rPr>
      </w:pPr>
      <w:r>
        <w:rPr>
          <w:rFonts w:hint="eastAsia" w:ascii="宋体" w:hAnsi="宋体"/>
          <w:szCs w:val="21"/>
        </w:rPr>
        <w:t>备注：</w:t>
      </w:r>
    </w:p>
    <w:p>
      <w:pPr>
        <w:spacing w:line="360" w:lineRule="auto"/>
        <w:ind w:firstLine="420" w:firstLineChars="200"/>
        <w:rPr>
          <w:rFonts w:ascii="宋体" w:hAnsi="宋体"/>
          <w:szCs w:val="21"/>
        </w:rPr>
      </w:pPr>
      <w:r>
        <w:rPr>
          <w:rFonts w:hint="eastAsia" w:ascii="宋体" w:hAnsi="宋体"/>
          <w:szCs w:val="21"/>
        </w:rPr>
        <w:t>（1）意外永久伤残的赔付比例参照由中国保险行业协会、中国法医学会于二零一三年六月八日联合发布的行业标准（中保协发〔2013〕88号文）。</w:t>
      </w:r>
    </w:p>
    <w:p>
      <w:pPr>
        <w:spacing w:line="360" w:lineRule="auto"/>
        <w:ind w:firstLine="420" w:firstLineChars="200"/>
        <w:rPr>
          <w:rFonts w:ascii="宋体" w:hAnsi="宋体"/>
          <w:szCs w:val="21"/>
        </w:rPr>
      </w:pPr>
      <w:r>
        <w:rPr>
          <w:rFonts w:hint="eastAsia" w:ascii="宋体" w:hAnsi="宋体"/>
          <w:szCs w:val="21"/>
        </w:rPr>
        <w:t>（2）对其他第三者的责任赔偿项目依据国家相关法律规定（民法通则、侵权责任法、人身损害赔偿的司法解释等），具体包括医疗费、护理费、交通费、误工费、残疾生活辅助具费、残疾赔偿金、丧葬费、死亡赔偿金和精神损害赔偿、住宿费、住院伙食补助费、必要的营养费、护理费、后续治疗费、受害人家属交通费和误工费等。</w:t>
      </w:r>
    </w:p>
    <w:p>
      <w:pPr>
        <w:spacing w:line="360" w:lineRule="auto"/>
        <w:ind w:firstLine="420" w:firstLineChars="200"/>
        <w:rPr>
          <w:rFonts w:ascii="宋体" w:hAnsi="宋体"/>
          <w:szCs w:val="21"/>
        </w:rPr>
      </w:pPr>
      <w:r>
        <w:rPr>
          <w:rFonts w:hint="eastAsia" w:ascii="宋体" w:hAnsi="宋体"/>
          <w:szCs w:val="21"/>
        </w:rPr>
        <w:t>（3）投标人必须满足上述赔偿要求，填列于本招标文件第六章《赔偿限额明细表》。</w:t>
      </w:r>
    </w:p>
    <w:p>
      <w:pPr>
        <w:spacing w:line="360" w:lineRule="auto"/>
        <w:ind w:firstLine="420" w:firstLineChars="200"/>
        <w:rPr>
          <w:rFonts w:hint="eastAsia" w:ascii="宋体" w:hAnsi="宋体"/>
          <w:szCs w:val="21"/>
        </w:rPr>
      </w:pPr>
      <w:r>
        <w:rPr>
          <w:rFonts w:hint="eastAsia" w:ascii="宋体" w:hAnsi="宋体"/>
          <w:szCs w:val="21"/>
        </w:rPr>
        <w:t>（4）</w:t>
      </w:r>
      <w:r>
        <w:rPr>
          <w:rFonts w:hint="eastAsia" w:ascii="宋体" w:hAnsi="宋体"/>
          <w:szCs w:val="21"/>
          <w:lang w:val="en-US" w:eastAsia="zh-CN"/>
        </w:rPr>
        <w:t xml:space="preserve"> </w:t>
      </w:r>
      <w:r>
        <w:rPr>
          <w:rFonts w:hint="eastAsia" w:ascii="宋体" w:hAnsi="宋体"/>
          <w:szCs w:val="21"/>
        </w:rPr>
        <w:t>投标人也可在此基础上予以提高，提高部分填列于扩展责任</w:t>
      </w:r>
      <w:r>
        <w:rPr>
          <w:rFonts w:hint="eastAsia" w:ascii="宋体" w:hAnsi="宋体"/>
          <w:szCs w:val="21"/>
          <w:lang w:eastAsia="zh-CN"/>
        </w:rPr>
        <w:t>相关内容</w:t>
      </w:r>
      <w:r>
        <w:rPr>
          <w:rFonts w:hint="eastAsia" w:ascii="宋体" w:hAnsi="宋体"/>
          <w:szCs w:val="21"/>
        </w:rPr>
        <w:t>。</w:t>
      </w:r>
    </w:p>
    <w:p>
      <w:pPr>
        <w:adjustRightInd w:val="0"/>
        <w:snapToGrid w:val="0"/>
        <w:spacing w:line="440" w:lineRule="exact"/>
        <w:ind w:firstLine="420" w:firstLineChars="200"/>
        <w:rPr>
          <w:rFonts w:hint="eastAsia"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5</w:t>
      </w:r>
      <w:r>
        <w:rPr>
          <w:rFonts w:hint="eastAsia" w:ascii="宋体" w:hAnsi="宋体"/>
          <w:color w:val="auto"/>
          <w:szCs w:val="21"/>
        </w:rPr>
        <w:t>）以上服务人员、服务对象及其他第三者定义如下：</w:t>
      </w:r>
    </w:p>
    <w:p>
      <w:pPr>
        <w:adjustRightInd w:val="0"/>
        <w:snapToGrid w:val="0"/>
        <w:spacing w:line="440" w:lineRule="exact"/>
        <w:ind w:firstLine="420" w:firstLineChars="200"/>
        <w:rPr>
          <w:rFonts w:hint="eastAsia" w:ascii="宋体" w:hAnsi="宋体"/>
          <w:color w:val="auto"/>
          <w:szCs w:val="21"/>
        </w:rPr>
      </w:pPr>
      <w:r>
        <w:rPr>
          <w:rFonts w:hint="eastAsia" w:ascii="宋体" w:hAnsi="宋体"/>
          <w:color w:val="auto"/>
          <w:szCs w:val="21"/>
        </w:rPr>
        <w:t>“服务对象”指接受居家社区养老服务机构服务的老</w:t>
      </w:r>
      <w:r>
        <w:rPr>
          <w:rFonts w:hint="eastAsia" w:ascii="宋体" w:hAnsi="宋体"/>
          <w:color w:val="auto"/>
          <w:szCs w:val="21"/>
          <w:lang w:eastAsia="zh-CN"/>
        </w:rPr>
        <w:t>年</w:t>
      </w:r>
      <w:r>
        <w:rPr>
          <w:rFonts w:hint="eastAsia" w:ascii="宋体" w:hAnsi="宋体"/>
          <w:color w:val="auto"/>
          <w:szCs w:val="21"/>
        </w:rPr>
        <w:t>人；</w:t>
      </w:r>
    </w:p>
    <w:p>
      <w:pPr>
        <w:adjustRightInd w:val="0"/>
        <w:snapToGrid w:val="0"/>
        <w:spacing w:line="440" w:lineRule="exact"/>
        <w:ind w:firstLine="420" w:firstLineChars="200"/>
        <w:rPr>
          <w:rFonts w:hint="eastAsia" w:ascii="宋体" w:hAnsi="宋体"/>
          <w:color w:val="auto"/>
          <w:szCs w:val="21"/>
        </w:rPr>
      </w:pPr>
      <w:r>
        <w:rPr>
          <w:rFonts w:hint="eastAsia" w:ascii="宋体" w:hAnsi="宋体"/>
          <w:color w:val="auto"/>
          <w:szCs w:val="21"/>
        </w:rPr>
        <w:t>“服务人员”指</w:t>
      </w:r>
      <w:r>
        <w:rPr>
          <w:rFonts w:hint="eastAsia" w:ascii="宋体" w:hAnsi="宋体"/>
          <w:color w:val="auto"/>
          <w:szCs w:val="21"/>
          <w:lang w:eastAsia="zh-CN"/>
        </w:rPr>
        <w:t>在</w:t>
      </w:r>
      <w:r>
        <w:rPr>
          <w:rFonts w:hint="eastAsia" w:ascii="宋体" w:hAnsi="宋体"/>
          <w:color w:val="auto"/>
          <w:szCs w:val="21"/>
        </w:rPr>
        <w:t>居家社区养老服务机构</w:t>
      </w:r>
      <w:r>
        <w:rPr>
          <w:rFonts w:hint="eastAsia" w:ascii="宋体" w:hAnsi="宋体"/>
          <w:color w:val="auto"/>
          <w:szCs w:val="21"/>
          <w:lang w:eastAsia="zh-CN"/>
        </w:rPr>
        <w:t>中为老年人</w:t>
      </w:r>
      <w:r>
        <w:rPr>
          <w:rFonts w:hint="eastAsia" w:ascii="宋体" w:hAnsi="宋体"/>
          <w:color w:val="auto"/>
          <w:szCs w:val="21"/>
        </w:rPr>
        <w:t>提供服务的人员</w:t>
      </w:r>
      <w:r>
        <w:rPr>
          <w:rFonts w:hint="eastAsia" w:ascii="宋体" w:hAnsi="宋体"/>
          <w:color w:val="auto"/>
          <w:szCs w:val="21"/>
          <w:lang w:eastAsia="zh-CN"/>
        </w:rPr>
        <w:t>（包含养老护理、送餐、提供家庭照护床位服务、助医陪诊等工作人员）</w:t>
      </w:r>
      <w:r>
        <w:rPr>
          <w:rFonts w:hint="eastAsia" w:ascii="宋体" w:hAnsi="宋体"/>
          <w:color w:val="auto"/>
          <w:szCs w:val="21"/>
        </w:rPr>
        <w:t>；</w:t>
      </w:r>
    </w:p>
    <w:p>
      <w:pPr>
        <w:adjustRightInd w:val="0"/>
        <w:snapToGrid w:val="0"/>
        <w:spacing w:line="440" w:lineRule="exact"/>
        <w:ind w:firstLine="420" w:firstLineChars="200"/>
        <w:rPr>
          <w:rFonts w:hint="eastAsia" w:ascii="宋体" w:hAnsi="宋体"/>
          <w:color w:val="auto"/>
          <w:szCs w:val="21"/>
        </w:rPr>
      </w:pPr>
      <w:r>
        <w:rPr>
          <w:rFonts w:hint="eastAsia" w:ascii="宋体" w:hAnsi="宋体"/>
          <w:color w:val="auto"/>
          <w:szCs w:val="21"/>
        </w:rPr>
        <w:t>“其他第三者”指服务人员为服务对象提供服务期间发生意外事故涉及的居家社区养老服务机构以外的其他人；</w:t>
      </w:r>
    </w:p>
    <w:p>
      <w:pPr>
        <w:widowControl/>
        <w:shd w:val="clear" w:color="auto" w:fill="FFFFFF"/>
        <w:spacing w:line="360" w:lineRule="auto"/>
        <w:ind w:firstLine="405"/>
        <w:jc w:val="left"/>
        <w:rPr>
          <w:rFonts w:ascii="宋体" w:hAnsi="宋体" w:cs="宋体"/>
          <w:b/>
          <w:kern w:val="0"/>
          <w:sz w:val="24"/>
        </w:rPr>
      </w:pPr>
    </w:p>
    <w:p>
      <w:pPr>
        <w:widowControl/>
        <w:shd w:val="clear" w:color="auto" w:fill="FFFFFF"/>
        <w:spacing w:line="360" w:lineRule="auto"/>
        <w:ind w:firstLine="405"/>
        <w:jc w:val="left"/>
        <w:rPr>
          <w:rFonts w:ascii="宋体" w:hAnsi="宋体" w:cs="宋体"/>
          <w:b/>
          <w:kern w:val="0"/>
          <w:sz w:val="24"/>
        </w:rPr>
      </w:pPr>
      <w:r>
        <w:rPr>
          <w:rFonts w:hint="eastAsia" w:ascii="宋体" w:hAnsi="宋体" w:cs="宋体"/>
          <w:b/>
          <w:kern w:val="0"/>
          <w:sz w:val="24"/>
        </w:rPr>
        <w:t>四、使用要求：</w:t>
      </w:r>
    </w:p>
    <w:p>
      <w:pPr>
        <w:widowControl/>
        <w:shd w:val="clear" w:color="auto" w:fill="FFFFFF"/>
        <w:spacing w:line="360" w:lineRule="auto"/>
        <w:ind w:firstLine="405"/>
        <w:jc w:val="left"/>
        <w:rPr>
          <w:rFonts w:ascii="宋体" w:hAnsi="宋体" w:cs="宋体"/>
          <w:kern w:val="0"/>
          <w:sz w:val="24"/>
        </w:rPr>
      </w:pPr>
      <w:r>
        <w:rPr>
          <w:rFonts w:hint="eastAsia" w:ascii="宋体" w:hAnsi="宋体" w:cs="宋体"/>
          <w:kern w:val="0"/>
          <w:sz w:val="24"/>
        </w:rPr>
        <w:t>1.择优选择3家中标供应商，分别独立承保全市三个片区之一（由采购人划定）的居家社区养老服务机构，分别与投保人上海市民政局签署保险合同。片区划分及本次招标前在册的社区养老服务机构数量和服务组织的规模情况见下表：</w:t>
      </w:r>
    </w:p>
    <w:tbl>
      <w:tblPr>
        <w:tblStyle w:val="3"/>
        <w:tblW w:w="9028" w:type="dxa"/>
        <w:jc w:val="center"/>
        <w:tblLayout w:type="fixed"/>
        <w:tblCellMar>
          <w:top w:w="0" w:type="dxa"/>
          <w:left w:w="108" w:type="dxa"/>
          <w:bottom w:w="0" w:type="dxa"/>
          <w:right w:w="108" w:type="dxa"/>
        </w:tblCellMar>
      </w:tblPr>
      <w:tblGrid>
        <w:gridCol w:w="9028"/>
      </w:tblGrid>
      <w:tr>
        <w:tblPrEx>
          <w:tblCellMar>
            <w:top w:w="0" w:type="dxa"/>
            <w:left w:w="108" w:type="dxa"/>
            <w:bottom w:w="0" w:type="dxa"/>
            <w:right w:w="108" w:type="dxa"/>
          </w:tblCellMar>
        </w:tblPrEx>
        <w:trPr>
          <w:trHeight w:val="645" w:hRule="atLeast"/>
          <w:jc w:val="center"/>
        </w:trPr>
        <w:tc>
          <w:tcPr>
            <w:tcW w:w="9028" w:type="dxa"/>
            <w:tcBorders>
              <w:top w:val="nil"/>
              <w:left w:val="nil"/>
              <w:bottom w:val="nil"/>
              <w:right w:val="nil"/>
            </w:tcBorders>
            <w:shd w:val="clear" w:color="auto" w:fill="auto"/>
            <w:vAlign w:val="center"/>
          </w:tcPr>
          <w:tbl>
            <w:tblPr>
              <w:tblStyle w:val="3"/>
              <w:tblW w:w="8812" w:type="dxa"/>
              <w:tblInd w:w="0" w:type="dxa"/>
              <w:tblLayout w:type="fixed"/>
              <w:tblCellMar>
                <w:top w:w="0" w:type="dxa"/>
                <w:left w:w="108" w:type="dxa"/>
                <w:bottom w:w="0" w:type="dxa"/>
                <w:right w:w="108" w:type="dxa"/>
              </w:tblCellMar>
            </w:tblPr>
            <w:tblGrid>
              <w:gridCol w:w="719"/>
              <w:gridCol w:w="1287"/>
              <w:gridCol w:w="1449"/>
              <w:gridCol w:w="1665"/>
              <w:gridCol w:w="2655"/>
              <w:gridCol w:w="881"/>
              <w:gridCol w:w="156"/>
            </w:tblGrid>
            <w:tr>
              <w:tblPrEx>
                <w:tblCellMar>
                  <w:top w:w="0" w:type="dxa"/>
                  <w:left w:w="108" w:type="dxa"/>
                  <w:bottom w:w="0" w:type="dxa"/>
                  <w:right w:w="108" w:type="dxa"/>
                </w:tblCellMar>
              </w:tblPrEx>
              <w:trPr>
                <w:trHeight w:val="615" w:hRule="atLeast"/>
              </w:trPr>
              <w:tc>
                <w:tcPr>
                  <w:tcW w:w="8812" w:type="dxa"/>
                  <w:gridSpan w:val="7"/>
                  <w:tcBorders>
                    <w:top w:val="nil"/>
                    <w:left w:val="nil"/>
                    <w:bottom w:val="nil"/>
                    <w:right w:val="nil"/>
                  </w:tcBorders>
                  <w:shd w:val="clear" w:color="auto" w:fill="auto"/>
                  <w:noWrap/>
                  <w:vAlign w:val="center"/>
                </w:tcPr>
                <w:p>
                  <w:pPr>
                    <w:widowControl/>
                    <w:jc w:val="center"/>
                    <w:textAlignment w:val="center"/>
                    <w:rPr>
                      <w:rFonts w:ascii="黑体" w:hAnsi="宋体" w:eastAsia="黑体" w:cs="黑体"/>
                      <w:b/>
                      <w:bCs/>
                      <w:sz w:val="32"/>
                      <w:szCs w:val="32"/>
                    </w:rPr>
                  </w:pPr>
                  <w:r>
                    <w:rPr>
                      <w:rFonts w:ascii="黑体" w:hAnsi="宋体" w:eastAsia="黑体" w:cs="黑体"/>
                      <w:b/>
                      <w:bCs/>
                      <w:kern w:val="0"/>
                      <w:sz w:val="32"/>
                      <w:szCs w:val="32"/>
                    </w:rPr>
                    <w:t>社区养老服务综合险各区上报投保情况汇总表</w:t>
                  </w:r>
                </w:p>
              </w:tc>
            </w:tr>
            <w:tr>
              <w:tblPrEx>
                <w:tblCellMar>
                  <w:top w:w="0" w:type="dxa"/>
                  <w:left w:w="108" w:type="dxa"/>
                  <w:bottom w:w="0" w:type="dxa"/>
                  <w:right w:w="108" w:type="dxa"/>
                </w:tblCellMar>
              </w:tblPrEx>
              <w:trPr>
                <w:gridBefore w:val="1"/>
                <w:gridAfter w:val="1"/>
                <w:wBefore w:w="719" w:type="dxa"/>
                <w:wAfter w:w="156" w:type="dxa"/>
                <w:trHeight w:val="375" w:hRule="atLeast"/>
              </w:trPr>
              <w:tc>
                <w:tcPr>
                  <w:tcW w:w="1287" w:type="dxa"/>
                  <w:vMerge w:val="restart"/>
                  <w:tcBorders>
                    <w:top w:val="single" w:color="000000" w:sz="8" w:space="0"/>
                    <w:left w:val="single" w:color="000000" w:sz="8" w:space="0"/>
                    <w:bottom w:val="single" w:color="000000" w:sz="4" w:space="0"/>
                    <w:right w:val="nil"/>
                  </w:tcBorders>
                  <w:shd w:val="clear" w:color="auto" w:fill="auto"/>
                  <w:noWrap/>
                  <w:vAlign w:val="center"/>
                </w:tcPr>
                <w:p>
                  <w:pPr>
                    <w:widowControl/>
                    <w:jc w:val="center"/>
                    <w:textAlignment w:val="center"/>
                    <w:rPr>
                      <w:rFonts w:ascii="楷体_GB2312" w:hAnsi="宋体" w:eastAsia="楷体_GB2312" w:cs="楷体_GB2312"/>
                      <w:b/>
                      <w:bCs/>
                      <w:sz w:val="24"/>
                    </w:rPr>
                  </w:pPr>
                  <w:r>
                    <w:rPr>
                      <w:rFonts w:ascii="楷体_GB2312" w:hAnsi="宋体" w:eastAsia="楷体_GB2312" w:cs="楷体_GB2312"/>
                      <w:b/>
                      <w:bCs/>
                      <w:kern w:val="0"/>
                      <w:sz w:val="24"/>
                    </w:rPr>
                    <w:t>片区</w:t>
                  </w:r>
                </w:p>
              </w:tc>
              <w:tc>
                <w:tcPr>
                  <w:tcW w:w="1449" w:type="dxa"/>
                  <w:vMerge w:val="restart"/>
                  <w:tcBorders>
                    <w:top w:val="single" w:color="000000" w:sz="8"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楷体_GB2312" w:hAnsi="宋体" w:eastAsia="楷体_GB2312" w:cs="楷体_GB2312"/>
                      <w:b/>
                      <w:bCs/>
                      <w:sz w:val="24"/>
                    </w:rPr>
                  </w:pPr>
                  <w:r>
                    <w:rPr>
                      <w:rFonts w:ascii="楷体_GB2312" w:hAnsi="宋体" w:eastAsia="楷体_GB2312" w:cs="楷体_GB2312"/>
                      <w:b/>
                      <w:bCs/>
                      <w:kern w:val="0"/>
                      <w:sz w:val="24"/>
                    </w:rPr>
                    <w:t>区划</w:t>
                  </w:r>
                </w:p>
              </w:tc>
              <w:tc>
                <w:tcPr>
                  <w:tcW w:w="1665" w:type="dxa"/>
                  <w:tcBorders>
                    <w:top w:val="single" w:color="000000" w:sz="8" w:space="0"/>
                    <w:left w:val="nil"/>
                    <w:bottom w:val="nil"/>
                    <w:right w:val="single" w:color="000000" w:sz="4" w:space="0"/>
                  </w:tcBorders>
                  <w:shd w:val="clear" w:color="auto" w:fill="auto"/>
                  <w:noWrap/>
                  <w:vAlign w:val="center"/>
                </w:tcPr>
                <w:p>
                  <w:pPr>
                    <w:widowControl/>
                    <w:jc w:val="center"/>
                    <w:textAlignment w:val="center"/>
                    <w:rPr>
                      <w:rFonts w:ascii="楷体_GB2312" w:hAnsi="宋体" w:eastAsia="楷体_GB2312" w:cs="楷体_GB2312"/>
                      <w:b/>
                      <w:bCs/>
                      <w:sz w:val="24"/>
                    </w:rPr>
                  </w:pPr>
                  <w:r>
                    <w:rPr>
                      <w:rFonts w:ascii="楷体_GB2312" w:hAnsi="宋体" w:eastAsia="楷体_GB2312" w:cs="楷体_GB2312"/>
                      <w:b/>
                      <w:bCs/>
                      <w:kern w:val="0"/>
                      <w:sz w:val="24"/>
                    </w:rPr>
                    <w:t>人员数</w:t>
                  </w:r>
                </w:p>
              </w:tc>
              <w:tc>
                <w:tcPr>
                  <w:tcW w:w="2655" w:type="dxa"/>
                  <w:tcBorders>
                    <w:top w:val="single" w:color="000000" w:sz="8" w:space="0"/>
                    <w:left w:val="single" w:color="000000" w:sz="4" w:space="0"/>
                    <w:bottom w:val="nil"/>
                    <w:right w:val="single" w:color="000000" w:sz="4" w:space="0"/>
                  </w:tcBorders>
                  <w:shd w:val="clear" w:color="auto" w:fill="auto"/>
                  <w:noWrap/>
                  <w:vAlign w:val="center"/>
                </w:tcPr>
                <w:p>
                  <w:pPr>
                    <w:widowControl/>
                    <w:jc w:val="center"/>
                    <w:textAlignment w:val="center"/>
                    <w:rPr>
                      <w:rFonts w:ascii="楷体_GB2312" w:hAnsi="宋体" w:eastAsia="楷体_GB2312" w:cs="楷体_GB2312"/>
                      <w:b/>
                      <w:bCs/>
                      <w:sz w:val="24"/>
                    </w:rPr>
                  </w:pPr>
                  <w:r>
                    <w:rPr>
                      <w:rFonts w:ascii="楷体_GB2312" w:hAnsi="宋体" w:eastAsia="楷体_GB2312" w:cs="楷体_GB2312"/>
                      <w:b/>
                      <w:bCs/>
                      <w:kern w:val="0"/>
                      <w:sz w:val="24"/>
                    </w:rPr>
                    <w:t>机构(设施）数</w:t>
                  </w:r>
                </w:p>
              </w:tc>
              <w:tc>
                <w:tcPr>
                  <w:tcW w:w="881" w:type="dxa"/>
                  <w:tcBorders>
                    <w:top w:val="single" w:color="000000" w:sz="8" w:space="0"/>
                    <w:left w:val="single" w:color="000000" w:sz="4" w:space="0"/>
                    <w:bottom w:val="nil"/>
                    <w:right w:val="single" w:color="000000" w:sz="8" w:space="0"/>
                  </w:tcBorders>
                  <w:shd w:val="clear" w:color="auto" w:fill="auto"/>
                  <w:noWrap/>
                  <w:vAlign w:val="center"/>
                </w:tcPr>
                <w:p>
                  <w:pPr>
                    <w:widowControl/>
                    <w:jc w:val="center"/>
                    <w:textAlignment w:val="center"/>
                    <w:rPr>
                      <w:rFonts w:ascii="楷体_GB2312" w:hAnsi="宋体" w:eastAsia="楷体_GB2312" w:cs="楷体_GB2312"/>
                      <w:b/>
                      <w:bCs/>
                      <w:sz w:val="24"/>
                    </w:rPr>
                  </w:pPr>
                  <w:r>
                    <w:rPr>
                      <w:rFonts w:hint="eastAsia" w:ascii="楷体_GB2312" w:hAnsi="宋体" w:eastAsia="楷体_GB2312" w:cs="楷体_GB2312"/>
                      <w:b/>
                      <w:bCs/>
                      <w:sz w:val="24"/>
                    </w:rPr>
                    <w:t>备注</w:t>
                  </w:r>
                </w:p>
              </w:tc>
            </w:tr>
            <w:tr>
              <w:tblPrEx>
                <w:tblCellMar>
                  <w:top w:w="0" w:type="dxa"/>
                  <w:left w:w="108" w:type="dxa"/>
                  <w:bottom w:w="0" w:type="dxa"/>
                  <w:right w:w="108" w:type="dxa"/>
                </w:tblCellMar>
              </w:tblPrEx>
              <w:trPr>
                <w:gridBefore w:val="1"/>
                <w:gridAfter w:val="1"/>
                <w:wBefore w:w="719" w:type="dxa"/>
                <w:wAfter w:w="156" w:type="dxa"/>
                <w:trHeight w:val="375" w:hRule="atLeast"/>
              </w:trPr>
              <w:tc>
                <w:tcPr>
                  <w:tcW w:w="1287" w:type="dxa"/>
                  <w:vMerge w:val="continue"/>
                  <w:tcBorders>
                    <w:top w:val="single" w:color="000000" w:sz="8" w:space="0"/>
                    <w:left w:val="single" w:color="000000" w:sz="8" w:space="0"/>
                    <w:bottom w:val="single" w:color="000000" w:sz="4" w:space="0"/>
                    <w:right w:val="nil"/>
                  </w:tcBorders>
                  <w:shd w:val="clear" w:color="auto" w:fill="auto"/>
                  <w:noWrap/>
                  <w:vAlign w:val="center"/>
                </w:tcPr>
                <w:p>
                  <w:pPr>
                    <w:jc w:val="center"/>
                    <w:rPr>
                      <w:rFonts w:ascii="楷体_GB2312" w:hAnsi="宋体" w:eastAsia="楷体_GB2312" w:cs="楷体_GB2312"/>
                      <w:b/>
                      <w:bCs/>
                      <w:sz w:val="24"/>
                    </w:rPr>
                  </w:pPr>
                </w:p>
              </w:tc>
              <w:tc>
                <w:tcPr>
                  <w:tcW w:w="1449" w:type="dxa"/>
                  <w:vMerge w:val="continue"/>
                  <w:tcBorders>
                    <w:top w:val="single" w:color="000000" w:sz="8" w:space="0"/>
                    <w:left w:val="single" w:color="000000" w:sz="4" w:space="0"/>
                    <w:bottom w:val="single" w:color="000000" w:sz="4" w:space="0"/>
                    <w:right w:val="single" w:color="000000" w:sz="4" w:space="0"/>
                  </w:tcBorders>
                  <w:shd w:val="clear" w:color="auto" w:fill="auto"/>
                  <w:noWrap/>
                  <w:vAlign w:val="center"/>
                </w:tcPr>
                <w:p>
                  <w:pPr>
                    <w:jc w:val="center"/>
                    <w:rPr>
                      <w:rFonts w:ascii="楷体_GB2312" w:hAnsi="宋体" w:eastAsia="楷体_GB2312" w:cs="楷体_GB2312"/>
                      <w:b/>
                      <w:bCs/>
                      <w:sz w:val="24"/>
                    </w:rPr>
                  </w:pPr>
                </w:p>
              </w:tc>
              <w:tc>
                <w:tcPr>
                  <w:tcW w:w="166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楷体_GB2312" w:hAnsi="宋体" w:eastAsia="楷体_GB2312" w:cs="楷体_GB2312"/>
                      <w:b/>
                      <w:bCs/>
                      <w:sz w:val="24"/>
                    </w:rPr>
                  </w:pPr>
                  <w:r>
                    <w:rPr>
                      <w:rFonts w:ascii="楷体_GB2312" w:hAnsi="宋体" w:eastAsia="楷体_GB2312" w:cs="楷体_GB2312"/>
                      <w:b/>
                      <w:bCs/>
                      <w:kern w:val="0"/>
                      <w:sz w:val="24"/>
                    </w:rPr>
                    <w:t>（人）</w:t>
                  </w:r>
                </w:p>
              </w:tc>
              <w:tc>
                <w:tcPr>
                  <w:tcW w:w="2655"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楷体_GB2312" w:hAnsi="宋体" w:eastAsia="楷体_GB2312" w:cs="楷体_GB2312"/>
                      <w:b/>
                      <w:bCs/>
                      <w:sz w:val="24"/>
                    </w:rPr>
                  </w:pPr>
                  <w:r>
                    <w:rPr>
                      <w:rFonts w:ascii="楷体_GB2312" w:hAnsi="宋体" w:eastAsia="楷体_GB2312" w:cs="楷体_GB2312"/>
                      <w:b/>
                      <w:bCs/>
                      <w:kern w:val="0"/>
                      <w:sz w:val="24"/>
                    </w:rPr>
                    <w:t>（个）</w:t>
                  </w:r>
                </w:p>
              </w:tc>
              <w:tc>
                <w:tcPr>
                  <w:tcW w:w="881" w:type="dxa"/>
                  <w:tcBorders>
                    <w:top w:val="nil"/>
                    <w:left w:val="single" w:color="000000" w:sz="4" w:space="0"/>
                    <w:bottom w:val="nil"/>
                    <w:right w:val="single" w:color="000000" w:sz="8" w:space="0"/>
                  </w:tcBorders>
                  <w:shd w:val="clear" w:color="auto" w:fill="auto"/>
                  <w:noWrap/>
                  <w:vAlign w:val="center"/>
                </w:tcPr>
                <w:p>
                  <w:pPr>
                    <w:widowControl/>
                    <w:jc w:val="center"/>
                    <w:textAlignment w:val="center"/>
                    <w:rPr>
                      <w:rFonts w:ascii="楷体_GB2312" w:hAnsi="宋体" w:eastAsia="楷体_GB2312" w:cs="楷体_GB2312"/>
                      <w:b/>
                      <w:bCs/>
                      <w:sz w:val="24"/>
                    </w:rPr>
                  </w:pPr>
                </w:p>
              </w:tc>
            </w:tr>
            <w:tr>
              <w:tblPrEx>
                <w:tblCellMar>
                  <w:top w:w="0" w:type="dxa"/>
                  <w:left w:w="108" w:type="dxa"/>
                  <w:bottom w:w="0" w:type="dxa"/>
                  <w:right w:w="108" w:type="dxa"/>
                </w:tblCellMar>
              </w:tblPrEx>
              <w:trPr>
                <w:gridBefore w:val="1"/>
                <w:gridAfter w:val="1"/>
                <w:wBefore w:w="719" w:type="dxa"/>
                <w:wAfter w:w="156" w:type="dxa"/>
                <w:trHeight w:val="375" w:hRule="atLeast"/>
              </w:trPr>
              <w:tc>
                <w:tcPr>
                  <w:tcW w:w="1287" w:type="dxa"/>
                  <w:vMerge w:val="restar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华文中宋" w:hAnsi="华文中宋" w:eastAsia="华文中宋" w:cs="华文中宋"/>
                      <w:b/>
                      <w:bCs/>
                      <w:sz w:val="24"/>
                    </w:rPr>
                  </w:pPr>
                  <w:r>
                    <w:rPr>
                      <w:rFonts w:hint="eastAsia" w:ascii="华文中宋" w:hAnsi="华文中宋" w:eastAsia="华文中宋" w:cs="华文中宋"/>
                      <w:b/>
                      <w:bCs/>
                      <w:kern w:val="0"/>
                      <w:sz w:val="24"/>
                    </w:rPr>
                    <w:t>A片区</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sz w:val="24"/>
                    </w:rPr>
                  </w:pPr>
                  <w:r>
                    <w:rPr>
                      <w:rFonts w:hint="eastAsia" w:ascii="宋体" w:hAnsi="宋体" w:cs="宋体"/>
                      <w:color w:val="000000"/>
                      <w:kern w:val="0"/>
                      <w:sz w:val="24"/>
                    </w:rPr>
                    <w:t>徐汇</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宋体" w:eastAsia="仿宋_GB2312" w:cs="仿宋_GB2312"/>
                      <w:sz w:val="24"/>
                    </w:rPr>
                  </w:pPr>
                  <w:r>
                    <w:rPr>
                      <w:rFonts w:hint="eastAsia" w:ascii="宋体" w:hAnsi="宋体" w:cs="宋体"/>
                      <w:color w:val="000000"/>
                      <w:kern w:val="0"/>
                      <w:sz w:val="24"/>
                    </w:rPr>
                    <w:t>594</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宋体" w:eastAsia="仿宋_GB2312" w:cs="仿宋_GB2312"/>
                      <w:sz w:val="24"/>
                    </w:rPr>
                  </w:pPr>
                  <w:r>
                    <w:rPr>
                      <w:rFonts w:hint="eastAsia" w:ascii="宋体" w:hAnsi="宋体" w:cs="宋体"/>
                      <w:color w:val="000000"/>
                      <w:kern w:val="0"/>
                      <w:sz w:val="24"/>
                    </w:rPr>
                    <w:t>480</w:t>
                  </w:r>
                </w:p>
              </w:tc>
              <w:tc>
                <w:tcPr>
                  <w:tcW w:w="881" w:type="dxa"/>
                  <w:vMerge w:val="restart"/>
                  <w:tcBorders>
                    <w:top w:val="nil"/>
                    <w:left w:val="single" w:color="000000" w:sz="4" w:space="0"/>
                    <w:bottom w:val="single" w:color="000000" w:sz="4" w:space="0"/>
                    <w:right w:val="single" w:color="000000" w:sz="8" w:space="0"/>
                  </w:tcBorders>
                  <w:shd w:val="clear" w:color="auto" w:fill="auto"/>
                  <w:noWrap/>
                  <w:vAlign w:val="center"/>
                </w:tcPr>
                <w:p>
                  <w:pPr>
                    <w:widowControl/>
                    <w:jc w:val="center"/>
                    <w:textAlignment w:val="center"/>
                    <w:rPr>
                      <w:rFonts w:ascii="仿宋_GB2312" w:hAnsi="宋体" w:eastAsia="仿宋_GB2312" w:cs="仿宋_GB2312"/>
                      <w:sz w:val="24"/>
                    </w:rPr>
                  </w:pPr>
                </w:p>
              </w:tc>
            </w:tr>
            <w:tr>
              <w:tblPrEx>
                <w:tblCellMar>
                  <w:top w:w="0" w:type="dxa"/>
                  <w:left w:w="108" w:type="dxa"/>
                  <w:bottom w:w="0" w:type="dxa"/>
                  <w:right w:w="108" w:type="dxa"/>
                </w:tblCellMar>
              </w:tblPrEx>
              <w:trPr>
                <w:gridBefore w:val="1"/>
                <w:gridAfter w:val="1"/>
                <w:wBefore w:w="719" w:type="dxa"/>
                <w:wAfter w:w="156" w:type="dxa"/>
                <w:trHeight w:val="375" w:hRule="atLeast"/>
              </w:trPr>
              <w:tc>
                <w:tcPr>
                  <w:tcW w:w="1287"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jc w:val="center"/>
                    <w:rPr>
                      <w:rFonts w:ascii="华文中宋" w:hAnsi="华文中宋" w:eastAsia="华文中宋" w:cs="华文中宋"/>
                      <w:b/>
                      <w:bCs/>
                      <w:sz w:val="24"/>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sz w:val="24"/>
                    </w:rPr>
                  </w:pPr>
                  <w:r>
                    <w:rPr>
                      <w:rFonts w:hint="eastAsia" w:ascii="宋体" w:hAnsi="宋体" w:cs="宋体"/>
                      <w:color w:val="000000"/>
                      <w:kern w:val="0"/>
                      <w:sz w:val="24"/>
                    </w:rPr>
                    <w:t>杨浦</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宋体" w:eastAsia="仿宋_GB2312" w:cs="仿宋_GB2312"/>
                      <w:sz w:val="24"/>
                    </w:rPr>
                  </w:pPr>
                  <w:r>
                    <w:rPr>
                      <w:rFonts w:hint="eastAsia" w:ascii="宋体" w:hAnsi="宋体" w:cs="宋体"/>
                      <w:color w:val="000000"/>
                      <w:kern w:val="0"/>
                      <w:sz w:val="24"/>
                    </w:rPr>
                    <w:t>2026</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宋体" w:eastAsia="仿宋_GB2312" w:cs="仿宋_GB2312"/>
                      <w:sz w:val="24"/>
                    </w:rPr>
                  </w:pPr>
                  <w:r>
                    <w:rPr>
                      <w:rFonts w:hint="eastAsia" w:ascii="宋体" w:hAnsi="宋体" w:cs="宋体"/>
                      <w:color w:val="000000"/>
                      <w:kern w:val="0"/>
                      <w:sz w:val="24"/>
                    </w:rPr>
                    <w:t>460</w:t>
                  </w:r>
                </w:p>
              </w:tc>
              <w:tc>
                <w:tcPr>
                  <w:tcW w:w="881" w:type="dxa"/>
                  <w:vMerge w:val="continue"/>
                  <w:tcBorders>
                    <w:top w:val="nil"/>
                    <w:left w:val="single" w:color="000000" w:sz="4" w:space="0"/>
                    <w:bottom w:val="single" w:color="000000" w:sz="4" w:space="0"/>
                    <w:right w:val="single" w:color="000000" w:sz="8" w:space="0"/>
                  </w:tcBorders>
                  <w:shd w:val="clear" w:color="auto" w:fill="auto"/>
                  <w:noWrap/>
                  <w:vAlign w:val="center"/>
                </w:tcPr>
                <w:p>
                  <w:pPr>
                    <w:jc w:val="center"/>
                    <w:rPr>
                      <w:rFonts w:ascii="仿宋_GB2312" w:hAnsi="宋体" w:eastAsia="仿宋_GB2312" w:cs="仿宋_GB2312"/>
                      <w:sz w:val="24"/>
                    </w:rPr>
                  </w:pPr>
                </w:p>
              </w:tc>
            </w:tr>
            <w:tr>
              <w:tblPrEx>
                <w:tblCellMar>
                  <w:top w:w="0" w:type="dxa"/>
                  <w:left w:w="108" w:type="dxa"/>
                  <w:bottom w:w="0" w:type="dxa"/>
                  <w:right w:w="108" w:type="dxa"/>
                </w:tblCellMar>
              </w:tblPrEx>
              <w:trPr>
                <w:gridBefore w:val="1"/>
                <w:gridAfter w:val="1"/>
                <w:wBefore w:w="719" w:type="dxa"/>
                <w:wAfter w:w="156" w:type="dxa"/>
                <w:trHeight w:val="375" w:hRule="atLeast"/>
              </w:trPr>
              <w:tc>
                <w:tcPr>
                  <w:tcW w:w="1287"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jc w:val="center"/>
                    <w:rPr>
                      <w:rFonts w:ascii="华文中宋" w:hAnsi="华文中宋" w:eastAsia="华文中宋" w:cs="华文中宋"/>
                      <w:b/>
                      <w:bCs/>
                      <w:sz w:val="24"/>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sz w:val="24"/>
                    </w:rPr>
                  </w:pPr>
                  <w:r>
                    <w:rPr>
                      <w:rFonts w:hint="eastAsia" w:ascii="宋体" w:hAnsi="宋体" w:cs="宋体"/>
                      <w:color w:val="000000"/>
                      <w:kern w:val="0"/>
                      <w:sz w:val="24"/>
                    </w:rPr>
                    <w:t>崇明</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宋体" w:eastAsia="仿宋_GB2312" w:cs="仿宋_GB2312"/>
                      <w:sz w:val="24"/>
                    </w:rPr>
                  </w:pPr>
                  <w:r>
                    <w:rPr>
                      <w:rFonts w:hint="eastAsia" w:ascii="宋体" w:hAnsi="宋体" w:cs="宋体"/>
                      <w:color w:val="000000"/>
                      <w:kern w:val="0"/>
                      <w:sz w:val="24"/>
                    </w:rPr>
                    <w:t>3094</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宋体" w:eastAsia="仿宋_GB2312" w:cs="仿宋_GB2312"/>
                      <w:sz w:val="24"/>
                    </w:rPr>
                  </w:pPr>
                  <w:r>
                    <w:rPr>
                      <w:rFonts w:hint="eastAsia" w:ascii="宋体" w:hAnsi="宋体" w:cs="宋体"/>
                      <w:color w:val="000000"/>
                      <w:kern w:val="0"/>
                      <w:sz w:val="24"/>
                    </w:rPr>
                    <w:t>421</w:t>
                  </w:r>
                </w:p>
              </w:tc>
              <w:tc>
                <w:tcPr>
                  <w:tcW w:w="881" w:type="dxa"/>
                  <w:vMerge w:val="continue"/>
                  <w:tcBorders>
                    <w:top w:val="nil"/>
                    <w:left w:val="single" w:color="000000" w:sz="4" w:space="0"/>
                    <w:bottom w:val="single" w:color="000000" w:sz="4" w:space="0"/>
                    <w:right w:val="single" w:color="000000" w:sz="8" w:space="0"/>
                  </w:tcBorders>
                  <w:shd w:val="clear" w:color="auto" w:fill="auto"/>
                  <w:noWrap/>
                  <w:vAlign w:val="center"/>
                </w:tcPr>
                <w:p>
                  <w:pPr>
                    <w:jc w:val="center"/>
                    <w:rPr>
                      <w:rFonts w:ascii="仿宋_GB2312" w:hAnsi="宋体" w:eastAsia="仿宋_GB2312" w:cs="仿宋_GB2312"/>
                      <w:sz w:val="24"/>
                    </w:rPr>
                  </w:pPr>
                </w:p>
              </w:tc>
            </w:tr>
            <w:tr>
              <w:tblPrEx>
                <w:tblCellMar>
                  <w:top w:w="0" w:type="dxa"/>
                  <w:left w:w="108" w:type="dxa"/>
                  <w:bottom w:w="0" w:type="dxa"/>
                  <w:right w:w="108" w:type="dxa"/>
                </w:tblCellMar>
              </w:tblPrEx>
              <w:trPr>
                <w:gridBefore w:val="1"/>
                <w:gridAfter w:val="1"/>
                <w:wBefore w:w="719" w:type="dxa"/>
                <w:wAfter w:w="156" w:type="dxa"/>
                <w:trHeight w:val="375" w:hRule="atLeast"/>
              </w:trPr>
              <w:tc>
                <w:tcPr>
                  <w:tcW w:w="1287"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jc w:val="center"/>
                    <w:rPr>
                      <w:rFonts w:ascii="华文中宋" w:hAnsi="华文中宋" w:eastAsia="华文中宋" w:cs="华文中宋"/>
                      <w:b/>
                      <w:bCs/>
                      <w:sz w:val="24"/>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sz w:val="24"/>
                    </w:rPr>
                  </w:pPr>
                  <w:r>
                    <w:rPr>
                      <w:rFonts w:hint="eastAsia" w:ascii="宋体" w:hAnsi="宋体" w:cs="宋体"/>
                      <w:color w:val="000000"/>
                      <w:kern w:val="0"/>
                      <w:sz w:val="24"/>
                    </w:rPr>
                    <w:t>长宁</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宋体" w:eastAsia="仿宋_GB2312" w:cs="仿宋_GB2312"/>
                      <w:sz w:val="24"/>
                    </w:rPr>
                  </w:pPr>
                  <w:r>
                    <w:rPr>
                      <w:rFonts w:hint="eastAsia" w:ascii="宋体" w:hAnsi="宋体" w:cs="宋体"/>
                      <w:color w:val="000000"/>
                      <w:kern w:val="0"/>
                      <w:sz w:val="24"/>
                    </w:rPr>
                    <w:t>450</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宋体" w:eastAsia="仿宋_GB2312" w:cs="仿宋_GB2312"/>
                      <w:sz w:val="24"/>
                    </w:rPr>
                  </w:pPr>
                  <w:r>
                    <w:rPr>
                      <w:rFonts w:hint="eastAsia" w:ascii="宋体" w:hAnsi="宋体" w:cs="宋体"/>
                      <w:color w:val="000000"/>
                      <w:kern w:val="0"/>
                      <w:sz w:val="24"/>
                    </w:rPr>
                    <w:t>462</w:t>
                  </w:r>
                </w:p>
              </w:tc>
              <w:tc>
                <w:tcPr>
                  <w:tcW w:w="881" w:type="dxa"/>
                  <w:vMerge w:val="continue"/>
                  <w:tcBorders>
                    <w:top w:val="nil"/>
                    <w:left w:val="single" w:color="000000" w:sz="4" w:space="0"/>
                    <w:bottom w:val="single" w:color="000000" w:sz="4" w:space="0"/>
                    <w:right w:val="single" w:color="000000" w:sz="8" w:space="0"/>
                  </w:tcBorders>
                  <w:shd w:val="clear" w:color="auto" w:fill="auto"/>
                  <w:noWrap/>
                  <w:vAlign w:val="center"/>
                </w:tcPr>
                <w:p>
                  <w:pPr>
                    <w:jc w:val="center"/>
                    <w:rPr>
                      <w:rFonts w:ascii="仿宋_GB2312" w:hAnsi="宋体" w:eastAsia="仿宋_GB2312" w:cs="仿宋_GB2312"/>
                      <w:sz w:val="24"/>
                    </w:rPr>
                  </w:pPr>
                </w:p>
              </w:tc>
            </w:tr>
            <w:tr>
              <w:tblPrEx>
                <w:tblCellMar>
                  <w:top w:w="0" w:type="dxa"/>
                  <w:left w:w="108" w:type="dxa"/>
                  <w:bottom w:w="0" w:type="dxa"/>
                  <w:right w:w="108" w:type="dxa"/>
                </w:tblCellMar>
              </w:tblPrEx>
              <w:trPr>
                <w:gridBefore w:val="1"/>
                <w:gridAfter w:val="1"/>
                <w:wBefore w:w="719" w:type="dxa"/>
                <w:wAfter w:w="156" w:type="dxa"/>
                <w:trHeight w:val="375" w:hRule="atLeast"/>
              </w:trPr>
              <w:tc>
                <w:tcPr>
                  <w:tcW w:w="1287"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jc w:val="center"/>
                    <w:rPr>
                      <w:rFonts w:ascii="华文中宋" w:hAnsi="华文中宋" w:eastAsia="华文中宋" w:cs="华文中宋"/>
                      <w:b/>
                      <w:bCs/>
                      <w:sz w:val="24"/>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sz w:val="24"/>
                    </w:rPr>
                  </w:pPr>
                  <w:r>
                    <w:rPr>
                      <w:rFonts w:hint="eastAsia" w:ascii="宋体" w:hAnsi="宋体" w:cs="宋体"/>
                      <w:color w:val="000000"/>
                      <w:kern w:val="0"/>
                      <w:sz w:val="24"/>
                    </w:rPr>
                    <w:t>嘉定</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宋体" w:eastAsia="仿宋_GB2312" w:cs="仿宋_GB2312"/>
                      <w:sz w:val="24"/>
                    </w:rPr>
                  </w:pPr>
                  <w:r>
                    <w:rPr>
                      <w:rFonts w:hint="eastAsia" w:ascii="宋体" w:hAnsi="宋体" w:cs="宋体"/>
                      <w:color w:val="000000"/>
                      <w:kern w:val="0"/>
                      <w:sz w:val="24"/>
                    </w:rPr>
                    <w:t>964</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宋体" w:eastAsia="仿宋_GB2312" w:cs="仿宋_GB2312"/>
                      <w:sz w:val="24"/>
                    </w:rPr>
                  </w:pPr>
                  <w:r>
                    <w:rPr>
                      <w:rFonts w:hint="eastAsia" w:ascii="宋体" w:hAnsi="宋体" w:cs="宋体"/>
                      <w:color w:val="000000"/>
                      <w:kern w:val="0"/>
                      <w:sz w:val="24"/>
                    </w:rPr>
                    <w:t>765</w:t>
                  </w:r>
                </w:p>
              </w:tc>
              <w:tc>
                <w:tcPr>
                  <w:tcW w:w="881" w:type="dxa"/>
                  <w:vMerge w:val="continue"/>
                  <w:tcBorders>
                    <w:top w:val="nil"/>
                    <w:left w:val="single" w:color="000000" w:sz="4" w:space="0"/>
                    <w:bottom w:val="single" w:color="000000" w:sz="4" w:space="0"/>
                    <w:right w:val="single" w:color="000000" w:sz="8" w:space="0"/>
                  </w:tcBorders>
                  <w:shd w:val="clear" w:color="auto" w:fill="auto"/>
                  <w:noWrap/>
                  <w:vAlign w:val="center"/>
                </w:tcPr>
                <w:p>
                  <w:pPr>
                    <w:jc w:val="center"/>
                    <w:rPr>
                      <w:rFonts w:ascii="仿宋_GB2312" w:hAnsi="宋体" w:eastAsia="仿宋_GB2312" w:cs="仿宋_GB2312"/>
                      <w:sz w:val="24"/>
                    </w:rPr>
                  </w:pPr>
                </w:p>
              </w:tc>
            </w:tr>
            <w:tr>
              <w:tblPrEx>
                <w:tblCellMar>
                  <w:top w:w="0" w:type="dxa"/>
                  <w:left w:w="108" w:type="dxa"/>
                  <w:bottom w:w="0" w:type="dxa"/>
                  <w:right w:w="108" w:type="dxa"/>
                </w:tblCellMar>
              </w:tblPrEx>
              <w:trPr>
                <w:gridBefore w:val="1"/>
                <w:gridAfter w:val="1"/>
                <w:wBefore w:w="719" w:type="dxa"/>
                <w:wAfter w:w="156" w:type="dxa"/>
                <w:trHeight w:val="375" w:hRule="atLeast"/>
              </w:trPr>
              <w:tc>
                <w:tcPr>
                  <w:tcW w:w="1287"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jc w:val="center"/>
                    <w:rPr>
                      <w:rFonts w:ascii="华文中宋" w:hAnsi="华文中宋" w:eastAsia="华文中宋" w:cs="华文中宋"/>
                      <w:b/>
                      <w:bCs/>
                      <w:sz w:val="24"/>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sz w:val="24"/>
                    </w:rPr>
                  </w:pPr>
                  <w:r>
                    <w:rPr>
                      <w:rFonts w:hint="eastAsia" w:ascii="宋体" w:hAnsi="宋体" w:cs="宋体"/>
                      <w:color w:val="000000"/>
                      <w:kern w:val="0"/>
                      <w:sz w:val="24"/>
                    </w:rPr>
                    <w:t>奉贤</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宋体" w:eastAsia="仿宋_GB2312" w:cs="仿宋_GB2312"/>
                      <w:sz w:val="24"/>
                    </w:rPr>
                  </w:pPr>
                  <w:r>
                    <w:rPr>
                      <w:rFonts w:hint="eastAsia" w:ascii="宋体" w:hAnsi="宋体" w:cs="宋体"/>
                      <w:color w:val="000000"/>
                      <w:kern w:val="0"/>
                      <w:sz w:val="24"/>
                    </w:rPr>
                    <w:t>1792</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宋体" w:eastAsia="仿宋_GB2312" w:cs="仿宋_GB2312"/>
                      <w:sz w:val="24"/>
                    </w:rPr>
                  </w:pPr>
                  <w:r>
                    <w:rPr>
                      <w:rFonts w:hint="eastAsia" w:ascii="宋体" w:hAnsi="宋体" w:cs="宋体"/>
                      <w:color w:val="000000"/>
                      <w:kern w:val="0"/>
                      <w:sz w:val="24"/>
                    </w:rPr>
                    <w:t>410</w:t>
                  </w:r>
                </w:p>
              </w:tc>
              <w:tc>
                <w:tcPr>
                  <w:tcW w:w="881" w:type="dxa"/>
                  <w:vMerge w:val="continue"/>
                  <w:tcBorders>
                    <w:top w:val="nil"/>
                    <w:left w:val="single" w:color="000000" w:sz="4" w:space="0"/>
                    <w:bottom w:val="single" w:color="000000" w:sz="4" w:space="0"/>
                    <w:right w:val="single" w:color="000000" w:sz="8" w:space="0"/>
                  </w:tcBorders>
                  <w:shd w:val="clear" w:color="auto" w:fill="auto"/>
                  <w:noWrap/>
                  <w:vAlign w:val="center"/>
                </w:tcPr>
                <w:p>
                  <w:pPr>
                    <w:jc w:val="center"/>
                    <w:rPr>
                      <w:rFonts w:ascii="仿宋_GB2312" w:hAnsi="宋体" w:eastAsia="仿宋_GB2312" w:cs="仿宋_GB2312"/>
                      <w:sz w:val="24"/>
                    </w:rPr>
                  </w:pPr>
                </w:p>
              </w:tc>
            </w:tr>
            <w:tr>
              <w:tblPrEx>
                <w:tblCellMar>
                  <w:top w:w="0" w:type="dxa"/>
                  <w:left w:w="108" w:type="dxa"/>
                  <w:bottom w:w="0" w:type="dxa"/>
                  <w:right w:w="108" w:type="dxa"/>
                </w:tblCellMar>
              </w:tblPrEx>
              <w:trPr>
                <w:gridBefore w:val="1"/>
                <w:gridAfter w:val="1"/>
                <w:wBefore w:w="719" w:type="dxa"/>
                <w:wAfter w:w="156" w:type="dxa"/>
                <w:trHeight w:val="375" w:hRule="atLeast"/>
              </w:trPr>
              <w:tc>
                <w:tcPr>
                  <w:tcW w:w="1287"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jc w:val="center"/>
                    <w:rPr>
                      <w:rFonts w:ascii="华文中宋" w:hAnsi="华文中宋" w:eastAsia="华文中宋" w:cs="华文中宋"/>
                      <w:b/>
                      <w:bCs/>
                      <w:sz w:val="24"/>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b/>
                      <w:bCs/>
                      <w:sz w:val="24"/>
                    </w:rPr>
                  </w:pPr>
                  <w:r>
                    <w:rPr>
                      <w:rFonts w:hint="eastAsia" w:ascii="宋体" w:hAnsi="宋体" w:cs="宋体"/>
                      <w:b/>
                      <w:bCs/>
                      <w:color w:val="000000"/>
                      <w:kern w:val="0"/>
                      <w:sz w:val="24"/>
                    </w:rPr>
                    <w:t>小计</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宋体" w:eastAsia="仿宋_GB2312" w:cs="仿宋_GB2312"/>
                      <w:b/>
                      <w:bCs/>
                      <w:sz w:val="24"/>
                    </w:rPr>
                  </w:pPr>
                  <w:r>
                    <w:rPr>
                      <w:rFonts w:hint="eastAsia" w:ascii="宋体" w:hAnsi="宋体" w:cs="宋体"/>
                      <w:b/>
                      <w:bCs/>
                      <w:color w:val="000000"/>
                      <w:kern w:val="0"/>
                      <w:sz w:val="24"/>
                    </w:rPr>
                    <w:t>8920</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宋体" w:eastAsia="仿宋_GB2312" w:cs="仿宋_GB2312"/>
                      <w:b/>
                      <w:bCs/>
                      <w:sz w:val="24"/>
                    </w:rPr>
                  </w:pPr>
                  <w:r>
                    <w:rPr>
                      <w:rFonts w:hint="eastAsia" w:ascii="宋体" w:hAnsi="宋体" w:cs="宋体"/>
                      <w:b/>
                      <w:bCs/>
                      <w:color w:val="000000"/>
                      <w:kern w:val="0"/>
                      <w:sz w:val="24"/>
                    </w:rPr>
                    <w:t>2998</w:t>
                  </w:r>
                </w:p>
              </w:tc>
              <w:tc>
                <w:tcPr>
                  <w:tcW w:w="881" w:type="dxa"/>
                  <w:vMerge w:val="continue"/>
                  <w:tcBorders>
                    <w:top w:val="nil"/>
                    <w:left w:val="single" w:color="000000" w:sz="4" w:space="0"/>
                    <w:bottom w:val="single" w:color="000000" w:sz="4" w:space="0"/>
                    <w:right w:val="single" w:color="000000" w:sz="8" w:space="0"/>
                  </w:tcBorders>
                  <w:shd w:val="clear" w:color="auto" w:fill="auto"/>
                  <w:noWrap/>
                  <w:vAlign w:val="center"/>
                </w:tcPr>
                <w:p>
                  <w:pPr>
                    <w:jc w:val="center"/>
                    <w:rPr>
                      <w:rFonts w:ascii="仿宋_GB2312" w:hAnsi="宋体" w:eastAsia="仿宋_GB2312" w:cs="仿宋_GB2312"/>
                      <w:sz w:val="24"/>
                    </w:rPr>
                  </w:pPr>
                </w:p>
              </w:tc>
            </w:tr>
            <w:tr>
              <w:tblPrEx>
                <w:tblCellMar>
                  <w:top w:w="0" w:type="dxa"/>
                  <w:left w:w="108" w:type="dxa"/>
                  <w:bottom w:w="0" w:type="dxa"/>
                  <w:right w:w="108" w:type="dxa"/>
                </w:tblCellMar>
              </w:tblPrEx>
              <w:trPr>
                <w:gridBefore w:val="1"/>
                <w:gridAfter w:val="1"/>
                <w:wBefore w:w="719" w:type="dxa"/>
                <w:wAfter w:w="156" w:type="dxa"/>
                <w:trHeight w:val="354" w:hRule="atLeast"/>
              </w:trPr>
              <w:tc>
                <w:tcPr>
                  <w:tcW w:w="1287" w:type="dxa"/>
                  <w:vMerge w:val="restar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textAlignment w:val="center"/>
                    <w:rPr>
                      <w:rFonts w:ascii="华文中宋" w:hAnsi="华文中宋" w:eastAsia="华文中宋" w:cs="华文中宋"/>
                      <w:b/>
                      <w:bCs/>
                      <w:sz w:val="24"/>
                    </w:rPr>
                  </w:pPr>
                  <w:r>
                    <w:rPr>
                      <w:rFonts w:hint="eastAsia" w:ascii="华文中宋" w:hAnsi="华文中宋" w:eastAsia="华文中宋" w:cs="华文中宋"/>
                      <w:b/>
                      <w:bCs/>
                      <w:kern w:val="0"/>
                      <w:sz w:val="24"/>
                    </w:rPr>
                    <w:t>B片区</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sz w:val="24"/>
                    </w:rPr>
                  </w:pPr>
                  <w:r>
                    <w:rPr>
                      <w:rFonts w:hint="eastAsia" w:ascii="宋体" w:hAnsi="宋体" w:cs="宋体"/>
                      <w:color w:val="000000"/>
                      <w:kern w:val="0"/>
                      <w:sz w:val="24"/>
                    </w:rPr>
                    <w:t>金山</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宋体" w:eastAsia="仿宋_GB2312" w:cs="仿宋_GB2312"/>
                      <w:sz w:val="24"/>
                    </w:rPr>
                  </w:pPr>
                  <w:r>
                    <w:rPr>
                      <w:rFonts w:hint="eastAsia" w:ascii="宋体" w:hAnsi="宋体" w:cs="宋体"/>
                      <w:color w:val="000000"/>
                      <w:kern w:val="0"/>
                      <w:sz w:val="24"/>
                    </w:rPr>
                    <w:t>2753</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宋体" w:eastAsia="仿宋_GB2312" w:cs="仿宋_GB2312"/>
                      <w:sz w:val="24"/>
                    </w:rPr>
                  </w:pPr>
                  <w:r>
                    <w:rPr>
                      <w:rFonts w:hint="eastAsia" w:ascii="宋体" w:hAnsi="宋体" w:cs="宋体"/>
                      <w:color w:val="000000"/>
                      <w:kern w:val="0"/>
                      <w:sz w:val="24"/>
                    </w:rPr>
                    <w:t>460</w:t>
                  </w:r>
                </w:p>
              </w:tc>
              <w:tc>
                <w:tcPr>
                  <w:tcW w:w="881" w:type="dxa"/>
                  <w:vMerge w:val="restart"/>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center"/>
                    <w:textAlignment w:val="center"/>
                    <w:rPr>
                      <w:rFonts w:ascii="仿宋_GB2312" w:hAnsi="宋体" w:eastAsia="仿宋_GB2312" w:cs="仿宋_GB2312"/>
                      <w:sz w:val="24"/>
                    </w:rPr>
                  </w:pPr>
                </w:p>
              </w:tc>
            </w:tr>
            <w:tr>
              <w:tblPrEx>
                <w:tblCellMar>
                  <w:top w:w="0" w:type="dxa"/>
                  <w:left w:w="108" w:type="dxa"/>
                  <w:bottom w:w="0" w:type="dxa"/>
                  <w:right w:w="108" w:type="dxa"/>
                </w:tblCellMar>
              </w:tblPrEx>
              <w:trPr>
                <w:gridBefore w:val="1"/>
                <w:gridAfter w:val="1"/>
                <w:wBefore w:w="719" w:type="dxa"/>
                <w:wAfter w:w="156" w:type="dxa"/>
                <w:trHeight w:val="375" w:hRule="atLeast"/>
              </w:trPr>
              <w:tc>
                <w:tcPr>
                  <w:tcW w:w="1287"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jc w:val="center"/>
                    <w:rPr>
                      <w:rFonts w:ascii="华文中宋" w:hAnsi="华文中宋" w:eastAsia="华文中宋" w:cs="华文中宋"/>
                      <w:b/>
                      <w:bCs/>
                      <w:sz w:val="24"/>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sz w:val="24"/>
                    </w:rPr>
                  </w:pPr>
                  <w:r>
                    <w:rPr>
                      <w:rFonts w:hint="eastAsia" w:ascii="宋体" w:hAnsi="宋体" w:cs="宋体"/>
                      <w:color w:val="000000"/>
                      <w:kern w:val="0"/>
                      <w:sz w:val="24"/>
                    </w:rPr>
                    <w:t>静安</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宋体" w:eastAsia="仿宋_GB2312" w:cs="仿宋_GB2312"/>
                      <w:sz w:val="24"/>
                    </w:rPr>
                  </w:pPr>
                  <w:r>
                    <w:rPr>
                      <w:rFonts w:hint="eastAsia" w:ascii="宋体" w:hAnsi="宋体" w:cs="宋体"/>
                      <w:color w:val="000000"/>
                      <w:kern w:val="0"/>
                      <w:sz w:val="24"/>
                    </w:rPr>
                    <w:t>1645</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宋体" w:eastAsia="仿宋_GB2312" w:cs="仿宋_GB2312"/>
                      <w:sz w:val="24"/>
                    </w:rPr>
                  </w:pPr>
                  <w:r>
                    <w:rPr>
                      <w:rFonts w:hint="eastAsia" w:ascii="宋体" w:hAnsi="宋体" w:cs="宋体"/>
                      <w:color w:val="000000"/>
                      <w:kern w:val="0"/>
                      <w:sz w:val="24"/>
                    </w:rPr>
                    <w:t>481</w:t>
                  </w:r>
                </w:p>
              </w:tc>
              <w:tc>
                <w:tcPr>
                  <w:tcW w:w="881"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仿宋_GB2312" w:hAnsi="宋体" w:eastAsia="仿宋_GB2312" w:cs="仿宋_GB2312"/>
                      <w:sz w:val="24"/>
                    </w:rPr>
                  </w:pPr>
                </w:p>
              </w:tc>
            </w:tr>
            <w:tr>
              <w:tblPrEx>
                <w:tblCellMar>
                  <w:top w:w="0" w:type="dxa"/>
                  <w:left w:w="108" w:type="dxa"/>
                  <w:bottom w:w="0" w:type="dxa"/>
                  <w:right w:w="108" w:type="dxa"/>
                </w:tblCellMar>
              </w:tblPrEx>
              <w:trPr>
                <w:gridBefore w:val="1"/>
                <w:gridAfter w:val="1"/>
                <w:wBefore w:w="719" w:type="dxa"/>
                <w:wAfter w:w="156" w:type="dxa"/>
                <w:trHeight w:val="375" w:hRule="atLeast"/>
              </w:trPr>
              <w:tc>
                <w:tcPr>
                  <w:tcW w:w="1287"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jc w:val="center"/>
                    <w:rPr>
                      <w:rFonts w:ascii="华文中宋" w:hAnsi="华文中宋" w:eastAsia="华文中宋" w:cs="华文中宋"/>
                      <w:b/>
                      <w:bCs/>
                      <w:sz w:val="24"/>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sz w:val="24"/>
                    </w:rPr>
                  </w:pPr>
                  <w:r>
                    <w:rPr>
                      <w:rFonts w:hint="eastAsia" w:ascii="宋体" w:hAnsi="宋体" w:cs="宋体"/>
                      <w:color w:val="000000"/>
                      <w:kern w:val="0"/>
                      <w:sz w:val="24"/>
                    </w:rPr>
                    <w:t>浦东</w:t>
                  </w:r>
                </w:p>
              </w:tc>
              <w:tc>
                <w:tcPr>
                  <w:tcW w:w="1665" w:type="dxa"/>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宋体" w:eastAsia="仿宋_GB2312" w:cs="仿宋_GB2312"/>
                      <w:sz w:val="24"/>
                    </w:rPr>
                  </w:pPr>
                  <w:r>
                    <w:rPr>
                      <w:rFonts w:hint="eastAsia" w:ascii="宋体" w:hAnsi="宋体" w:cs="宋体"/>
                      <w:color w:val="000000"/>
                      <w:kern w:val="0"/>
                      <w:sz w:val="24"/>
                    </w:rPr>
                    <w:t>4952</w:t>
                  </w:r>
                </w:p>
              </w:tc>
              <w:tc>
                <w:tcPr>
                  <w:tcW w:w="2655" w:type="dxa"/>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宋体" w:eastAsia="仿宋_GB2312" w:cs="仿宋_GB2312"/>
                      <w:sz w:val="24"/>
                    </w:rPr>
                  </w:pPr>
                  <w:r>
                    <w:rPr>
                      <w:rFonts w:hint="eastAsia" w:ascii="宋体" w:hAnsi="宋体" w:cs="宋体"/>
                      <w:color w:val="000000"/>
                      <w:kern w:val="0"/>
                      <w:sz w:val="24"/>
                    </w:rPr>
                    <w:t>998</w:t>
                  </w:r>
                </w:p>
              </w:tc>
              <w:tc>
                <w:tcPr>
                  <w:tcW w:w="881"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仿宋_GB2312" w:hAnsi="宋体" w:eastAsia="仿宋_GB2312" w:cs="仿宋_GB2312"/>
                      <w:sz w:val="24"/>
                    </w:rPr>
                  </w:pPr>
                </w:p>
              </w:tc>
            </w:tr>
            <w:tr>
              <w:tblPrEx>
                <w:tblCellMar>
                  <w:top w:w="0" w:type="dxa"/>
                  <w:left w:w="108" w:type="dxa"/>
                  <w:bottom w:w="0" w:type="dxa"/>
                  <w:right w:w="108" w:type="dxa"/>
                </w:tblCellMar>
              </w:tblPrEx>
              <w:trPr>
                <w:gridBefore w:val="1"/>
                <w:gridAfter w:val="1"/>
                <w:wBefore w:w="719" w:type="dxa"/>
                <w:wAfter w:w="156" w:type="dxa"/>
                <w:trHeight w:val="375" w:hRule="atLeast"/>
              </w:trPr>
              <w:tc>
                <w:tcPr>
                  <w:tcW w:w="1287"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jc w:val="center"/>
                    <w:rPr>
                      <w:rFonts w:ascii="华文中宋" w:hAnsi="华文中宋" w:eastAsia="华文中宋" w:cs="华文中宋"/>
                      <w:b/>
                      <w:bCs/>
                      <w:sz w:val="24"/>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sz w:val="24"/>
                    </w:rPr>
                  </w:pPr>
                  <w:r>
                    <w:rPr>
                      <w:rFonts w:hint="eastAsia" w:ascii="宋体" w:hAnsi="宋体" w:cs="宋体"/>
                      <w:color w:val="000000"/>
                      <w:kern w:val="0"/>
                      <w:sz w:val="24"/>
                    </w:rPr>
                    <w:t>普陀</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宋体" w:eastAsia="仿宋_GB2312" w:cs="仿宋_GB2312"/>
                      <w:sz w:val="24"/>
                    </w:rPr>
                  </w:pPr>
                  <w:r>
                    <w:rPr>
                      <w:rFonts w:hint="eastAsia" w:ascii="宋体" w:hAnsi="宋体" w:cs="宋体"/>
                      <w:color w:val="000000"/>
                      <w:kern w:val="0"/>
                      <w:sz w:val="24"/>
                    </w:rPr>
                    <w:t>3410</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宋体" w:eastAsia="仿宋_GB2312" w:cs="仿宋_GB2312"/>
                      <w:sz w:val="24"/>
                    </w:rPr>
                  </w:pPr>
                  <w:r>
                    <w:rPr>
                      <w:rFonts w:hint="eastAsia" w:ascii="宋体" w:hAnsi="宋体" w:cs="宋体"/>
                      <w:color w:val="000000"/>
                      <w:kern w:val="0"/>
                      <w:sz w:val="24"/>
                    </w:rPr>
                    <w:t>475</w:t>
                  </w:r>
                </w:p>
              </w:tc>
              <w:tc>
                <w:tcPr>
                  <w:tcW w:w="881"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仿宋_GB2312" w:hAnsi="宋体" w:eastAsia="仿宋_GB2312" w:cs="仿宋_GB2312"/>
                      <w:sz w:val="24"/>
                    </w:rPr>
                  </w:pPr>
                </w:p>
              </w:tc>
            </w:tr>
            <w:tr>
              <w:tblPrEx>
                <w:tblCellMar>
                  <w:top w:w="0" w:type="dxa"/>
                  <w:left w:w="108" w:type="dxa"/>
                  <w:bottom w:w="0" w:type="dxa"/>
                  <w:right w:w="108" w:type="dxa"/>
                </w:tblCellMar>
              </w:tblPrEx>
              <w:trPr>
                <w:gridBefore w:val="1"/>
                <w:gridAfter w:val="1"/>
                <w:wBefore w:w="719" w:type="dxa"/>
                <w:wAfter w:w="156" w:type="dxa"/>
                <w:trHeight w:val="375" w:hRule="atLeast"/>
              </w:trPr>
              <w:tc>
                <w:tcPr>
                  <w:tcW w:w="1287"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jc w:val="center"/>
                    <w:rPr>
                      <w:rFonts w:ascii="华文中宋" w:hAnsi="华文中宋" w:eastAsia="华文中宋" w:cs="华文中宋"/>
                      <w:b/>
                      <w:bCs/>
                      <w:sz w:val="24"/>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b/>
                      <w:bCs/>
                      <w:sz w:val="24"/>
                    </w:rPr>
                  </w:pPr>
                  <w:r>
                    <w:rPr>
                      <w:rFonts w:hint="eastAsia" w:ascii="宋体" w:hAnsi="宋体" w:cs="宋体"/>
                      <w:b/>
                      <w:bCs/>
                      <w:color w:val="000000"/>
                      <w:kern w:val="0"/>
                      <w:sz w:val="24"/>
                    </w:rPr>
                    <w:t>小计</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宋体" w:eastAsia="仿宋_GB2312" w:cs="仿宋_GB2312"/>
                      <w:b/>
                      <w:bCs/>
                      <w:sz w:val="24"/>
                    </w:rPr>
                  </w:pPr>
                  <w:r>
                    <w:rPr>
                      <w:rFonts w:hint="eastAsia" w:ascii="宋体" w:hAnsi="宋体" w:cs="宋体"/>
                      <w:b/>
                      <w:bCs/>
                      <w:color w:val="000000"/>
                      <w:kern w:val="0"/>
                      <w:sz w:val="24"/>
                    </w:rPr>
                    <w:t>12760</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宋体" w:eastAsia="仿宋_GB2312" w:cs="仿宋_GB2312"/>
                      <w:b/>
                      <w:bCs/>
                      <w:sz w:val="24"/>
                    </w:rPr>
                  </w:pPr>
                  <w:r>
                    <w:rPr>
                      <w:rFonts w:hint="eastAsia" w:ascii="宋体" w:hAnsi="宋体" w:cs="宋体"/>
                      <w:b/>
                      <w:bCs/>
                      <w:color w:val="000000"/>
                      <w:kern w:val="0"/>
                      <w:sz w:val="24"/>
                    </w:rPr>
                    <w:t>2414</w:t>
                  </w:r>
                </w:p>
              </w:tc>
              <w:tc>
                <w:tcPr>
                  <w:tcW w:w="881"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仿宋_GB2312" w:hAnsi="宋体" w:eastAsia="仿宋_GB2312" w:cs="仿宋_GB2312"/>
                      <w:sz w:val="24"/>
                    </w:rPr>
                  </w:pPr>
                </w:p>
              </w:tc>
            </w:tr>
            <w:tr>
              <w:tblPrEx>
                <w:tblCellMar>
                  <w:top w:w="0" w:type="dxa"/>
                  <w:left w:w="108" w:type="dxa"/>
                  <w:bottom w:w="0" w:type="dxa"/>
                  <w:right w:w="108" w:type="dxa"/>
                </w:tblCellMar>
              </w:tblPrEx>
              <w:trPr>
                <w:gridBefore w:val="1"/>
                <w:gridAfter w:val="1"/>
                <w:wBefore w:w="719" w:type="dxa"/>
                <w:wAfter w:w="156" w:type="dxa"/>
                <w:trHeight w:val="375" w:hRule="atLeast"/>
              </w:trPr>
              <w:tc>
                <w:tcPr>
                  <w:tcW w:w="1287"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华文中宋" w:hAnsi="华文中宋" w:eastAsia="华文中宋" w:cs="华文中宋"/>
                      <w:b/>
                      <w:bCs/>
                      <w:sz w:val="24"/>
                    </w:rPr>
                  </w:pPr>
                  <w:r>
                    <w:rPr>
                      <w:rFonts w:hint="eastAsia" w:ascii="华文中宋" w:hAnsi="华文中宋" w:eastAsia="华文中宋" w:cs="华文中宋"/>
                      <w:b/>
                      <w:bCs/>
                      <w:kern w:val="0"/>
                      <w:sz w:val="24"/>
                    </w:rPr>
                    <w:t>C片区</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sz w:val="24"/>
                    </w:rPr>
                  </w:pPr>
                  <w:r>
                    <w:rPr>
                      <w:rFonts w:hint="eastAsia" w:ascii="宋体" w:hAnsi="宋体" w:cs="宋体"/>
                      <w:color w:val="000000"/>
                      <w:kern w:val="0"/>
                      <w:sz w:val="24"/>
                    </w:rPr>
                    <w:t>宝山</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宋体" w:eastAsia="仿宋_GB2312" w:cs="仿宋_GB2312"/>
                      <w:sz w:val="24"/>
                    </w:rPr>
                  </w:pPr>
                  <w:r>
                    <w:rPr>
                      <w:rFonts w:hint="eastAsia" w:ascii="宋体" w:hAnsi="宋体" w:cs="宋体"/>
                      <w:color w:val="000000"/>
                      <w:kern w:val="0"/>
                      <w:sz w:val="24"/>
                    </w:rPr>
                    <w:t>451</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宋体" w:eastAsia="仿宋_GB2312" w:cs="仿宋_GB2312"/>
                      <w:sz w:val="24"/>
                    </w:rPr>
                  </w:pPr>
                  <w:r>
                    <w:rPr>
                      <w:rFonts w:hint="eastAsia" w:ascii="宋体" w:hAnsi="宋体" w:cs="宋体"/>
                      <w:color w:val="000000"/>
                      <w:kern w:val="0"/>
                      <w:sz w:val="24"/>
                    </w:rPr>
                    <w:t>579</w:t>
                  </w:r>
                </w:p>
              </w:tc>
              <w:tc>
                <w:tcPr>
                  <w:tcW w:w="881"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ascii="仿宋_GB2312" w:hAnsi="宋体" w:eastAsia="仿宋_GB2312" w:cs="仿宋_GB2312"/>
                      <w:sz w:val="24"/>
                    </w:rPr>
                  </w:pPr>
                </w:p>
              </w:tc>
            </w:tr>
            <w:tr>
              <w:tblPrEx>
                <w:tblCellMar>
                  <w:top w:w="0" w:type="dxa"/>
                  <w:left w:w="108" w:type="dxa"/>
                  <w:bottom w:w="0" w:type="dxa"/>
                  <w:right w:w="108" w:type="dxa"/>
                </w:tblCellMar>
              </w:tblPrEx>
              <w:trPr>
                <w:gridBefore w:val="1"/>
                <w:gridAfter w:val="1"/>
                <w:wBefore w:w="719" w:type="dxa"/>
                <w:wAfter w:w="156" w:type="dxa"/>
                <w:trHeight w:val="375" w:hRule="atLeast"/>
              </w:trPr>
              <w:tc>
                <w:tcPr>
                  <w:tcW w:w="128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华文中宋" w:hAnsi="华文中宋" w:eastAsia="华文中宋" w:cs="华文中宋"/>
                      <w:b/>
                      <w:bCs/>
                      <w:sz w:val="24"/>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sz w:val="24"/>
                    </w:rPr>
                  </w:pPr>
                  <w:r>
                    <w:rPr>
                      <w:rFonts w:hint="eastAsia" w:ascii="宋体" w:hAnsi="宋体" w:cs="宋体"/>
                      <w:color w:val="000000"/>
                      <w:kern w:val="0"/>
                      <w:sz w:val="24"/>
                    </w:rPr>
                    <w:t>闵行</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宋体" w:eastAsia="仿宋_GB2312" w:cs="仿宋_GB2312"/>
                      <w:sz w:val="24"/>
                    </w:rPr>
                  </w:pPr>
                  <w:r>
                    <w:rPr>
                      <w:rFonts w:hint="eastAsia" w:ascii="宋体" w:hAnsi="宋体" w:cs="宋体"/>
                      <w:color w:val="000000"/>
                      <w:kern w:val="0"/>
                      <w:sz w:val="24"/>
                    </w:rPr>
                    <w:t>3041</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宋体" w:eastAsia="仿宋_GB2312" w:cs="仿宋_GB2312"/>
                      <w:sz w:val="24"/>
                    </w:rPr>
                  </w:pPr>
                  <w:r>
                    <w:rPr>
                      <w:rFonts w:hint="eastAsia" w:ascii="宋体" w:hAnsi="宋体" w:cs="宋体"/>
                      <w:color w:val="000000"/>
                      <w:kern w:val="0"/>
                      <w:sz w:val="24"/>
                    </w:rPr>
                    <w:t>576</w:t>
                  </w:r>
                </w:p>
              </w:tc>
              <w:tc>
                <w:tcPr>
                  <w:tcW w:w="881"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仿宋_GB2312" w:hAnsi="宋体" w:eastAsia="仿宋_GB2312" w:cs="仿宋_GB2312"/>
                      <w:sz w:val="24"/>
                    </w:rPr>
                  </w:pPr>
                </w:p>
              </w:tc>
            </w:tr>
            <w:tr>
              <w:tblPrEx>
                <w:tblCellMar>
                  <w:top w:w="0" w:type="dxa"/>
                  <w:left w:w="108" w:type="dxa"/>
                  <w:bottom w:w="0" w:type="dxa"/>
                  <w:right w:w="108" w:type="dxa"/>
                </w:tblCellMar>
              </w:tblPrEx>
              <w:trPr>
                <w:gridBefore w:val="1"/>
                <w:gridAfter w:val="1"/>
                <w:wBefore w:w="719" w:type="dxa"/>
                <w:wAfter w:w="156" w:type="dxa"/>
                <w:trHeight w:val="375" w:hRule="atLeast"/>
              </w:trPr>
              <w:tc>
                <w:tcPr>
                  <w:tcW w:w="128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华文中宋" w:hAnsi="华文中宋" w:eastAsia="华文中宋" w:cs="华文中宋"/>
                      <w:b/>
                      <w:bCs/>
                      <w:sz w:val="24"/>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sz w:val="24"/>
                    </w:rPr>
                  </w:pPr>
                  <w:r>
                    <w:rPr>
                      <w:rFonts w:hint="eastAsia" w:ascii="宋体" w:hAnsi="宋体" w:cs="宋体"/>
                      <w:color w:val="000000"/>
                      <w:kern w:val="0"/>
                      <w:sz w:val="24"/>
                    </w:rPr>
                    <w:t>黄浦</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宋体" w:eastAsia="仿宋_GB2312" w:cs="仿宋_GB2312"/>
                      <w:sz w:val="24"/>
                    </w:rPr>
                  </w:pPr>
                  <w:r>
                    <w:rPr>
                      <w:rFonts w:hint="eastAsia" w:ascii="宋体" w:hAnsi="宋体" w:cs="宋体"/>
                      <w:color w:val="000000"/>
                      <w:kern w:val="0"/>
                      <w:sz w:val="24"/>
                    </w:rPr>
                    <w:t>595</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宋体" w:eastAsia="仿宋_GB2312" w:cs="仿宋_GB2312"/>
                      <w:sz w:val="24"/>
                    </w:rPr>
                  </w:pPr>
                  <w:r>
                    <w:rPr>
                      <w:rFonts w:hint="eastAsia" w:ascii="宋体" w:hAnsi="宋体" w:cs="宋体"/>
                      <w:color w:val="000000"/>
                      <w:kern w:val="0"/>
                      <w:sz w:val="24"/>
                    </w:rPr>
                    <w:t>316</w:t>
                  </w:r>
                </w:p>
              </w:tc>
              <w:tc>
                <w:tcPr>
                  <w:tcW w:w="881"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仿宋_GB2312" w:hAnsi="宋体" w:eastAsia="仿宋_GB2312" w:cs="仿宋_GB2312"/>
                      <w:sz w:val="24"/>
                    </w:rPr>
                  </w:pPr>
                </w:p>
              </w:tc>
            </w:tr>
            <w:tr>
              <w:tblPrEx>
                <w:tblCellMar>
                  <w:top w:w="0" w:type="dxa"/>
                  <w:left w:w="108" w:type="dxa"/>
                  <w:bottom w:w="0" w:type="dxa"/>
                  <w:right w:w="108" w:type="dxa"/>
                </w:tblCellMar>
              </w:tblPrEx>
              <w:trPr>
                <w:gridBefore w:val="1"/>
                <w:gridAfter w:val="1"/>
                <w:wBefore w:w="719" w:type="dxa"/>
                <w:wAfter w:w="156" w:type="dxa"/>
                <w:trHeight w:val="375" w:hRule="atLeast"/>
              </w:trPr>
              <w:tc>
                <w:tcPr>
                  <w:tcW w:w="128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华文中宋" w:hAnsi="华文中宋" w:eastAsia="华文中宋" w:cs="华文中宋"/>
                      <w:b/>
                      <w:bCs/>
                      <w:sz w:val="24"/>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kern w:val="0"/>
                      <w:sz w:val="24"/>
                    </w:rPr>
                  </w:pPr>
                  <w:r>
                    <w:rPr>
                      <w:rFonts w:hint="eastAsia" w:ascii="宋体" w:hAnsi="宋体" w:cs="宋体"/>
                      <w:color w:val="000000"/>
                      <w:kern w:val="0"/>
                      <w:sz w:val="24"/>
                    </w:rPr>
                    <w:t>松江</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2302</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4"/>
                    </w:rPr>
                    <w:t>330</w:t>
                  </w:r>
                </w:p>
              </w:tc>
              <w:tc>
                <w:tcPr>
                  <w:tcW w:w="881"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仿宋_GB2312" w:hAnsi="宋体" w:eastAsia="仿宋_GB2312" w:cs="仿宋_GB2312"/>
                      <w:sz w:val="24"/>
                    </w:rPr>
                  </w:pPr>
                </w:p>
              </w:tc>
            </w:tr>
            <w:tr>
              <w:tblPrEx>
                <w:tblCellMar>
                  <w:top w:w="0" w:type="dxa"/>
                  <w:left w:w="108" w:type="dxa"/>
                  <w:bottom w:w="0" w:type="dxa"/>
                  <w:right w:w="108" w:type="dxa"/>
                </w:tblCellMar>
              </w:tblPrEx>
              <w:trPr>
                <w:gridBefore w:val="1"/>
                <w:gridAfter w:val="1"/>
                <w:wBefore w:w="719" w:type="dxa"/>
                <w:wAfter w:w="156" w:type="dxa"/>
                <w:trHeight w:val="375" w:hRule="atLeast"/>
              </w:trPr>
              <w:tc>
                <w:tcPr>
                  <w:tcW w:w="128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华文中宋" w:hAnsi="华文中宋" w:eastAsia="华文中宋" w:cs="华文中宋"/>
                      <w:b/>
                      <w:bCs/>
                      <w:sz w:val="24"/>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kern w:val="0"/>
                      <w:sz w:val="24"/>
                    </w:rPr>
                  </w:pPr>
                  <w:r>
                    <w:rPr>
                      <w:rFonts w:hint="eastAsia" w:ascii="宋体" w:hAnsi="宋体" w:cs="宋体"/>
                      <w:color w:val="000000"/>
                      <w:kern w:val="0"/>
                      <w:sz w:val="24"/>
                    </w:rPr>
                    <w:t>青浦</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3041</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4"/>
                    </w:rPr>
                    <w:t>524</w:t>
                  </w:r>
                </w:p>
              </w:tc>
              <w:tc>
                <w:tcPr>
                  <w:tcW w:w="881"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仿宋_GB2312" w:hAnsi="宋体" w:eastAsia="仿宋_GB2312" w:cs="仿宋_GB2312"/>
                      <w:sz w:val="24"/>
                    </w:rPr>
                  </w:pPr>
                </w:p>
              </w:tc>
            </w:tr>
            <w:tr>
              <w:tblPrEx>
                <w:tblCellMar>
                  <w:top w:w="0" w:type="dxa"/>
                  <w:left w:w="108" w:type="dxa"/>
                  <w:bottom w:w="0" w:type="dxa"/>
                  <w:right w:w="108" w:type="dxa"/>
                </w:tblCellMar>
              </w:tblPrEx>
              <w:trPr>
                <w:gridBefore w:val="1"/>
                <w:gridAfter w:val="1"/>
                <w:wBefore w:w="719" w:type="dxa"/>
                <w:wAfter w:w="156" w:type="dxa"/>
                <w:trHeight w:val="375" w:hRule="atLeast"/>
              </w:trPr>
              <w:tc>
                <w:tcPr>
                  <w:tcW w:w="128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华文中宋" w:hAnsi="华文中宋" w:eastAsia="华文中宋" w:cs="华文中宋"/>
                      <w:b/>
                      <w:bCs/>
                      <w:sz w:val="24"/>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sz w:val="24"/>
                    </w:rPr>
                  </w:pPr>
                  <w:r>
                    <w:rPr>
                      <w:rFonts w:hint="eastAsia" w:ascii="宋体" w:hAnsi="宋体" w:cs="宋体"/>
                      <w:color w:val="000000"/>
                      <w:kern w:val="0"/>
                      <w:sz w:val="24"/>
                    </w:rPr>
                    <w:t>虹口</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宋体" w:eastAsia="仿宋_GB2312" w:cs="仿宋_GB2312"/>
                      <w:sz w:val="24"/>
                    </w:rPr>
                  </w:pPr>
                  <w:r>
                    <w:rPr>
                      <w:rFonts w:hint="eastAsia" w:ascii="宋体" w:hAnsi="宋体" w:cs="宋体"/>
                      <w:color w:val="000000"/>
                      <w:kern w:val="0"/>
                      <w:sz w:val="24"/>
                    </w:rPr>
                    <w:t>203</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宋体" w:eastAsia="仿宋_GB2312" w:cs="仿宋_GB2312"/>
                      <w:sz w:val="24"/>
                    </w:rPr>
                  </w:pPr>
                  <w:r>
                    <w:rPr>
                      <w:rFonts w:hint="eastAsia" w:ascii="宋体" w:hAnsi="宋体" w:cs="宋体"/>
                      <w:color w:val="000000"/>
                      <w:kern w:val="0"/>
                      <w:sz w:val="24"/>
                    </w:rPr>
                    <w:t>427</w:t>
                  </w:r>
                </w:p>
              </w:tc>
              <w:tc>
                <w:tcPr>
                  <w:tcW w:w="881"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仿宋_GB2312" w:hAnsi="宋体" w:eastAsia="仿宋_GB2312" w:cs="仿宋_GB2312"/>
                      <w:sz w:val="24"/>
                    </w:rPr>
                  </w:pPr>
                </w:p>
              </w:tc>
            </w:tr>
            <w:tr>
              <w:tblPrEx>
                <w:tblCellMar>
                  <w:top w:w="0" w:type="dxa"/>
                  <w:left w:w="108" w:type="dxa"/>
                  <w:bottom w:w="0" w:type="dxa"/>
                  <w:right w:w="108" w:type="dxa"/>
                </w:tblCellMar>
              </w:tblPrEx>
              <w:trPr>
                <w:gridBefore w:val="1"/>
                <w:gridAfter w:val="1"/>
                <w:wBefore w:w="719" w:type="dxa"/>
                <w:wAfter w:w="156" w:type="dxa"/>
                <w:trHeight w:val="375" w:hRule="atLeast"/>
              </w:trPr>
              <w:tc>
                <w:tcPr>
                  <w:tcW w:w="128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华文中宋" w:hAnsi="华文中宋" w:eastAsia="华文中宋" w:cs="华文中宋"/>
                      <w:b/>
                      <w:bCs/>
                      <w:sz w:val="24"/>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b/>
                      <w:bCs/>
                      <w:sz w:val="24"/>
                    </w:rPr>
                  </w:pPr>
                  <w:r>
                    <w:rPr>
                      <w:rFonts w:hint="eastAsia" w:ascii="宋体" w:hAnsi="宋体" w:cs="宋体"/>
                      <w:b/>
                      <w:bCs/>
                      <w:color w:val="000000"/>
                      <w:kern w:val="0"/>
                      <w:sz w:val="24"/>
                    </w:rPr>
                    <w:t>小计</w:t>
                  </w:r>
                </w:p>
              </w:tc>
              <w:tc>
                <w:tcPr>
                  <w:tcW w:w="16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宋体" w:eastAsia="仿宋_GB2312" w:cs="仿宋_GB2312"/>
                      <w:b/>
                      <w:bCs/>
                      <w:sz w:val="24"/>
                    </w:rPr>
                  </w:pPr>
                  <w:r>
                    <w:rPr>
                      <w:rFonts w:hint="eastAsia" w:ascii="宋体" w:hAnsi="宋体" w:cs="宋体"/>
                      <w:b/>
                      <w:bCs/>
                      <w:color w:val="000000"/>
                      <w:kern w:val="0"/>
                      <w:sz w:val="24"/>
                    </w:rPr>
                    <w:t>9633</w:t>
                  </w:r>
                </w:p>
              </w:tc>
              <w:tc>
                <w:tcPr>
                  <w:tcW w:w="2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_GB2312" w:hAnsi="宋体" w:eastAsia="仿宋_GB2312" w:cs="仿宋_GB2312"/>
                      <w:b/>
                      <w:bCs/>
                      <w:sz w:val="24"/>
                    </w:rPr>
                  </w:pPr>
                  <w:r>
                    <w:rPr>
                      <w:rFonts w:hint="eastAsia" w:ascii="宋体" w:hAnsi="宋体" w:cs="宋体"/>
                      <w:b/>
                      <w:bCs/>
                      <w:color w:val="000000"/>
                      <w:kern w:val="0"/>
                      <w:sz w:val="24"/>
                    </w:rPr>
                    <w:t>2752</w:t>
                  </w:r>
                </w:p>
              </w:tc>
              <w:tc>
                <w:tcPr>
                  <w:tcW w:w="881"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仿宋_GB2312" w:hAnsi="宋体" w:eastAsia="仿宋_GB2312" w:cs="仿宋_GB2312"/>
                      <w:sz w:val="24"/>
                    </w:rPr>
                  </w:pPr>
                </w:p>
              </w:tc>
            </w:tr>
            <w:tr>
              <w:tblPrEx>
                <w:tblCellMar>
                  <w:top w:w="0" w:type="dxa"/>
                  <w:left w:w="108" w:type="dxa"/>
                  <w:bottom w:w="0" w:type="dxa"/>
                  <w:right w:w="108" w:type="dxa"/>
                </w:tblCellMar>
              </w:tblPrEx>
              <w:trPr>
                <w:gridBefore w:val="1"/>
                <w:gridAfter w:val="1"/>
                <w:wBefore w:w="719" w:type="dxa"/>
                <w:wAfter w:w="156" w:type="dxa"/>
                <w:trHeight w:val="525" w:hRule="atLeast"/>
              </w:trPr>
              <w:tc>
                <w:tcPr>
                  <w:tcW w:w="2736" w:type="dxa"/>
                  <w:gridSpan w:val="2"/>
                  <w:tcBorders>
                    <w:top w:val="single" w:color="000000" w:sz="4" w:space="0"/>
                    <w:left w:val="single" w:color="000000" w:sz="8" w:space="0"/>
                    <w:bottom w:val="single" w:color="000000" w:sz="8"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rPr>
                    <w:t>总计</w:t>
                  </w:r>
                </w:p>
              </w:tc>
              <w:tc>
                <w:tcPr>
                  <w:tcW w:w="1665" w:type="dxa"/>
                  <w:tcBorders>
                    <w:top w:val="single" w:color="000000" w:sz="4" w:space="0"/>
                    <w:left w:val="single" w:color="000000" w:sz="4" w:space="0"/>
                    <w:bottom w:val="single" w:color="000000" w:sz="8" w:space="0"/>
                    <w:right w:val="single" w:color="000000" w:sz="4" w:space="0"/>
                  </w:tcBorders>
                  <w:shd w:val="clear" w:color="auto" w:fill="FFFFFF"/>
                  <w:noWrap/>
                  <w:vAlign w:val="center"/>
                </w:tcPr>
                <w:p>
                  <w:pPr>
                    <w:widowControl/>
                    <w:jc w:val="center"/>
                    <w:textAlignment w:val="center"/>
                    <w:rPr>
                      <w:rFonts w:ascii="仿宋_GB2312" w:hAnsi="宋体" w:eastAsia="仿宋_GB2312" w:cs="仿宋_GB2312"/>
                      <w:b/>
                      <w:bCs/>
                      <w:sz w:val="24"/>
                    </w:rPr>
                  </w:pPr>
                  <w:r>
                    <w:rPr>
                      <w:rFonts w:hint="eastAsia" w:ascii="宋体" w:hAnsi="宋体" w:cs="宋体"/>
                      <w:color w:val="000000"/>
                      <w:kern w:val="0"/>
                      <w:sz w:val="22"/>
                      <w:szCs w:val="22"/>
                    </w:rPr>
                    <w:t>31313</w:t>
                  </w:r>
                </w:p>
              </w:tc>
              <w:tc>
                <w:tcPr>
                  <w:tcW w:w="2655" w:type="dxa"/>
                  <w:tcBorders>
                    <w:top w:val="single" w:color="000000" w:sz="4" w:space="0"/>
                    <w:left w:val="single" w:color="000000" w:sz="4" w:space="0"/>
                    <w:bottom w:val="single" w:color="000000" w:sz="8" w:space="0"/>
                    <w:right w:val="single" w:color="000000" w:sz="4" w:space="0"/>
                  </w:tcBorders>
                  <w:shd w:val="clear" w:color="auto" w:fill="FFFFFF"/>
                  <w:noWrap/>
                  <w:vAlign w:val="center"/>
                </w:tcPr>
                <w:p>
                  <w:pPr>
                    <w:widowControl/>
                    <w:jc w:val="center"/>
                    <w:textAlignment w:val="center"/>
                    <w:rPr>
                      <w:rFonts w:ascii="仿宋_GB2312" w:hAnsi="宋体" w:eastAsia="仿宋_GB2312" w:cs="仿宋_GB2312"/>
                      <w:b/>
                      <w:bCs/>
                      <w:sz w:val="24"/>
                    </w:rPr>
                  </w:pPr>
                  <w:r>
                    <w:rPr>
                      <w:rFonts w:hint="eastAsia" w:ascii="宋体" w:hAnsi="宋体" w:cs="宋体"/>
                      <w:color w:val="000000"/>
                      <w:kern w:val="0"/>
                      <w:sz w:val="22"/>
                      <w:szCs w:val="22"/>
                    </w:rPr>
                    <w:t>8164</w:t>
                  </w:r>
                </w:p>
              </w:tc>
              <w:tc>
                <w:tcPr>
                  <w:tcW w:w="881" w:type="dxa"/>
                  <w:tcBorders>
                    <w:top w:val="single" w:color="000000" w:sz="4" w:space="0"/>
                    <w:left w:val="single" w:color="000000" w:sz="4" w:space="0"/>
                    <w:bottom w:val="single" w:color="000000" w:sz="8" w:space="0"/>
                    <w:right w:val="single" w:color="000000" w:sz="8" w:space="0"/>
                  </w:tcBorders>
                  <w:shd w:val="clear" w:color="auto" w:fill="FFFFFF"/>
                  <w:noWrap/>
                  <w:vAlign w:val="center"/>
                </w:tcPr>
                <w:p>
                  <w:pPr>
                    <w:widowControl/>
                    <w:jc w:val="center"/>
                    <w:textAlignment w:val="center"/>
                    <w:rPr>
                      <w:rFonts w:ascii="仿宋_GB2312" w:hAnsi="宋体" w:eastAsia="仿宋_GB2312" w:cs="仿宋_GB2312"/>
                      <w:b/>
                      <w:bCs/>
                      <w:sz w:val="24"/>
                    </w:rPr>
                  </w:pPr>
                </w:p>
              </w:tc>
            </w:tr>
          </w:tbl>
          <w:p>
            <w:pPr>
              <w:widowControl/>
              <w:jc w:val="left"/>
              <w:rPr>
                <w:rFonts w:ascii="仿宋_GB2312" w:hAnsi="宋体" w:eastAsia="仿宋_GB2312" w:cs="宋体"/>
                <w:kern w:val="0"/>
                <w:szCs w:val="21"/>
              </w:rPr>
            </w:pPr>
          </w:p>
        </w:tc>
      </w:tr>
    </w:tbl>
    <w:p>
      <w:pPr>
        <w:widowControl/>
        <w:shd w:val="clear" w:color="auto" w:fill="FFFFFF"/>
        <w:spacing w:line="360" w:lineRule="auto"/>
        <w:ind w:firstLine="600" w:firstLineChars="250"/>
        <w:jc w:val="left"/>
        <w:rPr>
          <w:rFonts w:ascii="宋体" w:hAnsi="宋体" w:cs="宋体"/>
          <w:kern w:val="0"/>
          <w:sz w:val="24"/>
        </w:rPr>
      </w:pPr>
    </w:p>
    <w:p>
      <w:pPr>
        <w:widowControl/>
        <w:shd w:val="clear" w:color="auto" w:fill="FFFFFF"/>
        <w:spacing w:line="360" w:lineRule="auto"/>
        <w:ind w:firstLine="600" w:firstLineChars="250"/>
        <w:jc w:val="left"/>
        <w:rPr>
          <w:rFonts w:ascii="宋体" w:hAnsi="宋体" w:cs="宋体"/>
          <w:kern w:val="0"/>
          <w:sz w:val="24"/>
        </w:rPr>
      </w:pPr>
      <w:r>
        <w:rPr>
          <w:rFonts w:hint="eastAsia" w:ascii="宋体" w:hAnsi="宋体" w:cs="宋体"/>
          <w:kern w:val="0"/>
          <w:sz w:val="24"/>
        </w:rPr>
        <w:t>2.中标供应商应结合工作需要，按照“保单时间不中断、保险保障不中断、出险理赔不中断”的原则，提前准备向承保片区内居家社区养老服务机构提供2025年10月1日起至合同签订之日期间的保险服务衔接方案，保险服务内容应与本采购项目内容一致。</w:t>
      </w:r>
    </w:p>
    <w:p>
      <w:pPr>
        <w:widowControl/>
        <w:shd w:val="clear" w:color="auto" w:fill="FFFFFF"/>
        <w:spacing w:line="360" w:lineRule="auto"/>
        <w:ind w:firstLine="600" w:firstLineChars="250"/>
        <w:jc w:val="left"/>
        <w:rPr>
          <w:rFonts w:ascii="宋体" w:hAnsi="宋体" w:cs="宋体"/>
          <w:kern w:val="0"/>
          <w:sz w:val="24"/>
        </w:rPr>
      </w:pPr>
      <w:r>
        <w:rPr>
          <w:rFonts w:hint="eastAsia" w:ascii="宋体" w:hAnsi="宋体" w:cs="宋体"/>
          <w:kern w:val="0"/>
          <w:sz w:val="24"/>
        </w:rPr>
        <w:t>3.统筹保障</w:t>
      </w:r>
    </w:p>
    <w:p>
      <w:pPr>
        <w:widowControl/>
        <w:shd w:val="clear" w:color="auto" w:fill="FFFFFF"/>
        <w:spacing w:line="360" w:lineRule="auto"/>
        <w:ind w:firstLine="600" w:firstLineChars="250"/>
        <w:jc w:val="left"/>
        <w:rPr>
          <w:rFonts w:ascii="宋体" w:hAnsi="宋体" w:cs="宋体"/>
          <w:kern w:val="0"/>
          <w:sz w:val="24"/>
        </w:rPr>
      </w:pPr>
      <w:r>
        <w:rPr>
          <w:rFonts w:hint="eastAsia" w:ascii="宋体" w:hAnsi="宋体" w:cs="宋体"/>
          <w:kern w:val="0"/>
          <w:sz w:val="24"/>
        </w:rPr>
        <w:t>（1）家门口养老服务站、社区睦邻点、老年活动室三类养老服务场所因单个设施体量小、总点位数多、风险总体较小，中标供应商应当将承包片区内上述三类场所，统筹纳入承保范围内，上述三类场所出险时可以所在区民政局出具的证明为准。</w:t>
      </w:r>
    </w:p>
    <w:p>
      <w:pPr>
        <w:widowControl/>
        <w:shd w:val="clear" w:color="auto" w:fill="FFFFFF"/>
        <w:spacing w:line="360" w:lineRule="auto"/>
        <w:ind w:firstLine="600" w:firstLineChars="250"/>
        <w:jc w:val="left"/>
        <w:rPr>
          <w:rFonts w:ascii="宋体" w:hAnsi="宋体" w:cs="宋体"/>
          <w:kern w:val="0"/>
          <w:sz w:val="24"/>
        </w:rPr>
      </w:pPr>
      <w:r>
        <w:rPr>
          <w:rFonts w:hint="eastAsia" w:ascii="宋体" w:hAnsi="宋体" w:cs="宋体"/>
          <w:kern w:val="0"/>
          <w:sz w:val="24"/>
        </w:rPr>
        <w:t>（2）居家社区养老服务机构所属服务人员因人员流动等原因，在投保时提供的人员清单以外的服务人员，应当按照不记名方式统筹纳入承保范围内，出险时以被保险人单位出具的证明为准。</w:t>
      </w:r>
    </w:p>
    <w:p>
      <w:pPr>
        <w:widowControl/>
        <w:shd w:val="clear" w:color="auto" w:fill="FFFFFF"/>
        <w:spacing w:line="360" w:lineRule="auto"/>
        <w:ind w:firstLine="523" w:firstLineChars="217"/>
        <w:jc w:val="left"/>
        <w:rPr>
          <w:rFonts w:ascii="宋体" w:hAnsi="宋体" w:cs="宋体"/>
          <w:b/>
          <w:kern w:val="0"/>
          <w:sz w:val="24"/>
        </w:rPr>
      </w:pPr>
      <w:r>
        <w:rPr>
          <w:rFonts w:hint="eastAsia" w:ascii="宋体" w:hAnsi="宋体" w:cs="宋体"/>
          <w:b/>
          <w:kern w:val="0"/>
          <w:sz w:val="24"/>
        </w:rPr>
        <w:t>五、服务要求</w:t>
      </w:r>
    </w:p>
    <w:p>
      <w:pPr>
        <w:widowControl/>
        <w:shd w:val="clear" w:color="auto" w:fill="FFFFFF"/>
        <w:spacing w:line="360" w:lineRule="auto"/>
        <w:ind w:firstLine="640" w:firstLineChars="267"/>
        <w:jc w:val="left"/>
        <w:rPr>
          <w:rFonts w:ascii="宋体" w:hAnsi="宋体" w:cs="宋体"/>
          <w:kern w:val="0"/>
          <w:sz w:val="24"/>
        </w:rPr>
      </w:pPr>
      <w:r>
        <w:rPr>
          <w:rFonts w:hint="eastAsia" w:ascii="宋体" w:hAnsi="宋体" w:cs="宋体"/>
          <w:kern w:val="0"/>
          <w:sz w:val="24"/>
        </w:rPr>
        <w:t>1、成立项目服务工作组</w:t>
      </w:r>
    </w:p>
    <w:p>
      <w:pPr>
        <w:widowControl/>
        <w:shd w:val="clear" w:color="auto" w:fill="FFFFFF"/>
        <w:spacing w:line="360" w:lineRule="auto"/>
        <w:ind w:firstLine="600" w:firstLineChars="250"/>
        <w:jc w:val="left"/>
        <w:rPr>
          <w:rFonts w:ascii="宋体" w:hAnsi="宋体" w:cs="宋体"/>
          <w:kern w:val="0"/>
          <w:sz w:val="24"/>
        </w:rPr>
      </w:pPr>
      <w:r>
        <w:rPr>
          <w:rFonts w:hint="eastAsia" w:ascii="宋体" w:hAnsi="宋体" w:cs="宋体"/>
          <w:kern w:val="0"/>
          <w:sz w:val="24"/>
        </w:rPr>
        <w:t>（1）工作组应具备为老（养老）服务行业的承保和理赔服务经验。</w:t>
      </w:r>
    </w:p>
    <w:p>
      <w:pPr>
        <w:autoSpaceDE w:val="0"/>
        <w:autoSpaceDN w:val="0"/>
        <w:adjustRightInd w:val="0"/>
        <w:spacing w:line="360" w:lineRule="auto"/>
        <w:ind w:left="359" w:leftChars="171" w:firstLine="240" w:firstLineChars="100"/>
        <w:jc w:val="left"/>
        <w:rPr>
          <w:rFonts w:ascii="宋体" w:hAnsi="宋体"/>
          <w:sz w:val="24"/>
        </w:rPr>
      </w:pPr>
      <w:r>
        <w:rPr>
          <w:rFonts w:hint="eastAsia" w:ascii="宋体" w:hAnsi="宋体" w:cs="宋体"/>
          <w:kern w:val="0"/>
          <w:sz w:val="24"/>
        </w:rPr>
        <w:t>（2）</w:t>
      </w:r>
      <w:r>
        <w:rPr>
          <w:rFonts w:hint="eastAsia" w:ascii="宋体" w:hAnsi="宋体"/>
          <w:sz w:val="24"/>
        </w:rPr>
        <w:t>常设服务工作组与应急工作组，应24小时电话接报案, 常设工作组主要处理日常保险事宜，解决承保、理赔、咨询、风险管理、接受投诉与建议等工作；应急工作组主要在发生各类突发性事件和紧急情况时发挥作用，包括启动重大保险事故处理预案等。</w:t>
      </w:r>
    </w:p>
    <w:p>
      <w:pPr>
        <w:autoSpaceDE w:val="0"/>
        <w:autoSpaceDN w:val="0"/>
        <w:adjustRightInd w:val="0"/>
        <w:spacing w:line="360" w:lineRule="auto"/>
        <w:ind w:left="359" w:leftChars="171" w:firstLine="240" w:firstLineChars="100"/>
        <w:jc w:val="left"/>
        <w:rPr>
          <w:rFonts w:ascii="宋体" w:hAnsi="宋体"/>
          <w:kern w:val="0"/>
          <w:sz w:val="24"/>
        </w:rPr>
      </w:pPr>
      <w:r>
        <w:rPr>
          <w:rFonts w:hint="eastAsia" w:ascii="宋体" w:hAnsi="宋体"/>
          <w:sz w:val="24"/>
        </w:rPr>
        <w:t>（3）常设工作组、应急工作组人员均不得少于</w:t>
      </w:r>
      <w:r>
        <w:rPr>
          <w:rFonts w:ascii="宋体" w:hAnsi="宋体"/>
          <w:sz w:val="24"/>
        </w:rPr>
        <w:t>5人</w:t>
      </w:r>
      <w:r>
        <w:rPr>
          <w:rFonts w:hint="eastAsia" w:ascii="宋体" w:hAnsi="宋体"/>
          <w:sz w:val="24"/>
        </w:rPr>
        <w:t>，并保证</w:t>
      </w:r>
      <w:r>
        <w:rPr>
          <w:rFonts w:hint="eastAsia" w:ascii="宋体" w:hAnsi="宋体"/>
          <w:kern w:val="0"/>
          <w:sz w:val="24"/>
        </w:rPr>
        <w:t>质量；</w:t>
      </w:r>
      <w:r>
        <w:rPr>
          <w:rFonts w:ascii="宋体" w:hAnsi="宋体"/>
          <w:sz w:val="24"/>
        </w:rPr>
        <w:t>应将工作组人员直线电话及移动电话的联系方式以书面形式通知</w:t>
      </w:r>
      <w:r>
        <w:rPr>
          <w:rFonts w:hint="eastAsia" w:ascii="宋体" w:hAnsi="宋体"/>
          <w:sz w:val="24"/>
        </w:rPr>
        <w:t>招标人和被保险人</w:t>
      </w:r>
      <w:r>
        <w:rPr>
          <w:rFonts w:hint="eastAsia" w:ascii="宋体" w:hAnsi="宋体"/>
          <w:kern w:val="0"/>
          <w:sz w:val="24"/>
        </w:rPr>
        <w:t>。</w:t>
      </w:r>
    </w:p>
    <w:p>
      <w:pPr>
        <w:autoSpaceDE w:val="0"/>
        <w:autoSpaceDN w:val="0"/>
        <w:adjustRightInd w:val="0"/>
        <w:spacing w:line="360" w:lineRule="auto"/>
        <w:ind w:firstLine="840" w:firstLineChars="350"/>
        <w:jc w:val="left"/>
        <w:rPr>
          <w:rFonts w:ascii="宋体" w:hAnsi="宋体"/>
          <w:kern w:val="0"/>
          <w:sz w:val="24"/>
        </w:rPr>
      </w:pPr>
      <w:r>
        <w:rPr>
          <w:rFonts w:hint="eastAsia" w:ascii="宋体" w:hAnsi="宋体" w:cs="宋体"/>
          <w:kern w:val="0"/>
          <w:sz w:val="24"/>
        </w:rPr>
        <w:t>2、提供优质的</w:t>
      </w:r>
      <w:r>
        <w:rPr>
          <w:rFonts w:hint="eastAsia" w:ascii="宋体" w:hAnsi="宋体"/>
          <w:kern w:val="0"/>
          <w:sz w:val="24"/>
        </w:rPr>
        <w:t>投保服务</w:t>
      </w:r>
    </w:p>
    <w:p>
      <w:pPr>
        <w:autoSpaceDE w:val="0"/>
        <w:autoSpaceDN w:val="0"/>
        <w:adjustRightInd w:val="0"/>
        <w:spacing w:line="360" w:lineRule="auto"/>
        <w:ind w:left="359" w:leftChars="171" w:firstLine="240" w:firstLineChars="100"/>
        <w:jc w:val="left"/>
        <w:rPr>
          <w:rFonts w:ascii="宋体" w:hAnsi="宋体"/>
          <w:kern w:val="0"/>
          <w:sz w:val="24"/>
        </w:rPr>
      </w:pPr>
      <w:r>
        <w:rPr>
          <w:rFonts w:hint="eastAsia" w:ascii="宋体" w:hAnsi="宋体"/>
          <w:kern w:val="0"/>
          <w:sz w:val="24"/>
        </w:rPr>
        <w:t>（1）中标供应商应为投保人提供便捷的投保服务，尽可能简化投保程序；但对于在投保之初需提供的足以影响理赔进程及结果的各项投保资料，中标供应商须向招标人告知要求投保人悉数提供；</w:t>
      </w:r>
    </w:p>
    <w:p>
      <w:pPr>
        <w:autoSpaceDE w:val="0"/>
        <w:autoSpaceDN w:val="0"/>
        <w:adjustRightInd w:val="0"/>
        <w:spacing w:line="360" w:lineRule="auto"/>
        <w:ind w:left="359" w:leftChars="171" w:firstLine="240" w:firstLineChars="100"/>
        <w:jc w:val="left"/>
        <w:rPr>
          <w:rFonts w:ascii="宋体" w:hAnsi="宋体"/>
          <w:kern w:val="0"/>
          <w:sz w:val="24"/>
        </w:rPr>
      </w:pPr>
      <w:r>
        <w:rPr>
          <w:rFonts w:hint="eastAsia" w:ascii="宋体" w:hAnsi="宋体"/>
          <w:kern w:val="0"/>
          <w:sz w:val="24"/>
        </w:rPr>
        <w:t>（2）中标供应商自《中标通知书》发出之日起30天内与招标人签订中标合同和保险合同。</w:t>
      </w:r>
    </w:p>
    <w:p>
      <w:pPr>
        <w:autoSpaceDE w:val="0"/>
        <w:autoSpaceDN w:val="0"/>
        <w:adjustRightInd w:val="0"/>
        <w:spacing w:line="360" w:lineRule="auto"/>
        <w:ind w:firstLine="840" w:firstLineChars="350"/>
        <w:jc w:val="left"/>
        <w:rPr>
          <w:rFonts w:ascii="宋体" w:hAnsi="宋体"/>
          <w:kern w:val="0"/>
          <w:sz w:val="24"/>
        </w:rPr>
      </w:pPr>
      <w:r>
        <w:rPr>
          <w:rFonts w:hint="eastAsia" w:ascii="宋体" w:hAnsi="宋体" w:cs="宋体"/>
          <w:kern w:val="0"/>
          <w:sz w:val="24"/>
        </w:rPr>
        <w:t>3、提供优质的</w:t>
      </w:r>
      <w:r>
        <w:rPr>
          <w:rFonts w:hint="eastAsia" w:ascii="宋体" w:hAnsi="宋体"/>
          <w:kern w:val="0"/>
          <w:sz w:val="24"/>
        </w:rPr>
        <w:t>理赔服务</w:t>
      </w:r>
    </w:p>
    <w:p>
      <w:pPr>
        <w:autoSpaceDE w:val="0"/>
        <w:autoSpaceDN w:val="0"/>
        <w:adjustRightInd w:val="0"/>
        <w:spacing w:line="360" w:lineRule="auto"/>
        <w:ind w:left="359" w:leftChars="171" w:firstLine="240" w:firstLineChars="100"/>
        <w:jc w:val="left"/>
        <w:rPr>
          <w:rFonts w:ascii="宋体" w:hAnsi="宋体"/>
          <w:kern w:val="0"/>
          <w:sz w:val="24"/>
        </w:rPr>
      </w:pPr>
      <w:r>
        <w:rPr>
          <w:rFonts w:hint="eastAsia" w:ascii="宋体" w:hAnsi="宋体"/>
          <w:sz w:val="24"/>
        </w:rPr>
        <w:t>（1）中标供应商应提供365天、24小时全天候热线电话接报案之外，还应保证常设工作组人员365天、24小时手机畅通，保证应急工作组人员在接到报案后第一时间内到达事故现场</w:t>
      </w:r>
      <w:r>
        <w:rPr>
          <w:rFonts w:hint="eastAsia" w:ascii="宋体" w:hAnsi="宋体"/>
          <w:kern w:val="0"/>
          <w:sz w:val="24"/>
        </w:rPr>
        <w:t>。</w:t>
      </w:r>
    </w:p>
    <w:p>
      <w:pPr>
        <w:autoSpaceDE w:val="0"/>
        <w:autoSpaceDN w:val="0"/>
        <w:adjustRightInd w:val="0"/>
        <w:spacing w:line="360" w:lineRule="auto"/>
        <w:ind w:left="359" w:leftChars="171" w:firstLine="240" w:firstLineChars="100"/>
        <w:jc w:val="left"/>
        <w:rPr>
          <w:rFonts w:ascii="宋体" w:hAnsi="宋体"/>
          <w:kern w:val="0"/>
          <w:sz w:val="24"/>
        </w:rPr>
      </w:pPr>
      <w:r>
        <w:rPr>
          <w:rFonts w:hint="eastAsia" w:ascii="宋体" w:hAnsi="宋体"/>
          <w:kern w:val="0"/>
          <w:sz w:val="24"/>
        </w:rPr>
        <w:t>（2）需要查勘的保险事故,由被保险人陪同查勘，拍摄现场照片，收集必要的理赔单证；紧急事故被保险人可先处理事故再报案，遇重大事故市区1小时内</w:t>
      </w:r>
      <w:r>
        <w:rPr>
          <w:rFonts w:hint="eastAsia" w:ascii="宋体" w:hAnsi="宋体"/>
          <w:sz w:val="24"/>
        </w:rPr>
        <w:t>中标供应商到达</w:t>
      </w:r>
      <w:r>
        <w:rPr>
          <w:rFonts w:hint="eastAsia" w:ascii="宋体" w:hAnsi="宋体"/>
          <w:kern w:val="0"/>
          <w:sz w:val="24"/>
        </w:rPr>
        <w:t>查勘。</w:t>
      </w:r>
    </w:p>
    <w:p>
      <w:pPr>
        <w:autoSpaceDE w:val="0"/>
        <w:autoSpaceDN w:val="0"/>
        <w:adjustRightInd w:val="0"/>
        <w:spacing w:line="360" w:lineRule="auto"/>
        <w:ind w:firstLine="600" w:firstLineChars="250"/>
        <w:jc w:val="left"/>
        <w:rPr>
          <w:rFonts w:ascii="宋体" w:hAnsi="宋体"/>
          <w:kern w:val="0"/>
          <w:sz w:val="24"/>
        </w:rPr>
      </w:pPr>
      <w:r>
        <w:rPr>
          <w:rFonts w:hint="eastAsia" w:ascii="宋体" w:hAnsi="宋体" w:cs="宋体"/>
          <w:kern w:val="0"/>
          <w:sz w:val="24"/>
        </w:rPr>
        <w:t>（3）</w:t>
      </w:r>
      <w:r>
        <w:rPr>
          <w:rFonts w:hint="eastAsia" w:ascii="宋体" w:hAnsi="宋体"/>
          <w:kern w:val="0"/>
          <w:sz w:val="24"/>
        </w:rPr>
        <w:t>接出险通知后，及时调查取证；配合制定应急措施，防止损失扩大。</w:t>
      </w:r>
    </w:p>
    <w:p>
      <w:pPr>
        <w:autoSpaceDE w:val="0"/>
        <w:autoSpaceDN w:val="0"/>
        <w:adjustRightInd w:val="0"/>
        <w:spacing w:line="360" w:lineRule="auto"/>
        <w:ind w:left="359" w:leftChars="171" w:firstLine="240" w:firstLineChars="100"/>
        <w:jc w:val="left"/>
        <w:rPr>
          <w:rFonts w:ascii="宋体" w:hAnsi="宋体"/>
          <w:kern w:val="0"/>
          <w:sz w:val="24"/>
        </w:rPr>
      </w:pPr>
      <w:r>
        <w:rPr>
          <w:rFonts w:hint="eastAsia" w:ascii="宋体" w:hAnsi="宋体"/>
          <w:kern w:val="0"/>
          <w:sz w:val="24"/>
        </w:rPr>
        <w:t>（4）与居家社区养老服务机构保持沟通，进行接报案、索赔受理、材料交接、咨询等相关服务工作，随时跟踪事故处理进展。</w:t>
      </w:r>
    </w:p>
    <w:p>
      <w:pPr>
        <w:autoSpaceDE w:val="0"/>
        <w:autoSpaceDN w:val="0"/>
        <w:adjustRightInd w:val="0"/>
        <w:spacing w:line="360" w:lineRule="auto"/>
        <w:ind w:left="359" w:leftChars="171" w:firstLine="240" w:firstLineChars="100"/>
        <w:jc w:val="left"/>
        <w:rPr>
          <w:rFonts w:ascii="宋体" w:hAnsi="宋体"/>
          <w:kern w:val="0"/>
          <w:sz w:val="24"/>
        </w:rPr>
      </w:pPr>
      <w:r>
        <w:rPr>
          <w:rFonts w:hint="eastAsia" w:ascii="宋体" w:hAnsi="宋体"/>
          <w:kern w:val="0"/>
          <w:sz w:val="24"/>
        </w:rPr>
        <w:t>（5）设专人理赔制度，</w:t>
      </w:r>
      <w:r>
        <w:rPr>
          <w:rFonts w:hint="eastAsia" w:ascii="宋体" w:hAnsi="宋体"/>
          <w:sz w:val="24"/>
        </w:rPr>
        <w:t>固定核赔人负责被保险人核赔工作，</w:t>
      </w:r>
      <w:r>
        <w:rPr>
          <w:rFonts w:hint="eastAsia" w:ascii="宋体" w:hAnsi="宋体"/>
          <w:kern w:val="0"/>
          <w:sz w:val="24"/>
        </w:rPr>
        <w:t>简化理赔流程、环节，设立理赔绿色通道，使赔案在各环节上得到优先处理。</w:t>
      </w:r>
    </w:p>
    <w:p>
      <w:pPr>
        <w:autoSpaceDE w:val="0"/>
        <w:autoSpaceDN w:val="0"/>
        <w:adjustRightInd w:val="0"/>
        <w:spacing w:line="360" w:lineRule="auto"/>
        <w:ind w:left="359" w:leftChars="171" w:firstLine="240" w:firstLineChars="100"/>
        <w:jc w:val="left"/>
        <w:rPr>
          <w:rFonts w:ascii="宋体" w:hAnsi="宋体"/>
          <w:kern w:val="0"/>
          <w:sz w:val="24"/>
        </w:rPr>
      </w:pPr>
      <w:r>
        <w:rPr>
          <w:rFonts w:hint="eastAsia" w:ascii="宋体" w:hAnsi="宋体"/>
          <w:kern w:val="0"/>
          <w:sz w:val="24"/>
        </w:rPr>
        <w:t>（6）一次性以书面形式告知被保险人理赔所需单证；协助投保人取得各种理赔单证。</w:t>
      </w:r>
    </w:p>
    <w:p>
      <w:pPr>
        <w:autoSpaceDE w:val="0"/>
        <w:autoSpaceDN w:val="0"/>
        <w:adjustRightInd w:val="0"/>
        <w:spacing w:line="360" w:lineRule="auto"/>
        <w:ind w:left="359" w:leftChars="171" w:firstLine="240" w:firstLineChars="100"/>
        <w:jc w:val="left"/>
        <w:rPr>
          <w:rFonts w:ascii="宋体" w:hAnsi="宋体"/>
          <w:sz w:val="24"/>
        </w:rPr>
      </w:pPr>
      <w:r>
        <w:rPr>
          <w:rFonts w:hint="eastAsia" w:ascii="宋体" w:hAnsi="宋体"/>
          <w:kern w:val="0"/>
          <w:sz w:val="24"/>
        </w:rPr>
        <w:t>（7）接受投保人、被保险人的</w:t>
      </w:r>
      <w:r>
        <w:rPr>
          <w:rFonts w:hint="eastAsia" w:ascii="宋体" w:hAnsi="宋体"/>
          <w:sz w:val="24"/>
        </w:rPr>
        <w:t>赔案询问</w:t>
      </w:r>
      <w:r>
        <w:rPr>
          <w:rFonts w:hint="eastAsia" w:ascii="宋体" w:hAnsi="宋体"/>
          <w:kern w:val="0"/>
          <w:sz w:val="24"/>
        </w:rPr>
        <w:t>，以书面形式随时告知索赔案件的进展情况。</w:t>
      </w:r>
    </w:p>
    <w:p>
      <w:pPr>
        <w:autoSpaceDE w:val="0"/>
        <w:autoSpaceDN w:val="0"/>
        <w:adjustRightInd w:val="0"/>
        <w:spacing w:line="360" w:lineRule="auto"/>
        <w:ind w:left="359" w:leftChars="171" w:firstLine="240" w:firstLineChars="100"/>
        <w:jc w:val="left"/>
        <w:rPr>
          <w:rFonts w:ascii="宋体" w:hAnsi="宋体"/>
          <w:kern w:val="0"/>
          <w:sz w:val="24"/>
        </w:rPr>
      </w:pPr>
      <w:r>
        <w:rPr>
          <w:rFonts w:hint="eastAsia" w:ascii="宋体" w:hAnsi="宋体"/>
          <w:kern w:val="0"/>
          <w:sz w:val="24"/>
        </w:rPr>
        <w:t>（8）对索赔资料齐全的案子，应在10个工作日内作出明确的核算理赔金额并支付赔款。</w:t>
      </w:r>
    </w:p>
    <w:p>
      <w:pPr>
        <w:autoSpaceDE w:val="0"/>
        <w:autoSpaceDN w:val="0"/>
        <w:adjustRightInd w:val="0"/>
        <w:spacing w:line="360" w:lineRule="auto"/>
        <w:ind w:firstLine="600" w:firstLineChars="250"/>
        <w:jc w:val="left"/>
        <w:rPr>
          <w:rFonts w:ascii="宋体" w:hAnsi="宋体"/>
          <w:kern w:val="0"/>
          <w:sz w:val="24"/>
        </w:rPr>
      </w:pPr>
      <w:r>
        <w:rPr>
          <w:rFonts w:hint="eastAsia" w:ascii="宋体" w:hAnsi="宋体"/>
          <w:kern w:val="0"/>
          <w:sz w:val="24"/>
        </w:rPr>
        <w:t>（9）人伤事故先行预付赔款，提供医疗费垫付服务。</w:t>
      </w:r>
    </w:p>
    <w:p>
      <w:pPr>
        <w:autoSpaceDE w:val="0"/>
        <w:autoSpaceDN w:val="0"/>
        <w:adjustRightInd w:val="0"/>
        <w:spacing w:line="360" w:lineRule="auto"/>
        <w:ind w:left="359" w:leftChars="171" w:firstLine="240" w:firstLineChars="100"/>
        <w:jc w:val="left"/>
        <w:rPr>
          <w:rFonts w:ascii="宋体" w:hAnsi="宋体"/>
          <w:kern w:val="0"/>
          <w:sz w:val="24"/>
        </w:rPr>
      </w:pPr>
      <w:bookmarkStart w:id="2" w:name="_Toc205105191"/>
      <w:r>
        <w:rPr>
          <w:rFonts w:hint="eastAsia" w:ascii="宋体" w:hAnsi="宋体"/>
          <w:kern w:val="0"/>
          <w:sz w:val="24"/>
        </w:rPr>
        <w:t>（10）经投保人、被保险人建议，对属于保险责任内的事故向被保险人预付估计损失金额50%的赔款，支付至被保险人指定账号，其余赔款待结案时一次性支付。</w:t>
      </w:r>
    </w:p>
    <w:bookmarkEnd w:id="2"/>
    <w:p>
      <w:pPr>
        <w:autoSpaceDE w:val="0"/>
        <w:autoSpaceDN w:val="0"/>
        <w:adjustRightInd w:val="0"/>
        <w:spacing w:line="360" w:lineRule="auto"/>
        <w:ind w:left="359" w:leftChars="171" w:firstLine="240" w:firstLineChars="100"/>
        <w:jc w:val="left"/>
        <w:rPr>
          <w:rFonts w:ascii="宋体" w:hAnsi="宋体"/>
          <w:kern w:val="0"/>
          <w:sz w:val="24"/>
        </w:rPr>
      </w:pPr>
      <w:r>
        <w:rPr>
          <w:rFonts w:hint="eastAsia" w:ascii="宋体" w:hAnsi="宋体"/>
          <w:kern w:val="0"/>
          <w:sz w:val="24"/>
        </w:rPr>
        <w:t>（11）重大事故或无法就损失金额达成一致的案件，同意由投保人指定的保险公估人进行检验、理算。</w:t>
      </w:r>
    </w:p>
    <w:p>
      <w:pPr>
        <w:autoSpaceDE w:val="0"/>
        <w:autoSpaceDN w:val="0"/>
        <w:adjustRightInd w:val="0"/>
        <w:spacing w:line="360" w:lineRule="auto"/>
        <w:ind w:left="359" w:leftChars="171" w:firstLine="240" w:firstLineChars="100"/>
        <w:jc w:val="left"/>
        <w:rPr>
          <w:rFonts w:ascii="宋体" w:hAnsi="宋体"/>
          <w:kern w:val="0"/>
          <w:sz w:val="24"/>
        </w:rPr>
      </w:pPr>
      <w:r>
        <w:rPr>
          <w:rFonts w:hint="eastAsia" w:ascii="宋体" w:hAnsi="宋体"/>
          <w:kern w:val="0"/>
          <w:sz w:val="24"/>
        </w:rPr>
        <w:t>（12）建立定期回访制度，保险期限内安排专人进行客户回访，听取和征求被保险人对保险服务方面的意见，并作相应改进和调整。</w:t>
      </w:r>
    </w:p>
    <w:p>
      <w:pPr>
        <w:autoSpaceDE w:val="0"/>
        <w:autoSpaceDN w:val="0"/>
        <w:adjustRightInd w:val="0"/>
        <w:spacing w:line="360" w:lineRule="auto"/>
        <w:ind w:firstLine="600" w:firstLineChars="250"/>
        <w:jc w:val="left"/>
        <w:rPr>
          <w:rFonts w:ascii="宋体" w:hAnsi="宋体"/>
          <w:kern w:val="0"/>
          <w:sz w:val="24"/>
        </w:rPr>
      </w:pPr>
      <w:r>
        <w:rPr>
          <w:rFonts w:hint="eastAsia" w:ascii="宋体" w:hAnsi="宋体"/>
          <w:kern w:val="0"/>
          <w:sz w:val="24"/>
        </w:rPr>
        <w:t>（13）每季度开展咨询、受理投诉和服务质量周活动。</w:t>
      </w:r>
    </w:p>
    <w:p>
      <w:pPr>
        <w:autoSpaceDE w:val="0"/>
        <w:autoSpaceDN w:val="0"/>
        <w:adjustRightInd w:val="0"/>
        <w:spacing w:line="360" w:lineRule="auto"/>
        <w:ind w:left="359" w:leftChars="171" w:firstLine="240" w:firstLineChars="100"/>
        <w:jc w:val="left"/>
        <w:rPr>
          <w:rFonts w:ascii="宋体" w:hAnsi="宋体"/>
          <w:kern w:val="0"/>
          <w:sz w:val="24"/>
        </w:rPr>
      </w:pPr>
      <w:r>
        <w:rPr>
          <w:rFonts w:hint="eastAsia" w:ascii="宋体" w:hAnsi="宋体"/>
          <w:kern w:val="0"/>
          <w:sz w:val="24"/>
        </w:rPr>
        <w:t>（14）保险期限内为投保人的相关工作人提供详细全面的保险培训服务，如保险责任讲解、理赔案例分析等。每年度向承保片区内的居家社区养老服务机构和所在区民政部门相关工作人员，应开展不少于1次的全覆盖保险培训服务。</w:t>
      </w:r>
    </w:p>
    <w:p>
      <w:pPr>
        <w:spacing w:line="360" w:lineRule="auto"/>
        <w:ind w:left="359" w:leftChars="171" w:firstLine="240" w:firstLineChars="100"/>
        <w:jc w:val="left"/>
        <w:rPr>
          <w:rFonts w:ascii="宋体" w:hAnsi="宋体"/>
          <w:sz w:val="24"/>
        </w:rPr>
      </w:pPr>
      <w:r>
        <w:rPr>
          <w:rFonts w:hint="eastAsia" w:ascii="宋体" w:hAnsi="宋体"/>
          <w:sz w:val="24"/>
        </w:rPr>
        <w:t>（15）及时与投保人进行信息交流，便于投保人更多了解保险市场及保险人动态，包括：</w:t>
      </w:r>
    </w:p>
    <w:p>
      <w:pPr>
        <w:numPr>
          <w:ilvl w:val="0"/>
          <w:numId w:val="1"/>
        </w:numPr>
        <w:autoSpaceDE w:val="0"/>
        <w:autoSpaceDN w:val="0"/>
        <w:adjustRightInd w:val="0"/>
        <w:spacing w:line="360" w:lineRule="auto"/>
        <w:jc w:val="left"/>
        <w:rPr>
          <w:rFonts w:ascii="宋体" w:hAnsi="宋体"/>
          <w:kern w:val="0"/>
          <w:sz w:val="24"/>
        </w:rPr>
      </w:pPr>
      <w:r>
        <w:rPr>
          <w:rFonts w:hint="eastAsia" w:ascii="宋体" w:hAnsi="宋体"/>
          <w:kern w:val="0"/>
          <w:sz w:val="24"/>
        </w:rPr>
        <w:t>保险市场最新信息及养老机构综合责任保险损失分析</w:t>
      </w:r>
    </w:p>
    <w:p>
      <w:pPr>
        <w:numPr>
          <w:ilvl w:val="0"/>
          <w:numId w:val="1"/>
        </w:numPr>
        <w:autoSpaceDE w:val="0"/>
        <w:autoSpaceDN w:val="0"/>
        <w:adjustRightInd w:val="0"/>
        <w:spacing w:line="360" w:lineRule="auto"/>
        <w:jc w:val="left"/>
        <w:rPr>
          <w:rFonts w:ascii="宋体" w:hAnsi="宋体"/>
          <w:kern w:val="0"/>
          <w:sz w:val="24"/>
        </w:rPr>
      </w:pPr>
      <w:r>
        <w:rPr>
          <w:rFonts w:hint="eastAsia" w:ascii="宋体" w:hAnsi="宋体"/>
          <w:kern w:val="0"/>
          <w:sz w:val="24"/>
        </w:rPr>
        <w:t>为老服务机构综合责任保险发展动态、事故案例分析</w:t>
      </w:r>
    </w:p>
    <w:p>
      <w:pPr>
        <w:numPr>
          <w:ilvl w:val="0"/>
          <w:numId w:val="1"/>
        </w:numPr>
        <w:autoSpaceDE w:val="0"/>
        <w:autoSpaceDN w:val="0"/>
        <w:adjustRightInd w:val="0"/>
        <w:spacing w:line="360" w:lineRule="auto"/>
        <w:jc w:val="left"/>
        <w:rPr>
          <w:rFonts w:ascii="宋体" w:hAnsi="宋体"/>
          <w:kern w:val="0"/>
          <w:sz w:val="24"/>
        </w:rPr>
      </w:pPr>
      <w:r>
        <w:rPr>
          <w:rFonts w:hint="eastAsia" w:ascii="宋体" w:hAnsi="宋体"/>
          <w:kern w:val="0"/>
          <w:sz w:val="24"/>
        </w:rPr>
        <w:t>服务计划、培训计划及相关资料</w:t>
      </w:r>
    </w:p>
    <w:p>
      <w:pPr>
        <w:numPr>
          <w:ilvl w:val="0"/>
          <w:numId w:val="1"/>
        </w:numPr>
        <w:autoSpaceDE w:val="0"/>
        <w:autoSpaceDN w:val="0"/>
        <w:adjustRightInd w:val="0"/>
        <w:spacing w:line="360" w:lineRule="auto"/>
        <w:jc w:val="left"/>
        <w:rPr>
          <w:rFonts w:ascii="宋体" w:hAnsi="宋体"/>
          <w:kern w:val="0"/>
          <w:sz w:val="24"/>
        </w:rPr>
      </w:pPr>
      <w:r>
        <w:rPr>
          <w:rFonts w:hint="eastAsia" w:ascii="宋体" w:hAnsi="宋体"/>
          <w:kern w:val="0"/>
          <w:sz w:val="24"/>
        </w:rPr>
        <w:t>出险报案清单及理赔处理进展统计</w:t>
      </w:r>
    </w:p>
    <w:p>
      <w:pPr>
        <w:spacing w:line="360" w:lineRule="auto"/>
        <w:ind w:left="239" w:leftChars="114" w:firstLine="360" w:firstLineChars="150"/>
        <w:jc w:val="left"/>
        <w:rPr>
          <w:rFonts w:ascii="宋体" w:hAnsi="宋体"/>
          <w:sz w:val="24"/>
        </w:rPr>
      </w:pPr>
      <w:r>
        <w:rPr>
          <w:rFonts w:hint="eastAsia" w:ascii="宋体" w:hAnsi="宋体"/>
          <w:sz w:val="24"/>
        </w:rPr>
        <w:t xml:space="preserve">（16）常设工作组成员每季度对投保人进行定期拜访或根据被保险人的要求不定期拜访，解决以下问题： </w:t>
      </w:r>
    </w:p>
    <w:p>
      <w:pPr>
        <w:numPr>
          <w:ilvl w:val="0"/>
          <w:numId w:val="2"/>
        </w:numPr>
        <w:autoSpaceDE w:val="0"/>
        <w:autoSpaceDN w:val="0"/>
        <w:adjustRightInd w:val="0"/>
        <w:spacing w:line="360" w:lineRule="auto"/>
        <w:jc w:val="left"/>
        <w:rPr>
          <w:rFonts w:ascii="宋体" w:hAnsi="宋体"/>
          <w:kern w:val="0"/>
          <w:sz w:val="24"/>
        </w:rPr>
      </w:pPr>
      <w:r>
        <w:rPr>
          <w:rFonts w:hint="eastAsia" w:ascii="宋体" w:hAnsi="宋体"/>
          <w:kern w:val="0"/>
          <w:sz w:val="24"/>
        </w:rPr>
        <w:t>工作建议</w:t>
      </w:r>
    </w:p>
    <w:p>
      <w:pPr>
        <w:numPr>
          <w:ilvl w:val="0"/>
          <w:numId w:val="2"/>
        </w:numPr>
        <w:autoSpaceDE w:val="0"/>
        <w:autoSpaceDN w:val="0"/>
        <w:adjustRightInd w:val="0"/>
        <w:spacing w:line="360" w:lineRule="auto"/>
        <w:jc w:val="left"/>
        <w:rPr>
          <w:rFonts w:ascii="宋体" w:hAnsi="宋体"/>
          <w:kern w:val="0"/>
          <w:sz w:val="24"/>
        </w:rPr>
      </w:pPr>
      <w:r>
        <w:rPr>
          <w:rFonts w:hint="eastAsia" w:ascii="宋体" w:hAnsi="宋体"/>
          <w:kern w:val="0"/>
          <w:sz w:val="24"/>
        </w:rPr>
        <w:t>解决目前工作中出现的问题</w:t>
      </w:r>
    </w:p>
    <w:p>
      <w:pPr>
        <w:numPr>
          <w:ilvl w:val="0"/>
          <w:numId w:val="2"/>
        </w:numPr>
        <w:autoSpaceDE w:val="0"/>
        <w:autoSpaceDN w:val="0"/>
        <w:adjustRightInd w:val="0"/>
        <w:spacing w:line="360" w:lineRule="auto"/>
        <w:jc w:val="left"/>
        <w:rPr>
          <w:rFonts w:ascii="宋体" w:hAnsi="宋体"/>
          <w:kern w:val="0"/>
          <w:sz w:val="24"/>
        </w:rPr>
      </w:pPr>
      <w:r>
        <w:rPr>
          <w:rFonts w:hint="eastAsia" w:ascii="宋体" w:hAnsi="宋体"/>
          <w:kern w:val="0"/>
          <w:sz w:val="24"/>
        </w:rPr>
        <w:t xml:space="preserve">搜集承保、索赔资料 </w:t>
      </w:r>
    </w:p>
    <w:p>
      <w:pPr>
        <w:numPr>
          <w:ilvl w:val="0"/>
          <w:numId w:val="2"/>
        </w:numPr>
        <w:autoSpaceDE w:val="0"/>
        <w:autoSpaceDN w:val="0"/>
        <w:adjustRightInd w:val="0"/>
        <w:spacing w:line="360" w:lineRule="auto"/>
        <w:jc w:val="left"/>
        <w:rPr>
          <w:rFonts w:ascii="宋体" w:hAnsi="宋体"/>
          <w:kern w:val="0"/>
          <w:sz w:val="24"/>
        </w:rPr>
      </w:pPr>
      <w:r>
        <w:rPr>
          <w:rFonts w:hint="eastAsia" w:ascii="宋体" w:hAnsi="宋体"/>
          <w:kern w:val="0"/>
          <w:sz w:val="24"/>
        </w:rPr>
        <w:t>年度保险服务通报：每年提供年度服务情况通报，对各项服务进行总结和分析，并提供下一阶段的服务工作计划</w:t>
      </w:r>
    </w:p>
    <w:p>
      <w:pPr>
        <w:widowControl/>
        <w:shd w:val="clear" w:color="auto" w:fill="FFFFFF"/>
        <w:spacing w:line="360" w:lineRule="auto"/>
        <w:ind w:left="315" w:leftChars="150" w:firstLine="240" w:firstLineChars="100"/>
        <w:jc w:val="left"/>
        <w:rPr>
          <w:rFonts w:ascii="宋体" w:hAnsi="宋体" w:cs="宋体"/>
          <w:kern w:val="0"/>
          <w:sz w:val="24"/>
        </w:rPr>
      </w:pPr>
      <w:r>
        <w:rPr>
          <w:rFonts w:hint="eastAsia" w:ascii="宋体" w:hAnsi="宋体" w:cs="宋体"/>
          <w:kern w:val="0"/>
          <w:sz w:val="24"/>
        </w:rPr>
        <w:t>（17）投标供应商还应对保险方案中涉及的各项保险人义务做出承诺，也可在招标方案所列各项服务之外根据自身的专业经验、优势及实力，在不影响招标方案内容基础上，另行向招标人提出更有利于招标人的服务增值方案，假如投标供应商建议的方案被采纳，则中标供应商应当承诺其所提交的保险服务内容。</w:t>
      </w:r>
    </w:p>
    <w:p>
      <w:pPr>
        <w:widowControl/>
        <w:shd w:val="clear" w:color="auto" w:fill="FFFFFF"/>
        <w:spacing w:line="360" w:lineRule="auto"/>
        <w:ind w:firstLine="482" w:firstLineChars="200"/>
        <w:jc w:val="left"/>
        <w:rPr>
          <w:rFonts w:ascii="宋体" w:hAnsi="宋体" w:cs="宋体"/>
          <w:b/>
          <w:kern w:val="0"/>
          <w:sz w:val="24"/>
        </w:rPr>
      </w:pPr>
    </w:p>
    <w:p>
      <w:pPr>
        <w:widowControl/>
        <w:shd w:val="clear" w:color="auto" w:fill="FFFFFF"/>
        <w:spacing w:line="360" w:lineRule="auto"/>
        <w:ind w:firstLine="759" w:firstLineChars="315"/>
        <w:jc w:val="left"/>
        <w:rPr>
          <w:rFonts w:ascii="宋体" w:hAnsi="宋体" w:cs="宋体"/>
          <w:b/>
          <w:kern w:val="0"/>
          <w:sz w:val="24"/>
        </w:rPr>
      </w:pPr>
      <w:r>
        <w:rPr>
          <w:rFonts w:hint="eastAsia" w:ascii="宋体" w:hAnsi="宋体" w:cs="宋体"/>
          <w:b/>
          <w:kern w:val="0"/>
          <w:sz w:val="24"/>
        </w:rPr>
        <w:t>六、其他</w:t>
      </w:r>
    </w:p>
    <w:p>
      <w:pPr>
        <w:spacing w:line="360" w:lineRule="auto"/>
        <w:ind w:left="359" w:leftChars="171" w:firstLine="360" w:firstLineChars="150"/>
        <w:rPr>
          <w:rFonts w:ascii="宋体" w:hAnsi="宋体"/>
          <w:sz w:val="24"/>
        </w:rPr>
      </w:pPr>
      <w:r>
        <w:rPr>
          <w:rFonts w:hint="eastAsia" w:ascii="宋体" w:hAnsi="宋体"/>
          <w:sz w:val="24"/>
        </w:rPr>
        <w:t>投标供应商</w:t>
      </w:r>
      <w:r>
        <w:rPr>
          <w:rFonts w:ascii="宋体" w:hAnsi="宋体"/>
          <w:sz w:val="24"/>
        </w:rPr>
        <w:t>所报的保费应已包括</w:t>
      </w:r>
      <w:r>
        <w:rPr>
          <w:rFonts w:hint="eastAsia" w:ascii="宋体" w:hAnsi="宋体"/>
          <w:sz w:val="24"/>
        </w:rPr>
        <w:t>税金、</w:t>
      </w:r>
      <w:r>
        <w:rPr>
          <w:rFonts w:ascii="宋体" w:hAnsi="宋体"/>
          <w:sz w:val="24"/>
        </w:rPr>
        <w:t>保险人向投保人提供各项防灾防损、现场勘验、检查、培训</w:t>
      </w:r>
      <w:r>
        <w:rPr>
          <w:rFonts w:hint="eastAsia" w:ascii="宋体" w:hAnsi="宋体"/>
          <w:sz w:val="24"/>
        </w:rPr>
        <w:t>及其他相关服务内容的</w:t>
      </w:r>
      <w:r>
        <w:rPr>
          <w:rFonts w:ascii="宋体" w:hAnsi="宋体"/>
          <w:sz w:val="24"/>
        </w:rPr>
        <w:t>服务费用</w:t>
      </w:r>
      <w:r>
        <w:rPr>
          <w:rFonts w:hint="eastAsia" w:ascii="宋体" w:hAnsi="宋体"/>
          <w:sz w:val="24"/>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auto"/>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汉仪中宋简">
    <w:panose1 w:val="02010600000101010101"/>
    <w:charset w:val="86"/>
    <w:family w:val="auto"/>
    <w:pitch w:val="default"/>
    <w:sig w:usb0="00000001" w:usb1="080E0800" w:usb2="00000002"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7D6190"/>
    <w:multiLevelType w:val="multilevel"/>
    <w:tmpl w:val="137D6190"/>
    <w:lvl w:ilvl="0" w:tentative="0">
      <w:start w:val="1"/>
      <w:numFmt w:val="bullet"/>
      <w:lvlText w:val=""/>
      <w:lvlJc w:val="left"/>
      <w:pPr>
        <w:tabs>
          <w:tab w:val="left" w:pos="841"/>
        </w:tabs>
        <w:ind w:left="841"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6DB33FBF"/>
    <w:multiLevelType w:val="multilevel"/>
    <w:tmpl w:val="6DB33FBF"/>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Y0MzczZDAxNzhhNzIyMzk5OGNlNjZkZWM1MWFkNmIifQ=="/>
  </w:docVars>
  <w:rsids>
    <w:rsidRoot w:val="007A258B"/>
    <w:rsid w:val="00335149"/>
    <w:rsid w:val="006E1C92"/>
    <w:rsid w:val="007A258B"/>
    <w:rsid w:val="00A519A4"/>
    <w:rsid w:val="00AC1CFA"/>
    <w:rsid w:val="00E12FB8"/>
    <w:rsid w:val="173B095B"/>
    <w:rsid w:val="1E5C5F4C"/>
    <w:rsid w:val="3F5758C9"/>
    <w:rsid w:val="3F6F992E"/>
    <w:rsid w:val="57DF6440"/>
    <w:rsid w:val="57F782C9"/>
    <w:rsid w:val="5F6F9363"/>
    <w:rsid w:val="67744D50"/>
    <w:rsid w:val="77FFC06D"/>
    <w:rsid w:val="7B3D8016"/>
    <w:rsid w:val="7DDBEAEE"/>
    <w:rsid w:val="7F2FBDC4"/>
    <w:rsid w:val="7FD72D61"/>
    <w:rsid w:val="7FE93985"/>
    <w:rsid w:val="9A7F4754"/>
    <w:rsid w:val="9D7AB895"/>
    <w:rsid w:val="B7B32D18"/>
    <w:rsid w:val="BDAFB91E"/>
    <w:rsid w:val="C767D162"/>
    <w:rsid w:val="CEFE8DBB"/>
    <w:rsid w:val="CFB3CFD1"/>
    <w:rsid w:val="D8F2D538"/>
    <w:rsid w:val="FFE75B65"/>
    <w:rsid w:val="FFE79403"/>
    <w:rsid w:val="FFEFCA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semiHidden/>
    <w:unhideWhenUsed/>
    <w:qFormat/>
    <w:uiPriority w:val="99"/>
    <w:rPr>
      <w:sz w:val="18"/>
      <w:szCs w:val="18"/>
    </w:rPr>
  </w:style>
  <w:style w:type="character" w:customStyle="1" w:styleId="5">
    <w:name w:val="批注框文本 Char"/>
    <w:basedOn w:val="4"/>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703</Words>
  <Characters>4008</Characters>
  <Lines>33</Lines>
  <Paragraphs>9</Paragraphs>
  <TotalTime>17</TotalTime>
  <ScaleCrop>false</ScaleCrop>
  <LinksUpToDate>false</LinksUpToDate>
  <CharactersWithSpaces>4702</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2020-08-11T22:29:00Z</dcterms:created>
  <dc:creator>fbt</dc:creator>
  <cp:lastModifiedBy>ylj</cp:lastModifiedBy>
  <dcterms:modified xsi:type="dcterms:W3CDTF">2025-08-28T09:21:07Z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6B07E0EE406E4209BAD2966D5E5853D6_13</vt:lpwstr>
  </property>
</Properties>
</file>