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04B7B">
      <w:pPr>
        <w:spacing w:line="360" w:lineRule="auto"/>
        <w:jc w:val="center"/>
        <w:rPr>
          <w:rFonts w:hint="eastAsia" w:ascii="黑体" w:hAnsi="黑体" w:eastAsia="黑体" w:cs="宋体"/>
          <w:sz w:val="32"/>
          <w:szCs w:val="24"/>
        </w:rPr>
      </w:pPr>
      <w:r>
        <w:rPr>
          <w:rFonts w:hint="eastAsia" w:ascii="黑体" w:hAnsi="黑体" w:eastAsia="黑体" w:cs="宋体"/>
          <w:sz w:val="32"/>
          <w:szCs w:val="24"/>
        </w:rPr>
        <w:t>轨交骨干线路预控和沿线地区规划—预控方案及沿线地区规划</w:t>
      </w:r>
    </w:p>
    <w:p w14:paraId="5B4BCA55">
      <w:pPr>
        <w:spacing w:line="360" w:lineRule="auto"/>
        <w:jc w:val="center"/>
        <w:rPr>
          <w:rFonts w:hint="eastAsia" w:ascii="黑体" w:hAnsi="黑体" w:eastAsia="黑体" w:cs="宋体"/>
          <w:sz w:val="32"/>
          <w:szCs w:val="24"/>
        </w:rPr>
      </w:pPr>
      <w:r>
        <w:rPr>
          <w:rFonts w:hint="eastAsia" w:ascii="黑体" w:hAnsi="黑体" w:eastAsia="黑体" w:cs="宋体"/>
          <w:sz w:val="32"/>
          <w:szCs w:val="24"/>
        </w:rPr>
        <w:t>采购需求</w:t>
      </w:r>
    </w:p>
    <w:p w14:paraId="45CB225A"/>
    <w:p w14:paraId="33DEC2BB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</w:rPr>
        <w:t>工作背景</w:t>
      </w:r>
    </w:p>
    <w:p w14:paraId="1B01BE74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轨道交通是支撑城市空间体系构建的重要基础设施，历次城市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总体</w:t>
      </w:r>
      <w:r>
        <w:rPr>
          <w:rFonts w:hint="eastAsia" w:ascii="仿宋_GB2312" w:eastAsia="仿宋_GB2312"/>
          <w:sz w:val="28"/>
          <w:szCs w:val="32"/>
        </w:rPr>
        <w:t>规划都将轨道交通系统作为城市空间布局中的重要工作。经过几轮的规划编制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32"/>
        </w:rPr>
        <w:t>建设，上海市轨道交通系统有效推动了城市空间布局的优化完善，推进了公交优先战略的实施，提升了上海枢纽功能，有力地支撑了城市经济社会的健康发展。</w:t>
      </w:r>
    </w:p>
    <w:p w14:paraId="33D35FD9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2017年，国务院批复《上海市城市总体规划（2017-2035年）》。根据规划，上海市将构建由铁路、城市轨道、常规公交和辅助公交等构成的多模式公共交通系统，形成城际线、市区线和局域线3个层次的轨道交通网络。为全面实施“上海2035”总规，强化规划引领和线网系统性优化，支撑上海轨道交通规划建设，保障城市高质量、可持续发展，开展本次轨交骨干线路预控和沿线地区规划研究工作。</w:t>
      </w:r>
    </w:p>
    <w:p w14:paraId="7ADECD28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</w:rPr>
        <w:t>工作内容</w:t>
      </w:r>
    </w:p>
    <w:p w14:paraId="3B5A1941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次工作聚焦重点线路开展规划选线预控和沿线地区规划研究工作，按照城网融合的发展思路，统筹线路服务功能和沿线地区规划，开展骨干线路的规划选线和沿线站点周边的功能提升研究工作，形成骨干线路的通道、车站以及车辆基地的规划预控方案，集约节约做好沿线土地、空间等统筹利用，同步提出车站周边的用地功能优化提升建议。具体要求如下：</w:t>
      </w:r>
    </w:p>
    <w:p w14:paraId="2EA49F27">
      <w:pPr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1、轨交骨干线路的选线预控方案</w:t>
      </w:r>
    </w:p>
    <w:p w14:paraId="51282CDD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是开展站点周边地区功能提升策略研究。基于规划轨道交通车站的能级以及周边地区资源禀赋，衔接相关空间规划，对站点进行分级、分类。以枢纽经济为导向，提出周边地区差异化的功能提升策略，促进轨道交通车站与周边地区功能的深度融合。</w:t>
      </w:r>
    </w:p>
    <w:p w14:paraId="7F631095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二是形成站点周边地区规划优化方案。立足站点周边地区的主要功能，按照功能复合、产城融合和以人为本的原则，明确地区的总体格局、空间结构和用地布局，形成对后续控制性详细规划编制的具体指引。</w:t>
      </w:r>
    </w:p>
    <w:p w14:paraId="090AC671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三是开展规划线路的车辆基地选址深化研究。立足本线需求，衔接全网车辆基地规划布局，并综合考虑后续开发利用方案，深化各条线路的车辆基地选址方案。</w:t>
      </w:r>
    </w:p>
    <w:p w14:paraId="13F01CB7">
      <w:pPr>
        <w:rPr>
          <w:rFonts w:ascii="楷体_GB2312" w:eastAsia="楷体_GB2312"/>
          <w:b/>
          <w:bCs/>
          <w:sz w:val="28"/>
          <w:szCs w:val="32"/>
        </w:rPr>
      </w:pPr>
      <w:r>
        <w:rPr>
          <w:rFonts w:hint="eastAsia" w:ascii="楷体_GB2312" w:eastAsia="楷体_GB2312"/>
          <w:b/>
          <w:bCs/>
          <w:sz w:val="28"/>
          <w:szCs w:val="32"/>
        </w:rPr>
        <w:t>2、轨道交通沿线地区规划研究</w:t>
      </w:r>
    </w:p>
    <w:p w14:paraId="579C065C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一是立足区域整体发展细化站点的主导功能。根据上位规划对地区的总体定位，结合区域周边的功能分析，明确站点的主导功能，深化研究各类功能配比。</w:t>
      </w:r>
    </w:p>
    <w:p w14:paraId="36CF4B5E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是形成规划站点周边功能提升方案。优化原有规划的用地布局，明确站点周边未来的总体空间布局和规划结构，强调生态优先、功能复合、产城融合和以人为本。明确各类用地的规模，重点关注租赁住宅、公共服务设施等公益性设施的合理规模。</w:t>
      </w:r>
    </w:p>
    <w:p w14:paraId="3995C0CF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</w:rPr>
        <w:t>成果要求</w:t>
      </w:r>
    </w:p>
    <w:p w14:paraId="7B588DE4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成果形式包括打印的纸质文本和电子文件，电子文件应包括PDF文件和可编辑的WORD格式文件等。</w:t>
      </w:r>
    </w:p>
    <w:p w14:paraId="28B05BCB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</w:rPr>
        <w:t>工作进度安排</w:t>
      </w:r>
    </w:p>
    <w:p w14:paraId="2ECF64DE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前期准备阶段：2025年6月—7月</w:t>
      </w:r>
    </w:p>
    <w:p w14:paraId="13D948EF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开展工作调研和相关资料收集。根据预控方案和站点周边功能提升研究要求，收集沿线地区单元规划、镇总规，相关交通、市政工程资料，沿线地形和规划道路红线，主要工程节点设计资料等；开展现场踏勘与调研工作，识别沿线规划建设条件以及交通出行、城市功能提升等方面的需求。</w:t>
      </w:r>
    </w:p>
    <w:p w14:paraId="0EBEC39D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初步方案阶段：2025年</w:t>
      </w:r>
      <w:r>
        <w:rPr>
          <w:rFonts w:ascii="仿宋_GB2312" w:eastAsia="仿宋_GB2312"/>
          <w:sz w:val="28"/>
          <w:szCs w:val="32"/>
        </w:rPr>
        <w:t>8</w:t>
      </w:r>
      <w:r>
        <w:rPr>
          <w:rFonts w:hint="eastAsia" w:ascii="仿宋_GB2312" w:eastAsia="仿宋_GB2312"/>
          <w:sz w:val="28"/>
          <w:szCs w:val="32"/>
        </w:rPr>
        <w:t>月—</w:t>
      </w:r>
      <w:r>
        <w:rPr>
          <w:rFonts w:ascii="仿宋_GB2312" w:eastAsia="仿宋_GB2312"/>
          <w:sz w:val="28"/>
          <w:szCs w:val="32"/>
        </w:rPr>
        <w:t>9</w:t>
      </w:r>
      <w:r>
        <w:rPr>
          <w:rFonts w:hint="eastAsia" w:ascii="仿宋_GB2312" w:eastAsia="仿宋_GB2312"/>
          <w:sz w:val="28"/>
          <w:szCs w:val="32"/>
        </w:rPr>
        <w:t>月</w:t>
      </w:r>
    </w:p>
    <w:p w14:paraId="50E52434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基于前期调研与踏勘情况，开展规划方案编制工作，形成骨干轨道交通线路的总体方案，明确站点布局和车辆基地选址方案，同步形成站点周边功能提升初步方案。</w:t>
      </w:r>
    </w:p>
    <w:p w14:paraId="4EC0BF8C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中间成果阶段：2025年</w:t>
      </w:r>
      <w:r>
        <w:rPr>
          <w:rFonts w:ascii="仿宋_GB2312" w:eastAsia="仿宋_GB2312"/>
          <w:sz w:val="28"/>
          <w:szCs w:val="32"/>
        </w:rPr>
        <w:t>9</w:t>
      </w:r>
      <w:r>
        <w:rPr>
          <w:rFonts w:hint="eastAsia" w:ascii="仿宋_GB2312" w:eastAsia="仿宋_GB2312"/>
          <w:sz w:val="28"/>
          <w:szCs w:val="32"/>
        </w:rPr>
        <w:t>月—10月</w:t>
      </w:r>
    </w:p>
    <w:p w14:paraId="3549B30C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开展专家评审，并征询沿线区级部门意见，结合相关意见进一步深化完善成果。</w:t>
      </w:r>
    </w:p>
    <w:p w14:paraId="19FC01EF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最终成果阶段：2025年11月</w:t>
      </w:r>
    </w:p>
    <w:p w14:paraId="2FB491F7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组织成果评审，完善后形成最终成果。</w:t>
      </w:r>
    </w:p>
    <w:p w14:paraId="0A68FE8D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sz w:val="28"/>
          <w:szCs w:val="32"/>
        </w:rPr>
        <w:t>项目组人员要求</w:t>
      </w:r>
    </w:p>
    <w:p w14:paraId="67579FF3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1、项目组人员数量和专业组成结构等方面应满足本项目服务需求，在服务期限内，项目组人员应保持相对稳定，以保证服务工作的正常进行。</w:t>
      </w:r>
    </w:p>
    <w:p w14:paraId="1A4AB294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2、项目负责人需从事相关技术工作8年以上，具有工程师及以上职称。</w:t>
      </w:r>
    </w:p>
    <w:p w14:paraId="54E0BCD2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3、供应商提供负责本项目的服务团队人数（不包含项目负责人）不少于8人，具有相关行业高级职称证书或硕士及以上学历人数不少于5人的优先考虑。</w:t>
      </w:r>
    </w:p>
    <w:p w14:paraId="276BDAD8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</w:rPr>
        <w:t>企业工作能力要求</w:t>
      </w:r>
    </w:p>
    <w:p w14:paraId="3EB66C9C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1、供应商具有ISO9001 质量管理体系认证证书的优先考虑；</w:t>
      </w:r>
    </w:p>
    <w:p w14:paraId="764D2375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2、供应商近三年具有类似业绩的优先考虑。</w:t>
      </w:r>
    </w:p>
    <w:p w14:paraId="2FFF4B26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</w:rPr>
        <w:t>其他要求</w:t>
      </w:r>
    </w:p>
    <w:p w14:paraId="7833B250"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本项目不接受联合体投标。</w:t>
      </w:r>
    </w:p>
    <w:p w14:paraId="31FA34DD">
      <w:pPr>
        <w:pStyle w:val="6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投标人应按照委托方要求，负责项目进行过程中阶段性成果及最终成果的打印，承担打印费用，并承担专家评审等费用支出。</w:t>
      </w:r>
    </w:p>
    <w:p w14:paraId="1DFCE74F">
      <w:pPr>
        <w:pStyle w:val="6"/>
        <w:numPr>
          <w:ilvl w:val="0"/>
          <w:numId w:val="1"/>
        </w:numPr>
        <w:spacing w:line="360" w:lineRule="auto"/>
        <w:ind w:left="567" w:hanging="567" w:firstLineChars="0"/>
        <w:rPr>
          <w:rFonts w:hint="eastAsia"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  <w:lang w:eastAsia="zh-CN"/>
        </w:rPr>
        <w:t>上位规划</w:t>
      </w:r>
    </w:p>
    <w:p w14:paraId="4415325C"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 w:hAnsiTheme="minorHAnsi" w:cstheme="minorBidi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32"/>
          <w:lang w:val="en-US" w:eastAsia="zh-CN" w:bidi="ar-SA"/>
        </w:rPr>
        <w:t>《上海市城市总体规划（2017-2035年）》</w:t>
      </w:r>
    </w:p>
    <w:p w14:paraId="3849CA76">
      <w:pPr>
        <w:rPr>
          <w:rFonts w:hint="eastAsia" w:ascii="仿宋_GB2312" w:eastAsia="仿宋_GB2312"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A64E4"/>
    <w:multiLevelType w:val="multilevel"/>
    <w:tmpl w:val="4ACA64E4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MzJiYTgyNTJkM2E5NzA5NDNiNGU0YmVkYTRiODEifQ=="/>
  </w:docVars>
  <w:rsids>
    <w:rsidRoot w:val="00BD416C"/>
    <w:rsid w:val="000B02F3"/>
    <w:rsid w:val="001045E2"/>
    <w:rsid w:val="001324CD"/>
    <w:rsid w:val="002B1F7F"/>
    <w:rsid w:val="002C0029"/>
    <w:rsid w:val="00470DFB"/>
    <w:rsid w:val="00594EAD"/>
    <w:rsid w:val="007F7B6A"/>
    <w:rsid w:val="00913C06"/>
    <w:rsid w:val="00994C02"/>
    <w:rsid w:val="00A932AB"/>
    <w:rsid w:val="00AB25C2"/>
    <w:rsid w:val="00AF74DF"/>
    <w:rsid w:val="00B13217"/>
    <w:rsid w:val="00BD416C"/>
    <w:rsid w:val="00D50403"/>
    <w:rsid w:val="00DF500E"/>
    <w:rsid w:val="00EB41BC"/>
    <w:rsid w:val="3DF72D6A"/>
    <w:rsid w:val="7B669218"/>
    <w:rsid w:val="ADDFA92A"/>
    <w:rsid w:val="FF7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1668</Characters>
  <Lines>13</Lines>
  <Paragraphs>3</Paragraphs>
  <TotalTime>8</TotalTime>
  <ScaleCrop>false</ScaleCrop>
  <LinksUpToDate>false</LinksUpToDate>
  <CharactersWithSpaces>1957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2025-02-11T14:04:00Z</dcterms:created>
  <dc:creator>Administrator</dc:creator>
  <cp:lastModifiedBy>user</cp:lastModifiedBy>
  <dcterms:modified xsi:type="dcterms:W3CDTF">2025-03-07T12:02:59Z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DD8F3EF3490A6D5CEE1EAB6779872F0A_42</vt:lpwstr>
  </property>
</Properties>
</file>