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0" w:firstLineChars="0"/>
        <w:jc w:val="center"/>
        <w:rPr>
          <w:rFonts w:ascii="黑体" w:hAnsi="黑体" w:eastAsia="黑体"/>
          <w:sz w:val="48"/>
          <w:szCs w:val="48"/>
        </w:rPr>
      </w:pPr>
    </w:p>
    <w:p>
      <w:pPr>
        <w:ind w:firstLine="0" w:firstLineChars="0"/>
        <w:jc w:val="center"/>
        <w:rPr>
          <w:rFonts w:ascii="黑体" w:hAnsi="黑体" w:eastAsia="黑体"/>
          <w:sz w:val="48"/>
          <w:szCs w:val="48"/>
        </w:rPr>
      </w:pPr>
    </w:p>
    <w:p>
      <w:pPr>
        <w:ind w:firstLine="0" w:firstLineChars="0"/>
        <w:jc w:val="center"/>
        <w:rPr>
          <w:rFonts w:ascii="黑体" w:hAnsi="黑体" w:eastAsia="黑体"/>
          <w:sz w:val="52"/>
          <w:szCs w:val="52"/>
        </w:rPr>
      </w:pPr>
      <w:r>
        <w:rPr>
          <w:rFonts w:hint="eastAsia" w:ascii="黑体" w:hAnsi="黑体" w:eastAsia="黑体"/>
          <w:sz w:val="52"/>
          <w:szCs w:val="52"/>
          <w:lang w:val="en-GB"/>
        </w:rPr>
        <w:t>统计云工程上海联网直报节点子系统建设</w:t>
      </w:r>
      <w:r>
        <w:rPr>
          <w:rFonts w:hint="eastAsia" w:ascii="黑体" w:hAnsi="黑体" w:eastAsia="黑体"/>
          <w:sz w:val="52"/>
          <w:szCs w:val="52"/>
        </w:rPr>
        <w:t>项目采购需求</w:t>
      </w:r>
    </w:p>
    <w:p>
      <w:pPr>
        <w:ind w:firstLine="0" w:firstLineChars="0"/>
        <w:jc w:val="center"/>
        <w:rPr>
          <w:rFonts w:ascii="黑体" w:hAnsi="黑体" w:eastAsia="黑体"/>
          <w:sz w:val="72"/>
          <w:szCs w:val="72"/>
        </w:rPr>
      </w:pPr>
    </w:p>
    <w:p>
      <w:pPr>
        <w:ind w:firstLine="0" w:firstLineChars="0"/>
        <w:jc w:val="center"/>
        <w:rPr>
          <w:rFonts w:ascii="黑体" w:hAnsi="黑体" w:eastAsia="黑体"/>
          <w:sz w:val="48"/>
          <w:szCs w:val="48"/>
        </w:rPr>
      </w:pPr>
    </w:p>
    <w:p>
      <w:pPr>
        <w:ind w:firstLine="0" w:firstLineChars="0"/>
        <w:jc w:val="center"/>
        <w:rPr>
          <w:rFonts w:ascii="黑体" w:hAnsi="黑体" w:eastAsia="黑体"/>
          <w:sz w:val="52"/>
          <w:szCs w:val="52"/>
        </w:rPr>
      </w:pPr>
    </w:p>
    <w:p>
      <w:pPr>
        <w:ind w:firstLine="1040"/>
        <w:rPr>
          <w:rFonts w:ascii="黑体" w:hAnsi="黑体" w:eastAsia="黑体"/>
          <w:sz w:val="52"/>
          <w:szCs w:val="52"/>
        </w:rPr>
      </w:pPr>
    </w:p>
    <w:p/>
    <w:p/>
    <w:p/>
    <w:p/>
    <w:p/>
    <w:p>
      <w:pPr>
        <w:ind w:firstLine="1040"/>
        <w:rPr>
          <w:rFonts w:ascii="黑体" w:hAnsi="黑体" w:eastAsia="黑体"/>
          <w:sz w:val="52"/>
          <w:szCs w:val="52"/>
        </w:rPr>
      </w:pPr>
    </w:p>
    <w:p>
      <w:pPr>
        <w:jc w:val="center"/>
        <w:sectPr>
          <w:headerReference r:id="rId7" w:type="first"/>
          <w:footerReference r:id="rId10" w:type="first"/>
          <w:headerReference r:id="rId5" w:type="default"/>
          <w:footerReference r:id="rId8" w:type="default"/>
          <w:headerReference r:id="rId6" w:type="even"/>
          <w:footerReference r:id="rId9" w:type="even"/>
          <w:pgSz w:w="11906" w:h="16838"/>
          <w:pgMar w:top="1134" w:right="1797" w:bottom="1135" w:left="1797" w:header="340" w:footer="7" w:gutter="0"/>
          <w:pgNumType w:start="1"/>
          <w:cols w:space="720" w:num="1"/>
          <w:titlePg/>
          <w:docGrid w:type="linesAndChars" w:linePitch="326" w:charSpace="0"/>
        </w:sectPr>
      </w:pPr>
    </w:p>
    <w:p>
      <w:pPr>
        <w:pStyle w:val="2"/>
      </w:pPr>
      <w:bookmarkStart w:id="0" w:name="_Toc63785461"/>
      <w:r>
        <w:rPr>
          <w:rFonts w:hint="eastAsia"/>
        </w:rPr>
        <w:t>项目概况</w:t>
      </w:r>
      <w:bookmarkEnd w:id="0"/>
    </w:p>
    <w:p>
      <w:pPr>
        <w:spacing w:line="560" w:lineRule="exact"/>
      </w:pPr>
      <w:r>
        <w:rPr>
          <w:rFonts w:hint="eastAsia"/>
        </w:rPr>
        <w:t>项目背景&amp;现状：</w:t>
      </w:r>
    </w:p>
    <w:p>
      <w:pPr>
        <w:spacing w:line="560" w:lineRule="exact"/>
      </w:pPr>
      <w:r>
        <w:rPr>
          <w:rFonts w:hint="eastAsia"/>
        </w:rPr>
        <w:t>国家统计局以“统计云”工程建设为基础，推动全国统计系统信息化建设全面进入数字化、智能化水平的新阶段。</w:t>
      </w:r>
    </w:p>
    <w:p>
      <w:pPr>
        <w:spacing w:line="560" w:lineRule="exact"/>
      </w:pPr>
      <w:r>
        <w:rPr>
          <w:rFonts w:hint="eastAsia"/>
        </w:rPr>
        <w:t>上海作为全国经济发展的重要城市，本市统计工作着眼地方经济发展，服务于本市党政机关领导决策，在统计制度设计上，有着鲜明的地方经济特色，形成一批本市独有的统计调查制度。为满足本市地方统计数据采集需求，结合国家统计局“统计云”建设带来的调查模式改变和国家关于自主可控技术的要求，通过科学合理的规划设计，实现本项目与“统计云”的良好衔接，完成本市地方统计调查制度的联网直报数据采集与处理工作，为全市经济和社会发展建设提供数据支撑。</w:t>
      </w:r>
    </w:p>
    <w:p>
      <w:pPr>
        <w:spacing w:line="560" w:lineRule="exact"/>
      </w:pPr>
      <w:r>
        <w:rPr>
          <w:rFonts w:hint="eastAsia"/>
        </w:rPr>
        <w:t>根据《关于统计云工程省级联网直报节点建设的指导意见</w:t>
      </w:r>
      <w:r>
        <w:t>(征求意见稿)》、《国家统计局办公室关于开展统计云工程联网直报省级节点建设的通知》、《统计云省级自建节点建设技术规范》、《国家统计局数据管理中心关于同意上海市统计局建设统计云工程联网直报节点的复函》，以及上海市统计信息化安全可替代工作推进计划，需要建设符合安全可靠技术要求的全新统计联网直报省级节点。</w:t>
      </w:r>
    </w:p>
    <w:p>
      <w:pPr>
        <w:spacing w:line="560" w:lineRule="exact"/>
      </w:pPr>
      <w:r>
        <w:rPr>
          <w:rFonts w:hint="eastAsia"/>
        </w:rPr>
        <w:t>建设期限：自合同签订之日起6个月</w:t>
      </w:r>
    </w:p>
    <w:p>
      <w:pPr>
        <w:spacing w:line="560" w:lineRule="exact"/>
      </w:pPr>
      <w:r>
        <w:rPr>
          <w:rFonts w:hint="eastAsia"/>
        </w:rPr>
        <w:t>建设地点：上海市统计局</w:t>
      </w:r>
    </w:p>
    <w:p>
      <w:pPr>
        <w:spacing w:line="560" w:lineRule="exact"/>
      </w:pPr>
      <w:r>
        <w:rPr>
          <w:rFonts w:hint="eastAsia"/>
        </w:rPr>
        <w:t>预算金额：</w:t>
      </w:r>
      <w:r>
        <w:t>2,270,000</w:t>
      </w:r>
      <w:r>
        <w:rPr>
          <w:rFonts w:hint="eastAsia"/>
        </w:rPr>
        <w:t>元</w:t>
      </w:r>
    </w:p>
    <w:p>
      <w:pPr>
        <w:spacing w:line="560" w:lineRule="exact"/>
      </w:pPr>
      <w:r>
        <w:rPr>
          <w:rFonts w:hint="eastAsia"/>
        </w:rPr>
        <w:t>采购金额（最高限价）：</w:t>
      </w:r>
      <w:r>
        <w:t>2,270,000</w:t>
      </w:r>
      <w:r>
        <w:rPr>
          <w:rFonts w:hint="eastAsia"/>
        </w:rPr>
        <w:t>元</w:t>
      </w:r>
    </w:p>
    <w:p>
      <w:r>
        <w:rPr>
          <w:rFonts w:hint="eastAsia"/>
        </w:rPr>
        <w:t>组织形式：集中采购</w:t>
      </w:r>
    </w:p>
    <w:p>
      <w:r>
        <w:rPr>
          <w:rFonts w:hint="eastAsia"/>
        </w:rPr>
        <w:t>采购方式：竞争性磋商</w:t>
      </w:r>
    </w:p>
    <w:p>
      <w:r>
        <w:rPr>
          <w:rFonts w:hint="eastAsia"/>
        </w:rPr>
        <w:t>是否接受联合体投标：否</w:t>
      </w:r>
    </w:p>
    <w:p>
      <w:r>
        <w:t>是否按信创要求建设：是</w:t>
      </w:r>
    </w:p>
    <w:p>
      <w:r>
        <w:rPr>
          <w:rFonts w:hint="eastAsia"/>
        </w:rPr>
        <w:t>运维后所属大系统：国家统计业务大系统</w:t>
      </w:r>
    </w:p>
    <w:p>
      <w:pPr>
        <w:pStyle w:val="2"/>
      </w:pPr>
      <w:bookmarkStart w:id="1" w:name="_Toc47536644"/>
      <w:bookmarkEnd w:id="1"/>
      <w:bookmarkStart w:id="2" w:name="_Toc47533256"/>
      <w:bookmarkEnd w:id="2"/>
      <w:bookmarkStart w:id="3" w:name="_Toc47532255"/>
      <w:bookmarkEnd w:id="3"/>
      <w:bookmarkStart w:id="4" w:name="_Toc47536272"/>
      <w:bookmarkEnd w:id="4"/>
      <w:bookmarkStart w:id="5" w:name="_Toc47531634"/>
      <w:bookmarkEnd w:id="5"/>
      <w:bookmarkStart w:id="6" w:name="_Toc47539070"/>
      <w:bookmarkEnd w:id="6"/>
      <w:bookmarkStart w:id="7" w:name="_Toc47532891"/>
      <w:bookmarkEnd w:id="7"/>
      <w:bookmarkStart w:id="8" w:name="_Toc47537134"/>
      <w:bookmarkEnd w:id="8"/>
      <w:bookmarkStart w:id="9" w:name="_Toc48223882"/>
      <w:bookmarkStart w:id="10" w:name="_Toc63785463"/>
      <w:r>
        <w:rPr>
          <w:rFonts w:hint="eastAsia"/>
        </w:rPr>
        <w:t>建设目标</w:t>
      </w:r>
      <w:bookmarkEnd w:id="9"/>
      <w:bookmarkEnd w:id="10"/>
    </w:p>
    <w:p>
      <w:pPr>
        <w:rPr>
          <w:bCs/>
        </w:rPr>
      </w:pPr>
      <w:r>
        <w:rPr>
          <w:rFonts w:hint="eastAsia"/>
          <w:bCs/>
        </w:rPr>
        <w:t>建设与国家统计局“统计云”相适配，且符合安全可靠要求的新版统计联网直报省级节点，安装部署经过适配改造的国家下发联网直报系统，实现制度设计、采集加工、审核验收、查询汇总等统计业务场景；建设上海市汇总报表设计器满足上海地方统计调查需求，灵活设计上海市地方统计调查制度和报表；建设数据双向回流系统，同步全国性统计调查制度采集数据至国家，承接国家统计局回流的定版统计调查数据；建设上海统计云定制专题分析，利用算法模型进行工业专业主题分析和服务业专业主题分析；集成上海市政务云企业身份认证体系，解决当前因身份认证系统不适配而导致国产化设备无法填报统计报表的问题。</w:t>
      </w:r>
    </w:p>
    <w:p>
      <w:pPr>
        <w:spacing w:before="120" w:after="120"/>
        <w:rPr>
          <w:lang w:val="zh-CN"/>
        </w:rPr>
      </w:pPr>
      <w:r>
        <w:rPr>
          <w:rFonts w:hint="eastAsia"/>
          <w:lang w:val="zh-CN"/>
        </w:rPr>
        <w:t>（一）落实国家统计云联网直报节点建设要求，支撑上海特色的制度再设计和自建制度定制</w:t>
      </w:r>
    </w:p>
    <w:p>
      <w:pPr>
        <w:spacing w:before="120" w:after="120"/>
        <w:rPr>
          <w:lang w:val="zh-CN"/>
        </w:rPr>
      </w:pPr>
      <w:r>
        <w:rPr>
          <w:rFonts w:hint="eastAsia"/>
          <w:lang w:val="zh-CN"/>
        </w:rPr>
        <w:t>依据国家统计局《</w:t>
      </w:r>
      <w:r>
        <w:rPr>
          <w:rFonts w:hint="eastAsia"/>
        </w:rPr>
        <w:t>统计云省级自建节点建设技术规范</w:t>
      </w:r>
      <w:r>
        <w:rPr>
          <w:rFonts w:hint="eastAsia"/>
          <w:lang w:val="zh-CN"/>
        </w:rPr>
        <w:t>》，建设统计联网直报省级节点系统。确保上海特色统计调查任务能够持续开展并顺利完成。建设上海统计联网直报节点系统，满足制度设计、采集加工、审核验收、查询汇总等核心统计业务场景需要，一方面能够较好对接国家统计局“统计云”系统，另一方面将显著提升系统性能，更好地适应地方经济快速发展带来的统计业务量激增的现状，为持续做好上海特色统计调查任务提供应用支撑。</w:t>
      </w:r>
    </w:p>
    <w:p>
      <w:pPr>
        <w:spacing w:before="120" w:after="120"/>
        <w:rPr>
          <w:lang w:val="zh-CN"/>
        </w:rPr>
      </w:pPr>
      <w:r>
        <w:rPr>
          <w:rFonts w:hint="eastAsia"/>
          <w:lang w:val="zh-CN"/>
        </w:rPr>
        <w:t>（二）建设流程规范、标准统一、运转高效的统计数据采集和处理系统，充分发挥统计数据为地方政府制定相关政策和发展规划支撑作用</w:t>
      </w:r>
    </w:p>
    <w:p>
      <w:pPr>
        <w:spacing w:before="120" w:after="120"/>
        <w:rPr>
          <w:lang w:val="zh-CN"/>
        </w:rPr>
      </w:pPr>
      <w:r>
        <w:rPr>
          <w:rFonts w:hint="eastAsia"/>
          <w:lang w:val="zh-CN"/>
        </w:rPr>
        <w:t>建设流程规范、标准统一、运转高效的统计数据采集和处理系统，实现所有普查和常规统计调查数据采集的数字化、网络化，丰富统计数据填报方式，扩大统计数据采集来源，提升统计数据采集业务的连续性、数据的真实性和安全性，提升企业、住户及行政记录数据获取和开发利用的能力。扩大向地方统计局直接报送数据的范围，在四上企业基础上增加四下、个体户等调查对象。为党政部门和社会公众提供准确、及时、全面的统计信息服务，构建面向企业的自动化统计调查报送、面向政府部门的自动化数据采集，提高重点行业、重要领域统计信息直接报送效率，推动采集业务突破，实现主要调查任务数据的集中统一管理，逐步加强对历史数据的管理，最大限度汇集各专业处、部门、企业、区域等渠道数据，满足地方对经济社会发展状况及时、全面、准确刻画的需要，满足对经济发展、产业调整预测预警的需要，为地方制定国民经济和社会发展规划及相关政策提供高质量基础性资料。</w:t>
      </w:r>
    </w:p>
    <w:p>
      <w:pPr>
        <w:spacing w:before="120" w:after="120"/>
        <w:rPr>
          <w:lang w:val="zh-CN"/>
        </w:rPr>
      </w:pPr>
      <w:r>
        <w:rPr>
          <w:rFonts w:hint="eastAsia"/>
          <w:lang w:val="zh-CN"/>
        </w:rPr>
        <w:t>（三）与国家统计云建立良好的衔接，提升统计数据采集工作效率和数据质量控制能力</w:t>
      </w:r>
    </w:p>
    <w:p>
      <w:pPr>
        <w:spacing w:before="120" w:after="120"/>
        <w:rPr>
          <w:lang w:val="zh-CN"/>
        </w:rPr>
      </w:pPr>
      <w:r>
        <w:rPr>
          <w:rFonts w:hint="eastAsia"/>
          <w:lang w:val="zh-CN"/>
        </w:rPr>
        <w:t>通过统计联网直报省级节点，与国家统计云建立良好的衔接，及时准确接收从国家统计局“统计云”系统回流数据并进行自动解析，实现统计数据的实时、安全传输，避免传统统计报表层层上报、汇总时间长等弊端，省级统计云节点与国家统计云采用统一的数据标准、技术规范和传输协议，避免数据在不同系统间转换时出现格式不匹配、数据丢失等问题。实现地方统计数据标准化和规范化，减少数据转换和清洗的工作量，提高数据传输的准确性和效率。实现与国家统计云数据接口的统一化，规范数据交换的标准和格式，确保各级统计机构与国家统计云之间的数据传输顺畅。避免数据孤岛和重复采集的问题，提高数据的质量和效率。对数据质量进行实时监测和管理，对数据的准确性、完整性、一致性等进行实时监测和校验。及时发现和纠正数据质量问题，提高数据的质量和可靠性。并在数据传输过程中，采取加密技术、访问控制等手段，防止数据泄露和未经授权的访问，确保统计数据安全与隐私保护。</w:t>
      </w:r>
    </w:p>
    <w:p>
      <w:pPr>
        <w:ind w:firstLine="0" w:firstLineChars="0"/>
        <w:rPr>
          <w:b/>
          <w:bCs/>
        </w:rPr>
      </w:pPr>
    </w:p>
    <w:p>
      <w:pPr>
        <w:ind w:firstLine="482"/>
        <w:rPr>
          <w:b/>
          <w:bCs/>
        </w:rPr>
      </w:pPr>
      <w:r>
        <w:rPr>
          <w:rFonts w:hint="eastAsia"/>
          <w:b/>
          <w:bCs/>
        </w:rPr>
        <w:t>（一）应用指标</w:t>
      </w:r>
    </w:p>
    <w:p>
      <w:pPr>
        <w:spacing w:before="120" w:after="120"/>
        <w:rPr>
          <w:lang w:val="zh-CN"/>
        </w:rPr>
      </w:pPr>
      <w:r>
        <w:rPr>
          <w:rFonts w:hint="eastAsia"/>
          <w:lang w:val="zh-CN"/>
        </w:rPr>
        <w:t>涵盖市、区、街镇三级统计机构用户</w:t>
      </w:r>
      <w:r>
        <w:rPr>
          <w:lang w:val="zh-CN"/>
        </w:rPr>
        <w:t>3000名</w:t>
      </w:r>
      <w:r>
        <w:rPr>
          <w:rFonts w:hint="eastAsia"/>
          <w:lang w:val="zh-CN"/>
        </w:rPr>
        <w:t>。</w:t>
      </w:r>
    </w:p>
    <w:p>
      <w:pPr>
        <w:spacing w:before="120" w:after="120"/>
        <w:rPr>
          <w:lang w:val="zh-CN"/>
        </w:rPr>
      </w:pPr>
      <w:r>
        <w:rPr>
          <w:lang w:val="zh-CN"/>
        </w:rPr>
        <w:t>覆盖</w:t>
      </w:r>
      <w:r>
        <w:rPr>
          <w:rFonts w:hint="eastAsia"/>
          <w:lang w:val="zh-CN"/>
        </w:rPr>
        <w:t>统计调查对象，包括四上企业、</w:t>
      </w:r>
      <w:r>
        <w:rPr>
          <w:lang w:val="zh-CN"/>
        </w:rPr>
        <w:t>抽样企业</w:t>
      </w:r>
      <w:r>
        <w:rPr>
          <w:rFonts w:hint="eastAsia"/>
          <w:lang w:val="zh-CN"/>
        </w:rPr>
        <w:t>、</w:t>
      </w:r>
      <w:r>
        <w:rPr>
          <w:lang w:val="zh-CN"/>
        </w:rPr>
        <w:t>一次性调查对象</w:t>
      </w:r>
      <w:r>
        <w:rPr>
          <w:rFonts w:hint="eastAsia"/>
          <w:lang w:val="zh-CN"/>
        </w:rPr>
        <w:t>约</w:t>
      </w:r>
      <w:r>
        <w:rPr>
          <w:lang w:val="zh-CN"/>
        </w:rPr>
        <w:t>20W</w:t>
      </w:r>
      <w:r>
        <w:rPr>
          <w:rFonts w:hint="eastAsia"/>
          <w:lang w:val="zh-CN"/>
        </w:rPr>
        <w:t>。</w:t>
      </w:r>
    </w:p>
    <w:p>
      <w:pPr>
        <w:spacing w:before="120" w:after="120"/>
        <w:rPr>
          <w:lang w:val="zh-CN"/>
        </w:rPr>
      </w:pPr>
      <w:r>
        <w:rPr>
          <w:rFonts w:hint="eastAsia"/>
          <w:lang w:val="zh-CN"/>
        </w:rPr>
        <w:t>本项目主要评价指标见下表：</w:t>
      </w:r>
    </w:p>
    <w:tbl>
      <w:tblPr>
        <w:tblStyle w:val="3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3"/>
        <w:gridCol w:w="1796"/>
        <w:gridCol w:w="1505"/>
        <w:gridCol w:w="44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blHeader/>
          <w:jc w:val="center"/>
        </w:trPr>
        <w:tc>
          <w:tcPr>
            <w:tcW w:w="424" w:type="pct"/>
            <w:shd w:val="clear" w:color="auto" w:fill="auto"/>
            <w:vAlign w:val="center"/>
          </w:tcPr>
          <w:p>
            <w:pPr>
              <w:pStyle w:val="136"/>
            </w:pPr>
            <w:r>
              <w:rPr>
                <w:rFonts w:hint="eastAsia"/>
              </w:rPr>
              <w:t>序号</w:t>
            </w:r>
          </w:p>
        </w:tc>
        <w:tc>
          <w:tcPr>
            <w:tcW w:w="1054" w:type="pct"/>
            <w:shd w:val="clear" w:color="auto" w:fill="auto"/>
            <w:vAlign w:val="center"/>
          </w:tcPr>
          <w:p>
            <w:pPr>
              <w:pStyle w:val="136"/>
            </w:pPr>
            <w:r>
              <w:rPr>
                <w:rFonts w:hint="eastAsia"/>
              </w:rPr>
              <w:t>指标名称</w:t>
            </w:r>
          </w:p>
        </w:tc>
        <w:tc>
          <w:tcPr>
            <w:tcW w:w="883" w:type="pct"/>
            <w:vAlign w:val="center"/>
          </w:tcPr>
          <w:p>
            <w:pPr>
              <w:pStyle w:val="136"/>
            </w:pPr>
            <w:r>
              <w:rPr>
                <w:rFonts w:hint="eastAsia"/>
              </w:rPr>
              <w:t>指标值</w:t>
            </w:r>
          </w:p>
        </w:tc>
        <w:tc>
          <w:tcPr>
            <w:tcW w:w="2639" w:type="pct"/>
            <w:shd w:val="clear" w:color="auto" w:fill="auto"/>
            <w:vAlign w:val="center"/>
          </w:tcPr>
          <w:p>
            <w:pPr>
              <w:pStyle w:val="136"/>
            </w:pPr>
            <w:r>
              <w:rPr>
                <w:rFonts w:hint="eastAsia"/>
              </w:rPr>
              <w:t>考核方式及说明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424" w:type="pct"/>
            <w:shd w:val="clear" w:color="auto" w:fill="auto"/>
            <w:vAlign w:val="center"/>
          </w:tcPr>
          <w:p>
            <w:pPr>
              <w:pStyle w:val="136"/>
            </w:pPr>
            <w:r>
              <w:rPr>
                <w:rFonts w:hint="eastAsia"/>
              </w:rPr>
              <w:t>一</w:t>
            </w:r>
          </w:p>
        </w:tc>
        <w:tc>
          <w:tcPr>
            <w:tcW w:w="1054" w:type="pct"/>
            <w:shd w:val="clear" w:color="auto" w:fill="auto"/>
            <w:vAlign w:val="center"/>
          </w:tcPr>
          <w:p>
            <w:pPr>
              <w:pStyle w:val="136"/>
            </w:pPr>
            <w:r>
              <w:rPr>
                <w:rFonts w:hint="eastAsia"/>
              </w:rPr>
              <w:t>效果指标</w:t>
            </w:r>
          </w:p>
        </w:tc>
        <w:tc>
          <w:tcPr>
            <w:tcW w:w="883" w:type="pct"/>
            <w:vAlign w:val="center"/>
          </w:tcPr>
          <w:p>
            <w:pPr>
              <w:pStyle w:val="136"/>
            </w:pPr>
          </w:p>
        </w:tc>
        <w:tc>
          <w:tcPr>
            <w:tcW w:w="2639" w:type="pct"/>
            <w:shd w:val="clear" w:color="auto" w:fill="auto"/>
            <w:vAlign w:val="center"/>
          </w:tcPr>
          <w:p>
            <w:pPr>
              <w:pStyle w:val="136"/>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424" w:type="pct"/>
            <w:shd w:val="clear" w:color="auto" w:fill="auto"/>
            <w:vAlign w:val="center"/>
          </w:tcPr>
          <w:p>
            <w:pPr>
              <w:pStyle w:val="136"/>
            </w:pPr>
            <w:r>
              <w:t>1</w:t>
            </w:r>
          </w:p>
        </w:tc>
        <w:tc>
          <w:tcPr>
            <w:tcW w:w="1054" w:type="pct"/>
            <w:shd w:val="clear" w:color="auto" w:fill="auto"/>
            <w:vAlign w:val="center"/>
          </w:tcPr>
          <w:p>
            <w:pPr>
              <w:pStyle w:val="136"/>
            </w:pPr>
            <w:r>
              <w:rPr>
                <w:rFonts w:hint="eastAsia"/>
              </w:rPr>
              <w:t>数据采集能力</w:t>
            </w:r>
          </w:p>
        </w:tc>
        <w:tc>
          <w:tcPr>
            <w:tcW w:w="883" w:type="pct"/>
            <w:vAlign w:val="center"/>
          </w:tcPr>
          <w:p>
            <w:pPr>
              <w:pStyle w:val="136"/>
            </w:pPr>
            <w:r>
              <w:rPr>
                <w:rFonts w:hint="eastAsia"/>
              </w:rPr>
              <w:t>提升</w:t>
            </w:r>
            <w:r>
              <w:t>30%</w:t>
            </w:r>
          </w:p>
        </w:tc>
        <w:tc>
          <w:tcPr>
            <w:tcW w:w="2639" w:type="pct"/>
            <w:shd w:val="clear" w:color="auto" w:fill="auto"/>
            <w:vAlign w:val="center"/>
          </w:tcPr>
          <w:p>
            <w:pPr>
              <w:pStyle w:val="136"/>
            </w:pPr>
            <w:r>
              <w:rPr>
                <w:rFonts w:hint="eastAsia"/>
              </w:rPr>
              <w:t>通过本项目建设将原来只针对常规调查和专项调查的联网直报业务，拓展到能够针对企业（单位）、住户（个人）、市场（生产经营主体）、资源（耕地）等不同类型的调查对象，实现电子化数据的采集和处理，满足常规调查、专项调查、普查和临时调查任务。对调查任务支持率提升超过</w:t>
            </w:r>
            <w:r>
              <w:t>30%</w:t>
            </w: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424" w:type="pct"/>
            <w:shd w:val="clear" w:color="auto" w:fill="auto"/>
            <w:vAlign w:val="center"/>
          </w:tcPr>
          <w:p>
            <w:pPr>
              <w:pStyle w:val="136"/>
            </w:pPr>
            <w:r>
              <w:t>2</w:t>
            </w:r>
          </w:p>
        </w:tc>
        <w:tc>
          <w:tcPr>
            <w:tcW w:w="1054" w:type="pct"/>
            <w:shd w:val="clear" w:color="auto" w:fill="auto"/>
            <w:vAlign w:val="center"/>
          </w:tcPr>
          <w:p>
            <w:pPr>
              <w:pStyle w:val="136"/>
            </w:pPr>
            <w:r>
              <w:rPr>
                <w:rFonts w:hint="eastAsia"/>
              </w:rPr>
              <w:t>统计调查对象涵盖程度</w:t>
            </w:r>
          </w:p>
        </w:tc>
        <w:tc>
          <w:tcPr>
            <w:tcW w:w="883" w:type="pct"/>
            <w:vAlign w:val="center"/>
          </w:tcPr>
          <w:p>
            <w:pPr>
              <w:pStyle w:val="136"/>
            </w:pPr>
            <w:r>
              <w:rPr>
                <w:rFonts w:hint="eastAsia"/>
              </w:rPr>
              <w:t>提升</w:t>
            </w:r>
            <w:r>
              <w:t>300%</w:t>
            </w:r>
          </w:p>
        </w:tc>
        <w:tc>
          <w:tcPr>
            <w:tcW w:w="2639" w:type="pct"/>
            <w:shd w:val="clear" w:color="auto" w:fill="auto"/>
            <w:vAlign w:val="center"/>
          </w:tcPr>
          <w:p>
            <w:pPr>
              <w:pStyle w:val="136"/>
            </w:pPr>
            <w:r>
              <w:rPr>
                <w:rFonts w:hint="eastAsia"/>
              </w:rPr>
              <w:t>由原来联网直报只针对全市四上企业（</w:t>
            </w:r>
            <w:r>
              <w:t>5万家用户），拓展到包括四下企业用户（20</w:t>
            </w:r>
            <w:r>
              <w:rPr>
                <w:rFonts w:hint="eastAsia"/>
              </w:rPr>
              <w:t>万用户），企业用户数提升超过</w:t>
            </w:r>
            <w:r>
              <w:t>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424" w:type="pct"/>
            <w:shd w:val="clear" w:color="auto" w:fill="auto"/>
            <w:vAlign w:val="center"/>
          </w:tcPr>
          <w:p>
            <w:pPr>
              <w:pStyle w:val="136"/>
            </w:pPr>
            <w:r>
              <w:t>3</w:t>
            </w:r>
          </w:p>
        </w:tc>
        <w:tc>
          <w:tcPr>
            <w:tcW w:w="1054" w:type="pct"/>
            <w:shd w:val="clear" w:color="auto" w:fill="auto"/>
            <w:vAlign w:val="center"/>
          </w:tcPr>
          <w:p>
            <w:pPr>
              <w:pStyle w:val="136"/>
            </w:pPr>
            <w:r>
              <w:rPr>
                <w:rFonts w:hint="eastAsia"/>
              </w:rPr>
              <w:t>数字化统计作业方式比例</w:t>
            </w:r>
          </w:p>
        </w:tc>
        <w:tc>
          <w:tcPr>
            <w:tcW w:w="883" w:type="pct"/>
            <w:vAlign w:val="center"/>
          </w:tcPr>
          <w:p>
            <w:pPr>
              <w:pStyle w:val="136"/>
            </w:pPr>
            <w:r>
              <w:rPr>
                <w:rFonts w:hint="eastAsia"/>
              </w:rPr>
              <w:t>由</w:t>
            </w:r>
            <w:r>
              <w:t>50%提升到80%。</w:t>
            </w:r>
          </w:p>
        </w:tc>
        <w:tc>
          <w:tcPr>
            <w:tcW w:w="2639" w:type="pct"/>
            <w:shd w:val="clear" w:color="auto" w:fill="auto"/>
            <w:vAlign w:val="center"/>
          </w:tcPr>
          <w:p>
            <w:pPr>
              <w:pStyle w:val="136"/>
            </w:pPr>
            <w:r>
              <w:rPr>
                <w:rFonts w:hint="eastAsia"/>
              </w:rPr>
              <w:t>实现数字化统计工作方式，提升数据采集自动化水平，原来采用纸质或者非信息化方式开展的数据采集由原来的</w:t>
            </w:r>
            <w:r>
              <w:t>50%，提高到90%。该数据考核方式通过发行调查问卷的方式获取，通过对数据采集人员的调研，获取自动化采集比例的数据。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424" w:type="pct"/>
            <w:shd w:val="clear" w:color="auto" w:fill="auto"/>
            <w:vAlign w:val="center"/>
          </w:tcPr>
          <w:p>
            <w:pPr>
              <w:pStyle w:val="136"/>
            </w:pPr>
            <w:r>
              <w:t>4</w:t>
            </w:r>
          </w:p>
        </w:tc>
        <w:tc>
          <w:tcPr>
            <w:tcW w:w="1054" w:type="pct"/>
            <w:shd w:val="clear" w:color="auto" w:fill="auto"/>
            <w:vAlign w:val="center"/>
          </w:tcPr>
          <w:p>
            <w:pPr>
              <w:pStyle w:val="136"/>
            </w:pPr>
            <w:r>
              <w:rPr>
                <w:rFonts w:hint="eastAsia"/>
              </w:rPr>
              <w:t>重点领域统计调查数据上报周期</w:t>
            </w:r>
          </w:p>
        </w:tc>
        <w:tc>
          <w:tcPr>
            <w:tcW w:w="883" w:type="pct"/>
            <w:vAlign w:val="center"/>
          </w:tcPr>
          <w:p>
            <w:pPr>
              <w:pStyle w:val="136"/>
            </w:pPr>
            <w:r>
              <w:rPr>
                <w:rFonts w:hint="eastAsia"/>
              </w:rPr>
              <w:t>缩短</w:t>
            </w:r>
            <w:r>
              <w:t>20%</w:t>
            </w:r>
            <w:r>
              <w:rPr>
                <w:rFonts w:hint="eastAsia"/>
              </w:rPr>
              <w:t>。</w:t>
            </w:r>
          </w:p>
        </w:tc>
        <w:tc>
          <w:tcPr>
            <w:tcW w:w="2639" w:type="pct"/>
            <w:shd w:val="clear" w:color="auto" w:fill="auto"/>
            <w:vAlign w:val="center"/>
          </w:tcPr>
          <w:p>
            <w:pPr>
              <w:pStyle w:val="136"/>
            </w:pPr>
            <w:r>
              <w:rPr>
                <w:rFonts w:hint="eastAsia"/>
              </w:rPr>
              <w:t>通过改善数据采集手段，进一步提高数据审核效率。可以通过统计多个重点领域调查的平均频度得出该项数据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424" w:type="pct"/>
            <w:shd w:val="clear" w:color="auto" w:fill="auto"/>
            <w:vAlign w:val="center"/>
          </w:tcPr>
          <w:p>
            <w:pPr>
              <w:pStyle w:val="136"/>
            </w:pPr>
            <w:r>
              <w:t>5</w:t>
            </w:r>
          </w:p>
        </w:tc>
        <w:tc>
          <w:tcPr>
            <w:tcW w:w="1054" w:type="pct"/>
            <w:shd w:val="clear" w:color="auto" w:fill="auto"/>
            <w:vAlign w:val="center"/>
          </w:tcPr>
          <w:p>
            <w:pPr>
              <w:pStyle w:val="136"/>
            </w:pPr>
            <w:r>
              <w:rPr>
                <w:rFonts w:hint="eastAsia"/>
              </w:rPr>
              <w:t>信息系统共享水平</w:t>
            </w:r>
          </w:p>
        </w:tc>
        <w:tc>
          <w:tcPr>
            <w:tcW w:w="883" w:type="pct"/>
            <w:vAlign w:val="center"/>
          </w:tcPr>
          <w:p>
            <w:pPr>
              <w:pStyle w:val="136"/>
            </w:pPr>
            <w:r>
              <w:rPr>
                <w:rFonts w:hint="eastAsia"/>
              </w:rPr>
              <w:t>系统实现市、区统计部门</w:t>
            </w:r>
            <w:r>
              <w:t>100%共享使用。</w:t>
            </w:r>
          </w:p>
        </w:tc>
        <w:tc>
          <w:tcPr>
            <w:tcW w:w="2639" w:type="pct"/>
            <w:shd w:val="clear" w:color="auto" w:fill="auto"/>
            <w:vAlign w:val="center"/>
          </w:tcPr>
          <w:p>
            <w:pPr>
              <w:pStyle w:val="136"/>
            </w:pPr>
            <w:r>
              <w:rPr>
                <w:rFonts w:hint="eastAsia"/>
              </w:rPr>
              <w:t>采用政务云进行系统部署，促进跨地区、跨层级信息共享、业务协同，与多个部门实现跨部门的数据共享与业务协同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424" w:type="pct"/>
            <w:shd w:val="clear" w:color="auto" w:fill="auto"/>
            <w:vAlign w:val="center"/>
          </w:tcPr>
          <w:p>
            <w:pPr>
              <w:pStyle w:val="136"/>
            </w:pPr>
            <w:r>
              <w:rPr>
                <w:rFonts w:hint="eastAsia"/>
              </w:rPr>
              <w:t>二</w:t>
            </w:r>
          </w:p>
        </w:tc>
        <w:tc>
          <w:tcPr>
            <w:tcW w:w="1054" w:type="pct"/>
            <w:shd w:val="clear" w:color="auto" w:fill="auto"/>
            <w:vAlign w:val="center"/>
          </w:tcPr>
          <w:p>
            <w:pPr>
              <w:pStyle w:val="136"/>
            </w:pPr>
            <w:r>
              <w:rPr>
                <w:rFonts w:hint="eastAsia"/>
              </w:rPr>
              <w:t>本期工程</w:t>
            </w:r>
          </w:p>
        </w:tc>
        <w:tc>
          <w:tcPr>
            <w:tcW w:w="883" w:type="pct"/>
            <w:vAlign w:val="center"/>
          </w:tcPr>
          <w:p>
            <w:pPr>
              <w:pStyle w:val="136"/>
            </w:pPr>
          </w:p>
        </w:tc>
        <w:tc>
          <w:tcPr>
            <w:tcW w:w="2639" w:type="pct"/>
            <w:shd w:val="clear" w:color="auto" w:fill="auto"/>
            <w:vAlign w:val="center"/>
          </w:tcPr>
          <w:p>
            <w:pPr>
              <w:pStyle w:val="136"/>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424" w:type="pct"/>
            <w:shd w:val="clear" w:color="auto" w:fill="auto"/>
            <w:vAlign w:val="center"/>
          </w:tcPr>
          <w:p>
            <w:pPr>
              <w:pStyle w:val="136"/>
            </w:pPr>
            <w:r>
              <w:t>1</w:t>
            </w:r>
          </w:p>
        </w:tc>
        <w:tc>
          <w:tcPr>
            <w:tcW w:w="1054" w:type="pct"/>
            <w:shd w:val="clear" w:color="auto" w:fill="auto"/>
            <w:vAlign w:val="center"/>
          </w:tcPr>
          <w:p>
            <w:pPr>
              <w:pStyle w:val="136"/>
            </w:pPr>
            <w:r>
              <w:rPr>
                <w:rFonts w:hint="eastAsia"/>
              </w:rPr>
              <w:t>系统运行环境国产化率</w:t>
            </w:r>
          </w:p>
        </w:tc>
        <w:tc>
          <w:tcPr>
            <w:tcW w:w="883" w:type="pct"/>
            <w:vAlign w:val="center"/>
          </w:tcPr>
          <w:p>
            <w:pPr>
              <w:pStyle w:val="136"/>
            </w:pPr>
            <w:r>
              <w:t>90%</w:t>
            </w:r>
          </w:p>
        </w:tc>
        <w:tc>
          <w:tcPr>
            <w:tcW w:w="2639" w:type="pct"/>
            <w:shd w:val="clear" w:color="auto" w:fill="auto"/>
            <w:vAlign w:val="center"/>
          </w:tcPr>
          <w:p>
            <w:pPr>
              <w:pStyle w:val="136"/>
            </w:pPr>
            <w:r>
              <w:rPr>
                <w:rFonts w:hint="eastAsia"/>
              </w:rPr>
              <w:t>包括硬件支撑环境和系统软件的国产化率。通过查询本项目采购清单得出国产化率。</w:t>
            </w:r>
          </w:p>
        </w:tc>
      </w:tr>
    </w:tbl>
    <w:p>
      <w:pPr>
        <w:ind w:firstLine="241" w:firstLineChars="100"/>
        <w:rPr>
          <w:b/>
          <w:bCs/>
        </w:rPr>
      </w:pPr>
      <w:r>
        <w:rPr>
          <w:rFonts w:hint="eastAsia"/>
          <w:b/>
          <w:bCs/>
        </w:rPr>
        <w:t>（二）业务绩效指标</w:t>
      </w:r>
    </w:p>
    <w:p>
      <w:r>
        <w:rPr>
          <w:rFonts w:hint="eastAsia"/>
        </w:rPr>
        <w:t>涵盖市、区、街镇三级统计机构用户</w:t>
      </w:r>
      <w:r>
        <w:t>3000名</w:t>
      </w:r>
      <w:r>
        <w:rPr>
          <w:rFonts w:hint="eastAsia"/>
        </w:rPr>
        <w:t>。</w:t>
      </w:r>
    </w:p>
    <w:p>
      <w:r>
        <w:t>覆盖</w:t>
      </w:r>
      <w:r>
        <w:rPr>
          <w:rFonts w:hint="eastAsia"/>
        </w:rPr>
        <w:t>统计调查对象，包括四上企业、</w:t>
      </w:r>
      <w:r>
        <w:t>抽样企业</w:t>
      </w:r>
      <w:r>
        <w:rPr>
          <w:rFonts w:hint="eastAsia"/>
        </w:rPr>
        <w:t>、</w:t>
      </w:r>
      <w:r>
        <w:t>一次性调查对象</w:t>
      </w:r>
      <w:r>
        <w:rPr>
          <w:rFonts w:hint="eastAsia"/>
        </w:rPr>
        <w:t>约</w:t>
      </w:r>
      <w:r>
        <w:t>20W</w:t>
      </w:r>
      <w:r>
        <w:rPr>
          <w:rFonts w:hint="eastAsia"/>
        </w:rPr>
        <w:t>。</w:t>
      </w:r>
    </w:p>
    <w:p>
      <w:r>
        <w:rPr>
          <w:rFonts w:hint="eastAsia"/>
        </w:rPr>
        <w:t>本项目主要评价指标见下表：</w:t>
      </w:r>
    </w:p>
    <w:tbl>
      <w:tblPr>
        <w:tblStyle w:val="3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38"/>
        <w:gridCol w:w="1627"/>
        <w:gridCol w:w="1482"/>
        <w:gridCol w:w="44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blHeader/>
          <w:jc w:val="center"/>
        </w:trPr>
        <w:tc>
          <w:tcPr>
            <w:tcW w:w="510" w:type="pct"/>
            <w:shd w:val="clear" w:color="auto" w:fill="auto"/>
            <w:vAlign w:val="center"/>
          </w:tcPr>
          <w:p>
            <w:pPr>
              <w:ind w:left="241" w:right="241" w:hanging="241" w:hangingChars="100"/>
              <w:jc w:val="left"/>
              <w:rPr>
                <w:b/>
              </w:rPr>
            </w:pPr>
            <w:r>
              <w:rPr>
                <w:rFonts w:hint="eastAsia"/>
                <w:b/>
              </w:rPr>
              <w:t>序号</w:t>
            </w:r>
          </w:p>
        </w:tc>
        <w:tc>
          <w:tcPr>
            <w:tcW w:w="968" w:type="pct"/>
            <w:shd w:val="clear" w:color="auto" w:fill="auto"/>
            <w:vAlign w:val="center"/>
          </w:tcPr>
          <w:p>
            <w:pPr>
              <w:ind w:firstLine="0" w:firstLineChars="0"/>
              <w:rPr>
                <w:b/>
              </w:rPr>
            </w:pPr>
            <w:r>
              <w:rPr>
                <w:rFonts w:hint="eastAsia"/>
                <w:b/>
              </w:rPr>
              <w:t>指标名称</w:t>
            </w:r>
          </w:p>
        </w:tc>
        <w:tc>
          <w:tcPr>
            <w:tcW w:w="883" w:type="pct"/>
            <w:vAlign w:val="center"/>
          </w:tcPr>
          <w:p>
            <w:pPr>
              <w:ind w:firstLine="0" w:firstLineChars="0"/>
              <w:rPr>
                <w:b/>
              </w:rPr>
            </w:pPr>
            <w:r>
              <w:rPr>
                <w:rFonts w:hint="eastAsia"/>
                <w:b/>
              </w:rPr>
              <w:t>指标值</w:t>
            </w:r>
          </w:p>
        </w:tc>
        <w:tc>
          <w:tcPr>
            <w:tcW w:w="2639" w:type="pct"/>
            <w:shd w:val="clear" w:color="auto" w:fill="auto"/>
            <w:vAlign w:val="center"/>
          </w:tcPr>
          <w:p>
            <w:pPr>
              <w:ind w:firstLine="482"/>
              <w:rPr>
                <w:b/>
              </w:rPr>
            </w:pPr>
            <w:r>
              <w:rPr>
                <w:rFonts w:hint="eastAsia"/>
                <w:b/>
              </w:rPr>
              <w:t>考核方式及说明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510" w:type="pct"/>
            <w:shd w:val="clear" w:color="auto" w:fill="auto"/>
            <w:vAlign w:val="center"/>
          </w:tcPr>
          <w:p>
            <w:pPr>
              <w:spacing w:line="240" w:lineRule="auto"/>
              <w:ind w:firstLine="0" w:firstLineChars="0"/>
              <w:jc w:val="center"/>
              <w:rPr>
                <w:bCs/>
              </w:rPr>
            </w:pPr>
            <w:r>
              <w:rPr>
                <w:rFonts w:hint="eastAsia"/>
                <w:bCs/>
              </w:rPr>
              <w:t>一</w:t>
            </w:r>
          </w:p>
        </w:tc>
        <w:tc>
          <w:tcPr>
            <w:tcW w:w="968" w:type="pct"/>
            <w:shd w:val="clear" w:color="auto" w:fill="auto"/>
            <w:vAlign w:val="center"/>
          </w:tcPr>
          <w:p>
            <w:pPr>
              <w:spacing w:line="240" w:lineRule="auto"/>
              <w:ind w:firstLine="0" w:firstLineChars="0"/>
              <w:rPr>
                <w:bCs/>
              </w:rPr>
            </w:pPr>
            <w:r>
              <w:rPr>
                <w:rFonts w:hint="eastAsia"/>
                <w:bCs/>
              </w:rPr>
              <w:t>效果指标</w:t>
            </w:r>
          </w:p>
        </w:tc>
        <w:tc>
          <w:tcPr>
            <w:tcW w:w="883" w:type="pct"/>
            <w:vAlign w:val="center"/>
          </w:tcPr>
          <w:p>
            <w:pPr>
              <w:spacing w:line="240" w:lineRule="auto"/>
              <w:rPr>
                <w:bCs/>
              </w:rPr>
            </w:pPr>
          </w:p>
        </w:tc>
        <w:tc>
          <w:tcPr>
            <w:tcW w:w="2639" w:type="pct"/>
            <w:shd w:val="clear" w:color="auto" w:fill="auto"/>
            <w:vAlign w:val="center"/>
          </w:tcPr>
          <w:p>
            <w:pPr>
              <w:spacing w:line="240" w:lineRule="auto"/>
              <w:rPr>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510" w:type="pct"/>
            <w:shd w:val="clear" w:color="auto" w:fill="auto"/>
            <w:vAlign w:val="center"/>
          </w:tcPr>
          <w:p>
            <w:pPr>
              <w:spacing w:line="240" w:lineRule="auto"/>
              <w:ind w:firstLine="240" w:firstLineChars="100"/>
              <w:jc w:val="left"/>
              <w:rPr>
                <w:bCs/>
              </w:rPr>
            </w:pPr>
            <w:r>
              <w:rPr>
                <w:bCs/>
              </w:rPr>
              <w:t>1</w:t>
            </w:r>
          </w:p>
        </w:tc>
        <w:tc>
          <w:tcPr>
            <w:tcW w:w="968" w:type="pct"/>
            <w:shd w:val="clear" w:color="auto" w:fill="auto"/>
            <w:vAlign w:val="center"/>
          </w:tcPr>
          <w:p>
            <w:pPr>
              <w:spacing w:line="240" w:lineRule="auto"/>
              <w:ind w:firstLine="0" w:firstLineChars="0"/>
              <w:rPr>
                <w:bCs/>
              </w:rPr>
            </w:pPr>
            <w:r>
              <w:rPr>
                <w:rFonts w:hint="eastAsia"/>
                <w:bCs/>
              </w:rPr>
              <w:t>数据采集能力</w:t>
            </w:r>
          </w:p>
        </w:tc>
        <w:tc>
          <w:tcPr>
            <w:tcW w:w="883" w:type="pct"/>
            <w:vAlign w:val="center"/>
          </w:tcPr>
          <w:p>
            <w:pPr>
              <w:spacing w:line="240" w:lineRule="auto"/>
              <w:ind w:firstLine="0" w:firstLineChars="0"/>
              <w:rPr>
                <w:bCs/>
              </w:rPr>
            </w:pPr>
            <w:r>
              <w:rPr>
                <w:rFonts w:hint="eastAsia"/>
                <w:bCs/>
              </w:rPr>
              <w:t>提升</w:t>
            </w:r>
            <w:r>
              <w:rPr>
                <w:bCs/>
              </w:rPr>
              <w:t>30%</w:t>
            </w:r>
          </w:p>
        </w:tc>
        <w:tc>
          <w:tcPr>
            <w:tcW w:w="2639" w:type="pct"/>
            <w:shd w:val="clear" w:color="auto" w:fill="auto"/>
            <w:vAlign w:val="center"/>
          </w:tcPr>
          <w:p>
            <w:pPr>
              <w:spacing w:line="240" w:lineRule="auto"/>
              <w:rPr>
                <w:bCs/>
              </w:rPr>
            </w:pPr>
            <w:r>
              <w:rPr>
                <w:rFonts w:hint="eastAsia"/>
                <w:bCs/>
              </w:rPr>
              <w:t>通过本项目建设将原来只针对常规调查和专项调查的联网直报业务，拓展到能够针对企业（单位）、住户（个人）、市场（生产经营主体）、资源（耕地）等不同类型的调查对象，实现电子化数据的采集和处理，满足常规调查、专项调查、普查和临时调查任务。对调查任务支持率提升超过</w:t>
            </w:r>
            <w:r>
              <w:rPr>
                <w:bCs/>
              </w:rPr>
              <w:t>30%</w:t>
            </w:r>
            <w:r>
              <w:rPr>
                <w:rFonts w:hint="eastAsia"/>
                <w:bC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510" w:type="pct"/>
            <w:shd w:val="clear" w:color="auto" w:fill="auto"/>
            <w:vAlign w:val="center"/>
          </w:tcPr>
          <w:p>
            <w:pPr>
              <w:spacing w:line="240" w:lineRule="auto"/>
              <w:ind w:firstLine="240" w:firstLineChars="100"/>
              <w:jc w:val="left"/>
              <w:rPr>
                <w:bCs/>
              </w:rPr>
            </w:pPr>
            <w:r>
              <w:rPr>
                <w:bCs/>
              </w:rPr>
              <w:t>2</w:t>
            </w:r>
          </w:p>
        </w:tc>
        <w:tc>
          <w:tcPr>
            <w:tcW w:w="968" w:type="pct"/>
            <w:shd w:val="clear" w:color="auto" w:fill="auto"/>
            <w:vAlign w:val="center"/>
          </w:tcPr>
          <w:p>
            <w:pPr>
              <w:spacing w:line="240" w:lineRule="auto"/>
              <w:ind w:firstLine="0" w:firstLineChars="0"/>
              <w:rPr>
                <w:bCs/>
              </w:rPr>
            </w:pPr>
            <w:r>
              <w:rPr>
                <w:rFonts w:hint="eastAsia"/>
                <w:bCs/>
              </w:rPr>
              <w:t>统计调查对象涵盖程度</w:t>
            </w:r>
          </w:p>
        </w:tc>
        <w:tc>
          <w:tcPr>
            <w:tcW w:w="883" w:type="pct"/>
            <w:vAlign w:val="center"/>
          </w:tcPr>
          <w:p>
            <w:pPr>
              <w:spacing w:line="240" w:lineRule="auto"/>
              <w:ind w:firstLine="0" w:firstLineChars="0"/>
              <w:rPr>
                <w:bCs/>
              </w:rPr>
            </w:pPr>
            <w:r>
              <w:rPr>
                <w:rFonts w:hint="eastAsia"/>
                <w:bCs/>
              </w:rPr>
              <w:t>提升</w:t>
            </w:r>
            <w:r>
              <w:rPr>
                <w:bCs/>
              </w:rPr>
              <w:t>300%</w:t>
            </w:r>
          </w:p>
        </w:tc>
        <w:tc>
          <w:tcPr>
            <w:tcW w:w="2639" w:type="pct"/>
            <w:shd w:val="clear" w:color="auto" w:fill="auto"/>
            <w:vAlign w:val="center"/>
          </w:tcPr>
          <w:p>
            <w:pPr>
              <w:spacing w:line="240" w:lineRule="auto"/>
              <w:rPr>
                <w:bCs/>
              </w:rPr>
            </w:pPr>
            <w:r>
              <w:rPr>
                <w:rFonts w:hint="eastAsia"/>
                <w:bCs/>
              </w:rPr>
              <w:t>由原来联网直报只针对全市四上企业（</w:t>
            </w:r>
            <w:r>
              <w:rPr>
                <w:bCs/>
              </w:rPr>
              <w:t>5万家用户），拓展到包括四下企业用户（20</w:t>
            </w:r>
            <w:r>
              <w:rPr>
                <w:rFonts w:hint="eastAsia"/>
                <w:bCs/>
              </w:rPr>
              <w:t>万用户），企业用户数提升超过</w:t>
            </w:r>
            <w:r>
              <w:rPr>
                <w:bCs/>
              </w:rPr>
              <w:t>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510" w:type="pct"/>
            <w:shd w:val="clear" w:color="auto" w:fill="auto"/>
            <w:vAlign w:val="center"/>
          </w:tcPr>
          <w:p>
            <w:pPr>
              <w:spacing w:line="240" w:lineRule="auto"/>
              <w:ind w:firstLine="240" w:firstLineChars="100"/>
              <w:jc w:val="left"/>
              <w:rPr>
                <w:bCs/>
              </w:rPr>
            </w:pPr>
            <w:r>
              <w:rPr>
                <w:bCs/>
              </w:rPr>
              <w:t>3</w:t>
            </w:r>
          </w:p>
        </w:tc>
        <w:tc>
          <w:tcPr>
            <w:tcW w:w="968" w:type="pct"/>
            <w:shd w:val="clear" w:color="auto" w:fill="auto"/>
            <w:vAlign w:val="center"/>
          </w:tcPr>
          <w:p>
            <w:pPr>
              <w:spacing w:line="240" w:lineRule="auto"/>
              <w:ind w:firstLine="0" w:firstLineChars="0"/>
              <w:rPr>
                <w:bCs/>
              </w:rPr>
            </w:pPr>
            <w:r>
              <w:rPr>
                <w:rFonts w:hint="eastAsia"/>
                <w:bCs/>
              </w:rPr>
              <w:t>数字化统计作业方式比例</w:t>
            </w:r>
          </w:p>
        </w:tc>
        <w:tc>
          <w:tcPr>
            <w:tcW w:w="883" w:type="pct"/>
            <w:vAlign w:val="center"/>
          </w:tcPr>
          <w:p>
            <w:pPr>
              <w:spacing w:line="240" w:lineRule="auto"/>
              <w:ind w:firstLine="0" w:firstLineChars="0"/>
              <w:rPr>
                <w:bCs/>
              </w:rPr>
            </w:pPr>
            <w:r>
              <w:rPr>
                <w:rFonts w:hint="eastAsia"/>
                <w:bCs/>
              </w:rPr>
              <w:t>由</w:t>
            </w:r>
            <w:r>
              <w:rPr>
                <w:bCs/>
              </w:rPr>
              <w:t>50%提升到80%。</w:t>
            </w:r>
          </w:p>
        </w:tc>
        <w:tc>
          <w:tcPr>
            <w:tcW w:w="2639" w:type="pct"/>
            <w:shd w:val="clear" w:color="auto" w:fill="auto"/>
            <w:vAlign w:val="center"/>
          </w:tcPr>
          <w:p>
            <w:pPr>
              <w:spacing w:line="240" w:lineRule="auto"/>
              <w:rPr>
                <w:bCs/>
              </w:rPr>
            </w:pPr>
            <w:r>
              <w:rPr>
                <w:rFonts w:hint="eastAsia"/>
                <w:bCs/>
              </w:rPr>
              <w:t>实现数字化统计工作方式，提升数据采集自动化水平，原来采用纸质或者非信息化方式开展的数据采集由原来的</w:t>
            </w:r>
            <w:r>
              <w:rPr>
                <w:bCs/>
              </w:rPr>
              <w:t>50%，提高到90%。该数据考核方式通过发行调查问卷的方式获取，通过对数据采集人员的调研，获取自动化采集比例的数据。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510" w:type="pct"/>
            <w:shd w:val="clear" w:color="auto" w:fill="auto"/>
            <w:vAlign w:val="center"/>
          </w:tcPr>
          <w:p>
            <w:pPr>
              <w:spacing w:line="240" w:lineRule="auto"/>
              <w:ind w:firstLine="240" w:firstLineChars="100"/>
              <w:jc w:val="left"/>
              <w:rPr>
                <w:bCs/>
              </w:rPr>
            </w:pPr>
            <w:r>
              <w:rPr>
                <w:bCs/>
              </w:rPr>
              <w:t>4</w:t>
            </w:r>
          </w:p>
        </w:tc>
        <w:tc>
          <w:tcPr>
            <w:tcW w:w="968" w:type="pct"/>
            <w:shd w:val="clear" w:color="auto" w:fill="auto"/>
            <w:vAlign w:val="center"/>
          </w:tcPr>
          <w:p>
            <w:pPr>
              <w:spacing w:line="240" w:lineRule="auto"/>
              <w:ind w:firstLine="0" w:firstLineChars="0"/>
              <w:rPr>
                <w:bCs/>
              </w:rPr>
            </w:pPr>
            <w:r>
              <w:rPr>
                <w:rFonts w:hint="eastAsia"/>
                <w:bCs/>
              </w:rPr>
              <w:t>重点领域统计调查数据上报周期</w:t>
            </w:r>
          </w:p>
        </w:tc>
        <w:tc>
          <w:tcPr>
            <w:tcW w:w="883" w:type="pct"/>
            <w:vAlign w:val="center"/>
          </w:tcPr>
          <w:p>
            <w:pPr>
              <w:spacing w:line="240" w:lineRule="auto"/>
              <w:ind w:firstLine="0" w:firstLineChars="0"/>
              <w:rPr>
                <w:bCs/>
              </w:rPr>
            </w:pPr>
            <w:r>
              <w:rPr>
                <w:rFonts w:hint="eastAsia"/>
                <w:bCs/>
              </w:rPr>
              <w:t>缩短</w:t>
            </w:r>
            <w:r>
              <w:rPr>
                <w:bCs/>
              </w:rPr>
              <w:t>20%</w:t>
            </w:r>
            <w:r>
              <w:rPr>
                <w:rFonts w:hint="eastAsia"/>
                <w:bCs/>
              </w:rPr>
              <w:t>。</w:t>
            </w:r>
          </w:p>
        </w:tc>
        <w:tc>
          <w:tcPr>
            <w:tcW w:w="2639" w:type="pct"/>
            <w:shd w:val="clear" w:color="auto" w:fill="auto"/>
            <w:vAlign w:val="center"/>
          </w:tcPr>
          <w:p>
            <w:pPr>
              <w:spacing w:line="240" w:lineRule="auto"/>
              <w:rPr>
                <w:bCs/>
              </w:rPr>
            </w:pPr>
            <w:r>
              <w:rPr>
                <w:rFonts w:hint="eastAsia"/>
                <w:bCs/>
              </w:rPr>
              <w:t>通过改善数据采集手段，进一步提高数据审核效率。可以通过统计多个重点领域调查的平均频度得出该项数据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510" w:type="pct"/>
            <w:shd w:val="clear" w:color="auto" w:fill="auto"/>
            <w:vAlign w:val="center"/>
          </w:tcPr>
          <w:p>
            <w:pPr>
              <w:spacing w:line="240" w:lineRule="auto"/>
              <w:ind w:firstLine="240" w:firstLineChars="100"/>
              <w:jc w:val="left"/>
              <w:rPr>
                <w:bCs/>
              </w:rPr>
            </w:pPr>
            <w:r>
              <w:rPr>
                <w:bCs/>
              </w:rPr>
              <w:t>5</w:t>
            </w:r>
          </w:p>
        </w:tc>
        <w:tc>
          <w:tcPr>
            <w:tcW w:w="968" w:type="pct"/>
            <w:shd w:val="clear" w:color="auto" w:fill="auto"/>
            <w:vAlign w:val="center"/>
          </w:tcPr>
          <w:p>
            <w:pPr>
              <w:spacing w:line="240" w:lineRule="auto"/>
              <w:ind w:firstLine="0" w:firstLineChars="0"/>
              <w:rPr>
                <w:bCs/>
              </w:rPr>
            </w:pPr>
            <w:r>
              <w:rPr>
                <w:rFonts w:hint="eastAsia"/>
                <w:bCs/>
              </w:rPr>
              <w:t>信息系统共享水平</w:t>
            </w:r>
          </w:p>
        </w:tc>
        <w:tc>
          <w:tcPr>
            <w:tcW w:w="883" w:type="pct"/>
            <w:vAlign w:val="center"/>
          </w:tcPr>
          <w:p>
            <w:pPr>
              <w:spacing w:line="240" w:lineRule="auto"/>
              <w:ind w:firstLine="0" w:firstLineChars="0"/>
              <w:rPr>
                <w:bCs/>
              </w:rPr>
            </w:pPr>
            <w:r>
              <w:rPr>
                <w:rFonts w:hint="eastAsia"/>
                <w:bCs/>
              </w:rPr>
              <w:t>系统实现市、区统计部门</w:t>
            </w:r>
            <w:r>
              <w:rPr>
                <w:bCs/>
              </w:rPr>
              <w:t>100%共享使用。</w:t>
            </w:r>
          </w:p>
        </w:tc>
        <w:tc>
          <w:tcPr>
            <w:tcW w:w="2639" w:type="pct"/>
            <w:shd w:val="clear" w:color="auto" w:fill="auto"/>
            <w:vAlign w:val="center"/>
          </w:tcPr>
          <w:p>
            <w:pPr>
              <w:spacing w:line="240" w:lineRule="auto"/>
              <w:rPr>
                <w:bCs/>
              </w:rPr>
            </w:pPr>
            <w:r>
              <w:rPr>
                <w:rFonts w:hint="eastAsia"/>
                <w:bCs/>
              </w:rPr>
              <w:t>采用政务云进行系统部署，促进跨地区、跨层级信息共享、业务协同，与多个部门实现跨部门的数据共享与业务协同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510" w:type="pct"/>
            <w:shd w:val="clear" w:color="auto" w:fill="auto"/>
            <w:vAlign w:val="center"/>
          </w:tcPr>
          <w:p>
            <w:pPr>
              <w:spacing w:line="240" w:lineRule="auto"/>
              <w:ind w:firstLine="240" w:firstLineChars="100"/>
              <w:jc w:val="left"/>
              <w:rPr>
                <w:bCs/>
              </w:rPr>
            </w:pPr>
            <w:r>
              <w:rPr>
                <w:rFonts w:hint="eastAsia"/>
                <w:bCs/>
              </w:rPr>
              <w:t>二</w:t>
            </w:r>
          </w:p>
        </w:tc>
        <w:tc>
          <w:tcPr>
            <w:tcW w:w="968" w:type="pct"/>
            <w:shd w:val="clear" w:color="auto" w:fill="auto"/>
            <w:vAlign w:val="center"/>
          </w:tcPr>
          <w:p>
            <w:pPr>
              <w:spacing w:line="240" w:lineRule="auto"/>
              <w:ind w:firstLine="0" w:firstLineChars="0"/>
              <w:rPr>
                <w:bCs/>
              </w:rPr>
            </w:pPr>
            <w:r>
              <w:rPr>
                <w:rFonts w:hint="eastAsia"/>
                <w:bCs/>
              </w:rPr>
              <w:t>本期工程</w:t>
            </w:r>
          </w:p>
        </w:tc>
        <w:tc>
          <w:tcPr>
            <w:tcW w:w="883" w:type="pct"/>
            <w:vAlign w:val="center"/>
          </w:tcPr>
          <w:p>
            <w:pPr>
              <w:spacing w:line="240" w:lineRule="auto"/>
              <w:rPr>
                <w:bCs/>
              </w:rPr>
            </w:pPr>
          </w:p>
        </w:tc>
        <w:tc>
          <w:tcPr>
            <w:tcW w:w="2639" w:type="pct"/>
            <w:shd w:val="clear" w:color="auto" w:fill="auto"/>
            <w:vAlign w:val="center"/>
          </w:tcPr>
          <w:p>
            <w:pPr>
              <w:spacing w:line="240" w:lineRule="auto"/>
              <w:rPr>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510" w:type="pct"/>
            <w:shd w:val="clear" w:color="auto" w:fill="auto"/>
            <w:vAlign w:val="center"/>
          </w:tcPr>
          <w:p>
            <w:pPr>
              <w:spacing w:line="240" w:lineRule="auto"/>
              <w:ind w:firstLine="240" w:firstLineChars="100"/>
              <w:jc w:val="left"/>
              <w:rPr>
                <w:bCs/>
              </w:rPr>
            </w:pPr>
            <w:r>
              <w:rPr>
                <w:bCs/>
              </w:rPr>
              <w:t>1</w:t>
            </w:r>
          </w:p>
        </w:tc>
        <w:tc>
          <w:tcPr>
            <w:tcW w:w="968" w:type="pct"/>
            <w:shd w:val="clear" w:color="auto" w:fill="auto"/>
            <w:vAlign w:val="center"/>
          </w:tcPr>
          <w:p>
            <w:pPr>
              <w:spacing w:line="240" w:lineRule="auto"/>
              <w:ind w:firstLine="0" w:firstLineChars="0"/>
              <w:rPr>
                <w:bCs/>
              </w:rPr>
            </w:pPr>
            <w:r>
              <w:rPr>
                <w:rFonts w:hint="eastAsia"/>
                <w:bCs/>
              </w:rPr>
              <w:t>系统运行环境国产化率</w:t>
            </w:r>
          </w:p>
        </w:tc>
        <w:tc>
          <w:tcPr>
            <w:tcW w:w="883" w:type="pct"/>
            <w:vAlign w:val="center"/>
          </w:tcPr>
          <w:p>
            <w:pPr>
              <w:spacing w:line="240" w:lineRule="auto"/>
              <w:rPr>
                <w:bCs/>
              </w:rPr>
            </w:pPr>
            <w:r>
              <w:rPr>
                <w:bCs/>
              </w:rPr>
              <w:t>90%</w:t>
            </w:r>
          </w:p>
        </w:tc>
        <w:tc>
          <w:tcPr>
            <w:tcW w:w="2639" w:type="pct"/>
            <w:shd w:val="clear" w:color="auto" w:fill="auto"/>
            <w:vAlign w:val="center"/>
          </w:tcPr>
          <w:p>
            <w:pPr>
              <w:spacing w:line="240" w:lineRule="auto"/>
              <w:rPr>
                <w:bCs/>
              </w:rPr>
            </w:pPr>
            <w:r>
              <w:rPr>
                <w:rFonts w:hint="eastAsia"/>
                <w:bCs/>
              </w:rPr>
              <w:t>包括硬件支撑环境和系统软件的国产化率。通过查询本项目采购清单得出国产化率。</w:t>
            </w:r>
          </w:p>
        </w:tc>
      </w:tr>
    </w:tbl>
    <w:p>
      <w:pPr>
        <w:ind w:firstLine="482"/>
        <w:rPr>
          <w:b/>
          <w:bCs/>
        </w:rPr>
      </w:pPr>
    </w:p>
    <w:p>
      <w:pPr>
        <w:ind w:firstLine="482"/>
        <w:rPr>
          <w:b/>
          <w:lang w:val="en-GB"/>
        </w:rPr>
      </w:pPr>
      <w:bookmarkStart w:id="11" w:name="_Toc168596925"/>
      <w:bookmarkStart w:id="12" w:name="_Toc163376570"/>
      <w:bookmarkStart w:id="13" w:name="_Toc163375942"/>
      <w:r>
        <w:rPr>
          <w:rFonts w:hint="eastAsia"/>
          <w:b/>
          <w:lang w:val="en-GB"/>
        </w:rPr>
        <w:t>（三）技术绩效考核指标</w:t>
      </w:r>
      <w:bookmarkEnd w:id="11"/>
      <w:bookmarkEnd w:id="12"/>
      <w:bookmarkEnd w:id="13"/>
    </w:p>
    <w:p>
      <w:pPr>
        <w:rPr>
          <w:bCs/>
        </w:rPr>
      </w:pPr>
      <w:r>
        <w:rPr>
          <w:bCs/>
        </w:rPr>
        <w:t>1.稳定性指标</w:t>
      </w:r>
    </w:p>
    <w:p>
      <w:pPr>
        <w:rPr>
          <w:bCs/>
        </w:rPr>
      </w:pPr>
      <w:r>
        <w:rPr>
          <w:rFonts w:hint="eastAsia"/>
          <w:bCs/>
        </w:rPr>
        <w:t>（</w:t>
      </w:r>
      <w:r>
        <w:rPr>
          <w:bCs/>
        </w:rPr>
        <w:t>1）提供满足7*24小时不间断的持续服务能力，系统有效工作时间≥99%；</w:t>
      </w:r>
    </w:p>
    <w:p>
      <w:pPr>
        <w:rPr>
          <w:bCs/>
        </w:rPr>
      </w:pPr>
      <w:r>
        <w:rPr>
          <w:rFonts w:hint="eastAsia"/>
          <w:bCs/>
        </w:rPr>
        <w:t>（</w:t>
      </w:r>
      <w:r>
        <w:rPr>
          <w:bCs/>
        </w:rPr>
        <w:t>2）系统故障恢复时间不超过30分钟；</w:t>
      </w:r>
    </w:p>
    <w:p>
      <w:pPr>
        <w:rPr>
          <w:bCs/>
        </w:rPr>
      </w:pPr>
      <w:r>
        <w:rPr>
          <w:rFonts w:hint="eastAsia"/>
          <w:bCs/>
        </w:rPr>
        <w:t>（</w:t>
      </w:r>
      <w:r>
        <w:rPr>
          <w:bCs/>
        </w:rPr>
        <w:t>3）无故障连续工作时间MTBF&gt;1万小时；</w:t>
      </w:r>
    </w:p>
    <w:p>
      <w:pPr>
        <w:rPr>
          <w:bCs/>
        </w:rPr>
      </w:pPr>
      <w:r>
        <w:rPr>
          <w:rFonts w:hint="eastAsia"/>
          <w:bCs/>
        </w:rPr>
        <w:t>（</w:t>
      </w:r>
      <w:r>
        <w:rPr>
          <w:bCs/>
        </w:rPr>
        <w:t>4）不出现以下情况：无故退出系统；发生系统不可控制的故障提示；因系统故障导致操作系统或机器无法正常操作；</w:t>
      </w:r>
    </w:p>
    <w:p>
      <w:pPr>
        <w:rPr>
          <w:bCs/>
        </w:rPr>
      </w:pPr>
      <w:r>
        <w:rPr>
          <w:rFonts w:hint="eastAsia"/>
          <w:bCs/>
        </w:rPr>
        <w:t>（</w:t>
      </w:r>
      <w:r>
        <w:rPr>
          <w:bCs/>
        </w:rPr>
        <w:t>5）用户界面程序异常停止后，不应影响服务器端系统和其它用户界面的正常运行。</w:t>
      </w:r>
    </w:p>
    <w:p>
      <w:pPr>
        <w:rPr>
          <w:bCs/>
        </w:rPr>
      </w:pPr>
      <w:r>
        <w:rPr>
          <w:bCs/>
        </w:rPr>
        <w:t>2.响应指标</w:t>
      </w:r>
    </w:p>
    <w:p>
      <w:pPr>
        <w:rPr>
          <w:bCs/>
        </w:rPr>
      </w:pPr>
      <w:r>
        <w:rPr>
          <w:rFonts w:hint="eastAsia"/>
          <w:bCs/>
        </w:rPr>
        <w:t>（</w:t>
      </w:r>
      <w:r>
        <w:rPr>
          <w:bCs/>
        </w:rPr>
        <w:t>1）简单事务处理（包含各类信息录入、修改、查询业务、主要页面平均响应时间等）≤1s；</w:t>
      </w:r>
    </w:p>
    <w:p>
      <w:pPr>
        <w:rPr>
          <w:bCs/>
        </w:rPr>
      </w:pPr>
      <w:r>
        <w:rPr>
          <w:rFonts w:hint="eastAsia"/>
          <w:bCs/>
        </w:rPr>
        <w:t>（</w:t>
      </w:r>
      <w:r>
        <w:rPr>
          <w:bCs/>
        </w:rPr>
        <w:t>2）信息录入、修改型简单事务：平均响应时间≤3s；</w:t>
      </w:r>
    </w:p>
    <w:p>
      <w:pPr>
        <w:rPr>
          <w:bCs/>
        </w:rPr>
      </w:pPr>
      <w:r>
        <w:rPr>
          <w:rFonts w:hint="eastAsia"/>
          <w:bCs/>
        </w:rPr>
        <w:t>（</w:t>
      </w:r>
      <w:r>
        <w:rPr>
          <w:bCs/>
        </w:rPr>
        <w:t>3）复杂事务处理≤8s；</w:t>
      </w:r>
    </w:p>
    <w:p>
      <w:pPr>
        <w:rPr>
          <w:bCs/>
        </w:rPr>
      </w:pPr>
      <w:r>
        <w:rPr>
          <w:rFonts w:hint="eastAsia"/>
          <w:bCs/>
        </w:rPr>
        <w:t>（</w:t>
      </w:r>
      <w:r>
        <w:rPr>
          <w:bCs/>
        </w:rPr>
        <w:t>4）各类固定统计报表形成时间：≤5分钟；</w:t>
      </w:r>
    </w:p>
    <w:p>
      <w:pPr>
        <w:rPr>
          <w:bCs/>
        </w:rPr>
      </w:pPr>
      <w:r>
        <w:rPr>
          <w:rFonts w:hint="eastAsia"/>
          <w:bCs/>
        </w:rPr>
        <w:t>（</w:t>
      </w:r>
      <w:r>
        <w:rPr>
          <w:bCs/>
        </w:rPr>
        <w:t>5）在应急操作环境下，浏览响应时间在3秒之内；</w:t>
      </w:r>
    </w:p>
    <w:p>
      <w:pPr>
        <w:rPr>
          <w:bCs/>
        </w:rPr>
      </w:pPr>
      <w:r>
        <w:rPr>
          <w:rFonts w:hint="eastAsia"/>
          <w:bCs/>
        </w:rPr>
        <w:t>（</w:t>
      </w:r>
      <w:r>
        <w:rPr>
          <w:bCs/>
        </w:rPr>
        <w:t>6）支持最大同时在线16000人以上,支持最大并发数170人以上。</w:t>
      </w:r>
    </w:p>
    <w:p>
      <w:pPr>
        <w:rPr>
          <w:bCs/>
        </w:rPr>
      </w:pPr>
      <w:r>
        <w:rPr>
          <w:bCs/>
        </w:rPr>
        <w:t>3.并发用户数</w:t>
      </w:r>
    </w:p>
    <w:p>
      <w:pPr>
        <w:rPr>
          <w:bCs/>
        </w:rPr>
      </w:pPr>
      <w:r>
        <w:rPr>
          <w:rFonts w:hint="eastAsia"/>
          <w:bCs/>
        </w:rPr>
        <w:t>平台最多支持</w:t>
      </w:r>
      <w:r>
        <w:rPr>
          <w:bCs/>
        </w:rPr>
        <w:t>170个并发用户数。</w:t>
      </w:r>
    </w:p>
    <w:p>
      <w:pPr>
        <w:pStyle w:val="2"/>
      </w:pPr>
      <w:bookmarkStart w:id="14" w:name="_Toc47537166"/>
      <w:bookmarkEnd w:id="14"/>
      <w:bookmarkStart w:id="15" w:name="_Toc47533288"/>
      <w:bookmarkEnd w:id="15"/>
      <w:bookmarkStart w:id="16" w:name="_Toc47539102"/>
      <w:bookmarkEnd w:id="16"/>
      <w:bookmarkStart w:id="17" w:name="_Toc47532923"/>
      <w:bookmarkEnd w:id="17"/>
      <w:bookmarkStart w:id="18" w:name="_Toc47536676"/>
      <w:bookmarkEnd w:id="18"/>
      <w:bookmarkStart w:id="19" w:name="_Toc47536304"/>
      <w:bookmarkEnd w:id="19"/>
      <w:r>
        <w:rPr>
          <w:rFonts w:hint="eastAsia"/>
        </w:rPr>
        <w:t>项目建设内容</w:t>
      </w:r>
    </w:p>
    <w:p>
      <w:pPr>
        <w:pStyle w:val="3"/>
        <w:ind w:left="567"/>
      </w:pPr>
      <w:r>
        <w:rPr>
          <w:rFonts w:hint="eastAsia"/>
        </w:rPr>
        <w:t>建设内容</w:t>
      </w:r>
    </w:p>
    <w:p>
      <w:r>
        <w:rPr>
          <w:rFonts w:hint="eastAsia"/>
        </w:rPr>
        <w:t>本项目是在国家统计局“统计云”平台建设运行后颠覆原统计联网直报模式的背景下，按照《统计云省级自建节点建设技术规范》要求，遵循国家统计局联网直报系统技术路线完成上海市配套国家“统计云”的统计联网直报系统构建，完成本市统计调查的数据采集与处理工作，建设上海市统计调查数据双向回流接收系统，定期将国家定版的统计调查数据回存到本市节点，以全量数量进行数据质量评估、加工、汇总和分析应用。</w:t>
      </w:r>
    </w:p>
    <w:p>
      <w:r>
        <w:rPr>
          <w:rFonts w:hint="eastAsia"/>
        </w:rPr>
        <w:t>（</w:t>
      </w:r>
      <w:r>
        <w:t>1）上海统计业务定制开发。根据上海统计业务需求定制开发上海市汇总报表设计器，实现对上海市自建调查制度的汇总表表样设计和汇总规则编辑。</w:t>
      </w:r>
    </w:p>
    <w:p>
      <w:r>
        <w:rPr>
          <w:rFonts w:hint="eastAsia"/>
        </w:rPr>
        <w:t>（</w:t>
      </w:r>
      <w:r>
        <w:t>2）数据双向回流系统。数据双向回流系统需要将上海市企业填报的数据准实时同步上报到国家统计局，由国家统计局进行审验，对国家统计局“统计云”平台中的审验后的定版数据进行回流，并完成回流数据管理，确保数据回流完整准确。</w:t>
      </w:r>
    </w:p>
    <w:p>
      <w:r>
        <w:rPr>
          <w:rFonts w:hint="eastAsia"/>
        </w:rPr>
        <w:t>（</w:t>
      </w:r>
      <w:r>
        <w:t>3）上海统计云定制专题分析。为了研究本市宏观经济状态，选择工业专业和服务业专业进行主题分析，以上海市统计云联网直报一套表数据作为主要数据来源，利用模型算法，全面分析上海市工业生产经营活动情况和服务业经营情况，并对异常变动进行告警。</w:t>
      </w:r>
    </w:p>
    <w:p>
      <w:r>
        <w:rPr>
          <w:rFonts w:hint="eastAsia"/>
        </w:rPr>
        <w:t>（</w:t>
      </w:r>
      <w:r>
        <w:t>4）与上海市一网通办企业身份认证体系集成。《统计云省级自建节点建设技术规范》要求“省级节点需要建立省级门户及身份认证系统”，以保障统计数据在链路传输过程中的安全性，建设新版统计联网直报省级节点后，在统计云工程上海联网直报节点的登录界面，为用户提供包括通过上海市一网通办企业身份认证体系的认证接口进行身份鉴别，提供手机短信方式进行验证两种登录方式。</w:t>
      </w:r>
    </w:p>
    <w:p>
      <w:r>
        <w:rPr>
          <w:rFonts w:hint="eastAsia"/>
        </w:rPr>
        <w:t>（</w:t>
      </w:r>
      <w:r>
        <w:t>5）联网直报国家下发版本适配改造与部署实施。基于上海市政务云基础环境，将国家下发的统计云联网直报系统进行适配改造和安装部署，并提供系统业务初始化和国家统计云系统基础数据迁移服务，保障地方联网直报节点系统的正常运行。</w:t>
      </w:r>
    </w:p>
    <w:p>
      <w:r>
        <w:rPr>
          <w:rFonts w:hint="eastAsia"/>
        </w:rPr>
        <w:t>（</w:t>
      </w:r>
      <w:r>
        <w:t>6）数据服务。为满足上海市统计数据采集、处理、汇总等业务需求，在系统中定制基层表、汇总表、查询模板、导出模版以及过录表、审核规则、摘抄跳转规则、衍生计算、等业务属性。</w:t>
      </w:r>
    </w:p>
    <w:p>
      <w:pPr>
        <w:pStyle w:val="3"/>
      </w:pPr>
      <w:r>
        <w:rPr>
          <w:rFonts w:hint="eastAsia"/>
        </w:rPr>
        <w:t>总体架构</w:t>
      </w:r>
    </w:p>
    <w:p>
      <w:pPr>
        <w:pStyle w:val="4"/>
      </w:pPr>
      <w:bookmarkStart w:id="20" w:name="_Toc163375979"/>
      <w:bookmarkStart w:id="21" w:name="_Toc168596963"/>
      <w:bookmarkStart w:id="22" w:name="_Toc152676156"/>
      <w:bookmarkStart w:id="23" w:name="_Toc163376607"/>
      <w:bookmarkStart w:id="24" w:name="_Toc138619357"/>
      <w:r>
        <w:rPr>
          <w:rFonts w:hint="eastAsia"/>
        </w:rPr>
        <w:t>国家统计云总体架构</w:t>
      </w:r>
      <w:bookmarkEnd w:id="20"/>
      <w:bookmarkEnd w:id="21"/>
      <w:bookmarkEnd w:id="22"/>
      <w:bookmarkEnd w:id="23"/>
    </w:p>
    <w:p>
      <w:r>
        <w:rPr>
          <w:rFonts w:hint="eastAsia"/>
        </w:rPr>
        <w:t>统计云建设内容包含业务应用建设和基础设施建设两大部分，其中国家统计云业务应用建设对应省级统计局自主构建的统计行业特有应用，统计云基础设施建设对应省级统计局自有基础设施或地方政务云基础设施和服务。</w:t>
      </w:r>
    </w:p>
    <w:p>
      <w:r>
        <w:rPr>
          <w:rFonts w:hint="eastAsia"/>
        </w:rPr>
        <w:t>业务应用方面。一是建设了管理平台。包含统一门户、统一用户、元数据、制度设计、调查对象管理等业务方面建设内容，以及人事信息管理、统一用户管理、统一身份认证和单点登录等技术方面建设内容。二是建设了数据采集处理系统。包含联网直报系统、价格调查系统、住户调查系统、数据处理子系统建设。三是建设了数据管理系统。包含数据资源管理、数据分析演示、数据交换共享、数据编辑出版、数据公开发布以及统计一张图等子系统建设内容。四是建设了大数据开发系统。智能高效服务统计业务工作，提供大数据整理、筛选、存储、分析等主要功能，开发了数据智能审核、行业智能编码等</w:t>
      </w:r>
      <w:r>
        <w:t>18个子系统</w:t>
      </w:r>
      <w:r>
        <w:rPr>
          <w:rFonts w:hint="eastAsia"/>
        </w:rPr>
        <w:t>。</w:t>
      </w:r>
    </w:p>
    <w:p>
      <w:r>
        <w:rPr>
          <w:rFonts w:hint="eastAsia"/>
        </w:rPr>
        <w:t>基础设施方面。建设了统一的统计云技术平台，在基础设施层，提供计算、存储、网络、安全等基础云服务；在应用支撑层，提供操作系统、数据库、中间件、容器等基础云服务，实现云上资源的统一监控和运维管理，为各应用系统提供基础环境支撑和保障。</w:t>
      </w:r>
    </w:p>
    <w:p>
      <w:r>
        <w:rPr>
          <w:rFonts w:hint="eastAsia"/>
        </w:rPr>
        <w:t>总体架构如下图所示：</w:t>
      </w:r>
    </w:p>
    <w:p>
      <w:pPr>
        <w:sectPr>
          <w:headerReference r:id="rId11" w:type="default"/>
          <w:footerReference r:id="rId12" w:type="default"/>
          <w:pgSz w:w="11906" w:h="16838"/>
          <w:pgMar w:top="1440" w:right="1800" w:bottom="1440" w:left="1800" w:header="851" w:footer="283" w:gutter="0"/>
          <w:pgNumType w:start="1"/>
          <w:cols w:space="425" w:num="1"/>
          <w:docGrid w:type="lines" w:linePitch="381" w:charSpace="0"/>
        </w:sectPr>
      </w:pPr>
    </w:p>
    <w:p>
      <w:pPr>
        <w:pStyle w:val="134"/>
      </w:pPr>
      <w:r>
        <w:rPr>
          <w:lang w:val="en-US"/>
        </w:rPr>
        <w:drawing>
          <wp:inline distT="0" distB="0" distL="0" distR="0">
            <wp:extent cx="8851265" cy="3683000"/>
            <wp:effectExtent l="0" t="0" r="6985" b="0"/>
            <wp:docPr id="38993964" name="图片 4" descr="国家统计云总体架构图-第 1 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93964" name="图片 4" descr="国家统计云总体架构图-第 1 页"/>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8874874" cy="3692700"/>
                    </a:xfrm>
                    <a:prstGeom prst="rect">
                      <a:avLst/>
                    </a:prstGeom>
                    <a:noFill/>
                    <a:ln>
                      <a:noFill/>
                    </a:ln>
                  </pic:spPr>
                </pic:pic>
              </a:graphicData>
            </a:graphic>
          </wp:inline>
        </w:drawing>
      </w:r>
    </w:p>
    <w:p>
      <w:pPr>
        <w:pStyle w:val="134"/>
      </w:pPr>
    </w:p>
    <w:p>
      <w:pPr>
        <w:pStyle w:val="134"/>
        <w:sectPr>
          <w:pgSz w:w="16838" w:h="11906" w:orient="landscape"/>
          <w:pgMar w:top="1797" w:right="1440" w:bottom="1797" w:left="1440" w:header="851" w:footer="283" w:gutter="0"/>
          <w:cols w:space="425" w:num="1"/>
          <w:docGrid w:type="linesAndChars" w:linePitch="381" w:charSpace="0"/>
        </w:sectPr>
      </w:pPr>
    </w:p>
    <w:p>
      <w:pPr>
        <w:pStyle w:val="4"/>
      </w:pPr>
      <w:bookmarkStart w:id="25" w:name="_Toc163375980"/>
      <w:bookmarkStart w:id="26" w:name="_Toc152676157"/>
      <w:bookmarkStart w:id="27" w:name="_Toc168596964"/>
      <w:bookmarkStart w:id="28" w:name="_Toc163376608"/>
      <w:r>
        <w:rPr>
          <w:rFonts w:hint="eastAsia"/>
        </w:rPr>
        <w:t>本项目架构</w:t>
      </w:r>
      <w:bookmarkEnd w:id="25"/>
      <w:bookmarkEnd w:id="26"/>
      <w:bookmarkEnd w:id="27"/>
      <w:bookmarkEnd w:id="28"/>
    </w:p>
    <w:p>
      <w:r>
        <w:rPr>
          <w:rFonts w:hint="eastAsia"/>
        </w:rPr>
        <w:t>本项目基于国家统计云总体架构，建设上海联网直报节点。</w:t>
      </w:r>
    </w:p>
    <w:p>
      <w:r>
        <w:rPr>
          <w:rFonts w:hint="eastAsia"/>
        </w:rPr>
        <w:t>总体架构包括侧边的安全保障体系、标准规范体系、运行保障体系，由下至上分别是基础设施层、数据资源层、应用支撑层、业务应用层和用户层，每一层都是上一层的底层支持，整个架构集中体现：以基础设施层为依托，以数据资源层为支撑，以应用支撑层和业务应用层为核心，面向用户层提供服务。</w:t>
      </w:r>
    </w:p>
    <w:p>
      <w:r>
        <w:rPr>
          <w:rFonts w:hint="eastAsia"/>
        </w:rPr>
        <w:t>（</w:t>
      </w:r>
      <w:r>
        <w:t>1）基础设施层：</w:t>
      </w:r>
      <w:r>
        <w:rPr>
          <w:rFonts w:hint="eastAsia"/>
        </w:rPr>
        <w:t>基础环境</w:t>
      </w:r>
      <w:r>
        <w:t>基于市政务信创云平台，</w:t>
      </w:r>
      <w:r>
        <w:rPr>
          <w:rFonts w:hint="eastAsia"/>
        </w:rPr>
        <w:t>提供计算、存储网络、安全等基础硬件运行环境。</w:t>
      </w:r>
    </w:p>
    <w:p>
      <w:r>
        <w:rPr>
          <w:rFonts w:hint="eastAsia"/>
        </w:rPr>
        <w:t>（2）技术平台：技术平台层基于</w:t>
      </w:r>
      <w:r>
        <w:t>市政务信创云平台，</w:t>
      </w:r>
      <w:r>
        <w:rPr>
          <w:rFonts w:hint="eastAsia"/>
        </w:rPr>
        <w:t>为业务应用提供国产化操作系统、数据库、中间件、容器云管等等基础云服务，为业务应用系统提供基础环境支撑和保障。</w:t>
      </w:r>
    </w:p>
    <w:p>
      <w:r>
        <w:rPr>
          <w:rFonts w:hint="eastAsia"/>
        </w:rPr>
        <w:t>（</w:t>
      </w:r>
      <w:r>
        <w:t>3）应用支撑层：</w:t>
      </w:r>
      <w:r>
        <w:rPr>
          <w:rFonts w:hint="eastAsia"/>
        </w:rPr>
        <w:t>基于上海市统一门户、用户、权限、日志、认证管理为应用系统提供统一的技术支撑服务，实现快速创建、组装、部署和管理动态的应用逻辑。</w:t>
      </w:r>
    </w:p>
    <w:p>
      <w:r>
        <w:rPr>
          <w:rFonts w:hint="eastAsia"/>
        </w:rPr>
        <w:t>（</w:t>
      </w:r>
      <w:r>
        <w:t>4）业务应用层：建设任务部署、数据采集、部门填报、企业填报、审核验收、数据汇总、产品制作、查询分析、数据管理、系统管理等子系统，实现统计数据采集审验、加工处理等统计业务场景。</w:t>
      </w:r>
    </w:p>
    <w:p>
      <w:r>
        <w:rPr>
          <w:rFonts w:hint="eastAsia"/>
        </w:rPr>
        <w:t>（</w:t>
      </w:r>
      <w:r>
        <w:t>5）用户层：服务对象面向市、区、街镇三级统计机构用户和企业为主的统计调查对象，统计机构用户</w:t>
      </w:r>
      <w:r>
        <w:rPr>
          <w:rFonts w:hint="eastAsia"/>
        </w:rPr>
        <w:t>通过统计专网访问系统，市直部门</w:t>
      </w:r>
      <w:r>
        <w:t>通过政务外网访问系统，统计调查对象通过互联网登录并填报统计报表数据。</w:t>
      </w:r>
    </w:p>
    <w:p>
      <w:r>
        <w:rPr>
          <w:rFonts w:hint="eastAsia"/>
        </w:rPr>
        <w:t>本项目总体架构如下图所示：</w:t>
      </w:r>
    </w:p>
    <w:p>
      <w:pPr>
        <w:sectPr>
          <w:pgSz w:w="11906" w:h="16838"/>
          <w:pgMar w:top="1440" w:right="1800" w:bottom="1440" w:left="1800" w:header="851" w:footer="283" w:gutter="0"/>
          <w:cols w:space="425" w:num="1"/>
          <w:docGrid w:type="lines" w:linePitch="381" w:charSpace="0"/>
        </w:sectPr>
      </w:pPr>
    </w:p>
    <w:p>
      <w:pPr>
        <w:pStyle w:val="134"/>
      </w:pPr>
      <w:r>
        <w:rPr>
          <w:lang w:val="en-US"/>
        </w:rPr>
        <w:drawing>
          <wp:inline distT="0" distB="0" distL="0" distR="0">
            <wp:extent cx="8866505" cy="5123815"/>
            <wp:effectExtent l="0" t="0" r="0" b="635"/>
            <wp:docPr id="169260830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2608304" name="图片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8866505" cy="5123815"/>
                    </a:xfrm>
                    <a:prstGeom prst="rect">
                      <a:avLst/>
                    </a:prstGeom>
                    <a:noFill/>
                  </pic:spPr>
                </pic:pic>
              </a:graphicData>
            </a:graphic>
          </wp:inline>
        </w:drawing>
      </w:r>
    </w:p>
    <w:p>
      <w:pPr>
        <w:pStyle w:val="134"/>
        <w:sectPr>
          <w:pgSz w:w="16838" w:h="11906" w:orient="landscape"/>
          <w:pgMar w:top="1797" w:right="1440" w:bottom="1797" w:left="1440" w:header="851" w:footer="284" w:gutter="0"/>
          <w:cols w:space="425" w:num="1"/>
          <w:docGrid w:type="linesAndChars" w:linePitch="381" w:charSpace="0"/>
        </w:sectPr>
      </w:pPr>
    </w:p>
    <w:p>
      <w:pPr>
        <w:pStyle w:val="4"/>
      </w:pPr>
      <w:bookmarkStart w:id="29" w:name="_Toc163375981"/>
      <w:bookmarkStart w:id="30" w:name="_Toc163376609"/>
      <w:bookmarkStart w:id="31" w:name="_Toc152676158"/>
      <w:bookmarkStart w:id="32" w:name="_Toc168596965"/>
      <w:r>
        <w:rPr>
          <w:rFonts w:hint="eastAsia"/>
        </w:rPr>
        <w:t>省级节点与国家节点的关系</w:t>
      </w:r>
      <w:bookmarkEnd w:id="29"/>
      <w:bookmarkEnd w:id="30"/>
      <w:bookmarkEnd w:id="31"/>
      <w:bookmarkEnd w:id="32"/>
    </w:p>
    <w:p>
      <w:r>
        <w:rPr>
          <w:rFonts w:hint="eastAsia"/>
        </w:rPr>
        <w:t>国家主节点应用适配分布式数据库（华为高斯）和关系型数据库（人大金仓）两个数据库软件版本，省级节点可结合实际参考国家部署方式进行应用开发和系统部署。国家主节点与省级节点之间的数据交换采用消息传输架构，国家主节点与省级节点之间采取“准实时”数据同步策略，消息中间件和数据同步产品的选择应与国家主节点保持一致。</w:t>
      </w:r>
    </w:p>
    <w:p>
      <w:r>
        <w:rPr>
          <w:rFonts w:hint="eastAsia"/>
        </w:rPr>
        <w:t>各省统计局参照国家统计云总体架构，充分利用现代信息技术，开发既有地方特色又与国家互联互通的各类应用，满足本地区统计业务发展和改革创新需要。</w:t>
      </w:r>
    </w:p>
    <w:p>
      <w:pPr>
        <w:pStyle w:val="134"/>
        <w:spacing w:before="163" w:after="163"/>
      </w:pPr>
      <w:r>
        <w:rPr>
          <w:rFonts w:hint="eastAsia"/>
          <w:lang w:val="en-US"/>
        </w:rPr>
        <w:drawing>
          <wp:inline distT="0" distB="0" distL="0" distR="0">
            <wp:extent cx="5274310" cy="2966720"/>
            <wp:effectExtent l="0" t="0" r="2540" b="5080"/>
            <wp:docPr id="2124076627" name="图片 5" descr="省级节点部署架构建议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4076627" name="图片 5" descr="省级节点部署架构建议图"/>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5274310" cy="2966720"/>
                    </a:xfrm>
                    <a:prstGeom prst="rect">
                      <a:avLst/>
                    </a:prstGeom>
                    <a:noFill/>
                    <a:ln>
                      <a:noFill/>
                    </a:ln>
                  </pic:spPr>
                </pic:pic>
              </a:graphicData>
            </a:graphic>
          </wp:inline>
        </w:drawing>
      </w:r>
    </w:p>
    <w:p>
      <w:r>
        <w:rPr>
          <w:rFonts w:hint="eastAsia"/>
        </w:rPr>
        <w:t>为实现省级数据管理节点和数据采集节点的高可用性，国家统计局建议选择云平台模式、主备模式、单点模式中的一种模式进行应用部署，上海市统计局参照国家主节点的建设部署模式，根据自身节点建设的用户量、业务量、数据量评估基础设施需求，依托上海市政务云平台，采用云平台模式建设。</w:t>
      </w:r>
    </w:p>
    <w:bookmarkEnd w:id="24"/>
    <w:p>
      <w:pPr>
        <w:pStyle w:val="3"/>
      </w:pPr>
      <w:r>
        <w:rPr>
          <w:rFonts w:hint="eastAsia"/>
        </w:rPr>
        <w:t>部署环境</w:t>
      </w:r>
    </w:p>
    <w:p>
      <w:r>
        <w:rPr>
          <w:rFonts w:hint="eastAsia"/>
        </w:rPr>
        <w:t>本项目依托上海市电子政务云平台部署，主体部署在政务外网统计专网，并通过政务外网和互联网分别面向政府部门和企业公众提供访问。</w:t>
      </w:r>
    </w:p>
    <w:p>
      <w:pPr>
        <w:pStyle w:val="3"/>
      </w:pPr>
      <w:r>
        <w:rPr>
          <w:rFonts w:hint="eastAsia"/>
        </w:rPr>
        <w:t>技术指标</w:t>
      </w:r>
    </w:p>
    <w:p>
      <w:r>
        <w:t>1.稳定性指标</w:t>
      </w:r>
    </w:p>
    <w:p>
      <w:r>
        <w:rPr>
          <w:rFonts w:hint="eastAsia"/>
        </w:rPr>
        <w:t>（</w:t>
      </w:r>
      <w:r>
        <w:t>1）提供满足7*24小时不间断的持续服务能力，系统有效工作时间≥99%；</w:t>
      </w:r>
    </w:p>
    <w:p>
      <w:r>
        <w:rPr>
          <w:rFonts w:hint="eastAsia"/>
        </w:rPr>
        <w:t>（</w:t>
      </w:r>
      <w:r>
        <w:t>2）系统故障恢复时间不超过30分钟；</w:t>
      </w:r>
    </w:p>
    <w:p>
      <w:r>
        <w:rPr>
          <w:rFonts w:hint="eastAsia"/>
        </w:rPr>
        <w:t>（</w:t>
      </w:r>
      <w:r>
        <w:t>3）无故障连续工作时间MTBF&gt;1万小时；</w:t>
      </w:r>
    </w:p>
    <w:p>
      <w:r>
        <w:rPr>
          <w:rFonts w:hint="eastAsia"/>
        </w:rPr>
        <w:t>（</w:t>
      </w:r>
      <w:r>
        <w:t>4）不出现以下情况：无故退出系统；发生系统不可控制的故障提示；因系统故障导致操作系统或机器无法正常操作；</w:t>
      </w:r>
    </w:p>
    <w:p>
      <w:r>
        <w:rPr>
          <w:rFonts w:hint="eastAsia"/>
        </w:rPr>
        <w:t>（</w:t>
      </w:r>
      <w:r>
        <w:t>5）用户界面程序异常停止后，不应影响服务器端系统和其它用户界面的正常运行。</w:t>
      </w:r>
    </w:p>
    <w:p>
      <w:r>
        <w:t>2.响应指标</w:t>
      </w:r>
    </w:p>
    <w:p>
      <w:r>
        <w:rPr>
          <w:rFonts w:hint="eastAsia"/>
        </w:rPr>
        <w:t>（</w:t>
      </w:r>
      <w:r>
        <w:t>1）简单事务处理（包含各类信息录入、修改、查询业务、主要页面平均响应时间等）≤1s；</w:t>
      </w:r>
    </w:p>
    <w:p>
      <w:r>
        <w:rPr>
          <w:rFonts w:hint="eastAsia"/>
        </w:rPr>
        <w:t>（</w:t>
      </w:r>
      <w:r>
        <w:t>2）信息录入、修改型简单事务：平均响应时间≤3s；</w:t>
      </w:r>
    </w:p>
    <w:p>
      <w:r>
        <w:rPr>
          <w:rFonts w:hint="eastAsia"/>
        </w:rPr>
        <w:t>（</w:t>
      </w:r>
      <w:r>
        <w:t>3）复杂事务处理≤8s；</w:t>
      </w:r>
    </w:p>
    <w:p>
      <w:r>
        <w:rPr>
          <w:rFonts w:hint="eastAsia"/>
        </w:rPr>
        <w:t>（</w:t>
      </w:r>
      <w:r>
        <w:t>4）各类固定统计报表形成时间：≤5分钟；</w:t>
      </w:r>
    </w:p>
    <w:p>
      <w:r>
        <w:rPr>
          <w:rFonts w:hint="eastAsia"/>
        </w:rPr>
        <w:t>（</w:t>
      </w:r>
      <w:r>
        <w:t>5）在应急操作环境下，浏览响应时间在3秒之内；</w:t>
      </w:r>
    </w:p>
    <w:p>
      <w:r>
        <w:rPr>
          <w:rFonts w:hint="eastAsia"/>
        </w:rPr>
        <w:t>（</w:t>
      </w:r>
      <w:r>
        <w:t>6）支持最大同时在线16000人以上,支持最大并发数170人以上。</w:t>
      </w:r>
    </w:p>
    <w:p>
      <w:r>
        <w:t>3.并发用户数</w:t>
      </w:r>
    </w:p>
    <w:p>
      <w:r>
        <w:rPr>
          <w:rFonts w:hint="eastAsia"/>
        </w:rPr>
        <w:t>平台最多支持</w:t>
      </w:r>
      <w:r>
        <w:t>170个并发用户数。</w:t>
      </w:r>
    </w:p>
    <w:p>
      <w:pPr>
        <w:pStyle w:val="3"/>
      </w:pPr>
      <w:r>
        <w:rPr>
          <w:rFonts w:hint="eastAsia"/>
        </w:rPr>
        <w:t>项目建设内容清单</w:t>
      </w:r>
    </w:p>
    <w:p>
      <w:pPr>
        <w:ind w:firstLine="482"/>
        <w:rPr>
          <w:b/>
        </w:rPr>
      </w:pPr>
      <w:r>
        <w:rPr>
          <w:rFonts w:hint="eastAsia"/>
          <w:b/>
        </w:rPr>
        <w:t>1、软件开发清单：</w:t>
      </w:r>
    </w:p>
    <w:tbl>
      <w:tblPr>
        <w:tblStyle w:val="35"/>
        <w:tblW w:w="5060" w:type="pct"/>
        <w:tblInd w:w="-50" w:type="dxa"/>
        <w:tblLayout w:type="autofit"/>
        <w:tblCellMar>
          <w:top w:w="0" w:type="dxa"/>
          <w:left w:w="108" w:type="dxa"/>
          <w:bottom w:w="0" w:type="dxa"/>
          <w:right w:w="108" w:type="dxa"/>
        </w:tblCellMar>
      </w:tblPr>
      <w:tblGrid>
        <w:gridCol w:w="449"/>
        <w:gridCol w:w="1154"/>
        <w:gridCol w:w="3057"/>
        <w:gridCol w:w="3970"/>
      </w:tblGrid>
      <w:tr>
        <w:tblPrEx>
          <w:tblCellMar>
            <w:top w:w="0" w:type="dxa"/>
            <w:left w:w="108" w:type="dxa"/>
            <w:bottom w:w="0" w:type="dxa"/>
            <w:right w:w="108" w:type="dxa"/>
          </w:tblCellMar>
        </w:tblPrEx>
        <w:trPr>
          <w:trHeight w:val="278" w:hRule="atLeast"/>
        </w:trPr>
        <w:tc>
          <w:tcPr>
            <w:tcW w:w="437" w:type="dxa"/>
            <w:tcBorders>
              <w:top w:val="single" w:color="auto" w:sz="8" w:space="0"/>
              <w:left w:val="single" w:color="auto" w:sz="8" w:space="0"/>
              <w:bottom w:val="nil"/>
              <w:right w:val="single" w:color="auto" w:sz="8" w:space="0"/>
            </w:tcBorders>
            <w:shd w:val="clear" w:color="000000" w:fill="F3F8FC"/>
            <w:noWrap/>
            <w:vAlign w:val="center"/>
          </w:tcPr>
          <w:p>
            <w:pPr>
              <w:widowControl/>
              <w:spacing w:line="240" w:lineRule="auto"/>
              <w:ind w:firstLine="0" w:firstLineChars="0"/>
              <w:jc w:val="center"/>
              <w:rPr>
                <w:rFonts w:cs="宋体"/>
                <w:b/>
                <w:bCs/>
                <w:kern w:val="0"/>
                <w:sz w:val="22"/>
                <w:szCs w:val="22"/>
              </w:rPr>
            </w:pPr>
            <w:r>
              <w:rPr>
                <w:rFonts w:hint="eastAsia" w:cs="宋体"/>
                <w:b/>
                <w:bCs/>
                <w:kern w:val="0"/>
                <w:sz w:val="22"/>
                <w:szCs w:val="22"/>
              </w:rPr>
              <w:t>序号</w:t>
            </w:r>
          </w:p>
        </w:tc>
        <w:tc>
          <w:tcPr>
            <w:tcW w:w="1122" w:type="dxa"/>
            <w:tcBorders>
              <w:top w:val="single" w:color="auto" w:sz="8" w:space="0"/>
              <w:left w:val="nil"/>
              <w:bottom w:val="nil"/>
              <w:right w:val="single" w:color="auto" w:sz="8" w:space="0"/>
            </w:tcBorders>
            <w:shd w:val="clear" w:color="000000" w:fill="F3F8FC"/>
            <w:noWrap/>
            <w:vAlign w:val="center"/>
          </w:tcPr>
          <w:p>
            <w:pPr>
              <w:widowControl/>
              <w:spacing w:line="240" w:lineRule="auto"/>
              <w:ind w:firstLine="0" w:firstLineChars="0"/>
              <w:jc w:val="center"/>
              <w:rPr>
                <w:rFonts w:cs="宋体"/>
                <w:b/>
                <w:bCs/>
                <w:kern w:val="0"/>
                <w:sz w:val="22"/>
                <w:szCs w:val="22"/>
              </w:rPr>
            </w:pPr>
            <w:r>
              <w:rPr>
                <w:rFonts w:hint="eastAsia" w:cs="宋体"/>
                <w:b/>
                <w:bCs/>
                <w:kern w:val="0"/>
                <w:sz w:val="22"/>
                <w:szCs w:val="22"/>
              </w:rPr>
              <w:t>应用系统名称</w:t>
            </w:r>
          </w:p>
        </w:tc>
        <w:tc>
          <w:tcPr>
            <w:tcW w:w="2973" w:type="dxa"/>
            <w:tcBorders>
              <w:top w:val="single" w:color="auto" w:sz="8" w:space="0"/>
              <w:left w:val="nil"/>
              <w:bottom w:val="nil"/>
              <w:right w:val="single" w:color="auto" w:sz="8" w:space="0"/>
            </w:tcBorders>
            <w:shd w:val="clear" w:color="000000" w:fill="F3F8FC"/>
            <w:noWrap/>
            <w:vAlign w:val="center"/>
          </w:tcPr>
          <w:p>
            <w:pPr>
              <w:widowControl/>
              <w:spacing w:line="240" w:lineRule="auto"/>
              <w:ind w:firstLine="0" w:firstLineChars="0"/>
              <w:jc w:val="center"/>
              <w:rPr>
                <w:rFonts w:cs="宋体"/>
                <w:b/>
                <w:bCs/>
                <w:kern w:val="0"/>
                <w:sz w:val="22"/>
                <w:szCs w:val="22"/>
              </w:rPr>
            </w:pPr>
            <w:r>
              <w:rPr>
                <w:rFonts w:hint="eastAsia" w:cs="宋体"/>
                <w:b/>
                <w:bCs/>
                <w:kern w:val="0"/>
                <w:sz w:val="22"/>
                <w:szCs w:val="22"/>
              </w:rPr>
              <w:t>模块名称</w:t>
            </w:r>
          </w:p>
        </w:tc>
        <w:tc>
          <w:tcPr>
            <w:tcW w:w="3860" w:type="dxa"/>
            <w:tcBorders>
              <w:top w:val="single" w:color="auto" w:sz="8" w:space="0"/>
              <w:left w:val="nil"/>
              <w:bottom w:val="nil"/>
              <w:right w:val="single" w:color="auto" w:sz="8" w:space="0"/>
            </w:tcBorders>
            <w:shd w:val="clear" w:color="000000" w:fill="F3F8FC"/>
            <w:vAlign w:val="center"/>
          </w:tcPr>
          <w:p>
            <w:pPr>
              <w:widowControl/>
              <w:spacing w:line="240" w:lineRule="auto"/>
              <w:ind w:firstLine="0" w:firstLineChars="0"/>
              <w:jc w:val="center"/>
              <w:rPr>
                <w:rFonts w:cs="宋体"/>
                <w:b/>
                <w:bCs/>
                <w:kern w:val="0"/>
                <w:sz w:val="22"/>
                <w:szCs w:val="22"/>
              </w:rPr>
            </w:pPr>
            <w:r>
              <w:rPr>
                <w:rFonts w:hint="eastAsia" w:cs="宋体"/>
                <w:b/>
                <w:bCs/>
                <w:kern w:val="0"/>
                <w:sz w:val="22"/>
                <w:szCs w:val="22"/>
              </w:rPr>
              <w:t>模块描述</w:t>
            </w:r>
          </w:p>
        </w:tc>
      </w:tr>
      <w:tr>
        <w:tblPrEx>
          <w:tblCellMar>
            <w:top w:w="0" w:type="dxa"/>
            <w:left w:w="108" w:type="dxa"/>
            <w:bottom w:w="0" w:type="dxa"/>
            <w:right w:w="108" w:type="dxa"/>
          </w:tblCellMar>
        </w:tblPrEx>
        <w:trPr>
          <w:trHeight w:val="945" w:hRule="atLeast"/>
        </w:trPr>
        <w:tc>
          <w:tcPr>
            <w:tcW w:w="437"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spacing w:line="240" w:lineRule="auto"/>
              <w:ind w:firstLine="0" w:firstLineChars="0"/>
              <w:jc w:val="center"/>
              <w:rPr>
                <w:rFonts w:cs="宋体"/>
                <w:color w:val="000000"/>
                <w:kern w:val="0"/>
                <w:sz w:val="20"/>
                <w:szCs w:val="20"/>
              </w:rPr>
            </w:pPr>
            <w:r>
              <w:rPr>
                <w:rFonts w:hint="eastAsia" w:cs="宋体"/>
                <w:color w:val="000000"/>
                <w:kern w:val="0"/>
                <w:sz w:val="20"/>
                <w:szCs w:val="20"/>
              </w:rPr>
              <w:t>1</w:t>
            </w:r>
          </w:p>
        </w:tc>
        <w:tc>
          <w:tcPr>
            <w:tcW w:w="1122" w:type="dxa"/>
            <w:tcBorders>
              <w:top w:val="single" w:color="auto" w:sz="4" w:space="0"/>
              <w:left w:val="nil"/>
              <w:bottom w:val="single" w:color="auto" w:sz="4" w:space="0"/>
              <w:right w:val="single" w:color="auto" w:sz="4" w:space="0"/>
            </w:tcBorders>
            <w:shd w:val="clear" w:color="000000" w:fill="FFFFFF"/>
            <w:vAlign w:val="center"/>
          </w:tcPr>
          <w:p>
            <w:pPr>
              <w:widowControl/>
              <w:spacing w:line="240" w:lineRule="auto"/>
              <w:ind w:firstLine="0" w:firstLineChars="0"/>
              <w:jc w:val="left"/>
              <w:rPr>
                <w:rFonts w:cs="宋体"/>
                <w:color w:val="000000"/>
                <w:kern w:val="0"/>
                <w:sz w:val="20"/>
                <w:szCs w:val="20"/>
              </w:rPr>
            </w:pPr>
            <w:r>
              <w:rPr>
                <w:rFonts w:hint="eastAsia" w:cs="宋体"/>
                <w:color w:val="000000"/>
                <w:kern w:val="0"/>
                <w:sz w:val="20"/>
                <w:szCs w:val="20"/>
              </w:rPr>
              <w:t>上海统计业务定制开发</w:t>
            </w:r>
          </w:p>
        </w:tc>
        <w:tc>
          <w:tcPr>
            <w:tcW w:w="2973" w:type="dxa"/>
            <w:tcBorders>
              <w:top w:val="single" w:color="auto" w:sz="4" w:space="0"/>
              <w:left w:val="nil"/>
              <w:bottom w:val="single" w:color="auto" w:sz="4" w:space="0"/>
              <w:right w:val="single" w:color="auto" w:sz="4" w:space="0"/>
            </w:tcBorders>
            <w:shd w:val="clear" w:color="000000" w:fill="FFFFFF"/>
            <w:vAlign w:val="center"/>
          </w:tcPr>
          <w:p>
            <w:pPr>
              <w:widowControl/>
              <w:spacing w:line="240" w:lineRule="auto"/>
              <w:ind w:firstLine="0" w:firstLineChars="0"/>
              <w:jc w:val="left"/>
              <w:rPr>
                <w:rFonts w:cs="宋体"/>
                <w:color w:val="000000"/>
                <w:kern w:val="0"/>
                <w:sz w:val="20"/>
                <w:szCs w:val="20"/>
              </w:rPr>
            </w:pPr>
            <w:r>
              <w:rPr>
                <w:rFonts w:hint="eastAsia" w:cs="宋体"/>
                <w:color w:val="000000"/>
                <w:kern w:val="0"/>
                <w:sz w:val="20"/>
                <w:szCs w:val="20"/>
              </w:rPr>
              <w:t>上海市汇总报表设计器-业务元数据选择</w:t>
            </w:r>
          </w:p>
        </w:tc>
        <w:tc>
          <w:tcPr>
            <w:tcW w:w="3860" w:type="dxa"/>
            <w:tcBorders>
              <w:top w:val="single" w:color="auto" w:sz="4" w:space="0"/>
              <w:left w:val="nil"/>
              <w:bottom w:val="single" w:color="auto" w:sz="4" w:space="0"/>
              <w:right w:val="single" w:color="auto" w:sz="4" w:space="0"/>
            </w:tcBorders>
            <w:shd w:val="clear" w:color="000000" w:fill="FFFFFF"/>
            <w:vAlign w:val="center"/>
          </w:tcPr>
          <w:p>
            <w:pPr>
              <w:widowControl/>
              <w:spacing w:line="240" w:lineRule="auto"/>
              <w:ind w:firstLine="0" w:firstLineChars="0"/>
              <w:jc w:val="left"/>
              <w:rPr>
                <w:rFonts w:cs="宋体"/>
                <w:color w:val="000000"/>
                <w:kern w:val="0"/>
                <w:sz w:val="20"/>
                <w:szCs w:val="20"/>
              </w:rPr>
            </w:pPr>
            <w:r>
              <w:rPr>
                <w:rFonts w:hint="eastAsia" w:cs="宋体"/>
                <w:color w:val="000000"/>
                <w:kern w:val="0"/>
                <w:sz w:val="20"/>
                <w:szCs w:val="20"/>
              </w:rPr>
              <w:t>包括指标设计、增速指标设计、衍生指标设计、衍生指标管理、分组设计、分组项展开设计、按处理地分组设计、按明细数据展开分组、按报告期展开分组设计、自定义分组设计、自定义分组管理、来源汇总表设置</w:t>
            </w:r>
          </w:p>
        </w:tc>
      </w:tr>
      <w:tr>
        <w:tblPrEx>
          <w:tblCellMar>
            <w:top w:w="0" w:type="dxa"/>
            <w:left w:w="108" w:type="dxa"/>
            <w:bottom w:w="0" w:type="dxa"/>
            <w:right w:w="108" w:type="dxa"/>
          </w:tblCellMar>
        </w:tblPrEx>
        <w:trPr>
          <w:trHeight w:val="960" w:hRule="atLeast"/>
        </w:trPr>
        <w:tc>
          <w:tcPr>
            <w:tcW w:w="437" w:type="dxa"/>
            <w:tcBorders>
              <w:top w:val="nil"/>
              <w:left w:val="single" w:color="auto" w:sz="4" w:space="0"/>
              <w:bottom w:val="single" w:color="auto" w:sz="4" w:space="0"/>
              <w:right w:val="single" w:color="auto" w:sz="4" w:space="0"/>
            </w:tcBorders>
            <w:shd w:val="clear" w:color="000000" w:fill="FFFFFF"/>
            <w:vAlign w:val="center"/>
          </w:tcPr>
          <w:p>
            <w:pPr>
              <w:widowControl/>
              <w:spacing w:line="240" w:lineRule="auto"/>
              <w:ind w:firstLine="0" w:firstLineChars="0"/>
              <w:jc w:val="center"/>
              <w:rPr>
                <w:rFonts w:cs="宋体"/>
                <w:color w:val="000000"/>
                <w:kern w:val="0"/>
                <w:sz w:val="20"/>
                <w:szCs w:val="20"/>
              </w:rPr>
            </w:pPr>
            <w:r>
              <w:rPr>
                <w:rFonts w:hint="eastAsia" w:cs="宋体"/>
                <w:color w:val="000000"/>
                <w:kern w:val="0"/>
                <w:sz w:val="20"/>
                <w:szCs w:val="20"/>
              </w:rPr>
              <w:t>2</w:t>
            </w:r>
          </w:p>
        </w:tc>
        <w:tc>
          <w:tcPr>
            <w:tcW w:w="1122" w:type="dxa"/>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left"/>
              <w:rPr>
                <w:rFonts w:cs="宋体"/>
                <w:color w:val="000000"/>
                <w:kern w:val="0"/>
                <w:sz w:val="20"/>
                <w:szCs w:val="20"/>
              </w:rPr>
            </w:pPr>
            <w:r>
              <w:rPr>
                <w:rFonts w:hint="eastAsia" w:cs="宋体"/>
                <w:color w:val="000000"/>
                <w:kern w:val="0"/>
                <w:sz w:val="20"/>
                <w:szCs w:val="20"/>
              </w:rPr>
              <w:t>上海统计业务定制开发</w:t>
            </w:r>
          </w:p>
        </w:tc>
        <w:tc>
          <w:tcPr>
            <w:tcW w:w="2973" w:type="dxa"/>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left"/>
              <w:rPr>
                <w:rFonts w:cs="宋体"/>
                <w:color w:val="000000"/>
                <w:kern w:val="0"/>
                <w:sz w:val="20"/>
                <w:szCs w:val="20"/>
              </w:rPr>
            </w:pPr>
            <w:r>
              <w:rPr>
                <w:rFonts w:hint="eastAsia" w:cs="宋体"/>
                <w:color w:val="000000"/>
                <w:kern w:val="0"/>
                <w:sz w:val="20"/>
                <w:szCs w:val="20"/>
              </w:rPr>
              <w:t>上海市汇总报表设计器-报表表样设计</w:t>
            </w:r>
          </w:p>
        </w:tc>
        <w:tc>
          <w:tcPr>
            <w:tcW w:w="3860" w:type="dxa"/>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left"/>
              <w:rPr>
                <w:rFonts w:cs="宋体"/>
                <w:color w:val="000000"/>
                <w:kern w:val="0"/>
                <w:sz w:val="20"/>
                <w:szCs w:val="20"/>
              </w:rPr>
            </w:pPr>
            <w:r>
              <w:rPr>
                <w:rFonts w:hint="eastAsia" w:cs="宋体"/>
                <w:color w:val="000000"/>
                <w:kern w:val="0"/>
                <w:sz w:val="20"/>
                <w:szCs w:val="20"/>
              </w:rPr>
              <w:t>包括快速生成表格功能、综合表头模板、综合表尾模板、参照表样、表样预览、表样保存、报表保存、表样冻结、表样导入、编辑权限设置、批量设置行高、批量设置列宽、隐藏行列、属性查看、单元格浮显显示、切换公式编辑模式、分组项筛选</w:t>
            </w:r>
          </w:p>
        </w:tc>
      </w:tr>
      <w:tr>
        <w:tblPrEx>
          <w:tblCellMar>
            <w:top w:w="0" w:type="dxa"/>
            <w:left w:w="108" w:type="dxa"/>
            <w:bottom w:w="0" w:type="dxa"/>
            <w:right w:w="108" w:type="dxa"/>
          </w:tblCellMar>
        </w:tblPrEx>
        <w:trPr>
          <w:trHeight w:val="600" w:hRule="atLeast"/>
        </w:trPr>
        <w:tc>
          <w:tcPr>
            <w:tcW w:w="437" w:type="dxa"/>
            <w:tcBorders>
              <w:top w:val="nil"/>
              <w:left w:val="single" w:color="auto" w:sz="4" w:space="0"/>
              <w:bottom w:val="single" w:color="auto" w:sz="4" w:space="0"/>
              <w:right w:val="single" w:color="auto" w:sz="4" w:space="0"/>
            </w:tcBorders>
            <w:shd w:val="clear" w:color="000000" w:fill="FFFFFF"/>
            <w:vAlign w:val="center"/>
          </w:tcPr>
          <w:p>
            <w:pPr>
              <w:widowControl/>
              <w:spacing w:line="240" w:lineRule="auto"/>
              <w:ind w:firstLine="0" w:firstLineChars="0"/>
              <w:jc w:val="center"/>
              <w:rPr>
                <w:rFonts w:cs="宋体"/>
                <w:color w:val="000000"/>
                <w:kern w:val="0"/>
                <w:sz w:val="20"/>
                <w:szCs w:val="20"/>
              </w:rPr>
            </w:pPr>
            <w:r>
              <w:rPr>
                <w:rFonts w:hint="eastAsia" w:cs="宋体"/>
                <w:color w:val="000000"/>
                <w:kern w:val="0"/>
                <w:sz w:val="20"/>
                <w:szCs w:val="20"/>
              </w:rPr>
              <w:t>3</w:t>
            </w:r>
          </w:p>
        </w:tc>
        <w:tc>
          <w:tcPr>
            <w:tcW w:w="1122" w:type="dxa"/>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left"/>
              <w:rPr>
                <w:rFonts w:cs="宋体"/>
                <w:color w:val="000000"/>
                <w:kern w:val="0"/>
                <w:sz w:val="20"/>
                <w:szCs w:val="20"/>
              </w:rPr>
            </w:pPr>
            <w:r>
              <w:rPr>
                <w:rFonts w:hint="eastAsia" w:cs="宋体"/>
                <w:color w:val="000000"/>
                <w:kern w:val="0"/>
                <w:sz w:val="20"/>
                <w:szCs w:val="20"/>
              </w:rPr>
              <w:t>上海统计业务定制开发</w:t>
            </w:r>
          </w:p>
        </w:tc>
        <w:tc>
          <w:tcPr>
            <w:tcW w:w="2973" w:type="dxa"/>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left"/>
              <w:rPr>
                <w:rFonts w:cs="宋体"/>
                <w:color w:val="000000"/>
                <w:kern w:val="0"/>
                <w:sz w:val="20"/>
                <w:szCs w:val="20"/>
              </w:rPr>
            </w:pPr>
            <w:r>
              <w:rPr>
                <w:rFonts w:hint="eastAsia" w:cs="宋体"/>
                <w:color w:val="000000"/>
                <w:kern w:val="0"/>
                <w:sz w:val="20"/>
                <w:szCs w:val="20"/>
              </w:rPr>
              <w:t>上海市汇总报表设计器-汇总表整体业务属性设置</w:t>
            </w:r>
          </w:p>
        </w:tc>
        <w:tc>
          <w:tcPr>
            <w:tcW w:w="386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cs="宋体"/>
                <w:color w:val="000000"/>
                <w:kern w:val="0"/>
                <w:sz w:val="20"/>
                <w:szCs w:val="20"/>
              </w:rPr>
            </w:pPr>
            <w:r>
              <w:rPr>
                <w:rFonts w:hint="eastAsia" w:cs="宋体"/>
                <w:color w:val="000000"/>
                <w:kern w:val="0"/>
                <w:sz w:val="20"/>
                <w:szCs w:val="20"/>
              </w:rPr>
              <w:t>包括跨表汇总方法设置、汇总口径设置、多条件汇总、采集表字段同步、汇总表检查、批量设置行列条件、辅助线属性设置</w:t>
            </w:r>
          </w:p>
        </w:tc>
      </w:tr>
      <w:tr>
        <w:tblPrEx>
          <w:tblCellMar>
            <w:top w:w="0" w:type="dxa"/>
            <w:left w:w="108" w:type="dxa"/>
            <w:bottom w:w="0" w:type="dxa"/>
            <w:right w:w="108" w:type="dxa"/>
          </w:tblCellMar>
        </w:tblPrEx>
        <w:trPr>
          <w:trHeight w:val="1215" w:hRule="atLeast"/>
        </w:trPr>
        <w:tc>
          <w:tcPr>
            <w:tcW w:w="437" w:type="dxa"/>
            <w:tcBorders>
              <w:top w:val="nil"/>
              <w:left w:val="single" w:color="auto" w:sz="4" w:space="0"/>
              <w:bottom w:val="single" w:color="auto" w:sz="4" w:space="0"/>
              <w:right w:val="single" w:color="auto" w:sz="4" w:space="0"/>
            </w:tcBorders>
            <w:shd w:val="clear" w:color="000000" w:fill="FFFFFF"/>
            <w:vAlign w:val="center"/>
          </w:tcPr>
          <w:p>
            <w:pPr>
              <w:widowControl/>
              <w:spacing w:line="240" w:lineRule="auto"/>
              <w:ind w:firstLine="0" w:firstLineChars="0"/>
              <w:jc w:val="center"/>
              <w:rPr>
                <w:rFonts w:cs="宋体"/>
                <w:color w:val="000000"/>
                <w:kern w:val="0"/>
                <w:sz w:val="20"/>
                <w:szCs w:val="20"/>
              </w:rPr>
            </w:pPr>
            <w:r>
              <w:rPr>
                <w:rFonts w:hint="eastAsia" w:cs="宋体"/>
                <w:color w:val="000000"/>
                <w:kern w:val="0"/>
                <w:sz w:val="20"/>
                <w:szCs w:val="20"/>
              </w:rPr>
              <w:t>4</w:t>
            </w:r>
          </w:p>
        </w:tc>
        <w:tc>
          <w:tcPr>
            <w:tcW w:w="1122" w:type="dxa"/>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left"/>
              <w:rPr>
                <w:rFonts w:cs="宋体"/>
                <w:color w:val="000000"/>
                <w:kern w:val="0"/>
                <w:sz w:val="20"/>
                <w:szCs w:val="20"/>
              </w:rPr>
            </w:pPr>
            <w:r>
              <w:rPr>
                <w:rFonts w:hint="eastAsia" w:cs="宋体"/>
                <w:color w:val="000000"/>
                <w:kern w:val="0"/>
                <w:sz w:val="20"/>
                <w:szCs w:val="20"/>
              </w:rPr>
              <w:t>上海统计业务定制开发</w:t>
            </w:r>
          </w:p>
        </w:tc>
        <w:tc>
          <w:tcPr>
            <w:tcW w:w="2973" w:type="dxa"/>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left"/>
              <w:rPr>
                <w:rFonts w:cs="宋体"/>
                <w:color w:val="000000"/>
                <w:kern w:val="0"/>
                <w:sz w:val="20"/>
                <w:szCs w:val="20"/>
              </w:rPr>
            </w:pPr>
            <w:r>
              <w:rPr>
                <w:rFonts w:hint="eastAsia" w:cs="宋体"/>
                <w:color w:val="000000"/>
                <w:kern w:val="0"/>
                <w:sz w:val="20"/>
                <w:szCs w:val="20"/>
              </w:rPr>
              <w:t>上海市汇总报表设计器-单元格业务属性设置</w:t>
            </w:r>
          </w:p>
        </w:tc>
        <w:tc>
          <w:tcPr>
            <w:tcW w:w="386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cs="宋体"/>
                <w:color w:val="000000"/>
                <w:kern w:val="0"/>
                <w:sz w:val="20"/>
                <w:szCs w:val="20"/>
              </w:rPr>
            </w:pPr>
            <w:r>
              <w:rPr>
                <w:rFonts w:hint="eastAsia" w:cs="宋体"/>
                <w:color w:val="000000"/>
                <w:kern w:val="0"/>
                <w:sz w:val="20"/>
                <w:szCs w:val="20"/>
              </w:rPr>
              <w:t>包括占位行设置、引用删除、宾栏名称代码修改、宾栏拆分、宾栏位置调整、宾栏列宽扩展和收缩、制表符设置、代码列设置、计量单位列设置、二维表删除、自定义宾栏边框开关、指标指认、单指标映射、批量映射、多指标映射逻辑、指标计算方式、指认分组、加权设置、设置报告期、设置过滤条件、汇总表字段映射管理、明细数据属性设置、分组项筛选设置</w:t>
            </w:r>
          </w:p>
        </w:tc>
      </w:tr>
      <w:tr>
        <w:tblPrEx>
          <w:tblCellMar>
            <w:top w:w="0" w:type="dxa"/>
            <w:left w:w="108" w:type="dxa"/>
            <w:bottom w:w="0" w:type="dxa"/>
            <w:right w:w="108" w:type="dxa"/>
          </w:tblCellMar>
        </w:tblPrEx>
        <w:trPr>
          <w:trHeight w:val="600" w:hRule="atLeast"/>
        </w:trPr>
        <w:tc>
          <w:tcPr>
            <w:tcW w:w="437" w:type="dxa"/>
            <w:vMerge w:val="restart"/>
            <w:tcBorders>
              <w:top w:val="nil"/>
              <w:left w:val="single" w:color="auto" w:sz="4" w:space="0"/>
              <w:bottom w:val="single" w:color="auto" w:sz="4" w:space="0"/>
              <w:right w:val="single" w:color="auto" w:sz="4" w:space="0"/>
            </w:tcBorders>
            <w:shd w:val="clear" w:color="000000" w:fill="FFFFFF"/>
            <w:vAlign w:val="center"/>
          </w:tcPr>
          <w:p>
            <w:pPr>
              <w:widowControl/>
              <w:spacing w:line="240" w:lineRule="auto"/>
              <w:ind w:firstLine="0" w:firstLineChars="0"/>
              <w:jc w:val="center"/>
              <w:rPr>
                <w:rFonts w:cs="宋体"/>
                <w:color w:val="000000"/>
                <w:kern w:val="0"/>
                <w:sz w:val="20"/>
                <w:szCs w:val="20"/>
              </w:rPr>
            </w:pPr>
            <w:r>
              <w:rPr>
                <w:rFonts w:hint="eastAsia" w:cs="宋体"/>
                <w:color w:val="000000"/>
                <w:kern w:val="0"/>
                <w:sz w:val="20"/>
                <w:szCs w:val="20"/>
              </w:rPr>
              <w:t>5</w:t>
            </w:r>
          </w:p>
        </w:tc>
        <w:tc>
          <w:tcPr>
            <w:tcW w:w="1122" w:type="dxa"/>
            <w:vMerge w:val="restart"/>
            <w:tcBorders>
              <w:top w:val="nil"/>
              <w:left w:val="single" w:color="auto" w:sz="4" w:space="0"/>
              <w:bottom w:val="single" w:color="auto" w:sz="4" w:space="0"/>
              <w:right w:val="single" w:color="auto" w:sz="4" w:space="0"/>
            </w:tcBorders>
            <w:shd w:val="clear" w:color="000000" w:fill="FFFFFF"/>
            <w:vAlign w:val="center"/>
          </w:tcPr>
          <w:p>
            <w:pPr>
              <w:widowControl/>
              <w:spacing w:line="240" w:lineRule="auto"/>
              <w:ind w:firstLine="0" w:firstLineChars="0"/>
              <w:jc w:val="left"/>
              <w:rPr>
                <w:rFonts w:cs="宋体"/>
                <w:color w:val="000000"/>
                <w:kern w:val="0"/>
                <w:sz w:val="20"/>
                <w:szCs w:val="20"/>
              </w:rPr>
            </w:pPr>
            <w:r>
              <w:rPr>
                <w:rFonts w:hint="eastAsia" w:cs="宋体"/>
                <w:color w:val="000000"/>
                <w:kern w:val="0"/>
                <w:sz w:val="20"/>
                <w:szCs w:val="20"/>
              </w:rPr>
              <w:t>上海统计业务定制开发</w:t>
            </w:r>
          </w:p>
        </w:tc>
        <w:tc>
          <w:tcPr>
            <w:tcW w:w="2973" w:type="dxa"/>
            <w:vMerge w:val="restart"/>
            <w:tcBorders>
              <w:top w:val="nil"/>
              <w:left w:val="single" w:color="auto" w:sz="4" w:space="0"/>
              <w:bottom w:val="single" w:color="auto" w:sz="4" w:space="0"/>
              <w:right w:val="single" w:color="auto" w:sz="4" w:space="0"/>
            </w:tcBorders>
            <w:shd w:val="clear" w:color="000000" w:fill="FFFFFF"/>
            <w:vAlign w:val="center"/>
          </w:tcPr>
          <w:p>
            <w:pPr>
              <w:widowControl/>
              <w:spacing w:line="240" w:lineRule="auto"/>
              <w:ind w:firstLine="0" w:firstLineChars="0"/>
              <w:jc w:val="left"/>
              <w:rPr>
                <w:rFonts w:cs="宋体"/>
                <w:color w:val="000000"/>
                <w:kern w:val="0"/>
                <w:sz w:val="20"/>
                <w:szCs w:val="20"/>
              </w:rPr>
            </w:pPr>
            <w:r>
              <w:rPr>
                <w:rFonts w:hint="eastAsia" w:cs="宋体"/>
                <w:color w:val="000000"/>
                <w:kern w:val="0"/>
                <w:sz w:val="20"/>
                <w:szCs w:val="20"/>
              </w:rPr>
              <w:t>上海市汇总报表设计器-汇总公式编辑（设计器公式模式）</w:t>
            </w:r>
          </w:p>
        </w:tc>
        <w:tc>
          <w:tcPr>
            <w:tcW w:w="3860" w:type="dxa"/>
            <w:vMerge w:val="restart"/>
            <w:tcBorders>
              <w:top w:val="nil"/>
              <w:left w:val="single" w:color="auto" w:sz="4" w:space="0"/>
              <w:bottom w:val="single" w:color="auto" w:sz="4" w:space="0"/>
              <w:right w:val="single" w:color="auto" w:sz="4" w:space="0"/>
            </w:tcBorders>
            <w:shd w:val="clear" w:color="000000" w:fill="FFFFFF"/>
            <w:vAlign w:val="center"/>
          </w:tcPr>
          <w:p>
            <w:pPr>
              <w:widowControl/>
              <w:spacing w:line="240" w:lineRule="auto"/>
              <w:ind w:firstLine="0" w:firstLineChars="0"/>
              <w:jc w:val="left"/>
              <w:rPr>
                <w:rFonts w:cs="宋体"/>
                <w:color w:val="000000"/>
                <w:kern w:val="0"/>
                <w:sz w:val="20"/>
                <w:szCs w:val="20"/>
              </w:rPr>
            </w:pPr>
            <w:r>
              <w:rPr>
                <w:rFonts w:hint="eastAsia" w:cs="宋体"/>
                <w:color w:val="000000"/>
                <w:kern w:val="0"/>
                <w:sz w:val="20"/>
                <w:szCs w:val="20"/>
              </w:rPr>
              <w:t>包括公式说明编辑、常用运算符编辑、函数编辑、变量管理、公式报表设置、目录项展示/隐藏设置、模式切换、中间表设置、系统参数设置、标识指标设置、公式验证、公式保存、公式列表、表样公式查看</w:t>
            </w:r>
          </w:p>
        </w:tc>
      </w:tr>
      <w:tr>
        <w:tblPrEx>
          <w:tblCellMar>
            <w:top w:w="0" w:type="dxa"/>
            <w:left w:w="108" w:type="dxa"/>
            <w:bottom w:w="0" w:type="dxa"/>
            <w:right w:w="108" w:type="dxa"/>
          </w:tblCellMar>
        </w:tblPrEx>
        <w:trPr>
          <w:trHeight w:val="600" w:hRule="atLeast"/>
        </w:trPr>
        <w:tc>
          <w:tcPr>
            <w:tcW w:w="437"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cs="宋体"/>
                <w:color w:val="000000"/>
                <w:kern w:val="0"/>
                <w:sz w:val="20"/>
                <w:szCs w:val="20"/>
              </w:rPr>
            </w:pPr>
          </w:p>
        </w:tc>
        <w:tc>
          <w:tcPr>
            <w:tcW w:w="1122"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cs="宋体"/>
                <w:color w:val="000000"/>
                <w:kern w:val="0"/>
                <w:sz w:val="20"/>
                <w:szCs w:val="20"/>
              </w:rPr>
            </w:pPr>
          </w:p>
        </w:tc>
        <w:tc>
          <w:tcPr>
            <w:tcW w:w="2973"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cs="宋体"/>
                <w:color w:val="000000"/>
                <w:kern w:val="0"/>
                <w:sz w:val="20"/>
                <w:szCs w:val="20"/>
              </w:rPr>
            </w:pPr>
          </w:p>
        </w:tc>
        <w:tc>
          <w:tcPr>
            <w:tcW w:w="3860"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cs="宋体"/>
                <w:color w:val="000000"/>
                <w:kern w:val="0"/>
                <w:sz w:val="20"/>
                <w:szCs w:val="20"/>
              </w:rPr>
            </w:pPr>
          </w:p>
        </w:tc>
      </w:tr>
      <w:tr>
        <w:tblPrEx>
          <w:tblCellMar>
            <w:top w:w="0" w:type="dxa"/>
            <w:left w:w="108" w:type="dxa"/>
            <w:bottom w:w="0" w:type="dxa"/>
            <w:right w:w="108" w:type="dxa"/>
          </w:tblCellMar>
        </w:tblPrEx>
        <w:trPr>
          <w:trHeight w:val="600" w:hRule="atLeast"/>
        </w:trPr>
        <w:tc>
          <w:tcPr>
            <w:tcW w:w="437" w:type="dxa"/>
            <w:tcBorders>
              <w:top w:val="nil"/>
              <w:left w:val="single" w:color="auto" w:sz="4" w:space="0"/>
              <w:bottom w:val="single" w:color="auto" w:sz="4" w:space="0"/>
              <w:right w:val="single" w:color="auto" w:sz="4" w:space="0"/>
            </w:tcBorders>
            <w:shd w:val="clear" w:color="000000" w:fill="FFFFFF"/>
            <w:vAlign w:val="center"/>
          </w:tcPr>
          <w:p>
            <w:pPr>
              <w:widowControl/>
              <w:spacing w:line="240" w:lineRule="auto"/>
              <w:ind w:firstLine="0" w:firstLineChars="0"/>
              <w:jc w:val="center"/>
              <w:rPr>
                <w:rFonts w:cs="宋体"/>
                <w:color w:val="000000"/>
                <w:kern w:val="0"/>
                <w:sz w:val="20"/>
                <w:szCs w:val="20"/>
              </w:rPr>
            </w:pPr>
            <w:r>
              <w:rPr>
                <w:rFonts w:hint="eastAsia" w:cs="宋体"/>
                <w:color w:val="000000"/>
                <w:kern w:val="0"/>
                <w:sz w:val="20"/>
                <w:szCs w:val="20"/>
              </w:rPr>
              <w:t>6</w:t>
            </w:r>
          </w:p>
        </w:tc>
        <w:tc>
          <w:tcPr>
            <w:tcW w:w="1122" w:type="dxa"/>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left"/>
              <w:rPr>
                <w:rFonts w:cs="宋体"/>
                <w:color w:val="000000"/>
                <w:kern w:val="0"/>
                <w:sz w:val="20"/>
                <w:szCs w:val="20"/>
              </w:rPr>
            </w:pPr>
            <w:r>
              <w:rPr>
                <w:rFonts w:hint="eastAsia" w:cs="宋体"/>
                <w:color w:val="000000"/>
                <w:kern w:val="0"/>
                <w:sz w:val="20"/>
                <w:szCs w:val="20"/>
              </w:rPr>
              <w:t>数据双向回流系统定制开发</w:t>
            </w:r>
          </w:p>
        </w:tc>
        <w:tc>
          <w:tcPr>
            <w:tcW w:w="2973"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cs="宋体"/>
                <w:color w:val="000000"/>
                <w:kern w:val="0"/>
                <w:sz w:val="20"/>
                <w:szCs w:val="20"/>
              </w:rPr>
            </w:pPr>
            <w:r>
              <w:rPr>
                <w:rFonts w:hint="eastAsia" w:cs="宋体"/>
                <w:color w:val="000000"/>
                <w:kern w:val="0"/>
                <w:sz w:val="20"/>
                <w:szCs w:val="20"/>
              </w:rPr>
              <w:t>数据双向回流系统定制开发-上海市数据接收-元数据接收</w:t>
            </w:r>
          </w:p>
        </w:tc>
        <w:tc>
          <w:tcPr>
            <w:tcW w:w="3860" w:type="dxa"/>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left"/>
              <w:rPr>
                <w:rFonts w:cs="宋体"/>
                <w:color w:val="000000"/>
                <w:kern w:val="0"/>
                <w:sz w:val="20"/>
                <w:szCs w:val="20"/>
              </w:rPr>
            </w:pPr>
            <w:r>
              <w:rPr>
                <w:rFonts w:hint="eastAsia" w:cs="宋体"/>
                <w:color w:val="000000"/>
                <w:kern w:val="0"/>
                <w:sz w:val="20"/>
                <w:szCs w:val="20"/>
              </w:rPr>
              <w:t>包括指标数据接收、目录数据接收、分组数据接收、计量单位数据接收、标识数据接收、自定义分组数据接收、衍生指标数据接收、通用表数据接收</w:t>
            </w:r>
          </w:p>
        </w:tc>
      </w:tr>
      <w:tr>
        <w:tblPrEx>
          <w:tblCellMar>
            <w:top w:w="0" w:type="dxa"/>
            <w:left w:w="108" w:type="dxa"/>
            <w:bottom w:w="0" w:type="dxa"/>
            <w:right w:w="108" w:type="dxa"/>
          </w:tblCellMar>
        </w:tblPrEx>
        <w:trPr>
          <w:trHeight w:val="600" w:hRule="atLeast"/>
        </w:trPr>
        <w:tc>
          <w:tcPr>
            <w:tcW w:w="437" w:type="dxa"/>
            <w:tcBorders>
              <w:top w:val="nil"/>
              <w:left w:val="single" w:color="auto" w:sz="4" w:space="0"/>
              <w:bottom w:val="single" w:color="auto" w:sz="4" w:space="0"/>
              <w:right w:val="single" w:color="auto" w:sz="4" w:space="0"/>
            </w:tcBorders>
            <w:shd w:val="clear" w:color="000000" w:fill="FFFFFF"/>
            <w:vAlign w:val="center"/>
          </w:tcPr>
          <w:p>
            <w:pPr>
              <w:widowControl/>
              <w:spacing w:line="240" w:lineRule="auto"/>
              <w:ind w:firstLine="0" w:firstLineChars="0"/>
              <w:jc w:val="center"/>
              <w:rPr>
                <w:rFonts w:cs="宋体"/>
                <w:color w:val="000000"/>
                <w:kern w:val="0"/>
                <w:sz w:val="20"/>
                <w:szCs w:val="20"/>
              </w:rPr>
            </w:pPr>
            <w:r>
              <w:rPr>
                <w:rFonts w:hint="eastAsia" w:cs="宋体"/>
                <w:color w:val="000000"/>
                <w:kern w:val="0"/>
                <w:sz w:val="20"/>
                <w:szCs w:val="20"/>
              </w:rPr>
              <w:t>7</w:t>
            </w:r>
          </w:p>
        </w:tc>
        <w:tc>
          <w:tcPr>
            <w:tcW w:w="1122" w:type="dxa"/>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left"/>
              <w:rPr>
                <w:rFonts w:cs="宋体"/>
                <w:color w:val="000000"/>
                <w:kern w:val="0"/>
                <w:sz w:val="20"/>
                <w:szCs w:val="20"/>
              </w:rPr>
            </w:pPr>
            <w:r>
              <w:rPr>
                <w:rFonts w:hint="eastAsia" w:cs="宋体"/>
                <w:color w:val="000000"/>
                <w:kern w:val="0"/>
                <w:sz w:val="20"/>
                <w:szCs w:val="20"/>
              </w:rPr>
              <w:t>数据双向回流系统定制开发</w:t>
            </w:r>
          </w:p>
        </w:tc>
        <w:tc>
          <w:tcPr>
            <w:tcW w:w="2973" w:type="dxa"/>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left"/>
              <w:rPr>
                <w:rFonts w:cs="宋体"/>
                <w:color w:val="000000"/>
                <w:kern w:val="0"/>
                <w:sz w:val="20"/>
                <w:szCs w:val="20"/>
              </w:rPr>
            </w:pPr>
            <w:r>
              <w:rPr>
                <w:rFonts w:hint="eastAsia" w:cs="宋体"/>
                <w:color w:val="000000"/>
                <w:kern w:val="0"/>
                <w:sz w:val="20"/>
                <w:szCs w:val="20"/>
              </w:rPr>
              <w:t>数据双向回流系统定制开发-上海市数据接收-制度接收</w:t>
            </w:r>
          </w:p>
        </w:tc>
        <w:tc>
          <w:tcPr>
            <w:tcW w:w="3860" w:type="dxa"/>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left"/>
              <w:rPr>
                <w:rFonts w:cs="宋体"/>
                <w:color w:val="000000"/>
                <w:kern w:val="0"/>
                <w:sz w:val="20"/>
                <w:szCs w:val="20"/>
              </w:rPr>
            </w:pPr>
            <w:r>
              <w:rPr>
                <w:rFonts w:hint="eastAsia" w:cs="宋体"/>
                <w:color w:val="000000"/>
                <w:kern w:val="0"/>
                <w:sz w:val="20"/>
                <w:szCs w:val="20"/>
              </w:rPr>
              <w:t>22套国家制度接收</w:t>
            </w:r>
          </w:p>
        </w:tc>
      </w:tr>
      <w:tr>
        <w:tblPrEx>
          <w:tblCellMar>
            <w:top w:w="0" w:type="dxa"/>
            <w:left w:w="108" w:type="dxa"/>
            <w:bottom w:w="0" w:type="dxa"/>
            <w:right w:w="108" w:type="dxa"/>
          </w:tblCellMar>
        </w:tblPrEx>
        <w:trPr>
          <w:trHeight w:val="600" w:hRule="atLeast"/>
        </w:trPr>
        <w:tc>
          <w:tcPr>
            <w:tcW w:w="437" w:type="dxa"/>
            <w:tcBorders>
              <w:top w:val="nil"/>
              <w:left w:val="single" w:color="auto" w:sz="4" w:space="0"/>
              <w:bottom w:val="single" w:color="auto" w:sz="4" w:space="0"/>
              <w:right w:val="single" w:color="auto" w:sz="4" w:space="0"/>
            </w:tcBorders>
            <w:shd w:val="clear" w:color="000000" w:fill="FFFFFF"/>
            <w:vAlign w:val="center"/>
          </w:tcPr>
          <w:p>
            <w:pPr>
              <w:widowControl/>
              <w:spacing w:line="240" w:lineRule="auto"/>
              <w:ind w:firstLine="0" w:firstLineChars="0"/>
              <w:jc w:val="center"/>
              <w:rPr>
                <w:rFonts w:cs="宋体"/>
                <w:color w:val="000000"/>
                <w:kern w:val="0"/>
                <w:sz w:val="20"/>
                <w:szCs w:val="20"/>
              </w:rPr>
            </w:pPr>
            <w:r>
              <w:rPr>
                <w:rFonts w:hint="eastAsia" w:cs="宋体"/>
                <w:color w:val="000000"/>
                <w:kern w:val="0"/>
                <w:sz w:val="20"/>
                <w:szCs w:val="20"/>
              </w:rPr>
              <w:t>8</w:t>
            </w:r>
          </w:p>
        </w:tc>
        <w:tc>
          <w:tcPr>
            <w:tcW w:w="1122" w:type="dxa"/>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left"/>
              <w:rPr>
                <w:rFonts w:cs="宋体"/>
                <w:color w:val="000000"/>
                <w:kern w:val="0"/>
                <w:sz w:val="20"/>
                <w:szCs w:val="20"/>
              </w:rPr>
            </w:pPr>
            <w:r>
              <w:rPr>
                <w:rFonts w:hint="eastAsia" w:cs="宋体"/>
                <w:color w:val="000000"/>
                <w:kern w:val="0"/>
                <w:sz w:val="20"/>
                <w:szCs w:val="20"/>
              </w:rPr>
              <w:t>数据双向回流系统定制开发</w:t>
            </w:r>
          </w:p>
        </w:tc>
        <w:tc>
          <w:tcPr>
            <w:tcW w:w="2973" w:type="dxa"/>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left"/>
              <w:rPr>
                <w:rFonts w:cs="宋体"/>
                <w:color w:val="000000"/>
                <w:kern w:val="0"/>
                <w:sz w:val="20"/>
                <w:szCs w:val="20"/>
              </w:rPr>
            </w:pPr>
            <w:r>
              <w:rPr>
                <w:rFonts w:hint="eastAsia" w:cs="宋体"/>
                <w:color w:val="000000"/>
                <w:kern w:val="0"/>
                <w:sz w:val="20"/>
                <w:szCs w:val="20"/>
              </w:rPr>
              <w:t>数据双向回流系统定制开发-上海市数据接收-查询验收数据接收</w:t>
            </w:r>
          </w:p>
        </w:tc>
        <w:tc>
          <w:tcPr>
            <w:tcW w:w="386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cs="宋体"/>
                <w:color w:val="000000"/>
                <w:kern w:val="0"/>
                <w:sz w:val="20"/>
                <w:szCs w:val="20"/>
              </w:rPr>
            </w:pPr>
            <w:r>
              <w:rPr>
                <w:rFonts w:hint="eastAsia" w:cs="宋体"/>
                <w:color w:val="000000"/>
                <w:kern w:val="0"/>
                <w:sz w:val="20"/>
                <w:szCs w:val="20"/>
              </w:rPr>
              <w:t>包括验收数据接收、修改数据接收、审核验收模板接收、国家标记反馈接收、基层数据查询模板接收</w:t>
            </w:r>
          </w:p>
        </w:tc>
      </w:tr>
      <w:tr>
        <w:tblPrEx>
          <w:tblCellMar>
            <w:top w:w="0" w:type="dxa"/>
            <w:left w:w="108" w:type="dxa"/>
            <w:bottom w:w="0" w:type="dxa"/>
            <w:right w:w="108" w:type="dxa"/>
          </w:tblCellMar>
        </w:tblPrEx>
        <w:trPr>
          <w:trHeight w:val="600" w:hRule="atLeast"/>
        </w:trPr>
        <w:tc>
          <w:tcPr>
            <w:tcW w:w="437" w:type="dxa"/>
            <w:tcBorders>
              <w:top w:val="nil"/>
              <w:left w:val="single" w:color="auto" w:sz="4" w:space="0"/>
              <w:bottom w:val="single" w:color="auto" w:sz="4" w:space="0"/>
              <w:right w:val="single" w:color="auto" w:sz="4" w:space="0"/>
            </w:tcBorders>
            <w:shd w:val="clear" w:color="000000" w:fill="FFFFFF"/>
            <w:vAlign w:val="center"/>
          </w:tcPr>
          <w:p>
            <w:pPr>
              <w:widowControl/>
              <w:spacing w:line="240" w:lineRule="auto"/>
              <w:ind w:firstLine="0" w:firstLineChars="0"/>
              <w:jc w:val="center"/>
              <w:rPr>
                <w:rFonts w:cs="宋体"/>
                <w:color w:val="000000"/>
                <w:kern w:val="0"/>
                <w:sz w:val="20"/>
                <w:szCs w:val="20"/>
              </w:rPr>
            </w:pPr>
            <w:r>
              <w:rPr>
                <w:rFonts w:hint="eastAsia" w:cs="宋体"/>
                <w:color w:val="000000"/>
                <w:kern w:val="0"/>
                <w:sz w:val="20"/>
                <w:szCs w:val="20"/>
              </w:rPr>
              <w:t>9</w:t>
            </w:r>
          </w:p>
        </w:tc>
        <w:tc>
          <w:tcPr>
            <w:tcW w:w="1122" w:type="dxa"/>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left"/>
              <w:rPr>
                <w:rFonts w:cs="宋体"/>
                <w:color w:val="000000"/>
                <w:kern w:val="0"/>
                <w:sz w:val="20"/>
                <w:szCs w:val="20"/>
              </w:rPr>
            </w:pPr>
            <w:r>
              <w:rPr>
                <w:rFonts w:hint="eastAsia" w:cs="宋体"/>
                <w:color w:val="000000"/>
                <w:kern w:val="0"/>
                <w:sz w:val="20"/>
                <w:szCs w:val="20"/>
              </w:rPr>
              <w:t>数据双向回流系统定制开发</w:t>
            </w:r>
          </w:p>
        </w:tc>
        <w:tc>
          <w:tcPr>
            <w:tcW w:w="2973" w:type="dxa"/>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left"/>
              <w:rPr>
                <w:rFonts w:cs="宋体"/>
                <w:color w:val="000000"/>
                <w:kern w:val="0"/>
                <w:sz w:val="20"/>
                <w:szCs w:val="20"/>
              </w:rPr>
            </w:pPr>
            <w:r>
              <w:rPr>
                <w:rFonts w:hint="eastAsia" w:cs="宋体"/>
                <w:color w:val="000000"/>
                <w:kern w:val="0"/>
                <w:sz w:val="20"/>
                <w:szCs w:val="20"/>
              </w:rPr>
              <w:t>数据双向回流系统定制开发-上海市数据接收-企业标识管理</w:t>
            </w:r>
          </w:p>
        </w:tc>
        <w:tc>
          <w:tcPr>
            <w:tcW w:w="3860" w:type="dxa"/>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left"/>
              <w:rPr>
                <w:rFonts w:cs="宋体"/>
                <w:color w:val="000000"/>
                <w:kern w:val="0"/>
                <w:sz w:val="20"/>
                <w:szCs w:val="20"/>
              </w:rPr>
            </w:pPr>
            <w:r>
              <w:rPr>
                <w:rFonts w:hint="eastAsia" w:cs="宋体"/>
                <w:color w:val="000000"/>
                <w:kern w:val="0"/>
                <w:sz w:val="20"/>
                <w:szCs w:val="20"/>
              </w:rPr>
              <w:t>包括新增企业标识接收、企业标识更新</w:t>
            </w:r>
          </w:p>
        </w:tc>
      </w:tr>
      <w:tr>
        <w:tblPrEx>
          <w:tblCellMar>
            <w:top w:w="0" w:type="dxa"/>
            <w:left w:w="108" w:type="dxa"/>
            <w:bottom w:w="0" w:type="dxa"/>
            <w:right w:w="108" w:type="dxa"/>
          </w:tblCellMar>
        </w:tblPrEx>
        <w:trPr>
          <w:trHeight w:val="600" w:hRule="atLeast"/>
        </w:trPr>
        <w:tc>
          <w:tcPr>
            <w:tcW w:w="437" w:type="dxa"/>
            <w:tcBorders>
              <w:top w:val="nil"/>
              <w:left w:val="single" w:color="auto" w:sz="4" w:space="0"/>
              <w:bottom w:val="single" w:color="auto" w:sz="4" w:space="0"/>
              <w:right w:val="single" w:color="auto" w:sz="4" w:space="0"/>
            </w:tcBorders>
            <w:shd w:val="clear" w:color="000000" w:fill="FFFFFF"/>
            <w:vAlign w:val="center"/>
          </w:tcPr>
          <w:p>
            <w:pPr>
              <w:widowControl/>
              <w:spacing w:line="240" w:lineRule="auto"/>
              <w:ind w:firstLine="0" w:firstLineChars="0"/>
              <w:jc w:val="center"/>
              <w:rPr>
                <w:rFonts w:cs="宋体"/>
                <w:color w:val="000000"/>
                <w:kern w:val="0"/>
                <w:sz w:val="20"/>
                <w:szCs w:val="20"/>
              </w:rPr>
            </w:pPr>
            <w:r>
              <w:rPr>
                <w:rFonts w:hint="eastAsia" w:cs="宋体"/>
                <w:color w:val="000000"/>
                <w:kern w:val="0"/>
                <w:sz w:val="20"/>
                <w:szCs w:val="20"/>
              </w:rPr>
              <w:t>10</w:t>
            </w:r>
          </w:p>
        </w:tc>
        <w:tc>
          <w:tcPr>
            <w:tcW w:w="1122" w:type="dxa"/>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left"/>
              <w:rPr>
                <w:rFonts w:cs="宋体"/>
                <w:color w:val="000000"/>
                <w:kern w:val="0"/>
                <w:sz w:val="20"/>
                <w:szCs w:val="20"/>
              </w:rPr>
            </w:pPr>
            <w:r>
              <w:rPr>
                <w:rFonts w:hint="eastAsia" w:cs="宋体"/>
                <w:color w:val="000000"/>
                <w:kern w:val="0"/>
                <w:sz w:val="20"/>
                <w:szCs w:val="20"/>
              </w:rPr>
              <w:t>数据双向回流系统定制开发</w:t>
            </w:r>
          </w:p>
        </w:tc>
        <w:tc>
          <w:tcPr>
            <w:tcW w:w="2973" w:type="dxa"/>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left"/>
              <w:rPr>
                <w:rFonts w:cs="宋体"/>
                <w:color w:val="000000"/>
                <w:kern w:val="0"/>
                <w:sz w:val="20"/>
                <w:szCs w:val="20"/>
              </w:rPr>
            </w:pPr>
            <w:r>
              <w:rPr>
                <w:rFonts w:hint="eastAsia" w:cs="宋体"/>
                <w:color w:val="000000"/>
                <w:kern w:val="0"/>
                <w:sz w:val="20"/>
                <w:szCs w:val="20"/>
              </w:rPr>
              <w:t>数据双向回流系统定制开发-上海市数据接收-数据接收管理</w:t>
            </w:r>
          </w:p>
        </w:tc>
        <w:tc>
          <w:tcPr>
            <w:tcW w:w="3860" w:type="dxa"/>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left"/>
              <w:rPr>
                <w:rFonts w:cs="宋体"/>
                <w:color w:val="000000"/>
                <w:kern w:val="0"/>
                <w:sz w:val="20"/>
                <w:szCs w:val="20"/>
              </w:rPr>
            </w:pPr>
            <w:r>
              <w:rPr>
                <w:rFonts w:hint="eastAsia" w:cs="宋体"/>
                <w:color w:val="000000"/>
                <w:kern w:val="0"/>
                <w:sz w:val="20"/>
                <w:szCs w:val="20"/>
              </w:rPr>
              <w:t>包括数据解析、数据存储、数据完整性检查、日志记录及监控</w:t>
            </w:r>
          </w:p>
        </w:tc>
      </w:tr>
      <w:tr>
        <w:tblPrEx>
          <w:tblCellMar>
            <w:top w:w="0" w:type="dxa"/>
            <w:left w:w="108" w:type="dxa"/>
            <w:bottom w:w="0" w:type="dxa"/>
            <w:right w:w="108" w:type="dxa"/>
          </w:tblCellMar>
        </w:tblPrEx>
        <w:trPr>
          <w:trHeight w:val="600" w:hRule="atLeast"/>
        </w:trPr>
        <w:tc>
          <w:tcPr>
            <w:tcW w:w="437" w:type="dxa"/>
            <w:tcBorders>
              <w:top w:val="nil"/>
              <w:left w:val="single" w:color="auto" w:sz="4" w:space="0"/>
              <w:bottom w:val="single" w:color="auto" w:sz="4" w:space="0"/>
              <w:right w:val="single" w:color="auto" w:sz="4" w:space="0"/>
            </w:tcBorders>
            <w:shd w:val="clear" w:color="000000" w:fill="FFFFFF"/>
            <w:vAlign w:val="center"/>
          </w:tcPr>
          <w:p>
            <w:pPr>
              <w:widowControl/>
              <w:spacing w:line="240" w:lineRule="auto"/>
              <w:ind w:firstLine="0" w:firstLineChars="0"/>
              <w:jc w:val="center"/>
              <w:rPr>
                <w:rFonts w:cs="宋体"/>
                <w:color w:val="000000"/>
                <w:kern w:val="0"/>
                <w:sz w:val="20"/>
                <w:szCs w:val="20"/>
              </w:rPr>
            </w:pPr>
            <w:r>
              <w:rPr>
                <w:rFonts w:hint="eastAsia" w:cs="宋体"/>
                <w:color w:val="000000"/>
                <w:kern w:val="0"/>
                <w:sz w:val="20"/>
                <w:szCs w:val="20"/>
              </w:rPr>
              <w:t>11</w:t>
            </w:r>
          </w:p>
        </w:tc>
        <w:tc>
          <w:tcPr>
            <w:tcW w:w="1122" w:type="dxa"/>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left"/>
              <w:rPr>
                <w:rFonts w:cs="宋体"/>
                <w:color w:val="000000"/>
                <w:kern w:val="0"/>
                <w:sz w:val="20"/>
                <w:szCs w:val="20"/>
              </w:rPr>
            </w:pPr>
            <w:r>
              <w:rPr>
                <w:rFonts w:hint="eastAsia" w:cs="宋体"/>
                <w:color w:val="000000"/>
                <w:kern w:val="0"/>
                <w:sz w:val="20"/>
                <w:szCs w:val="20"/>
              </w:rPr>
              <w:t>数据双向回流系统定制开发</w:t>
            </w:r>
          </w:p>
        </w:tc>
        <w:tc>
          <w:tcPr>
            <w:tcW w:w="2973"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cs="宋体"/>
                <w:color w:val="000000"/>
                <w:kern w:val="0"/>
                <w:sz w:val="20"/>
                <w:szCs w:val="20"/>
              </w:rPr>
            </w:pPr>
            <w:r>
              <w:rPr>
                <w:rFonts w:hint="eastAsia" w:cs="宋体"/>
                <w:color w:val="000000"/>
                <w:kern w:val="0"/>
                <w:sz w:val="20"/>
                <w:szCs w:val="20"/>
              </w:rPr>
              <w:t>数据双向回流系统定制开发-上海市数据发送-基层数据发送-采集表数据同步</w:t>
            </w:r>
          </w:p>
        </w:tc>
        <w:tc>
          <w:tcPr>
            <w:tcW w:w="386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cs="宋体"/>
                <w:color w:val="000000"/>
                <w:kern w:val="0"/>
                <w:sz w:val="20"/>
                <w:szCs w:val="20"/>
              </w:rPr>
            </w:pPr>
            <w:r>
              <w:rPr>
                <w:rFonts w:hint="eastAsia" w:cs="宋体"/>
                <w:color w:val="000000"/>
                <w:kern w:val="0"/>
                <w:sz w:val="20"/>
                <w:szCs w:val="20"/>
              </w:rPr>
              <w:t>包括调查对象与数据表单关联、数据项与调查对象的关联</w:t>
            </w:r>
          </w:p>
        </w:tc>
      </w:tr>
      <w:tr>
        <w:tblPrEx>
          <w:tblCellMar>
            <w:top w:w="0" w:type="dxa"/>
            <w:left w:w="108" w:type="dxa"/>
            <w:bottom w:w="0" w:type="dxa"/>
            <w:right w:w="108" w:type="dxa"/>
          </w:tblCellMar>
        </w:tblPrEx>
        <w:trPr>
          <w:trHeight w:val="600" w:hRule="atLeast"/>
        </w:trPr>
        <w:tc>
          <w:tcPr>
            <w:tcW w:w="437" w:type="dxa"/>
            <w:tcBorders>
              <w:top w:val="nil"/>
              <w:left w:val="single" w:color="auto" w:sz="4" w:space="0"/>
              <w:bottom w:val="single" w:color="auto" w:sz="4" w:space="0"/>
              <w:right w:val="single" w:color="auto" w:sz="4" w:space="0"/>
            </w:tcBorders>
            <w:shd w:val="clear" w:color="000000" w:fill="FFFFFF"/>
            <w:vAlign w:val="center"/>
          </w:tcPr>
          <w:p>
            <w:pPr>
              <w:widowControl/>
              <w:spacing w:line="240" w:lineRule="auto"/>
              <w:ind w:firstLine="0" w:firstLineChars="0"/>
              <w:jc w:val="center"/>
              <w:rPr>
                <w:rFonts w:cs="宋体"/>
                <w:color w:val="000000"/>
                <w:kern w:val="0"/>
                <w:sz w:val="20"/>
                <w:szCs w:val="20"/>
              </w:rPr>
            </w:pPr>
            <w:r>
              <w:rPr>
                <w:rFonts w:hint="eastAsia" w:cs="宋体"/>
                <w:color w:val="000000"/>
                <w:kern w:val="0"/>
                <w:sz w:val="20"/>
                <w:szCs w:val="20"/>
              </w:rPr>
              <w:t>12</w:t>
            </w:r>
          </w:p>
        </w:tc>
        <w:tc>
          <w:tcPr>
            <w:tcW w:w="1122" w:type="dxa"/>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left"/>
              <w:rPr>
                <w:rFonts w:cs="宋体"/>
                <w:color w:val="000000"/>
                <w:kern w:val="0"/>
                <w:sz w:val="20"/>
                <w:szCs w:val="20"/>
              </w:rPr>
            </w:pPr>
            <w:r>
              <w:rPr>
                <w:rFonts w:hint="eastAsia" w:cs="宋体"/>
                <w:color w:val="000000"/>
                <w:kern w:val="0"/>
                <w:sz w:val="20"/>
                <w:szCs w:val="20"/>
              </w:rPr>
              <w:t>数据双向回流系统定制开发</w:t>
            </w:r>
          </w:p>
        </w:tc>
        <w:tc>
          <w:tcPr>
            <w:tcW w:w="2973" w:type="dxa"/>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left"/>
              <w:rPr>
                <w:rFonts w:cs="宋体"/>
                <w:color w:val="000000"/>
                <w:kern w:val="0"/>
                <w:sz w:val="20"/>
                <w:szCs w:val="20"/>
              </w:rPr>
            </w:pPr>
            <w:r>
              <w:rPr>
                <w:rFonts w:hint="eastAsia" w:cs="宋体"/>
                <w:color w:val="000000"/>
                <w:kern w:val="0"/>
                <w:sz w:val="20"/>
                <w:szCs w:val="20"/>
              </w:rPr>
              <w:t>数据双向回流系统定制开发-上海市数据发送-基层数据发送-项目表多表数据同步</w:t>
            </w:r>
          </w:p>
        </w:tc>
        <w:tc>
          <w:tcPr>
            <w:tcW w:w="386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cs="宋体"/>
                <w:color w:val="000000"/>
                <w:kern w:val="0"/>
                <w:sz w:val="20"/>
                <w:szCs w:val="20"/>
              </w:rPr>
            </w:pPr>
            <w:r>
              <w:rPr>
                <w:rFonts w:hint="eastAsia" w:cs="宋体"/>
                <w:color w:val="000000"/>
                <w:kern w:val="0"/>
                <w:sz w:val="20"/>
                <w:szCs w:val="20"/>
              </w:rPr>
              <w:t>包括同步频率与范围、数据读取与处理、数据写入操作、同步脚本运行监控</w:t>
            </w:r>
          </w:p>
        </w:tc>
      </w:tr>
      <w:tr>
        <w:tblPrEx>
          <w:tblCellMar>
            <w:top w:w="0" w:type="dxa"/>
            <w:left w:w="108" w:type="dxa"/>
            <w:bottom w:w="0" w:type="dxa"/>
            <w:right w:w="108" w:type="dxa"/>
          </w:tblCellMar>
        </w:tblPrEx>
        <w:trPr>
          <w:trHeight w:val="600" w:hRule="atLeast"/>
        </w:trPr>
        <w:tc>
          <w:tcPr>
            <w:tcW w:w="437" w:type="dxa"/>
            <w:tcBorders>
              <w:top w:val="nil"/>
              <w:left w:val="single" w:color="auto" w:sz="4" w:space="0"/>
              <w:bottom w:val="single" w:color="auto" w:sz="4" w:space="0"/>
              <w:right w:val="single" w:color="auto" w:sz="4" w:space="0"/>
            </w:tcBorders>
            <w:shd w:val="clear" w:color="000000" w:fill="FFFFFF"/>
            <w:vAlign w:val="center"/>
          </w:tcPr>
          <w:p>
            <w:pPr>
              <w:widowControl/>
              <w:spacing w:line="240" w:lineRule="auto"/>
              <w:ind w:firstLine="0" w:firstLineChars="0"/>
              <w:jc w:val="center"/>
              <w:rPr>
                <w:rFonts w:cs="宋体"/>
                <w:color w:val="000000"/>
                <w:kern w:val="0"/>
                <w:sz w:val="20"/>
                <w:szCs w:val="20"/>
              </w:rPr>
            </w:pPr>
            <w:r>
              <w:rPr>
                <w:rFonts w:hint="eastAsia" w:cs="宋体"/>
                <w:color w:val="000000"/>
                <w:kern w:val="0"/>
                <w:sz w:val="20"/>
                <w:szCs w:val="20"/>
              </w:rPr>
              <w:t>13</w:t>
            </w:r>
          </w:p>
        </w:tc>
        <w:tc>
          <w:tcPr>
            <w:tcW w:w="1122" w:type="dxa"/>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left"/>
              <w:rPr>
                <w:rFonts w:cs="宋体"/>
                <w:color w:val="000000"/>
                <w:kern w:val="0"/>
                <w:sz w:val="20"/>
                <w:szCs w:val="20"/>
              </w:rPr>
            </w:pPr>
            <w:r>
              <w:rPr>
                <w:rFonts w:hint="eastAsia" w:cs="宋体"/>
                <w:color w:val="000000"/>
                <w:kern w:val="0"/>
                <w:sz w:val="20"/>
                <w:szCs w:val="20"/>
              </w:rPr>
              <w:t>数据双向回流系统定制开发</w:t>
            </w:r>
          </w:p>
        </w:tc>
        <w:tc>
          <w:tcPr>
            <w:tcW w:w="2973" w:type="dxa"/>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left"/>
              <w:rPr>
                <w:rFonts w:cs="宋体"/>
                <w:color w:val="000000"/>
                <w:kern w:val="0"/>
                <w:sz w:val="20"/>
                <w:szCs w:val="20"/>
              </w:rPr>
            </w:pPr>
            <w:r>
              <w:rPr>
                <w:rFonts w:hint="eastAsia" w:cs="宋体"/>
                <w:color w:val="000000"/>
                <w:kern w:val="0"/>
                <w:sz w:val="20"/>
                <w:szCs w:val="20"/>
              </w:rPr>
              <w:t>数据双向回流系统定制开发-上海市数据发送-套表数据同步</w:t>
            </w:r>
          </w:p>
        </w:tc>
        <w:tc>
          <w:tcPr>
            <w:tcW w:w="386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cs="宋体"/>
                <w:color w:val="000000"/>
                <w:kern w:val="0"/>
                <w:sz w:val="20"/>
                <w:szCs w:val="20"/>
              </w:rPr>
            </w:pPr>
            <w:r>
              <w:rPr>
                <w:rFonts w:hint="eastAsia" w:cs="宋体"/>
                <w:color w:val="000000"/>
                <w:kern w:val="0"/>
                <w:sz w:val="20"/>
                <w:szCs w:val="20"/>
              </w:rPr>
              <w:t>包括同步策略管理、数据映射与关联、数据写入与效验、自动化执行与监控</w:t>
            </w:r>
          </w:p>
        </w:tc>
      </w:tr>
      <w:tr>
        <w:tblPrEx>
          <w:tblCellMar>
            <w:top w:w="0" w:type="dxa"/>
            <w:left w:w="108" w:type="dxa"/>
            <w:bottom w:w="0" w:type="dxa"/>
            <w:right w:w="108" w:type="dxa"/>
          </w:tblCellMar>
        </w:tblPrEx>
        <w:trPr>
          <w:trHeight w:val="600" w:hRule="atLeast"/>
        </w:trPr>
        <w:tc>
          <w:tcPr>
            <w:tcW w:w="437" w:type="dxa"/>
            <w:tcBorders>
              <w:top w:val="nil"/>
              <w:left w:val="single" w:color="auto" w:sz="4" w:space="0"/>
              <w:bottom w:val="single" w:color="auto" w:sz="4" w:space="0"/>
              <w:right w:val="single" w:color="auto" w:sz="4" w:space="0"/>
            </w:tcBorders>
            <w:shd w:val="clear" w:color="000000" w:fill="FFFFFF"/>
            <w:vAlign w:val="center"/>
          </w:tcPr>
          <w:p>
            <w:pPr>
              <w:widowControl/>
              <w:spacing w:line="240" w:lineRule="auto"/>
              <w:ind w:firstLine="0" w:firstLineChars="0"/>
              <w:jc w:val="center"/>
              <w:rPr>
                <w:rFonts w:cs="宋体"/>
                <w:color w:val="000000"/>
                <w:kern w:val="0"/>
                <w:sz w:val="20"/>
                <w:szCs w:val="20"/>
              </w:rPr>
            </w:pPr>
            <w:r>
              <w:rPr>
                <w:rFonts w:hint="eastAsia" w:cs="宋体"/>
                <w:color w:val="000000"/>
                <w:kern w:val="0"/>
                <w:sz w:val="20"/>
                <w:szCs w:val="20"/>
              </w:rPr>
              <w:t>14</w:t>
            </w:r>
          </w:p>
        </w:tc>
        <w:tc>
          <w:tcPr>
            <w:tcW w:w="1122" w:type="dxa"/>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left"/>
              <w:rPr>
                <w:rFonts w:cs="宋体"/>
                <w:color w:val="000000"/>
                <w:kern w:val="0"/>
                <w:sz w:val="20"/>
                <w:szCs w:val="20"/>
              </w:rPr>
            </w:pPr>
            <w:r>
              <w:rPr>
                <w:rFonts w:hint="eastAsia" w:cs="宋体"/>
                <w:color w:val="000000"/>
                <w:kern w:val="0"/>
                <w:sz w:val="20"/>
                <w:szCs w:val="20"/>
              </w:rPr>
              <w:t>数据双向回流系统定制开发</w:t>
            </w:r>
          </w:p>
        </w:tc>
        <w:tc>
          <w:tcPr>
            <w:tcW w:w="2973" w:type="dxa"/>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left"/>
              <w:rPr>
                <w:rFonts w:cs="宋体"/>
                <w:color w:val="000000"/>
                <w:kern w:val="0"/>
                <w:sz w:val="20"/>
                <w:szCs w:val="20"/>
              </w:rPr>
            </w:pPr>
            <w:r>
              <w:rPr>
                <w:rFonts w:hint="eastAsia" w:cs="宋体"/>
                <w:color w:val="000000"/>
                <w:kern w:val="0"/>
                <w:sz w:val="20"/>
                <w:szCs w:val="20"/>
              </w:rPr>
              <w:t>数据双向回流系统定制开发-上海市数据发送-采集计算数据同步</w:t>
            </w:r>
          </w:p>
        </w:tc>
        <w:tc>
          <w:tcPr>
            <w:tcW w:w="386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cs="宋体"/>
                <w:color w:val="000000"/>
                <w:kern w:val="0"/>
                <w:sz w:val="20"/>
                <w:szCs w:val="20"/>
              </w:rPr>
            </w:pPr>
            <w:r>
              <w:rPr>
                <w:rFonts w:hint="eastAsia" w:cs="宋体"/>
                <w:color w:val="000000"/>
                <w:kern w:val="0"/>
                <w:sz w:val="20"/>
                <w:szCs w:val="20"/>
              </w:rPr>
              <w:t>包括数据项之间的逻辑关系、数据表单之间的逻辑关系</w:t>
            </w:r>
          </w:p>
        </w:tc>
      </w:tr>
      <w:tr>
        <w:tblPrEx>
          <w:tblCellMar>
            <w:top w:w="0" w:type="dxa"/>
            <w:left w:w="108" w:type="dxa"/>
            <w:bottom w:w="0" w:type="dxa"/>
            <w:right w:w="108" w:type="dxa"/>
          </w:tblCellMar>
        </w:tblPrEx>
        <w:trPr>
          <w:trHeight w:val="600" w:hRule="atLeast"/>
        </w:trPr>
        <w:tc>
          <w:tcPr>
            <w:tcW w:w="437" w:type="dxa"/>
            <w:tcBorders>
              <w:top w:val="nil"/>
              <w:left w:val="single" w:color="auto" w:sz="4" w:space="0"/>
              <w:bottom w:val="single" w:color="auto" w:sz="4" w:space="0"/>
              <w:right w:val="single" w:color="auto" w:sz="4" w:space="0"/>
            </w:tcBorders>
            <w:shd w:val="clear" w:color="000000" w:fill="FFFFFF"/>
            <w:vAlign w:val="center"/>
          </w:tcPr>
          <w:p>
            <w:pPr>
              <w:widowControl/>
              <w:spacing w:line="240" w:lineRule="auto"/>
              <w:ind w:firstLine="0" w:firstLineChars="0"/>
              <w:jc w:val="center"/>
              <w:rPr>
                <w:rFonts w:cs="宋体"/>
                <w:color w:val="000000"/>
                <w:kern w:val="0"/>
                <w:sz w:val="20"/>
                <w:szCs w:val="20"/>
              </w:rPr>
            </w:pPr>
            <w:r>
              <w:rPr>
                <w:rFonts w:hint="eastAsia" w:cs="宋体"/>
                <w:color w:val="000000"/>
                <w:kern w:val="0"/>
                <w:sz w:val="20"/>
                <w:szCs w:val="20"/>
              </w:rPr>
              <w:t>15</w:t>
            </w:r>
          </w:p>
        </w:tc>
        <w:tc>
          <w:tcPr>
            <w:tcW w:w="1122" w:type="dxa"/>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left"/>
              <w:rPr>
                <w:rFonts w:cs="宋体"/>
                <w:color w:val="FF0000"/>
                <w:kern w:val="0"/>
                <w:sz w:val="20"/>
                <w:szCs w:val="20"/>
              </w:rPr>
            </w:pPr>
            <w:r>
              <w:rPr>
                <w:rFonts w:hint="eastAsia" w:cs="宋体"/>
                <w:color w:val="000000"/>
                <w:kern w:val="0"/>
                <w:sz w:val="20"/>
                <w:szCs w:val="20"/>
              </w:rPr>
              <w:t>数据双向回流系统定制开发</w:t>
            </w:r>
          </w:p>
        </w:tc>
        <w:tc>
          <w:tcPr>
            <w:tcW w:w="2973" w:type="dxa"/>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left"/>
              <w:rPr>
                <w:rFonts w:cs="宋体"/>
                <w:color w:val="FF0000"/>
                <w:kern w:val="0"/>
                <w:sz w:val="20"/>
                <w:szCs w:val="20"/>
              </w:rPr>
            </w:pPr>
            <w:r>
              <w:rPr>
                <w:rFonts w:hint="eastAsia" w:cs="宋体"/>
                <w:color w:val="000000"/>
                <w:kern w:val="0"/>
                <w:sz w:val="20"/>
                <w:szCs w:val="20"/>
              </w:rPr>
              <w:t>数据双向回流系统定制开发-上海市数据发送-审核数据同步</w:t>
            </w:r>
          </w:p>
        </w:tc>
        <w:tc>
          <w:tcPr>
            <w:tcW w:w="386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cs="宋体"/>
                <w:color w:val="FF0000"/>
                <w:kern w:val="0"/>
                <w:sz w:val="20"/>
                <w:szCs w:val="20"/>
              </w:rPr>
            </w:pPr>
            <w:r>
              <w:rPr>
                <w:rFonts w:hint="eastAsia" w:cs="宋体"/>
                <w:color w:val="000000"/>
                <w:kern w:val="0"/>
                <w:sz w:val="20"/>
                <w:szCs w:val="20"/>
              </w:rPr>
              <w:t>包括审核错误数据识别与提取、数据同步到国家统计局统计云联网直报系统、数据核实与纠正、数据验证与校验、重新上报数据到国家统计局统计云联网直报系统</w:t>
            </w:r>
          </w:p>
        </w:tc>
      </w:tr>
      <w:tr>
        <w:tblPrEx>
          <w:tblCellMar>
            <w:top w:w="0" w:type="dxa"/>
            <w:left w:w="108" w:type="dxa"/>
            <w:bottom w:w="0" w:type="dxa"/>
            <w:right w:w="108" w:type="dxa"/>
          </w:tblCellMar>
        </w:tblPrEx>
        <w:trPr>
          <w:trHeight w:val="600" w:hRule="atLeast"/>
        </w:trPr>
        <w:tc>
          <w:tcPr>
            <w:tcW w:w="437" w:type="dxa"/>
            <w:tcBorders>
              <w:top w:val="nil"/>
              <w:left w:val="single" w:color="auto" w:sz="4" w:space="0"/>
              <w:bottom w:val="single" w:color="auto" w:sz="4" w:space="0"/>
              <w:right w:val="single" w:color="auto" w:sz="4" w:space="0"/>
            </w:tcBorders>
            <w:shd w:val="clear" w:color="000000" w:fill="FFFFFF"/>
            <w:vAlign w:val="center"/>
          </w:tcPr>
          <w:p>
            <w:pPr>
              <w:widowControl/>
              <w:spacing w:line="240" w:lineRule="auto"/>
              <w:ind w:firstLine="0" w:firstLineChars="0"/>
              <w:jc w:val="center"/>
              <w:rPr>
                <w:rFonts w:cs="宋体"/>
                <w:color w:val="000000"/>
                <w:kern w:val="0"/>
                <w:sz w:val="20"/>
                <w:szCs w:val="20"/>
              </w:rPr>
            </w:pPr>
            <w:r>
              <w:rPr>
                <w:rFonts w:hint="eastAsia" w:cs="宋体"/>
                <w:color w:val="000000"/>
                <w:kern w:val="0"/>
                <w:sz w:val="20"/>
                <w:szCs w:val="20"/>
              </w:rPr>
              <w:t>16</w:t>
            </w:r>
          </w:p>
        </w:tc>
        <w:tc>
          <w:tcPr>
            <w:tcW w:w="1122" w:type="dxa"/>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left"/>
              <w:rPr>
                <w:rFonts w:cs="宋体"/>
                <w:color w:val="000000"/>
                <w:kern w:val="0"/>
                <w:sz w:val="20"/>
                <w:szCs w:val="20"/>
              </w:rPr>
            </w:pPr>
            <w:r>
              <w:rPr>
                <w:rFonts w:hint="eastAsia" w:cs="宋体"/>
                <w:color w:val="000000"/>
                <w:kern w:val="0"/>
                <w:sz w:val="20"/>
                <w:szCs w:val="20"/>
              </w:rPr>
              <w:t>数据双向回流系统定制开发</w:t>
            </w:r>
          </w:p>
        </w:tc>
        <w:tc>
          <w:tcPr>
            <w:tcW w:w="2973" w:type="dxa"/>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left"/>
              <w:rPr>
                <w:rFonts w:cs="宋体"/>
                <w:color w:val="000000"/>
                <w:kern w:val="0"/>
                <w:sz w:val="20"/>
                <w:szCs w:val="20"/>
              </w:rPr>
            </w:pPr>
            <w:r>
              <w:rPr>
                <w:rFonts w:hint="eastAsia" w:cs="宋体"/>
                <w:color w:val="000000"/>
                <w:kern w:val="0"/>
                <w:sz w:val="20"/>
                <w:szCs w:val="20"/>
              </w:rPr>
              <w:t>数据双向回流系统定制开发-上海市数据发送-验收数据发送-验收数据发送</w:t>
            </w:r>
          </w:p>
        </w:tc>
        <w:tc>
          <w:tcPr>
            <w:tcW w:w="386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cs="宋体"/>
                <w:color w:val="000000"/>
                <w:kern w:val="0"/>
                <w:sz w:val="20"/>
                <w:szCs w:val="20"/>
              </w:rPr>
            </w:pPr>
            <w:r>
              <w:rPr>
                <w:rFonts w:hint="eastAsia" w:cs="宋体"/>
                <w:color w:val="000000"/>
                <w:kern w:val="0"/>
                <w:sz w:val="20"/>
                <w:szCs w:val="20"/>
              </w:rPr>
              <w:t>包括验收数据发送功能、数据整理与转换、数据安全传输、数据上传与验证</w:t>
            </w:r>
          </w:p>
        </w:tc>
      </w:tr>
      <w:tr>
        <w:tblPrEx>
          <w:tblCellMar>
            <w:top w:w="0" w:type="dxa"/>
            <w:left w:w="108" w:type="dxa"/>
            <w:bottom w:w="0" w:type="dxa"/>
            <w:right w:w="108" w:type="dxa"/>
          </w:tblCellMar>
        </w:tblPrEx>
        <w:trPr>
          <w:trHeight w:val="600" w:hRule="atLeast"/>
        </w:trPr>
        <w:tc>
          <w:tcPr>
            <w:tcW w:w="437" w:type="dxa"/>
            <w:tcBorders>
              <w:top w:val="nil"/>
              <w:left w:val="single" w:color="auto" w:sz="4" w:space="0"/>
              <w:bottom w:val="single" w:color="auto" w:sz="4" w:space="0"/>
              <w:right w:val="single" w:color="auto" w:sz="4" w:space="0"/>
            </w:tcBorders>
            <w:shd w:val="clear" w:color="000000" w:fill="FFFFFF"/>
            <w:vAlign w:val="center"/>
          </w:tcPr>
          <w:p>
            <w:pPr>
              <w:widowControl/>
              <w:spacing w:line="240" w:lineRule="auto"/>
              <w:ind w:firstLine="0" w:firstLineChars="0"/>
              <w:jc w:val="center"/>
              <w:rPr>
                <w:rFonts w:cs="宋体"/>
                <w:color w:val="000000"/>
                <w:kern w:val="0"/>
                <w:sz w:val="20"/>
                <w:szCs w:val="20"/>
              </w:rPr>
            </w:pPr>
            <w:r>
              <w:rPr>
                <w:rFonts w:hint="eastAsia" w:cs="宋体"/>
                <w:color w:val="000000"/>
                <w:kern w:val="0"/>
                <w:sz w:val="20"/>
                <w:szCs w:val="20"/>
              </w:rPr>
              <w:t>17</w:t>
            </w:r>
          </w:p>
        </w:tc>
        <w:tc>
          <w:tcPr>
            <w:tcW w:w="1122" w:type="dxa"/>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left"/>
              <w:rPr>
                <w:rFonts w:cs="宋体"/>
                <w:color w:val="000000"/>
                <w:kern w:val="0"/>
                <w:sz w:val="20"/>
                <w:szCs w:val="20"/>
              </w:rPr>
            </w:pPr>
            <w:r>
              <w:rPr>
                <w:rFonts w:hint="eastAsia" w:cs="宋体"/>
                <w:color w:val="000000"/>
                <w:kern w:val="0"/>
                <w:sz w:val="20"/>
                <w:szCs w:val="20"/>
              </w:rPr>
              <w:t>数据双向回流系统定制开发</w:t>
            </w:r>
          </w:p>
        </w:tc>
        <w:tc>
          <w:tcPr>
            <w:tcW w:w="2973"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cs="宋体"/>
                <w:color w:val="000000"/>
                <w:kern w:val="0"/>
                <w:sz w:val="20"/>
                <w:szCs w:val="20"/>
              </w:rPr>
            </w:pPr>
            <w:r>
              <w:rPr>
                <w:rFonts w:hint="eastAsia" w:cs="宋体"/>
                <w:color w:val="000000"/>
                <w:kern w:val="0"/>
                <w:sz w:val="20"/>
                <w:szCs w:val="20"/>
              </w:rPr>
              <w:t>数据双向回流系统定制开发-上海市数据发送-验收数据发送-国家标记反馈接收</w:t>
            </w:r>
          </w:p>
        </w:tc>
        <w:tc>
          <w:tcPr>
            <w:tcW w:w="386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cs="宋体"/>
                <w:color w:val="000000"/>
                <w:kern w:val="0"/>
                <w:sz w:val="20"/>
                <w:szCs w:val="20"/>
              </w:rPr>
            </w:pPr>
            <w:r>
              <w:rPr>
                <w:rFonts w:hint="eastAsia" w:cs="宋体"/>
                <w:color w:val="000000"/>
                <w:kern w:val="0"/>
                <w:sz w:val="20"/>
                <w:szCs w:val="20"/>
              </w:rPr>
              <w:t>包括数据核实与修正、数据反馈提交、数据更新与修正</w:t>
            </w:r>
          </w:p>
        </w:tc>
      </w:tr>
      <w:tr>
        <w:tblPrEx>
          <w:tblCellMar>
            <w:top w:w="0" w:type="dxa"/>
            <w:left w:w="108" w:type="dxa"/>
            <w:bottom w:w="0" w:type="dxa"/>
            <w:right w:w="108" w:type="dxa"/>
          </w:tblCellMar>
        </w:tblPrEx>
        <w:trPr>
          <w:trHeight w:val="600" w:hRule="atLeast"/>
        </w:trPr>
        <w:tc>
          <w:tcPr>
            <w:tcW w:w="437" w:type="dxa"/>
            <w:tcBorders>
              <w:top w:val="nil"/>
              <w:left w:val="single" w:color="auto" w:sz="4" w:space="0"/>
              <w:bottom w:val="single" w:color="auto" w:sz="4" w:space="0"/>
              <w:right w:val="single" w:color="auto" w:sz="4" w:space="0"/>
            </w:tcBorders>
            <w:shd w:val="clear" w:color="000000" w:fill="FFFFFF"/>
            <w:vAlign w:val="center"/>
          </w:tcPr>
          <w:p>
            <w:pPr>
              <w:widowControl/>
              <w:spacing w:line="240" w:lineRule="auto"/>
              <w:ind w:firstLine="0" w:firstLineChars="0"/>
              <w:jc w:val="center"/>
              <w:rPr>
                <w:rFonts w:cs="宋体"/>
                <w:color w:val="000000"/>
                <w:kern w:val="0"/>
                <w:sz w:val="20"/>
                <w:szCs w:val="20"/>
              </w:rPr>
            </w:pPr>
            <w:r>
              <w:rPr>
                <w:rFonts w:hint="eastAsia" w:cs="宋体"/>
                <w:color w:val="000000"/>
                <w:kern w:val="0"/>
                <w:sz w:val="20"/>
                <w:szCs w:val="20"/>
              </w:rPr>
              <w:t>18</w:t>
            </w:r>
          </w:p>
        </w:tc>
        <w:tc>
          <w:tcPr>
            <w:tcW w:w="1122" w:type="dxa"/>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left"/>
              <w:rPr>
                <w:rFonts w:cs="宋体"/>
                <w:color w:val="000000"/>
                <w:kern w:val="0"/>
                <w:sz w:val="20"/>
                <w:szCs w:val="20"/>
              </w:rPr>
            </w:pPr>
            <w:r>
              <w:rPr>
                <w:rFonts w:hint="eastAsia" w:cs="宋体"/>
                <w:color w:val="000000"/>
                <w:kern w:val="0"/>
                <w:sz w:val="20"/>
                <w:szCs w:val="20"/>
              </w:rPr>
              <w:t>数据双向回流系统定制开发</w:t>
            </w:r>
          </w:p>
        </w:tc>
        <w:tc>
          <w:tcPr>
            <w:tcW w:w="2973"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cs="宋体"/>
                <w:color w:val="000000"/>
                <w:kern w:val="0"/>
                <w:sz w:val="20"/>
                <w:szCs w:val="20"/>
              </w:rPr>
            </w:pPr>
            <w:r>
              <w:rPr>
                <w:rFonts w:hint="eastAsia" w:cs="宋体"/>
                <w:color w:val="000000"/>
                <w:kern w:val="0"/>
                <w:sz w:val="20"/>
                <w:szCs w:val="20"/>
              </w:rPr>
              <w:t>数据双向回流系统定制开发-上海市数据发送-验收数据发送-市企业标记数据发送</w:t>
            </w:r>
          </w:p>
        </w:tc>
        <w:tc>
          <w:tcPr>
            <w:tcW w:w="386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cs="宋体"/>
                <w:color w:val="000000"/>
                <w:kern w:val="0"/>
                <w:sz w:val="20"/>
                <w:szCs w:val="20"/>
              </w:rPr>
            </w:pPr>
            <w:r>
              <w:rPr>
                <w:rFonts w:hint="eastAsia" w:cs="宋体"/>
                <w:color w:val="000000"/>
                <w:kern w:val="0"/>
                <w:sz w:val="20"/>
                <w:szCs w:val="20"/>
              </w:rPr>
              <w:t>包括标记数据推送与修正、修正数据审核与上报</w:t>
            </w:r>
          </w:p>
        </w:tc>
      </w:tr>
      <w:tr>
        <w:tblPrEx>
          <w:tblCellMar>
            <w:top w:w="0" w:type="dxa"/>
            <w:left w:w="108" w:type="dxa"/>
            <w:bottom w:w="0" w:type="dxa"/>
            <w:right w:w="108" w:type="dxa"/>
          </w:tblCellMar>
        </w:tblPrEx>
        <w:trPr>
          <w:trHeight w:val="600" w:hRule="atLeast"/>
        </w:trPr>
        <w:tc>
          <w:tcPr>
            <w:tcW w:w="437" w:type="dxa"/>
            <w:tcBorders>
              <w:top w:val="nil"/>
              <w:left w:val="single" w:color="auto" w:sz="4" w:space="0"/>
              <w:bottom w:val="single" w:color="auto" w:sz="4" w:space="0"/>
              <w:right w:val="single" w:color="auto" w:sz="4" w:space="0"/>
            </w:tcBorders>
            <w:shd w:val="clear" w:color="000000" w:fill="FFFFFF"/>
            <w:vAlign w:val="center"/>
          </w:tcPr>
          <w:p>
            <w:pPr>
              <w:widowControl/>
              <w:spacing w:line="240" w:lineRule="auto"/>
              <w:ind w:firstLine="0" w:firstLineChars="0"/>
              <w:jc w:val="center"/>
              <w:rPr>
                <w:rFonts w:cs="宋体"/>
                <w:color w:val="000000"/>
                <w:kern w:val="0"/>
                <w:sz w:val="20"/>
                <w:szCs w:val="20"/>
              </w:rPr>
            </w:pPr>
            <w:r>
              <w:rPr>
                <w:rFonts w:hint="eastAsia" w:cs="宋体"/>
                <w:color w:val="000000"/>
                <w:kern w:val="0"/>
                <w:sz w:val="20"/>
                <w:szCs w:val="20"/>
              </w:rPr>
              <w:t>19</w:t>
            </w:r>
          </w:p>
        </w:tc>
        <w:tc>
          <w:tcPr>
            <w:tcW w:w="1122" w:type="dxa"/>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left"/>
              <w:rPr>
                <w:rFonts w:cs="宋体"/>
                <w:color w:val="000000"/>
                <w:kern w:val="0"/>
                <w:sz w:val="20"/>
                <w:szCs w:val="20"/>
              </w:rPr>
            </w:pPr>
            <w:r>
              <w:rPr>
                <w:rFonts w:hint="eastAsia" w:cs="宋体"/>
                <w:color w:val="000000"/>
                <w:kern w:val="0"/>
                <w:sz w:val="20"/>
                <w:szCs w:val="20"/>
              </w:rPr>
              <w:t>数据双向回流系统定制开发</w:t>
            </w:r>
          </w:p>
        </w:tc>
        <w:tc>
          <w:tcPr>
            <w:tcW w:w="2973"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cs="宋体"/>
                <w:color w:val="000000"/>
                <w:kern w:val="0"/>
                <w:sz w:val="20"/>
                <w:szCs w:val="20"/>
              </w:rPr>
            </w:pPr>
            <w:r>
              <w:rPr>
                <w:rFonts w:hint="eastAsia" w:cs="宋体"/>
                <w:color w:val="000000"/>
                <w:kern w:val="0"/>
                <w:sz w:val="20"/>
                <w:szCs w:val="20"/>
              </w:rPr>
              <w:t>数据双向回流系统定制开发-上海市数据发送-数据记录与跟踪</w:t>
            </w:r>
          </w:p>
        </w:tc>
        <w:tc>
          <w:tcPr>
            <w:tcW w:w="386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cs="宋体"/>
                <w:color w:val="000000"/>
                <w:kern w:val="0"/>
                <w:sz w:val="20"/>
                <w:szCs w:val="20"/>
              </w:rPr>
            </w:pPr>
            <w:r>
              <w:rPr>
                <w:rFonts w:hint="eastAsia" w:cs="宋体"/>
                <w:color w:val="000000"/>
                <w:kern w:val="0"/>
                <w:sz w:val="20"/>
                <w:szCs w:val="20"/>
              </w:rPr>
              <w:t>包括数据记录、数据跟踪</w:t>
            </w:r>
          </w:p>
        </w:tc>
      </w:tr>
      <w:tr>
        <w:tblPrEx>
          <w:tblCellMar>
            <w:top w:w="0" w:type="dxa"/>
            <w:left w:w="108" w:type="dxa"/>
            <w:bottom w:w="0" w:type="dxa"/>
            <w:right w:w="108" w:type="dxa"/>
          </w:tblCellMar>
        </w:tblPrEx>
        <w:trPr>
          <w:trHeight w:val="600" w:hRule="atLeast"/>
        </w:trPr>
        <w:tc>
          <w:tcPr>
            <w:tcW w:w="437" w:type="dxa"/>
            <w:tcBorders>
              <w:top w:val="nil"/>
              <w:left w:val="single" w:color="auto" w:sz="4" w:space="0"/>
              <w:bottom w:val="single" w:color="auto" w:sz="4" w:space="0"/>
              <w:right w:val="single" w:color="auto" w:sz="4" w:space="0"/>
            </w:tcBorders>
            <w:shd w:val="clear" w:color="000000" w:fill="FFFFFF"/>
            <w:vAlign w:val="center"/>
          </w:tcPr>
          <w:p>
            <w:pPr>
              <w:widowControl/>
              <w:spacing w:line="240" w:lineRule="auto"/>
              <w:ind w:firstLine="0" w:firstLineChars="0"/>
              <w:jc w:val="center"/>
              <w:rPr>
                <w:rFonts w:cs="宋体"/>
                <w:color w:val="000000"/>
                <w:kern w:val="0"/>
                <w:sz w:val="20"/>
                <w:szCs w:val="20"/>
              </w:rPr>
            </w:pPr>
            <w:r>
              <w:rPr>
                <w:rFonts w:hint="eastAsia" w:cs="宋体"/>
                <w:color w:val="000000"/>
                <w:kern w:val="0"/>
                <w:sz w:val="20"/>
                <w:szCs w:val="20"/>
              </w:rPr>
              <w:t>20</w:t>
            </w:r>
          </w:p>
        </w:tc>
        <w:tc>
          <w:tcPr>
            <w:tcW w:w="1122" w:type="dxa"/>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left"/>
              <w:rPr>
                <w:rFonts w:cs="宋体"/>
                <w:color w:val="000000"/>
                <w:kern w:val="0"/>
                <w:sz w:val="20"/>
                <w:szCs w:val="20"/>
              </w:rPr>
            </w:pPr>
            <w:r>
              <w:rPr>
                <w:rFonts w:hint="eastAsia" w:cs="宋体"/>
                <w:color w:val="000000"/>
                <w:kern w:val="0"/>
                <w:sz w:val="20"/>
                <w:szCs w:val="20"/>
              </w:rPr>
              <w:t>数据双向回流系统定制开发</w:t>
            </w:r>
          </w:p>
        </w:tc>
        <w:tc>
          <w:tcPr>
            <w:tcW w:w="2973"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cs="宋体"/>
                <w:color w:val="000000"/>
                <w:kern w:val="0"/>
                <w:sz w:val="20"/>
                <w:szCs w:val="20"/>
              </w:rPr>
            </w:pPr>
            <w:r>
              <w:rPr>
                <w:rFonts w:hint="eastAsia" w:cs="宋体"/>
                <w:color w:val="000000"/>
                <w:kern w:val="0"/>
                <w:sz w:val="20"/>
                <w:szCs w:val="20"/>
              </w:rPr>
              <w:t>数据双向回流系统定制开发-数据同步管理-服务网关-认证与授权审核</w:t>
            </w:r>
          </w:p>
        </w:tc>
        <w:tc>
          <w:tcPr>
            <w:tcW w:w="386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cs="宋体"/>
                <w:color w:val="000000"/>
                <w:kern w:val="0"/>
                <w:sz w:val="20"/>
                <w:szCs w:val="20"/>
              </w:rPr>
            </w:pPr>
            <w:r>
              <w:rPr>
                <w:rFonts w:hint="eastAsia" w:cs="宋体"/>
                <w:color w:val="000000"/>
                <w:kern w:val="0"/>
                <w:sz w:val="20"/>
                <w:szCs w:val="20"/>
              </w:rPr>
              <w:t>认证与授权审核</w:t>
            </w:r>
          </w:p>
        </w:tc>
      </w:tr>
      <w:tr>
        <w:tblPrEx>
          <w:tblCellMar>
            <w:top w:w="0" w:type="dxa"/>
            <w:left w:w="108" w:type="dxa"/>
            <w:bottom w:w="0" w:type="dxa"/>
            <w:right w:w="108" w:type="dxa"/>
          </w:tblCellMar>
        </w:tblPrEx>
        <w:trPr>
          <w:trHeight w:val="600" w:hRule="atLeast"/>
        </w:trPr>
        <w:tc>
          <w:tcPr>
            <w:tcW w:w="437" w:type="dxa"/>
            <w:tcBorders>
              <w:top w:val="nil"/>
              <w:left w:val="single" w:color="auto" w:sz="4" w:space="0"/>
              <w:bottom w:val="single" w:color="auto" w:sz="4" w:space="0"/>
              <w:right w:val="single" w:color="auto" w:sz="4" w:space="0"/>
            </w:tcBorders>
            <w:shd w:val="clear" w:color="000000" w:fill="FFFFFF"/>
            <w:vAlign w:val="center"/>
          </w:tcPr>
          <w:p>
            <w:pPr>
              <w:widowControl/>
              <w:spacing w:line="240" w:lineRule="auto"/>
              <w:ind w:firstLine="0" w:firstLineChars="0"/>
              <w:jc w:val="center"/>
              <w:rPr>
                <w:rFonts w:cs="宋体"/>
                <w:color w:val="000000"/>
                <w:kern w:val="0"/>
                <w:sz w:val="20"/>
                <w:szCs w:val="20"/>
              </w:rPr>
            </w:pPr>
            <w:r>
              <w:rPr>
                <w:rFonts w:hint="eastAsia" w:cs="宋体"/>
                <w:color w:val="000000"/>
                <w:kern w:val="0"/>
                <w:sz w:val="20"/>
                <w:szCs w:val="20"/>
              </w:rPr>
              <w:t>21</w:t>
            </w:r>
          </w:p>
        </w:tc>
        <w:tc>
          <w:tcPr>
            <w:tcW w:w="1122" w:type="dxa"/>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left"/>
              <w:rPr>
                <w:rFonts w:cs="宋体"/>
                <w:color w:val="000000"/>
                <w:kern w:val="0"/>
                <w:sz w:val="20"/>
                <w:szCs w:val="20"/>
              </w:rPr>
            </w:pPr>
            <w:r>
              <w:rPr>
                <w:rFonts w:hint="eastAsia" w:cs="宋体"/>
                <w:color w:val="000000"/>
                <w:kern w:val="0"/>
                <w:sz w:val="20"/>
                <w:szCs w:val="20"/>
              </w:rPr>
              <w:t>数据双向回流系统定制开发</w:t>
            </w:r>
          </w:p>
        </w:tc>
        <w:tc>
          <w:tcPr>
            <w:tcW w:w="2973"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cs="宋体"/>
                <w:color w:val="000000"/>
                <w:kern w:val="0"/>
                <w:sz w:val="20"/>
                <w:szCs w:val="20"/>
              </w:rPr>
            </w:pPr>
            <w:r>
              <w:rPr>
                <w:rFonts w:hint="eastAsia" w:cs="宋体"/>
                <w:color w:val="000000"/>
                <w:kern w:val="0"/>
                <w:sz w:val="20"/>
                <w:szCs w:val="20"/>
              </w:rPr>
              <w:t>数据双向回流系统定制开发-数据同步管理-数据传输与消息的投递</w:t>
            </w:r>
          </w:p>
        </w:tc>
        <w:tc>
          <w:tcPr>
            <w:tcW w:w="3860" w:type="dxa"/>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left"/>
              <w:rPr>
                <w:rFonts w:cs="宋体"/>
                <w:color w:val="000000"/>
                <w:kern w:val="0"/>
                <w:sz w:val="20"/>
                <w:szCs w:val="20"/>
              </w:rPr>
            </w:pPr>
            <w:r>
              <w:rPr>
                <w:rFonts w:hint="eastAsia" w:cs="宋体"/>
                <w:color w:val="000000"/>
                <w:kern w:val="0"/>
                <w:sz w:val="20"/>
                <w:szCs w:val="20"/>
              </w:rPr>
              <w:t>包括消息序列化功能、消息协议解析功能、文件传输功能、消息切分合并功能、死信队列处理功能、异常消息控制功能、消息压缩功能、消息消费监控服务、消息补偿控制功能、事务消息缓存服务、消息一致性功能</w:t>
            </w:r>
          </w:p>
        </w:tc>
      </w:tr>
      <w:tr>
        <w:tblPrEx>
          <w:tblCellMar>
            <w:top w:w="0" w:type="dxa"/>
            <w:left w:w="108" w:type="dxa"/>
            <w:bottom w:w="0" w:type="dxa"/>
            <w:right w:w="108" w:type="dxa"/>
          </w:tblCellMar>
        </w:tblPrEx>
        <w:trPr>
          <w:trHeight w:val="600" w:hRule="atLeast"/>
        </w:trPr>
        <w:tc>
          <w:tcPr>
            <w:tcW w:w="437" w:type="dxa"/>
            <w:tcBorders>
              <w:top w:val="nil"/>
              <w:left w:val="single" w:color="auto" w:sz="4" w:space="0"/>
              <w:bottom w:val="single" w:color="auto" w:sz="4" w:space="0"/>
              <w:right w:val="single" w:color="auto" w:sz="4" w:space="0"/>
            </w:tcBorders>
            <w:shd w:val="clear" w:color="000000" w:fill="FFFFFF"/>
            <w:vAlign w:val="center"/>
          </w:tcPr>
          <w:p>
            <w:pPr>
              <w:widowControl/>
              <w:spacing w:line="240" w:lineRule="auto"/>
              <w:ind w:firstLine="0" w:firstLineChars="0"/>
              <w:jc w:val="center"/>
              <w:rPr>
                <w:rFonts w:cs="宋体"/>
                <w:color w:val="000000"/>
                <w:kern w:val="0"/>
                <w:sz w:val="20"/>
                <w:szCs w:val="20"/>
              </w:rPr>
            </w:pPr>
            <w:r>
              <w:rPr>
                <w:rFonts w:hint="eastAsia" w:cs="宋体"/>
                <w:color w:val="000000"/>
                <w:kern w:val="0"/>
                <w:sz w:val="20"/>
                <w:szCs w:val="20"/>
              </w:rPr>
              <w:t>22</w:t>
            </w:r>
          </w:p>
        </w:tc>
        <w:tc>
          <w:tcPr>
            <w:tcW w:w="1122" w:type="dxa"/>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left"/>
              <w:rPr>
                <w:rFonts w:cs="宋体"/>
                <w:color w:val="000000"/>
                <w:kern w:val="0"/>
                <w:sz w:val="20"/>
                <w:szCs w:val="20"/>
              </w:rPr>
            </w:pPr>
            <w:r>
              <w:rPr>
                <w:rFonts w:hint="eastAsia" w:cs="宋体"/>
                <w:color w:val="000000"/>
                <w:kern w:val="0"/>
                <w:sz w:val="20"/>
                <w:szCs w:val="20"/>
              </w:rPr>
              <w:t>数据双向回流系统定制开发</w:t>
            </w:r>
          </w:p>
        </w:tc>
        <w:tc>
          <w:tcPr>
            <w:tcW w:w="2973"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cs="宋体"/>
                <w:color w:val="000000"/>
                <w:kern w:val="0"/>
                <w:sz w:val="20"/>
                <w:szCs w:val="20"/>
              </w:rPr>
            </w:pPr>
            <w:r>
              <w:rPr>
                <w:rFonts w:hint="eastAsia" w:cs="宋体"/>
                <w:color w:val="000000"/>
                <w:kern w:val="0"/>
                <w:sz w:val="20"/>
                <w:szCs w:val="20"/>
              </w:rPr>
              <w:t>数据同步管理</w:t>
            </w:r>
            <w:r>
              <w:rPr>
                <w:rFonts w:cs="宋体"/>
                <w:color w:val="000000"/>
                <w:kern w:val="0"/>
                <w:sz w:val="20"/>
                <w:szCs w:val="20"/>
              </w:rPr>
              <w:t>-同步任务监控-任务控制管理、安全日志审计、服务运行监控</w:t>
            </w:r>
          </w:p>
        </w:tc>
        <w:tc>
          <w:tcPr>
            <w:tcW w:w="3860" w:type="dxa"/>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left"/>
              <w:rPr>
                <w:rFonts w:cs="宋体"/>
                <w:color w:val="000000"/>
                <w:kern w:val="0"/>
                <w:sz w:val="20"/>
                <w:szCs w:val="20"/>
              </w:rPr>
            </w:pPr>
            <w:r>
              <w:rPr>
                <w:rFonts w:hint="eastAsia" w:cs="宋体"/>
                <w:color w:val="000000"/>
                <w:kern w:val="0"/>
                <w:sz w:val="20"/>
                <w:szCs w:val="20"/>
              </w:rPr>
              <w:t>包括任务调度、数据流控制、资源管理、数据映射和转换、收集日志数据、日志分析、审核规则配置、数据传输监控、错误和异常监控</w:t>
            </w:r>
          </w:p>
        </w:tc>
      </w:tr>
      <w:tr>
        <w:tblPrEx>
          <w:tblCellMar>
            <w:top w:w="0" w:type="dxa"/>
            <w:left w:w="108" w:type="dxa"/>
            <w:bottom w:w="0" w:type="dxa"/>
            <w:right w:w="108" w:type="dxa"/>
          </w:tblCellMar>
        </w:tblPrEx>
        <w:trPr>
          <w:trHeight w:val="600" w:hRule="atLeast"/>
        </w:trPr>
        <w:tc>
          <w:tcPr>
            <w:tcW w:w="437" w:type="dxa"/>
            <w:tcBorders>
              <w:top w:val="nil"/>
              <w:left w:val="single" w:color="auto" w:sz="4" w:space="0"/>
              <w:bottom w:val="single" w:color="auto" w:sz="4" w:space="0"/>
              <w:right w:val="single" w:color="auto" w:sz="4" w:space="0"/>
            </w:tcBorders>
            <w:shd w:val="clear" w:color="000000" w:fill="FFFFFF"/>
            <w:vAlign w:val="center"/>
          </w:tcPr>
          <w:p>
            <w:pPr>
              <w:widowControl/>
              <w:spacing w:line="240" w:lineRule="auto"/>
              <w:ind w:firstLine="0" w:firstLineChars="0"/>
              <w:jc w:val="center"/>
              <w:rPr>
                <w:rFonts w:cs="宋体"/>
                <w:color w:val="000000"/>
                <w:kern w:val="0"/>
                <w:sz w:val="20"/>
                <w:szCs w:val="20"/>
              </w:rPr>
            </w:pPr>
            <w:r>
              <w:rPr>
                <w:rFonts w:hint="eastAsia" w:cs="宋体"/>
                <w:color w:val="000000"/>
                <w:kern w:val="0"/>
                <w:sz w:val="20"/>
                <w:szCs w:val="20"/>
              </w:rPr>
              <w:t>23</w:t>
            </w:r>
          </w:p>
        </w:tc>
        <w:tc>
          <w:tcPr>
            <w:tcW w:w="1122" w:type="dxa"/>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left"/>
              <w:rPr>
                <w:rFonts w:cs="宋体"/>
                <w:color w:val="000000"/>
                <w:kern w:val="0"/>
                <w:sz w:val="20"/>
                <w:szCs w:val="20"/>
              </w:rPr>
            </w:pPr>
            <w:r>
              <w:rPr>
                <w:rFonts w:hint="eastAsia" w:cs="宋体"/>
                <w:color w:val="000000"/>
                <w:kern w:val="0"/>
                <w:sz w:val="20"/>
                <w:szCs w:val="20"/>
              </w:rPr>
              <w:t>与上海市政务云企业身份认证体系集成</w:t>
            </w:r>
          </w:p>
        </w:tc>
        <w:tc>
          <w:tcPr>
            <w:tcW w:w="2973"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cs="宋体"/>
                <w:color w:val="000000"/>
                <w:kern w:val="0"/>
                <w:sz w:val="20"/>
                <w:szCs w:val="20"/>
              </w:rPr>
            </w:pPr>
            <w:r>
              <w:rPr>
                <w:rFonts w:hint="eastAsia" w:cs="宋体"/>
                <w:color w:val="000000"/>
                <w:kern w:val="0"/>
                <w:sz w:val="20"/>
                <w:szCs w:val="20"/>
              </w:rPr>
              <w:t>与上海市一网通办企业身份认证体系集成</w:t>
            </w:r>
          </w:p>
        </w:tc>
        <w:tc>
          <w:tcPr>
            <w:tcW w:w="3860" w:type="dxa"/>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left"/>
              <w:rPr>
                <w:rFonts w:cs="宋体"/>
                <w:color w:val="000000"/>
                <w:kern w:val="0"/>
                <w:sz w:val="20"/>
                <w:szCs w:val="20"/>
              </w:rPr>
            </w:pPr>
            <w:r>
              <w:rPr>
                <w:rFonts w:hint="eastAsia" w:cs="宋体"/>
                <w:color w:val="000000"/>
                <w:kern w:val="0"/>
                <w:sz w:val="20"/>
                <w:szCs w:val="20"/>
              </w:rPr>
              <w:t>包括CA认证登录界面、开发调用接口、处理认证结果、加密传输、输入验证、日志记录</w:t>
            </w:r>
          </w:p>
        </w:tc>
      </w:tr>
      <w:tr>
        <w:tblPrEx>
          <w:tblCellMar>
            <w:top w:w="0" w:type="dxa"/>
            <w:left w:w="108" w:type="dxa"/>
            <w:bottom w:w="0" w:type="dxa"/>
            <w:right w:w="108" w:type="dxa"/>
          </w:tblCellMar>
        </w:tblPrEx>
        <w:trPr>
          <w:trHeight w:val="600" w:hRule="atLeast"/>
        </w:trPr>
        <w:tc>
          <w:tcPr>
            <w:tcW w:w="437" w:type="dxa"/>
            <w:tcBorders>
              <w:top w:val="nil"/>
              <w:left w:val="single" w:color="auto" w:sz="4" w:space="0"/>
              <w:bottom w:val="single" w:color="auto" w:sz="4" w:space="0"/>
              <w:right w:val="single" w:color="auto" w:sz="4" w:space="0"/>
            </w:tcBorders>
            <w:shd w:val="clear" w:color="000000" w:fill="FFFFFF"/>
            <w:vAlign w:val="center"/>
          </w:tcPr>
          <w:p>
            <w:pPr>
              <w:widowControl/>
              <w:spacing w:line="240" w:lineRule="auto"/>
              <w:ind w:firstLine="0" w:firstLineChars="0"/>
              <w:jc w:val="center"/>
              <w:rPr>
                <w:rFonts w:cs="宋体"/>
                <w:color w:val="000000"/>
                <w:kern w:val="0"/>
                <w:sz w:val="20"/>
                <w:szCs w:val="20"/>
              </w:rPr>
            </w:pPr>
            <w:r>
              <w:rPr>
                <w:rFonts w:hint="eastAsia" w:cs="宋体"/>
                <w:color w:val="000000"/>
                <w:kern w:val="0"/>
                <w:sz w:val="20"/>
                <w:szCs w:val="20"/>
              </w:rPr>
              <w:t>24</w:t>
            </w:r>
          </w:p>
        </w:tc>
        <w:tc>
          <w:tcPr>
            <w:tcW w:w="1122" w:type="dxa"/>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left"/>
              <w:rPr>
                <w:rFonts w:cs="宋体"/>
                <w:color w:val="000000"/>
                <w:kern w:val="0"/>
                <w:sz w:val="20"/>
                <w:szCs w:val="20"/>
              </w:rPr>
            </w:pPr>
            <w:r>
              <w:rPr>
                <w:rFonts w:hint="eastAsia" w:cs="宋体"/>
                <w:color w:val="000000"/>
                <w:kern w:val="0"/>
                <w:sz w:val="20"/>
                <w:szCs w:val="20"/>
              </w:rPr>
              <w:t>与上海市政务云企业身份认证体系集成</w:t>
            </w:r>
          </w:p>
        </w:tc>
        <w:tc>
          <w:tcPr>
            <w:tcW w:w="2973"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cs="宋体"/>
                <w:color w:val="000000"/>
                <w:kern w:val="0"/>
                <w:sz w:val="20"/>
                <w:szCs w:val="20"/>
              </w:rPr>
            </w:pPr>
            <w:r>
              <w:rPr>
                <w:rFonts w:hint="eastAsia" w:cs="宋体"/>
                <w:color w:val="000000"/>
                <w:kern w:val="0"/>
                <w:sz w:val="20"/>
                <w:szCs w:val="20"/>
              </w:rPr>
              <w:t>与上海市政务云短信系统接口开发</w:t>
            </w:r>
          </w:p>
        </w:tc>
        <w:tc>
          <w:tcPr>
            <w:tcW w:w="3860" w:type="dxa"/>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left"/>
              <w:rPr>
                <w:rFonts w:cs="宋体"/>
                <w:color w:val="000000"/>
                <w:kern w:val="0"/>
                <w:sz w:val="20"/>
                <w:szCs w:val="20"/>
              </w:rPr>
            </w:pPr>
            <w:r>
              <w:rPr>
                <w:rFonts w:hint="eastAsia" w:cs="宋体"/>
                <w:color w:val="000000"/>
                <w:kern w:val="0"/>
                <w:sz w:val="20"/>
                <w:szCs w:val="20"/>
              </w:rPr>
              <w:t>包括短信验证界面、获取验证码、短信API调用逻辑设计、用户登录验证、错误处理和日志记录</w:t>
            </w:r>
          </w:p>
        </w:tc>
      </w:tr>
      <w:tr>
        <w:tblPrEx>
          <w:tblCellMar>
            <w:top w:w="0" w:type="dxa"/>
            <w:left w:w="108" w:type="dxa"/>
            <w:bottom w:w="0" w:type="dxa"/>
            <w:right w:w="108" w:type="dxa"/>
          </w:tblCellMar>
        </w:tblPrEx>
        <w:trPr>
          <w:trHeight w:val="600" w:hRule="atLeast"/>
        </w:trPr>
        <w:tc>
          <w:tcPr>
            <w:tcW w:w="437" w:type="dxa"/>
            <w:tcBorders>
              <w:top w:val="nil"/>
              <w:left w:val="single" w:color="auto" w:sz="4" w:space="0"/>
              <w:bottom w:val="single" w:color="auto" w:sz="4" w:space="0"/>
              <w:right w:val="single" w:color="auto" w:sz="4" w:space="0"/>
            </w:tcBorders>
            <w:shd w:val="clear" w:color="000000" w:fill="FFFFFF"/>
            <w:vAlign w:val="center"/>
          </w:tcPr>
          <w:p>
            <w:pPr>
              <w:widowControl/>
              <w:spacing w:line="240" w:lineRule="auto"/>
              <w:ind w:firstLine="0" w:firstLineChars="0"/>
              <w:jc w:val="center"/>
              <w:rPr>
                <w:rFonts w:cs="宋体"/>
                <w:color w:val="000000"/>
                <w:kern w:val="0"/>
                <w:sz w:val="20"/>
                <w:szCs w:val="20"/>
              </w:rPr>
            </w:pPr>
            <w:r>
              <w:rPr>
                <w:rFonts w:hint="eastAsia" w:cs="宋体"/>
                <w:color w:val="000000"/>
                <w:kern w:val="0"/>
                <w:sz w:val="20"/>
                <w:szCs w:val="20"/>
              </w:rPr>
              <w:t>25</w:t>
            </w:r>
          </w:p>
        </w:tc>
        <w:tc>
          <w:tcPr>
            <w:tcW w:w="1122" w:type="dxa"/>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left"/>
              <w:rPr>
                <w:rFonts w:cs="宋体"/>
                <w:color w:val="000000"/>
                <w:kern w:val="0"/>
                <w:sz w:val="20"/>
                <w:szCs w:val="20"/>
              </w:rPr>
            </w:pPr>
            <w:r>
              <w:rPr>
                <w:rFonts w:hint="eastAsia" w:cs="宋体"/>
                <w:color w:val="000000"/>
                <w:kern w:val="0"/>
                <w:sz w:val="20"/>
                <w:szCs w:val="20"/>
              </w:rPr>
              <w:t>上海统计云定制专题分析</w:t>
            </w:r>
          </w:p>
        </w:tc>
        <w:tc>
          <w:tcPr>
            <w:tcW w:w="2973"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cs="宋体"/>
                <w:color w:val="000000"/>
                <w:kern w:val="0"/>
                <w:sz w:val="20"/>
                <w:szCs w:val="20"/>
              </w:rPr>
            </w:pPr>
            <w:r>
              <w:rPr>
                <w:rFonts w:hint="eastAsia" w:cs="宋体"/>
                <w:color w:val="000000"/>
                <w:kern w:val="0"/>
                <w:sz w:val="20"/>
                <w:szCs w:val="20"/>
              </w:rPr>
              <w:t>统计云工业专业主题分析</w:t>
            </w:r>
            <w:r>
              <w:rPr>
                <w:rFonts w:cs="宋体"/>
                <w:color w:val="000000"/>
                <w:kern w:val="0"/>
                <w:sz w:val="20"/>
                <w:szCs w:val="20"/>
              </w:rPr>
              <w:t>-工业行业增加值结构分析</w:t>
            </w:r>
          </w:p>
        </w:tc>
        <w:tc>
          <w:tcPr>
            <w:tcW w:w="3860" w:type="dxa"/>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left"/>
              <w:rPr>
                <w:rFonts w:cs="宋体"/>
                <w:color w:val="000000"/>
                <w:kern w:val="0"/>
                <w:sz w:val="20"/>
                <w:szCs w:val="20"/>
              </w:rPr>
            </w:pPr>
            <w:r>
              <w:rPr>
                <w:rFonts w:hint="eastAsia" w:cs="宋体"/>
                <w:color w:val="000000"/>
                <w:kern w:val="0"/>
                <w:sz w:val="20"/>
                <w:szCs w:val="20"/>
              </w:rPr>
              <w:t>依据统计云联网直报采集数据，对上海市工业总产值、资产总额等指标进行汇总分析，通过图形化界面展示工业行业的增加值构成、不同时期的变化情况；同时与国内重点省市进行对标，图形化动态展示重点省市工业指标的对比及增速，分析上海市工业行业增加值结构。</w:t>
            </w:r>
          </w:p>
        </w:tc>
      </w:tr>
      <w:tr>
        <w:tblPrEx>
          <w:tblCellMar>
            <w:top w:w="0" w:type="dxa"/>
            <w:left w:w="108" w:type="dxa"/>
            <w:bottom w:w="0" w:type="dxa"/>
            <w:right w:w="108" w:type="dxa"/>
          </w:tblCellMar>
        </w:tblPrEx>
        <w:trPr>
          <w:trHeight w:val="600" w:hRule="atLeast"/>
        </w:trPr>
        <w:tc>
          <w:tcPr>
            <w:tcW w:w="437" w:type="dxa"/>
            <w:tcBorders>
              <w:top w:val="nil"/>
              <w:left w:val="single" w:color="auto" w:sz="4" w:space="0"/>
              <w:bottom w:val="single" w:color="auto" w:sz="4" w:space="0"/>
              <w:right w:val="single" w:color="auto" w:sz="4" w:space="0"/>
            </w:tcBorders>
            <w:shd w:val="clear" w:color="000000" w:fill="FFFFFF"/>
            <w:vAlign w:val="center"/>
          </w:tcPr>
          <w:p>
            <w:pPr>
              <w:widowControl/>
              <w:spacing w:line="240" w:lineRule="auto"/>
              <w:ind w:firstLine="0" w:firstLineChars="0"/>
              <w:jc w:val="center"/>
              <w:rPr>
                <w:rFonts w:cs="宋体"/>
                <w:color w:val="000000"/>
                <w:kern w:val="0"/>
                <w:sz w:val="20"/>
                <w:szCs w:val="20"/>
              </w:rPr>
            </w:pPr>
            <w:r>
              <w:rPr>
                <w:rFonts w:hint="eastAsia" w:cs="宋体"/>
                <w:color w:val="000000"/>
                <w:kern w:val="0"/>
                <w:sz w:val="20"/>
                <w:szCs w:val="20"/>
              </w:rPr>
              <w:t>26</w:t>
            </w:r>
          </w:p>
        </w:tc>
        <w:tc>
          <w:tcPr>
            <w:tcW w:w="1122" w:type="dxa"/>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left"/>
              <w:rPr>
                <w:rFonts w:cs="宋体"/>
                <w:color w:val="000000"/>
                <w:kern w:val="0"/>
                <w:sz w:val="20"/>
                <w:szCs w:val="20"/>
              </w:rPr>
            </w:pPr>
            <w:r>
              <w:rPr>
                <w:rFonts w:hint="eastAsia" w:cs="宋体"/>
                <w:color w:val="000000"/>
                <w:kern w:val="0"/>
                <w:sz w:val="20"/>
                <w:szCs w:val="20"/>
              </w:rPr>
              <w:t>上海统计云定制专题分析</w:t>
            </w:r>
          </w:p>
        </w:tc>
        <w:tc>
          <w:tcPr>
            <w:tcW w:w="2973"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cs="宋体"/>
                <w:color w:val="000000"/>
                <w:kern w:val="0"/>
                <w:sz w:val="20"/>
                <w:szCs w:val="20"/>
              </w:rPr>
            </w:pPr>
            <w:r>
              <w:rPr>
                <w:rFonts w:hint="eastAsia" w:cs="宋体"/>
                <w:color w:val="000000"/>
                <w:kern w:val="0"/>
                <w:sz w:val="20"/>
                <w:szCs w:val="20"/>
              </w:rPr>
              <w:t>统计云工业专业主题分析</w:t>
            </w:r>
            <w:r>
              <w:rPr>
                <w:rFonts w:cs="宋体"/>
                <w:color w:val="000000"/>
                <w:kern w:val="0"/>
                <w:sz w:val="20"/>
                <w:szCs w:val="20"/>
              </w:rPr>
              <w:t>-工业战新企业和高技术制造业占比分析</w:t>
            </w:r>
          </w:p>
        </w:tc>
        <w:tc>
          <w:tcPr>
            <w:tcW w:w="3860" w:type="dxa"/>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left"/>
              <w:rPr>
                <w:rFonts w:cs="宋体"/>
                <w:color w:val="000000"/>
                <w:kern w:val="0"/>
                <w:sz w:val="20"/>
                <w:szCs w:val="20"/>
              </w:rPr>
            </w:pPr>
            <w:r>
              <w:rPr>
                <w:rFonts w:hint="eastAsia" w:cs="宋体"/>
                <w:color w:val="000000"/>
                <w:kern w:val="0"/>
                <w:sz w:val="20"/>
                <w:szCs w:val="20"/>
              </w:rPr>
              <w:t>依据统计云联网直报采集数据，通过对工业战新企业、高技术制造业等重点企业各个周期的占比数据进行企业数量、工业增加值等指标与全市企业数据的分类加工汇总，通过图形化页面展示工业战新企业、高技术制造业各填报周期内占工业增加值比重，通过指标的变化趋势分析重点企业的经济指标波动情况。</w:t>
            </w:r>
          </w:p>
        </w:tc>
      </w:tr>
      <w:tr>
        <w:tblPrEx>
          <w:tblCellMar>
            <w:top w:w="0" w:type="dxa"/>
            <w:left w:w="108" w:type="dxa"/>
            <w:bottom w:w="0" w:type="dxa"/>
            <w:right w:w="108" w:type="dxa"/>
          </w:tblCellMar>
        </w:tblPrEx>
        <w:trPr>
          <w:trHeight w:val="600" w:hRule="atLeast"/>
        </w:trPr>
        <w:tc>
          <w:tcPr>
            <w:tcW w:w="437" w:type="dxa"/>
            <w:tcBorders>
              <w:top w:val="nil"/>
              <w:left w:val="single" w:color="auto" w:sz="4" w:space="0"/>
              <w:bottom w:val="single" w:color="auto" w:sz="4" w:space="0"/>
              <w:right w:val="single" w:color="auto" w:sz="4" w:space="0"/>
            </w:tcBorders>
            <w:shd w:val="clear" w:color="000000" w:fill="FFFFFF"/>
            <w:vAlign w:val="center"/>
          </w:tcPr>
          <w:p>
            <w:pPr>
              <w:widowControl/>
              <w:spacing w:line="240" w:lineRule="auto"/>
              <w:ind w:firstLine="0" w:firstLineChars="0"/>
              <w:jc w:val="center"/>
              <w:rPr>
                <w:rFonts w:cs="宋体"/>
                <w:color w:val="000000"/>
                <w:kern w:val="0"/>
                <w:sz w:val="20"/>
                <w:szCs w:val="20"/>
              </w:rPr>
            </w:pPr>
            <w:r>
              <w:rPr>
                <w:rFonts w:hint="eastAsia" w:cs="宋体"/>
                <w:color w:val="000000"/>
                <w:kern w:val="0"/>
                <w:sz w:val="20"/>
                <w:szCs w:val="20"/>
              </w:rPr>
              <w:t>27</w:t>
            </w:r>
          </w:p>
        </w:tc>
        <w:tc>
          <w:tcPr>
            <w:tcW w:w="1122" w:type="dxa"/>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left"/>
              <w:rPr>
                <w:rFonts w:cs="宋体"/>
                <w:color w:val="000000"/>
                <w:kern w:val="0"/>
                <w:sz w:val="20"/>
                <w:szCs w:val="20"/>
              </w:rPr>
            </w:pPr>
            <w:r>
              <w:rPr>
                <w:rFonts w:hint="eastAsia" w:cs="宋体"/>
                <w:color w:val="000000"/>
                <w:kern w:val="0"/>
                <w:sz w:val="20"/>
                <w:szCs w:val="20"/>
              </w:rPr>
              <w:t>上海统计云定制专题分析</w:t>
            </w:r>
          </w:p>
        </w:tc>
        <w:tc>
          <w:tcPr>
            <w:tcW w:w="2973"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cs="宋体"/>
                <w:color w:val="000000"/>
                <w:kern w:val="0"/>
                <w:sz w:val="20"/>
                <w:szCs w:val="20"/>
              </w:rPr>
            </w:pPr>
            <w:r>
              <w:rPr>
                <w:rFonts w:hint="eastAsia" w:cs="宋体"/>
                <w:color w:val="000000"/>
                <w:kern w:val="0"/>
                <w:sz w:val="20"/>
                <w:szCs w:val="20"/>
              </w:rPr>
              <w:t>统计云工业专业主题分析</w:t>
            </w:r>
            <w:r>
              <w:rPr>
                <w:rFonts w:cs="宋体"/>
                <w:color w:val="000000"/>
                <w:kern w:val="0"/>
                <w:sz w:val="20"/>
                <w:szCs w:val="20"/>
              </w:rPr>
              <w:t>-重点企业指标增速情况分析</w:t>
            </w:r>
          </w:p>
        </w:tc>
        <w:tc>
          <w:tcPr>
            <w:tcW w:w="3860" w:type="dxa"/>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left"/>
              <w:rPr>
                <w:rFonts w:cs="宋体"/>
                <w:color w:val="000000"/>
                <w:kern w:val="0"/>
                <w:sz w:val="20"/>
                <w:szCs w:val="20"/>
              </w:rPr>
            </w:pPr>
            <w:r>
              <w:rPr>
                <w:rFonts w:hint="eastAsia" w:cs="宋体"/>
                <w:color w:val="000000"/>
                <w:kern w:val="0"/>
                <w:sz w:val="20"/>
                <w:szCs w:val="20"/>
              </w:rPr>
              <w:t>依据统计云联网直报采集数据，分析上海市工业行业的重点企业，针对重点指标工业总产值、从业人员及工资总额、资产总额、负债总额、利润总额、成本和费用总额等企业填报指标数据进行监测分析，通过图形化页面、图文展示等形式，展示各报告期指标数据，根据指标的异常波动情况，对宏观指标的监测做出预警。</w:t>
            </w:r>
          </w:p>
        </w:tc>
      </w:tr>
      <w:tr>
        <w:tblPrEx>
          <w:tblCellMar>
            <w:top w:w="0" w:type="dxa"/>
            <w:left w:w="108" w:type="dxa"/>
            <w:bottom w:w="0" w:type="dxa"/>
            <w:right w:w="108" w:type="dxa"/>
          </w:tblCellMar>
        </w:tblPrEx>
        <w:trPr>
          <w:trHeight w:val="600" w:hRule="atLeast"/>
        </w:trPr>
        <w:tc>
          <w:tcPr>
            <w:tcW w:w="437" w:type="dxa"/>
            <w:tcBorders>
              <w:top w:val="nil"/>
              <w:left w:val="single" w:color="auto" w:sz="4" w:space="0"/>
              <w:bottom w:val="single" w:color="auto" w:sz="4" w:space="0"/>
              <w:right w:val="single" w:color="auto" w:sz="4" w:space="0"/>
            </w:tcBorders>
            <w:shd w:val="clear" w:color="000000" w:fill="FFFFFF"/>
            <w:vAlign w:val="center"/>
          </w:tcPr>
          <w:p>
            <w:pPr>
              <w:widowControl/>
              <w:spacing w:line="240" w:lineRule="auto"/>
              <w:ind w:firstLine="0" w:firstLineChars="0"/>
              <w:jc w:val="center"/>
              <w:rPr>
                <w:rFonts w:cs="宋体"/>
                <w:color w:val="000000"/>
                <w:kern w:val="0"/>
                <w:sz w:val="20"/>
                <w:szCs w:val="20"/>
              </w:rPr>
            </w:pPr>
            <w:r>
              <w:rPr>
                <w:rFonts w:hint="eastAsia" w:cs="宋体"/>
                <w:color w:val="000000"/>
                <w:kern w:val="0"/>
                <w:sz w:val="20"/>
                <w:szCs w:val="20"/>
              </w:rPr>
              <w:t>28</w:t>
            </w:r>
          </w:p>
        </w:tc>
        <w:tc>
          <w:tcPr>
            <w:tcW w:w="1122" w:type="dxa"/>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left"/>
              <w:rPr>
                <w:rFonts w:cs="宋体"/>
                <w:color w:val="000000"/>
                <w:kern w:val="0"/>
                <w:sz w:val="20"/>
                <w:szCs w:val="20"/>
              </w:rPr>
            </w:pPr>
            <w:r>
              <w:rPr>
                <w:rFonts w:hint="eastAsia" w:cs="宋体"/>
                <w:color w:val="000000"/>
                <w:kern w:val="0"/>
                <w:sz w:val="20"/>
                <w:szCs w:val="20"/>
              </w:rPr>
              <w:t>上海统计云定制专题分析</w:t>
            </w:r>
          </w:p>
        </w:tc>
        <w:tc>
          <w:tcPr>
            <w:tcW w:w="2973"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cs="宋体"/>
                <w:color w:val="000000"/>
                <w:kern w:val="0"/>
                <w:sz w:val="20"/>
                <w:szCs w:val="20"/>
              </w:rPr>
            </w:pPr>
            <w:r>
              <w:rPr>
                <w:rFonts w:hint="eastAsia" w:cs="宋体"/>
                <w:color w:val="000000"/>
                <w:kern w:val="0"/>
                <w:sz w:val="20"/>
                <w:szCs w:val="20"/>
              </w:rPr>
              <w:t>统计云工业专业主题分析</w:t>
            </w:r>
            <w:r>
              <w:rPr>
                <w:rFonts w:cs="宋体"/>
                <w:color w:val="000000"/>
                <w:kern w:val="0"/>
                <w:sz w:val="20"/>
                <w:szCs w:val="20"/>
              </w:rPr>
              <w:t>-各区工业总产值增速和年度目标分析</w:t>
            </w:r>
          </w:p>
        </w:tc>
        <w:tc>
          <w:tcPr>
            <w:tcW w:w="3860" w:type="dxa"/>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left"/>
              <w:rPr>
                <w:rFonts w:cs="宋体"/>
                <w:color w:val="000000"/>
                <w:kern w:val="0"/>
                <w:sz w:val="20"/>
                <w:szCs w:val="20"/>
              </w:rPr>
            </w:pPr>
            <w:r>
              <w:rPr>
                <w:rFonts w:hint="eastAsia" w:cs="宋体"/>
                <w:color w:val="000000"/>
                <w:kern w:val="0"/>
                <w:sz w:val="20"/>
                <w:szCs w:val="20"/>
              </w:rPr>
              <w:t>依据统计云联网直报采集数据，通过分析月度、季度定报数据，运行预测分析模型，预测各区工业产值增速与年度目标差异，为区级政府制定政策和计划、进行经济管理与调控提供依据。</w:t>
            </w:r>
          </w:p>
        </w:tc>
      </w:tr>
      <w:tr>
        <w:tblPrEx>
          <w:tblCellMar>
            <w:top w:w="0" w:type="dxa"/>
            <w:left w:w="108" w:type="dxa"/>
            <w:bottom w:w="0" w:type="dxa"/>
            <w:right w:w="108" w:type="dxa"/>
          </w:tblCellMar>
        </w:tblPrEx>
        <w:trPr>
          <w:trHeight w:val="600" w:hRule="atLeast"/>
        </w:trPr>
        <w:tc>
          <w:tcPr>
            <w:tcW w:w="437" w:type="dxa"/>
            <w:tcBorders>
              <w:top w:val="nil"/>
              <w:left w:val="single" w:color="auto" w:sz="4" w:space="0"/>
              <w:bottom w:val="single" w:color="auto" w:sz="4" w:space="0"/>
              <w:right w:val="single" w:color="auto" w:sz="4" w:space="0"/>
            </w:tcBorders>
            <w:shd w:val="clear" w:color="000000" w:fill="FFFFFF"/>
            <w:vAlign w:val="center"/>
          </w:tcPr>
          <w:p>
            <w:pPr>
              <w:widowControl/>
              <w:spacing w:line="240" w:lineRule="auto"/>
              <w:ind w:firstLine="0" w:firstLineChars="0"/>
              <w:jc w:val="center"/>
              <w:rPr>
                <w:rFonts w:cs="宋体"/>
                <w:color w:val="000000"/>
                <w:kern w:val="0"/>
                <w:sz w:val="20"/>
                <w:szCs w:val="20"/>
              </w:rPr>
            </w:pPr>
            <w:r>
              <w:rPr>
                <w:rFonts w:hint="eastAsia" w:cs="宋体"/>
                <w:color w:val="000000"/>
                <w:kern w:val="0"/>
                <w:sz w:val="20"/>
                <w:szCs w:val="20"/>
              </w:rPr>
              <w:t>29</w:t>
            </w:r>
          </w:p>
        </w:tc>
        <w:tc>
          <w:tcPr>
            <w:tcW w:w="1122" w:type="dxa"/>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left"/>
              <w:rPr>
                <w:rFonts w:cs="宋体"/>
                <w:color w:val="000000"/>
                <w:kern w:val="0"/>
                <w:sz w:val="20"/>
                <w:szCs w:val="20"/>
              </w:rPr>
            </w:pPr>
            <w:r>
              <w:rPr>
                <w:rFonts w:hint="eastAsia" w:cs="宋体"/>
                <w:color w:val="000000"/>
                <w:kern w:val="0"/>
                <w:sz w:val="20"/>
                <w:szCs w:val="20"/>
              </w:rPr>
              <w:t>上海统计云定制专题分析</w:t>
            </w:r>
          </w:p>
        </w:tc>
        <w:tc>
          <w:tcPr>
            <w:tcW w:w="2973"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cs="宋体"/>
                <w:color w:val="000000"/>
                <w:kern w:val="0"/>
                <w:sz w:val="20"/>
                <w:szCs w:val="20"/>
              </w:rPr>
            </w:pPr>
            <w:r>
              <w:rPr>
                <w:rFonts w:hint="eastAsia" w:cs="宋体"/>
                <w:color w:val="000000"/>
                <w:kern w:val="0"/>
                <w:sz w:val="20"/>
                <w:szCs w:val="20"/>
              </w:rPr>
              <w:t>统计云工业专业主题分析</w:t>
            </w:r>
            <w:r>
              <w:rPr>
                <w:rFonts w:cs="宋体"/>
                <w:color w:val="000000"/>
                <w:kern w:val="0"/>
                <w:sz w:val="20"/>
                <w:szCs w:val="20"/>
              </w:rPr>
              <w:t>-工业各行业收入利润率分析</w:t>
            </w:r>
          </w:p>
        </w:tc>
        <w:tc>
          <w:tcPr>
            <w:tcW w:w="3860" w:type="dxa"/>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left"/>
              <w:rPr>
                <w:rFonts w:cs="宋体"/>
                <w:color w:val="000000"/>
                <w:kern w:val="0"/>
                <w:sz w:val="20"/>
                <w:szCs w:val="20"/>
              </w:rPr>
            </w:pPr>
            <w:r>
              <w:rPr>
                <w:rFonts w:hint="eastAsia" w:cs="宋体"/>
                <w:color w:val="000000"/>
                <w:kern w:val="0"/>
                <w:sz w:val="20"/>
                <w:szCs w:val="20"/>
              </w:rPr>
              <w:t>依据统计云联网直报采集数据，对工业细分行业企业利润总额、成本和费用总额等主要经济指标进行分析计算，汇总各个行业重点指标数据，通过可视化图表展示医药制造业、汽车制造业、电子设备制造业、电力、热力生产和供应业等行业的经济指标数据，通过图表对比各报告期各行业利润情况，根据图表中指标数据的波动情况，体现生产经营景气状况的发展趋势和异常波动。</w:t>
            </w:r>
          </w:p>
        </w:tc>
      </w:tr>
      <w:tr>
        <w:tblPrEx>
          <w:tblCellMar>
            <w:top w:w="0" w:type="dxa"/>
            <w:left w:w="108" w:type="dxa"/>
            <w:bottom w:w="0" w:type="dxa"/>
            <w:right w:w="108" w:type="dxa"/>
          </w:tblCellMar>
        </w:tblPrEx>
        <w:trPr>
          <w:trHeight w:val="600" w:hRule="atLeast"/>
        </w:trPr>
        <w:tc>
          <w:tcPr>
            <w:tcW w:w="437" w:type="dxa"/>
            <w:tcBorders>
              <w:top w:val="nil"/>
              <w:left w:val="single" w:color="auto" w:sz="4" w:space="0"/>
              <w:bottom w:val="single" w:color="auto" w:sz="4" w:space="0"/>
              <w:right w:val="single" w:color="auto" w:sz="4" w:space="0"/>
            </w:tcBorders>
            <w:shd w:val="clear" w:color="000000" w:fill="FFFFFF"/>
            <w:vAlign w:val="center"/>
          </w:tcPr>
          <w:p>
            <w:pPr>
              <w:widowControl/>
              <w:spacing w:line="240" w:lineRule="auto"/>
              <w:ind w:firstLine="0" w:firstLineChars="0"/>
              <w:jc w:val="center"/>
              <w:rPr>
                <w:rFonts w:cs="宋体"/>
                <w:color w:val="000000"/>
                <w:kern w:val="0"/>
                <w:sz w:val="20"/>
                <w:szCs w:val="20"/>
              </w:rPr>
            </w:pPr>
            <w:r>
              <w:rPr>
                <w:rFonts w:hint="eastAsia" w:cs="宋体"/>
                <w:color w:val="000000"/>
                <w:kern w:val="0"/>
                <w:sz w:val="20"/>
                <w:szCs w:val="20"/>
              </w:rPr>
              <w:t>30</w:t>
            </w:r>
          </w:p>
        </w:tc>
        <w:tc>
          <w:tcPr>
            <w:tcW w:w="1122" w:type="dxa"/>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left"/>
              <w:rPr>
                <w:rFonts w:cs="宋体"/>
                <w:color w:val="000000"/>
                <w:kern w:val="0"/>
                <w:sz w:val="20"/>
                <w:szCs w:val="20"/>
              </w:rPr>
            </w:pPr>
            <w:r>
              <w:rPr>
                <w:rFonts w:hint="eastAsia" w:cs="宋体"/>
                <w:color w:val="000000"/>
                <w:kern w:val="0"/>
                <w:sz w:val="20"/>
                <w:szCs w:val="20"/>
              </w:rPr>
              <w:t>上海统计云定制专题分析</w:t>
            </w:r>
          </w:p>
        </w:tc>
        <w:tc>
          <w:tcPr>
            <w:tcW w:w="2973"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cs="宋体"/>
                <w:color w:val="000000"/>
                <w:kern w:val="0"/>
                <w:sz w:val="20"/>
                <w:szCs w:val="20"/>
              </w:rPr>
            </w:pPr>
            <w:r>
              <w:rPr>
                <w:rFonts w:hint="eastAsia" w:cs="宋体"/>
                <w:color w:val="000000"/>
                <w:kern w:val="0"/>
                <w:sz w:val="20"/>
                <w:szCs w:val="20"/>
              </w:rPr>
              <w:t>统计云工业专业主题分析</w:t>
            </w:r>
            <w:r>
              <w:rPr>
                <w:rFonts w:cs="宋体"/>
                <w:color w:val="000000"/>
                <w:kern w:val="0"/>
                <w:sz w:val="20"/>
                <w:szCs w:val="20"/>
              </w:rPr>
              <w:t>-规上工业和制造业企业数量趋势分析</w:t>
            </w:r>
          </w:p>
        </w:tc>
        <w:tc>
          <w:tcPr>
            <w:tcW w:w="3860" w:type="dxa"/>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left"/>
              <w:rPr>
                <w:rFonts w:cs="宋体"/>
                <w:color w:val="000000"/>
                <w:kern w:val="0"/>
                <w:sz w:val="20"/>
                <w:szCs w:val="20"/>
              </w:rPr>
            </w:pPr>
            <w:r>
              <w:rPr>
                <w:rFonts w:hint="eastAsia" w:cs="宋体"/>
                <w:color w:val="000000"/>
                <w:kern w:val="0"/>
                <w:sz w:val="20"/>
                <w:szCs w:val="20"/>
              </w:rPr>
              <w:t>依据统计云联网直报采集数据，通过分析月度、季度定报数据，对比全市规上企业数量，通过短期波动型和意外事件型的异动分析方式，以可视化页面的形式，展示工业企业数量占比全市数据；形成各报告期规上工业和制造业企业数量占全市规上企业比重分析。</w:t>
            </w:r>
          </w:p>
        </w:tc>
      </w:tr>
      <w:tr>
        <w:tblPrEx>
          <w:tblCellMar>
            <w:top w:w="0" w:type="dxa"/>
            <w:left w:w="108" w:type="dxa"/>
            <w:bottom w:w="0" w:type="dxa"/>
            <w:right w:w="108" w:type="dxa"/>
          </w:tblCellMar>
        </w:tblPrEx>
        <w:trPr>
          <w:trHeight w:val="600" w:hRule="atLeast"/>
        </w:trPr>
        <w:tc>
          <w:tcPr>
            <w:tcW w:w="437" w:type="dxa"/>
            <w:tcBorders>
              <w:top w:val="nil"/>
              <w:left w:val="single" w:color="auto" w:sz="4" w:space="0"/>
              <w:bottom w:val="single" w:color="auto" w:sz="4" w:space="0"/>
              <w:right w:val="single" w:color="auto" w:sz="4" w:space="0"/>
            </w:tcBorders>
            <w:shd w:val="clear" w:color="000000" w:fill="FFFFFF"/>
            <w:vAlign w:val="center"/>
          </w:tcPr>
          <w:p>
            <w:pPr>
              <w:widowControl/>
              <w:spacing w:line="240" w:lineRule="auto"/>
              <w:ind w:firstLine="0" w:firstLineChars="0"/>
              <w:jc w:val="center"/>
              <w:rPr>
                <w:rFonts w:cs="宋体"/>
                <w:color w:val="000000"/>
                <w:kern w:val="0"/>
                <w:sz w:val="20"/>
                <w:szCs w:val="20"/>
              </w:rPr>
            </w:pPr>
            <w:r>
              <w:rPr>
                <w:rFonts w:hint="eastAsia" w:cs="宋体"/>
                <w:color w:val="000000"/>
                <w:kern w:val="0"/>
                <w:sz w:val="20"/>
                <w:szCs w:val="20"/>
              </w:rPr>
              <w:t>31</w:t>
            </w:r>
          </w:p>
        </w:tc>
        <w:tc>
          <w:tcPr>
            <w:tcW w:w="1122" w:type="dxa"/>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left"/>
              <w:rPr>
                <w:rFonts w:cs="宋体"/>
                <w:color w:val="000000"/>
                <w:kern w:val="0"/>
                <w:sz w:val="20"/>
                <w:szCs w:val="20"/>
              </w:rPr>
            </w:pPr>
            <w:r>
              <w:rPr>
                <w:rFonts w:hint="eastAsia" w:cs="宋体"/>
                <w:color w:val="000000"/>
                <w:kern w:val="0"/>
                <w:sz w:val="20"/>
                <w:szCs w:val="20"/>
              </w:rPr>
              <w:t>上海统计云定制专题分析</w:t>
            </w:r>
          </w:p>
        </w:tc>
        <w:tc>
          <w:tcPr>
            <w:tcW w:w="2973"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cs="宋体"/>
                <w:color w:val="000000"/>
                <w:kern w:val="0"/>
                <w:sz w:val="20"/>
                <w:szCs w:val="20"/>
              </w:rPr>
            </w:pPr>
            <w:r>
              <w:rPr>
                <w:rFonts w:hint="eastAsia" w:cs="宋体"/>
                <w:color w:val="000000"/>
                <w:kern w:val="0"/>
                <w:sz w:val="20"/>
                <w:szCs w:val="20"/>
              </w:rPr>
              <w:t>统计云工业专业主题分析</w:t>
            </w:r>
            <w:r>
              <w:rPr>
                <w:rFonts w:cs="宋体"/>
                <w:color w:val="000000"/>
                <w:kern w:val="0"/>
                <w:sz w:val="20"/>
                <w:szCs w:val="20"/>
              </w:rPr>
              <w:t>-统计云联网直报与五经普数据对比分析</w:t>
            </w:r>
          </w:p>
        </w:tc>
        <w:tc>
          <w:tcPr>
            <w:tcW w:w="3860" w:type="dxa"/>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left"/>
              <w:rPr>
                <w:rFonts w:cs="宋体"/>
                <w:color w:val="000000"/>
                <w:kern w:val="0"/>
                <w:sz w:val="20"/>
                <w:szCs w:val="20"/>
              </w:rPr>
            </w:pPr>
            <w:r>
              <w:rPr>
                <w:rFonts w:hint="eastAsia" w:cs="宋体"/>
                <w:color w:val="000000"/>
                <w:kern w:val="0"/>
                <w:sz w:val="20"/>
                <w:szCs w:val="20"/>
              </w:rPr>
              <w:t>依据统计云联网直报采集数据，结合上海市第五次经济普查采集数据，对规上工业企业的重点指标工业总产值、从业人员及工资总额、资产总额、负债总额、利润总额、成本和费用总额等进行两次采集数据的对比分析；通过数据报表、可视化图表等展示数据指标对比分析结果。</w:t>
            </w:r>
          </w:p>
        </w:tc>
      </w:tr>
      <w:tr>
        <w:tblPrEx>
          <w:tblCellMar>
            <w:top w:w="0" w:type="dxa"/>
            <w:left w:w="108" w:type="dxa"/>
            <w:bottom w:w="0" w:type="dxa"/>
            <w:right w:w="108" w:type="dxa"/>
          </w:tblCellMar>
        </w:tblPrEx>
        <w:trPr>
          <w:trHeight w:val="600" w:hRule="atLeast"/>
        </w:trPr>
        <w:tc>
          <w:tcPr>
            <w:tcW w:w="437" w:type="dxa"/>
            <w:tcBorders>
              <w:top w:val="nil"/>
              <w:left w:val="single" w:color="auto" w:sz="4" w:space="0"/>
              <w:bottom w:val="single" w:color="auto" w:sz="4" w:space="0"/>
              <w:right w:val="single" w:color="auto" w:sz="4" w:space="0"/>
            </w:tcBorders>
            <w:shd w:val="clear" w:color="000000" w:fill="FFFFFF"/>
            <w:vAlign w:val="center"/>
          </w:tcPr>
          <w:p>
            <w:pPr>
              <w:widowControl/>
              <w:spacing w:line="240" w:lineRule="auto"/>
              <w:ind w:firstLine="0" w:firstLineChars="0"/>
              <w:jc w:val="center"/>
              <w:rPr>
                <w:rFonts w:cs="宋体"/>
                <w:color w:val="000000"/>
                <w:kern w:val="0"/>
                <w:sz w:val="20"/>
                <w:szCs w:val="20"/>
              </w:rPr>
            </w:pPr>
            <w:r>
              <w:rPr>
                <w:rFonts w:hint="eastAsia" w:cs="宋体"/>
                <w:color w:val="000000"/>
                <w:kern w:val="0"/>
                <w:sz w:val="20"/>
                <w:szCs w:val="20"/>
              </w:rPr>
              <w:t>32</w:t>
            </w:r>
          </w:p>
        </w:tc>
        <w:tc>
          <w:tcPr>
            <w:tcW w:w="1122" w:type="dxa"/>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left"/>
              <w:rPr>
                <w:rFonts w:cs="宋体"/>
                <w:color w:val="000000"/>
                <w:kern w:val="0"/>
                <w:sz w:val="20"/>
                <w:szCs w:val="20"/>
              </w:rPr>
            </w:pPr>
            <w:r>
              <w:rPr>
                <w:rFonts w:hint="eastAsia" w:cs="宋体"/>
                <w:color w:val="000000"/>
                <w:kern w:val="0"/>
                <w:sz w:val="20"/>
                <w:szCs w:val="20"/>
              </w:rPr>
              <w:t>上海统计云定制专题分析</w:t>
            </w:r>
          </w:p>
        </w:tc>
        <w:tc>
          <w:tcPr>
            <w:tcW w:w="2973"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cs="宋体"/>
                <w:color w:val="000000"/>
                <w:kern w:val="0"/>
                <w:sz w:val="20"/>
                <w:szCs w:val="20"/>
              </w:rPr>
            </w:pPr>
            <w:r>
              <w:rPr>
                <w:rFonts w:hint="eastAsia" w:cs="宋体"/>
                <w:color w:val="000000"/>
                <w:kern w:val="0"/>
                <w:sz w:val="20"/>
                <w:szCs w:val="20"/>
              </w:rPr>
              <w:t>统计云工业专业主题分析</w:t>
            </w:r>
            <w:r>
              <w:rPr>
                <w:rFonts w:cs="宋体"/>
                <w:color w:val="000000"/>
                <w:kern w:val="0"/>
                <w:sz w:val="20"/>
                <w:szCs w:val="20"/>
              </w:rPr>
              <w:t>-按地区分析</w:t>
            </w:r>
          </w:p>
        </w:tc>
        <w:tc>
          <w:tcPr>
            <w:tcW w:w="3860" w:type="dxa"/>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left"/>
              <w:rPr>
                <w:rFonts w:cs="宋体"/>
                <w:color w:val="000000"/>
                <w:kern w:val="0"/>
                <w:sz w:val="20"/>
                <w:szCs w:val="20"/>
              </w:rPr>
            </w:pPr>
            <w:r>
              <w:rPr>
                <w:rFonts w:hint="eastAsia" w:cs="宋体"/>
                <w:color w:val="000000"/>
                <w:kern w:val="0"/>
                <w:sz w:val="20"/>
                <w:szCs w:val="20"/>
              </w:rPr>
              <w:t>统计云工业行业按区域可分为</w:t>
            </w:r>
            <w:r>
              <w:rPr>
                <w:rFonts w:cs="宋体"/>
                <w:color w:val="000000"/>
                <w:kern w:val="0"/>
                <w:sz w:val="20"/>
                <w:szCs w:val="20"/>
              </w:rPr>
              <w:t>16个区，通过目标测算、中长期趋势分析、对标监测、关联指标监测、同比量分析等分析模型指标，从工业总产值、从业人员及工资总额、资产总额、负债总额、利润总额、成本和费用总额等指标维度对全市进行协调性分析，通过可视化页面展示出研判分析结论，全面掌控经济发展情况。</w:t>
            </w:r>
          </w:p>
        </w:tc>
      </w:tr>
      <w:tr>
        <w:tblPrEx>
          <w:tblCellMar>
            <w:top w:w="0" w:type="dxa"/>
            <w:left w:w="108" w:type="dxa"/>
            <w:bottom w:w="0" w:type="dxa"/>
            <w:right w:w="108" w:type="dxa"/>
          </w:tblCellMar>
        </w:tblPrEx>
        <w:trPr>
          <w:trHeight w:val="600" w:hRule="atLeast"/>
        </w:trPr>
        <w:tc>
          <w:tcPr>
            <w:tcW w:w="437" w:type="dxa"/>
            <w:tcBorders>
              <w:top w:val="nil"/>
              <w:left w:val="single" w:color="auto" w:sz="4" w:space="0"/>
              <w:bottom w:val="single" w:color="auto" w:sz="4" w:space="0"/>
              <w:right w:val="single" w:color="auto" w:sz="4" w:space="0"/>
            </w:tcBorders>
            <w:shd w:val="clear" w:color="000000" w:fill="FFFFFF"/>
            <w:vAlign w:val="center"/>
          </w:tcPr>
          <w:p>
            <w:pPr>
              <w:widowControl/>
              <w:spacing w:line="240" w:lineRule="auto"/>
              <w:ind w:firstLine="0" w:firstLineChars="0"/>
              <w:jc w:val="center"/>
              <w:rPr>
                <w:rFonts w:cs="宋体"/>
                <w:color w:val="000000"/>
                <w:kern w:val="0"/>
                <w:sz w:val="20"/>
                <w:szCs w:val="20"/>
              </w:rPr>
            </w:pPr>
            <w:r>
              <w:rPr>
                <w:rFonts w:hint="eastAsia" w:cs="宋体"/>
                <w:color w:val="000000"/>
                <w:kern w:val="0"/>
                <w:sz w:val="20"/>
                <w:szCs w:val="20"/>
              </w:rPr>
              <w:t>33</w:t>
            </w:r>
          </w:p>
        </w:tc>
        <w:tc>
          <w:tcPr>
            <w:tcW w:w="1122" w:type="dxa"/>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left"/>
              <w:rPr>
                <w:rFonts w:cs="宋体"/>
                <w:color w:val="000000"/>
                <w:kern w:val="0"/>
                <w:sz w:val="20"/>
                <w:szCs w:val="20"/>
              </w:rPr>
            </w:pPr>
            <w:r>
              <w:rPr>
                <w:rFonts w:hint="eastAsia" w:cs="宋体"/>
                <w:color w:val="000000"/>
                <w:kern w:val="0"/>
                <w:sz w:val="20"/>
                <w:szCs w:val="20"/>
              </w:rPr>
              <w:t>上海统计云定制专题分析</w:t>
            </w:r>
          </w:p>
        </w:tc>
        <w:tc>
          <w:tcPr>
            <w:tcW w:w="2973"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cs="宋体"/>
                <w:color w:val="000000"/>
                <w:kern w:val="0"/>
                <w:sz w:val="20"/>
                <w:szCs w:val="20"/>
              </w:rPr>
            </w:pPr>
            <w:r>
              <w:rPr>
                <w:rFonts w:hint="eastAsia" w:cs="宋体"/>
                <w:color w:val="000000"/>
                <w:kern w:val="0"/>
                <w:sz w:val="20"/>
                <w:szCs w:val="20"/>
              </w:rPr>
              <w:t>统计云工业专业主题分析</w:t>
            </w:r>
            <w:r>
              <w:rPr>
                <w:rFonts w:cs="宋体"/>
                <w:color w:val="000000"/>
                <w:kern w:val="0"/>
                <w:sz w:val="20"/>
                <w:szCs w:val="20"/>
              </w:rPr>
              <w:t>-按行业门类分析</w:t>
            </w:r>
          </w:p>
        </w:tc>
        <w:tc>
          <w:tcPr>
            <w:tcW w:w="386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cs="宋体"/>
                <w:color w:val="000000"/>
                <w:kern w:val="0"/>
                <w:sz w:val="20"/>
                <w:szCs w:val="20"/>
              </w:rPr>
            </w:pPr>
            <w:r>
              <w:rPr>
                <w:rFonts w:hint="eastAsia" w:cs="宋体"/>
                <w:color w:val="000000"/>
                <w:kern w:val="0"/>
                <w:sz w:val="20"/>
                <w:szCs w:val="20"/>
              </w:rPr>
              <w:t>统计云工业行业按门类可分为（采矿业，制造业，电力、热力、燃气及水生产和供应业）通过目标测算、中长期趋势分析、对标监测、关联指标监测、同比量分析等分析模型指标，从工业总产值、从业人员及工资总额、资产总额、负债总额、利润总额、成本和费用总额等指标维度对全市进行协调性分析，通过可视化页面展示出研判分析结论，全面掌控经济发展情况。</w:t>
            </w:r>
          </w:p>
        </w:tc>
      </w:tr>
      <w:tr>
        <w:tblPrEx>
          <w:tblCellMar>
            <w:top w:w="0" w:type="dxa"/>
            <w:left w:w="108" w:type="dxa"/>
            <w:bottom w:w="0" w:type="dxa"/>
            <w:right w:w="108" w:type="dxa"/>
          </w:tblCellMar>
        </w:tblPrEx>
        <w:trPr>
          <w:trHeight w:val="600" w:hRule="atLeast"/>
        </w:trPr>
        <w:tc>
          <w:tcPr>
            <w:tcW w:w="437" w:type="dxa"/>
            <w:tcBorders>
              <w:top w:val="nil"/>
              <w:left w:val="single" w:color="auto" w:sz="4" w:space="0"/>
              <w:bottom w:val="single" w:color="auto" w:sz="4" w:space="0"/>
              <w:right w:val="single" w:color="auto" w:sz="4" w:space="0"/>
            </w:tcBorders>
            <w:shd w:val="clear" w:color="000000" w:fill="FFFFFF"/>
            <w:vAlign w:val="center"/>
          </w:tcPr>
          <w:p>
            <w:pPr>
              <w:widowControl/>
              <w:spacing w:line="240" w:lineRule="auto"/>
              <w:ind w:firstLine="0" w:firstLineChars="0"/>
              <w:jc w:val="center"/>
              <w:rPr>
                <w:rFonts w:cs="宋体"/>
                <w:color w:val="000000"/>
                <w:kern w:val="0"/>
                <w:sz w:val="20"/>
                <w:szCs w:val="20"/>
              </w:rPr>
            </w:pPr>
            <w:r>
              <w:rPr>
                <w:rFonts w:hint="eastAsia" w:cs="宋体"/>
                <w:color w:val="000000"/>
                <w:kern w:val="0"/>
                <w:sz w:val="20"/>
                <w:szCs w:val="20"/>
              </w:rPr>
              <w:t>34</w:t>
            </w:r>
          </w:p>
        </w:tc>
        <w:tc>
          <w:tcPr>
            <w:tcW w:w="1122" w:type="dxa"/>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left"/>
              <w:rPr>
                <w:rFonts w:cs="宋体"/>
                <w:color w:val="000000"/>
                <w:kern w:val="0"/>
                <w:sz w:val="20"/>
                <w:szCs w:val="20"/>
              </w:rPr>
            </w:pPr>
            <w:r>
              <w:rPr>
                <w:rFonts w:hint="eastAsia" w:cs="宋体"/>
                <w:color w:val="000000"/>
                <w:kern w:val="0"/>
                <w:sz w:val="20"/>
                <w:szCs w:val="20"/>
              </w:rPr>
              <w:t>上海统计云定制专题分析</w:t>
            </w:r>
          </w:p>
        </w:tc>
        <w:tc>
          <w:tcPr>
            <w:tcW w:w="2973"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cs="宋体"/>
                <w:color w:val="000000"/>
                <w:kern w:val="0"/>
                <w:sz w:val="20"/>
                <w:szCs w:val="20"/>
              </w:rPr>
            </w:pPr>
            <w:r>
              <w:rPr>
                <w:rFonts w:hint="eastAsia" w:cs="宋体"/>
                <w:color w:val="000000"/>
                <w:kern w:val="0"/>
                <w:sz w:val="20"/>
                <w:szCs w:val="20"/>
              </w:rPr>
              <w:t>统计云服务业专业主题分析</w:t>
            </w:r>
            <w:r>
              <w:rPr>
                <w:rFonts w:cs="宋体"/>
                <w:color w:val="000000"/>
                <w:kern w:val="0"/>
                <w:sz w:val="20"/>
                <w:szCs w:val="20"/>
              </w:rPr>
              <w:t>-第三产业增加值分析</w:t>
            </w:r>
          </w:p>
        </w:tc>
        <w:tc>
          <w:tcPr>
            <w:tcW w:w="386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cs="宋体"/>
                <w:color w:val="000000"/>
                <w:kern w:val="0"/>
                <w:sz w:val="20"/>
                <w:szCs w:val="20"/>
              </w:rPr>
            </w:pPr>
            <w:r>
              <w:rPr>
                <w:rFonts w:hint="eastAsia" w:cs="宋体"/>
                <w:color w:val="000000"/>
                <w:kern w:val="0"/>
                <w:sz w:val="20"/>
                <w:szCs w:val="20"/>
              </w:rPr>
              <w:t>依据统计云联网直报采集数据，对服务业等第三产业增加值结构、重点行业增加值等增加值指标进行专题分析，经过对服务业增加值、重点行业分类汇总计算等数据汇总处理过程，形成服务业增加值分析数据；通过可视化界面的形式，展示服务业增加值分析结果，实现对服务业企业的营业情况、利润情况的整体结构性分析。</w:t>
            </w:r>
          </w:p>
        </w:tc>
      </w:tr>
      <w:tr>
        <w:tblPrEx>
          <w:tblCellMar>
            <w:top w:w="0" w:type="dxa"/>
            <w:left w:w="108" w:type="dxa"/>
            <w:bottom w:w="0" w:type="dxa"/>
            <w:right w:w="108" w:type="dxa"/>
          </w:tblCellMar>
        </w:tblPrEx>
        <w:trPr>
          <w:trHeight w:val="600" w:hRule="atLeast"/>
        </w:trPr>
        <w:tc>
          <w:tcPr>
            <w:tcW w:w="437" w:type="dxa"/>
            <w:tcBorders>
              <w:top w:val="nil"/>
              <w:left w:val="single" w:color="auto" w:sz="4" w:space="0"/>
              <w:bottom w:val="single" w:color="auto" w:sz="4" w:space="0"/>
              <w:right w:val="single" w:color="auto" w:sz="4" w:space="0"/>
            </w:tcBorders>
            <w:shd w:val="clear" w:color="000000" w:fill="FFFFFF"/>
            <w:vAlign w:val="center"/>
          </w:tcPr>
          <w:p>
            <w:pPr>
              <w:widowControl/>
              <w:spacing w:line="240" w:lineRule="auto"/>
              <w:ind w:firstLine="0" w:firstLineChars="0"/>
              <w:jc w:val="center"/>
              <w:rPr>
                <w:rFonts w:cs="宋体"/>
                <w:color w:val="000000"/>
                <w:kern w:val="0"/>
                <w:sz w:val="20"/>
                <w:szCs w:val="20"/>
              </w:rPr>
            </w:pPr>
            <w:r>
              <w:rPr>
                <w:rFonts w:hint="eastAsia" w:cs="宋体"/>
                <w:color w:val="000000"/>
                <w:kern w:val="0"/>
                <w:sz w:val="20"/>
                <w:szCs w:val="20"/>
              </w:rPr>
              <w:t>35</w:t>
            </w:r>
          </w:p>
        </w:tc>
        <w:tc>
          <w:tcPr>
            <w:tcW w:w="1122" w:type="dxa"/>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left"/>
              <w:rPr>
                <w:rFonts w:cs="宋体"/>
                <w:color w:val="000000"/>
                <w:kern w:val="0"/>
                <w:sz w:val="20"/>
                <w:szCs w:val="20"/>
              </w:rPr>
            </w:pPr>
            <w:r>
              <w:rPr>
                <w:rFonts w:hint="eastAsia" w:cs="宋体"/>
                <w:color w:val="000000"/>
                <w:kern w:val="0"/>
                <w:sz w:val="20"/>
                <w:szCs w:val="20"/>
              </w:rPr>
              <w:t>上海统计云定制专题分析</w:t>
            </w:r>
          </w:p>
        </w:tc>
        <w:tc>
          <w:tcPr>
            <w:tcW w:w="2973"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cs="宋体"/>
                <w:color w:val="000000"/>
                <w:kern w:val="0"/>
                <w:sz w:val="20"/>
                <w:szCs w:val="20"/>
              </w:rPr>
            </w:pPr>
            <w:r>
              <w:rPr>
                <w:rFonts w:hint="eastAsia" w:cs="宋体"/>
                <w:color w:val="000000"/>
                <w:kern w:val="0"/>
                <w:sz w:val="20"/>
                <w:szCs w:val="20"/>
              </w:rPr>
              <w:t>统计云服务业专业主题分析</w:t>
            </w:r>
            <w:r>
              <w:rPr>
                <w:rFonts w:cs="宋体"/>
                <w:color w:val="000000"/>
                <w:kern w:val="0"/>
                <w:sz w:val="20"/>
                <w:szCs w:val="20"/>
              </w:rPr>
              <w:t>-规上企业第三产业增加值结构分析</w:t>
            </w:r>
          </w:p>
        </w:tc>
        <w:tc>
          <w:tcPr>
            <w:tcW w:w="386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cs="宋体"/>
                <w:color w:val="000000"/>
                <w:kern w:val="0"/>
                <w:sz w:val="20"/>
                <w:szCs w:val="20"/>
              </w:rPr>
            </w:pPr>
            <w:r>
              <w:rPr>
                <w:rFonts w:hint="eastAsia" w:cs="宋体"/>
                <w:color w:val="000000"/>
                <w:kern w:val="0"/>
                <w:sz w:val="20"/>
                <w:szCs w:val="20"/>
              </w:rPr>
              <w:t>分析月度、季度定报数据，经过对服务业定报数据按照第三产业结构进行分类汇总，对规上企业第三产业增加值结构按报告期、按行业门类做结构化分析，以可视化页面的形式展示报告期、行业门类等维度服务业增加值结构变化情况，对比不同行业在各报告中占第三产业增加值结构占比及变化趋势。</w:t>
            </w:r>
          </w:p>
          <w:p>
            <w:pPr>
              <w:widowControl/>
              <w:spacing w:line="240" w:lineRule="auto"/>
              <w:ind w:firstLine="0" w:firstLineChars="0"/>
              <w:jc w:val="left"/>
              <w:rPr>
                <w:rFonts w:cs="宋体"/>
                <w:color w:val="000000"/>
                <w:kern w:val="0"/>
                <w:sz w:val="20"/>
                <w:szCs w:val="20"/>
              </w:rPr>
            </w:pPr>
          </w:p>
        </w:tc>
      </w:tr>
      <w:tr>
        <w:tblPrEx>
          <w:tblCellMar>
            <w:top w:w="0" w:type="dxa"/>
            <w:left w:w="108" w:type="dxa"/>
            <w:bottom w:w="0" w:type="dxa"/>
            <w:right w:w="108" w:type="dxa"/>
          </w:tblCellMar>
        </w:tblPrEx>
        <w:trPr>
          <w:trHeight w:val="1127" w:hRule="atLeast"/>
        </w:trPr>
        <w:tc>
          <w:tcPr>
            <w:tcW w:w="437" w:type="dxa"/>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宋体"/>
                <w:color w:val="000000"/>
                <w:kern w:val="0"/>
                <w:sz w:val="20"/>
                <w:szCs w:val="20"/>
              </w:rPr>
            </w:pPr>
            <w:r>
              <w:rPr>
                <w:rFonts w:hint="eastAsia" w:cs="宋体"/>
                <w:color w:val="000000"/>
                <w:kern w:val="0"/>
                <w:sz w:val="20"/>
                <w:szCs w:val="20"/>
              </w:rPr>
              <w:t>36</w:t>
            </w:r>
          </w:p>
        </w:tc>
        <w:tc>
          <w:tcPr>
            <w:tcW w:w="1122" w:type="dxa"/>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left"/>
              <w:rPr>
                <w:rFonts w:cs="宋体"/>
                <w:color w:val="000000"/>
                <w:kern w:val="0"/>
                <w:sz w:val="20"/>
                <w:szCs w:val="20"/>
              </w:rPr>
            </w:pPr>
            <w:r>
              <w:rPr>
                <w:rFonts w:hint="eastAsia" w:cs="宋体"/>
                <w:color w:val="000000"/>
                <w:kern w:val="0"/>
                <w:sz w:val="20"/>
                <w:szCs w:val="20"/>
              </w:rPr>
              <w:t>上海统计云定制专题分析</w:t>
            </w:r>
          </w:p>
        </w:tc>
        <w:tc>
          <w:tcPr>
            <w:tcW w:w="2973"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cs="宋体"/>
                <w:color w:val="000000"/>
                <w:kern w:val="0"/>
                <w:sz w:val="20"/>
                <w:szCs w:val="20"/>
              </w:rPr>
            </w:pPr>
            <w:r>
              <w:rPr>
                <w:rFonts w:hint="eastAsia" w:cs="宋体"/>
                <w:color w:val="000000"/>
                <w:kern w:val="0"/>
                <w:sz w:val="20"/>
                <w:szCs w:val="20"/>
              </w:rPr>
              <w:t>统计云服务业专业主题分析-重点行业增加值增速分析</w:t>
            </w:r>
          </w:p>
          <w:p>
            <w:pPr>
              <w:widowControl/>
              <w:spacing w:line="240" w:lineRule="auto"/>
              <w:ind w:firstLine="0" w:firstLineChars="0"/>
              <w:jc w:val="left"/>
              <w:rPr>
                <w:rFonts w:cs="宋体"/>
                <w:color w:val="000000"/>
                <w:kern w:val="0"/>
                <w:sz w:val="20"/>
                <w:szCs w:val="20"/>
              </w:rPr>
            </w:pPr>
          </w:p>
        </w:tc>
        <w:tc>
          <w:tcPr>
            <w:tcW w:w="386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cs="宋体"/>
                <w:color w:val="000000"/>
                <w:kern w:val="0"/>
                <w:sz w:val="20"/>
                <w:szCs w:val="20"/>
              </w:rPr>
            </w:pPr>
            <w:r>
              <w:rPr>
                <w:rFonts w:hint="eastAsia" w:cs="宋体"/>
                <w:color w:val="000000"/>
                <w:kern w:val="0"/>
                <w:sz w:val="20"/>
                <w:szCs w:val="20"/>
              </w:rPr>
              <w:t>对服务业定报数据按照产业结构、重点行业等维度，对营业情况、人员情况等关键指标进行分类汇总和数据加工，计算服务业内重点行业的服务业增加值增速情况及以上企业的营业情况、税收情况，人员情况、行业划分等，以可视化页面的形式，展示数据分结果，通过页面数据的趋势及波动情况分析重点行业对全市规上服务业增加值的影响。</w:t>
            </w:r>
          </w:p>
          <w:p>
            <w:pPr>
              <w:widowControl/>
              <w:spacing w:line="240" w:lineRule="auto"/>
              <w:ind w:firstLine="0" w:firstLineChars="0"/>
              <w:jc w:val="left"/>
              <w:rPr>
                <w:rFonts w:cs="宋体"/>
                <w:color w:val="000000"/>
                <w:kern w:val="0"/>
                <w:sz w:val="20"/>
                <w:szCs w:val="20"/>
              </w:rPr>
            </w:pPr>
          </w:p>
        </w:tc>
      </w:tr>
      <w:tr>
        <w:tblPrEx>
          <w:tblCellMar>
            <w:top w:w="0" w:type="dxa"/>
            <w:left w:w="108" w:type="dxa"/>
            <w:bottom w:w="0" w:type="dxa"/>
            <w:right w:w="108" w:type="dxa"/>
          </w:tblCellMar>
        </w:tblPrEx>
        <w:trPr>
          <w:trHeight w:val="870" w:hRule="atLeast"/>
        </w:trPr>
        <w:tc>
          <w:tcPr>
            <w:tcW w:w="437" w:type="dxa"/>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宋体"/>
                <w:color w:val="000000"/>
                <w:kern w:val="0"/>
                <w:sz w:val="20"/>
                <w:szCs w:val="20"/>
              </w:rPr>
            </w:pPr>
            <w:r>
              <w:rPr>
                <w:rFonts w:hint="eastAsia" w:cs="宋体"/>
                <w:color w:val="000000"/>
                <w:kern w:val="0"/>
                <w:sz w:val="20"/>
                <w:szCs w:val="20"/>
              </w:rPr>
              <w:t>37</w:t>
            </w:r>
          </w:p>
        </w:tc>
        <w:tc>
          <w:tcPr>
            <w:tcW w:w="1122" w:type="dxa"/>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left"/>
              <w:rPr>
                <w:rFonts w:cs="宋体"/>
                <w:color w:val="000000"/>
                <w:kern w:val="0"/>
                <w:sz w:val="20"/>
                <w:szCs w:val="20"/>
              </w:rPr>
            </w:pPr>
            <w:r>
              <w:rPr>
                <w:rFonts w:hint="eastAsia" w:cs="宋体"/>
                <w:color w:val="000000"/>
                <w:kern w:val="0"/>
                <w:sz w:val="20"/>
                <w:szCs w:val="20"/>
              </w:rPr>
              <w:t>上海统计云定制专题分析</w:t>
            </w:r>
          </w:p>
        </w:tc>
        <w:tc>
          <w:tcPr>
            <w:tcW w:w="2973"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cs="宋体"/>
                <w:color w:val="000000"/>
                <w:kern w:val="0"/>
                <w:sz w:val="20"/>
                <w:szCs w:val="20"/>
              </w:rPr>
            </w:pPr>
            <w:r>
              <w:rPr>
                <w:rFonts w:hint="eastAsia" w:cs="宋体"/>
                <w:color w:val="000000"/>
                <w:kern w:val="0"/>
                <w:sz w:val="20"/>
                <w:szCs w:val="20"/>
              </w:rPr>
              <w:t>统计云服务业专业主题分析-重点集团/企业月度发展情况</w:t>
            </w:r>
          </w:p>
          <w:p>
            <w:pPr>
              <w:widowControl/>
              <w:spacing w:line="240" w:lineRule="auto"/>
              <w:ind w:firstLine="0" w:firstLineChars="0"/>
              <w:jc w:val="left"/>
              <w:rPr>
                <w:rFonts w:cs="宋体"/>
                <w:color w:val="000000"/>
                <w:kern w:val="0"/>
                <w:sz w:val="20"/>
                <w:szCs w:val="20"/>
              </w:rPr>
            </w:pPr>
          </w:p>
        </w:tc>
        <w:tc>
          <w:tcPr>
            <w:tcW w:w="386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cs="宋体"/>
                <w:color w:val="000000"/>
                <w:kern w:val="0"/>
                <w:sz w:val="20"/>
                <w:szCs w:val="20"/>
              </w:rPr>
            </w:pPr>
            <w:r>
              <w:rPr>
                <w:rFonts w:hint="eastAsia" w:cs="宋体"/>
                <w:color w:val="000000"/>
                <w:kern w:val="0"/>
                <w:sz w:val="20"/>
                <w:szCs w:val="20"/>
              </w:rPr>
              <w:t>分析上海市服务业行业的重点集团/企业，针对重点指标服务业增加值、增加值构成、营业收入情况、利润总额、利润增速等进行监测分析，计算重点集团/企业与全市服务业企业的指标增速对比数据，通过可视化页面展示重点集团/企业的指标变化情况，对指标异常波动情况做出预警。</w:t>
            </w:r>
          </w:p>
          <w:p>
            <w:pPr>
              <w:widowControl/>
              <w:spacing w:line="240" w:lineRule="auto"/>
              <w:ind w:firstLine="0" w:firstLineChars="0"/>
              <w:jc w:val="left"/>
              <w:rPr>
                <w:rFonts w:cs="宋体"/>
                <w:color w:val="000000"/>
                <w:kern w:val="0"/>
                <w:sz w:val="20"/>
                <w:szCs w:val="20"/>
              </w:rPr>
            </w:pPr>
          </w:p>
        </w:tc>
      </w:tr>
      <w:tr>
        <w:tblPrEx>
          <w:tblCellMar>
            <w:top w:w="0" w:type="dxa"/>
            <w:left w:w="108" w:type="dxa"/>
            <w:bottom w:w="0" w:type="dxa"/>
            <w:right w:w="108" w:type="dxa"/>
          </w:tblCellMar>
        </w:tblPrEx>
        <w:trPr>
          <w:trHeight w:val="600" w:hRule="atLeast"/>
        </w:trPr>
        <w:tc>
          <w:tcPr>
            <w:tcW w:w="437" w:type="dxa"/>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宋体"/>
                <w:color w:val="000000"/>
                <w:kern w:val="0"/>
                <w:sz w:val="20"/>
                <w:szCs w:val="20"/>
              </w:rPr>
            </w:pPr>
            <w:r>
              <w:rPr>
                <w:rFonts w:hint="eastAsia" w:cs="宋体"/>
                <w:color w:val="000000"/>
                <w:kern w:val="0"/>
                <w:sz w:val="20"/>
                <w:szCs w:val="20"/>
              </w:rPr>
              <w:t>38</w:t>
            </w:r>
          </w:p>
        </w:tc>
        <w:tc>
          <w:tcPr>
            <w:tcW w:w="1122" w:type="dxa"/>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left"/>
              <w:rPr>
                <w:rFonts w:cs="宋体"/>
                <w:color w:val="000000"/>
                <w:kern w:val="0"/>
                <w:sz w:val="20"/>
                <w:szCs w:val="20"/>
              </w:rPr>
            </w:pPr>
            <w:r>
              <w:rPr>
                <w:rFonts w:hint="eastAsia" w:cs="宋体"/>
                <w:color w:val="000000"/>
                <w:kern w:val="0"/>
                <w:sz w:val="20"/>
                <w:szCs w:val="20"/>
              </w:rPr>
              <w:t>上海统计云定制专题分析</w:t>
            </w:r>
          </w:p>
        </w:tc>
        <w:tc>
          <w:tcPr>
            <w:tcW w:w="2973"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cs="宋体"/>
                <w:color w:val="000000"/>
                <w:kern w:val="0"/>
                <w:sz w:val="20"/>
                <w:szCs w:val="20"/>
              </w:rPr>
            </w:pPr>
            <w:r>
              <w:rPr>
                <w:rFonts w:hint="eastAsia" w:cs="宋体"/>
                <w:color w:val="000000"/>
                <w:kern w:val="0"/>
                <w:sz w:val="20"/>
                <w:szCs w:val="20"/>
              </w:rPr>
              <w:t>统计云服务业专业主题分析-服务业相关产业发展情况分析</w:t>
            </w:r>
          </w:p>
          <w:p>
            <w:pPr>
              <w:widowControl/>
              <w:spacing w:line="240" w:lineRule="auto"/>
              <w:ind w:firstLine="0" w:firstLineChars="0"/>
              <w:jc w:val="left"/>
              <w:rPr>
                <w:rFonts w:cs="宋体"/>
                <w:color w:val="000000"/>
                <w:kern w:val="0"/>
                <w:sz w:val="20"/>
                <w:szCs w:val="20"/>
              </w:rPr>
            </w:pPr>
          </w:p>
        </w:tc>
        <w:tc>
          <w:tcPr>
            <w:tcW w:w="386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cs="宋体"/>
                <w:color w:val="000000"/>
                <w:kern w:val="0"/>
                <w:sz w:val="20"/>
                <w:szCs w:val="20"/>
              </w:rPr>
            </w:pPr>
            <w:r>
              <w:rPr>
                <w:rFonts w:hint="eastAsia" w:cs="宋体"/>
                <w:color w:val="000000"/>
                <w:kern w:val="0"/>
                <w:sz w:val="20"/>
                <w:szCs w:val="20"/>
              </w:rPr>
              <w:t>通过分析规上服务业单位的主要经济指标，与能源、投资等其它产业指标进行对标分析，通过跨专业指标的分类加工汇总，分析不同专业指标之间的影响情况，通过可视化展示的形式，分析展示规上服务业的经济指标对其他产业的发展促进效果。</w:t>
            </w:r>
          </w:p>
          <w:p>
            <w:pPr>
              <w:widowControl/>
              <w:spacing w:line="240" w:lineRule="auto"/>
              <w:ind w:firstLine="0" w:firstLineChars="0"/>
              <w:jc w:val="left"/>
              <w:rPr>
                <w:rFonts w:cs="宋体"/>
                <w:color w:val="000000"/>
                <w:kern w:val="0"/>
                <w:sz w:val="20"/>
                <w:szCs w:val="20"/>
              </w:rPr>
            </w:pPr>
          </w:p>
        </w:tc>
      </w:tr>
      <w:tr>
        <w:tblPrEx>
          <w:tblCellMar>
            <w:top w:w="0" w:type="dxa"/>
            <w:left w:w="108" w:type="dxa"/>
            <w:bottom w:w="0" w:type="dxa"/>
            <w:right w:w="108" w:type="dxa"/>
          </w:tblCellMar>
        </w:tblPrEx>
        <w:trPr>
          <w:trHeight w:val="600" w:hRule="atLeast"/>
        </w:trPr>
        <w:tc>
          <w:tcPr>
            <w:tcW w:w="437" w:type="dxa"/>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宋体"/>
                <w:color w:val="000000"/>
                <w:kern w:val="0"/>
                <w:sz w:val="20"/>
                <w:szCs w:val="20"/>
              </w:rPr>
            </w:pPr>
            <w:r>
              <w:rPr>
                <w:rFonts w:hint="eastAsia" w:cs="宋体"/>
                <w:color w:val="000000"/>
                <w:kern w:val="0"/>
                <w:sz w:val="20"/>
                <w:szCs w:val="20"/>
              </w:rPr>
              <w:t>39</w:t>
            </w:r>
          </w:p>
        </w:tc>
        <w:tc>
          <w:tcPr>
            <w:tcW w:w="1122" w:type="dxa"/>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left"/>
              <w:rPr>
                <w:rFonts w:cs="宋体"/>
                <w:color w:val="000000"/>
                <w:kern w:val="0"/>
                <w:sz w:val="20"/>
                <w:szCs w:val="20"/>
              </w:rPr>
            </w:pPr>
            <w:r>
              <w:rPr>
                <w:rFonts w:hint="eastAsia" w:cs="宋体"/>
                <w:color w:val="000000"/>
                <w:kern w:val="0"/>
                <w:sz w:val="20"/>
                <w:szCs w:val="20"/>
              </w:rPr>
              <w:t>上海统计云定制专题分析</w:t>
            </w:r>
          </w:p>
        </w:tc>
        <w:tc>
          <w:tcPr>
            <w:tcW w:w="2973"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cs="宋体"/>
                <w:color w:val="000000"/>
                <w:kern w:val="0"/>
                <w:sz w:val="20"/>
                <w:szCs w:val="20"/>
              </w:rPr>
            </w:pPr>
            <w:r>
              <w:rPr>
                <w:rFonts w:hint="eastAsia" w:cs="宋体"/>
                <w:color w:val="000000"/>
                <w:kern w:val="0"/>
                <w:sz w:val="20"/>
                <w:szCs w:val="20"/>
              </w:rPr>
              <w:t>统计云服务业专业主题分析-服务业营业收入情况分析</w:t>
            </w:r>
          </w:p>
          <w:p>
            <w:pPr>
              <w:widowControl/>
              <w:spacing w:line="240" w:lineRule="auto"/>
              <w:ind w:firstLine="0" w:firstLineChars="0"/>
              <w:jc w:val="left"/>
              <w:rPr>
                <w:rFonts w:cs="宋体"/>
                <w:color w:val="000000"/>
                <w:kern w:val="0"/>
                <w:sz w:val="20"/>
                <w:szCs w:val="20"/>
              </w:rPr>
            </w:pPr>
          </w:p>
        </w:tc>
        <w:tc>
          <w:tcPr>
            <w:tcW w:w="386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cs="宋体"/>
                <w:color w:val="000000"/>
                <w:kern w:val="0"/>
                <w:sz w:val="20"/>
                <w:szCs w:val="20"/>
              </w:rPr>
            </w:pPr>
            <w:r>
              <w:rPr>
                <w:rFonts w:hint="eastAsia" w:cs="宋体"/>
                <w:color w:val="000000"/>
                <w:kern w:val="0"/>
                <w:sz w:val="20"/>
                <w:szCs w:val="20"/>
              </w:rPr>
              <w:t>依据营业收入指标、分析服务业企业的营业收入占全市比重，通过对月度、季度定报数据做定期分析，形成统计云规上服务业企业营业收入的增速与趋势分析，利用可视化页面，展示规上服务业企业的指标变化情况，通过指标异常波动情况的展现，辅助政府因企施策，帮助企业利用现有优势，快速发展。</w:t>
            </w:r>
          </w:p>
          <w:p>
            <w:pPr>
              <w:widowControl/>
              <w:spacing w:line="240" w:lineRule="auto"/>
              <w:ind w:firstLine="0" w:firstLineChars="0"/>
              <w:jc w:val="left"/>
              <w:rPr>
                <w:rFonts w:cs="宋体"/>
                <w:color w:val="000000"/>
                <w:kern w:val="0"/>
                <w:sz w:val="20"/>
                <w:szCs w:val="20"/>
              </w:rPr>
            </w:pPr>
          </w:p>
        </w:tc>
      </w:tr>
      <w:tr>
        <w:tblPrEx>
          <w:tblCellMar>
            <w:top w:w="0" w:type="dxa"/>
            <w:left w:w="108" w:type="dxa"/>
            <w:bottom w:w="0" w:type="dxa"/>
            <w:right w:w="108" w:type="dxa"/>
          </w:tblCellMar>
        </w:tblPrEx>
        <w:trPr>
          <w:trHeight w:val="600" w:hRule="atLeast"/>
        </w:trPr>
        <w:tc>
          <w:tcPr>
            <w:tcW w:w="437" w:type="dxa"/>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宋体"/>
                <w:color w:val="000000"/>
                <w:kern w:val="0"/>
                <w:sz w:val="20"/>
                <w:szCs w:val="20"/>
              </w:rPr>
            </w:pPr>
            <w:r>
              <w:rPr>
                <w:rFonts w:hint="eastAsia" w:cs="宋体"/>
                <w:color w:val="000000"/>
                <w:kern w:val="0"/>
                <w:sz w:val="20"/>
                <w:szCs w:val="20"/>
              </w:rPr>
              <w:t>40</w:t>
            </w:r>
          </w:p>
        </w:tc>
        <w:tc>
          <w:tcPr>
            <w:tcW w:w="1122" w:type="dxa"/>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left"/>
              <w:rPr>
                <w:rFonts w:cs="宋体"/>
                <w:color w:val="000000"/>
                <w:kern w:val="0"/>
                <w:sz w:val="20"/>
                <w:szCs w:val="20"/>
              </w:rPr>
            </w:pPr>
            <w:r>
              <w:rPr>
                <w:rFonts w:hint="eastAsia" w:cs="宋体"/>
                <w:color w:val="000000"/>
                <w:kern w:val="0"/>
                <w:sz w:val="20"/>
                <w:szCs w:val="20"/>
              </w:rPr>
              <w:t>上海统计云定制专题分析</w:t>
            </w:r>
          </w:p>
        </w:tc>
        <w:tc>
          <w:tcPr>
            <w:tcW w:w="2973"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cs="宋体"/>
                <w:color w:val="000000"/>
                <w:kern w:val="0"/>
                <w:sz w:val="20"/>
                <w:szCs w:val="20"/>
              </w:rPr>
            </w:pPr>
            <w:r>
              <w:rPr>
                <w:rFonts w:hint="eastAsia" w:cs="宋体"/>
                <w:color w:val="000000"/>
                <w:kern w:val="0"/>
                <w:sz w:val="20"/>
                <w:szCs w:val="20"/>
              </w:rPr>
              <w:t>统计云服务业专业主题分析-统计云联网直报与五经普数据对比分析</w:t>
            </w:r>
          </w:p>
          <w:p>
            <w:pPr>
              <w:widowControl/>
              <w:spacing w:line="240" w:lineRule="auto"/>
              <w:ind w:firstLine="0" w:firstLineChars="0"/>
              <w:jc w:val="left"/>
              <w:rPr>
                <w:rFonts w:cs="宋体"/>
                <w:color w:val="000000"/>
                <w:kern w:val="0"/>
                <w:sz w:val="20"/>
                <w:szCs w:val="20"/>
              </w:rPr>
            </w:pPr>
          </w:p>
        </w:tc>
        <w:tc>
          <w:tcPr>
            <w:tcW w:w="386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cs="宋体"/>
                <w:color w:val="000000"/>
                <w:kern w:val="0"/>
                <w:sz w:val="20"/>
                <w:szCs w:val="20"/>
              </w:rPr>
            </w:pPr>
            <w:r>
              <w:rPr>
                <w:rFonts w:hint="eastAsia" w:cs="宋体"/>
                <w:color w:val="000000"/>
                <w:kern w:val="0"/>
                <w:sz w:val="20"/>
                <w:szCs w:val="20"/>
              </w:rPr>
              <w:t>结合上海市第五次经济普查采集数据，对规上服务业企业的重点指标服务业增加值、增加值构成、营业收入情况、利润总额、重点行业增加值、区域营业收入增速情况等进行两次采集数据的对比分析；通过数据报表、可视化图表等展示数据指标对比分析结果。</w:t>
            </w:r>
          </w:p>
          <w:p>
            <w:pPr>
              <w:widowControl/>
              <w:spacing w:line="240" w:lineRule="auto"/>
              <w:ind w:firstLine="0" w:firstLineChars="0"/>
              <w:jc w:val="left"/>
              <w:rPr>
                <w:rFonts w:cs="宋体"/>
                <w:color w:val="000000"/>
                <w:kern w:val="0"/>
                <w:sz w:val="20"/>
                <w:szCs w:val="20"/>
              </w:rPr>
            </w:pPr>
          </w:p>
        </w:tc>
      </w:tr>
      <w:tr>
        <w:tblPrEx>
          <w:tblCellMar>
            <w:top w:w="0" w:type="dxa"/>
            <w:left w:w="108" w:type="dxa"/>
            <w:bottom w:w="0" w:type="dxa"/>
            <w:right w:w="108" w:type="dxa"/>
          </w:tblCellMar>
        </w:tblPrEx>
        <w:trPr>
          <w:trHeight w:val="600" w:hRule="atLeast"/>
        </w:trPr>
        <w:tc>
          <w:tcPr>
            <w:tcW w:w="437" w:type="dxa"/>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宋体"/>
                <w:color w:val="000000"/>
                <w:kern w:val="0"/>
                <w:sz w:val="20"/>
                <w:szCs w:val="20"/>
              </w:rPr>
            </w:pPr>
            <w:r>
              <w:rPr>
                <w:rFonts w:hint="eastAsia" w:cs="宋体"/>
                <w:color w:val="000000"/>
                <w:kern w:val="0"/>
                <w:sz w:val="20"/>
                <w:szCs w:val="20"/>
              </w:rPr>
              <w:t>41</w:t>
            </w:r>
          </w:p>
        </w:tc>
        <w:tc>
          <w:tcPr>
            <w:tcW w:w="1122" w:type="dxa"/>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left"/>
              <w:rPr>
                <w:rFonts w:cs="宋体"/>
                <w:color w:val="000000"/>
                <w:kern w:val="0"/>
                <w:sz w:val="20"/>
                <w:szCs w:val="20"/>
              </w:rPr>
            </w:pPr>
            <w:r>
              <w:rPr>
                <w:rFonts w:hint="eastAsia" w:cs="宋体"/>
                <w:color w:val="000000"/>
                <w:kern w:val="0"/>
                <w:sz w:val="20"/>
                <w:szCs w:val="20"/>
              </w:rPr>
              <w:t>上海统计云定制专题分析</w:t>
            </w:r>
          </w:p>
        </w:tc>
        <w:tc>
          <w:tcPr>
            <w:tcW w:w="2973"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cs="宋体"/>
                <w:color w:val="000000"/>
                <w:kern w:val="0"/>
                <w:sz w:val="20"/>
                <w:szCs w:val="20"/>
              </w:rPr>
            </w:pPr>
            <w:r>
              <w:rPr>
                <w:rFonts w:hint="eastAsia" w:cs="宋体"/>
                <w:color w:val="000000"/>
                <w:kern w:val="0"/>
                <w:sz w:val="20"/>
                <w:szCs w:val="20"/>
              </w:rPr>
              <w:t>统计云服务业专业主题分析-按地区分析</w:t>
            </w:r>
          </w:p>
          <w:p>
            <w:pPr>
              <w:widowControl/>
              <w:spacing w:line="240" w:lineRule="auto"/>
              <w:ind w:firstLine="0" w:firstLineChars="0"/>
              <w:jc w:val="left"/>
              <w:rPr>
                <w:rFonts w:cs="宋体"/>
                <w:color w:val="000000"/>
                <w:kern w:val="0"/>
                <w:sz w:val="20"/>
                <w:szCs w:val="20"/>
              </w:rPr>
            </w:pPr>
          </w:p>
        </w:tc>
        <w:tc>
          <w:tcPr>
            <w:tcW w:w="386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cs="宋体"/>
                <w:color w:val="000000"/>
                <w:kern w:val="0"/>
                <w:sz w:val="20"/>
                <w:szCs w:val="20"/>
              </w:rPr>
            </w:pPr>
            <w:r>
              <w:rPr>
                <w:rFonts w:hint="eastAsia" w:cs="宋体"/>
                <w:color w:val="000000"/>
                <w:kern w:val="0"/>
                <w:sz w:val="20"/>
                <w:szCs w:val="20"/>
              </w:rPr>
              <w:t>服务业行业按区域，从服务业增加值、增加值构成、营业收入情况、利润总额、重点行业增加值、区域营业收入增速情况等指标维度对全市进行协调性分析，通过可视化页面展示出研判分析结论，全面掌控经济发展情况。</w:t>
            </w:r>
          </w:p>
          <w:p>
            <w:pPr>
              <w:widowControl/>
              <w:spacing w:line="240" w:lineRule="auto"/>
              <w:ind w:firstLine="0" w:firstLineChars="0"/>
              <w:jc w:val="left"/>
              <w:rPr>
                <w:rFonts w:cs="宋体"/>
                <w:color w:val="000000"/>
                <w:kern w:val="0"/>
                <w:sz w:val="20"/>
                <w:szCs w:val="20"/>
              </w:rPr>
            </w:pPr>
          </w:p>
        </w:tc>
      </w:tr>
      <w:tr>
        <w:tblPrEx>
          <w:tblCellMar>
            <w:top w:w="0" w:type="dxa"/>
            <w:left w:w="108" w:type="dxa"/>
            <w:bottom w:w="0" w:type="dxa"/>
            <w:right w:w="108" w:type="dxa"/>
          </w:tblCellMar>
        </w:tblPrEx>
        <w:trPr>
          <w:trHeight w:val="600" w:hRule="atLeast"/>
        </w:trPr>
        <w:tc>
          <w:tcPr>
            <w:tcW w:w="437" w:type="dxa"/>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宋体"/>
                <w:color w:val="000000"/>
                <w:kern w:val="0"/>
                <w:sz w:val="20"/>
                <w:szCs w:val="20"/>
              </w:rPr>
            </w:pPr>
            <w:r>
              <w:rPr>
                <w:rFonts w:hint="eastAsia" w:cs="宋体"/>
                <w:color w:val="000000"/>
                <w:kern w:val="0"/>
                <w:sz w:val="20"/>
                <w:szCs w:val="20"/>
              </w:rPr>
              <w:t>42</w:t>
            </w:r>
          </w:p>
        </w:tc>
        <w:tc>
          <w:tcPr>
            <w:tcW w:w="1122" w:type="dxa"/>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left"/>
              <w:rPr>
                <w:rFonts w:cs="宋体"/>
                <w:color w:val="000000"/>
                <w:kern w:val="0"/>
                <w:sz w:val="20"/>
                <w:szCs w:val="20"/>
              </w:rPr>
            </w:pPr>
            <w:r>
              <w:rPr>
                <w:rFonts w:hint="eastAsia" w:cs="宋体"/>
                <w:color w:val="000000"/>
                <w:kern w:val="0"/>
                <w:sz w:val="20"/>
                <w:szCs w:val="20"/>
              </w:rPr>
              <w:t>上海统计云定制专题分析</w:t>
            </w:r>
          </w:p>
        </w:tc>
        <w:tc>
          <w:tcPr>
            <w:tcW w:w="2973"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cs="宋体"/>
                <w:color w:val="000000"/>
                <w:kern w:val="0"/>
                <w:sz w:val="20"/>
                <w:szCs w:val="20"/>
              </w:rPr>
            </w:pPr>
            <w:r>
              <w:rPr>
                <w:rFonts w:hint="eastAsia" w:cs="宋体"/>
                <w:color w:val="000000"/>
                <w:kern w:val="0"/>
                <w:sz w:val="20"/>
                <w:szCs w:val="20"/>
              </w:rPr>
              <w:t>统计云服务业专业主题分析-按行业门类分析</w:t>
            </w:r>
          </w:p>
          <w:p>
            <w:pPr>
              <w:widowControl/>
              <w:spacing w:line="240" w:lineRule="auto"/>
              <w:ind w:firstLine="0" w:firstLineChars="0"/>
              <w:jc w:val="left"/>
              <w:rPr>
                <w:rFonts w:cs="宋体"/>
                <w:color w:val="000000"/>
                <w:kern w:val="0"/>
                <w:sz w:val="20"/>
                <w:szCs w:val="20"/>
              </w:rPr>
            </w:pPr>
          </w:p>
        </w:tc>
        <w:tc>
          <w:tcPr>
            <w:tcW w:w="386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cs="宋体"/>
                <w:color w:val="000000"/>
                <w:kern w:val="0"/>
                <w:sz w:val="20"/>
                <w:szCs w:val="20"/>
              </w:rPr>
            </w:pPr>
            <w:r>
              <w:rPr>
                <w:rFonts w:hint="eastAsia" w:cs="宋体"/>
                <w:color w:val="000000"/>
                <w:kern w:val="0"/>
                <w:sz w:val="20"/>
                <w:szCs w:val="20"/>
              </w:rPr>
              <w:t>服务业行业按门类，从服务业增加值、增加值构成、营业收入情况、利润总额、重点行业增加值、区域营业收入增速情况等指标维度对全市进行协调性分析，通过可视化页面展示出研判分析结论，全面掌控经济发展情况。</w:t>
            </w:r>
          </w:p>
          <w:p>
            <w:pPr>
              <w:widowControl/>
              <w:spacing w:line="240" w:lineRule="auto"/>
              <w:ind w:firstLine="0" w:firstLineChars="0"/>
              <w:jc w:val="left"/>
              <w:rPr>
                <w:rFonts w:cs="宋体"/>
                <w:color w:val="000000"/>
                <w:kern w:val="0"/>
                <w:sz w:val="20"/>
                <w:szCs w:val="20"/>
              </w:rPr>
            </w:pPr>
          </w:p>
        </w:tc>
      </w:tr>
      <w:tr>
        <w:tblPrEx>
          <w:tblCellMar>
            <w:top w:w="0" w:type="dxa"/>
            <w:left w:w="108" w:type="dxa"/>
            <w:bottom w:w="0" w:type="dxa"/>
            <w:right w:w="108" w:type="dxa"/>
          </w:tblCellMar>
        </w:tblPrEx>
        <w:trPr>
          <w:trHeight w:val="600" w:hRule="atLeast"/>
        </w:trPr>
        <w:tc>
          <w:tcPr>
            <w:tcW w:w="437" w:type="dxa"/>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宋体"/>
                <w:color w:val="000000"/>
                <w:kern w:val="0"/>
                <w:sz w:val="20"/>
                <w:szCs w:val="20"/>
              </w:rPr>
            </w:pPr>
            <w:r>
              <w:rPr>
                <w:rFonts w:hint="eastAsia" w:cs="宋体"/>
                <w:color w:val="000000"/>
                <w:kern w:val="0"/>
                <w:sz w:val="20"/>
                <w:szCs w:val="20"/>
              </w:rPr>
              <w:t>43</w:t>
            </w:r>
          </w:p>
        </w:tc>
        <w:tc>
          <w:tcPr>
            <w:tcW w:w="1122" w:type="dxa"/>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left"/>
              <w:rPr>
                <w:rFonts w:cs="宋体"/>
                <w:color w:val="000000"/>
                <w:kern w:val="0"/>
                <w:sz w:val="20"/>
                <w:szCs w:val="20"/>
              </w:rPr>
            </w:pPr>
            <w:r>
              <w:rPr>
                <w:rFonts w:hint="eastAsia" w:cs="宋体"/>
                <w:color w:val="000000"/>
                <w:kern w:val="0"/>
                <w:sz w:val="20"/>
                <w:szCs w:val="20"/>
              </w:rPr>
              <w:t>密码应用模块开发</w:t>
            </w:r>
          </w:p>
        </w:tc>
        <w:tc>
          <w:tcPr>
            <w:tcW w:w="2973"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等线" w:hAnsi="等线" w:eastAsia="等线"/>
                <w:b/>
                <w:bCs/>
                <w:color w:val="000000"/>
                <w:sz w:val="22"/>
                <w:szCs w:val="22"/>
              </w:rPr>
            </w:pPr>
            <w:r>
              <w:rPr>
                <w:rFonts w:hint="eastAsia" w:cs="宋体"/>
                <w:color w:val="000000"/>
                <w:kern w:val="0"/>
                <w:sz w:val="20"/>
                <w:szCs w:val="20"/>
              </w:rPr>
              <w:t>用户身份认证机制模块</w:t>
            </w:r>
          </w:p>
        </w:tc>
        <w:tc>
          <w:tcPr>
            <w:tcW w:w="386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等线" w:hAnsi="等线" w:eastAsia="等线"/>
                <w:b/>
                <w:bCs/>
                <w:color w:val="000000"/>
                <w:sz w:val="22"/>
                <w:szCs w:val="22"/>
              </w:rPr>
            </w:pPr>
            <w:r>
              <w:rPr>
                <w:rFonts w:hint="eastAsia" w:cs="宋体"/>
                <w:color w:val="000000"/>
                <w:kern w:val="0"/>
                <w:sz w:val="20"/>
                <w:szCs w:val="20"/>
              </w:rPr>
              <w:t>/</w:t>
            </w:r>
          </w:p>
        </w:tc>
      </w:tr>
      <w:tr>
        <w:tblPrEx>
          <w:tblCellMar>
            <w:top w:w="0" w:type="dxa"/>
            <w:left w:w="108" w:type="dxa"/>
            <w:bottom w:w="0" w:type="dxa"/>
            <w:right w:w="108" w:type="dxa"/>
          </w:tblCellMar>
        </w:tblPrEx>
        <w:trPr>
          <w:trHeight w:val="600" w:hRule="atLeast"/>
        </w:trPr>
        <w:tc>
          <w:tcPr>
            <w:tcW w:w="437" w:type="dxa"/>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宋体"/>
                <w:color w:val="000000"/>
                <w:kern w:val="0"/>
                <w:sz w:val="20"/>
                <w:szCs w:val="20"/>
              </w:rPr>
            </w:pPr>
            <w:r>
              <w:rPr>
                <w:rFonts w:hint="eastAsia" w:cs="宋体"/>
                <w:color w:val="000000"/>
                <w:kern w:val="0"/>
                <w:sz w:val="20"/>
                <w:szCs w:val="20"/>
              </w:rPr>
              <w:t>44</w:t>
            </w:r>
          </w:p>
        </w:tc>
        <w:tc>
          <w:tcPr>
            <w:tcW w:w="1122" w:type="dxa"/>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left"/>
              <w:rPr>
                <w:rFonts w:cs="宋体"/>
                <w:color w:val="000000"/>
                <w:kern w:val="0"/>
                <w:sz w:val="20"/>
                <w:szCs w:val="20"/>
              </w:rPr>
            </w:pPr>
            <w:r>
              <w:rPr>
                <w:rFonts w:hint="eastAsia" w:cs="宋体"/>
                <w:color w:val="000000"/>
                <w:kern w:val="0"/>
                <w:sz w:val="20"/>
                <w:szCs w:val="20"/>
              </w:rPr>
              <w:t>密码应用模块开发</w:t>
            </w:r>
          </w:p>
        </w:tc>
        <w:tc>
          <w:tcPr>
            <w:tcW w:w="2973"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等线" w:hAnsi="等线" w:eastAsia="等线"/>
                <w:b/>
                <w:bCs/>
                <w:color w:val="000000"/>
                <w:sz w:val="22"/>
                <w:szCs w:val="22"/>
              </w:rPr>
            </w:pPr>
            <w:r>
              <w:rPr>
                <w:rFonts w:hint="eastAsia" w:cs="宋体"/>
                <w:color w:val="000000"/>
                <w:kern w:val="0"/>
                <w:sz w:val="20"/>
                <w:szCs w:val="20"/>
              </w:rPr>
              <w:t>业务重要数据安全传输模块</w:t>
            </w:r>
          </w:p>
        </w:tc>
        <w:tc>
          <w:tcPr>
            <w:tcW w:w="386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等线" w:hAnsi="等线" w:eastAsia="等线"/>
                <w:b/>
                <w:bCs/>
                <w:color w:val="000000"/>
                <w:sz w:val="22"/>
                <w:szCs w:val="22"/>
              </w:rPr>
            </w:pPr>
            <w:r>
              <w:rPr>
                <w:rFonts w:hint="eastAsia" w:cs="宋体"/>
                <w:color w:val="000000"/>
                <w:kern w:val="0"/>
                <w:sz w:val="20"/>
                <w:szCs w:val="20"/>
              </w:rPr>
              <w:t>/</w:t>
            </w:r>
          </w:p>
        </w:tc>
      </w:tr>
      <w:tr>
        <w:tblPrEx>
          <w:tblCellMar>
            <w:top w:w="0" w:type="dxa"/>
            <w:left w:w="108" w:type="dxa"/>
            <w:bottom w:w="0" w:type="dxa"/>
            <w:right w:w="108" w:type="dxa"/>
          </w:tblCellMar>
        </w:tblPrEx>
        <w:trPr>
          <w:trHeight w:val="400" w:hRule="atLeast"/>
        </w:trPr>
        <w:tc>
          <w:tcPr>
            <w:tcW w:w="437" w:type="dxa"/>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宋体"/>
                <w:color w:val="000000"/>
                <w:kern w:val="0"/>
                <w:sz w:val="20"/>
                <w:szCs w:val="20"/>
              </w:rPr>
            </w:pPr>
            <w:r>
              <w:rPr>
                <w:rFonts w:hint="eastAsia" w:cs="宋体"/>
                <w:color w:val="000000"/>
                <w:kern w:val="0"/>
                <w:sz w:val="20"/>
                <w:szCs w:val="20"/>
              </w:rPr>
              <w:t>45</w:t>
            </w:r>
          </w:p>
        </w:tc>
        <w:tc>
          <w:tcPr>
            <w:tcW w:w="1122"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cs="宋体"/>
                <w:color w:val="000000"/>
                <w:kern w:val="0"/>
                <w:sz w:val="20"/>
                <w:szCs w:val="20"/>
              </w:rPr>
            </w:pPr>
            <w:r>
              <w:rPr>
                <w:rFonts w:hint="eastAsia" w:cs="宋体"/>
                <w:color w:val="000000"/>
                <w:kern w:val="0"/>
                <w:sz w:val="20"/>
                <w:szCs w:val="20"/>
              </w:rPr>
              <w:t>密码应用模块开发</w:t>
            </w:r>
          </w:p>
        </w:tc>
        <w:tc>
          <w:tcPr>
            <w:tcW w:w="2973"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cs="宋体"/>
                <w:color w:val="000000"/>
                <w:kern w:val="0"/>
                <w:sz w:val="20"/>
                <w:szCs w:val="20"/>
              </w:rPr>
            </w:pPr>
            <w:r>
              <w:rPr>
                <w:rFonts w:hint="eastAsia" w:cs="宋体"/>
                <w:color w:val="000000"/>
                <w:kern w:val="0"/>
                <w:sz w:val="20"/>
                <w:szCs w:val="20"/>
              </w:rPr>
              <w:t>服务器虚拟机设备日志/访问控制信息完整性模块</w:t>
            </w:r>
          </w:p>
        </w:tc>
        <w:tc>
          <w:tcPr>
            <w:tcW w:w="386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color w:val="000000"/>
                <w:kern w:val="0"/>
                <w:sz w:val="20"/>
                <w:szCs w:val="20"/>
              </w:rPr>
            </w:pPr>
            <w:r>
              <w:rPr>
                <w:rFonts w:hint="eastAsia" w:cs="宋体"/>
                <w:color w:val="000000"/>
                <w:kern w:val="0"/>
                <w:sz w:val="20"/>
                <w:szCs w:val="20"/>
              </w:rPr>
              <w:t>/</w:t>
            </w:r>
          </w:p>
        </w:tc>
      </w:tr>
      <w:tr>
        <w:tblPrEx>
          <w:tblCellMar>
            <w:top w:w="0" w:type="dxa"/>
            <w:left w:w="108" w:type="dxa"/>
            <w:bottom w:w="0" w:type="dxa"/>
            <w:right w:w="108" w:type="dxa"/>
          </w:tblCellMar>
        </w:tblPrEx>
        <w:trPr>
          <w:trHeight w:val="400" w:hRule="atLeast"/>
        </w:trPr>
        <w:tc>
          <w:tcPr>
            <w:tcW w:w="437" w:type="dxa"/>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宋体"/>
                <w:color w:val="000000"/>
                <w:kern w:val="0"/>
                <w:sz w:val="20"/>
                <w:szCs w:val="20"/>
              </w:rPr>
            </w:pPr>
            <w:r>
              <w:rPr>
                <w:rFonts w:hint="eastAsia" w:cs="宋体"/>
                <w:color w:val="000000"/>
                <w:kern w:val="0"/>
                <w:sz w:val="20"/>
                <w:szCs w:val="20"/>
              </w:rPr>
              <w:t>46</w:t>
            </w:r>
          </w:p>
        </w:tc>
        <w:tc>
          <w:tcPr>
            <w:tcW w:w="1122"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cs="宋体"/>
                <w:color w:val="000000"/>
                <w:kern w:val="0"/>
                <w:sz w:val="20"/>
                <w:szCs w:val="20"/>
              </w:rPr>
            </w:pPr>
            <w:r>
              <w:rPr>
                <w:rFonts w:hint="eastAsia" w:cs="宋体"/>
                <w:color w:val="000000"/>
                <w:kern w:val="0"/>
                <w:sz w:val="20"/>
                <w:szCs w:val="20"/>
              </w:rPr>
              <w:t>密码应用模块开发</w:t>
            </w:r>
          </w:p>
        </w:tc>
        <w:tc>
          <w:tcPr>
            <w:tcW w:w="2973"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cs="宋体"/>
                <w:color w:val="000000"/>
                <w:kern w:val="0"/>
                <w:sz w:val="20"/>
                <w:szCs w:val="20"/>
              </w:rPr>
            </w:pPr>
            <w:r>
              <w:rPr>
                <w:rFonts w:hint="eastAsia" w:cs="宋体"/>
                <w:color w:val="000000"/>
                <w:kern w:val="0"/>
                <w:sz w:val="20"/>
                <w:szCs w:val="20"/>
              </w:rPr>
              <w:t>重要可执行程序签名验签模块</w:t>
            </w:r>
          </w:p>
        </w:tc>
        <w:tc>
          <w:tcPr>
            <w:tcW w:w="386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color w:val="000000"/>
                <w:kern w:val="0"/>
                <w:sz w:val="20"/>
                <w:szCs w:val="20"/>
              </w:rPr>
            </w:pPr>
            <w:r>
              <w:rPr>
                <w:rFonts w:hint="eastAsia" w:cs="宋体"/>
                <w:color w:val="000000"/>
                <w:kern w:val="0"/>
                <w:sz w:val="20"/>
                <w:szCs w:val="20"/>
              </w:rPr>
              <w:t>/</w:t>
            </w:r>
          </w:p>
        </w:tc>
      </w:tr>
      <w:tr>
        <w:tblPrEx>
          <w:tblCellMar>
            <w:top w:w="0" w:type="dxa"/>
            <w:left w:w="108" w:type="dxa"/>
            <w:bottom w:w="0" w:type="dxa"/>
            <w:right w:w="108" w:type="dxa"/>
          </w:tblCellMar>
        </w:tblPrEx>
        <w:trPr>
          <w:trHeight w:val="400" w:hRule="atLeast"/>
        </w:trPr>
        <w:tc>
          <w:tcPr>
            <w:tcW w:w="437" w:type="dxa"/>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宋体"/>
                <w:color w:val="000000"/>
                <w:kern w:val="0"/>
                <w:sz w:val="20"/>
                <w:szCs w:val="20"/>
              </w:rPr>
            </w:pPr>
            <w:r>
              <w:rPr>
                <w:rFonts w:hint="eastAsia" w:cs="宋体"/>
                <w:color w:val="000000"/>
                <w:kern w:val="0"/>
                <w:sz w:val="20"/>
                <w:szCs w:val="20"/>
              </w:rPr>
              <w:t>4</w:t>
            </w:r>
            <w:r>
              <w:rPr>
                <w:rFonts w:cs="宋体"/>
                <w:color w:val="000000"/>
                <w:kern w:val="0"/>
                <w:sz w:val="20"/>
                <w:szCs w:val="20"/>
              </w:rPr>
              <w:t>7</w:t>
            </w:r>
          </w:p>
        </w:tc>
        <w:tc>
          <w:tcPr>
            <w:tcW w:w="1122"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cs="宋体"/>
                <w:color w:val="000000"/>
                <w:kern w:val="0"/>
                <w:sz w:val="20"/>
                <w:szCs w:val="20"/>
              </w:rPr>
            </w:pPr>
            <w:r>
              <w:rPr>
                <w:rFonts w:hint="eastAsia" w:cs="宋体"/>
                <w:color w:val="000000"/>
                <w:kern w:val="0"/>
                <w:sz w:val="20"/>
                <w:szCs w:val="20"/>
              </w:rPr>
              <w:t>密码应用模块开发</w:t>
            </w:r>
          </w:p>
        </w:tc>
        <w:tc>
          <w:tcPr>
            <w:tcW w:w="2973"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cs="宋体"/>
                <w:color w:val="000000"/>
                <w:kern w:val="0"/>
                <w:sz w:val="20"/>
                <w:szCs w:val="20"/>
              </w:rPr>
            </w:pPr>
            <w:r>
              <w:rPr>
                <w:rFonts w:hint="eastAsia" w:cs="宋体"/>
                <w:color w:val="000000"/>
                <w:kern w:val="0"/>
                <w:sz w:val="20"/>
                <w:szCs w:val="20"/>
              </w:rPr>
              <w:t>用户访问控制信息签名验签模块</w:t>
            </w:r>
          </w:p>
        </w:tc>
        <w:tc>
          <w:tcPr>
            <w:tcW w:w="386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color w:val="000000"/>
                <w:kern w:val="0"/>
                <w:sz w:val="20"/>
                <w:szCs w:val="20"/>
              </w:rPr>
            </w:pPr>
            <w:r>
              <w:rPr>
                <w:rFonts w:hint="eastAsia" w:cs="宋体"/>
                <w:color w:val="000000"/>
                <w:kern w:val="0"/>
                <w:sz w:val="20"/>
                <w:szCs w:val="20"/>
              </w:rPr>
              <w:t>/</w:t>
            </w:r>
          </w:p>
        </w:tc>
      </w:tr>
      <w:tr>
        <w:tblPrEx>
          <w:tblCellMar>
            <w:top w:w="0" w:type="dxa"/>
            <w:left w:w="108" w:type="dxa"/>
            <w:bottom w:w="0" w:type="dxa"/>
            <w:right w:w="108" w:type="dxa"/>
          </w:tblCellMar>
        </w:tblPrEx>
        <w:trPr>
          <w:trHeight w:val="400" w:hRule="atLeast"/>
        </w:trPr>
        <w:tc>
          <w:tcPr>
            <w:tcW w:w="437" w:type="dxa"/>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宋体"/>
                <w:color w:val="000000"/>
                <w:kern w:val="0"/>
                <w:sz w:val="20"/>
                <w:szCs w:val="20"/>
              </w:rPr>
            </w:pPr>
            <w:r>
              <w:rPr>
                <w:rFonts w:hint="eastAsia" w:cs="宋体"/>
                <w:color w:val="000000"/>
                <w:kern w:val="0"/>
                <w:sz w:val="20"/>
                <w:szCs w:val="20"/>
              </w:rPr>
              <w:t>4</w:t>
            </w:r>
            <w:r>
              <w:rPr>
                <w:rFonts w:cs="宋体"/>
                <w:color w:val="000000"/>
                <w:kern w:val="0"/>
                <w:sz w:val="20"/>
                <w:szCs w:val="20"/>
              </w:rPr>
              <w:t>8</w:t>
            </w:r>
          </w:p>
        </w:tc>
        <w:tc>
          <w:tcPr>
            <w:tcW w:w="1122"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cs="宋体"/>
                <w:color w:val="000000"/>
                <w:kern w:val="0"/>
                <w:sz w:val="20"/>
                <w:szCs w:val="20"/>
              </w:rPr>
            </w:pPr>
            <w:r>
              <w:rPr>
                <w:rFonts w:hint="eastAsia" w:cs="宋体"/>
                <w:color w:val="000000"/>
                <w:kern w:val="0"/>
                <w:sz w:val="20"/>
                <w:szCs w:val="20"/>
              </w:rPr>
              <w:t>密码应用模块开发</w:t>
            </w:r>
          </w:p>
        </w:tc>
        <w:tc>
          <w:tcPr>
            <w:tcW w:w="2973"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cs="宋体"/>
                <w:color w:val="000000"/>
                <w:kern w:val="0"/>
                <w:sz w:val="20"/>
                <w:szCs w:val="20"/>
              </w:rPr>
            </w:pPr>
            <w:r>
              <w:rPr>
                <w:rFonts w:hint="eastAsia" w:cs="宋体"/>
                <w:color w:val="000000"/>
                <w:kern w:val="0"/>
                <w:sz w:val="20"/>
                <w:szCs w:val="20"/>
              </w:rPr>
              <w:t>应用系统重要数据加解密模块</w:t>
            </w:r>
          </w:p>
        </w:tc>
        <w:tc>
          <w:tcPr>
            <w:tcW w:w="386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color w:val="000000"/>
                <w:kern w:val="0"/>
                <w:sz w:val="20"/>
                <w:szCs w:val="20"/>
              </w:rPr>
            </w:pPr>
            <w:r>
              <w:rPr>
                <w:rFonts w:hint="eastAsia" w:cs="宋体"/>
                <w:color w:val="000000"/>
                <w:kern w:val="0"/>
                <w:sz w:val="20"/>
                <w:szCs w:val="20"/>
              </w:rPr>
              <w:t>/</w:t>
            </w:r>
          </w:p>
        </w:tc>
      </w:tr>
      <w:tr>
        <w:tblPrEx>
          <w:tblCellMar>
            <w:top w:w="0" w:type="dxa"/>
            <w:left w:w="108" w:type="dxa"/>
            <w:bottom w:w="0" w:type="dxa"/>
            <w:right w:w="108" w:type="dxa"/>
          </w:tblCellMar>
        </w:tblPrEx>
        <w:trPr>
          <w:trHeight w:val="400" w:hRule="atLeast"/>
        </w:trPr>
        <w:tc>
          <w:tcPr>
            <w:tcW w:w="437" w:type="dxa"/>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cs="宋体"/>
                <w:color w:val="000000"/>
                <w:kern w:val="0"/>
                <w:sz w:val="20"/>
                <w:szCs w:val="20"/>
              </w:rPr>
            </w:pPr>
            <w:r>
              <w:rPr>
                <w:rFonts w:hint="eastAsia" w:cs="宋体"/>
                <w:color w:val="000000"/>
                <w:kern w:val="0"/>
                <w:sz w:val="20"/>
                <w:szCs w:val="20"/>
              </w:rPr>
              <w:t>4</w:t>
            </w:r>
            <w:r>
              <w:rPr>
                <w:rFonts w:cs="宋体"/>
                <w:color w:val="000000"/>
                <w:kern w:val="0"/>
                <w:sz w:val="20"/>
                <w:szCs w:val="20"/>
              </w:rPr>
              <w:t>9</w:t>
            </w:r>
          </w:p>
        </w:tc>
        <w:tc>
          <w:tcPr>
            <w:tcW w:w="1122"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cs="宋体"/>
                <w:color w:val="000000"/>
                <w:kern w:val="0"/>
                <w:sz w:val="20"/>
                <w:szCs w:val="20"/>
              </w:rPr>
            </w:pPr>
            <w:r>
              <w:rPr>
                <w:rFonts w:hint="eastAsia" w:cs="宋体"/>
                <w:color w:val="000000"/>
                <w:kern w:val="0"/>
                <w:sz w:val="20"/>
                <w:szCs w:val="20"/>
              </w:rPr>
              <w:t>密码应用模块开发</w:t>
            </w:r>
          </w:p>
        </w:tc>
        <w:tc>
          <w:tcPr>
            <w:tcW w:w="2973"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cs="宋体"/>
                <w:color w:val="000000"/>
                <w:kern w:val="0"/>
                <w:sz w:val="20"/>
                <w:szCs w:val="20"/>
              </w:rPr>
            </w:pPr>
            <w:r>
              <w:rPr>
                <w:rFonts w:hint="eastAsia" w:cs="宋体"/>
                <w:color w:val="000000"/>
                <w:kern w:val="0"/>
                <w:sz w:val="20"/>
                <w:szCs w:val="20"/>
              </w:rPr>
              <w:t>应用系统重要数据签名验签模块</w:t>
            </w:r>
          </w:p>
        </w:tc>
        <w:tc>
          <w:tcPr>
            <w:tcW w:w="386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cs="宋体"/>
                <w:color w:val="000000"/>
                <w:kern w:val="0"/>
                <w:sz w:val="20"/>
                <w:szCs w:val="20"/>
              </w:rPr>
            </w:pPr>
            <w:r>
              <w:rPr>
                <w:rFonts w:hint="eastAsia" w:cs="宋体"/>
                <w:color w:val="000000"/>
                <w:kern w:val="0"/>
                <w:sz w:val="20"/>
                <w:szCs w:val="20"/>
              </w:rPr>
              <w:t>/</w:t>
            </w:r>
          </w:p>
        </w:tc>
      </w:tr>
    </w:tbl>
    <w:p>
      <w:pPr>
        <w:ind w:firstLine="482"/>
        <w:rPr>
          <w:b/>
        </w:rPr>
      </w:pPr>
      <w:r>
        <w:rPr>
          <w:rFonts w:hint="eastAsia"/>
          <w:b/>
        </w:rPr>
        <w:t>2.数据服务清单</w:t>
      </w:r>
    </w:p>
    <w:tbl>
      <w:tblPr>
        <w:tblStyle w:val="35"/>
        <w:tblW w:w="86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3"/>
        <w:gridCol w:w="1747"/>
        <w:gridCol w:w="1990"/>
        <w:gridCol w:w="42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trPr>
        <w:tc>
          <w:tcPr>
            <w:tcW w:w="653" w:type="dxa"/>
            <w:shd w:val="clear" w:color="auto" w:fill="auto"/>
            <w:vAlign w:val="center"/>
          </w:tcPr>
          <w:p>
            <w:pPr>
              <w:widowControl/>
              <w:spacing w:line="240" w:lineRule="auto"/>
              <w:ind w:firstLine="0" w:firstLineChars="0"/>
              <w:jc w:val="center"/>
              <w:rPr>
                <w:rFonts w:cs="宋体"/>
                <w:b/>
                <w:bCs/>
                <w:color w:val="000000"/>
                <w:kern w:val="0"/>
                <w:sz w:val="18"/>
                <w:szCs w:val="18"/>
              </w:rPr>
            </w:pPr>
            <w:r>
              <w:rPr>
                <w:rFonts w:hint="eastAsia" w:cs="宋体"/>
                <w:b/>
                <w:bCs/>
                <w:color w:val="000000"/>
                <w:kern w:val="0"/>
                <w:sz w:val="18"/>
                <w:szCs w:val="18"/>
              </w:rPr>
              <w:t>序号</w:t>
            </w:r>
          </w:p>
        </w:tc>
        <w:tc>
          <w:tcPr>
            <w:tcW w:w="1747" w:type="dxa"/>
            <w:shd w:val="clear" w:color="auto" w:fill="auto"/>
            <w:vAlign w:val="center"/>
          </w:tcPr>
          <w:p>
            <w:pPr>
              <w:widowControl/>
              <w:spacing w:line="240" w:lineRule="auto"/>
              <w:ind w:firstLine="0" w:firstLineChars="0"/>
              <w:jc w:val="center"/>
              <w:rPr>
                <w:rFonts w:cs="宋体"/>
                <w:b/>
                <w:bCs/>
                <w:color w:val="000000"/>
                <w:kern w:val="0"/>
                <w:sz w:val="18"/>
                <w:szCs w:val="18"/>
              </w:rPr>
            </w:pPr>
            <w:r>
              <w:rPr>
                <w:rFonts w:hint="eastAsia" w:cs="宋体"/>
                <w:b/>
                <w:bCs/>
                <w:color w:val="000000"/>
                <w:kern w:val="0"/>
                <w:sz w:val="18"/>
                <w:szCs w:val="18"/>
              </w:rPr>
              <w:t>服务类别</w:t>
            </w:r>
          </w:p>
        </w:tc>
        <w:tc>
          <w:tcPr>
            <w:tcW w:w="1990" w:type="dxa"/>
            <w:shd w:val="clear" w:color="auto" w:fill="auto"/>
            <w:vAlign w:val="center"/>
          </w:tcPr>
          <w:p>
            <w:pPr>
              <w:widowControl/>
              <w:spacing w:line="240" w:lineRule="auto"/>
              <w:ind w:firstLine="0" w:firstLineChars="0"/>
              <w:jc w:val="center"/>
              <w:rPr>
                <w:rFonts w:cs="宋体"/>
                <w:b/>
                <w:bCs/>
                <w:color w:val="000000"/>
                <w:kern w:val="0"/>
                <w:sz w:val="18"/>
                <w:szCs w:val="18"/>
              </w:rPr>
            </w:pPr>
            <w:r>
              <w:rPr>
                <w:rFonts w:hint="eastAsia" w:cs="宋体"/>
                <w:b/>
                <w:bCs/>
                <w:color w:val="000000"/>
                <w:kern w:val="0"/>
                <w:sz w:val="18"/>
                <w:szCs w:val="18"/>
              </w:rPr>
              <w:t>子类别</w:t>
            </w:r>
          </w:p>
        </w:tc>
        <w:tc>
          <w:tcPr>
            <w:tcW w:w="4247" w:type="dxa"/>
            <w:shd w:val="clear" w:color="auto" w:fill="auto"/>
            <w:vAlign w:val="center"/>
          </w:tcPr>
          <w:p>
            <w:pPr>
              <w:widowControl/>
              <w:spacing w:line="240" w:lineRule="auto"/>
              <w:ind w:firstLine="0" w:firstLineChars="0"/>
              <w:jc w:val="center"/>
              <w:rPr>
                <w:rFonts w:cs="宋体"/>
                <w:b/>
                <w:bCs/>
                <w:color w:val="000000"/>
                <w:kern w:val="0"/>
                <w:sz w:val="18"/>
                <w:szCs w:val="18"/>
              </w:rPr>
            </w:pPr>
            <w:r>
              <w:rPr>
                <w:rFonts w:hint="eastAsia" w:cs="宋体"/>
                <w:b/>
                <w:bCs/>
                <w:color w:val="000000"/>
                <w:kern w:val="0"/>
                <w:sz w:val="18"/>
                <w:szCs w:val="18"/>
              </w:rPr>
              <w:t>工作量分析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5" w:hRule="atLeast"/>
        </w:trPr>
        <w:tc>
          <w:tcPr>
            <w:tcW w:w="653" w:type="dxa"/>
            <w:shd w:val="clear" w:color="auto" w:fill="auto"/>
            <w:vAlign w:val="center"/>
          </w:tcPr>
          <w:p>
            <w:pPr>
              <w:widowControl/>
              <w:spacing w:line="240" w:lineRule="auto"/>
              <w:ind w:firstLine="0" w:firstLineChars="0"/>
              <w:jc w:val="center"/>
              <w:rPr>
                <w:rFonts w:cs="宋体"/>
                <w:color w:val="000000"/>
                <w:kern w:val="0"/>
                <w:sz w:val="18"/>
                <w:szCs w:val="18"/>
              </w:rPr>
            </w:pPr>
            <w:r>
              <w:rPr>
                <w:rFonts w:hint="eastAsia" w:cs="宋体"/>
                <w:color w:val="000000"/>
                <w:kern w:val="0"/>
                <w:sz w:val="18"/>
                <w:szCs w:val="18"/>
              </w:rPr>
              <w:t>1</w:t>
            </w:r>
          </w:p>
        </w:tc>
        <w:tc>
          <w:tcPr>
            <w:tcW w:w="1747" w:type="dxa"/>
            <w:shd w:val="clear" w:color="auto" w:fill="auto"/>
            <w:vAlign w:val="center"/>
          </w:tcPr>
          <w:p>
            <w:pPr>
              <w:widowControl/>
              <w:spacing w:line="240" w:lineRule="auto"/>
              <w:ind w:firstLine="0" w:firstLineChars="0"/>
              <w:jc w:val="left"/>
              <w:rPr>
                <w:rFonts w:cs="宋体"/>
                <w:color w:val="000000"/>
                <w:kern w:val="0"/>
                <w:sz w:val="20"/>
                <w:szCs w:val="20"/>
              </w:rPr>
            </w:pPr>
            <w:r>
              <w:rPr>
                <w:rFonts w:cs="宋体"/>
                <w:color w:val="000000"/>
                <w:kern w:val="0"/>
                <w:sz w:val="20"/>
                <w:szCs w:val="20"/>
              </w:rPr>
              <w:t>数据加工</w:t>
            </w:r>
          </w:p>
        </w:tc>
        <w:tc>
          <w:tcPr>
            <w:tcW w:w="1990" w:type="dxa"/>
            <w:shd w:val="clear" w:color="auto" w:fill="auto"/>
            <w:vAlign w:val="center"/>
          </w:tcPr>
          <w:p>
            <w:pPr>
              <w:widowControl/>
              <w:spacing w:line="240" w:lineRule="auto"/>
              <w:ind w:firstLine="0" w:firstLineChars="0"/>
              <w:jc w:val="left"/>
              <w:rPr>
                <w:rFonts w:cs="宋体"/>
                <w:color w:val="000000"/>
                <w:kern w:val="0"/>
                <w:sz w:val="20"/>
                <w:szCs w:val="20"/>
              </w:rPr>
            </w:pPr>
            <w:r>
              <w:rPr>
                <w:rFonts w:hint="eastAsia" w:cs="宋体"/>
                <w:color w:val="000000"/>
                <w:kern w:val="0"/>
                <w:sz w:val="20"/>
                <w:szCs w:val="20"/>
              </w:rPr>
              <w:t>数据报表定制服务</w:t>
            </w:r>
          </w:p>
        </w:tc>
        <w:tc>
          <w:tcPr>
            <w:tcW w:w="4247" w:type="dxa"/>
            <w:shd w:val="clear" w:color="auto" w:fill="auto"/>
            <w:vAlign w:val="center"/>
          </w:tcPr>
          <w:p>
            <w:pPr>
              <w:widowControl/>
              <w:spacing w:line="240" w:lineRule="auto"/>
              <w:ind w:firstLine="0" w:firstLineChars="0"/>
              <w:jc w:val="left"/>
              <w:rPr>
                <w:rFonts w:cs="宋体"/>
                <w:color w:val="000000"/>
                <w:kern w:val="0"/>
                <w:sz w:val="20"/>
                <w:szCs w:val="20"/>
              </w:rPr>
            </w:pPr>
            <w:bookmarkStart w:id="33" w:name="_Hlk162729161"/>
            <w:r>
              <w:rPr>
                <w:rFonts w:hint="eastAsia" w:cs="宋体"/>
                <w:color w:val="000000"/>
                <w:kern w:val="0"/>
                <w:sz w:val="20"/>
                <w:szCs w:val="20"/>
              </w:rPr>
              <w:t>为满足上海市统计数据采集、处理、汇总等业务需求，在系统中定制基层表、汇总表、查询模板、导出模版以及审核规则、跳转规则、衍生计算、等业务属性</w:t>
            </w:r>
            <w:bookmarkEnd w:id="33"/>
            <w:r>
              <w:rPr>
                <w:rFonts w:hint="eastAsia" w:cs="宋体"/>
                <w:color w:val="000000"/>
                <w:kern w:val="0"/>
                <w:sz w:val="20"/>
                <w:szCs w:val="20"/>
              </w:rPr>
              <w:t>，以满足国家统计局调查要求和上海市调查需求。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5" w:hRule="atLeast"/>
        </w:trPr>
        <w:tc>
          <w:tcPr>
            <w:tcW w:w="653" w:type="dxa"/>
            <w:shd w:val="clear" w:color="auto" w:fill="auto"/>
            <w:vAlign w:val="center"/>
          </w:tcPr>
          <w:p>
            <w:pPr>
              <w:widowControl/>
              <w:spacing w:line="240" w:lineRule="auto"/>
              <w:ind w:firstLine="0" w:firstLineChars="0"/>
              <w:jc w:val="center"/>
              <w:rPr>
                <w:rFonts w:cs="宋体"/>
                <w:color w:val="000000"/>
                <w:kern w:val="0"/>
                <w:sz w:val="18"/>
                <w:szCs w:val="18"/>
              </w:rPr>
            </w:pPr>
            <w:r>
              <w:rPr>
                <w:rFonts w:hint="eastAsia" w:cs="宋体"/>
                <w:color w:val="000000"/>
                <w:kern w:val="0"/>
                <w:sz w:val="18"/>
                <w:szCs w:val="18"/>
              </w:rPr>
              <w:t>2</w:t>
            </w:r>
          </w:p>
        </w:tc>
        <w:tc>
          <w:tcPr>
            <w:tcW w:w="1747" w:type="dxa"/>
            <w:shd w:val="clear" w:color="auto" w:fill="auto"/>
            <w:vAlign w:val="center"/>
          </w:tcPr>
          <w:p>
            <w:pPr>
              <w:widowControl/>
              <w:spacing w:line="240" w:lineRule="auto"/>
              <w:ind w:firstLine="0" w:firstLineChars="0"/>
              <w:jc w:val="left"/>
              <w:rPr>
                <w:rFonts w:cs="宋体"/>
                <w:color w:val="000000"/>
                <w:kern w:val="0"/>
                <w:sz w:val="20"/>
                <w:szCs w:val="20"/>
              </w:rPr>
            </w:pPr>
            <w:r>
              <w:rPr>
                <w:rFonts w:cs="宋体"/>
                <w:color w:val="000000"/>
                <w:kern w:val="0"/>
                <w:sz w:val="20"/>
                <w:szCs w:val="20"/>
              </w:rPr>
              <w:t>数据加工</w:t>
            </w:r>
          </w:p>
        </w:tc>
        <w:tc>
          <w:tcPr>
            <w:tcW w:w="1990" w:type="dxa"/>
            <w:shd w:val="clear" w:color="auto" w:fill="auto"/>
            <w:vAlign w:val="center"/>
          </w:tcPr>
          <w:p>
            <w:pPr>
              <w:widowControl/>
              <w:spacing w:line="240" w:lineRule="auto"/>
              <w:ind w:firstLine="0" w:firstLineChars="0"/>
              <w:jc w:val="left"/>
              <w:rPr>
                <w:rFonts w:cs="宋体"/>
                <w:color w:val="000000"/>
                <w:kern w:val="0"/>
                <w:sz w:val="20"/>
                <w:szCs w:val="20"/>
              </w:rPr>
            </w:pPr>
            <w:r>
              <w:rPr>
                <w:rFonts w:hint="eastAsia" w:cs="宋体"/>
                <w:color w:val="000000"/>
                <w:kern w:val="0"/>
                <w:sz w:val="20"/>
                <w:szCs w:val="20"/>
              </w:rPr>
              <w:t>历史数据迁移（2年历史数据）</w:t>
            </w:r>
          </w:p>
        </w:tc>
        <w:tc>
          <w:tcPr>
            <w:tcW w:w="4247" w:type="dxa"/>
            <w:shd w:val="clear" w:color="auto" w:fill="auto"/>
            <w:vAlign w:val="center"/>
          </w:tcPr>
          <w:p>
            <w:pPr>
              <w:widowControl/>
              <w:spacing w:line="240" w:lineRule="auto"/>
              <w:ind w:firstLine="0" w:firstLineChars="0"/>
              <w:jc w:val="left"/>
              <w:rPr>
                <w:rFonts w:cs="宋体"/>
                <w:color w:val="000000"/>
                <w:kern w:val="0"/>
                <w:sz w:val="20"/>
                <w:szCs w:val="20"/>
              </w:rPr>
            </w:pPr>
            <w:r>
              <w:rPr>
                <w:rFonts w:hint="eastAsia" w:cs="宋体"/>
                <w:color w:val="000000"/>
                <w:kern w:val="0"/>
                <w:sz w:val="20"/>
                <w:szCs w:val="20"/>
              </w:rPr>
              <w:t>将现有上海市企业联网直报系统中最近2年的历史数据全部迁移到新系统，必</w:t>
            </w:r>
            <w:r>
              <w:rPr>
                <w:rFonts w:hint="eastAsia" w:cs="宋体"/>
                <w:color w:val="000000"/>
                <w:kern w:val="0"/>
                <w:sz w:val="20"/>
                <w:szCs w:val="20"/>
                <w:lang w:eastAsia="zh-CN"/>
              </w:rPr>
              <w:t>需</w:t>
            </w:r>
            <w:r>
              <w:rPr>
                <w:rFonts w:hint="eastAsia" w:cs="宋体"/>
                <w:color w:val="000000"/>
                <w:kern w:val="0"/>
                <w:sz w:val="20"/>
                <w:szCs w:val="20"/>
              </w:rPr>
              <w:t>按整年进行迁移。迁移数据包括国家标准制度数据迁移和上海市有自建制度和定制汇总表数据迁移。</w:t>
            </w:r>
          </w:p>
        </w:tc>
      </w:tr>
    </w:tbl>
    <w:p>
      <w:pPr>
        <w:ind w:firstLine="0" w:firstLineChars="0"/>
        <w:rPr>
          <w:b/>
        </w:rPr>
      </w:pPr>
    </w:p>
    <w:p>
      <w:pPr>
        <w:ind w:firstLine="0" w:firstLineChars="0"/>
      </w:pPr>
    </w:p>
    <w:p>
      <w:pPr>
        <w:pStyle w:val="2"/>
      </w:pPr>
      <w:bookmarkStart w:id="34" w:name="_Toc63785502"/>
      <w:r>
        <w:rPr>
          <w:rFonts w:hint="eastAsia"/>
        </w:rPr>
        <w:t>电子政务云资源需求</w:t>
      </w:r>
      <w:bookmarkEnd w:id="34"/>
    </w:p>
    <w:p>
      <w:pPr>
        <w:rPr>
          <w:rFonts w:cs="宋体" w:asciiTheme="minorEastAsia" w:hAnsiTheme="minorEastAsia" w:eastAsiaTheme="minorEastAsia"/>
          <w:color w:val="000000"/>
          <w:kern w:val="0"/>
        </w:rPr>
      </w:pPr>
      <w:r>
        <w:rPr>
          <w:rFonts w:hint="eastAsia" w:asciiTheme="minorEastAsia" w:hAnsiTheme="minorEastAsia" w:eastAsiaTheme="minorEastAsia"/>
        </w:rPr>
        <w:t>根据项目前期资源现状，本次建设根据估算拟向电子政务云申请</w:t>
      </w:r>
      <w:r>
        <w:rPr>
          <w:rFonts w:asciiTheme="minorEastAsia" w:hAnsiTheme="minorEastAsia" w:eastAsiaTheme="minorEastAsia"/>
        </w:rPr>
        <w:t>67</w:t>
      </w:r>
      <w:r>
        <w:rPr>
          <w:rFonts w:hint="eastAsia" w:asciiTheme="minorEastAsia" w:hAnsiTheme="minorEastAsia" w:eastAsiaTheme="minorEastAsia"/>
        </w:rPr>
        <w:t>台服务器资源</w:t>
      </w:r>
      <w:r>
        <w:rPr>
          <w:rFonts w:asciiTheme="minorEastAsia" w:hAnsiTheme="minorEastAsia" w:eastAsiaTheme="minorEastAsia"/>
        </w:rPr>
        <w:t>CPU1776</w:t>
      </w:r>
      <w:r>
        <w:rPr>
          <w:rFonts w:hint="eastAsia" w:asciiTheme="minorEastAsia" w:hAnsiTheme="minorEastAsia" w:eastAsiaTheme="minorEastAsia"/>
        </w:rPr>
        <w:t>核</w:t>
      </w:r>
      <w:r>
        <w:rPr>
          <w:rFonts w:asciiTheme="minorEastAsia" w:hAnsiTheme="minorEastAsia" w:eastAsiaTheme="minorEastAsia"/>
        </w:rPr>
        <w:t xml:space="preserve"> </w:t>
      </w:r>
      <w:r>
        <w:rPr>
          <w:rFonts w:hint="eastAsia" w:asciiTheme="minorEastAsia" w:hAnsiTheme="minorEastAsia" w:eastAsiaTheme="minorEastAsia"/>
        </w:rPr>
        <w:t>、内存</w:t>
      </w:r>
      <w:r>
        <w:rPr>
          <w:rFonts w:asciiTheme="minorEastAsia" w:hAnsiTheme="minorEastAsia" w:eastAsiaTheme="minorEastAsia"/>
        </w:rPr>
        <w:t>6304G、存储78T，其中虚拟机27</w:t>
      </w:r>
      <w:r>
        <w:rPr>
          <w:rFonts w:hint="eastAsia" w:asciiTheme="minorEastAsia" w:hAnsiTheme="minorEastAsia" w:eastAsiaTheme="minorEastAsia"/>
        </w:rPr>
        <w:t>台，</w:t>
      </w:r>
      <w:r>
        <w:rPr>
          <w:rFonts w:asciiTheme="minorEastAsia" w:hAnsiTheme="minorEastAsia" w:eastAsiaTheme="minorEastAsia"/>
        </w:rPr>
        <w:t>CCE-master</w:t>
      </w:r>
      <w:r>
        <w:rPr>
          <w:rFonts w:hint="eastAsia" w:asciiTheme="minorEastAsia" w:hAnsiTheme="minorEastAsia" w:eastAsiaTheme="minorEastAsia"/>
        </w:rPr>
        <w:t xml:space="preserve"> </w:t>
      </w:r>
      <w:r>
        <w:rPr>
          <w:rFonts w:asciiTheme="minorEastAsia" w:hAnsiTheme="minorEastAsia" w:eastAsiaTheme="minorEastAsia"/>
        </w:rPr>
        <w:t>6台</w:t>
      </w:r>
      <w:r>
        <w:rPr>
          <w:rFonts w:hint="eastAsia" w:asciiTheme="minorEastAsia" w:hAnsiTheme="minorEastAsia" w:eastAsiaTheme="minorEastAsia"/>
        </w:rPr>
        <w:t>，</w:t>
      </w:r>
      <w:r>
        <w:rPr>
          <w:rFonts w:cs="宋体" w:asciiTheme="minorEastAsia" w:hAnsiTheme="minorEastAsia" w:eastAsiaTheme="minorEastAsia"/>
          <w:color w:val="000000"/>
          <w:kern w:val="0"/>
        </w:rPr>
        <w:t>CCE-worker</w:t>
      </w:r>
      <w:r>
        <w:rPr>
          <w:rFonts w:hint="eastAsia" w:cs="宋体" w:asciiTheme="minorEastAsia" w:hAnsiTheme="minorEastAsia" w:eastAsiaTheme="minorEastAsia"/>
          <w:color w:val="000000"/>
          <w:kern w:val="0"/>
        </w:rPr>
        <w:t xml:space="preserve"> </w:t>
      </w:r>
      <w:r>
        <w:rPr>
          <w:rFonts w:cs="宋体" w:asciiTheme="minorEastAsia" w:hAnsiTheme="minorEastAsia" w:eastAsiaTheme="minorEastAsia"/>
          <w:color w:val="000000"/>
          <w:kern w:val="0"/>
        </w:rPr>
        <w:t>30台</w:t>
      </w:r>
      <w:r>
        <w:rPr>
          <w:rFonts w:hint="eastAsia" w:cs="宋体" w:asciiTheme="minorEastAsia" w:hAnsiTheme="minorEastAsia" w:eastAsiaTheme="minorEastAsia"/>
          <w:color w:val="000000"/>
          <w:kern w:val="0"/>
        </w:rPr>
        <w:t>，</w:t>
      </w:r>
      <w:r>
        <w:rPr>
          <w:rFonts w:cs="宋体" w:asciiTheme="minorEastAsia" w:hAnsiTheme="minorEastAsia" w:eastAsiaTheme="minorEastAsia"/>
          <w:color w:val="000000"/>
          <w:kern w:val="0"/>
        </w:rPr>
        <w:t>DCS 2台</w:t>
      </w:r>
      <w:r>
        <w:rPr>
          <w:rFonts w:hint="eastAsia" w:cs="宋体" w:asciiTheme="minorEastAsia" w:hAnsiTheme="minorEastAsia" w:eastAsiaTheme="minorEastAsia"/>
          <w:color w:val="000000"/>
          <w:kern w:val="0"/>
        </w:rPr>
        <w:t>，</w:t>
      </w:r>
      <w:r>
        <w:rPr>
          <w:rFonts w:cs="宋体" w:asciiTheme="minorEastAsia" w:hAnsiTheme="minorEastAsia" w:eastAsiaTheme="minorEastAsia"/>
          <w:color w:val="000000"/>
          <w:kern w:val="0"/>
        </w:rPr>
        <w:t>NAS/NFS/CIFS存储 2台</w:t>
      </w:r>
      <w:r>
        <w:rPr>
          <w:rFonts w:hint="eastAsia" w:cs="宋体" w:asciiTheme="minorEastAsia" w:hAnsiTheme="minorEastAsia" w:eastAsiaTheme="minorEastAsia"/>
          <w:color w:val="000000"/>
          <w:kern w:val="0"/>
        </w:rPr>
        <w:t>。</w:t>
      </w:r>
    </w:p>
    <w:p>
      <w:pPr>
        <w:rPr>
          <w:rFonts w:asciiTheme="minorEastAsia" w:hAnsiTheme="minorEastAsia" w:eastAsiaTheme="minorEastAsia"/>
        </w:rPr>
      </w:pPr>
      <w:r>
        <w:rPr>
          <w:rFonts w:hint="eastAsia" w:cs="宋体" w:asciiTheme="minorEastAsia" w:hAnsiTheme="minorEastAsia" w:eastAsiaTheme="minorEastAsia"/>
          <w:color w:val="000000"/>
          <w:kern w:val="0"/>
        </w:rPr>
        <w:t>拟定申请电子政务云短信平台服务，预估年短信用量在80万左右。</w:t>
      </w:r>
    </w:p>
    <w:p>
      <w:pPr>
        <w:pStyle w:val="2"/>
      </w:pPr>
      <w:bookmarkStart w:id="35" w:name="_Toc63785503"/>
      <w:r>
        <w:rPr>
          <w:rFonts w:hint="eastAsia"/>
        </w:rPr>
        <w:t>其他工作要求</w:t>
      </w:r>
      <w:bookmarkEnd w:id="35"/>
    </w:p>
    <w:p>
      <w:pPr>
        <w:keepNext/>
        <w:keepLines/>
        <w:numPr>
          <w:ilvl w:val="1"/>
          <w:numId w:val="3"/>
        </w:numPr>
        <w:tabs>
          <w:tab w:val="left" w:pos="360"/>
        </w:tabs>
        <w:spacing w:before="120" w:line="240" w:lineRule="auto"/>
        <w:ind w:left="0" w:firstLine="0" w:firstLineChars="0"/>
        <w:outlineLvl w:val="1"/>
        <w:rPr>
          <w:rFonts w:ascii="仿宋" w:hAnsi="仿宋" w:eastAsia="仿宋"/>
          <w:b/>
          <w:vanish/>
          <w:color w:val="000000"/>
          <w:sz w:val="28"/>
          <w:szCs w:val="20"/>
        </w:rPr>
      </w:pPr>
      <w:bookmarkStart w:id="36" w:name="_Toc62219358"/>
      <w:bookmarkEnd w:id="36"/>
      <w:bookmarkStart w:id="37" w:name="_Toc63585480"/>
      <w:bookmarkEnd w:id="37"/>
      <w:bookmarkStart w:id="38" w:name="_Toc61968111"/>
      <w:bookmarkEnd w:id="38"/>
      <w:bookmarkStart w:id="39" w:name="_Toc63785504"/>
      <w:bookmarkEnd w:id="39"/>
      <w:bookmarkStart w:id="40" w:name="_Toc62209488"/>
      <w:bookmarkEnd w:id="40"/>
      <w:bookmarkStart w:id="41" w:name="_Toc63785439"/>
      <w:bookmarkEnd w:id="41"/>
      <w:bookmarkStart w:id="42" w:name="_Toc63151871"/>
      <w:bookmarkEnd w:id="42"/>
      <w:bookmarkStart w:id="43" w:name="_Toc63762370"/>
      <w:bookmarkEnd w:id="43"/>
    </w:p>
    <w:p>
      <w:pPr>
        <w:pStyle w:val="3"/>
      </w:pPr>
      <w:bookmarkStart w:id="44" w:name="_Toc63785505"/>
      <w:r>
        <w:rPr>
          <w:rFonts w:hint="eastAsia"/>
        </w:rPr>
        <w:t>售后服务要求</w:t>
      </w:r>
      <w:bookmarkEnd w:id="44"/>
    </w:p>
    <w:p>
      <w:pPr>
        <w:pStyle w:val="106"/>
        <w:snapToGrid w:val="0"/>
        <w:spacing w:line="360" w:lineRule="auto"/>
        <w:ind w:firstLine="480"/>
        <w:rPr>
          <w:rFonts w:ascii="宋体" w:hAnsi="宋体"/>
          <w:sz w:val="24"/>
          <w:szCs w:val="24"/>
        </w:rPr>
      </w:pPr>
      <w:r>
        <w:rPr>
          <w:rFonts w:hint="eastAsia" w:ascii="宋体" w:hAnsi="宋体"/>
          <w:sz w:val="24"/>
          <w:szCs w:val="24"/>
        </w:rPr>
        <w:t>本项目从系统验收通过之日起1年内提供</w:t>
      </w:r>
      <w:r>
        <w:rPr>
          <w:rFonts w:ascii="宋体" w:hAnsi="宋体"/>
          <w:sz w:val="24"/>
          <w:szCs w:val="24"/>
        </w:rPr>
        <w:t>7*24小时免费技术支持</w:t>
      </w:r>
      <w:r>
        <w:rPr>
          <w:rFonts w:hint="eastAsia" w:ascii="宋体" w:hAnsi="宋体"/>
          <w:sz w:val="24"/>
          <w:szCs w:val="24"/>
        </w:rPr>
        <w:t>和售后服务，1年后进入有偿维护期。</w:t>
      </w:r>
    </w:p>
    <w:p>
      <w:pPr>
        <w:pStyle w:val="106"/>
        <w:snapToGrid w:val="0"/>
        <w:spacing w:line="360" w:lineRule="auto"/>
        <w:ind w:firstLine="480"/>
        <w:rPr>
          <w:rFonts w:ascii="宋体" w:hAnsi="宋体"/>
          <w:sz w:val="24"/>
          <w:szCs w:val="24"/>
        </w:rPr>
      </w:pPr>
      <w:r>
        <w:rPr>
          <w:rFonts w:hint="eastAsia" w:ascii="宋体" w:hAnsi="宋体"/>
          <w:sz w:val="24"/>
          <w:szCs w:val="24"/>
        </w:rPr>
        <w:t>在质量保证期内，供应商将按照售后服务的承诺提供保修和运行维护服务，如果厂商对信息系统中软、硬件设备等产品中的部分保修期超过上述期限的，则按照厂商的规定进行免费保修。</w:t>
      </w:r>
    </w:p>
    <w:p>
      <w:pPr>
        <w:pStyle w:val="106"/>
        <w:snapToGrid w:val="0"/>
        <w:spacing w:line="360" w:lineRule="auto"/>
        <w:ind w:firstLine="480"/>
        <w:rPr>
          <w:rFonts w:ascii="宋体" w:hAnsi="宋体"/>
          <w:sz w:val="24"/>
          <w:szCs w:val="24"/>
        </w:rPr>
      </w:pPr>
      <w:r>
        <w:rPr>
          <w:rFonts w:hint="eastAsia" w:ascii="宋体" w:hAnsi="宋体"/>
          <w:sz w:val="24"/>
          <w:szCs w:val="24"/>
        </w:rPr>
        <w:t>在质量保证期内，供应商负责信息系统的运行维护工作，确保信息系统安全、稳定、可靠地运行。本项目涉及的运行维护工作范围为：系统定期巡检、系统安全补丁升级、系统和应用漏洞修复、</w:t>
      </w:r>
      <w:r>
        <w:rPr>
          <w:rFonts w:ascii="宋体" w:hAnsi="宋体"/>
          <w:sz w:val="24"/>
          <w:szCs w:val="24"/>
        </w:rPr>
        <w:t>Bug修复、功能优化。</w:t>
      </w:r>
    </w:p>
    <w:p>
      <w:pPr>
        <w:pStyle w:val="3"/>
      </w:pPr>
      <w:bookmarkStart w:id="45" w:name="_Toc63785506"/>
      <w:r>
        <w:rPr>
          <w:rFonts w:hint="eastAsia"/>
        </w:rPr>
        <w:t>应急响应要求</w:t>
      </w:r>
      <w:bookmarkEnd w:id="45"/>
    </w:p>
    <w:p>
      <w:pPr>
        <w:pStyle w:val="106"/>
        <w:snapToGrid w:val="0"/>
        <w:spacing w:line="360" w:lineRule="auto"/>
        <w:ind w:firstLine="480"/>
        <w:rPr>
          <w:rFonts w:ascii="宋体" w:hAnsi="宋体"/>
          <w:sz w:val="24"/>
          <w:szCs w:val="24"/>
        </w:rPr>
      </w:pPr>
      <w:r>
        <w:rPr>
          <w:rFonts w:hint="eastAsia" w:ascii="宋体" w:hAnsi="宋体"/>
          <w:sz w:val="24"/>
          <w:szCs w:val="24"/>
        </w:rPr>
        <w:t>供应商对系统故障应能够实时响应，若系统发生故障，接到通知后</w:t>
      </w:r>
      <w:r>
        <w:rPr>
          <w:rFonts w:ascii="宋体" w:hAnsi="宋体"/>
          <w:sz w:val="24"/>
          <w:szCs w:val="24"/>
        </w:rPr>
        <w:t>30分钟之内响应，专业工程师2小时内到达现场</w:t>
      </w:r>
      <w:r>
        <w:rPr>
          <w:rFonts w:hint="eastAsia" w:ascii="宋体" w:hAnsi="宋体"/>
          <w:sz w:val="24"/>
          <w:szCs w:val="24"/>
        </w:rPr>
        <w:t>。特殊故障与客户沟通协商后，按照协商的方式制定解决方案并进行处理。</w:t>
      </w:r>
    </w:p>
    <w:p>
      <w:pPr>
        <w:pStyle w:val="106"/>
        <w:snapToGrid w:val="0"/>
        <w:spacing w:line="360" w:lineRule="auto"/>
        <w:ind w:firstLine="480"/>
        <w:rPr>
          <w:rFonts w:ascii="宋体" w:hAnsi="宋体"/>
          <w:sz w:val="24"/>
          <w:szCs w:val="24"/>
        </w:rPr>
      </w:pPr>
      <w:r>
        <w:rPr>
          <w:rFonts w:hint="eastAsia" w:ascii="宋体" w:hAnsi="宋体"/>
          <w:sz w:val="24"/>
          <w:szCs w:val="24"/>
        </w:rPr>
        <w:t>具体故障级别及对应的应急响应要求如下：</w:t>
      </w:r>
    </w:p>
    <w:p>
      <w:pPr>
        <w:pStyle w:val="106"/>
        <w:snapToGrid w:val="0"/>
        <w:spacing w:line="360" w:lineRule="auto"/>
        <w:ind w:firstLine="480"/>
        <w:rPr>
          <w:rFonts w:ascii="宋体" w:hAnsi="宋体"/>
          <w:sz w:val="24"/>
          <w:szCs w:val="24"/>
        </w:rPr>
      </w:pPr>
      <w:r>
        <w:rPr>
          <w:rFonts w:hint="eastAsia" w:ascii="宋体" w:hAnsi="宋体"/>
          <w:sz w:val="24"/>
          <w:szCs w:val="24"/>
        </w:rPr>
        <w:t>一级故障：在</w:t>
      </w:r>
      <w:r>
        <w:rPr>
          <w:rFonts w:ascii="宋体" w:hAnsi="宋体"/>
          <w:sz w:val="24"/>
          <w:szCs w:val="24"/>
        </w:rPr>
        <w:t>1小时内确诊，总故障解决时间不超过4小时。</w:t>
      </w:r>
    </w:p>
    <w:p>
      <w:pPr>
        <w:pStyle w:val="106"/>
        <w:snapToGrid w:val="0"/>
        <w:spacing w:line="360" w:lineRule="auto"/>
        <w:ind w:firstLine="480"/>
        <w:rPr>
          <w:rFonts w:ascii="宋体" w:hAnsi="宋体"/>
          <w:sz w:val="24"/>
          <w:szCs w:val="24"/>
        </w:rPr>
      </w:pPr>
      <w:r>
        <w:rPr>
          <w:rFonts w:hint="eastAsia" w:ascii="宋体" w:hAnsi="宋体"/>
          <w:sz w:val="24"/>
          <w:szCs w:val="24"/>
        </w:rPr>
        <w:t>二级故障：在</w:t>
      </w:r>
      <w:r>
        <w:rPr>
          <w:rFonts w:ascii="宋体" w:hAnsi="宋体"/>
          <w:sz w:val="24"/>
          <w:szCs w:val="24"/>
        </w:rPr>
        <w:t>2小时内确诊，并在4小时内由专家到达现场确诊并解决，总故障解决时间不超过8小时；</w:t>
      </w:r>
    </w:p>
    <w:p>
      <w:pPr>
        <w:pStyle w:val="106"/>
        <w:snapToGrid w:val="0"/>
        <w:spacing w:line="360" w:lineRule="auto"/>
        <w:ind w:firstLine="480"/>
        <w:rPr>
          <w:rFonts w:ascii="宋体" w:hAnsi="宋体"/>
          <w:sz w:val="24"/>
          <w:szCs w:val="24"/>
        </w:rPr>
      </w:pPr>
      <w:r>
        <w:rPr>
          <w:rFonts w:hint="eastAsia" w:ascii="宋体" w:hAnsi="宋体"/>
          <w:sz w:val="24"/>
          <w:szCs w:val="24"/>
        </w:rPr>
        <w:t>三、四级故障：在</w:t>
      </w:r>
      <w:r>
        <w:rPr>
          <w:rFonts w:ascii="宋体" w:hAnsi="宋体"/>
          <w:sz w:val="24"/>
          <w:szCs w:val="24"/>
        </w:rPr>
        <w:t>4小时内确诊故障，总故障解决时间不超过16小时。</w:t>
      </w:r>
    </w:p>
    <w:p>
      <w:pPr>
        <w:pStyle w:val="3"/>
      </w:pPr>
      <w:bookmarkStart w:id="46" w:name="_Toc63785507"/>
      <w:r>
        <w:rPr>
          <w:rFonts w:hint="eastAsia"/>
        </w:rPr>
        <w:t>培训要求</w:t>
      </w:r>
      <w:bookmarkEnd w:id="46"/>
    </w:p>
    <w:p>
      <w:r>
        <w:rPr>
          <w:rFonts w:hint="eastAsia"/>
        </w:rPr>
        <w:t>对系统使用单位提供业务操作培训，应提供详细培训方案。</w:t>
      </w:r>
    </w:p>
    <w:p>
      <w:r>
        <w:rPr>
          <w:rFonts w:hint="eastAsia"/>
        </w:rPr>
        <w:t>(1)在12个月的质量保证期内，提供2次与项目相关的必要培训。</w:t>
      </w:r>
    </w:p>
    <w:p>
      <w:r>
        <w:rPr>
          <w:rFonts w:hint="eastAsia"/>
        </w:rPr>
        <w:t>(2)供应商需要开展分层次的人员培训工作，每次培训后应对参加培训人员进行测试，评估培训成果。培训应具有培训教材、培训环境和高水平的培训讲师。</w:t>
      </w:r>
    </w:p>
    <w:p>
      <w:r>
        <w:rPr>
          <w:rFonts w:hint="eastAsia"/>
        </w:rPr>
        <w:t>(3)供应商应提供一般用户的基础操作培训和部门信息管理员的日常应用维护的培训，确保用户对象能够掌握对应的操作技能。</w:t>
      </w:r>
    </w:p>
    <w:p>
      <w:pPr>
        <w:pStyle w:val="3"/>
      </w:pPr>
      <w:bookmarkStart w:id="47" w:name="_Toc63785508"/>
      <w:r>
        <w:rPr>
          <w:rFonts w:hint="eastAsia"/>
        </w:rPr>
        <w:t>验收要求</w:t>
      </w:r>
      <w:bookmarkEnd w:id="47"/>
    </w:p>
    <w:p>
      <w:pPr>
        <w:rPr>
          <w:szCs w:val="21"/>
        </w:rPr>
      </w:pPr>
      <w:r>
        <w:rPr>
          <w:rFonts w:hint="eastAsia"/>
          <w:szCs w:val="21"/>
        </w:rPr>
        <w:t>本项目按下述方式开展验收。</w:t>
      </w:r>
    </w:p>
    <w:p>
      <w:pPr>
        <w:rPr>
          <w:szCs w:val="21"/>
        </w:rPr>
      </w:pPr>
      <w:r>
        <w:rPr>
          <w:rFonts w:hint="eastAsia"/>
          <w:szCs w:val="21"/>
        </w:rPr>
        <w:t>（1</w:t>
      </w:r>
      <w:r>
        <w:rPr>
          <w:szCs w:val="21"/>
        </w:rPr>
        <w:t>）验收前，供应商</w:t>
      </w:r>
      <w:r>
        <w:rPr>
          <w:rFonts w:hint="eastAsia"/>
          <w:szCs w:val="21"/>
          <w:lang w:eastAsia="zh-CN"/>
        </w:rPr>
        <w:t>需</w:t>
      </w:r>
      <w:r>
        <w:rPr>
          <w:szCs w:val="21"/>
        </w:rPr>
        <w:t>完成软件开发、软硬件安装和信息系统的调试等，并对本项目进行功能和运行检测，确保所有信息系统功能模块能够正常运行且已达到本项目约定的各类标准要求。</w:t>
      </w:r>
    </w:p>
    <w:p>
      <w:pPr>
        <w:rPr>
          <w:szCs w:val="21"/>
        </w:rPr>
      </w:pPr>
      <w:r>
        <w:rPr>
          <w:rFonts w:hint="eastAsia"/>
          <w:szCs w:val="21"/>
        </w:rPr>
        <w:t>（</w:t>
      </w:r>
      <w:r>
        <w:rPr>
          <w:szCs w:val="21"/>
        </w:rPr>
        <w:t>2）招标方有权委托第三方检测机构进行验收，对此供应商应当配合。</w:t>
      </w:r>
    </w:p>
    <w:p>
      <w:pPr>
        <w:rPr>
          <w:szCs w:val="21"/>
        </w:rPr>
      </w:pPr>
      <w:r>
        <w:rPr>
          <w:rFonts w:hint="eastAsia"/>
          <w:szCs w:val="21"/>
        </w:rPr>
        <w:t>（</w:t>
      </w:r>
      <w:r>
        <w:rPr>
          <w:szCs w:val="21"/>
        </w:rPr>
        <w:t>3）验收时，供应商</w:t>
      </w:r>
      <w:r>
        <w:rPr>
          <w:rFonts w:hint="eastAsia"/>
          <w:szCs w:val="21"/>
          <w:lang w:eastAsia="zh-CN"/>
        </w:rPr>
        <w:t>需</w:t>
      </w:r>
      <w:r>
        <w:rPr>
          <w:szCs w:val="21"/>
        </w:rPr>
        <w:t>提供软件文档包括《用户需求说明书》、《系统概要设计说明书》、《系统详细设计说明书》、</w:t>
      </w:r>
      <w:r>
        <w:rPr>
          <w:rFonts w:hint="eastAsia"/>
          <w:szCs w:val="21"/>
        </w:rPr>
        <w:t>《三方功能需求确认单》、</w:t>
      </w:r>
      <w:r>
        <w:rPr>
          <w:szCs w:val="21"/>
        </w:rPr>
        <w:t>《测试报告》、《用户使用手册》、《系统部署文档》等）及可安装的程序运行文件。所交付的文档与文件应当是可供自然人阅读的书面和电子文档。如有缺陷，供应商应立即严格依照招标方的要求改进缺陷。</w:t>
      </w:r>
    </w:p>
    <w:p>
      <w:pPr>
        <w:rPr>
          <w:szCs w:val="21"/>
        </w:rPr>
      </w:pPr>
      <w:r>
        <w:rPr>
          <w:rFonts w:hint="eastAsia"/>
          <w:szCs w:val="21"/>
        </w:rPr>
        <w:t>（</w:t>
      </w:r>
      <w:r>
        <w:rPr>
          <w:szCs w:val="21"/>
        </w:rPr>
        <w:t>4）</w:t>
      </w:r>
      <w:r>
        <w:rPr>
          <w:rFonts w:hint="eastAsia"/>
          <w:szCs w:val="21"/>
        </w:rPr>
        <w:t>验收前</w:t>
      </w:r>
      <w:r>
        <w:rPr>
          <w:szCs w:val="21"/>
        </w:rPr>
        <w:t>，供应商</w:t>
      </w:r>
      <w:r>
        <w:rPr>
          <w:rFonts w:hint="eastAsia"/>
          <w:szCs w:val="21"/>
        </w:rPr>
        <w:t>在</w:t>
      </w:r>
      <w:r>
        <w:rPr>
          <w:szCs w:val="21"/>
        </w:rPr>
        <w:t>信息系统试运行期间提供现场驻场服务。该期间内，供应商应当按照招标方的要求提供现场技术支持服务，解决信息系统试运行期间可能出现的各类问题，或进一步提高与完善信息系统运行水平。</w:t>
      </w:r>
    </w:p>
    <w:p>
      <w:pPr>
        <w:rPr>
          <w:szCs w:val="21"/>
        </w:rPr>
      </w:pPr>
      <w:r>
        <w:rPr>
          <w:rFonts w:hint="eastAsia"/>
          <w:szCs w:val="21"/>
        </w:rPr>
        <w:t>（</w:t>
      </w:r>
      <w:r>
        <w:rPr>
          <w:szCs w:val="21"/>
        </w:rPr>
        <w:t>5）信息系统试运行期已经达到本项目约定的时间，经供应商确认信息系统具备正常运行条件，且信息系统通过运行测试，供应商应以书面形式通知招标方信息系统已准备就绪等待终验。招标方在收到终验通知后的</w:t>
      </w:r>
      <w:r>
        <w:rPr>
          <w:rFonts w:hint="eastAsia"/>
          <w:szCs w:val="21"/>
        </w:rPr>
        <w:t>30</w:t>
      </w:r>
      <w:r>
        <w:rPr>
          <w:szCs w:val="21"/>
        </w:rPr>
        <w:t xml:space="preserve">    个工作日内发起组织专家验收会。</w:t>
      </w:r>
    </w:p>
    <w:p>
      <w:pPr>
        <w:rPr>
          <w:szCs w:val="21"/>
        </w:rPr>
      </w:pPr>
      <w:r>
        <w:rPr>
          <w:rFonts w:hint="eastAsia"/>
          <w:szCs w:val="21"/>
        </w:rPr>
        <w:t>（6</w:t>
      </w:r>
      <w:r>
        <w:rPr>
          <w:szCs w:val="21"/>
        </w:rPr>
        <w:t>）如果属于供应商原因致使本项目未能通过终验，供应商应当排除缺陷，直至本项目完全符合验收标准，由上述情形而产生的相关费用应由供应商自行承担。</w:t>
      </w:r>
    </w:p>
    <w:p>
      <w:pPr>
        <w:rPr>
          <w:szCs w:val="21"/>
        </w:rPr>
      </w:pPr>
      <w:r>
        <w:rPr>
          <w:rFonts w:hint="eastAsia"/>
          <w:szCs w:val="21"/>
        </w:rPr>
        <w:t>（7</w:t>
      </w:r>
      <w:r>
        <w:rPr>
          <w:szCs w:val="21"/>
        </w:rPr>
        <w:t>）如果由于招标方原因导致本项目在终验通过前出现故障或问题，供应商应及时配合排除该方面的故障或问题。</w:t>
      </w:r>
    </w:p>
    <w:p>
      <w:pPr>
        <w:rPr>
          <w:szCs w:val="21"/>
        </w:rPr>
      </w:pPr>
      <w:r>
        <w:rPr>
          <w:rFonts w:hint="eastAsia"/>
          <w:szCs w:val="21"/>
        </w:rPr>
        <w:t>（8</w:t>
      </w:r>
      <w:r>
        <w:rPr>
          <w:szCs w:val="21"/>
        </w:rPr>
        <w:t>）如本项目连续3次验收未通过，招标方有权解除项目，并有权依照本项目约定的违约条款追究供应商的违约责任。</w:t>
      </w:r>
    </w:p>
    <w:p>
      <w:pPr>
        <w:pStyle w:val="3"/>
      </w:pPr>
      <w:bookmarkStart w:id="48" w:name="_Toc63785509"/>
      <w:r>
        <w:rPr>
          <w:rFonts w:hint="eastAsia"/>
        </w:rPr>
        <w:t>进度要求</w:t>
      </w:r>
      <w:bookmarkEnd w:id="48"/>
    </w:p>
    <w:p>
      <w:r>
        <w:rPr>
          <w:rFonts w:hint="eastAsia"/>
        </w:rPr>
        <w:t>投标人应根据建设内容，分阶段制定合理的时间进度，并且应根据招标方要求进行调整和细化。</w:t>
      </w:r>
    </w:p>
    <w:p>
      <w:r>
        <w:rPr>
          <w:rFonts w:hint="eastAsia"/>
        </w:rPr>
        <w:t>总建设周期为</w:t>
      </w:r>
      <w:r>
        <w:t>6</w:t>
      </w:r>
      <w:r>
        <w:rPr>
          <w:rFonts w:hint="eastAsia"/>
        </w:rPr>
        <w:t>个月，分为4个阶段。</w:t>
      </w:r>
    </w:p>
    <w:p>
      <w:r>
        <w:rPr>
          <w:rFonts w:hint="eastAsia"/>
        </w:rPr>
        <w:t>第一阶段为</w:t>
      </w:r>
      <w:r>
        <w:t>0.5</w:t>
      </w:r>
      <w:r>
        <w:rPr>
          <w:rFonts w:hint="eastAsia"/>
        </w:rPr>
        <w:t>个月，完成项目规划设计。</w:t>
      </w:r>
    </w:p>
    <w:p>
      <w:r>
        <w:rPr>
          <w:rFonts w:hint="eastAsia"/>
        </w:rPr>
        <w:t>第二阶段为</w:t>
      </w:r>
      <w:r>
        <w:t>4</w:t>
      </w:r>
      <w:r>
        <w:rPr>
          <w:rFonts w:hint="eastAsia"/>
        </w:rPr>
        <w:t>个月，完成</w:t>
      </w:r>
      <w:r>
        <w:t>项目开发测试</w:t>
      </w:r>
      <w:r>
        <w:rPr>
          <w:rFonts w:hint="eastAsia"/>
        </w:rPr>
        <w:t>。</w:t>
      </w:r>
    </w:p>
    <w:p>
      <w:r>
        <w:rPr>
          <w:rFonts w:hint="eastAsia"/>
        </w:rPr>
        <w:t>第三阶段为</w:t>
      </w:r>
      <w:r>
        <w:t>1</w:t>
      </w:r>
      <w:r>
        <w:rPr>
          <w:rFonts w:hint="eastAsia"/>
        </w:rPr>
        <w:t>个月，完成项目试运行和迭代开发。</w:t>
      </w:r>
    </w:p>
    <w:p>
      <w:r>
        <w:rPr>
          <w:rFonts w:hint="eastAsia"/>
        </w:rPr>
        <w:t>第四阶段为</w:t>
      </w:r>
      <w:r>
        <w:t>0.5</w:t>
      </w:r>
      <w:r>
        <w:rPr>
          <w:rFonts w:hint="eastAsia"/>
        </w:rPr>
        <w:t>个月，完成项目验收。</w:t>
      </w:r>
    </w:p>
    <w:p>
      <w:pPr>
        <w:pStyle w:val="3"/>
      </w:pPr>
      <w:bookmarkStart w:id="49" w:name="_Toc63785510"/>
      <w:r>
        <w:rPr>
          <w:rFonts w:hint="eastAsia"/>
        </w:rPr>
        <w:t>项目团队及驻场人员要求</w:t>
      </w:r>
      <w:bookmarkEnd w:id="49"/>
      <w:bookmarkStart w:id="55" w:name="_GoBack"/>
      <w:bookmarkEnd w:id="55"/>
    </w:p>
    <w:p>
      <w:r>
        <w:t>1）投标人</w:t>
      </w:r>
      <w:r>
        <w:rPr>
          <w:rFonts w:hint="eastAsia"/>
          <w:lang w:eastAsia="zh-CN"/>
        </w:rPr>
        <w:t>需</w:t>
      </w:r>
      <w:r>
        <w:t>具有稳定的在职技术保障力量，能够提供及时的技术支援或服务，应针对本项目提供不少于</w:t>
      </w:r>
      <w:r>
        <w:rPr>
          <w:rFonts w:hint="eastAsia"/>
        </w:rPr>
        <w:t>2</w:t>
      </w:r>
      <w:r>
        <w:t>0人的项目服务团队（包括项目经理、产品经理、技术负责人、研发等）</w:t>
      </w:r>
      <w:r>
        <w:rPr>
          <w:rFonts w:hint="eastAsia"/>
          <w:lang w:eastAsia="zh-CN"/>
        </w:rPr>
        <w:t>除项目经理外其余人员不低于本科学历</w:t>
      </w:r>
      <w:r>
        <w:t>，投标单位的相关服务人员需具备相应的服务能力，需提供相关证明。</w:t>
      </w:r>
    </w:p>
    <w:tbl>
      <w:tblPr>
        <w:tblStyle w:val="3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1"/>
        <w:gridCol w:w="1985"/>
        <w:gridCol w:w="1417"/>
        <w:gridCol w:w="2112"/>
        <w:gridCol w:w="15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271" w:type="dxa"/>
            <w:shd w:val="clear" w:color="auto" w:fill="auto"/>
            <w:noWrap/>
            <w:vAlign w:val="center"/>
          </w:tcPr>
          <w:p>
            <w:pPr>
              <w:widowControl/>
              <w:spacing w:line="240" w:lineRule="auto"/>
              <w:ind w:firstLine="0" w:firstLineChars="0"/>
              <w:jc w:val="center"/>
              <w:rPr>
                <w:b/>
              </w:rPr>
            </w:pPr>
            <w:r>
              <w:rPr>
                <w:rFonts w:hint="eastAsia"/>
                <w:b/>
              </w:rPr>
              <w:t>角色</w:t>
            </w:r>
          </w:p>
        </w:tc>
        <w:tc>
          <w:tcPr>
            <w:tcW w:w="1985" w:type="dxa"/>
            <w:shd w:val="clear" w:color="auto" w:fill="auto"/>
            <w:noWrap/>
            <w:vAlign w:val="center"/>
          </w:tcPr>
          <w:p>
            <w:pPr>
              <w:widowControl/>
              <w:spacing w:line="240" w:lineRule="auto"/>
              <w:ind w:firstLine="0" w:firstLineChars="0"/>
              <w:jc w:val="center"/>
              <w:rPr>
                <w:b/>
              </w:rPr>
            </w:pPr>
            <w:r>
              <w:rPr>
                <w:rFonts w:hint="eastAsia"/>
                <w:b/>
              </w:rPr>
              <w:t>主要职责</w:t>
            </w:r>
          </w:p>
        </w:tc>
        <w:tc>
          <w:tcPr>
            <w:tcW w:w="1417" w:type="dxa"/>
            <w:shd w:val="clear" w:color="auto" w:fill="auto"/>
            <w:noWrap/>
            <w:vAlign w:val="center"/>
          </w:tcPr>
          <w:p>
            <w:pPr>
              <w:widowControl/>
              <w:spacing w:line="240" w:lineRule="auto"/>
              <w:ind w:firstLine="0" w:firstLineChars="0"/>
              <w:jc w:val="center"/>
              <w:rPr>
                <w:b/>
              </w:rPr>
            </w:pPr>
            <w:r>
              <w:rPr>
                <w:rFonts w:hint="eastAsia"/>
                <w:b/>
              </w:rPr>
              <w:t>人员数量</w:t>
            </w:r>
          </w:p>
        </w:tc>
        <w:tc>
          <w:tcPr>
            <w:tcW w:w="2112" w:type="dxa"/>
            <w:vAlign w:val="center"/>
          </w:tcPr>
          <w:p>
            <w:pPr>
              <w:widowControl/>
              <w:spacing w:line="240" w:lineRule="auto"/>
              <w:ind w:firstLine="0" w:firstLineChars="0"/>
              <w:jc w:val="center"/>
              <w:rPr>
                <w:b/>
              </w:rPr>
            </w:pPr>
            <w:r>
              <w:rPr>
                <w:rFonts w:hint="eastAsia"/>
                <w:b/>
              </w:rPr>
              <w:t>人员要求</w:t>
            </w:r>
          </w:p>
        </w:tc>
        <w:tc>
          <w:tcPr>
            <w:tcW w:w="1517" w:type="dxa"/>
            <w:shd w:val="clear" w:color="auto" w:fill="auto"/>
            <w:noWrap/>
            <w:vAlign w:val="center"/>
          </w:tcPr>
          <w:p>
            <w:pPr>
              <w:widowControl/>
              <w:spacing w:line="240" w:lineRule="auto"/>
              <w:ind w:firstLine="0" w:firstLineChars="0"/>
              <w:jc w:val="center"/>
              <w:rPr>
                <w:b/>
              </w:rPr>
            </w:pPr>
            <w:r>
              <w:rPr>
                <w:rFonts w:hint="eastAsia"/>
                <w:b/>
              </w:rPr>
              <w:t>驻场要求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271" w:type="dxa"/>
            <w:shd w:val="clear" w:color="auto" w:fill="auto"/>
            <w:noWrap/>
            <w:vAlign w:val="center"/>
          </w:tcPr>
          <w:p>
            <w:pPr>
              <w:widowControl/>
              <w:spacing w:line="240" w:lineRule="auto"/>
              <w:ind w:firstLine="0" w:firstLineChars="0"/>
              <w:jc w:val="center"/>
            </w:pPr>
            <w:r>
              <w:rPr>
                <w:rFonts w:hint="eastAsia"/>
              </w:rPr>
              <w:t>项目经理</w:t>
            </w:r>
          </w:p>
        </w:tc>
        <w:tc>
          <w:tcPr>
            <w:tcW w:w="1985" w:type="dxa"/>
            <w:shd w:val="clear" w:color="auto" w:fill="auto"/>
            <w:vAlign w:val="center"/>
          </w:tcPr>
          <w:p>
            <w:pPr>
              <w:widowControl/>
              <w:spacing w:line="240" w:lineRule="auto"/>
              <w:ind w:firstLine="0" w:firstLineChars="0"/>
              <w:jc w:val="center"/>
            </w:pPr>
            <w:r>
              <w:rPr>
                <w:rFonts w:hint="eastAsia"/>
              </w:rPr>
              <w:t>负责项目质量和进度控制</w:t>
            </w:r>
          </w:p>
        </w:tc>
        <w:tc>
          <w:tcPr>
            <w:tcW w:w="1417" w:type="dxa"/>
            <w:shd w:val="clear" w:color="auto" w:fill="auto"/>
            <w:noWrap/>
            <w:vAlign w:val="center"/>
          </w:tcPr>
          <w:p>
            <w:pPr>
              <w:widowControl/>
              <w:spacing w:line="240" w:lineRule="auto"/>
              <w:ind w:firstLine="0" w:firstLineChars="0"/>
              <w:jc w:val="center"/>
            </w:pPr>
            <w:r>
              <w:rPr>
                <w:rFonts w:hint="eastAsia"/>
              </w:rPr>
              <w:t>1人</w:t>
            </w:r>
          </w:p>
        </w:tc>
        <w:tc>
          <w:tcPr>
            <w:tcW w:w="2112" w:type="dxa"/>
            <w:vAlign w:val="center"/>
          </w:tcPr>
          <w:p>
            <w:pPr>
              <w:widowControl/>
              <w:spacing w:line="240" w:lineRule="auto"/>
              <w:ind w:firstLine="0" w:firstLineChars="0"/>
              <w:jc w:val="center"/>
            </w:pPr>
            <w:r>
              <w:rPr>
                <w:rFonts w:hint="eastAsia"/>
                <w:lang w:eastAsia="zh-CN"/>
              </w:rPr>
              <w:t>硕士</w:t>
            </w:r>
            <w:r>
              <w:t>研究生</w:t>
            </w:r>
            <w:r>
              <w:rPr>
                <w:rFonts w:hint="eastAsia"/>
              </w:rPr>
              <w:t>学历及以上，具有5年以上政务信息系统管理工作经验，具备信息系统项目管理师和系统分析师资质证书</w:t>
            </w:r>
          </w:p>
        </w:tc>
        <w:tc>
          <w:tcPr>
            <w:tcW w:w="1517" w:type="dxa"/>
            <w:shd w:val="clear" w:color="auto" w:fill="auto"/>
            <w:noWrap/>
            <w:vAlign w:val="center"/>
          </w:tcPr>
          <w:p>
            <w:pPr>
              <w:widowControl/>
              <w:spacing w:line="240" w:lineRule="auto"/>
              <w:ind w:firstLine="0" w:firstLineChars="0"/>
              <w:jc w:val="center"/>
            </w:pPr>
            <w:r>
              <w:rPr>
                <w:rFonts w:hint="eastAsia"/>
              </w:rPr>
              <w:t>不驻场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271" w:type="dxa"/>
            <w:shd w:val="clear" w:color="auto" w:fill="auto"/>
            <w:noWrap/>
            <w:vAlign w:val="center"/>
          </w:tcPr>
          <w:p>
            <w:pPr>
              <w:widowControl/>
              <w:spacing w:line="240" w:lineRule="auto"/>
              <w:ind w:firstLine="0" w:firstLineChars="0"/>
            </w:pPr>
            <w:r>
              <w:rPr>
                <w:rFonts w:hint="eastAsia"/>
              </w:rPr>
              <w:t>技术负责人</w:t>
            </w:r>
          </w:p>
        </w:tc>
        <w:tc>
          <w:tcPr>
            <w:tcW w:w="1985" w:type="dxa"/>
            <w:shd w:val="clear" w:color="auto" w:fill="auto"/>
            <w:vAlign w:val="center"/>
          </w:tcPr>
          <w:p>
            <w:pPr>
              <w:widowControl/>
              <w:spacing w:line="240" w:lineRule="auto"/>
              <w:ind w:firstLine="0" w:firstLineChars="0"/>
              <w:jc w:val="center"/>
            </w:pPr>
            <w:r>
              <w:rPr>
                <w:rFonts w:hint="eastAsia"/>
              </w:rPr>
              <w:t>负责系统技术架构和设计</w:t>
            </w:r>
          </w:p>
        </w:tc>
        <w:tc>
          <w:tcPr>
            <w:tcW w:w="1417" w:type="dxa"/>
            <w:shd w:val="clear" w:color="auto" w:fill="auto"/>
            <w:noWrap/>
            <w:vAlign w:val="center"/>
          </w:tcPr>
          <w:p>
            <w:pPr>
              <w:widowControl/>
              <w:spacing w:line="240" w:lineRule="auto"/>
              <w:ind w:firstLine="0" w:firstLineChars="0"/>
              <w:jc w:val="center"/>
            </w:pPr>
            <w:r>
              <w:rPr>
                <w:rFonts w:hint="eastAsia"/>
              </w:rPr>
              <w:t>1人</w:t>
            </w:r>
          </w:p>
        </w:tc>
        <w:tc>
          <w:tcPr>
            <w:tcW w:w="2112" w:type="dxa"/>
            <w:vAlign w:val="center"/>
          </w:tcPr>
          <w:p>
            <w:pPr>
              <w:widowControl/>
              <w:spacing w:line="240" w:lineRule="auto"/>
              <w:ind w:firstLine="0" w:firstLineChars="0"/>
              <w:jc w:val="center"/>
            </w:pPr>
            <w:r>
              <w:rPr>
                <w:rFonts w:hint="eastAsia"/>
              </w:rPr>
              <w:t>大学本科学历及以上，具有5年以上软件开发经验，具备软件工程师资质、</w:t>
            </w:r>
            <w:r>
              <w:t>ITSS信息技术服务标准应用经理</w:t>
            </w:r>
            <w:r>
              <w:rPr>
                <w:rFonts w:hint="eastAsia"/>
                <w:lang w:eastAsia="zh-CN"/>
              </w:rPr>
              <w:t>证书</w:t>
            </w:r>
            <w:r>
              <w:rPr>
                <w:rFonts w:hint="eastAsia"/>
              </w:rPr>
              <w:t>，熟悉国产化开发环境</w:t>
            </w:r>
          </w:p>
        </w:tc>
        <w:tc>
          <w:tcPr>
            <w:tcW w:w="1517" w:type="dxa"/>
            <w:shd w:val="clear" w:color="auto" w:fill="auto"/>
            <w:noWrap/>
            <w:vAlign w:val="center"/>
          </w:tcPr>
          <w:p>
            <w:pPr>
              <w:widowControl/>
              <w:spacing w:line="240" w:lineRule="auto"/>
              <w:ind w:firstLine="0" w:firstLineChars="0"/>
              <w:jc w:val="center"/>
            </w:pPr>
            <w:r>
              <w:rPr>
                <w:rFonts w:hint="eastAsia"/>
              </w:rPr>
              <w:t>不驻场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271" w:type="dxa"/>
            <w:shd w:val="clear" w:color="auto" w:fill="auto"/>
            <w:noWrap/>
            <w:vAlign w:val="center"/>
          </w:tcPr>
          <w:p>
            <w:pPr>
              <w:widowControl/>
              <w:spacing w:line="240" w:lineRule="auto"/>
              <w:ind w:firstLine="0" w:firstLineChars="0"/>
            </w:pPr>
            <w:r>
              <w:rPr>
                <w:rFonts w:hint="eastAsia"/>
              </w:rPr>
              <w:t>产品经理</w:t>
            </w:r>
          </w:p>
        </w:tc>
        <w:tc>
          <w:tcPr>
            <w:tcW w:w="1985" w:type="dxa"/>
            <w:shd w:val="clear" w:color="auto" w:fill="auto"/>
            <w:vAlign w:val="center"/>
          </w:tcPr>
          <w:p>
            <w:pPr>
              <w:widowControl/>
              <w:spacing w:line="240" w:lineRule="auto"/>
              <w:ind w:firstLine="0" w:firstLineChars="0"/>
              <w:jc w:val="center"/>
            </w:pPr>
            <w:r>
              <w:rPr>
                <w:rFonts w:hint="eastAsia"/>
              </w:rPr>
              <w:t>负责项目需求评估与产品设计</w:t>
            </w:r>
          </w:p>
        </w:tc>
        <w:tc>
          <w:tcPr>
            <w:tcW w:w="1417" w:type="dxa"/>
            <w:shd w:val="clear" w:color="auto" w:fill="auto"/>
            <w:noWrap/>
            <w:vAlign w:val="center"/>
          </w:tcPr>
          <w:p>
            <w:pPr>
              <w:widowControl/>
              <w:spacing w:line="240" w:lineRule="auto"/>
              <w:ind w:firstLine="0" w:firstLineChars="0"/>
              <w:jc w:val="center"/>
            </w:pPr>
            <w:r>
              <w:rPr>
                <w:rFonts w:hint="eastAsia"/>
              </w:rPr>
              <w:t>1人</w:t>
            </w:r>
          </w:p>
        </w:tc>
        <w:tc>
          <w:tcPr>
            <w:tcW w:w="2112" w:type="dxa"/>
            <w:vAlign w:val="center"/>
          </w:tcPr>
          <w:p>
            <w:pPr>
              <w:widowControl/>
              <w:spacing w:line="240" w:lineRule="auto"/>
              <w:ind w:firstLine="0" w:firstLineChars="0"/>
              <w:jc w:val="center"/>
            </w:pPr>
            <w:r>
              <w:rPr>
                <w:rFonts w:hint="eastAsia"/>
              </w:rPr>
              <w:t>本科学历及以上，具备软件工程师证书</w:t>
            </w:r>
          </w:p>
        </w:tc>
        <w:tc>
          <w:tcPr>
            <w:tcW w:w="1517" w:type="dxa"/>
            <w:shd w:val="clear" w:color="auto" w:fill="auto"/>
            <w:noWrap/>
            <w:vAlign w:val="center"/>
          </w:tcPr>
          <w:p>
            <w:pPr>
              <w:widowControl/>
              <w:spacing w:line="240" w:lineRule="auto"/>
              <w:ind w:firstLine="0" w:firstLineChars="0"/>
              <w:jc w:val="center"/>
            </w:pPr>
            <w:r>
              <w:rPr>
                <w:rFonts w:hint="eastAsia"/>
              </w:rPr>
              <w:t>不驻场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271" w:type="dxa"/>
            <w:shd w:val="clear" w:color="auto" w:fill="auto"/>
            <w:noWrap/>
            <w:vAlign w:val="center"/>
          </w:tcPr>
          <w:p>
            <w:pPr>
              <w:widowControl/>
              <w:spacing w:line="240" w:lineRule="auto"/>
              <w:ind w:firstLine="0" w:firstLineChars="0"/>
            </w:pPr>
            <w:r>
              <w:rPr>
                <w:rFonts w:hint="eastAsia"/>
              </w:rPr>
              <w:t>软件工程师</w:t>
            </w:r>
          </w:p>
        </w:tc>
        <w:tc>
          <w:tcPr>
            <w:tcW w:w="1985" w:type="dxa"/>
            <w:shd w:val="clear" w:color="auto" w:fill="auto"/>
            <w:vAlign w:val="center"/>
          </w:tcPr>
          <w:p>
            <w:pPr>
              <w:widowControl/>
              <w:spacing w:line="240" w:lineRule="auto"/>
              <w:ind w:firstLine="0" w:firstLineChars="0"/>
              <w:jc w:val="center"/>
            </w:pPr>
            <w:r>
              <w:rPr>
                <w:rFonts w:hint="eastAsia"/>
              </w:rPr>
              <w:t>负责项目具体开发与实施</w:t>
            </w:r>
          </w:p>
        </w:tc>
        <w:tc>
          <w:tcPr>
            <w:tcW w:w="1417" w:type="dxa"/>
            <w:shd w:val="clear" w:color="auto" w:fill="auto"/>
            <w:noWrap/>
            <w:vAlign w:val="center"/>
          </w:tcPr>
          <w:p>
            <w:pPr>
              <w:widowControl/>
              <w:spacing w:line="240" w:lineRule="auto"/>
              <w:ind w:firstLine="0" w:firstLineChars="0"/>
              <w:jc w:val="center"/>
            </w:pPr>
            <w:r>
              <w:t>12</w:t>
            </w:r>
            <w:r>
              <w:rPr>
                <w:rFonts w:hint="eastAsia"/>
              </w:rPr>
              <w:t>人</w:t>
            </w:r>
          </w:p>
        </w:tc>
        <w:tc>
          <w:tcPr>
            <w:tcW w:w="2112" w:type="dxa"/>
            <w:vAlign w:val="center"/>
          </w:tcPr>
          <w:p>
            <w:pPr>
              <w:widowControl/>
              <w:spacing w:line="240" w:lineRule="auto"/>
              <w:ind w:firstLine="0" w:firstLineChars="0"/>
              <w:jc w:val="center"/>
            </w:pPr>
            <w:r>
              <w:rPr>
                <w:rFonts w:hint="eastAsia"/>
              </w:rPr>
              <w:t>本科学历及以上，熟悉国产化开发环境</w:t>
            </w:r>
          </w:p>
        </w:tc>
        <w:tc>
          <w:tcPr>
            <w:tcW w:w="1517" w:type="dxa"/>
            <w:shd w:val="clear" w:color="auto" w:fill="auto"/>
            <w:noWrap/>
            <w:vAlign w:val="center"/>
          </w:tcPr>
          <w:p>
            <w:pPr>
              <w:widowControl/>
              <w:spacing w:line="240" w:lineRule="auto"/>
              <w:ind w:firstLine="0" w:firstLineChars="0"/>
              <w:jc w:val="center"/>
            </w:pPr>
            <w:r>
              <w:rPr>
                <w:rFonts w:hint="eastAsia"/>
              </w:rPr>
              <w:t>不驻场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271" w:type="dxa"/>
            <w:shd w:val="clear" w:color="auto" w:fill="auto"/>
            <w:noWrap/>
            <w:vAlign w:val="center"/>
          </w:tcPr>
          <w:p>
            <w:pPr>
              <w:widowControl/>
              <w:spacing w:line="240" w:lineRule="auto"/>
              <w:ind w:firstLine="0" w:firstLineChars="0"/>
            </w:pPr>
            <w:r>
              <w:rPr>
                <w:rFonts w:hint="eastAsia"/>
              </w:rPr>
              <w:t>软件工程师</w:t>
            </w:r>
          </w:p>
        </w:tc>
        <w:tc>
          <w:tcPr>
            <w:tcW w:w="1985" w:type="dxa"/>
            <w:shd w:val="clear" w:color="auto" w:fill="auto"/>
            <w:noWrap/>
            <w:vAlign w:val="center"/>
          </w:tcPr>
          <w:p>
            <w:pPr>
              <w:widowControl/>
              <w:spacing w:line="240" w:lineRule="auto"/>
              <w:ind w:firstLine="0" w:firstLineChars="0"/>
              <w:jc w:val="center"/>
            </w:pPr>
            <w:r>
              <w:rPr>
                <w:rFonts w:hint="eastAsia"/>
              </w:rPr>
              <w:t>负责项目具体开发与实施</w:t>
            </w:r>
          </w:p>
        </w:tc>
        <w:tc>
          <w:tcPr>
            <w:tcW w:w="1417" w:type="dxa"/>
            <w:shd w:val="clear" w:color="auto" w:fill="auto"/>
            <w:noWrap/>
            <w:vAlign w:val="center"/>
          </w:tcPr>
          <w:p>
            <w:pPr>
              <w:widowControl/>
              <w:spacing w:line="240" w:lineRule="auto"/>
              <w:ind w:firstLine="0" w:firstLineChars="0"/>
              <w:jc w:val="center"/>
            </w:pPr>
            <w:r>
              <w:t>5</w:t>
            </w:r>
            <w:r>
              <w:rPr>
                <w:rFonts w:hint="eastAsia"/>
              </w:rPr>
              <w:t>人</w:t>
            </w:r>
          </w:p>
        </w:tc>
        <w:tc>
          <w:tcPr>
            <w:tcW w:w="2112" w:type="dxa"/>
            <w:vAlign w:val="center"/>
          </w:tcPr>
          <w:p>
            <w:pPr>
              <w:widowControl/>
              <w:spacing w:line="240" w:lineRule="auto"/>
              <w:ind w:firstLine="0" w:firstLineChars="0"/>
              <w:jc w:val="center"/>
            </w:pPr>
            <w:r>
              <w:rPr>
                <w:rFonts w:hint="eastAsia"/>
              </w:rPr>
              <w:t>本科学历及以上，熟悉国产化开发环境</w:t>
            </w:r>
          </w:p>
        </w:tc>
        <w:tc>
          <w:tcPr>
            <w:tcW w:w="1517" w:type="dxa"/>
            <w:shd w:val="clear" w:color="auto" w:fill="auto"/>
            <w:noWrap/>
            <w:vAlign w:val="center"/>
          </w:tcPr>
          <w:p>
            <w:pPr>
              <w:widowControl/>
              <w:spacing w:line="240" w:lineRule="auto"/>
              <w:ind w:firstLine="0" w:firstLineChars="0"/>
              <w:jc w:val="center"/>
            </w:pPr>
            <w:r>
              <w:rPr>
                <w:rFonts w:hint="eastAsia"/>
              </w:rPr>
              <w:t>驻场</w:t>
            </w:r>
          </w:p>
        </w:tc>
      </w:tr>
    </w:tbl>
    <w:p>
      <w:r>
        <w:t>2）投标人应针对本项目提供不少于4人的质保期间支撑团队（其中</w:t>
      </w:r>
      <w:r>
        <w:rPr>
          <w:rFonts w:hint="eastAsia"/>
        </w:rPr>
        <w:t>售后服务</w:t>
      </w:r>
      <w:r>
        <w:t>经理</w:t>
      </w:r>
      <w:r>
        <w:rPr>
          <w:rFonts w:hint="eastAsia"/>
        </w:rPr>
        <w:t>1</w:t>
      </w:r>
      <w:r>
        <w:t>人，</w:t>
      </w:r>
      <w:r>
        <w:rPr>
          <w:rFonts w:hint="eastAsia"/>
        </w:rPr>
        <w:t>运维</w:t>
      </w:r>
      <w:r>
        <w:t>工程师不少于3人）</w:t>
      </w:r>
      <w:r>
        <w:rPr>
          <w:rFonts w:hint="eastAsia"/>
          <w:lang w:eastAsia="zh-CN"/>
        </w:rPr>
        <w:t>，提供不少于</w:t>
      </w:r>
      <w:r>
        <w:rPr>
          <w:rFonts w:hint="eastAsia"/>
          <w:lang w:val="en-US" w:eastAsia="zh-CN"/>
        </w:rPr>
        <w:t>2人的驻场人员</w:t>
      </w:r>
      <w:r>
        <w:t>；投标人的相关服务人员需具备相应的服务能力，需提供相关证明（最近一个季度依法缴纳社保费的证明）。</w:t>
      </w:r>
    </w:p>
    <w:tbl>
      <w:tblPr>
        <w:tblStyle w:val="3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88"/>
        <w:gridCol w:w="2551"/>
        <w:gridCol w:w="1134"/>
        <w:gridCol w:w="1985"/>
        <w:gridCol w:w="16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988" w:type="dxa"/>
            <w:shd w:val="clear" w:color="auto" w:fill="auto"/>
            <w:noWrap/>
            <w:vAlign w:val="center"/>
          </w:tcPr>
          <w:p>
            <w:pPr>
              <w:widowControl/>
              <w:spacing w:line="240" w:lineRule="auto"/>
              <w:ind w:firstLine="0" w:firstLineChars="0"/>
              <w:jc w:val="center"/>
              <w:rPr>
                <w:b/>
              </w:rPr>
            </w:pPr>
            <w:r>
              <w:rPr>
                <w:rFonts w:hint="eastAsia"/>
                <w:b/>
              </w:rPr>
              <w:t>角色</w:t>
            </w:r>
          </w:p>
        </w:tc>
        <w:tc>
          <w:tcPr>
            <w:tcW w:w="2551" w:type="dxa"/>
            <w:shd w:val="clear" w:color="auto" w:fill="auto"/>
            <w:noWrap/>
            <w:vAlign w:val="center"/>
          </w:tcPr>
          <w:p>
            <w:pPr>
              <w:widowControl/>
              <w:spacing w:line="240" w:lineRule="auto"/>
              <w:ind w:firstLine="0" w:firstLineChars="0"/>
              <w:jc w:val="center"/>
              <w:rPr>
                <w:b/>
              </w:rPr>
            </w:pPr>
            <w:r>
              <w:rPr>
                <w:rFonts w:hint="eastAsia"/>
                <w:b/>
              </w:rPr>
              <w:t>主要职责</w:t>
            </w:r>
          </w:p>
        </w:tc>
        <w:tc>
          <w:tcPr>
            <w:tcW w:w="1134" w:type="dxa"/>
            <w:shd w:val="clear" w:color="auto" w:fill="auto"/>
            <w:noWrap/>
            <w:vAlign w:val="center"/>
          </w:tcPr>
          <w:p>
            <w:pPr>
              <w:widowControl/>
              <w:spacing w:line="240" w:lineRule="auto"/>
              <w:ind w:firstLine="0" w:firstLineChars="0"/>
              <w:jc w:val="center"/>
              <w:rPr>
                <w:b/>
              </w:rPr>
            </w:pPr>
            <w:r>
              <w:rPr>
                <w:rFonts w:hint="eastAsia"/>
                <w:b/>
              </w:rPr>
              <w:t>人员数量</w:t>
            </w:r>
          </w:p>
        </w:tc>
        <w:tc>
          <w:tcPr>
            <w:tcW w:w="1985" w:type="dxa"/>
            <w:vAlign w:val="center"/>
          </w:tcPr>
          <w:p>
            <w:pPr>
              <w:widowControl/>
              <w:spacing w:line="240" w:lineRule="auto"/>
              <w:ind w:firstLine="0" w:firstLineChars="0"/>
              <w:jc w:val="center"/>
              <w:rPr>
                <w:b/>
              </w:rPr>
            </w:pPr>
            <w:r>
              <w:rPr>
                <w:rFonts w:hint="eastAsia"/>
                <w:b/>
              </w:rPr>
              <w:t>人员要求</w:t>
            </w:r>
          </w:p>
        </w:tc>
        <w:tc>
          <w:tcPr>
            <w:tcW w:w="1644" w:type="dxa"/>
            <w:shd w:val="clear" w:color="auto" w:fill="auto"/>
            <w:noWrap/>
            <w:vAlign w:val="center"/>
          </w:tcPr>
          <w:p>
            <w:pPr>
              <w:widowControl/>
              <w:spacing w:line="240" w:lineRule="auto"/>
              <w:ind w:firstLine="0" w:firstLineChars="0"/>
              <w:jc w:val="center"/>
              <w:rPr>
                <w:b/>
              </w:rPr>
            </w:pPr>
            <w:r>
              <w:rPr>
                <w:rFonts w:hint="eastAsia"/>
                <w:b/>
              </w:rPr>
              <w:t>驻场要求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988" w:type="dxa"/>
            <w:shd w:val="clear" w:color="auto" w:fill="auto"/>
            <w:noWrap/>
            <w:vAlign w:val="center"/>
          </w:tcPr>
          <w:p>
            <w:pPr>
              <w:widowControl/>
              <w:spacing w:line="240" w:lineRule="auto"/>
              <w:ind w:firstLine="0" w:firstLineChars="0"/>
              <w:jc w:val="center"/>
            </w:pPr>
            <w:r>
              <w:rPr>
                <w:rFonts w:hint="eastAsia"/>
              </w:rPr>
              <w:t>售后服务经理</w:t>
            </w:r>
          </w:p>
        </w:tc>
        <w:tc>
          <w:tcPr>
            <w:tcW w:w="2551" w:type="dxa"/>
            <w:shd w:val="clear" w:color="auto" w:fill="auto"/>
            <w:vAlign w:val="center"/>
          </w:tcPr>
          <w:p>
            <w:pPr>
              <w:widowControl/>
              <w:spacing w:line="240" w:lineRule="auto"/>
              <w:ind w:firstLine="0" w:firstLineChars="0"/>
              <w:jc w:val="center"/>
            </w:pPr>
            <w:r>
              <w:rPr>
                <w:rFonts w:hint="eastAsia"/>
              </w:rPr>
              <w:t>负责项目质量和进度控制</w:t>
            </w:r>
          </w:p>
        </w:tc>
        <w:tc>
          <w:tcPr>
            <w:tcW w:w="1134" w:type="dxa"/>
            <w:shd w:val="clear" w:color="auto" w:fill="auto"/>
            <w:noWrap/>
            <w:vAlign w:val="center"/>
          </w:tcPr>
          <w:p>
            <w:pPr>
              <w:widowControl/>
              <w:spacing w:line="240" w:lineRule="auto"/>
              <w:ind w:firstLine="0" w:firstLineChars="0"/>
              <w:jc w:val="center"/>
            </w:pPr>
            <w:r>
              <w:rPr>
                <w:rFonts w:hint="eastAsia"/>
              </w:rPr>
              <w:t>1人</w:t>
            </w:r>
          </w:p>
        </w:tc>
        <w:tc>
          <w:tcPr>
            <w:tcW w:w="1985" w:type="dxa"/>
            <w:vAlign w:val="center"/>
          </w:tcPr>
          <w:p>
            <w:pPr>
              <w:widowControl/>
              <w:spacing w:line="240" w:lineRule="auto"/>
              <w:ind w:firstLine="0" w:firstLineChars="0"/>
              <w:jc w:val="center"/>
            </w:pPr>
            <w:r>
              <w:rPr>
                <w:rFonts w:hint="eastAsia"/>
              </w:rPr>
              <w:t>本科学历及以上，具备系统集成项目管理工程师资质证书</w:t>
            </w:r>
          </w:p>
        </w:tc>
        <w:tc>
          <w:tcPr>
            <w:tcW w:w="1644" w:type="dxa"/>
            <w:shd w:val="clear" w:color="auto" w:fill="auto"/>
            <w:noWrap/>
            <w:vAlign w:val="center"/>
          </w:tcPr>
          <w:p>
            <w:pPr>
              <w:widowControl/>
              <w:spacing w:line="240" w:lineRule="auto"/>
              <w:ind w:firstLine="240" w:firstLineChars="100"/>
            </w:pPr>
            <w:r>
              <w:rPr>
                <w:rFonts w:hint="eastAsia"/>
              </w:rPr>
              <w:t>不驻场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988" w:type="dxa"/>
            <w:shd w:val="clear" w:color="auto" w:fill="auto"/>
            <w:noWrap/>
            <w:vAlign w:val="center"/>
          </w:tcPr>
          <w:p>
            <w:pPr>
              <w:widowControl/>
              <w:spacing w:line="240" w:lineRule="auto"/>
              <w:ind w:firstLine="0" w:firstLineChars="0"/>
              <w:jc w:val="center"/>
            </w:pPr>
            <w:r>
              <w:rPr>
                <w:rFonts w:hint="eastAsia"/>
              </w:rPr>
              <w:t>软件工程师</w:t>
            </w:r>
          </w:p>
        </w:tc>
        <w:tc>
          <w:tcPr>
            <w:tcW w:w="2551" w:type="dxa"/>
            <w:shd w:val="clear" w:color="auto" w:fill="auto"/>
            <w:noWrap/>
            <w:vAlign w:val="center"/>
          </w:tcPr>
          <w:p>
            <w:pPr>
              <w:widowControl/>
              <w:spacing w:line="240" w:lineRule="auto"/>
              <w:ind w:firstLine="0" w:firstLineChars="0"/>
              <w:jc w:val="center"/>
            </w:pPr>
            <w:r>
              <w:rPr>
                <w:rFonts w:hint="eastAsia"/>
              </w:rPr>
              <w:t>负责项目具体开发与实施</w:t>
            </w:r>
          </w:p>
        </w:tc>
        <w:tc>
          <w:tcPr>
            <w:tcW w:w="1134" w:type="dxa"/>
            <w:shd w:val="clear" w:color="auto" w:fill="auto"/>
            <w:noWrap/>
            <w:vAlign w:val="center"/>
          </w:tcPr>
          <w:p>
            <w:pPr>
              <w:widowControl/>
              <w:spacing w:line="240" w:lineRule="auto"/>
              <w:ind w:firstLine="0" w:firstLineChars="0"/>
              <w:jc w:val="center"/>
            </w:pPr>
            <w:r>
              <w:t>1</w:t>
            </w:r>
            <w:r>
              <w:rPr>
                <w:rFonts w:hint="eastAsia"/>
              </w:rPr>
              <w:t>人</w:t>
            </w:r>
          </w:p>
        </w:tc>
        <w:tc>
          <w:tcPr>
            <w:tcW w:w="1985" w:type="dxa"/>
            <w:vAlign w:val="center"/>
          </w:tcPr>
          <w:p>
            <w:pPr>
              <w:widowControl/>
              <w:spacing w:line="240" w:lineRule="auto"/>
              <w:ind w:firstLine="0" w:firstLineChars="0"/>
              <w:jc w:val="center"/>
            </w:pPr>
            <w:r>
              <w:rPr>
                <w:rFonts w:hint="eastAsia"/>
              </w:rPr>
              <w:t>本科学历及以上，具有3年以上软件开发经验，熟悉国产化开发环境。</w:t>
            </w:r>
          </w:p>
        </w:tc>
        <w:tc>
          <w:tcPr>
            <w:tcW w:w="1644" w:type="dxa"/>
            <w:shd w:val="clear" w:color="auto" w:fill="auto"/>
            <w:noWrap/>
            <w:vAlign w:val="center"/>
          </w:tcPr>
          <w:p>
            <w:pPr>
              <w:widowControl/>
              <w:spacing w:line="240" w:lineRule="auto"/>
              <w:ind w:firstLine="0" w:firstLineChars="0"/>
              <w:jc w:val="center"/>
            </w:pPr>
            <w:r>
              <w:rPr>
                <w:rFonts w:hint="eastAsia"/>
              </w:rPr>
              <w:t>不驻场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988" w:type="dxa"/>
            <w:shd w:val="clear" w:color="auto" w:fill="auto"/>
            <w:noWrap/>
            <w:vAlign w:val="center"/>
          </w:tcPr>
          <w:p>
            <w:pPr>
              <w:widowControl/>
              <w:spacing w:line="240" w:lineRule="auto"/>
              <w:ind w:firstLine="0" w:firstLineChars="0"/>
              <w:jc w:val="center"/>
            </w:pPr>
            <w:r>
              <w:rPr>
                <w:rFonts w:hint="eastAsia"/>
              </w:rPr>
              <w:t>软件工程师</w:t>
            </w:r>
          </w:p>
        </w:tc>
        <w:tc>
          <w:tcPr>
            <w:tcW w:w="2551" w:type="dxa"/>
            <w:shd w:val="clear" w:color="auto" w:fill="auto"/>
            <w:noWrap/>
            <w:vAlign w:val="center"/>
          </w:tcPr>
          <w:p>
            <w:pPr>
              <w:widowControl/>
              <w:spacing w:line="240" w:lineRule="auto"/>
              <w:ind w:firstLine="0" w:firstLineChars="0"/>
              <w:jc w:val="center"/>
            </w:pPr>
            <w:r>
              <w:rPr>
                <w:rFonts w:hint="eastAsia"/>
              </w:rPr>
              <w:t>负责项目具体开发与实施</w:t>
            </w:r>
          </w:p>
        </w:tc>
        <w:tc>
          <w:tcPr>
            <w:tcW w:w="1134" w:type="dxa"/>
            <w:shd w:val="clear" w:color="auto" w:fill="auto"/>
            <w:noWrap/>
            <w:vAlign w:val="center"/>
          </w:tcPr>
          <w:p>
            <w:pPr>
              <w:widowControl/>
              <w:spacing w:line="240" w:lineRule="auto"/>
              <w:ind w:firstLine="0" w:firstLineChars="0"/>
              <w:jc w:val="center"/>
            </w:pPr>
            <w:r>
              <w:t>2</w:t>
            </w:r>
            <w:r>
              <w:rPr>
                <w:rFonts w:hint="eastAsia"/>
              </w:rPr>
              <w:t>人</w:t>
            </w:r>
          </w:p>
        </w:tc>
        <w:tc>
          <w:tcPr>
            <w:tcW w:w="1985" w:type="dxa"/>
            <w:vAlign w:val="center"/>
          </w:tcPr>
          <w:p>
            <w:pPr>
              <w:widowControl/>
              <w:spacing w:line="240" w:lineRule="auto"/>
              <w:ind w:firstLine="0" w:firstLineChars="0"/>
              <w:jc w:val="center"/>
            </w:pPr>
            <w:r>
              <w:rPr>
                <w:rFonts w:hint="eastAsia"/>
              </w:rPr>
              <w:t>本科学历及以上，具有3年以上软件开发经验，熟悉国产化开发环境。</w:t>
            </w:r>
          </w:p>
        </w:tc>
        <w:tc>
          <w:tcPr>
            <w:tcW w:w="1644" w:type="dxa"/>
            <w:shd w:val="clear" w:color="auto" w:fill="auto"/>
            <w:noWrap/>
            <w:vAlign w:val="center"/>
          </w:tcPr>
          <w:p>
            <w:pPr>
              <w:widowControl/>
              <w:spacing w:line="240" w:lineRule="auto"/>
              <w:ind w:firstLine="0" w:firstLineChars="0"/>
              <w:jc w:val="center"/>
            </w:pPr>
            <w:r>
              <w:rPr>
                <w:rFonts w:hint="eastAsia"/>
              </w:rPr>
              <w:t>驻场</w:t>
            </w:r>
          </w:p>
        </w:tc>
      </w:tr>
    </w:tbl>
    <w:p>
      <w:pPr>
        <w:pStyle w:val="3"/>
      </w:pPr>
      <w:r>
        <w:t>等级保护要求</w:t>
      </w:r>
    </w:p>
    <w:p>
      <w:r>
        <w:t>本项目等级保护要求：参照等保</w:t>
      </w:r>
      <w:r>
        <w:rPr>
          <w:rFonts w:hint="eastAsia"/>
        </w:rPr>
        <w:t>三</w:t>
      </w:r>
      <w:r>
        <w:t xml:space="preserve">级要求建设。 </w:t>
      </w:r>
    </w:p>
    <w:p>
      <w:pPr>
        <w:pStyle w:val="3"/>
      </w:pPr>
      <w:r>
        <w:rPr>
          <w:rFonts w:hint="eastAsia"/>
        </w:rPr>
        <w:t>商业密码应用需求</w:t>
      </w:r>
    </w:p>
    <w:p>
      <w:pPr>
        <w:rPr>
          <w:rFonts w:cs="仿宋_GB2312" w:asciiTheme="minorEastAsia" w:hAnsiTheme="minorEastAsia" w:eastAsiaTheme="minorEastAsia"/>
          <w:color w:val="000000"/>
          <w:kern w:val="0"/>
        </w:rPr>
      </w:pPr>
      <w:r>
        <w:rPr>
          <w:rFonts w:hint="eastAsia" w:cs="仿宋_GB2312" w:asciiTheme="minorEastAsia" w:hAnsiTheme="minorEastAsia" w:eastAsiaTheme="minorEastAsia"/>
          <w:color w:val="000000"/>
          <w:kern w:val="0"/>
        </w:rPr>
        <w:t>信息系统需使用经检测认证的商用密码产品或服务，使用的商用密码算法、技术应遵循密码相关国家标准或行业标准。从物理和环境安全、网络和通信安全、设备和计算安全、应用和数据安全等四个层面采用密码技术措施，建立安全的秘钥管理方案，并采用有效的安全管理措施，对信息系统进行保护。</w:t>
      </w:r>
    </w:p>
    <w:p>
      <w:pPr>
        <w:rPr>
          <w:rFonts w:cs="仿宋_GB2312" w:asciiTheme="minorEastAsia" w:hAnsiTheme="minorEastAsia" w:eastAsiaTheme="minorEastAsia"/>
          <w:color w:val="000000"/>
          <w:kern w:val="0"/>
        </w:rPr>
      </w:pPr>
      <w:r>
        <w:rPr>
          <w:rFonts w:hint="eastAsia" w:cs="仿宋_GB2312" w:asciiTheme="minorEastAsia" w:hAnsiTheme="minorEastAsia" w:eastAsiaTheme="minorEastAsia"/>
          <w:color w:val="000000"/>
          <w:kern w:val="0"/>
        </w:rPr>
        <w:t>根据密测要求，以国产算法为基础算力的服务器密码机为密码资源层，在密码资源层上层建设基础密码服务，包括但不限于安全认证网关服务、签名验签服务、证书认证服务等，对业务应用层提供密码支撑，提供包括：身份鉴别、传输保护、签名验签、数据加密等密码服务。</w:t>
      </w:r>
    </w:p>
    <w:p>
      <w:pPr>
        <w:pStyle w:val="3"/>
      </w:pPr>
      <w:bookmarkStart w:id="50" w:name="_Toc63785512"/>
      <w:r>
        <w:rPr>
          <w:rFonts w:hint="eastAsia"/>
        </w:rPr>
        <w:t>技术文件要求</w:t>
      </w:r>
    </w:p>
    <w:p>
      <w:r>
        <w:rPr>
          <w:rFonts w:hint="eastAsia"/>
        </w:rPr>
        <w:t>投标人提供的书面技术资料应能确保系统正常运行所需的管理、运营及维护有关的全套文件。技术文件应该全面、完整、详细。投标人提供的技术文件至少应包括：</w:t>
      </w:r>
    </w:p>
    <w:p>
      <w:r>
        <w:rPr>
          <w:rFonts w:hint="eastAsia"/>
        </w:rPr>
        <w:t>－</w:t>
      </w:r>
      <w:r>
        <w:t xml:space="preserve"> 系统说明文件； </w:t>
      </w:r>
    </w:p>
    <w:p>
      <w:r>
        <w:rPr>
          <w:rFonts w:hint="eastAsia"/>
        </w:rPr>
        <w:t>－</w:t>
      </w:r>
      <w:r>
        <w:t xml:space="preserve"> 技术手册(安装、测试、操作、维护、故障排除等)； </w:t>
      </w:r>
    </w:p>
    <w:p>
      <w:r>
        <w:rPr>
          <w:rFonts w:hint="eastAsia"/>
        </w:rPr>
        <w:t>－</w:t>
      </w:r>
      <w:r>
        <w:t xml:space="preserve"> 项目文档，应该包括：</w:t>
      </w:r>
    </w:p>
    <w:p>
      <w:pPr>
        <w:ind w:left="360"/>
      </w:pPr>
      <w:r>
        <w:t>(1)软件需求说明书</w:t>
      </w:r>
    </w:p>
    <w:p>
      <w:pPr>
        <w:ind w:left="360"/>
      </w:pPr>
      <w:r>
        <w:t>(2)</w:t>
      </w:r>
      <w:r>
        <w:tab/>
      </w:r>
      <w:r>
        <w:t>系统总体设计说明书</w:t>
      </w:r>
    </w:p>
    <w:p>
      <w:pPr>
        <w:ind w:left="360"/>
      </w:pPr>
      <w:r>
        <w:t>(3)</w:t>
      </w:r>
      <w:r>
        <w:tab/>
      </w:r>
      <w:r>
        <w:t>应用软件功能清单</w:t>
      </w:r>
    </w:p>
    <w:p>
      <w:r>
        <w:rPr>
          <w:rFonts w:hint="eastAsia"/>
        </w:rPr>
        <w:t>提供全套技术文件纸介质</w:t>
      </w:r>
      <w:r>
        <w:t>3套以及电子文件1套。</w:t>
      </w:r>
    </w:p>
    <w:p>
      <w:pPr>
        <w:pStyle w:val="2"/>
      </w:pPr>
      <w:r>
        <w:rPr>
          <w:rFonts w:hint="eastAsia"/>
        </w:rPr>
        <w:t>供应商资质要求</w:t>
      </w:r>
    </w:p>
    <w:p>
      <w:r>
        <w:rPr>
          <w:rFonts w:hint="eastAsia"/>
        </w:rPr>
        <w:t>具有合格有效的ISO27017云服务信息安全管理体系认证证书，ISO27018公有云个人身份信息安全管理体系认证证书，ISO27701隐私信息管理体系认证证书</w:t>
      </w:r>
      <w:r>
        <w:t>。</w:t>
      </w:r>
    </w:p>
    <w:p>
      <w:pPr>
        <w:pStyle w:val="2"/>
      </w:pPr>
      <w:r>
        <w:rPr>
          <w:rFonts w:hint="eastAsia"/>
        </w:rPr>
        <w:t>供应商管理要求</w:t>
      </w:r>
      <w:bookmarkEnd w:id="50"/>
    </w:p>
    <w:p>
      <w:pPr>
        <w:pStyle w:val="80"/>
        <w:ind w:firstLine="480"/>
        <w:rPr>
          <w:sz w:val="24"/>
          <w:szCs w:val="24"/>
        </w:rPr>
      </w:pPr>
      <w:r>
        <w:rPr>
          <w:rFonts w:hint="eastAsia"/>
          <w:sz w:val="24"/>
          <w:szCs w:val="24"/>
        </w:rPr>
        <w:t>1、在项目实施期间，中标人应严格执行国家、地方、行业有关本项目业务管理和安全作业的法律、法规和制度并按规定承担相应的费用。中标人因违反规定等原因造成的一切损失和责任由中标人自行承担。</w:t>
      </w:r>
    </w:p>
    <w:p>
      <w:pPr>
        <w:pStyle w:val="80"/>
        <w:ind w:firstLine="480"/>
        <w:rPr>
          <w:sz w:val="24"/>
          <w:szCs w:val="24"/>
        </w:rPr>
      </w:pPr>
      <w:r>
        <w:rPr>
          <w:rFonts w:hint="eastAsia"/>
          <w:sz w:val="24"/>
          <w:szCs w:val="24"/>
        </w:rPr>
        <w:t>2、中标人在投标书中承诺并经招标人认定的项目负责人及专业技术人员必</w:t>
      </w:r>
      <w:r>
        <w:rPr>
          <w:rFonts w:hint="eastAsia"/>
          <w:sz w:val="24"/>
          <w:szCs w:val="24"/>
          <w:lang w:eastAsia="zh-CN"/>
        </w:rPr>
        <w:t>需</w:t>
      </w:r>
      <w:r>
        <w:rPr>
          <w:rFonts w:hint="eastAsia"/>
          <w:sz w:val="24"/>
          <w:szCs w:val="24"/>
        </w:rPr>
        <w:t>是本单位职工（在本单位缴纳社会保障金）和该项目实施现场的实际操作者，应具有类似本项目的实施经验，并应在软件应用调研、安装、试运行等期间常驻项目现场。未经采购人同意，中标人不得调换或撤离上述人员。如采购人认为有必要，可要求中标人对上述人员中的部分人员作出更好的调整。</w:t>
      </w:r>
    </w:p>
    <w:p>
      <w:pPr>
        <w:pStyle w:val="80"/>
        <w:ind w:firstLine="480"/>
        <w:rPr>
          <w:sz w:val="24"/>
          <w:szCs w:val="24"/>
        </w:rPr>
      </w:pPr>
      <w:r>
        <w:rPr>
          <w:rFonts w:hint="eastAsia"/>
          <w:sz w:val="24"/>
          <w:szCs w:val="24"/>
        </w:rPr>
        <w:t>3、中标人在项目实施期间，应按项目实际进度与环节落实所对应项目整体及各环节管理工作，按照规范做好项目实施期间相关管理与实施记录。</w:t>
      </w:r>
    </w:p>
    <w:p>
      <w:pPr>
        <w:pStyle w:val="80"/>
        <w:ind w:firstLine="480"/>
        <w:rPr>
          <w:sz w:val="24"/>
          <w:szCs w:val="24"/>
        </w:rPr>
      </w:pPr>
      <w:r>
        <w:rPr>
          <w:rFonts w:hint="eastAsia"/>
          <w:sz w:val="24"/>
          <w:szCs w:val="24"/>
        </w:rPr>
        <w:t>4、参与本项目的工作人员应严格遵循采购人的安全制度，保障采购人资料和设备的安全。中标方如需进入采购人机房工作，只能在采购人规定的工作区域内对项目涉及的设备进行操作，严禁触动与项目无关的任何设备（包括任何操作行为），如需跨区操作必</w:t>
      </w:r>
      <w:r>
        <w:rPr>
          <w:rFonts w:hint="eastAsia"/>
          <w:sz w:val="24"/>
          <w:szCs w:val="24"/>
          <w:lang w:eastAsia="zh-CN"/>
        </w:rPr>
        <w:t>需</w:t>
      </w:r>
      <w:r>
        <w:rPr>
          <w:rFonts w:hint="eastAsia"/>
          <w:sz w:val="24"/>
          <w:szCs w:val="24"/>
        </w:rPr>
        <w:t>得到采购人项目联系人确认。</w:t>
      </w:r>
    </w:p>
    <w:p>
      <w:pPr>
        <w:pStyle w:val="80"/>
        <w:ind w:firstLine="480"/>
        <w:rPr>
          <w:sz w:val="24"/>
          <w:szCs w:val="24"/>
        </w:rPr>
      </w:pPr>
      <w:r>
        <w:rPr>
          <w:rFonts w:hint="eastAsia"/>
          <w:sz w:val="24"/>
          <w:szCs w:val="24"/>
        </w:rPr>
        <w:t>5、中标人在项目实施期间必</w:t>
      </w:r>
      <w:r>
        <w:rPr>
          <w:rFonts w:hint="eastAsia"/>
          <w:sz w:val="24"/>
          <w:szCs w:val="24"/>
          <w:lang w:eastAsia="zh-CN"/>
        </w:rPr>
        <w:t>需</w:t>
      </w:r>
      <w:r>
        <w:rPr>
          <w:rFonts w:hint="eastAsia"/>
          <w:sz w:val="24"/>
          <w:szCs w:val="24"/>
        </w:rPr>
        <w:t>遵守采购人的规章制度并提供实施人员名单。</w:t>
      </w:r>
    </w:p>
    <w:p>
      <w:pPr>
        <w:pStyle w:val="80"/>
        <w:ind w:firstLine="480"/>
        <w:rPr>
          <w:sz w:val="24"/>
          <w:szCs w:val="24"/>
        </w:rPr>
      </w:pPr>
      <w:r>
        <w:rPr>
          <w:rFonts w:hint="eastAsia"/>
          <w:sz w:val="24"/>
          <w:szCs w:val="24"/>
        </w:rPr>
        <w:t>6、各投标人在投标文件中要结合本项目的特点和采购人上述的具体要求制定相应的管理措施，并在报价中列支相应的费用清单，投标人报价中未列支上述费用清单的，上述费用视为已包含在投标人的投标总报价中。</w:t>
      </w:r>
    </w:p>
    <w:p>
      <w:pPr>
        <w:pStyle w:val="80"/>
        <w:ind w:firstLine="480"/>
      </w:pPr>
      <w:r>
        <w:rPr>
          <w:rFonts w:hint="eastAsia"/>
          <w:sz w:val="24"/>
          <w:szCs w:val="24"/>
        </w:rPr>
        <w:t>7、本项目软件开发及调试将纳入采购人的管理范围，中标人在此过程中</w:t>
      </w:r>
      <w:r>
        <w:rPr>
          <w:rFonts w:hint="eastAsia"/>
          <w:sz w:val="24"/>
          <w:szCs w:val="24"/>
          <w:lang w:eastAsia="zh-CN"/>
        </w:rPr>
        <w:t>需</w:t>
      </w:r>
      <w:r>
        <w:rPr>
          <w:rFonts w:hint="eastAsia"/>
          <w:sz w:val="24"/>
          <w:szCs w:val="24"/>
        </w:rPr>
        <w:t>服从上述单位的管理协调。</w:t>
      </w:r>
    </w:p>
    <w:p>
      <w:pPr>
        <w:pStyle w:val="80"/>
        <w:ind w:firstLine="420"/>
      </w:pPr>
    </w:p>
    <w:p>
      <w:pPr>
        <w:pStyle w:val="2"/>
      </w:pPr>
      <w:bookmarkStart w:id="51" w:name="_Toc63785513"/>
      <w:r>
        <w:rPr>
          <w:rFonts w:hint="eastAsia"/>
        </w:rPr>
        <w:t>关于转让和分包的规定</w:t>
      </w:r>
    </w:p>
    <w:p>
      <w:r>
        <w:rPr>
          <w:rFonts w:hint="eastAsia"/>
        </w:rPr>
        <w:t>项目不得转让，不得分包。</w:t>
      </w:r>
    </w:p>
    <w:p>
      <w:pPr>
        <w:pStyle w:val="2"/>
      </w:pPr>
      <w:r>
        <w:rPr>
          <w:rFonts w:hint="eastAsia"/>
        </w:rPr>
        <w:t>知识产权及保密要求</w:t>
      </w:r>
      <w:bookmarkEnd w:id="51"/>
    </w:p>
    <w:p>
      <w:pPr>
        <w:ind w:firstLine="482"/>
        <w:rPr>
          <w:b/>
        </w:rPr>
      </w:pPr>
      <w:r>
        <w:rPr>
          <w:b/>
        </w:rPr>
        <w:t>1、中标人数据、文件、资料知识产权</w:t>
      </w:r>
    </w:p>
    <w:p>
      <w:r>
        <w:rPr>
          <w:rFonts w:hint="eastAsia"/>
        </w:rPr>
        <w:t>中标人保证其所提供的服务和交付的成果以及在履行本项目义务中使用到的所有数据、文件、信息不会引起任何第三方在专利权、著作权、商标权等知识产权方面向采购人或采购人的关联方及合作方（包括但不限于采购人的主管单位和采购人的合作单位等）发出侵权指控或提出索赔。若有，中标人应负责与第三方解决纠纷，若因此导致采购人损失的，采购人有权要求中标人赔偿采购人因此遭受的全部损失，包括但不限于直接损失、间接损失、诉讼费／仲裁费、律师费、公证费、鉴定费等。</w:t>
      </w:r>
    </w:p>
    <w:p>
      <w:r>
        <w:rPr>
          <w:rFonts w:hint="eastAsia"/>
        </w:rPr>
        <w:t>中标人因履行本项目而产生的所有成果的知识产权等权利均归采购人所有，中标人应配合采购人进行相关权利登记或申请。未经采购人书面同意，中标人不得以任何形式使用或许可他人使用本项目成果的相关内容，不得擅自对外公开发表或向任何第三方透露。</w:t>
      </w:r>
    </w:p>
    <w:p>
      <w:r>
        <w:rPr>
          <w:rFonts w:hint="eastAsia"/>
        </w:rPr>
        <w:t>在不影响上述条款规定的由采购人取得所有成果的知识产权的前提下，双方因履行本项目而被授权接触或使用对方之知识产权（包括但不限于商标、专利、著作权等），和/或任何其他相关资料、数据等涉及的任何权利，均不视为向另一方转让上述权利或在本项目范围外授权许可另一方使用上述权利，上述权利仍应属于提供方，并仅可使用于本项目，被授权接触或使用方未经提供方书面同意，不得擅自挪作他用。</w:t>
      </w:r>
    </w:p>
    <w:p>
      <w:pPr>
        <w:ind w:firstLine="482"/>
        <w:rPr>
          <w:b/>
        </w:rPr>
      </w:pPr>
      <w:r>
        <w:rPr>
          <w:b/>
        </w:rPr>
        <w:t>2、项目保密要求</w:t>
      </w:r>
    </w:p>
    <w:p>
      <w:r>
        <w:rPr>
          <w:rFonts w:hint="eastAsia"/>
        </w:rPr>
        <w:t>中标人因履行本项目而知悉的所有数据、信息和资料（包括但不限于账号信息、图表、文字、计算过程、任何形式的文件、访谈记录、现场实测数据、采购人相关工作程序等）以及因履行本项目而形成的数据、信息和任何形式的工作成果，均是采购人要求保密的信息。未经采购人书面同意，中标人不得对外泄露采购人要求保密的信息，不得用于其他用途，否则中标人需承担由此引起的法律责任和经济责任，包括但不限于直接损失、间接损失、律师费、诉讼费/仲裁费、调查费、公证费等。</w:t>
      </w:r>
    </w:p>
    <w:p>
      <w:r>
        <w:rPr>
          <w:rFonts w:hint="eastAsia"/>
        </w:rPr>
        <w:t>中标人应采取必要的有效措施保证其参与本项目的人员（包括中标人聘用的人员、借调的人员、实习的人员）无论是在职或离职后，以及中标人的合作方无论是合作中或合作终止后，都能够履行本项目约定的保密义务。若中标人人员或中标人合作方违反保密规定，中标人应承担连带责任。</w:t>
      </w:r>
    </w:p>
    <w:p>
      <w:r>
        <w:rPr>
          <w:rFonts w:hint="eastAsia"/>
        </w:rPr>
        <w:t>中标人（含中标人参与本项目的人员以及其合作方）未经采购方书面许可，不得以任何形式自行使用或以任何方式向第三方披露、转让、授权、出售与本项目有关的技术成果、计算机软件、源代码、策划文档、技术诀窍、秘密信息、技术资料和其他文件。</w:t>
      </w:r>
    </w:p>
    <w:p>
      <w:r>
        <w:rPr>
          <w:rFonts w:hint="eastAsia"/>
        </w:rPr>
        <w:t>以上内容的保密期限自中标人知悉保密信息起始至保密信息被合法公开之日止。</w:t>
      </w:r>
    </w:p>
    <w:p>
      <w:pPr>
        <w:ind w:firstLine="482"/>
        <w:rPr>
          <w:b/>
        </w:rPr>
      </w:pPr>
      <w:r>
        <w:rPr>
          <w:b/>
        </w:rPr>
        <w:t>3、临时账号等使用要求</w:t>
      </w:r>
    </w:p>
    <w:p>
      <w:r>
        <w:rPr>
          <w:rFonts w:hint="eastAsia"/>
        </w:rPr>
        <w:t>中标人对采购人提拱的临时使用账号要保密，不得公开，对组件开发的账号密码需进行加密，避免信息安全的泄露。未经采购人的同意不得利用采购人的网络及平台进行短信、彩信、微信发送</w:t>
      </w:r>
      <w:r>
        <w:t>,造成的一切后果由中标人负责。</w:t>
      </w:r>
    </w:p>
    <w:p>
      <w:pPr>
        <w:rPr>
          <w:rFonts w:hint="eastAsia" w:eastAsia="宋体"/>
          <w:lang w:val="en-US" w:eastAsia="zh-CN"/>
        </w:rPr>
      </w:pPr>
      <w:r>
        <w:rPr>
          <w:rFonts w:hint="eastAsia"/>
          <w:lang w:val="en-US" w:eastAsia="zh-CN"/>
        </w:rPr>
        <w:t>4、需对产品的知识产权归属做出承诺</w:t>
      </w:r>
    </w:p>
    <w:p>
      <w:pPr>
        <w:pStyle w:val="2"/>
      </w:pPr>
      <w:bookmarkStart w:id="52" w:name="_Toc65170093"/>
      <w:r>
        <w:t>项目的变更、解除和终止</w:t>
      </w:r>
    </w:p>
    <w:p>
      <w:r>
        <w:rPr>
          <w:rFonts w:hint="eastAsia"/>
        </w:rPr>
        <w:t>如果中标人丧失履约能力、发生资不抵债或进入破产程序，采购人可在任何时候以书面形式通知中标人终止本项目的执行而不给予中标人补偿。该终止本项目将不损害或影响采购人已经采取或将要采取任何行动或补救措施的权利。</w:t>
      </w:r>
    </w:p>
    <w:p>
      <w:r>
        <w:rPr>
          <w:rFonts w:hint="eastAsia"/>
        </w:rPr>
        <w:t>如遇国家、行业管理部门等机构的有关标准和规定调整的，导致本项目内容</w:t>
      </w:r>
      <w:r>
        <w:rPr>
          <w:rFonts w:hint="eastAsia"/>
          <w:lang w:eastAsia="zh-CN"/>
        </w:rPr>
        <w:t>需</w:t>
      </w:r>
      <w:r>
        <w:rPr>
          <w:rFonts w:hint="eastAsia"/>
        </w:rPr>
        <w:t>做相应调整时，双方应按照公平、合理的原则共同协商修改本项目对应的合同的相关条款。</w:t>
      </w:r>
    </w:p>
    <w:p>
      <w:pPr>
        <w:pStyle w:val="2"/>
      </w:pPr>
      <w:r>
        <w:rPr>
          <w:rFonts w:hint="eastAsia"/>
        </w:rPr>
        <w:t>违约责任</w:t>
      </w:r>
      <w:bookmarkEnd w:id="52"/>
    </w:p>
    <w:p>
      <w:r>
        <w:t>1、如中标人未按约定的时间或服务标准完成建设工作，采购人可要求中标人在规定的时间内采取补救措施。中标人还应向采购人支付本项目费用总额30%的违约金，违约金不足以弥补采购人损失的，采购人有权要求中标人赔偿超过部分。</w:t>
      </w:r>
    </w:p>
    <w:p>
      <w:r>
        <w:t>2、因中标人违反保密义务或知识产权约定的，采购人有权要求中标人支付本项目费用总额30%的违约金，违约金不足以弥补采购人损失的，采购人有权要求中标人赔偿超过部分。若中标人违反保密义务，采购人还有权立即单方解除合同而不承担任何违约责任。</w:t>
      </w:r>
    </w:p>
    <w:p>
      <w:r>
        <w:t>3、中标人有其他违反本项目合同约定的行为，中标人应当支付本项目总价款金额的20%作为违约金，违约金不足以弥补采购人损失的，采购人有权要求中标人赔偿超过部分。</w:t>
      </w:r>
    </w:p>
    <w:p>
      <w:r>
        <w:t>4、中标人有下列情形之一，采购人有权解除合同：</w:t>
      </w:r>
    </w:p>
    <w:p>
      <w:r>
        <w:rPr>
          <w:rFonts w:hint="eastAsia"/>
        </w:rPr>
        <w:t>（1</w:t>
      </w:r>
      <w:r>
        <w:t>）因中标人服务质量问题导致采购人无法实现目的；</w:t>
      </w:r>
    </w:p>
    <w:p>
      <w:r>
        <w:rPr>
          <w:rFonts w:hint="eastAsia"/>
        </w:rPr>
        <w:t>（2</w:t>
      </w:r>
      <w:r>
        <w:t>）擅自转让或者分包其应履行的义务的；</w:t>
      </w:r>
    </w:p>
    <w:p>
      <w:r>
        <w:rPr>
          <w:rFonts w:hint="eastAsia"/>
        </w:rPr>
        <w:t>（3</w:t>
      </w:r>
      <w:r>
        <w:t>）违反或者未履行本项目合同约定的其他相关义务，且在采购人要求的合理时间内未能纠正的。</w:t>
      </w:r>
    </w:p>
    <w:p>
      <w:pPr>
        <w:pStyle w:val="2"/>
      </w:pPr>
      <w:bookmarkStart w:id="53" w:name="_Toc63785514"/>
      <w:r>
        <w:rPr>
          <w:rFonts w:hint="eastAsia"/>
        </w:rPr>
        <w:t>付款</w:t>
      </w:r>
      <w:bookmarkEnd w:id="53"/>
      <w:r>
        <w:rPr>
          <w:rFonts w:hint="eastAsia"/>
        </w:rPr>
        <w:t>方式</w:t>
      </w:r>
    </w:p>
    <w:p>
      <w:r>
        <w:rPr>
          <w:rFonts w:hint="eastAsia"/>
        </w:rPr>
        <w:t>本合同采用两期分期付款</w:t>
      </w:r>
    </w:p>
    <w:p>
      <w:r>
        <w:t>a.合同签订生效后10个工作日内，支付合同总价款的70%；</w:t>
      </w:r>
    </w:p>
    <w:p>
      <w:r>
        <w:t>b.通过最终验收后 10个工作日内，支付合同总价款的30%。</w:t>
      </w:r>
    </w:p>
    <w:p>
      <w:r>
        <w:rPr>
          <w:rFonts w:hint="eastAsia"/>
        </w:rPr>
        <w:t>付款条件备注：服务提供方应当在采购方每次付款前提前至少</w:t>
      </w:r>
      <w:r>
        <w:t>20个工作日向采购方提供有效发票。</w:t>
      </w:r>
    </w:p>
    <w:p>
      <w:pPr>
        <w:pStyle w:val="2"/>
      </w:pPr>
      <w:bookmarkStart w:id="54" w:name="_Toc68798863"/>
      <w:r>
        <w:rPr>
          <w:rFonts w:hint="eastAsia"/>
        </w:rPr>
        <w:t>附录</w:t>
      </w:r>
      <w:bookmarkEnd w:id="54"/>
    </w:p>
    <w:p>
      <w:pPr>
        <w:ind w:firstLine="482"/>
        <w:rPr>
          <w:b/>
        </w:rPr>
      </w:pPr>
      <w:r>
        <w:rPr>
          <w:rFonts w:hint="eastAsia"/>
          <w:b/>
        </w:rPr>
        <w:t>若项目建设过程中需符合相关技术标准或规范文件的要求，请将相关文件作为附件列出。</w:t>
      </w:r>
    </w:p>
    <w:p>
      <w:pPr>
        <w:ind w:firstLine="482"/>
      </w:pPr>
      <w:r>
        <w:rPr>
          <w:rFonts w:hint="eastAsia"/>
          <w:b/>
        </w:rPr>
        <w:t>参考如下：</w:t>
      </w:r>
    </w:p>
    <w:p>
      <w:pPr>
        <w:ind w:firstLine="0" w:firstLineChars="0"/>
      </w:pPr>
      <w:r>
        <w:rPr>
          <w:rFonts w:hint="eastAsia"/>
        </w:rPr>
        <w:t>1、</w:t>
      </w:r>
      <w:r>
        <w:t>《政务网络安全监测平台总体技术要求》</w:t>
      </w:r>
    </w:p>
    <w:p>
      <w:pPr>
        <w:ind w:firstLine="0" w:firstLineChars="0"/>
      </w:pPr>
      <w:r>
        <w:object>
          <v:shape id="_x0000_i1025" o:spt="75" type="#_x0000_t75" style="height:54.2pt;width:76.35pt;" o:ole="t" filled="f" o:preferrelative="t" stroked="f" coordsize="21600,21600">
            <v:path/>
            <v:fill on="f" focussize="0,0"/>
            <v:stroke on="f" joinstyle="miter"/>
            <v:imagedata r:id="rId19" o:title=""/>
            <o:lock v:ext="edit" aspectratio="t"/>
            <w10:wrap type="none"/>
            <w10:anchorlock/>
          </v:shape>
          <o:OLEObject Type="Embed" ProgID="Package" ShapeID="_x0000_i1025" DrawAspect="Icon" ObjectID="_1468075725" r:id="rId18">
            <o:LockedField>false</o:LockedField>
          </o:OLEObject>
        </w:object>
      </w:r>
    </w:p>
    <w:p>
      <w:pPr>
        <w:ind w:firstLine="0" w:firstLineChars="0"/>
      </w:pPr>
    </w:p>
    <w:p>
      <w:pPr>
        <w:ind w:firstLine="0" w:firstLineChars="0"/>
        <w:jc w:val="left"/>
      </w:pPr>
      <w:r>
        <w:rPr>
          <w:rFonts w:hint="eastAsia"/>
        </w:rPr>
        <w:t>2、《上海市电子政务外网建设和运行管理指南（试行）》</w:t>
      </w:r>
    </w:p>
    <w:p>
      <w:pPr>
        <w:ind w:firstLine="0" w:firstLineChars="0"/>
        <w:jc w:val="left"/>
      </w:pPr>
      <w:r>
        <w:object>
          <v:shape id="_x0000_i1026" o:spt="75" type="#_x0000_t75" style="height:54.2pt;width:76.35pt;" o:ole="t" filled="f" o:preferrelative="t" stroked="f" coordsize="21600,21600">
            <v:path/>
            <v:fill on="f" focussize="0,0"/>
            <v:stroke on="f" joinstyle="miter"/>
            <v:imagedata r:id="rId21" o:title=""/>
            <o:lock v:ext="edit" aspectratio="t"/>
            <w10:wrap type="none"/>
            <w10:anchorlock/>
          </v:shape>
          <o:OLEObject Type="Embed" ProgID="Package" ShapeID="_x0000_i1026" DrawAspect="Icon" ObjectID="_1468075726" r:id="rId20">
            <o:LockedField>false</o:LockedField>
          </o:OLEObject>
        </w:object>
      </w:r>
    </w:p>
    <w:p>
      <w:pPr>
        <w:ind w:firstLine="0" w:firstLineChars="0"/>
        <w:jc w:val="left"/>
        <w:rPr>
          <w:b/>
          <w:bCs/>
        </w:rPr>
      </w:pPr>
      <w:r>
        <w:rPr>
          <w:rFonts w:hint="eastAsia"/>
        </w:rPr>
        <w:t>3、其他标准</w:t>
      </w:r>
    </w:p>
    <w:sectPr>
      <w:footerReference r:id="rId13" w:type="first"/>
      <w:pgSz w:w="11906" w:h="16838"/>
      <w:pgMar w:top="1134" w:right="1797" w:bottom="1135" w:left="1797" w:header="340" w:footer="7" w:gutter="0"/>
      <w:pgNumType w:start="1"/>
      <w:cols w:space="720" w:num="1"/>
      <w:titlePg/>
      <w:docGrid w:type="linesAndChars" w:linePitch="326"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方正书宋_GBK"/>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altName w:val="DejaVu Sans"/>
    <w:panose1 w:val="020B0604020202020204"/>
    <w:charset w:val="01"/>
    <w:family w:val="swiss"/>
    <w:pitch w:val="default"/>
    <w:sig w:usb0="E0002AFF" w:usb1="C0007843" w:usb2="00000009" w:usb3="00000000" w:csb0="400001FF" w:csb1="FFFF0000"/>
  </w:font>
  <w:font w:name="黑体">
    <w:altName w:val="方正黑体_GBK"/>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2000609000000000000"/>
    <w:charset w:val="02"/>
    <w:family w:val="roman"/>
    <w:pitch w:val="default"/>
    <w:sig w:usb0="800000AF" w:usb1="4000204A" w:usb2="00000000" w:usb3="00000000" w:csb0="20000000" w:csb1="00000000"/>
  </w:font>
  <w:font w:name="DejaVu Sans">
    <w:panose1 w:val="020B0603030804020204"/>
    <w:charset w:val="00"/>
    <w:family w:val="auto"/>
    <w:pitch w:val="default"/>
    <w:sig w:usb0="E7006EFF" w:usb1="D200FDFF" w:usb2="0A246029" w:usb3="0400200C" w:csb0="600001FF" w:csb1="DFFF0000"/>
  </w:font>
  <w:font w:name="Calibri">
    <w:altName w:val="DejaVu Sans"/>
    <w:panose1 w:val="020F0502020204030204"/>
    <w:charset w:val="00"/>
    <w:family w:val="swiss"/>
    <w:pitch w:val="default"/>
    <w:sig w:usb0="00000000" w:usb1="00000000" w:usb2="00000001" w:usb3="00000000" w:csb0="0000019F" w:csb1="00000000"/>
  </w:font>
  <w:font w:name="方正书宋_GBK">
    <w:panose1 w:val="02000000000000000000"/>
    <w:charset w:val="86"/>
    <w:family w:val="auto"/>
    <w:pitch w:val="default"/>
    <w:sig w:usb0="00000001" w:usb1="08000000" w:usb2="00000000" w:usb3="00000000" w:csb0="00040000" w:csb1="00000000"/>
  </w:font>
  <w:font w:name="方正黑体_GBK">
    <w:panose1 w:val="02000000000000000000"/>
    <w:charset w:val="86"/>
    <w:family w:val="auto"/>
    <w:pitch w:val="default"/>
    <w:sig w:usb0="00000001" w:usb1="08000000" w:usb2="00000000" w:usb3="00000000" w:csb0="00040000" w:csb1="00000000"/>
  </w:font>
  <w:font w:name="Cambria">
    <w:altName w:val="Noto Sans Syriac Eastern"/>
    <w:panose1 w:val="02040503050406030204"/>
    <w:charset w:val="00"/>
    <w:family w:val="roman"/>
    <w:pitch w:val="default"/>
    <w:sig w:usb0="00000000" w:usb1="00000000" w:usb2="02000000" w:usb3="00000000" w:csb0="0000019F" w:csb1="00000000"/>
  </w:font>
  <w:font w:name="Noto Sans Syriac Eastern">
    <w:panose1 w:val="02040503050306020203"/>
    <w:charset w:val="86"/>
    <w:family w:val="auto"/>
    <w:pitch w:val="default"/>
    <w:sig w:usb0="00000000" w:usb1="00000000" w:usb2="00000080" w:usb3="00000000" w:csb0="203E0161" w:csb1="D7FF0000"/>
  </w:font>
  <w:font w:name="等线">
    <w:altName w:val="华文中宋"/>
    <w:panose1 w:val="02010600030101010101"/>
    <w:charset w:val="86"/>
    <w:family w:val="auto"/>
    <w:pitch w:val="default"/>
    <w:sig w:usb0="00000000" w:usb1="00000000" w:usb2="00000016" w:usb3="00000000" w:csb0="0004000F" w:csb1="00000000"/>
  </w:font>
  <w:font w:name="华文中宋">
    <w:panose1 w:val="02010600040101010101"/>
    <w:charset w:val="86"/>
    <w:family w:val="auto"/>
    <w:pitch w:val="default"/>
    <w:sig w:usb0="00000287" w:usb1="080F0000" w:usb2="00000000" w:usb3="00000000" w:csb0="0004009F" w:csb1="DFD70000"/>
  </w:font>
  <w:font w:name="仿宋">
    <w:altName w:val="方正仿宋_GBK"/>
    <w:panose1 w:val="02010609060101010101"/>
    <w:charset w:val="86"/>
    <w:family w:val="modern"/>
    <w:pitch w:val="default"/>
    <w:sig w:usb0="00000000" w:usb1="00000000" w:usb2="00000016" w:usb3="00000000" w:csb0="00040001" w:csb1="00000000"/>
  </w:font>
  <w:font w:name="方正仿宋_GBK">
    <w:panose1 w:val="02000000000000000000"/>
    <w:charset w:val="86"/>
    <w:family w:val="auto"/>
    <w:pitch w:val="default"/>
    <w:sig w:usb0="00000001" w:usb1="08000000" w:usb2="00000000" w:usb3="00000000" w:csb0="00040000" w:csb1="00000000"/>
  </w:font>
  <w:font w:name="Calibri Light">
    <w:altName w:val="DejaVu Sans"/>
    <w:panose1 w:val="020F0302020204030204"/>
    <w:charset w:val="00"/>
    <w:family w:val="swiss"/>
    <w:pitch w:val="default"/>
    <w:sig w:usb0="00000000" w:usb1="00000000" w:usb2="00000009" w:usb3="00000000" w:csb0="000001FF" w:csb1="00000000"/>
  </w:font>
  <w:font w:name="Arial Unicode MS">
    <w:altName w:val="DejaVu Sans"/>
    <w:panose1 w:val="020B0604020202020204"/>
    <w:charset w:val="86"/>
    <w:family w:val="swiss"/>
    <w:pitch w:val="default"/>
    <w:sig w:usb0="00000000" w:usb1="00000000" w:usb2="0000003F" w:usb3="00000000" w:csb0="003F01FF" w:csb1="00000000"/>
  </w:font>
  <w:font w:name="等线 Light">
    <w:altName w:val="华文中宋"/>
    <w:panose1 w:val="02010600030101010101"/>
    <w:charset w:val="86"/>
    <w:family w:val="auto"/>
    <w:pitch w:val="default"/>
    <w:sig w:usb0="00000000" w:usb1="00000000" w:usb2="00000016" w:usb3="00000000" w:csb0="0004000F" w:csb1="00000000"/>
  </w:font>
  <w:font w:name="time">
    <w:altName w:val="华文中宋"/>
    <w:panose1 w:val="00000000000000000000"/>
    <w:charset w:val="00"/>
    <w:family w:val="roman"/>
    <w:pitch w:val="default"/>
    <w:sig w:usb0="00000000" w:usb1="00000000" w:usb2="00000000" w:usb3="00000000" w:csb0="00040001" w:csb1="00000000"/>
  </w:font>
  <w:font w:name="Microsoft YaHei UI">
    <w:altName w:val="文泉驿微米黑"/>
    <w:panose1 w:val="020B0503020204020204"/>
    <w:charset w:val="86"/>
    <w:family w:val="swiss"/>
    <w:pitch w:val="default"/>
    <w:sig w:usb0="00000000" w:usb1="00000000" w:usb2="00000016" w:usb3="00000000" w:csb0="0004001F" w:csb1="00000000"/>
  </w:font>
  <w:font w:name="文泉驿微米黑">
    <w:panose1 w:val="020B0606030804020204"/>
    <w:charset w:val="86"/>
    <w:family w:val="auto"/>
    <w:pitch w:val="default"/>
    <w:sig w:usb0="E10002EF" w:usb1="6BDFFCFB" w:usb2="00800036" w:usb3="00000000" w:csb0="603E019F" w:csb1="DFD70000"/>
  </w:font>
  <w:font w:name="Microsoft Sans Serif">
    <w:altName w:val="Liberation Sans"/>
    <w:panose1 w:val="020B0604020202020204"/>
    <w:charset w:val="00"/>
    <w:family w:val="swiss"/>
    <w:pitch w:val="default"/>
    <w:sig w:usb0="00000000" w:usb1="00000000" w:usb2="00000029" w:usb3="00000000" w:csb0="000101FF" w:csb1="00000000"/>
  </w:font>
  <w:font w:name="Liberation Sans">
    <w:panose1 w:val="020B0604020202020204"/>
    <w:charset w:val="00"/>
    <w:family w:val="auto"/>
    <w:pitch w:val="default"/>
    <w:sig w:usb0="A00002AF" w:usb1="500078FB" w:usb2="00000000" w:usb3="00000000" w:csb0="6000009F" w:csb1="DFD70000"/>
  </w:font>
  <w:font w:name="楷体_GB2312">
    <w:panose1 w:val="02010609030101010101"/>
    <w:charset w:val="86"/>
    <w:family w:val="modern"/>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Liberation Serif">
    <w:panose1 w:val="02020603050405020304"/>
    <w:charset w:val="00"/>
    <w:family w:val="auto"/>
    <w:pitch w:val="default"/>
    <w:sig w:usb0="A00002AF" w:usb1="500078FB" w:usb2="00000000" w:usb3="00000000" w:csb0="6000009F" w:csb1="DFD70000"/>
  </w:font>
  <w:font w:name="微软雅黑">
    <w:altName w:val="方正黑体_GBK"/>
    <w:panose1 w:val="00000000000000000000"/>
    <w:charset w:val="00"/>
    <w:family w:val="auto"/>
    <w:pitch w:val="default"/>
    <w:sig w:usb0="00000000" w:usb1="00000000" w:usb2="00000000" w:usb3="00000000" w:csb0="00000000" w:csb1="00000000"/>
  </w:font>
  <w:font w:name="Tahoma">
    <w:altName w:val="DejaVu Sans"/>
    <w:panose1 w:val="00000000000000000000"/>
    <w:charset w:val="00"/>
    <w:family w:val="auto"/>
    <w:pitch w:val="default"/>
    <w:sig w:usb0="00000000" w:usb1="00000000" w:usb2="00000000" w:usb3="00000000" w:csb0="00000000" w:csb1="00000000"/>
  </w:font>
  <w:font w:name="Arial">
    <w:altName w:val="DejaVu Sans"/>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0" w:firstLineChars="0"/>
      <w:jc w:val="center"/>
    </w:pPr>
    <w:r>
      <w:fldChar w:fldCharType="begin"/>
    </w:r>
    <w:r>
      <w:instrText xml:space="preserve">PAGE   \* MERGEFORMAT</w:instrText>
    </w:r>
    <w:r>
      <w:fldChar w:fldCharType="separate"/>
    </w:r>
    <w:r>
      <w:rPr>
        <w:lang w:val="zh-CN"/>
      </w:rPr>
      <w:t>11</w:t>
    </w:r>
    <w:r>
      <w:rPr>
        <w:lang w:val="zh-CN"/>
      </w:rPr>
      <w:fldChar w:fldCharType="end"/>
    </w:r>
  </w:p>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0" w:firstLineChars="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81853146"/>
    </w:sdtPr>
    <w:sdtContent>
      <w:p>
        <w:pPr>
          <w:pStyle w:val="24"/>
          <w:spacing w:before="120" w:after="120"/>
          <w:ind w:left="560" w:firstLine="360"/>
        </w:pPr>
        <w:r>
          <w:fldChar w:fldCharType="begin"/>
        </w:r>
        <w:r>
          <w:instrText xml:space="preserve">PAGE   \* MERGEFORMAT</w:instrText>
        </w:r>
        <w:r>
          <w:fldChar w:fldCharType="separate"/>
        </w:r>
        <w:r>
          <w:rPr>
            <w:lang w:val="zh-CN"/>
          </w:rPr>
          <w:t>12</w:t>
        </w:r>
        <w:r>
          <w:fldChar w:fldCharType="end"/>
        </w:r>
      </w:p>
    </w:sdtContent>
  </w:sdt>
  <w:p>
    <w:pPr>
      <w:pStyle w:val="24"/>
      <w:spacing w:before="120" w:after="120"/>
      <w:ind w:firstLine="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0" w:firstLineChars="0"/>
      <w:jc w:val="center"/>
      <w:rPr>
        <w:lang w:val="zh-CN"/>
      </w:rPr>
    </w:pPr>
    <w:r>
      <w:rPr>
        <w:lang w:val="zh-CN"/>
      </w:rPr>
      <w:fldChar w:fldCharType="begin"/>
    </w:r>
    <w:r>
      <w:rPr>
        <w:lang w:val="zh-CN"/>
      </w:rPr>
      <w:instrText xml:space="preserve">PAGE   \* MERGEFORMAT</w:instrText>
    </w:r>
    <w:r>
      <w:rPr>
        <w:lang w:val="zh-CN"/>
      </w:rPr>
      <w:fldChar w:fldCharType="separate"/>
    </w:r>
    <w:r>
      <w:rPr>
        <w:lang w:val="zh-CN"/>
      </w:rPr>
      <w:t>1</w:t>
    </w:r>
    <w:r>
      <w:rPr>
        <w:lang w:val="zh-CN"/>
      </w:rPr>
      <w:fldChar w:fldCharType="end"/>
    </w:r>
  </w:p>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pBdr>
        <w:bottom w:val="none" w:color="auto" w:sz="0" w:space="0"/>
      </w:pBdr>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pBdr>
        <w:bottom w:val="none" w:color="auto" w:sz="0" w:space="0"/>
      </w:pBdr>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spacing w:before="120" w:after="120"/>
      <w:ind w:firstLine="360"/>
    </w:pPr>
    <w:r>
      <w:rPr>
        <w:rFonts w:hint="eastAsia"/>
      </w:rPr>
      <w:t>上海市统计局统计云工程上海联网直报节点子系统建设项目可行性研究报告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ABCC7CA"/>
    <w:multiLevelType w:val="singleLevel"/>
    <w:tmpl w:val="8ABCC7CA"/>
    <w:lvl w:ilvl="0" w:tentative="0">
      <w:start w:val="1"/>
      <w:numFmt w:val="decimal"/>
      <w:lvlText w:val="%1)"/>
      <w:lvlJc w:val="left"/>
      <w:pPr>
        <w:ind w:left="425" w:hanging="425"/>
      </w:pPr>
      <w:rPr>
        <w:rFonts w:hint="default"/>
      </w:rPr>
    </w:lvl>
  </w:abstractNum>
  <w:abstractNum w:abstractNumId="1">
    <w:nsid w:val="6350366A"/>
    <w:multiLevelType w:val="multilevel"/>
    <w:tmpl w:val="6350366A"/>
    <w:lvl w:ilvl="0" w:tentative="0">
      <w:start w:val="1"/>
      <w:numFmt w:val="none"/>
      <w:pStyle w:val="112"/>
      <w:lvlText w:val="%1●　"/>
      <w:lvlJc w:val="left"/>
      <w:pPr>
        <w:tabs>
          <w:tab w:val="left" w:pos="760"/>
        </w:tabs>
        <w:ind w:left="717" w:hanging="317"/>
      </w:pPr>
      <w:rPr>
        <w:rFonts w:hint="eastAsia" w:ascii="宋体" w:hAnsi="Times New Roman" w:eastAsia="宋体"/>
        <w:b w:val="0"/>
        <w:i w:val="0"/>
        <w:position w:val="4"/>
        <w:sz w:val="13"/>
      </w:rPr>
    </w:lvl>
    <w:lvl w:ilvl="1" w:tentative="0">
      <w:start w:val="1"/>
      <w:numFmt w:val="lowerLetter"/>
      <w:lvlText w:val="%2)"/>
      <w:lvlJc w:val="left"/>
      <w:pPr>
        <w:tabs>
          <w:tab w:val="left" w:pos="780"/>
        </w:tabs>
        <w:ind w:left="780" w:hanging="360"/>
      </w:pPr>
      <w:rPr>
        <w:rFonts w:hint="eastAsia"/>
      </w:rPr>
    </w:lvl>
    <w:lvl w:ilvl="2" w:tentative="0">
      <w:start w:val="1"/>
      <w:numFmt w:val="decimal"/>
      <w:lvlText w:val="%3)"/>
      <w:lvlJc w:val="left"/>
      <w:pPr>
        <w:tabs>
          <w:tab w:val="left" w:pos="1200"/>
        </w:tabs>
        <w:ind w:left="1200" w:hanging="360"/>
      </w:pPr>
      <w:rPr>
        <w:rFonts w:hint="eastAsia"/>
      </w:r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
    <w:nsid w:val="6A2F4AB3"/>
    <w:multiLevelType w:val="multilevel"/>
    <w:tmpl w:val="6A2F4AB3"/>
    <w:lvl w:ilvl="0" w:tentative="0">
      <w:start w:val="1"/>
      <w:numFmt w:val="chineseCountingThousand"/>
      <w:pStyle w:val="2"/>
      <w:suff w:val="nothing"/>
      <w:lvlText w:val="%1、"/>
      <w:lvlJc w:val="left"/>
      <w:pPr>
        <w:ind w:left="0" w:hanging="425"/>
      </w:pPr>
      <w:rPr>
        <w:rFonts w:hint="eastAsia"/>
        <w:sz w:val="32"/>
        <w:szCs w:val="32"/>
      </w:rPr>
    </w:lvl>
    <w:lvl w:ilvl="1" w:tentative="0">
      <w:start w:val="1"/>
      <w:numFmt w:val="decimal"/>
      <w:pStyle w:val="3"/>
      <w:isLgl/>
      <w:suff w:val="nothing"/>
      <w:lvlText w:val="%1.%2、"/>
      <w:lvlJc w:val="left"/>
      <w:pPr>
        <w:ind w:left="1135" w:hanging="567"/>
      </w:pPr>
    </w:lvl>
    <w:lvl w:ilvl="2" w:tentative="0">
      <w:start w:val="1"/>
      <w:numFmt w:val="decimal"/>
      <w:pStyle w:val="4"/>
      <w:isLgl/>
      <w:suff w:val="nothing"/>
      <w:lvlText w:val="%1.%2.%3、"/>
      <w:lvlJc w:val="left"/>
      <w:pPr>
        <w:ind w:left="1069" w:hanging="1069"/>
      </w:pPr>
      <w:rPr>
        <w:rFonts w:hint="default" w:ascii="宋体" w:hAnsi="宋体" w:eastAsia="宋体" w:cs="Arial"/>
      </w:rPr>
    </w:lvl>
    <w:lvl w:ilvl="3" w:tentative="0">
      <w:start w:val="1"/>
      <w:numFmt w:val="decimal"/>
      <w:pStyle w:val="5"/>
      <w:isLgl/>
      <w:suff w:val="nothing"/>
      <w:lvlText w:val="%1.%2.%3.%4、"/>
      <w:lvlJc w:val="left"/>
      <w:pPr>
        <w:ind w:left="3403" w:hanging="851"/>
      </w:pPr>
    </w:lvl>
    <w:lvl w:ilvl="4" w:tentative="0">
      <w:start w:val="1"/>
      <w:numFmt w:val="decimal"/>
      <w:pStyle w:val="6"/>
      <w:isLgl/>
      <w:suff w:val="nothing"/>
      <w:lvlText w:val="%1.%2.%3.%4.%5、"/>
      <w:lvlJc w:val="left"/>
      <w:pPr>
        <w:ind w:left="3544" w:hanging="992"/>
      </w:pPr>
      <w:rPr>
        <w:rFonts w:hint="eastAsia"/>
      </w:rPr>
    </w:lvl>
    <w:lvl w:ilvl="5" w:tentative="0">
      <w:start w:val="1"/>
      <w:numFmt w:val="decimal"/>
      <w:pStyle w:val="7"/>
      <w:isLgl/>
      <w:suff w:val="nothing"/>
      <w:lvlText w:val="%1.%2.%3.%4.%5.%6、"/>
      <w:lvlJc w:val="left"/>
      <w:pPr>
        <w:ind w:left="1134" w:hanging="1134"/>
      </w:pPr>
      <w:rPr>
        <w:rFonts w:hint="eastAsia"/>
      </w:rPr>
    </w:lvl>
    <w:lvl w:ilvl="6" w:tentative="0">
      <w:start w:val="1"/>
      <w:numFmt w:val="decimal"/>
      <w:isLgl/>
      <w:lvlText w:val="%1.%2.%3.%4.%5.%6.%7"/>
      <w:lvlJc w:val="left"/>
      <w:pPr>
        <w:tabs>
          <w:tab w:val="left" w:pos="1800"/>
        </w:tabs>
        <w:ind w:left="1276" w:hanging="1276"/>
      </w:pPr>
      <w:rPr>
        <w:rFonts w:hint="eastAsia"/>
      </w:rPr>
    </w:lvl>
    <w:lvl w:ilvl="7" w:tentative="0">
      <w:start w:val="1"/>
      <w:numFmt w:val="decimal"/>
      <w:isLgl/>
      <w:lvlText w:val="%1.%2.%3.%4.%5.%6.%7.%8"/>
      <w:lvlJc w:val="left"/>
      <w:pPr>
        <w:tabs>
          <w:tab w:val="left" w:pos="1800"/>
        </w:tabs>
        <w:ind w:left="1418" w:hanging="1418"/>
      </w:pPr>
      <w:rPr>
        <w:rFonts w:hint="eastAsia"/>
      </w:rPr>
    </w:lvl>
    <w:lvl w:ilvl="8" w:tentative="0">
      <w:start w:val="1"/>
      <w:numFmt w:val="decimal"/>
      <w:isLgl/>
      <w:lvlText w:val="%1.%2.%3.%4.%5.%6.%7.%8.%9"/>
      <w:lvlJc w:val="left"/>
      <w:pPr>
        <w:tabs>
          <w:tab w:val="left" w:pos="2160"/>
        </w:tabs>
        <w:ind w:left="1559" w:hanging="1559"/>
      </w:pPr>
      <w:rPr>
        <w:rFonts w:hint="eastAsia"/>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1"/>
  <w:documentProtection w:enforcement="0"/>
  <w:defaultTabStop w:val="420"/>
  <w:drawingGridHorizontalSpacing w:val="120"/>
  <w:drawingGridVerticalSpacing w:val="163"/>
  <w:displayHorizontalDrawingGridEvery w:val="2"/>
  <w:displayVerticalDrawingGridEvery w:val="2"/>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10C0"/>
    <w:rsid w:val="0000005A"/>
    <w:rsid w:val="00000AED"/>
    <w:rsid w:val="00003516"/>
    <w:rsid w:val="0000380E"/>
    <w:rsid w:val="00005AFD"/>
    <w:rsid w:val="00006563"/>
    <w:rsid w:val="000074F1"/>
    <w:rsid w:val="00007A41"/>
    <w:rsid w:val="00007DA7"/>
    <w:rsid w:val="00012EF0"/>
    <w:rsid w:val="000156DE"/>
    <w:rsid w:val="000165AD"/>
    <w:rsid w:val="000179E9"/>
    <w:rsid w:val="00020C18"/>
    <w:rsid w:val="00021EE6"/>
    <w:rsid w:val="0002280E"/>
    <w:rsid w:val="00022C74"/>
    <w:rsid w:val="00025122"/>
    <w:rsid w:val="000252D5"/>
    <w:rsid w:val="00026997"/>
    <w:rsid w:val="00027A64"/>
    <w:rsid w:val="00032D27"/>
    <w:rsid w:val="00035325"/>
    <w:rsid w:val="00035D5B"/>
    <w:rsid w:val="000378D0"/>
    <w:rsid w:val="00037F2C"/>
    <w:rsid w:val="00042C2A"/>
    <w:rsid w:val="000430EC"/>
    <w:rsid w:val="000447CB"/>
    <w:rsid w:val="00047915"/>
    <w:rsid w:val="00047D06"/>
    <w:rsid w:val="00050FBD"/>
    <w:rsid w:val="0005107A"/>
    <w:rsid w:val="0005192C"/>
    <w:rsid w:val="00052929"/>
    <w:rsid w:val="0005299F"/>
    <w:rsid w:val="000541D7"/>
    <w:rsid w:val="000545C0"/>
    <w:rsid w:val="00054A6D"/>
    <w:rsid w:val="000551BC"/>
    <w:rsid w:val="0005586D"/>
    <w:rsid w:val="000564A4"/>
    <w:rsid w:val="00056C0E"/>
    <w:rsid w:val="000574A8"/>
    <w:rsid w:val="000574F8"/>
    <w:rsid w:val="00057A49"/>
    <w:rsid w:val="0006231F"/>
    <w:rsid w:val="000624EF"/>
    <w:rsid w:val="00062A05"/>
    <w:rsid w:val="00062EE6"/>
    <w:rsid w:val="0006344E"/>
    <w:rsid w:val="000649E6"/>
    <w:rsid w:val="00066C9F"/>
    <w:rsid w:val="0006794B"/>
    <w:rsid w:val="00067DCA"/>
    <w:rsid w:val="00070063"/>
    <w:rsid w:val="0007087A"/>
    <w:rsid w:val="000710EC"/>
    <w:rsid w:val="00072098"/>
    <w:rsid w:val="00072237"/>
    <w:rsid w:val="00072ABE"/>
    <w:rsid w:val="00080B39"/>
    <w:rsid w:val="00083950"/>
    <w:rsid w:val="0008452F"/>
    <w:rsid w:val="00084E8E"/>
    <w:rsid w:val="00085A68"/>
    <w:rsid w:val="0008628D"/>
    <w:rsid w:val="00090625"/>
    <w:rsid w:val="00090948"/>
    <w:rsid w:val="00091CD1"/>
    <w:rsid w:val="0009460E"/>
    <w:rsid w:val="000951D4"/>
    <w:rsid w:val="00096954"/>
    <w:rsid w:val="000A2146"/>
    <w:rsid w:val="000A2930"/>
    <w:rsid w:val="000A3276"/>
    <w:rsid w:val="000A3C35"/>
    <w:rsid w:val="000A3E30"/>
    <w:rsid w:val="000A5876"/>
    <w:rsid w:val="000A61D0"/>
    <w:rsid w:val="000A6C67"/>
    <w:rsid w:val="000A6DB8"/>
    <w:rsid w:val="000A7596"/>
    <w:rsid w:val="000B11A8"/>
    <w:rsid w:val="000B1959"/>
    <w:rsid w:val="000B2E1C"/>
    <w:rsid w:val="000B4459"/>
    <w:rsid w:val="000B4B46"/>
    <w:rsid w:val="000B5363"/>
    <w:rsid w:val="000B53BA"/>
    <w:rsid w:val="000B642F"/>
    <w:rsid w:val="000B6C99"/>
    <w:rsid w:val="000C3F3C"/>
    <w:rsid w:val="000C5A75"/>
    <w:rsid w:val="000C75F7"/>
    <w:rsid w:val="000D0AB2"/>
    <w:rsid w:val="000D225C"/>
    <w:rsid w:val="000D36F2"/>
    <w:rsid w:val="000D4B17"/>
    <w:rsid w:val="000D4B26"/>
    <w:rsid w:val="000D74DB"/>
    <w:rsid w:val="000E24D6"/>
    <w:rsid w:val="000E6072"/>
    <w:rsid w:val="000E6D61"/>
    <w:rsid w:val="000E7A23"/>
    <w:rsid w:val="000F1AAD"/>
    <w:rsid w:val="000F1C29"/>
    <w:rsid w:val="000F1E9E"/>
    <w:rsid w:val="000F2B10"/>
    <w:rsid w:val="000F3F72"/>
    <w:rsid w:val="000F42F1"/>
    <w:rsid w:val="001055B2"/>
    <w:rsid w:val="001068F0"/>
    <w:rsid w:val="00106AB8"/>
    <w:rsid w:val="00106C9E"/>
    <w:rsid w:val="00106E16"/>
    <w:rsid w:val="0010768B"/>
    <w:rsid w:val="00111701"/>
    <w:rsid w:val="00112A29"/>
    <w:rsid w:val="001167F6"/>
    <w:rsid w:val="00116C86"/>
    <w:rsid w:val="00121ACF"/>
    <w:rsid w:val="00121D8F"/>
    <w:rsid w:val="00122037"/>
    <w:rsid w:val="0012210C"/>
    <w:rsid w:val="00122A7F"/>
    <w:rsid w:val="00123F98"/>
    <w:rsid w:val="001242A5"/>
    <w:rsid w:val="00124531"/>
    <w:rsid w:val="00126EDF"/>
    <w:rsid w:val="00127BBE"/>
    <w:rsid w:val="00131D52"/>
    <w:rsid w:val="001329C1"/>
    <w:rsid w:val="00132C16"/>
    <w:rsid w:val="0013615F"/>
    <w:rsid w:val="00136320"/>
    <w:rsid w:val="00136FFA"/>
    <w:rsid w:val="00137AC6"/>
    <w:rsid w:val="00145512"/>
    <w:rsid w:val="001465BD"/>
    <w:rsid w:val="00147B45"/>
    <w:rsid w:val="00150803"/>
    <w:rsid w:val="00151D83"/>
    <w:rsid w:val="001546C9"/>
    <w:rsid w:val="00154FAE"/>
    <w:rsid w:val="00155E77"/>
    <w:rsid w:val="00156A70"/>
    <w:rsid w:val="00160A61"/>
    <w:rsid w:val="00160FC0"/>
    <w:rsid w:val="0016429B"/>
    <w:rsid w:val="00164525"/>
    <w:rsid w:val="00164C50"/>
    <w:rsid w:val="00165CB2"/>
    <w:rsid w:val="00166767"/>
    <w:rsid w:val="001707CB"/>
    <w:rsid w:val="00171477"/>
    <w:rsid w:val="00171596"/>
    <w:rsid w:val="00172A1A"/>
    <w:rsid w:val="00173251"/>
    <w:rsid w:val="001763D3"/>
    <w:rsid w:val="00176BED"/>
    <w:rsid w:val="0017759D"/>
    <w:rsid w:val="001804A5"/>
    <w:rsid w:val="00181C94"/>
    <w:rsid w:val="00182C84"/>
    <w:rsid w:val="00187031"/>
    <w:rsid w:val="001870F5"/>
    <w:rsid w:val="00191EA4"/>
    <w:rsid w:val="00192B6C"/>
    <w:rsid w:val="00192C30"/>
    <w:rsid w:val="0019381E"/>
    <w:rsid w:val="00194CF5"/>
    <w:rsid w:val="0019503C"/>
    <w:rsid w:val="00195D94"/>
    <w:rsid w:val="00196F7B"/>
    <w:rsid w:val="001971CB"/>
    <w:rsid w:val="0019795C"/>
    <w:rsid w:val="001A053A"/>
    <w:rsid w:val="001A22A2"/>
    <w:rsid w:val="001A2971"/>
    <w:rsid w:val="001A3D52"/>
    <w:rsid w:val="001A460A"/>
    <w:rsid w:val="001A4A4C"/>
    <w:rsid w:val="001B0230"/>
    <w:rsid w:val="001B13AB"/>
    <w:rsid w:val="001B3907"/>
    <w:rsid w:val="001B3B49"/>
    <w:rsid w:val="001B4907"/>
    <w:rsid w:val="001B4DC5"/>
    <w:rsid w:val="001B5505"/>
    <w:rsid w:val="001B79DA"/>
    <w:rsid w:val="001C2180"/>
    <w:rsid w:val="001C29CC"/>
    <w:rsid w:val="001C3217"/>
    <w:rsid w:val="001C3B98"/>
    <w:rsid w:val="001C6028"/>
    <w:rsid w:val="001C6365"/>
    <w:rsid w:val="001C7F57"/>
    <w:rsid w:val="001D0E79"/>
    <w:rsid w:val="001D2A94"/>
    <w:rsid w:val="001D5370"/>
    <w:rsid w:val="001D6049"/>
    <w:rsid w:val="001D7339"/>
    <w:rsid w:val="001E2750"/>
    <w:rsid w:val="001E4343"/>
    <w:rsid w:val="001E52BB"/>
    <w:rsid w:val="001E660A"/>
    <w:rsid w:val="001F05D6"/>
    <w:rsid w:val="001F5B0A"/>
    <w:rsid w:val="001F640F"/>
    <w:rsid w:val="001F6794"/>
    <w:rsid w:val="001F6F65"/>
    <w:rsid w:val="001F7A9E"/>
    <w:rsid w:val="002002DF"/>
    <w:rsid w:val="00203A6F"/>
    <w:rsid w:val="00205646"/>
    <w:rsid w:val="002063F7"/>
    <w:rsid w:val="00210A22"/>
    <w:rsid w:val="002129E5"/>
    <w:rsid w:val="00212AA4"/>
    <w:rsid w:val="00212E13"/>
    <w:rsid w:val="00212F9C"/>
    <w:rsid w:val="002163C8"/>
    <w:rsid w:val="002179FE"/>
    <w:rsid w:val="00220CC0"/>
    <w:rsid w:val="00221A36"/>
    <w:rsid w:val="00223296"/>
    <w:rsid w:val="0022329B"/>
    <w:rsid w:val="002240F7"/>
    <w:rsid w:val="0022486F"/>
    <w:rsid w:val="00225314"/>
    <w:rsid w:val="00225DF4"/>
    <w:rsid w:val="00226C70"/>
    <w:rsid w:val="00230C8A"/>
    <w:rsid w:val="00231F98"/>
    <w:rsid w:val="002324F8"/>
    <w:rsid w:val="002348B0"/>
    <w:rsid w:val="00235CDC"/>
    <w:rsid w:val="00237E76"/>
    <w:rsid w:val="00240BBE"/>
    <w:rsid w:val="00241525"/>
    <w:rsid w:val="00241D87"/>
    <w:rsid w:val="00243C55"/>
    <w:rsid w:val="00243D5E"/>
    <w:rsid w:val="002451EC"/>
    <w:rsid w:val="00245ED4"/>
    <w:rsid w:val="00246B41"/>
    <w:rsid w:val="0025002B"/>
    <w:rsid w:val="002500DE"/>
    <w:rsid w:val="00252457"/>
    <w:rsid w:val="00252581"/>
    <w:rsid w:val="002535B5"/>
    <w:rsid w:val="002538CB"/>
    <w:rsid w:val="002542BD"/>
    <w:rsid w:val="0025774E"/>
    <w:rsid w:val="00257D64"/>
    <w:rsid w:val="0026340A"/>
    <w:rsid w:val="002654EA"/>
    <w:rsid w:val="002704EA"/>
    <w:rsid w:val="0027061A"/>
    <w:rsid w:val="002719CC"/>
    <w:rsid w:val="002730C5"/>
    <w:rsid w:val="0027337C"/>
    <w:rsid w:val="0027602B"/>
    <w:rsid w:val="00277F5E"/>
    <w:rsid w:val="00280084"/>
    <w:rsid w:val="00280490"/>
    <w:rsid w:val="002860B8"/>
    <w:rsid w:val="0029206E"/>
    <w:rsid w:val="00293382"/>
    <w:rsid w:val="00294F51"/>
    <w:rsid w:val="002959ED"/>
    <w:rsid w:val="002A2342"/>
    <w:rsid w:val="002A279E"/>
    <w:rsid w:val="002A4FA3"/>
    <w:rsid w:val="002B3606"/>
    <w:rsid w:val="002B3D80"/>
    <w:rsid w:val="002B4402"/>
    <w:rsid w:val="002B4946"/>
    <w:rsid w:val="002B4C41"/>
    <w:rsid w:val="002B588D"/>
    <w:rsid w:val="002C1839"/>
    <w:rsid w:val="002C214A"/>
    <w:rsid w:val="002C28E8"/>
    <w:rsid w:val="002C3027"/>
    <w:rsid w:val="002C674D"/>
    <w:rsid w:val="002C7648"/>
    <w:rsid w:val="002C7DC4"/>
    <w:rsid w:val="002D0821"/>
    <w:rsid w:val="002D1929"/>
    <w:rsid w:val="002D1B73"/>
    <w:rsid w:val="002D3CB0"/>
    <w:rsid w:val="002D4800"/>
    <w:rsid w:val="002D5B21"/>
    <w:rsid w:val="002D6F6D"/>
    <w:rsid w:val="002E1FE6"/>
    <w:rsid w:val="002E2EA7"/>
    <w:rsid w:val="002E36D2"/>
    <w:rsid w:val="002E748B"/>
    <w:rsid w:val="002F2002"/>
    <w:rsid w:val="002F29E6"/>
    <w:rsid w:val="002F335D"/>
    <w:rsid w:val="002F4E32"/>
    <w:rsid w:val="002F503F"/>
    <w:rsid w:val="002F51DD"/>
    <w:rsid w:val="002F5D08"/>
    <w:rsid w:val="002F6895"/>
    <w:rsid w:val="002F6D13"/>
    <w:rsid w:val="003038D3"/>
    <w:rsid w:val="003049C7"/>
    <w:rsid w:val="00305F0E"/>
    <w:rsid w:val="0030667A"/>
    <w:rsid w:val="003106DE"/>
    <w:rsid w:val="00311530"/>
    <w:rsid w:val="00312420"/>
    <w:rsid w:val="00312D31"/>
    <w:rsid w:val="00315216"/>
    <w:rsid w:val="0031691C"/>
    <w:rsid w:val="00317AEF"/>
    <w:rsid w:val="00317F49"/>
    <w:rsid w:val="0032089B"/>
    <w:rsid w:val="00323450"/>
    <w:rsid w:val="00323D93"/>
    <w:rsid w:val="0032489B"/>
    <w:rsid w:val="0032525B"/>
    <w:rsid w:val="00326A7A"/>
    <w:rsid w:val="00326FEE"/>
    <w:rsid w:val="003315D7"/>
    <w:rsid w:val="00334DE6"/>
    <w:rsid w:val="0033536D"/>
    <w:rsid w:val="003353FF"/>
    <w:rsid w:val="003366D2"/>
    <w:rsid w:val="00337C79"/>
    <w:rsid w:val="00337FEF"/>
    <w:rsid w:val="0034084C"/>
    <w:rsid w:val="00340D5E"/>
    <w:rsid w:val="00341C6D"/>
    <w:rsid w:val="003420B5"/>
    <w:rsid w:val="00343646"/>
    <w:rsid w:val="00344CCB"/>
    <w:rsid w:val="00345897"/>
    <w:rsid w:val="00351BFC"/>
    <w:rsid w:val="0035575E"/>
    <w:rsid w:val="00355844"/>
    <w:rsid w:val="003565B4"/>
    <w:rsid w:val="00362E75"/>
    <w:rsid w:val="003631AA"/>
    <w:rsid w:val="003632D5"/>
    <w:rsid w:val="00363575"/>
    <w:rsid w:val="00364EF9"/>
    <w:rsid w:val="00367579"/>
    <w:rsid w:val="0036795B"/>
    <w:rsid w:val="00370A29"/>
    <w:rsid w:val="003722F9"/>
    <w:rsid w:val="00372349"/>
    <w:rsid w:val="00372CBC"/>
    <w:rsid w:val="00373A61"/>
    <w:rsid w:val="00374BDE"/>
    <w:rsid w:val="00376B39"/>
    <w:rsid w:val="00377094"/>
    <w:rsid w:val="003772C0"/>
    <w:rsid w:val="00377BAC"/>
    <w:rsid w:val="00380142"/>
    <w:rsid w:val="00380558"/>
    <w:rsid w:val="00381D3C"/>
    <w:rsid w:val="0038223E"/>
    <w:rsid w:val="00382D92"/>
    <w:rsid w:val="00385AEF"/>
    <w:rsid w:val="003860EA"/>
    <w:rsid w:val="0038781A"/>
    <w:rsid w:val="0039080B"/>
    <w:rsid w:val="0039326E"/>
    <w:rsid w:val="00394E22"/>
    <w:rsid w:val="003967A4"/>
    <w:rsid w:val="00397FA3"/>
    <w:rsid w:val="003A1596"/>
    <w:rsid w:val="003A317E"/>
    <w:rsid w:val="003A345B"/>
    <w:rsid w:val="003A49EE"/>
    <w:rsid w:val="003A674D"/>
    <w:rsid w:val="003A7123"/>
    <w:rsid w:val="003B102E"/>
    <w:rsid w:val="003B2167"/>
    <w:rsid w:val="003B5F5D"/>
    <w:rsid w:val="003B62C8"/>
    <w:rsid w:val="003C0C62"/>
    <w:rsid w:val="003C12DC"/>
    <w:rsid w:val="003C2CDA"/>
    <w:rsid w:val="003D000A"/>
    <w:rsid w:val="003D31E9"/>
    <w:rsid w:val="003D544E"/>
    <w:rsid w:val="003D5980"/>
    <w:rsid w:val="003D6519"/>
    <w:rsid w:val="003E0842"/>
    <w:rsid w:val="003E13B0"/>
    <w:rsid w:val="003E2580"/>
    <w:rsid w:val="003E3DEE"/>
    <w:rsid w:val="003E3EBB"/>
    <w:rsid w:val="003E4A4C"/>
    <w:rsid w:val="003E4CBA"/>
    <w:rsid w:val="003E4D2F"/>
    <w:rsid w:val="003E4EDC"/>
    <w:rsid w:val="003E5563"/>
    <w:rsid w:val="003E599D"/>
    <w:rsid w:val="003E5C81"/>
    <w:rsid w:val="003E6965"/>
    <w:rsid w:val="003F00E8"/>
    <w:rsid w:val="003F1936"/>
    <w:rsid w:val="003F1BDD"/>
    <w:rsid w:val="003F3BA3"/>
    <w:rsid w:val="003F3BD5"/>
    <w:rsid w:val="003F400E"/>
    <w:rsid w:val="003F6F35"/>
    <w:rsid w:val="003F7768"/>
    <w:rsid w:val="003F7D56"/>
    <w:rsid w:val="00400E8C"/>
    <w:rsid w:val="00401442"/>
    <w:rsid w:val="004017DC"/>
    <w:rsid w:val="00401B53"/>
    <w:rsid w:val="00402668"/>
    <w:rsid w:val="00404FEC"/>
    <w:rsid w:val="0040534D"/>
    <w:rsid w:val="00405FAD"/>
    <w:rsid w:val="004117AB"/>
    <w:rsid w:val="00412B2F"/>
    <w:rsid w:val="00415281"/>
    <w:rsid w:val="00415716"/>
    <w:rsid w:val="0041604D"/>
    <w:rsid w:val="00417842"/>
    <w:rsid w:val="00417A6E"/>
    <w:rsid w:val="0042285D"/>
    <w:rsid w:val="00427D2B"/>
    <w:rsid w:val="00430B13"/>
    <w:rsid w:val="00430CE5"/>
    <w:rsid w:val="0043153C"/>
    <w:rsid w:val="00431D0F"/>
    <w:rsid w:val="0043481C"/>
    <w:rsid w:val="00436823"/>
    <w:rsid w:val="0043772D"/>
    <w:rsid w:val="00444307"/>
    <w:rsid w:val="0044436F"/>
    <w:rsid w:val="004443EB"/>
    <w:rsid w:val="00444432"/>
    <w:rsid w:val="00444673"/>
    <w:rsid w:val="0044621E"/>
    <w:rsid w:val="00447BF1"/>
    <w:rsid w:val="00450BA4"/>
    <w:rsid w:val="004511FC"/>
    <w:rsid w:val="00456784"/>
    <w:rsid w:val="00456DCA"/>
    <w:rsid w:val="00461140"/>
    <w:rsid w:val="004611DB"/>
    <w:rsid w:val="00462FB9"/>
    <w:rsid w:val="004658B0"/>
    <w:rsid w:val="0046614B"/>
    <w:rsid w:val="00467FD7"/>
    <w:rsid w:val="00470073"/>
    <w:rsid w:val="004730F8"/>
    <w:rsid w:val="00474353"/>
    <w:rsid w:val="00474555"/>
    <w:rsid w:val="004750F4"/>
    <w:rsid w:val="00476CB1"/>
    <w:rsid w:val="00480A48"/>
    <w:rsid w:val="00482501"/>
    <w:rsid w:val="00482E7D"/>
    <w:rsid w:val="004836DC"/>
    <w:rsid w:val="00484395"/>
    <w:rsid w:val="004865FB"/>
    <w:rsid w:val="00486C03"/>
    <w:rsid w:val="00491AB3"/>
    <w:rsid w:val="00497A33"/>
    <w:rsid w:val="004A1112"/>
    <w:rsid w:val="004A1DA0"/>
    <w:rsid w:val="004A1F20"/>
    <w:rsid w:val="004A228D"/>
    <w:rsid w:val="004A2321"/>
    <w:rsid w:val="004A2393"/>
    <w:rsid w:val="004A3569"/>
    <w:rsid w:val="004A452A"/>
    <w:rsid w:val="004A5F2C"/>
    <w:rsid w:val="004A6E4F"/>
    <w:rsid w:val="004A720D"/>
    <w:rsid w:val="004B00D0"/>
    <w:rsid w:val="004B021F"/>
    <w:rsid w:val="004B6084"/>
    <w:rsid w:val="004B7AE0"/>
    <w:rsid w:val="004B7F9F"/>
    <w:rsid w:val="004C0BC4"/>
    <w:rsid w:val="004C260D"/>
    <w:rsid w:val="004C2D47"/>
    <w:rsid w:val="004C4357"/>
    <w:rsid w:val="004C4477"/>
    <w:rsid w:val="004C5730"/>
    <w:rsid w:val="004C6397"/>
    <w:rsid w:val="004C668F"/>
    <w:rsid w:val="004C682B"/>
    <w:rsid w:val="004D142C"/>
    <w:rsid w:val="004D29F7"/>
    <w:rsid w:val="004D36D8"/>
    <w:rsid w:val="004D4C5C"/>
    <w:rsid w:val="004D5AB0"/>
    <w:rsid w:val="004D5EAE"/>
    <w:rsid w:val="004D7A0E"/>
    <w:rsid w:val="004E06E7"/>
    <w:rsid w:val="004E0AE3"/>
    <w:rsid w:val="004E20D3"/>
    <w:rsid w:val="004E2C82"/>
    <w:rsid w:val="004E4FAE"/>
    <w:rsid w:val="004E62C7"/>
    <w:rsid w:val="004E68FF"/>
    <w:rsid w:val="004E7A1B"/>
    <w:rsid w:val="004F0B7F"/>
    <w:rsid w:val="004F1193"/>
    <w:rsid w:val="004F11DC"/>
    <w:rsid w:val="004F2124"/>
    <w:rsid w:val="004F271B"/>
    <w:rsid w:val="004F3A52"/>
    <w:rsid w:val="004F449F"/>
    <w:rsid w:val="004F4E7E"/>
    <w:rsid w:val="004F63AB"/>
    <w:rsid w:val="004F6B76"/>
    <w:rsid w:val="004F6C7C"/>
    <w:rsid w:val="004F7F1A"/>
    <w:rsid w:val="004F7FBB"/>
    <w:rsid w:val="005042B3"/>
    <w:rsid w:val="005045AB"/>
    <w:rsid w:val="00507D43"/>
    <w:rsid w:val="005103F2"/>
    <w:rsid w:val="00510E2C"/>
    <w:rsid w:val="00511FDC"/>
    <w:rsid w:val="005124C6"/>
    <w:rsid w:val="00513EBC"/>
    <w:rsid w:val="005148EA"/>
    <w:rsid w:val="00514CE1"/>
    <w:rsid w:val="005165C6"/>
    <w:rsid w:val="00517155"/>
    <w:rsid w:val="00517DB3"/>
    <w:rsid w:val="005200DC"/>
    <w:rsid w:val="005200F2"/>
    <w:rsid w:val="0052369D"/>
    <w:rsid w:val="00526F5F"/>
    <w:rsid w:val="005271DB"/>
    <w:rsid w:val="00530D2F"/>
    <w:rsid w:val="0053487C"/>
    <w:rsid w:val="005356E1"/>
    <w:rsid w:val="00536A8B"/>
    <w:rsid w:val="00540418"/>
    <w:rsid w:val="00540654"/>
    <w:rsid w:val="00541A96"/>
    <w:rsid w:val="00541C6A"/>
    <w:rsid w:val="00542C54"/>
    <w:rsid w:val="00546A43"/>
    <w:rsid w:val="00546C70"/>
    <w:rsid w:val="00547258"/>
    <w:rsid w:val="00550CF0"/>
    <w:rsid w:val="005559FE"/>
    <w:rsid w:val="005560D6"/>
    <w:rsid w:val="00556D07"/>
    <w:rsid w:val="005611F2"/>
    <w:rsid w:val="0056155B"/>
    <w:rsid w:val="00561734"/>
    <w:rsid w:val="00561952"/>
    <w:rsid w:val="00564B9A"/>
    <w:rsid w:val="00565694"/>
    <w:rsid w:val="00566DD6"/>
    <w:rsid w:val="005714EF"/>
    <w:rsid w:val="00571CEC"/>
    <w:rsid w:val="00572FCE"/>
    <w:rsid w:val="005732B9"/>
    <w:rsid w:val="005750DB"/>
    <w:rsid w:val="005759FC"/>
    <w:rsid w:val="00575B85"/>
    <w:rsid w:val="00576DB9"/>
    <w:rsid w:val="0057738F"/>
    <w:rsid w:val="005805E4"/>
    <w:rsid w:val="0058202F"/>
    <w:rsid w:val="00584221"/>
    <w:rsid w:val="00584EB6"/>
    <w:rsid w:val="00586B68"/>
    <w:rsid w:val="0058774E"/>
    <w:rsid w:val="005878CF"/>
    <w:rsid w:val="00590CA0"/>
    <w:rsid w:val="00595B01"/>
    <w:rsid w:val="00596D98"/>
    <w:rsid w:val="005979A5"/>
    <w:rsid w:val="005A0021"/>
    <w:rsid w:val="005A017B"/>
    <w:rsid w:val="005A2AEC"/>
    <w:rsid w:val="005A412D"/>
    <w:rsid w:val="005A5212"/>
    <w:rsid w:val="005B002D"/>
    <w:rsid w:val="005B0FFF"/>
    <w:rsid w:val="005B19AF"/>
    <w:rsid w:val="005B258C"/>
    <w:rsid w:val="005B5897"/>
    <w:rsid w:val="005B61DD"/>
    <w:rsid w:val="005B6735"/>
    <w:rsid w:val="005B7831"/>
    <w:rsid w:val="005C0CD6"/>
    <w:rsid w:val="005C12D9"/>
    <w:rsid w:val="005C2146"/>
    <w:rsid w:val="005C309D"/>
    <w:rsid w:val="005C544B"/>
    <w:rsid w:val="005C5916"/>
    <w:rsid w:val="005C5AEE"/>
    <w:rsid w:val="005C774A"/>
    <w:rsid w:val="005D3734"/>
    <w:rsid w:val="005D4F16"/>
    <w:rsid w:val="005D5A53"/>
    <w:rsid w:val="005D5DA0"/>
    <w:rsid w:val="005D7FBD"/>
    <w:rsid w:val="005E19B4"/>
    <w:rsid w:val="005E1D6B"/>
    <w:rsid w:val="005E227A"/>
    <w:rsid w:val="005E2CF8"/>
    <w:rsid w:val="005E3126"/>
    <w:rsid w:val="005E6041"/>
    <w:rsid w:val="005E7075"/>
    <w:rsid w:val="005E75A7"/>
    <w:rsid w:val="005F38E2"/>
    <w:rsid w:val="005F3EE6"/>
    <w:rsid w:val="005F6736"/>
    <w:rsid w:val="00602C10"/>
    <w:rsid w:val="00602EBD"/>
    <w:rsid w:val="00604CF2"/>
    <w:rsid w:val="00606DFF"/>
    <w:rsid w:val="00606FB7"/>
    <w:rsid w:val="00610533"/>
    <w:rsid w:val="006110F6"/>
    <w:rsid w:val="00611FA1"/>
    <w:rsid w:val="00612522"/>
    <w:rsid w:val="00612DA6"/>
    <w:rsid w:val="0061365B"/>
    <w:rsid w:val="006138B6"/>
    <w:rsid w:val="00614BC6"/>
    <w:rsid w:val="00614E33"/>
    <w:rsid w:val="006158B8"/>
    <w:rsid w:val="0061706D"/>
    <w:rsid w:val="006173DA"/>
    <w:rsid w:val="00617EF9"/>
    <w:rsid w:val="00620295"/>
    <w:rsid w:val="00622F8E"/>
    <w:rsid w:val="006256AE"/>
    <w:rsid w:val="00626AC8"/>
    <w:rsid w:val="00627912"/>
    <w:rsid w:val="00630EF7"/>
    <w:rsid w:val="0063195F"/>
    <w:rsid w:val="00636C0A"/>
    <w:rsid w:val="00637EC6"/>
    <w:rsid w:val="0064240C"/>
    <w:rsid w:val="00642FF5"/>
    <w:rsid w:val="006430FB"/>
    <w:rsid w:val="00643992"/>
    <w:rsid w:val="00644DBC"/>
    <w:rsid w:val="00646FE6"/>
    <w:rsid w:val="006474CD"/>
    <w:rsid w:val="00647744"/>
    <w:rsid w:val="006479A0"/>
    <w:rsid w:val="006500D9"/>
    <w:rsid w:val="00653B54"/>
    <w:rsid w:val="006541A3"/>
    <w:rsid w:val="00654FAD"/>
    <w:rsid w:val="00655C9F"/>
    <w:rsid w:val="006567FF"/>
    <w:rsid w:val="00656867"/>
    <w:rsid w:val="00660476"/>
    <w:rsid w:val="0066109F"/>
    <w:rsid w:val="00664B26"/>
    <w:rsid w:val="0066596B"/>
    <w:rsid w:val="00670295"/>
    <w:rsid w:val="006704F5"/>
    <w:rsid w:val="00672894"/>
    <w:rsid w:val="00674B47"/>
    <w:rsid w:val="0067609E"/>
    <w:rsid w:val="00677749"/>
    <w:rsid w:val="00680E07"/>
    <w:rsid w:val="00682B9D"/>
    <w:rsid w:val="00683806"/>
    <w:rsid w:val="00686AF9"/>
    <w:rsid w:val="006910C0"/>
    <w:rsid w:val="00691954"/>
    <w:rsid w:val="0069320E"/>
    <w:rsid w:val="00693D13"/>
    <w:rsid w:val="00694F58"/>
    <w:rsid w:val="006955BC"/>
    <w:rsid w:val="006959E2"/>
    <w:rsid w:val="00695FFD"/>
    <w:rsid w:val="00696920"/>
    <w:rsid w:val="00697EB9"/>
    <w:rsid w:val="006A20D4"/>
    <w:rsid w:val="006A268D"/>
    <w:rsid w:val="006A350F"/>
    <w:rsid w:val="006A3668"/>
    <w:rsid w:val="006A3957"/>
    <w:rsid w:val="006A39A4"/>
    <w:rsid w:val="006A41D6"/>
    <w:rsid w:val="006A669D"/>
    <w:rsid w:val="006A6E41"/>
    <w:rsid w:val="006B012F"/>
    <w:rsid w:val="006B27CF"/>
    <w:rsid w:val="006B41BD"/>
    <w:rsid w:val="006B5678"/>
    <w:rsid w:val="006B62B2"/>
    <w:rsid w:val="006C1C57"/>
    <w:rsid w:val="006C5760"/>
    <w:rsid w:val="006C6D6F"/>
    <w:rsid w:val="006D0D78"/>
    <w:rsid w:val="006D1128"/>
    <w:rsid w:val="006D2848"/>
    <w:rsid w:val="006D30E0"/>
    <w:rsid w:val="006D5521"/>
    <w:rsid w:val="006D5FE9"/>
    <w:rsid w:val="006D6CBB"/>
    <w:rsid w:val="006D6DCA"/>
    <w:rsid w:val="006D76A9"/>
    <w:rsid w:val="006D77F4"/>
    <w:rsid w:val="006E0898"/>
    <w:rsid w:val="006E41CD"/>
    <w:rsid w:val="006F3BEC"/>
    <w:rsid w:val="006F3F0B"/>
    <w:rsid w:val="00703C00"/>
    <w:rsid w:val="007057CC"/>
    <w:rsid w:val="007066F2"/>
    <w:rsid w:val="00706AE5"/>
    <w:rsid w:val="0070740A"/>
    <w:rsid w:val="00711F93"/>
    <w:rsid w:val="00712940"/>
    <w:rsid w:val="0071428C"/>
    <w:rsid w:val="00715A16"/>
    <w:rsid w:val="007164B0"/>
    <w:rsid w:val="007166FF"/>
    <w:rsid w:val="007260CC"/>
    <w:rsid w:val="00726543"/>
    <w:rsid w:val="0073353E"/>
    <w:rsid w:val="00736633"/>
    <w:rsid w:val="00741EE7"/>
    <w:rsid w:val="00743A79"/>
    <w:rsid w:val="007444D4"/>
    <w:rsid w:val="0074594D"/>
    <w:rsid w:val="007459F3"/>
    <w:rsid w:val="00746E35"/>
    <w:rsid w:val="00746EFA"/>
    <w:rsid w:val="007470E2"/>
    <w:rsid w:val="0075232F"/>
    <w:rsid w:val="00753132"/>
    <w:rsid w:val="007550B3"/>
    <w:rsid w:val="00760451"/>
    <w:rsid w:val="00770512"/>
    <w:rsid w:val="0077182A"/>
    <w:rsid w:val="00771913"/>
    <w:rsid w:val="00772718"/>
    <w:rsid w:val="00775BCF"/>
    <w:rsid w:val="007811CE"/>
    <w:rsid w:val="007818AA"/>
    <w:rsid w:val="00783140"/>
    <w:rsid w:val="007838B6"/>
    <w:rsid w:val="00783E77"/>
    <w:rsid w:val="00787BCE"/>
    <w:rsid w:val="007906F1"/>
    <w:rsid w:val="0079243D"/>
    <w:rsid w:val="00794A9B"/>
    <w:rsid w:val="0079583B"/>
    <w:rsid w:val="00796096"/>
    <w:rsid w:val="00796602"/>
    <w:rsid w:val="00797185"/>
    <w:rsid w:val="007976B7"/>
    <w:rsid w:val="00797A7E"/>
    <w:rsid w:val="00797D6F"/>
    <w:rsid w:val="007B014B"/>
    <w:rsid w:val="007B0D88"/>
    <w:rsid w:val="007B306F"/>
    <w:rsid w:val="007B4714"/>
    <w:rsid w:val="007B4E82"/>
    <w:rsid w:val="007C1996"/>
    <w:rsid w:val="007C3773"/>
    <w:rsid w:val="007C3F1F"/>
    <w:rsid w:val="007D2D0D"/>
    <w:rsid w:val="007D3325"/>
    <w:rsid w:val="007D3818"/>
    <w:rsid w:val="007D6DC5"/>
    <w:rsid w:val="007D7425"/>
    <w:rsid w:val="007E1765"/>
    <w:rsid w:val="007E320E"/>
    <w:rsid w:val="007E3280"/>
    <w:rsid w:val="007E34F1"/>
    <w:rsid w:val="007E4A02"/>
    <w:rsid w:val="007E595C"/>
    <w:rsid w:val="007E59A5"/>
    <w:rsid w:val="007F3B8C"/>
    <w:rsid w:val="007F41D0"/>
    <w:rsid w:val="007F4B8B"/>
    <w:rsid w:val="007F5957"/>
    <w:rsid w:val="007F70B6"/>
    <w:rsid w:val="007F74CA"/>
    <w:rsid w:val="00800F1E"/>
    <w:rsid w:val="0080195A"/>
    <w:rsid w:val="0080239C"/>
    <w:rsid w:val="00802841"/>
    <w:rsid w:val="008037D5"/>
    <w:rsid w:val="00805447"/>
    <w:rsid w:val="008054FA"/>
    <w:rsid w:val="0080717A"/>
    <w:rsid w:val="00807DFA"/>
    <w:rsid w:val="0081009F"/>
    <w:rsid w:val="00810152"/>
    <w:rsid w:val="008115AB"/>
    <w:rsid w:val="00812D2C"/>
    <w:rsid w:val="008159F4"/>
    <w:rsid w:val="008167C1"/>
    <w:rsid w:val="008167C6"/>
    <w:rsid w:val="00816B8F"/>
    <w:rsid w:val="00820331"/>
    <w:rsid w:val="00820BF5"/>
    <w:rsid w:val="008212B1"/>
    <w:rsid w:val="0082155A"/>
    <w:rsid w:val="0082209F"/>
    <w:rsid w:val="008223C2"/>
    <w:rsid w:val="008250A2"/>
    <w:rsid w:val="00825D64"/>
    <w:rsid w:val="0082650B"/>
    <w:rsid w:val="008301CE"/>
    <w:rsid w:val="008312E3"/>
    <w:rsid w:val="00831D5B"/>
    <w:rsid w:val="00832DD6"/>
    <w:rsid w:val="00832F0C"/>
    <w:rsid w:val="008336F2"/>
    <w:rsid w:val="008345D9"/>
    <w:rsid w:val="008347CB"/>
    <w:rsid w:val="00835647"/>
    <w:rsid w:val="00837A2E"/>
    <w:rsid w:val="00841558"/>
    <w:rsid w:val="00842A68"/>
    <w:rsid w:val="008435BA"/>
    <w:rsid w:val="0084558B"/>
    <w:rsid w:val="0084654A"/>
    <w:rsid w:val="00847654"/>
    <w:rsid w:val="00851064"/>
    <w:rsid w:val="00855543"/>
    <w:rsid w:val="008566B3"/>
    <w:rsid w:val="008576B7"/>
    <w:rsid w:val="00857F7B"/>
    <w:rsid w:val="00863DA1"/>
    <w:rsid w:val="008654A6"/>
    <w:rsid w:val="00865D86"/>
    <w:rsid w:val="008677BF"/>
    <w:rsid w:val="00870495"/>
    <w:rsid w:val="00870EA1"/>
    <w:rsid w:val="008710C5"/>
    <w:rsid w:val="008720A7"/>
    <w:rsid w:val="00874438"/>
    <w:rsid w:val="00874E75"/>
    <w:rsid w:val="008754BF"/>
    <w:rsid w:val="008767F3"/>
    <w:rsid w:val="00876CEF"/>
    <w:rsid w:val="00876DA2"/>
    <w:rsid w:val="00877342"/>
    <w:rsid w:val="008803C3"/>
    <w:rsid w:val="00881450"/>
    <w:rsid w:val="008817C7"/>
    <w:rsid w:val="00881875"/>
    <w:rsid w:val="008848A3"/>
    <w:rsid w:val="00884AF1"/>
    <w:rsid w:val="00885F7A"/>
    <w:rsid w:val="0088600D"/>
    <w:rsid w:val="00890712"/>
    <w:rsid w:val="00890D81"/>
    <w:rsid w:val="00892955"/>
    <w:rsid w:val="00893628"/>
    <w:rsid w:val="008941EB"/>
    <w:rsid w:val="0089545A"/>
    <w:rsid w:val="00895A02"/>
    <w:rsid w:val="008A01EE"/>
    <w:rsid w:val="008A0DAC"/>
    <w:rsid w:val="008A3B78"/>
    <w:rsid w:val="008A4166"/>
    <w:rsid w:val="008A7DBF"/>
    <w:rsid w:val="008B083D"/>
    <w:rsid w:val="008B136C"/>
    <w:rsid w:val="008B171E"/>
    <w:rsid w:val="008B55EF"/>
    <w:rsid w:val="008B6910"/>
    <w:rsid w:val="008B73EA"/>
    <w:rsid w:val="008B793C"/>
    <w:rsid w:val="008C0B5C"/>
    <w:rsid w:val="008C1343"/>
    <w:rsid w:val="008C3912"/>
    <w:rsid w:val="008C47B7"/>
    <w:rsid w:val="008C4B0E"/>
    <w:rsid w:val="008C5598"/>
    <w:rsid w:val="008C69EA"/>
    <w:rsid w:val="008C6F8B"/>
    <w:rsid w:val="008C7AB7"/>
    <w:rsid w:val="008C7FB4"/>
    <w:rsid w:val="008D2C8C"/>
    <w:rsid w:val="008D3040"/>
    <w:rsid w:val="008D3ECD"/>
    <w:rsid w:val="008D42C0"/>
    <w:rsid w:val="008D5C03"/>
    <w:rsid w:val="008D7580"/>
    <w:rsid w:val="008D7C35"/>
    <w:rsid w:val="008E5698"/>
    <w:rsid w:val="008E5733"/>
    <w:rsid w:val="008E77D2"/>
    <w:rsid w:val="008E78FD"/>
    <w:rsid w:val="008F199D"/>
    <w:rsid w:val="008F38A0"/>
    <w:rsid w:val="008F39C9"/>
    <w:rsid w:val="008F5EB5"/>
    <w:rsid w:val="008F678C"/>
    <w:rsid w:val="008F75A7"/>
    <w:rsid w:val="008F7E5A"/>
    <w:rsid w:val="00900A7F"/>
    <w:rsid w:val="009036EE"/>
    <w:rsid w:val="00905815"/>
    <w:rsid w:val="00905D1D"/>
    <w:rsid w:val="0091016D"/>
    <w:rsid w:val="00910C98"/>
    <w:rsid w:val="00911910"/>
    <w:rsid w:val="00912A58"/>
    <w:rsid w:val="00913776"/>
    <w:rsid w:val="00913908"/>
    <w:rsid w:val="00913D26"/>
    <w:rsid w:val="0091438B"/>
    <w:rsid w:val="009147E3"/>
    <w:rsid w:val="0091695D"/>
    <w:rsid w:val="00920FD2"/>
    <w:rsid w:val="00923A43"/>
    <w:rsid w:val="0092439C"/>
    <w:rsid w:val="0092498E"/>
    <w:rsid w:val="00925B91"/>
    <w:rsid w:val="0093357F"/>
    <w:rsid w:val="00934461"/>
    <w:rsid w:val="00934F7E"/>
    <w:rsid w:val="00936A1C"/>
    <w:rsid w:val="00943E35"/>
    <w:rsid w:val="00945278"/>
    <w:rsid w:val="0094658D"/>
    <w:rsid w:val="0094741E"/>
    <w:rsid w:val="00947678"/>
    <w:rsid w:val="00947878"/>
    <w:rsid w:val="009504C2"/>
    <w:rsid w:val="009518AB"/>
    <w:rsid w:val="0095254A"/>
    <w:rsid w:val="0095273B"/>
    <w:rsid w:val="009559E1"/>
    <w:rsid w:val="009568D5"/>
    <w:rsid w:val="00957CD3"/>
    <w:rsid w:val="0096269B"/>
    <w:rsid w:val="00963FB0"/>
    <w:rsid w:val="00964C86"/>
    <w:rsid w:val="00965E82"/>
    <w:rsid w:val="009664BB"/>
    <w:rsid w:val="009669F8"/>
    <w:rsid w:val="00966F89"/>
    <w:rsid w:val="00967BC4"/>
    <w:rsid w:val="00973B5D"/>
    <w:rsid w:val="0097755E"/>
    <w:rsid w:val="00981467"/>
    <w:rsid w:val="00981C24"/>
    <w:rsid w:val="009852F6"/>
    <w:rsid w:val="00985DE5"/>
    <w:rsid w:val="00986254"/>
    <w:rsid w:val="00986B59"/>
    <w:rsid w:val="0098729E"/>
    <w:rsid w:val="00990067"/>
    <w:rsid w:val="00992977"/>
    <w:rsid w:val="009937D4"/>
    <w:rsid w:val="00993C78"/>
    <w:rsid w:val="009944A7"/>
    <w:rsid w:val="009948C7"/>
    <w:rsid w:val="009949AE"/>
    <w:rsid w:val="00995850"/>
    <w:rsid w:val="0099796C"/>
    <w:rsid w:val="009A194E"/>
    <w:rsid w:val="009A1EA2"/>
    <w:rsid w:val="009A209E"/>
    <w:rsid w:val="009A3FD7"/>
    <w:rsid w:val="009A6652"/>
    <w:rsid w:val="009A74FD"/>
    <w:rsid w:val="009B25D8"/>
    <w:rsid w:val="009B42E3"/>
    <w:rsid w:val="009B5859"/>
    <w:rsid w:val="009C6D07"/>
    <w:rsid w:val="009C7CEC"/>
    <w:rsid w:val="009D154D"/>
    <w:rsid w:val="009D18EF"/>
    <w:rsid w:val="009D2175"/>
    <w:rsid w:val="009D3BE8"/>
    <w:rsid w:val="009D44E0"/>
    <w:rsid w:val="009D573B"/>
    <w:rsid w:val="009D59A0"/>
    <w:rsid w:val="009D716A"/>
    <w:rsid w:val="009E1AC4"/>
    <w:rsid w:val="009E20B8"/>
    <w:rsid w:val="009E29A0"/>
    <w:rsid w:val="009E41B5"/>
    <w:rsid w:val="009E55D7"/>
    <w:rsid w:val="009E627C"/>
    <w:rsid w:val="009F110B"/>
    <w:rsid w:val="009F1498"/>
    <w:rsid w:val="009F1E9F"/>
    <w:rsid w:val="009F3793"/>
    <w:rsid w:val="009F54F2"/>
    <w:rsid w:val="009F5838"/>
    <w:rsid w:val="009F5DF8"/>
    <w:rsid w:val="00A0056B"/>
    <w:rsid w:val="00A01657"/>
    <w:rsid w:val="00A01C65"/>
    <w:rsid w:val="00A0213D"/>
    <w:rsid w:val="00A04625"/>
    <w:rsid w:val="00A04C73"/>
    <w:rsid w:val="00A0679A"/>
    <w:rsid w:val="00A07A2B"/>
    <w:rsid w:val="00A12375"/>
    <w:rsid w:val="00A12566"/>
    <w:rsid w:val="00A125B8"/>
    <w:rsid w:val="00A13124"/>
    <w:rsid w:val="00A15370"/>
    <w:rsid w:val="00A156AB"/>
    <w:rsid w:val="00A16B8D"/>
    <w:rsid w:val="00A21293"/>
    <w:rsid w:val="00A2134B"/>
    <w:rsid w:val="00A21623"/>
    <w:rsid w:val="00A220EB"/>
    <w:rsid w:val="00A22302"/>
    <w:rsid w:val="00A25F1B"/>
    <w:rsid w:val="00A325F3"/>
    <w:rsid w:val="00A33103"/>
    <w:rsid w:val="00A33294"/>
    <w:rsid w:val="00A33EE5"/>
    <w:rsid w:val="00A35DCB"/>
    <w:rsid w:val="00A3690E"/>
    <w:rsid w:val="00A37751"/>
    <w:rsid w:val="00A406B1"/>
    <w:rsid w:val="00A4113E"/>
    <w:rsid w:val="00A42435"/>
    <w:rsid w:val="00A438BA"/>
    <w:rsid w:val="00A446FD"/>
    <w:rsid w:val="00A46F46"/>
    <w:rsid w:val="00A52CB6"/>
    <w:rsid w:val="00A52F99"/>
    <w:rsid w:val="00A5374A"/>
    <w:rsid w:val="00A538BB"/>
    <w:rsid w:val="00A54164"/>
    <w:rsid w:val="00A56737"/>
    <w:rsid w:val="00A60002"/>
    <w:rsid w:val="00A603D8"/>
    <w:rsid w:val="00A60AE2"/>
    <w:rsid w:val="00A61834"/>
    <w:rsid w:val="00A618B0"/>
    <w:rsid w:val="00A62790"/>
    <w:rsid w:val="00A6291F"/>
    <w:rsid w:val="00A63F53"/>
    <w:rsid w:val="00A67053"/>
    <w:rsid w:val="00A7111E"/>
    <w:rsid w:val="00A755B6"/>
    <w:rsid w:val="00A75B1A"/>
    <w:rsid w:val="00A80ED4"/>
    <w:rsid w:val="00A816C4"/>
    <w:rsid w:val="00A81F9A"/>
    <w:rsid w:val="00A82981"/>
    <w:rsid w:val="00A86F10"/>
    <w:rsid w:val="00A87AF2"/>
    <w:rsid w:val="00A90B23"/>
    <w:rsid w:val="00A93193"/>
    <w:rsid w:val="00A93C2B"/>
    <w:rsid w:val="00A94556"/>
    <w:rsid w:val="00A94DE8"/>
    <w:rsid w:val="00A974CB"/>
    <w:rsid w:val="00AA1EAC"/>
    <w:rsid w:val="00AA45E2"/>
    <w:rsid w:val="00AA7AC1"/>
    <w:rsid w:val="00AB6327"/>
    <w:rsid w:val="00AB6B8F"/>
    <w:rsid w:val="00AC0C65"/>
    <w:rsid w:val="00AC0FB2"/>
    <w:rsid w:val="00AC3721"/>
    <w:rsid w:val="00AC41C6"/>
    <w:rsid w:val="00AC70C7"/>
    <w:rsid w:val="00AC76B7"/>
    <w:rsid w:val="00AD0223"/>
    <w:rsid w:val="00AD123A"/>
    <w:rsid w:val="00AD15FF"/>
    <w:rsid w:val="00AD1AA5"/>
    <w:rsid w:val="00AD2920"/>
    <w:rsid w:val="00AD2CD5"/>
    <w:rsid w:val="00AD2DFC"/>
    <w:rsid w:val="00AD38C4"/>
    <w:rsid w:val="00AD5A4A"/>
    <w:rsid w:val="00AD60EE"/>
    <w:rsid w:val="00AD6A2B"/>
    <w:rsid w:val="00AD73D4"/>
    <w:rsid w:val="00AE1EA2"/>
    <w:rsid w:val="00AE2874"/>
    <w:rsid w:val="00AE2F98"/>
    <w:rsid w:val="00AE3602"/>
    <w:rsid w:val="00AE5342"/>
    <w:rsid w:val="00AE5987"/>
    <w:rsid w:val="00AE6472"/>
    <w:rsid w:val="00AE6BC4"/>
    <w:rsid w:val="00AF1345"/>
    <w:rsid w:val="00AF38A8"/>
    <w:rsid w:val="00AF63EB"/>
    <w:rsid w:val="00B016D2"/>
    <w:rsid w:val="00B018EC"/>
    <w:rsid w:val="00B05328"/>
    <w:rsid w:val="00B060C7"/>
    <w:rsid w:val="00B06F28"/>
    <w:rsid w:val="00B11AB7"/>
    <w:rsid w:val="00B12213"/>
    <w:rsid w:val="00B13710"/>
    <w:rsid w:val="00B22881"/>
    <w:rsid w:val="00B23EFC"/>
    <w:rsid w:val="00B24B72"/>
    <w:rsid w:val="00B25DB8"/>
    <w:rsid w:val="00B2656C"/>
    <w:rsid w:val="00B266E6"/>
    <w:rsid w:val="00B3094D"/>
    <w:rsid w:val="00B30B04"/>
    <w:rsid w:val="00B311BC"/>
    <w:rsid w:val="00B31810"/>
    <w:rsid w:val="00B31C10"/>
    <w:rsid w:val="00B33008"/>
    <w:rsid w:val="00B33191"/>
    <w:rsid w:val="00B3446D"/>
    <w:rsid w:val="00B34652"/>
    <w:rsid w:val="00B34F89"/>
    <w:rsid w:val="00B352D0"/>
    <w:rsid w:val="00B358C8"/>
    <w:rsid w:val="00B36185"/>
    <w:rsid w:val="00B3662F"/>
    <w:rsid w:val="00B373CD"/>
    <w:rsid w:val="00B377C8"/>
    <w:rsid w:val="00B400B8"/>
    <w:rsid w:val="00B404DE"/>
    <w:rsid w:val="00B40765"/>
    <w:rsid w:val="00B4232D"/>
    <w:rsid w:val="00B42682"/>
    <w:rsid w:val="00B43065"/>
    <w:rsid w:val="00B44784"/>
    <w:rsid w:val="00B449D0"/>
    <w:rsid w:val="00B456AB"/>
    <w:rsid w:val="00B46C2A"/>
    <w:rsid w:val="00B47E8B"/>
    <w:rsid w:val="00B51C67"/>
    <w:rsid w:val="00B53F86"/>
    <w:rsid w:val="00B53FDC"/>
    <w:rsid w:val="00B55431"/>
    <w:rsid w:val="00B55CAE"/>
    <w:rsid w:val="00B576C6"/>
    <w:rsid w:val="00B615F2"/>
    <w:rsid w:val="00B61A28"/>
    <w:rsid w:val="00B65C6D"/>
    <w:rsid w:val="00B66B06"/>
    <w:rsid w:val="00B67862"/>
    <w:rsid w:val="00B70634"/>
    <w:rsid w:val="00B70BE4"/>
    <w:rsid w:val="00B73880"/>
    <w:rsid w:val="00B73CF1"/>
    <w:rsid w:val="00B745B3"/>
    <w:rsid w:val="00B7599D"/>
    <w:rsid w:val="00B7648F"/>
    <w:rsid w:val="00B76E13"/>
    <w:rsid w:val="00B771EE"/>
    <w:rsid w:val="00B7765B"/>
    <w:rsid w:val="00B77B4B"/>
    <w:rsid w:val="00B80ABC"/>
    <w:rsid w:val="00B814C2"/>
    <w:rsid w:val="00B8241A"/>
    <w:rsid w:val="00B85D01"/>
    <w:rsid w:val="00B900FE"/>
    <w:rsid w:val="00B9064C"/>
    <w:rsid w:val="00BA0A14"/>
    <w:rsid w:val="00BA228D"/>
    <w:rsid w:val="00BA398D"/>
    <w:rsid w:val="00BA39D3"/>
    <w:rsid w:val="00BA5C56"/>
    <w:rsid w:val="00BA776F"/>
    <w:rsid w:val="00BB0C0D"/>
    <w:rsid w:val="00BB0D69"/>
    <w:rsid w:val="00BB1C69"/>
    <w:rsid w:val="00BB366E"/>
    <w:rsid w:val="00BB3AF0"/>
    <w:rsid w:val="00BB4F70"/>
    <w:rsid w:val="00BB67FF"/>
    <w:rsid w:val="00BC11B9"/>
    <w:rsid w:val="00BC138C"/>
    <w:rsid w:val="00BC14CF"/>
    <w:rsid w:val="00BC1659"/>
    <w:rsid w:val="00BC2C91"/>
    <w:rsid w:val="00BC3A9C"/>
    <w:rsid w:val="00BC5288"/>
    <w:rsid w:val="00BC6A71"/>
    <w:rsid w:val="00BC6B2F"/>
    <w:rsid w:val="00BD0637"/>
    <w:rsid w:val="00BD08A8"/>
    <w:rsid w:val="00BD133D"/>
    <w:rsid w:val="00BD1BAC"/>
    <w:rsid w:val="00BD1F79"/>
    <w:rsid w:val="00BD1FA8"/>
    <w:rsid w:val="00BD25A6"/>
    <w:rsid w:val="00BD4C95"/>
    <w:rsid w:val="00BD65FC"/>
    <w:rsid w:val="00BD7660"/>
    <w:rsid w:val="00BE0666"/>
    <w:rsid w:val="00BE24B9"/>
    <w:rsid w:val="00BE2AE8"/>
    <w:rsid w:val="00BE2D55"/>
    <w:rsid w:val="00BE38DD"/>
    <w:rsid w:val="00BE4AB1"/>
    <w:rsid w:val="00BF16C3"/>
    <w:rsid w:val="00BF38E0"/>
    <w:rsid w:val="00BF44FA"/>
    <w:rsid w:val="00BF57E1"/>
    <w:rsid w:val="00C003B4"/>
    <w:rsid w:val="00C00A5F"/>
    <w:rsid w:val="00C042E0"/>
    <w:rsid w:val="00C051D9"/>
    <w:rsid w:val="00C06333"/>
    <w:rsid w:val="00C06F68"/>
    <w:rsid w:val="00C075BA"/>
    <w:rsid w:val="00C10A3A"/>
    <w:rsid w:val="00C11E20"/>
    <w:rsid w:val="00C15D16"/>
    <w:rsid w:val="00C16C4A"/>
    <w:rsid w:val="00C20015"/>
    <w:rsid w:val="00C22EA8"/>
    <w:rsid w:val="00C247DD"/>
    <w:rsid w:val="00C25B43"/>
    <w:rsid w:val="00C26A54"/>
    <w:rsid w:val="00C3261C"/>
    <w:rsid w:val="00C3318B"/>
    <w:rsid w:val="00C33C20"/>
    <w:rsid w:val="00C35362"/>
    <w:rsid w:val="00C357EA"/>
    <w:rsid w:val="00C379F8"/>
    <w:rsid w:val="00C37A1C"/>
    <w:rsid w:val="00C42323"/>
    <w:rsid w:val="00C4316E"/>
    <w:rsid w:val="00C453A9"/>
    <w:rsid w:val="00C45AF9"/>
    <w:rsid w:val="00C465D5"/>
    <w:rsid w:val="00C4756A"/>
    <w:rsid w:val="00C47C39"/>
    <w:rsid w:val="00C50649"/>
    <w:rsid w:val="00C50E1F"/>
    <w:rsid w:val="00C51395"/>
    <w:rsid w:val="00C51C09"/>
    <w:rsid w:val="00C52BB6"/>
    <w:rsid w:val="00C53471"/>
    <w:rsid w:val="00C55143"/>
    <w:rsid w:val="00C5611B"/>
    <w:rsid w:val="00C5695E"/>
    <w:rsid w:val="00C61528"/>
    <w:rsid w:val="00C63457"/>
    <w:rsid w:val="00C64964"/>
    <w:rsid w:val="00C6631E"/>
    <w:rsid w:val="00C67473"/>
    <w:rsid w:val="00C67AA4"/>
    <w:rsid w:val="00C7148C"/>
    <w:rsid w:val="00C72192"/>
    <w:rsid w:val="00C732E5"/>
    <w:rsid w:val="00C73D0B"/>
    <w:rsid w:val="00C75017"/>
    <w:rsid w:val="00C765B4"/>
    <w:rsid w:val="00C813EA"/>
    <w:rsid w:val="00C81496"/>
    <w:rsid w:val="00C82C6C"/>
    <w:rsid w:val="00C82CE6"/>
    <w:rsid w:val="00C82E22"/>
    <w:rsid w:val="00C85144"/>
    <w:rsid w:val="00C86738"/>
    <w:rsid w:val="00C86A27"/>
    <w:rsid w:val="00C91517"/>
    <w:rsid w:val="00C929BD"/>
    <w:rsid w:val="00C931A2"/>
    <w:rsid w:val="00CA02E1"/>
    <w:rsid w:val="00CA15DA"/>
    <w:rsid w:val="00CA224E"/>
    <w:rsid w:val="00CA41C5"/>
    <w:rsid w:val="00CA42B7"/>
    <w:rsid w:val="00CA4A53"/>
    <w:rsid w:val="00CA51F5"/>
    <w:rsid w:val="00CB218A"/>
    <w:rsid w:val="00CB225A"/>
    <w:rsid w:val="00CB69E6"/>
    <w:rsid w:val="00CB761B"/>
    <w:rsid w:val="00CC13DF"/>
    <w:rsid w:val="00CC1EEE"/>
    <w:rsid w:val="00CC562B"/>
    <w:rsid w:val="00CC6C15"/>
    <w:rsid w:val="00CC7FCF"/>
    <w:rsid w:val="00CD2749"/>
    <w:rsid w:val="00CD2A60"/>
    <w:rsid w:val="00CD306F"/>
    <w:rsid w:val="00CD3971"/>
    <w:rsid w:val="00CD3DAB"/>
    <w:rsid w:val="00CE0DF1"/>
    <w:rsid w:val="00CE3786"/>
    <w:rsid w:val="00CE4027"/>
    <w:rsid w:val="00CE47CC"/>
    <w:rsid w:val="00CE68F6"/>
    <w:rsid w:val="00CE7E27"/>
    <w:rsid w:val="00CF22AC"/>
    <w:rsid w:val="00CF2F0A"/>
    <w:rsid w:val="00CF79E8"/>
    <w:rsid w:val="00D015AA"/>
    <w:rsid w:val="00D021B8"/>
    <w:rsid w:val="00D03D90"/>
    <w:rsid w:val="00D04024"/>
    <w:rsid w:val="00D043EB"/>
    <w:rsid w:val="00D06705"/>
    <w:rsid w:val="00D06A9B"/>
    <w:rsid w:val="00D0750D"/>
    <w:rsid w:val="00D07DD8"/>
    <w:rsid w:val="00D1038F"/>
    <w:rsid w:val="00D10BF7"/>
    <w:rsid w:val="00D10FEB"/>
    <w:rsid w:val="00D12698"/>
    <w:rsid w:val="00D140A0"/>
    <w:rsid w:val="00D203D1"/>
    <w:rsid w:val="00D2057A"/>
    <w:rsid w:val="00D21D98"/>
    <w:rsid w:val="00D2317F"/>
    <w:rsid w:val="00D231A9"/>
    <w:rsid w:val="00D24391"/>
    <w:rsid w:val="00D2472B"/>
    <w:rsid w:val="00D253DD"/>
    <w:rsid w:val="00D26FFA"/>
    <w:rsid w:val="00D3215D"/>
    <w:rsid w:val="00D33352"/>
    <w:rsid w:val="00D347D9"/>
    <w:rsid w:val="00D35565"/>
    <w:rsid w:val="00D36A19"/>
    <w:rsid w:val="00D40DCF"/>
    <w:rsid w:val="00D41075"/>
    <w:rsid w:val="00D41C76"/>
    <w:rsid w:val="00D41DD8"/>
    <w:rsid w:val="00D4222C"/>
    <w:rsid w:val="00D425CE"/>
    <w:rsid w:val="00D42F40"/>
    <w:rsid w:val="00D4396C"/>
    <w:rsid w:val="00D4446F"/>
    <w:rsid w:val="00D44B55"/>
    <w:rsid w:val="00D45490"/>
    <w:rsid w:val="00D457B8"/>
    <w:rsid w:val="00D457E1"/>
    <w:rsid w:val="00D47BEB"/>
    <w:rsid w:val="00D50487"/>
    <w:rsid w:val="00D50563"/>
    <w:rsid w:val="00D5088A"/>
    <w:rsid w:val="00D50A0C"/>
    <w:rsid w:val="00D50F50"/>
    <w:rsid w:val="00D5235F"/>
    <w:rsid w:val="00D52F50"/>
    <w:rsid w:val="00D55A98"/>
    <w:rsid w:val="00D56B49"/>
    <w:rsid w:val="00D6053F"/>
    <w:rsid w:val="00D6073D"/>
    <w:rsid w:val="00D618D6"/>
    <w:rsid w:val="00D62426"/>
    <w:rsid w:val="00D62804"/>
    <w:rsid w:val="00D6610B"/>
    <w:rsid w:val="00D70F55"/>
    <w:rsid w:val="00D70FA5"/>
    <w:rsid w:val="00D74171"/>
    <w:rsid w:val="00D7474C"/>
    <w:rsid w:val="00D8032C"/>
    <w:rsid w:val="00D80CE2"/>
    <w:rsid w:val="00D83080"/>
    <w:rsid w:val="00D84D5F"/>
    <w:rsid w:val="00D851E2"/>
    <w:rsid w:val="00D87FFA"/>
    <w:rsid w:val="00D91419"/>
    <w:rsid w:val="00D92A09"/>
    <w:rsid w:val="00D92D2A"/>
    <w:rsid w:val="00D92EEC"/>
    <w:rsid w:val="00D93470"/>
    <w:rsid w:val="00D9395F"/>
    <w:rsid w:val="00D93D55"/>
    <w:rsid w:val="00D941FA"/>
    <w:rsid w:val="00D94B59"/>
    <w:rsid w:val="00D95315"/>
    <w:rsid w:val="00D95EAB"/>
    <w:rsid w:val="00DA0B39"/>
    <w:rsid w:val="00DA1203"/>
    <w:rsid w:val="00DA2316"/>
    <w:rsid w:val="00DA25E0"/>
    <w:rsid w:val="00DA2700"/>
    <w:rsid w:val="00DA3001"/>
    <w:rsid w:val="00DA3C5D"/>
    <w:rsid w:val="00DA3EFF"/>
    <w:rsid w:val="00DA7769"/>
    <w:rsid w:val="00DB08C6"/>
    <w:rsid w:val="00DB1BC2"/>
    <w:rsid w:val="00DB1CBB"/>
    <w:rsid w:val="00DB31ED"/>
    <w:rsid w:val="00DB4124"/>
    <w:rsid w:val="00DB4511"/>
    <w:rsid w:val="00DB4F0C"/>
    <w:rsid w:val="00DC0176"/>
    <w:rsid w:val="00DC043F"/>
    <w:rsid w:val="00DC093E"/>
    <w:rsid w:val="00DC0E29"/>
    <w:rsid w:val="00DC0E7A"/>
    <w:rsid w:val="00DC2A65"/>
    <w:rsid w:val="00DC2A86"/>
    <w:rsid w:val="00DC3631"/>
    <w:rsid w:val="00DC37F7"/>
    <w:rsid w:val="00DC6F54"/>
    <w:rsid w:val="00DD0C00"/>
    <w:rsid w:val="00DD0F8C"/>
    <w:rsid w:val="00DD116C"/>
    <w:rsid w:val="00DD23D5"/>
    <w:rsid w:val="00DD2AF1"/>
    <w:rsid w:val="00DD46DA"/>
    <w:rsid w:val="00DD6072"/>
    <w:rsid w:val="00DD62BE"/>
    <w:rsid w:val="00DD77D9"/>
    <w:rsid w:val="00DD7CA4"/>
    <w:rsid w:val="00DE02D1"/>
    <w:rsid w:val="00DE167C"/>
    <w:rsid w:val="00DE3B70"/>
    <w:rsid w:val="00DE5813"/>
    <w:rsid w:val="00DF07BF"/>
    <w:rsid w:val="00DF10B1"/>
    <w:rsid w:val="00DF1FDA"/>
    <w:rsid w:val="00DF3DD0"/>
    <w:rsid w:val="00DF4D50"/>
    <w:rsid w:val="00DF538C"/>
    <w:rsid w:val="00E021C2"/>
    <w:rsid w:val="00E024A3"/>
    <w:rsid w:val="00E0423D"/>
    <w:rsid w:val="00E057B5"/>
    <w:rsid w:val="00E0581E"/>
    <w:rsid w:val="00E079C5"/>
    <w:rsid w:val="00E07CBD"/>
    <w:rsid w:val="00E07F56"/>
    <w:rsid w:val="00E10A16"/>
    <w:rsid w:val="00E1112F"/>
    <w:rsid w:val="00E12EA4"/>
    <w:rsid w:val="00E1318F"/>
    <w:rsid w:val="00E137F9"/>
    <w:rsid w:val="00E13B3B"/>
    <w:rsid w:val="00E13E29"/>
    <w:rsid w:val="00E15A29"/>
    <w:rsid w:val="00E16857"/>
    <w:rsid w:val="00E16C3A"/>
    <w:rsid w:val="00E20651"/>
    <w:rsid w:val="00E2107C"/>
    <w:rsid w:val="00E21E70"/>
    <w:rsid w:val="00E224DE"/>
    <w:rsid w:val="00E23DCE"/>
    <w:rsid w:val="00E26363"/>
    <w:rsid w:val="00E272A4"/>
    <w:rsid w:val="00E305F9"/>
    <w:rsid w:val="00E306AC"/>
    <w:rsid w:val="00E34446"/>
    <w:rsid w:val="00E3633B"/>
    <w:rsid w:val="00E36870"/>
    <w:rsid w:val="00E374E1"/>
    <w:rsid w:val="00E417AB"/>
    <w:rsid w:val="00E43D48"/>
    <w:rsid w:val="00E4542D"/>
    <w:rsid w:val="00E45BE0"/>
    <w:rsid w:val="00E46CAD"/>
    <w:rsid w:val="00E47521"/>
    <w:rsid w:val="00E4760C"/>
    <w:rsid w:val="00E507A6"/>
    <w:rsid w:val="00E5375C"/>
    <w:rsid w:val="00E561AD"/>
    <w:rsid w:val="00E57820"/>
    <w:rsid w:val="00E57FAF"/>
    <w:rsid w:val="00E60BA9"/>
    <w:rsid w:val="00E63510"/>
    <w:rsid w:val="00E635EA"/>
    <w:rsid w:val="00E655E5"/>
    <w:rsid w:val="00E65F4E"/>
    <w:rsid w:val="00E662E0"/>
    <w:rsid w:val="00E67D5D"/>
    <w:rsid w:val="00E71C7A"/>
    <w:rsid w:val="00E73119"/>
    <w:rsid w:val="00E73E1E"/>
    <w:rsid w:val="00E767FF"/>
    <w:rsid w:val="00E84C91"/>
    <w:rsid w:val="00E84E60"/>
    <w:rsid w:val="00E8556E"/>
    <w:rsid w:val="00E86B2D"/>
    <w:rsid w:val="00E86F4D"/>
    <w:rsid w:val="00E87D08"/>
    <w:rsid w:val="00E90D0E"/>
    <w:rsid w:val="00E91B2D"/>
    <w:rsid w:val="00E92FCA"/>
    <w:rsid w:val="00E95CAA"/>
    <w:rsid w:val="00EA0A39"/>
    <w:rsid w:val="00EA0EB2"/>
    <w:rsid w:val="00EA236F"/>
    <w:rsid w:val="00EA3023"/>
    <w:rsid w:val="00EA3E49"/>
    <w:rsid w:val="00EA3FC8"/>
    <w:rsid w:val="00EA5B8C"/>
    <w:rsid w:val="00EA5EB3"/>
    <w:rsid w:val="00EB0DC9"/>
    <w:rsid w:val="00EB1383"/>
    <w:rsid w:val="00EB252D"/>
    <w:rsid w:val="00EB29FA"/>
    <w:rsid w:val="00EB2CCE"/>
    <w:rsid w:val="00EB385F"/>
    <w:rsid w:val="00EB3E49"/>
    <w:rsid w:val="00EB5FC3"/>
    <w:rsid w:val="00EB6DA9"/>
    <w:rsid w:val="00EC1561"/>
    <w:rsid w:val="00EC3A2D"/>
    <w:rsid w:val="00EC462E"/>
    <w:rsid w:val="00EC6CD8"/>
    <w:rsid w:val="00EC786F"/>
    <w:rsid w:val="00EC7EF4"/>
    <w:rsid w:val="00ED1866"/>
    <w:rsid w:val="00ED3134"/>
    <w:rsid w:val="00ED38E2"/>
    <w:rsid w:val="00ED5C44"/>
    <w:rsid w:val="00ED635B"/>
    <w:rsid w:val="00EE742D"/>
    <w:rsid w:val="00EF0A22"/>
    <w:rsid w:val="00EF1267"/>
    <w:rsid w:val="00EF180C"/>
    <w:rsid w:val="00EF3B6B"/>
    <w:rsid w:val="00EF459F"/>
    <w:rsid w:val="00EF4B43"/>
    <w:rsid w:val="00EF6750"/>
    <w:rsid w:val="00EF770B"/>
    <w:rsid w:val="00F02836"/>
    <w:rsid w:val="00F02FB5"/>
    <w:rsid w:val="00F0534E"/>
    <w:rsid w:val="00F05C30"/>
    <w:rsid w:val="00F10F1B"/>
    <w:rsid w:val="00F13381"/>
    <w:rsid w:val="00F14179"/>
    <w:rsid w:val="00F15090"/>
    <w:rsid w:val="00F15786"/>
    <w:rsid w:val="00F167C5"/>
    <w:rsid w:val="00F20B5A"/>
    <w:rsid w:val="00F21F0B"/>
    <w:rsid w:val="00F236AB"/>
    <w:rsid w:val="00F24EA4"/>
    <w:rsid w:val="00F27087"/>
    <w:rsid w:val="00F2773C"/>
    <w:rsid w:val="00F300B3"/>
    <w:rsid w:val="00F30DB9"/>
    <w:rsid w:val="00F30FB8"/>
    <w:rsid w:val="00F31D68"/>
    <w:rsid w:val="00F33152"/>
    <w:rsid w:val="00F338F2"/>
    <w:rsid w:val="00F349D3"/>
    <w:rsid w:val="00F3533E"/>
    <w:rsid w:val="00F35B84"/>
    <w:rsid w:val="00F402B5"/>
    <w:rsid w:val="00F4072F"/>
    <w:rsid w:val="00F42839"/>
    <w:rsid w:val="00F44CC0"/>
    <w:rsid w:val="00F450BA"/>
    <w:rsid w:val="00F4684B"/>
    <w:rsid w:val="00F46BE9"/>
    <w:rsid w:val="00F47C3B"/>
    <w:rsid w:val="00F506CA"/>
    <w:rsid w:val="00F53A7A"/>
    <w:rsid w:val="00F54FCD"/>
    <w:rsid w:val="00F5785C"/>
    <w:rsid w:val="00F65E3C"/>
    <w:rsid w:val="00F67076"/>
    <w:rsid w:val="00F677FA"/>
    <w:rsid w:val="00F7115A"/>
    <w:rsid w:val="00F717AA"/>
    <w:rsid w:val="00F72714"/>
    <w:rsid w:val="00F744C3"/>
    <w:rsid w:val="00F75EE2"/>
    <w:rsid w:val="00F75F69"/>
    <w:rsid w:val="00F76014"/>
    <w:rsid w:val="00F802D3"/>
    <w:rsid w:val="00F80F94"/>
    <w:rsid w:val="00F81BA2"/>
    <w:rsid w:val="00F823A4"/>
    <w:rsid w:val="00F8412F"/>
    <w:rsid w:val="00F84791"/>
    <w:rsid w:val="00F85995"/>
    <w:rsid w:val="00F85FC5"/>
    <w:rsid w:val="00F86C22"/>
    <w:rsid w:val="00F90CB3"/>
    <w:rsid w:val="00F912A2"/>
    <w:rsid w:val="00F913A3"/>
    <w:rsid w:val="00F925C3"/>
    <w:rsid w:val="00FA0109"/>
    <w:rsid w:val="00FA458B"/>
    <w:rsid w:val="00FA5EC5"/>
    <w:rsid w:val="00FA7016"/>
    <w:rsid w:val="00FA7174"/>
    <w:rsid w:val="00FA793D"/>
    <w:rsid w:val="00FB020E"/>
    <w:rsid w:val="00FB0F17"/>
    <w:rsid w:val="00FB4B9D"/>
    <w:rsid w:val="00FB50ED"/>
    <w:rsid w:val="00FB6E18"/>
    <w:rsid w:val="00FC144B"/>
    <w:rsid w:val="00FC2169"/>
    <w:rsid w:val="00FC28E2"/>
    <w:rsid w:val="00FC3BF6"/>
    <w:rsid w:val="00FC3D22"/>
    <w:rsid w:val="00FC43B1"/>
    <w:rsid w:val="00FC6FE1"/>
    <w:rsid w:val="00FD0C3D"/>
    <w:rsid w:val="00FD2F6B"/>
    <w:rsid w:val="00FD67DA"/>
    <w:rsid w:val="00FE064A"/>
    <w:rsid w:val="00FE0B55"/>
    <w:rsid w:val="00FE1E98"/>
    <w:rsid w:val="00FE2452"/>
    <w:rsid w:val="00FE5469"/>
    <w:rsid w:val="00FE66C2"/>
    <w:rsid w:val="00FE684A"/>
    <w:rsid w:val="00FE6F23"/>
    <w:rsid w:val="00FF0F8C"/>
    <w:rsid w:val="00FF408B"/>
    <w:rsid w:val="00FF43E1"/>
    <w:rsid w:val="00FF6ACF"/>
    <w:rsid w:val="03430854"/>
    <w:rsid w:val="039F5FA6"/>
    <w:rsid w:val="09305ADA"/>
    <w:rsid w:val="0DB9A59D"/>
    <w:rsid w:val="0E8013B7"/>
    <w:rsid w:val="10D604C6"/>
    <w:rsid w:val="11B515E0"/>
    <w:rsid w:val="13A53267"/>
    <w:rsid w:val="13F970D2"/>
    <w:rsid w:val="14AA4136"/>
    <w:rsid w:val="163A420B"/>
    <w:rsid w:val="19413B26"/>
    <w:rsid w:val="1C6D3688"/>
    <w:rsid w:val="1CC63D0A"/>
    <w:rsid w:val="1DC2081A"/>
    <w:rsid w:val="1DD94266"/>
    <w:rsid w:val="1F8679A8"/>
    <w:rsid w:val="1F9D0947"/>
    <w:rsid w:val="1FFB29C6"/>
    <w:rsid w:val="22AF3620"/>
    <w:rsid w:val="22E70AD4"/>
    <w:rsid w:val="24F1508D"/>
    <w:rsid w:val="266F634F"/>
    <w:rsid w:val="291059EA"/>
    <w:rsid w:val="2BBF12EC"/>
    <w:rsid w:val="2BC649D9"/>
    <w:rsid w:val="2CBFC37F"/>
    <w:rsid w:val="3515160D"/>
    <w:rsid w:val="3BCEC69E"/>
    <w:rsid w:val="3C7D00D8"/>
    <w:rsid w:val="3CA06C0C"/>
    <w:rsid w:val="3EA25851"/>
    <w:rsid w:val="3F6C3757"/>
    <w:rsid w:val="405D6A10"/>
    <w:rsid w:val="41DA6594"/>
    <w:rsid w:val="444C1A75"/>
    <w:rsid w:val="44A3526F"/>
    <w:rsid w:val="44B032F4"/>
    <w:rsid w:val="457D25F7"/>
    <w:rsid w:val="468341CD"/>
    <w:rsid w:val="472C2589"/>
    <w:rsid w:val="4A760AEB"/>
    <w:rsid w:val="4F3162CA"/>
    <w:rsid w:val="50D95873"/>
    <w:rsid w:val="526102AF"/>
    <w:rsid w:val="528444DA"/>
    <w:rsid w:val="537745D5"/>
    <w:rsid w:val="552306F6"/>
    <w:rsid w:val="56E352D5"/>
    <w:rsid w:val="57E435FE"/>
    <w:rsid w:val="582D0655"/>
    <w:rsid w:val="5951205C"/>
    <w:rsid w:val="59D079E8"/>
    <w:rsid w:val="59D40847"/>
    <w:rsid w:val="5AE37F25"/>
    <w:rsid w:val="5CB23D47"/>
    <w:rsid w:val="5FAF09C4"/>
    <w:rsid w:val="608C4642"/>
    <w:rsid w:val="62795572"/>
    <w:rsid w:val="64DD6417"/>
    <w:rsid w:val="66004745"/>
    <w:rsid w:val="6A567F20"/>
    <w:rsid w:val="6CD97953"/>
    <w:rsid w:val="6ED30FD7"/>
    <w:rsid w:val="727D78FD"/>
    <w:rsid w:val="73CC655F"/>
    <w:rsid w:val="75957445"/>
    <w:rsid w:val="75A29A12"/>
    <w:rsid w:val="75D01AE1"/>
    <w:rsid w:val="77524363"/>
    <w:rsid w:val="77B917B5"/>
    <w:rsid w:val="78703975"/>
    <w:rsid w:val="7AFF005F"/>
    <w:rsid w:val="7BE420FD"/>
    <w:rsid w:val="7D0D296B"/>
    <w:rsid w:val="7D4E0B54"/>
    <w:rsid w:val="7D503E78"/>
    <w:rsid w:val="7E0160D4"/>
    <w:rsid w:val="B35F7705"/>
    <w:rsid w:val="DB7B955F"/>
    <w:rsid w:val="F97FE4A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nhideWhenUsed="0" w:uiPriority="9" w:semiHidden="0" w:name="heading 4"/>
    <w:lsdException w:qFormat="1" w:unhideWhenUsed="0" w:uiPriority="9" w:semiHidden="0" w:name="heading 5"/>
    <w:lsdException w:qFormat="1" w:unhideWhenUsed="0" w:uiPriority="9" w:semiHidden="0" w:name="heading 6"/>
    <w:lsdException w:qFormat="1" w:unhideWhenUsed="0" w:uiPriority="9" w:semiHidden="0" w:name="heading 7"/>
    <w:lsdException w:qFormat="1" w:unhideWhenUsed="0" w:uiPriority="9" w:semiHidden="0" w:name="heading 8"/>
    <w:lsdException w:qFormat="1" w:unhideWhenUsed="0" w:uiPriority="9"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iPriority="99" w:semiHidden="0" w:name="Normal Indent"/>
    <w:lsdException w:uiPriority="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uiPriority="0" w:name="index heading"/>
    <w:lsdException w:qFormat="1" w:unhideWhenUsed="0" w:uiPriority="0" w:semiHidden="0" w:name="caption"/>
    <w:lsdException w:uiPriority="0" w:name="table of figures"/>
    <w:lsdException w:uiPriority="0" w:name="envelope address"/>
    <w:lsdException w:uiPriority="0" w:name="envelope return"/>
    <w:lsdException w:uiPriority="0" w:name="footnote reference"/>
    <w:lsdException w:qFormat="1" w:unhideWhenUsed="0" w:uiPriority="99" w:semiHidden="0" w:name="annotation reference"/>
    <w:lsdException w:uiPriority="0" w:name="line number"/>
    <w:lsdException w:qFormat="1" w:unhideWhenUsed="0" w:uiPriority="0" w:semiHidden="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iPriority="0" w:semiHidden="0" w:name="Body Text"/>
    <w:lsdException w:qFormat="1" w:unhideWhenUsed="0" w:uiPriority="0" w:semiHidden="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qFormat="1" w:unhideWhenUsed="0" w:uiPriority="0" w:semiHidden="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nhideWhenUsed="0" w:uiPriority="99" w:semiHidden="0" w:name="Hyperlink"/>
    <w:lsdException w:qFormat="1" w:uiPriority="99"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0" w:name="E-mail Signature"/>
    <w:lsdException w:qFormat="1" w:unhideWhenUsed="0"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ind w:firstLine="480" w:firstLineChars="200"/>
      <w:jc w:val="both"/>
    </w:pPr>
    <w:rPr>
      <w:rFonts w:ascii="宋体" w:hAnsi="宋体" w:eastAsia="宋体" w:cs="Times New Roman"/>
      <w:kern w:val="2"/>
      <w:sz w:val="24"/>
      <w:szCs w:val="24"/>
      <w:lang w:val="en-US" w:eastAsia="zh-CN" w:bidi="ar-SA"/>
    </w:rPr>
  </w:style>
  <w:style w:type="paragraph" w:styleId="2">
    <w:name w:val="heading 1"/>
    <w:basedOn w:val="1"/>
    <w:next w:val="1"/>
    <w:link w:val="75"/>
    <w:qFormat/>
    <w:uiPriority w:val="9"/>
    <w:pPr>
      <w:keepNext/>
      <w:keepLines/>
      <w:numPr>
        <w:ilvl w:val="0"/>
        <w:numId w:val="1"/>
      </w:numPr>
      <w:spacing w:before="120" w:after="120"/>
      <w:ind w:firstLine="0" w:firstLineChars="0"/>
      <w:outlineLvl w:val="0"/>
    </w:pPr>
    <w:rPr>
      <w:rFonts w:eastAsia="黑体"/>
      <w:b/>
      <w:bCs/>
      <w:kern w:val="44"/>
      <w:sz w:val="32"/>
      <w:szCs w:val="28"/>
    </w:rPr>
  </w:style>
  <w:style w:type="paragraph" w:styleId="3">
    <w:name w:val="heading 2"/>
    <w:basedOn w:val="1"/>
    <w:next w:val="1"/>
    <w:link w:val="88"/>
    <w:qFormat/>
    <w:uiPriority w:val="9"/>
    <w:pPr>
      <w:keepNext/>
      <w:keepLines/>
      <w:numPr>
        <w:ilvl w:val="1"/>
        <w:numId w:val="1"/>
      </w:numPr>
      <w:spacing w:before="120" w:after="120"/>
      <w:ind w:firstLine="0" w:firstLineChars="0"/>
      <w:outlineLvl w:val="1"/>
    </w:pPr>
    <w:rPr>
      <w:b/>
      <w:bCs/>
      <w:sz w:val="30"/>
      <w:szCs w:val="32"/>
    </w:rPr>
  </w:style>
  <w:style w:type="paragraph" w:styleId="4">
    <w:name w:val="heading 3"/>
    <w:basedOn w:val="1"/>
    <w:next w:val="1"/>
    <w:link w:val="81"/>
    <w:qFormat/>
    <w:uiPriority w:val="9"/>
    <w:pPr>
      <w:keepNext/>
      <w:keepLines/>
      <w:numPr>
        <w:ilvl w:val="2"/>
        <w:numId w:val="1"/>
      </w:numPr>
      <w:spacing w:before="120" w:after="120"/>
      <w:ind w:firstLine="0" w:firstLineChars="0"/>
      <w:outlineLvl w:val="2"/>
    </w:pPr>
    <w:rPr>
      <w:b/>
      <w:bCs/>
      <w:sz w:val="28"/>
      <w:szCs w:val="28"/>
    </w:rPr>
  </w:style>
  <w:style w:type="paragraph" w:styleId="5">
    <w:name w:val="heading 4"/>
    <w:basedOn w:val="1"/>
    <w:next w:val="1"/>
    <w:link w:val="58"/>
    <w:qFormat/>
    <w:uiPriority w:val="9"/>
    <w:pPr>
      <w:keepNext/>
      <w:keepLines/>
      <w:numPr>
        <w:ilvl w:val="3"/>
        <w:numId w:val="1"/>
      </w:numPr>
      <w:spacing w:before="120" w:after="120"/>
      <w:ind w:left="851" w:firstLine="0" w:firstLineChars="0"/>
      <w:outlineLvl w:val="3"/>
    </w:pPr>
    <w:rPr>
      <w:b/>
      <w:bCs/>
      <w:sz w:val="30"/>
      <w:szCs w:val="30"/>
    </w:rPr>
  </w:style>
  <w:style w:type="paragraph" w:styleId="6">
    <w:name w:val="heading 5"/>
    <w:basedOn w:val="1"/>
    <w:next w:val="1"/>
    <w:link w:val="86"/>
    <w:qFormat/>
    <w:uiPriority w:val="9"/>
    <w:pPr>
      <w:keepNext/>
      <w:keepLines/>
      <w:numPr>
        <w:ilvl w:val="4"/>
        <w:numId w:val="1"/>
      </w:numPr>
      <w:spacing w:before="120" w:after="120"/>
      <w:ind w:left="0" w:firstLine="0" w:firstLineChars="0"/>
      <w:outlineLvl w:val="4"/>
    </w:pPr>
    <w:rPr>
      <w:b/>
      <w:bCs/>
      <w:szCs w:val="28"/>
    </w:rPr>
  </w:style>
  <w:style w:type="paragraph" w:styleId="7">
    <w:name w:val="heading 6"/>
    <w:basedOn w:val="1"/>
    <w:next w:val="1"/>
    <w:link w:val="99"/>
    <w:qFormat/>
    <w:uiPriority w:val="9"/>
    <w:pPr>
      <w:keepNext/>
      <w:keepLines/>
      <w:numPr>
        <w:ilvl w:val="5"/>
        <w:numId w:val="1"/>
      </w:numPr>
      <w:spacing w:before="120" w:after="120"/>
      <w:ind w:firstLine="0" w:firstLineChars="0"/>
      <w:outlineLvl w:val="5"/>
    </w:pPr>
    <w:rPr>
      <w:rFonts w:ascii="Cambria" w:hAnsi="Cambria"/>
      <w:b/>
      <w:bCs/>
    </w:rPr>
  </w:style>
  <w:style w:type="paragraph" w:styleId="8">
    <w:name w:val="heading 7"/>
    <w:basedOn w:val="1"/>
    <w:next w:val="1"/>
    <w:link w:val="72"/>
    <w:qFormat/>
    <w:uiPriority w:val="9"/>
    <w:pPr>
      <w:keepNext/>
      <w:keepLines/>
      <w:spacing w:before="240" w:after="64" w:line="319" w:lineRule="auto"/>
      <w:ind w:firstLine="0" w:firstLineChars="0"/>
      <w:outlineLvl w:val="6"/>
    </w:pPr>
    <w:rPr>
      <w:rFonts w:ascii="Times New Roman" w:hAnsi="Times New Roman"/>
      <w:b/>
      <w:bCs/>
      <w:sz w:val="21"/>
    </w:rPr>
  </w:style>
  <w:style w:type="paragraph" w:styleId="9">
    <w:name w:val="heading 8"/>
    <w:basedOn w:val="1"/>
    <w:next w:val="1"/>
    <w:link w:val="98"/>
    <w:qFormat/>
    <w:uiPriority w:val="9"/>
    <w:pPr>
      <w:keepNext/>
      <w:keepLines/>
      <w:spacing w:before="240" w:after="64" w:line="319" w:lineRule="auto"/>
      <w:ind w:firstLine="0" w:firstLineChars="0"/>
      <w:outlineLvl w:val="7"/>
    </w:pPr>
    <w:rPr>
      <w:rFonts w:ascii="Cambria" w:hAnsi="Cambria"/>
      <w:sz w:val="21"/>
    </w:rPr>
  </w:style>
  <w:style w:type="paragraph" w:styleId="10">
    <w:name w:val="heading 9"/>
    <w:basedOn w:val="1"/>
    <w:next w:val="1"/>
    <w:link w:val="48"/>
    <w:qFormat/>
    <w:uiPriority w:val="9"/>
    <w:pPr>
      <w:keepNext/>
      <w:keepLines/>
      <w:spacing w:before="240" w:after="64" w:line="319" w:lineRule="auto"/>
      <w:ind w:firstLine="0" w:firstLineChars="0"/>
      <w:outlineLvl w:val="8"/>
    </w:pPr>
    <w:rPr>
      <w:rFonts w:ascii="Cambria" w:hAnsi="Cambria"/>
      <w:sz w:val="21"/>
      <w:szCs w:val="21"/>
    </w:rPr>
  </w:style>
  <w:style w:type="character" w:default="1" w:styleId="37">
    <w:name w:val="Default Paragraph Font"/>
    <w:semiHidden/>
    <w:unhideWhenUsed/>
    <w:qFormat/>
    <w:uiPriority w:val="1"/>
  </w:style>
  <w:style w:type="table" w:default="1" w:styleId="35">
    <w:name w:val="Normal Table"/>
    <w:semiHidden/>
    <w:unhideWhenUsed/>
    <w:qFormat/>
    <w:uiPriority w:val="99"/>
    <w:tblPr>
      <w:tblCellMar>
        <w:top w:w="0" w:type="dxa"/>
        <w:left w:w="108" w:type="dxa"/>
        <w:bottom w:w="0" w:type="dxa"/>
        <w:right w:w="108" w:type="dxa"/>
      </w:tblCellMar>
    </w:tblPr>
  </w:style>
  <w:style w:type="paragraph" w:styleId="11">
    <w:name w:val="toc 7"/>
    <w:basedOn w:val="1"/>
    <w:next w:val="1"/>
    <w:unhideWhenUsed/>
    <w:qFormat/>
    <w:uiPriority w:val="39"/>
    <w:pPr>
      <w:ind w:left="2520" w:leftChars="1200"/>
    </w:pPr>
    <w:rPr>
      <w:rFonts w:ascii="等线" w:hAnsi="等线" w:eastAsia="等线"/>
      <w:szCs w:val="22"/>
    </w:rPr>
  </w:style>
  <w:style w:type="paragraph" w:styleId="12">
    <w:name w:val="Normal Indent"/>
    <w:basedOn w:val="1"/>
    <w:unhideWhenUsed/>
    <w:qFormat/>
    <w:uiPriority w:val="99"/>
    <w:pPr>
      <w:spacing w:line="240" w:lineRule="auto"/>
      <w:ind w:firstLine="420"/>
    </w:pPr>
    <w:rPr>
      <w:rFonts w:ascii="Calibri" w:hAnsi="Calibri"/>
      <w:sz w:val="21"/>
    </w:rPr>
  </w:style>
  <w:style w:type="paragraph" w:styleId="13">
    <w:name w:val="caption"/>
    <w:basedOn w:val="1"/>
    <w:next w:val="1"/>
    <w:link w:val="54"/>
    <w:qFormat/>
    <w:uiPriority w:val="0"/>
    <w:pPr>
      <w:spacing w:afterLines="50"/>
      <w:ind w:firstLine="200"/>
    </w:pPr>
    <w:rPr>
      <w:rFonts w:ascii="Arial" w:hAnsi="Arial" w:eastAsia="黑体"/>
      <w:sz w:val="20"/>
      <w:szCs w:val="20"/>
    </w:rPr>
  </w:style>
  <w:style w:type="paragraph" w:styleId="14">
    <w:name w:val="Document Map"/>
    <w:basedOn w:val="1"/>
    <w:link w:val="91"/>
    <w:qFormat/>
    <w:uiPriority w:val="0"/>
    <w:rPr>
      <w:rFonts w:hAnsi="Times New Roman"/>
      <w:sz w:val="18"/>
      <w:szCs w:val="18"/>
    </w:rPr>
  </w:style>
  <w:style w:type="paragraph" w:styleId="15">
    <w:name w:val="annotation text"/>
    <w:basedOn w:val="1"/>
    <w:link w:val="45"/>
    <w:qFormat/>
    <w:uiPriority w:val="99"/>
    <w:pPr>
      <w:jc w:val="left"/>
    </w:pPr>
    <w:rPr>
      <w:rFonts w:ascii="Times New Roman" w:hAnsi="Times New Roman" w:eastAsia="仿宋"/>
      <w:sz w:val="28"/>
    </w:rPr>
  </w:style>
  <w:style w:type="paragraph" w:styleId="16">
    <w:name w:val="Body Text"/>
    <w:basedOn w:val="1"/>
    <w:link w:val="59"/>
    <w:unhideWhenUsed/>
    <w:qFormat/>
    <w:uiPriority w:val="0"/>
    <w:pPr>
      <w:spacing w:after="120" w:line="240" w:lineRule="auto"/>
      <w:ind w:firstLine="0" w:firstLineChars="0"/>
    </w:pPr>
    <w:rPr>
      <w:rFonts w:ascii="Times New Roman" w:hAnsi="Times New Roman"/>
      <w:sz w:val="21"/>
    </w:rPr>
  </w:style>
  <w:style w:type="paragraph" w:styleId="17">
    <w:name w:val="Body Text Indent"/>
    <w:basedOn w:val="1"/>
    <w:link w:val="85"/>
    <w:qFormat/>
    <w:uiPriority w:val="0"/>
    <w:pPr>
      <w:spacing w:after="120"/>
      <w:ind w:firstLine="200"/>
    </w:pPr>
    <w:rPr>
      <w:rFonts w:ascii="Times New Roman" w:hAnsi="Times New Roman"/>
      <w:sz w:val="21"/>
      <w:szCs w:val="20"/>
    </w:rPr>
  </w:style>
  <w:style w:type="paragraph" w:styleId="18">
    <w:name w:val="toc 5"/>
    <w:basedOn w:val="1"/>
    <w:next w:val="1"/>
    <w:unhideWhenUsed/>
    <w:qFormat/>
    <w:uiPriority w:val="39"/>
    <w:pPr>
      <w:ind w:left="1680" w:leftChars="800"/>
    </w:pPr>
    <w:rPr>
      <w:rFonts w:ascii="等线" w:hAnsi="等线" w:eastAsia="等线"/>
      <w:szCs w:val="22"/>
    </w:rPr>
  </w:style>
  <w:style w:type="paragraph" w:styleId="19">
    <w:name w:val="toc 3"/>
    <w:basedOn w:val="1"/>
    <w:next w:val="1"/>
    <w:qFormat/>
    <w:uiPriority w:val="39"/>
    <w:pPr>
      <w:tabs>
        <w:tab w:val="right" w:leader="dot" w:pos="8302"/>
      </w:tabs>
      <w:ind w:left="840" w:leftChars="400"/>
    </w:pPr>
  </w:style>
  <w:style w:type="paragraph" w:styleId="20">
    <w:name w:val="Plain Text"/>
    <w:basedOn w:val="1"/>
    <w:link w:val="66"/>
    <w:qFormat/>
    <w:uiPriority w:val="0"/>
    <w:pPr>
      <w:spacing w:line="240" w:lineRule="auto"/>
      <w:ind w:firstLine="0" w:firstLineChars="0"/>
    </w:pPr>
    <w:rPr>
      <w:rFonts w:hAnsi="Courier New"/>
      <w:sz w:val="21"/>
      <w:szCs w:val="20"/>
    </w:rPr>
  </w:style>
  <w:style w:type="paragraph" w:styleId="21">
    <w:name w:val="toc 8"/>
    <w:basedOn w:val="1"/>
    <w:next w:val="1"/>
    <w:unhideWhenUsed/>
    <w:qFormat/>
    <w:uiPriority w:val="39"/>
    <w:pPr>
      <w:ind w:left="2940" w:leftChars="1400"/>
    </w:pPr>
    <w:rPr>
      <w:rFonts w:ascii="等线" w:hAnsi="等线" w:eastAsia="等线"/>
      <w:szCs w:val="22"/>
    </w:rPr>
  </w:style>
  <w:style w:type="paragraph" w:styleId="22">
    <w:name w:val="Date"/>
    <w:basedOn w:val="1"/>
    <w:next w:val="1"/>
    <w:link w:val="47"/>
    <w:qFormat/>
    <w:uiPriority w:val="0"/>
    <w:pPr>
      <w:ind w:left="100" w:leftChars="2500"/>
    </w:pPr>
    <w:rPr>
      <w:rFonts w:ascii="Times New Roman" w:hAnsi="Times New Roman"/>
      <w:sz w:val="21"/>
    </w:rPr>
  </w:style>
  <w:style w:type="paragraph" w:styleId="23">
    <w:name w:val="Balloon Text"/>
    <w:basedOn w:val="1"/>
    <w:link w:val="96"/>
    <w:qFormat/>
    <w:uiPriority w:val="0"/>
    <w:rPr>
      <w:rFonts w:ascii="Times New Roman" w:hAnsi="Times New Roman"/>
      <w:sz w:val="18"/>
      <w:szCs w:val="18"/>
    </w:rPr>
  </w:style>
  <w:style w:type="paragraph" w:styleId="24">
    <w:name w:val="footer"/>
    <w:basedOn w:val="1"/>
    <w:link w:val="89"/>
    <w:qFormat/>
    <w:uiPriority w:val="99"/>
    <w:pPr>
      <w:tabs>
        <w:tab w:val="center" w:pos="4153"/>
        <w:tab w:val="right" w:pos="8306"/>
      </w:tabs>
      <w:snapToGrid w:val="0"/>
      <w:jc w:val="center"/>
    </w:pPr>
    <w:rPr>
      <w:rFonts w:ascii="Times New Roman" w:hAnsi="Times New Roman"/>
      <w:sz w:val="18"/>
      <w:szCs w:val="18"/>
    </w:rPr>
  </w:style>
  <w:style w:type="paragraph" w:styleId="25">
    <w:name w:val="header"/>
    <w:basedOn w:val="1"/>
    <w:link w:val="97"/>
    <w:qFormat/>
    <w:uiPriority w:val="99"/>
    <w:pPr>
      <w:pBdr>
        <w:bottom w:val="single" w:color="auto" w:sz="4" w:space="0"/>
      </w:pBdr>
      <w:tabs>
        <w:tab w:val="center" w:pos="4153"/>
        <w:tab w:val="right" w:pos="8306"/>
      </w:tabs>
      <w:snapToGrid w:val="0"/>
      <w:jc w:val="center"/>
    </w:pPr>
    <w:rPr>
      <w:rFonts w:ascii="Times New Roman" w:hAnsi="Times New Roman"/>
      <w:sz w:val="18"/>
      <w:szCs w:val="18"/>
    </w:rPr>
  </w:style>
  <w:style w:type="paragraph" w:styleId="26">
    <w:name w:val="toc 1"/>
    <w:basedOn w:val="1"/>
    <w:next w:val="1"/>
    <w:qFormat/>
    <w:uiPriority w:val="39"/>
  </w:style>
  <w:style w:type="paragraph" w:styleId="27">
    <w:name w:val="toc 4"/>
    <w:basedOn w:val="1"/>
    <w:next w:val="1"/>
    <w:unhideWhenUsed/>
    <w:qFormat/>
    <w:uiPriority w:val="39"/>
    <w:pPr>
      <w:ind w:left="1260" w:leftChars="600"/>
    </w:pPr>
    <w:rPr>
      <w:rFonts w:ascii="等线" w:hAnsi="等线" w:eastAsia="等线"/>
      <w:szCs w:val="22"/>
    </w:rPr>
  </w:style>
  <w:style w:type="paragraph" w:styleId="28">
    <w:name w:val="Subtitle"/>
    <w:basedOn w:val="1"/>
    <w:next w:val="1"/>
    <w:link w:val="87"/>
    <w:qFormat/>
    <w:uiPriority w:val="0"/>
    <w:pPr>
      <w:spacing w:before="240" w:after="60" w:line="312" w:lineRule="auto"/>
      <w:jc w:val="center"/>
      <w:outlineLvl w:val="1"/>
    </w:pPr>
    <w:rPr>
      <w:rFonts w:ascii="Calibri Light" w:hAnsi="Calibri Light"/>
      <w:b/>
      <w:bCs/>
      <w:kern w:val="28"/>
      <w:sz w:val="32"/>
      <w:szCs w:val="32"/>
    </w:rPr>
  </w:style>
  <w:style w:type="paragraph" w:styleId="29">
    <w:name w:val="toc 6"/>
    <w:basedOn w:val="1"/>
    <w:next w:val="1"/>
    <w:unhideWhenUsed/>
    <w:qFormat/>
    <w:uiPriority w:val="39"/>
    <w:pPr>
      <w:ind w:left="2100" w:leftChars="1000"/>
    </w:pPr>
    <w:rPr>
      <w:rFonts w:ascii="等线" w:hAnsi="等线" w:eastAsia="等线"/>
      <w:szCs w:val="22"/>
    </w:rPr>
  </w:style>
  <w:style w:type="paragraph" w:styleId="30">
    <w:name w:val="toc 2"/>
    <w:basedOn w:val="1"/>
    <w:next w:val="1"/>
    <w:qFormat/>
    <w:uiPriority w:val="39"/>
    <w:pPr>
      <w:tabs>
        <w:tab w:val="right" w:leader="dot" w:pos="8302"/>
      </w:tabs>
      <w:ind w:left="420" w:leftChars="200"/>
    </w:pPr>
  </w:style>
  <w:style w:type="paragraph" w:styleId="31">
    <w:name w:val="toc 9"/>
    <w:basedOn w:val="1"/>
    <w:next w:val="1"/>
    <w:unhideWhenUsed/>
    <w:qFormat/>
    <w:uiPriority w:val="39"/>
    <w:pPr>
      <w:ind w:left="3360" w:leftChars="1600"/>
    </w:pPr>
    <w:rPr>
      <w:rFonts w:ascii="等线" w:hAnsi="等线" w:eastAsia="等线"/>
      <w:szCs w:val="22"/>
    </w:rPr>
  </w:style>
  <w:style w:type="paragraph" w:styleId="32">
    <w:name w:val="Normal (Web)"/>
    <w:basedOn w:val="1"/>
    <w:qFormat/>
    <w:uiPriority w:val="99"/>
    <w:pPr>
      <w:widowControl/>
      <w:spacing w:before="100" w:after="100"/>
      <w:jc w:val="left"/>
    </w:pPr>
    <w:rPr>
      <w:rFonts w:hint="eastAsia" w:ascii="Arial Unicode MS" w:hAnsi="Arial Unicode MS" w:eastAsia="Arial Unicode MS"/>
      <w:kern w:val="0"/>
    </w:rPr>
  </w:style>
  <w:style w:type="paragraph" w:styleId="33">
    <w:name w:val="Title"/>
    <w:basedOn w:val="1"/>
    <w:next w:val="1"/>
    <w:link w:val="95"/>
    <w:qFormat/>
    <w:uiPriority w:val="0"/>
    <w:pPr>
      <w:spacing w:before="240" w:after="60" w:line="960" w:lineRule="auto"/>
      <w:jc w:val="center"/>
    </w:pPr>
    <w:rPr>
      <w:rFonts w:ascii="Cambria" w:hAnsi="Cambria" w:eastAsia="黑体"/>
      <w:b/>
      <w:bCs/>
      <w:sz w:val="52"/>
      <w:szCs w:val="32"/>
    </w:rPr>
  </w:style>
  <w:style w:type="paragraph" w:styleId="34">
    <w:name w:val="annotation subject"/>
    <w:basedOn w:val="15"/>
    <w:next w:val="15"/>
    <w:link w:val="83"/>
    <w:qFormat/>
    <w:uiPriority w:val="0"/>
    <w:rPr>
      <w:b/>
      <w:bCs/>
      <w:sz w:val="21"/>
    </w:rPr>
  </w:style>
  <w:style w:type="table" w:styleId="36">
    <w:name w:val="Table Grid"/>
    <w:basedOn w:val="35"/>
    <w:qFormat/>
    <w:uiPriority w:val="59"/>
    <w:pPr>
      <w:widowControl w:val="0"/>
      <w:jc w:val="both"/>
    </w:pPr>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8">
    <w:name w:val="page number"/>
    <w:basedOn w:val="37"/>
    <w:qFormat/>
    <w:uiPriority w:val="0"/>
  </w:style>
  <w:style w:type="character" w:styleId="39">
    <w:name w:val="FollowedHyperlink"/>
    <w:unhideWhenUsed/>
    <w:qFormat/>
    <w:uiPriority w:val="99"/>
    <w:rPr>
      <w:color w:val="954F72"/>
      <w:u w:val="single"/>
    </w:rPr>
  </w:style>
  <w:style w:type="character" w:styleId="40">
    <w:name w:val="Hyperlink"/>
    <w:qFormat/>
    <w:uiPriority w:val="99"/>
    <w:rPr>
      <w:color w:val="0000FF"/>
      <w:u w:val="single"/>
    </w:rPr>
  </w:style>
  <w:style w:type="character" w:styleId="41">
    <w:name w:val="annotation reference"/>
    <w:qFormat/>
    <w:uiPriority w:val="99"/>
    <w:rPr>
      <w:sz w:val="21"/>
      <w:szCs w:val="21"/>
    </w:rPr>
  </w:style>
  <w:style w:type="character" w:customStyle="1" w:styleId="42">
    <w:name w:val="标题 3 字符1"/>
    <w:qFormat/>
    <w:uiPriority w:val="0"/>
    <w:rPr>
      <w:rFonts w:ascii="宋体" w:hAnsi="宋体"/>
      <w:b/>
      <w:bCs/>
      <w:kern w:val="2"/>
      <w:sz w:val="28"/>
      <w:szCs w:val="28"/>
    </w:rPr>
  </w:style>
  <w:style w:type="character" w:customStyle="1" w:styleId="43">
    <w:name w:val="首行缩进正文 Char"/>
    <w:link w:val="44"/>
    <w:qFormat/>
    <w:uiPriority w:val="0"/>
    <w:rPr>
      <w:kern w:val="2"/>
      <w:sz w:val="24"/>
    </w:rPr>
  </w:style>
  <w:style w:type="paragraph" w:customStyle="1" w:styleId="44">
    <w:name w:val="首行缩进正文"/>
    <w:basedOn w:val="1"/>
    <w:link w:val="43"/>
    <w:qFormat/>
    <w:uiPriority w:val="0"/>
    <w:pPr>
      <w:widowControl/>
      <w:adjustRightInd w:val="0"/>
      <w:snapToGrid w:val="0"/>
      <w:spacing w:afterLines="50" w:line="276" w:lineRule="auto"/>
      <w:ind w:firstLine="420" w:firstLineChars="0"/>
      <w:jc w:val="left"/>
    </w:pPr>
    <w:rPr>
      <w:rFonts w:ascii="Times New Roman" w:hAnsi="Times New Roman"/>
      <w:szCs w:val="20"/>
    </w:rPr>
  </w:style>
  <w:style w:type="character" w:customStyle="1" w:styleId="45">
    <w:name w:val="批注文字 Char"/>
    <w:link w:val="15"/>
    <w:qFormat/>
    <w:uiPriority w:val="99"/>
    <w:rPr>
      <w:rFonts w:eastAsia="仿宋"/>
      <w:kern w:val="2"/>
      <w:sz w:val="28"/>
      <w:szCs w:val="24"/>
    </w:rPr>
  </w:style>
  <w:style w:type="character" w:customStyle="1" w:styleId="46">
    <w:name w:val="日期 字符"/>
    <w:semiHidden/>
    <w:qFormat/>
    <w:uiPriority w:val="99"/>
    <w:rPr>
      <w:rFonts w:ascii="宋体" w:hAnsi="宋体"/>
      <w:kern w:val="2"/>
      <w:sz w:val="24"/>
      <w:szCs w:val="24"/>
    </w:rPr>
  </w:style>
  <w:style w:type="character" w:customStyle="1" w:styleId="47">
    <w:name w:val="日期 Char"/>
    <w:link w:val="22"/>
    <w:qFormat/>
    <w:uiPriority w:val="0"/>
    <w:rPr>
      <w:kern w:val="2"/>
      <w:sz w:val="21"/>
      <w:szCs w:val="24"/>
    </w:rPr>
  </w:style>
  <w:style w:type="character" w:customStyle="1" w:styleId="48">
    <w:name w:val="标题 9 Char"/>
    <w:link w:val="10"/>
    <w:qFormat/>
    <w:uiPriority w:val="9"/>
    <w:rPr>
      <w:rFonts w:ascii="Cambria" w:hAnsi="Cambria"/>
      <w:kern w:val="2"/>
      <w:sz w:val="21"/>
      <w:szCs w:val="21"/>
    </w:rPr>
  </w:style>
  <w:style w:type="character" w:customStyle="1" w:styleId="49">
    <w:name w:val="未处理的提及1"/>
    <w:unhideWhenUsed/>
    <w:qFormat/>
    <w:uiPriority w:val="99"/>
    <w:rPr>
      <w:color w:val="605E5C"/>
      <w:shd w:val="clear" w:color="auto" w:fill="E1DFDD"/>
    </w:rPr>
  </w:style>
  <w:style w:type="character" w:customStyle="1" w:styleId="50">
    <w:name w:val="标题 1 字符"/>
    <w:qFormat/>
    <w:uiPriority w:val="9"/>
    <w:rPr>
      <w:rFonts w:ascii="宋体" w:hAnsi="宋体"/>
      <w:b/>
      <w:bCs/>
      <w:kern w:val="44"/>
      <w:sz w:val="44"/>
      <w:szCs w:val="44"/>
    </w:rPr>
  </w:style>
  <w:style w:type="character" w:customStyle="1" w:styleId="51">
    <w:name w:val="标题 3 字符"/>
    <w:semiHidden/>
    <w:qFormat/>
    <w:uiPriority w:val="9"/>
    <w:rPr>
      <w:rFonts w:ascii="宋体" w:hAnsi="宋体"/>
      <w:b/>
      <w:bCs/>
      <w:kern w:val="2"/>
      <w:sz w:val="32"/>
      <w:szCs w:val="32"/>
    </w:rPr>
  </w:style>
  <w:style w:type="character" w:customStyle="1" w:styleId="52">
    <w:name w:val="页脚 字符"/>
    <w:qFormat/>
    <w:uiPriority w:val="99"/>
  </w:style>
  <w:style w:type="character" w:customStyle="1" w:styleId="53">
    <w:name w:val="标题 5 字符"/>
    <w:semiHidden/>
    <w:qFormat/>
    <w:uiPriority w:val="9"/>
    <w:rPr>
      <w:rFonts w:ascii="宋体" w:hAnsi="宋体"/>
      <w:b/>
      <w:bCs/>
      <w:kern w:val="2"/>
      <w:sz w:val="28"/>
      <w:szCs w:val="28"/>
    </w:rPr>
  </w:style>
  <w:style w:type="character" w:customStyle="1" w:styleId="54">
    <w:name w:val="题注 Char"/>
    <w:link w:val="13"/>
    <w:qFormat/>
    <w:locked/>
    <w:uiPriority w:val="0"/>
    <w:rPr>
      <w:rFonts w:ascii="Arial" w:hAnsi="Arial" w:eastAsia="黑体"/>
      <w:kern w:val="2"/>
    </w:rPr>
  </w:style>
  <w:style w:type="character" w:customStyle="1" w:styleId="55">
    <w:name w:val="标题 2 字符"/>
    <w:semiHidden/>
    <w:qFormat/>
    <w:uiPriority w:val="9"/>
    <w:rPr>
      <w:rFonts w:ascii="等线 Light" w:hAnsi="等线 Light" w:eastAsia="等线 Light" w:cs="Times New Roman"/>
      <w:b/>
      <w:bCs/>
      <w:kern w:val="2"/>
      <w:sz w:val="32"/>
      <w:szCs w:val="32"/>
    </w:rPr>
  </w:style>
  <w:style w:type="character" w:customStyle="1" w:styleId="56">
    <w:name w:val="纯文本 字符"/>
    <w:qFormat/>
    <w:uiPriority w:val="0"/>
    <w:rPr>
      <w:rFonts w:ascii="宋体" w:hAnsi="Courier New" w:cs="Courier New"/>
      <w:kern w:val="2"/>
      <w:sz w:val="21"/>
      <w:szCs w:val="21"/>
    </w:rPr>
  </w:style>
  <w:style w:type="character" w:customStyle="1" w:styleId="57">
    <w:name w:val="列表段落 字符"/>
    <w:qFormat/>
    <w:uiPriority w:val="34"/>
    <w:rPr>
      <w:kern w:val="2"/>
      <w:sz w:val="21"/>
      <w:szCs w:val="22"/>
    </w:rPr>
  </w:style>
  <w:style w:type="character" w:customStyle="1" w:styleId="58">
    <w:name w:val="标题 4 Char"/>
    <w:link w:val="5"/>
    <w:qFormat/>
    <w:uiPriority w:val="0"/>
    <w:rPr>
      <w:rFonts w:ascii="宋体" w:hAnsi="宋体"/>
      <w:b/>
      <w:bCs/>
      <w:kern w:val="2"/>
      <w:sz w:val="30"/>
      <w:szCs w:val="30"/>
    </w:rPr>
  </w:style>
  <w:style w:type="character" w:customStyle="1" w:styleId="59">
    <w:name w:val="正文文本 Char"/>
    <w:link w:val="16"/>
    <w:qFormat/>
    <w:uiPriority w:val="0"/>
    <w:rPr>
      <w:kern w:val="2"/>
      <w:sz w:val="21"/>
      <w:szCs w:val="24"/>
    </w:rPr>
  </w:style>
  <w:style w:type="character" w:customStyle="1" w:styleId="60">
    <w:name w:val="列出段落 Char"/>
    <w:link w:val="61"/>
    <w:qFormat/>
    <w:uiPriority w:val="34"/>
    <w:rPr>
      <w:kern w:val="2"/>
      <w:sz w:val="21"/>
      <w:szCs w:val="24"/>
    </w:rPr>
  </w:style>
  <w:style w:type="paragraph" w:styleId="61">
    <w:name w:val="List Paragraph"/>
    <w:basedOn w:val="1"/>
    <w:link w:val="60"/>
    <w:qFormat/>
    <w:uiPriority w:val="34"/>
    <w:pPr>
      <w:ind w:firstLine="420"/>
    </w:pPr>
    <w:rPr>
      <w:rFonts w:ascii="Times New Roman" w:hAnsi="Times New Roman"/>
      <w:sz w:val="21"/>
    </w:rPr>
  </w:style>
  <w:style w:type="character" w:customStyle="1" w:styleId="62">
    <w:name w:val="font21"/>
    <w:qFormat/>
    <w:uiPriority w:val="0"/>
    <w:rPr>
      <w:rFonts w:ascii="Calibri" w:hAnsi="Calibri" w:cs="Calibri"/>
      <w:color w:val="000000"/>
      <w:sz w:val="21"/>
      <w:szCs w:val="21"/>
      <w:u w:val="none"/>
    </w:rPr>
  </w:style>
  <w:style w:type="character" w:customStyle="1" w:styleId="63">
    <w:name w:val="*正文 Char"/>
    <w:link w:val="64"/>
    <w:qFormat/>
    <w:uiPriority w:val="0"/>
    <w:rPr>
      <w:rFonts w:ascii="time" w:hAnsi="time"/>
      <w:sz w:val="24"/>
      <w:szCs w:val="24"/>
      <w:lang w:bidi="en-US"/>
    </w:rPr>
  </w:style>
  <w:style w:type="paragraph" w:customStyle="1" w:styleId="64">
    <w:name w:val="*正文"/>
    <w:basedOn w:val="1"/>
    <w:link w:val="63"/>
    <w:qFormat/>
    <w:uiPriority w:val="0"/>
    <w:pPr>
      <w:widowControl/>
      <w:ind w:firstLine="200"/>
      <w:contextualSpacing/>
    </w:pPr>
    <w:rPr>
      <w:rFonts w:ascii="time" w:hAnsi="time"/>
      <w:kern w:val="0"/>
      <w:lang w:bidi="en-US"/>
    </w:rPr>
  </w:style>
  <w:style w:type="character" w:customStyle="1" w:styleId="65">
    <w:name w:val="正文文本缩进 字符"/>
    <w:semiHidden/>
    <w:qFormat/>
    <w:uiPriority w:val="99"/>
    <w:rPr>
      <w:rFonts w:ascii="宋体" w:hAnsi="宋体"/>
      <w:kern w:val="2"/>
      <w:sz w:val="24"/>
      <w:szCs w:val="24"/>
    </w:rPr>
  </w:style>
  <w:style w:type="character" w:customStyle="1" w:styleId="66">
    <w:name w:val="纯文本 Char"/>
    <w:link w:val="20"/>
    <w:qFormat/>
    <w:locked/>
    <w:uiPriority w:val="0"/>
    <w:rPr>
      <w:rFonts w:ascii="宋体" w:hAnsi="Courier New"/>
      <w:kern w:val="2"/>
      <w:sz w:val="21"/>
    </w:rPr>
  </w:style>
  <w:style w:type="character" w:customStyle="1" w:styleId="67">
    <w:name w:val="my正文 Char"/>
    <w:link w:val="68"/>
    <w:qFormat/>
    <w:uiPriority w:val="0"/>
    <w:rPr>
      <w:kern w:val="2"/>
      <w:sz w:val="21"/>
      <w:szCs w:val="24"/>
    </w:rPr>
  </w:style>
  <w:style w:type="paragraph" w:customStyle="1" w:styleId="68">
    <w:name w:val="my正文"/>
    <w:basedOn w:val="1"/>
    <w:link w:val="67"/>
    <w:qFormat/>
    <w:uiPriority w:val="0"/>
    <w:pPr>
      <w:spacing w:line="240" w:lineRule="auto"/>
      <w:ind w:firstLine="0" w:firstLineChars="0"/>
    </w:pPr>
    <w:rPr>
      <w:rFonts w:ascii="Times New Roman" w:hAnsi="Times New Roman"/>
      <w:sz w:val="21"/>
    </w:rPr>
  </w:style>
  <w:style w:type="character" w:customStyle="1" w:styleId="69">
    <w:name w:val="正文2 字符"/>
    <w:link w:val="70"/>
    <w:qFormat/>
    <w:uiPriority w:val="0"/>
    <w:rPr>
      <w:kern w:val="2"/>
      <w:sz w:val="21"/>
      <w:szCs w:val="24"/>
    </w:rPr>
  </w:style>
  <w:style w:type="paragraph" w:customStyle="1" w:styleId="70">
    <w:name w:val="正文2"/>
    <w:basedOn w:val="1"/>
    <w:link w:val="69"/>
    <w:qFormat/>
    <w:uiPriority w:val="0"/>
    <w:pPr>
      <w:ind w:firstLine="420"/>
    </w:pPr>
    <w:rPr>
      <w:rFonts w:ascii="Times New Roman" w:hAnsi="Times New Roman"/>
      <w:sz w:val="21"/>
    </w:rPr>
  </w:style>
  <w:style w:type="character" w:customStyle="1" w:styleId="71">
    <w:name w:val="font41"/>
    <w:qFormat/>
    <w:uiPriority w:val="0"/>
    <w:rPr>
      <w:rFonts w:hint="eastAsia" w:ascii="宋体" w:hAnsi="宋体" w:eastAsia="宋体" w:cs="宋体"/>
      <w:color w:val="000000"/>
      <w:sz w:val="21"/>
      <w:szCs w:val="21"/>
      <w:u w:val="none"/>
    </w:rPr>
  </w:style>
  <w:style w:type="character" w:customStyle="1" w:styleId="72">
    <w:name w:val="标题 7 Char"/>
    <w:link w:val="8"/>
    <w:qFormat/>
    <w:uiPriority w:val="9"/>
    <w:rPr>
      <w:b/>
      <w:bCs/>
      <w:kern w:val="2"/>
      <w:sz w:val="21"/>
      <w:szCs w:val="24"/>
    </w:rPr>
  </w:style>
  <w:style w:type="character" w:customStyle="1" w:styleId="73">
    <w:name w:val="批注框文本 字符"/>
    <w:semiHidden/>
    <w:qFormat/>
    <w:uiPriority w:val="99"/>
    <w:rPr>
      <w:rFonts w:ascii="宋体" w:hAnsi="宋体"/>
      <w:kern w:val="2"/>
      <w:sz w:val="18"/>
      <w:szCs w:val="18"/>
    </w:rPr>
  </w:style>
  <w:style w:type="character" w:customStyle="1" w:styleId="74">
    <w:name w:val="副标题 Char1"/>
    <w:qFormat/>
    <w:uiPriority w:val="0"/>
    <w:rPr>
      <w:rFonts w:ascii="Calibri Light" w:hAnsi="Calibri Light" w:cs="Times New Roman"/>
      <w:b/>
      <w:bCs/>
      <w:kern w:val="28"/>
      <w:sz w:val="32"/>
      <w:szCs w:val="32"/>
    </w:rPr>
  </w:style>
  <w:style w:type="character" w:customStyle="1" w:styleId="75">
    <w:name w:val="标题 1 Char1"/>
    <w:link w:val="2"/>
    <w:qFormat/>
    <w:uiPriority w:val="0"/>
    <w:rPr>
      <w:rFonts w:ascii="宋体" w:hAnsi="宋体" w:eastAsia="黑体"/>
      <w:b/>
      <w:bCs/>
      <w:kern w:val="44"/>
      <w:sz w:val="32"/>
      <w:szCs w:val="28"/>
    </w:rPr>
  </w:style>
  <w:style w:type="character" w:customStyle="1" w:styleId="76">
    <w:name w:val="批注文字 字符"/>
    <w:qFormat/>
    <w:uiPriority w:val="99"/>
    <w:rPr>
      <w:rFonts w:ascii="宋体" w:hAnsi="宋体"/>
      <w:kern w:val="2"/>
      <w:sz w:val="24"/>
      <w:szCs w:val="24"/>
    </w:rPr>
  </w:style>
  <w:style w:type="character" w:customStyle="1" w:styleId="77">
    <w:name w:val="文档结构图 字符"/>
    <w:semiHidden/>
    <w:qFormat/>
    <w:uiPriority w:val="99"/>
    <w:rPr>
      <w:rFonts w:ascii="Microsoft YaHei UI" w:hAnsi="宋体" w:eastAsia="Microsoft YaHei UI"/>
      <w:kern w:val="2"/>
      <w:sz w:val="18"/>
      <w:szCs w:val="18"/>
    </w:rPr>
  </w:style>
  <w:style w:type="character" w:customStyle="1" w:styleId="78">
    <w:name w:val="标题 6 字符"/>
    <w:semiHidden/>
    <w:qFormat/>
    <w:uiPriority w:val="9"/>
    <w:rPr>
      <w:rFonts w:ascii="等线 Light" w:hAnsi="等线 Light" w:eastAsia="等线 Light" w:cs="Times New Roman"/>
      <w:b/>
      <w:bCs/>
      <w:kern w:val="2"/>
      <w:sz w:val="24"/>
      <w:szCs w:val="24"/>
    </w:rPr>
  </w:style>
  <w:style w:type="character" w:customStyle="1" w:styleId="79">
    <w:name w:val="正文正文2 Char"/>
    <w:link w:val="80"/>
    <w:qFormat/>
    <w:uiPriority w:val="0"/>
    <w:rPr>
      <w:rFonts w:ascii="宋体" w:hAnsi="宋体"/>
      <w:kern w:val="2"/>
      <w:sz w:val="21"/>
      <w:szCs w:val="21"/>
    </w:rPr>
  </w:style>
  <w:style w:type="paragraph" w:customStyle="1" w:styleId="80">
    <w:name w:val="正文正文2"/>
    <w:basedOn w:val="1"/>
    <w:link w:val="79"/>
    <w:qFormat/>
    <w:uiPriority w:val="0"/>
    <w:pPr>
      <w:ind w:firstLine="460"/>
    </w:pPr>
    <w:rPr>
      <w:sz w:val="21"/>
      <w:szCs w:val="21"/>
    </w:rPr>
  </w:style>
  <w:style w:type="character" w:customStyle="1" w:styleId="81">
    <w:name w:val="标题 3 Char"/>
    <w:link w:val="4"/>
    <w:qFormat/>
    <w:uiPriority w:val="0"/>
    <w:rPr>
      <w:rFonts w:ascii="宋体" w:hAnsi="宋体"/>
      <w:b/>
      <w:bCs/>
      <w:kern w:val="2"/>
      <w:sz w:val="28"/>
      <w:szCs w:val="28"/>
    </w:rPr>
  </w:style>
  <w:style w:type="character" w:customStyle="1" w:styleId="82">
    <w:name w:val="标题 4 字符"/>
    <w:semiHidden/>
    <w:qFormat/>
    <w:uiPriority w:val="9"/>
    <w:rPr>
      <w:rFonts w:ascii="等线 Light" w:hAnsi="等线 Light" w:eastAsia="等线 Light" w:cs="Times New Roman"/>
      <w:b/>
      <w:bCs/>
      <w:kern w:val="2"/>
      <w:sz w:val="28"/>
      <w:szCs w:val="28"/>
    </w:rPr>
  </w:style>
  <w:style w:type="character" w:customStyle="1" w:styleId="83">
    <w:name w:val="批注主题 Char"/>
    <w:link w:val="34"/>
    <w:qFormat/>
    <w:uiPriority w:val="0"/>
    <w:rPr>
      <w:rFonts w:eastAsia="仿宋"/>
      <w:b/>
      <w:bCs/>
      <w:kern w:val="2"/>
      <w:sz w:val="21"/>
      <w:szCs w:val="24"/>
    </w:rPr>
  </w:style>
  <w:style w:type="character" w:customStyle="1" w:styleId="84">
    <w:name w:val="页眉 字符"/>
    <w:qFormat/>
    <w:uiPriority w:val="99"/>
    <w:rPr>
      <w:rFonts w:ascii="宋体" w:hAnsi="宋体"/>
      <w:kern w:val="2"/>
      <w:sz w:val="18"/>
      <w:szCs w:val="18"/>
    </w:rPr>
  </w:style>
  <w:style w:type="character" w:customStyle="1" w:styleId="85">
    <w:name w:val="正文文本缩进 Char"/>
    <w:link w:val="17"/>
    <w:qFormat/>
    <w:uiPriority w:val="0"/>
    <w:rPr>
      <w:kern w:val="2"/>
      <w:sz w:val="21"/>
    </w:rPr>
  </w:style>
  <w:style w:type="character" w:customStyle="1" w:styleId="86">
    <w:name w:val="标题 5 Char"/>
    <w:link w:val="6"/>
    <w:qFormat/>
    <w:uiPriority w:val="0"/>
    <w:rPr>
      <w:rFonts w:ascii="宋体" w:hAnsi="宋体"/>
      <w:b/>
      <w:bCs/>
      <w:kern w:val="2"/>
      <w:sz w:val="24"/>
      <w:szCs w:val="28"/>
    </w:rPr>
  </w:style>
  <w:style w:type="character" w:customStyle="1" w:styleId="87">
    <w:name w:val="副标题 Char"/>
    <w:link w:val="28"/>
    <w:qFormat/>
    <w:uiPriority w:val="0"/>
    <w:rPr>
      <w:rFonts w:ascii="Calibri Light" w:hAnsi="Calibri Light"/>
      <w:b/>
      <w:bCs/>
      <w:kern w:val="28"/>
      <w:sz w:val="32"/>
      <w:szCs w:val="32"/>
    </w:rPr>
  </w:style>
  <w:style w:type="character" w:customStyle="1" w:styleId="88">
    <w:name w:val="标题 2 Char"/>
    <w:link w:val="3"/>
    <w:qFormat/>
    <w:uiPriority w:val="9"/>
    <w:rPr>
      <w:rFonts w:ascii="宋体" w:hAnsi="宋体"/>
      <w:b/>
      <w:bCs/>
      <w:kern w:val="2"/>
      <w:sz w:val="30"/>
      <w:szCs w:val="32"/>
    </w:rPr>
  </w:style>
  <w:style w:type="character" w:customStyle="1" w:styleId="89">
    <w:name w:val="页脚 Char"/>
    <w:link w:val="24"/>
    <w:qFormat/>
    <w:uiPriority w:val="99"/>
    <w:rPr>
      <w:kern w:val="2"/>
      <w:sz w:val="18"/>
      <w:szCs w:val="18"/>
    </w:rPr>
  </w:style>
  <w:style w:type="character" w:customStyle="1" w:styleId="90">
    <w:name w:val="批注主题 字符"/>
    <w:semiHidden/>
    <w:qFormat/>
    <w:uiPriority w:val="99"/>
    <w:rPr>
      <w:rFonts w:ascii="宋体" w:hAnsi="宋体"/>
      <w:b/>
      <w:bCs/>
      <w:kern w:val="2"/>
      <w:sz w:val="24"/>
      <w:szCs w:val="24"/>
    </w:rPr>
  </w:style>
  <w:style w:type="character" w:customStyle="1" w:styleId="91">
    <w:name w:val="文档结构图 Char"/>
    <w:link w:val="14"/>
    <w:qFormat/>
    <w:uiPriority w:val="0"/>
    <w:rPr>
      <w:rFonts w:ascii="宋体"/>
      <w:kern w:val="2"/>
      <w:sz w:val="18"/>
      <w:szCs w:val="18"/>
    </w:rPr>
  </w:style>
  <w:style w:type="character" w:customStyle="1" w:styleId="92">
    <w:name w:val="font31"/>
    <w:qFormat/>
    <w:uiPriority w:val="0"/>
    <w:rPr>
      <w:rFonts w:hint="eastAsia" w:ascii="宋体" w:hAnsi="宋体" w:eastAsia="宋体" w:cs="宋体"/>
      <w:color w:val="000000"/>
      <w:sz w:val="21"/>
      <w:szCs w:val="21"/>
      <w:u w:val="none"/>
    </w:rPr>
  </w:style>
  <w:style w:type="character" w:customStyle="1" w:styleId="93">
    <w:name w:val="标准正文 Char"/>
    <w:link w:val="94"/>
    <w:qFormat/>
    <w:uiPriority w:val="0"/>
    <w:rPr>
      <w:rFonts w:ascii="Arial" w:hAnsi="Arial"/>
      <w:kern w:val="2"/>
      <w:sz w:val="24"/>
    </w:rPr>
  </w:style>
  <w:style w:type="paragraph" w:customStyle="1" w:styleId="94">
    <w:name w:val="标准正文"/>
    <w:basedOn w:val="17"/>
    <w:link w:val="93"/>
    <w:qFormat/>
    <w:uiPriority w:val="0"/>
    <w:pPr>
      <w:spacing w:before="60" w:after="60"/>
      <w:ind w:firstLine="482" w:firstLineChars="0"/>
    </w:pPr>
    <w:rPr>
      <w:rFonts w:ascii="Arial" w:hAnsi="Arial"/>
      <w:sz w:val="24"/>
    </w:rPr>
  </w:style>
  <w:style w:type="character" w:customStyle="1" w:styleId="95">
    <w:name w:val="标题 Char"/>
    <w:link w:val="33"/>
    <w:qFormat/>
    <w:uiPriority w:val="0"/>
    <w:rPr>
      <w:rFonts w:ascii="Cambria" w:hAnsi="Cambria" w:eastAsia="黑体"/>
      <w:b/>
      <w:bCs/>
      <w:kern w:val="2"/>
      <w:sz w:val="52"/>
      <w:szCs w:val="32"/>
    </w:rPr>
  </w:style>
  <w:style w:type="character" w:customStyle="1" w:styleId="96">
    <w:name w:val="批注框文本 Char"/>
    <w:link w:val="23"/>
    <w:qFormat/>
    <w:uiPriority w:val="0"/>
    <w:rPr>
      <w:kern w:val="2"/>
      <w:sz w:val="18"/>
      <w:szCs w:val="18"/>
    </w:rPr>
  </w:style>
  <w:style w:type="character" w:customStyle="1" w:styleId="97">
    <w:name w:val="页眉 Char"/>
    <w:link w:val="25"/>
    <w:qFormat/>
    <w:uiPriority w:val="99"/>
    <w:rPr>
      <w:kern w:val="2"/>
      <w:sz w:val="18"/>
      <w:szCs w:val="18"/>
    </w:rPr>
  </w:style>
  <w:style w:type="character" w:customStyle="1" w:styleId="98">
    <w:name w:val="标题 8 Char"/>
    <w:link w:val="9"/>
    <w:qFormat/>
    <w:uiPriority w:val="9"/>
    <w:rPr>
      <w:rFonts w:ascii="Cambria" w:hAnsi="Cambria"/>
      <w:kern w:val="2"/>
      <w:sz w:val="21"/>
      <w:szCs w:val="24"/>
    </w:rPr>
  </w:style>
  <w:style w:type="character" w:customStyle="1" w:styleId="99">
    <w:name w:val="标题 6 Char"/>
    <w:link w:val="7"/>
    <w:qFormat/>
    <w:uiPriority w:val="0"/>
    <w:rPr>
      <w:rFonts w:ascii="Cambria" w:hAnsi="Cambria"/>
      <w:b/>
      <w:bCs/>
      <w:kern w:val="2"/>
      <w:sz w:val="24"/>
      <w:szCs w:val="24"/>
    </w:rPr>
  </w:style>
  <w:style w:type="character" w:customStyle="1" w:styleId="100">
    <w:name w:val="标题 字符"/>
    <w:qFormat/>
    <w:uiPriority w:val="10"/>
    <w:rPr>
      <w:rFonts w:ascii="等线 Light" w:hAnsi="等线 Light" w:eastAsia="等线 Light" w:cs="Times New Roman"/>
      <w:b/>
      <w:bCs/>
      <w:kern w:val="2"/>
      <w:sz w:val="32"/>
      <w:szCs w:val="32"/>
    </w:rPr>
  </w:style>
  <w:style w:type="character" w:customStyle="1" w:styleId="101">
    <w:name w:val="副标题 字符"/>
    <w:qFormat/>
    <w:uiPriority w:val="11"/>
    <w:rPr>
      <w:rFonts w:ascii="等线" w:hAnsi="等线" w:eastAsia="等线" w:cs="Times New Roman"/>
      <w:b/>
      <w:bCs/>
      <w:kern w:val="28"/>
      <w:sz w:val="32"/>
      <w:szCs w:val="32"/>
    </w:rPr>
  </w:style>
  <w:style w:type="paragraph" w:customStyle="1" w:styleId="102">
    <w:name w:val="xl72"/>
    <w:basedOn w:val="1"/>
    <w:qFormat/>
    <w:uiPriority w:val="0"/>
    <w:pPr>
      <w:widowControl/>
      <w:spacing w:before="100" w:beforeAutospacing="1" w:after="100" w:afterAutospacing="1" w:line="240" w:lineRule="auto"/>
      <w:ind w:firstLine="0" w:firstLineChars="0"/>
      <w:jc w:val="center"/>
    </w:pPr>
    <w:rPr>
      <w:rFonts w:cs="宋体"/>
      <w:kern w:val="0"/>
    </w:rPr>
  </w:style>
  <w:style w:type="paragraph" w:customStyle="1" w:styleId="103">
    <w:name w:val="正文（深信服）"/>
    <w:qFormat/>
    <w:uiPriority w:val="0"/>
    <w:pPr>
      <w:spacing w:line="360" w:lineRule="auto"/>
      <w:ind w:firstLine="420"/>
    </w:pPr>
    <w:rPr>
      <w:rFonts w:ascii="Arial" w:hAnsi="Arial" w:eastAsia="宋体" w:cs="Times New Roman"/>
      <w:sz w:val="24"/>
      <w:szCs w:val="21"/>
      <w:shd w:val="clear" w:color="auto" w:fill="FFFFFF"/>
      <w:lang w:val="en-US" w:eastAsia="zh-CN" w:bidi="ar-SA"/>
    </w:rPr>
  </w:style>
  <w:style w:type="paragraph" w:customStyle="1" w:styleId="104">
    <w:name w:val="xl70"/>
    <w:basedOn w:val="1"/>
    <w:qFormat/>
    <w:uiPriority w:val="0"/>
    <w:pPr>
      <w:widowControl/>
      <w:pBdr>
        <w:bottom w:val="single" w:color="auto" w:sz="4" w:space="0"/>
        <w:right w:val="single" w:color="auto" w:sz="4" w:space="0"/>
      </w:pBdr>
      <w:spacing w:before="100" w:beforeAutospacing="1" w:after="100" w:afterAutospacing="1" w:line="240" w:lineRule="auto"/>
      <w:ind w:firstLine="0" w:firstLineChars="0"/>
      <w:jc w:val="right"/>
      <w:textAlignment w:val="center"/>
    </w:pPr>
    <w:rPr>
      <w:rFonts w:ascii="Microsoft Sans Serif" w:hAnsi="Microsoft Sans Serif" w:cs="Microsoft Sans Serif"/>
      <w:kern w:val="0"/>
      <w:sz w:val="18"/>
      <w:szCs w:val="18"/>
    </w:rPr>
  </w:style>
  <w:style w:type="paragraph" w:customStyle="1" w:styleId="105">
    <w:name w:val="_Style 2"/>
    <w:basedOn w:val="2"/>
    <w:next w:val="1"/>
    <w:qFormat/>
    <w:uiPriority w:val="39"/>
    <w:pPr>
      <w:widowControl/>
      <w:numPr>
        <w:numId w:val="0"/>
      </w:numPr>
      <w:spacing w:before="480" w:after="0" w:line="276" w:lineRule="auto"/>
      <w:jc w:val="left"/>
      <w:outlineLvl w:val="9"/>
    </w:pPr>
    <w:rPr>
      <w:rFonts w:ascii="Cambria" w:hAnsi="Cambria" w:eastAsia="宋体"/>
      <w:color w:val="365F91"/>
      <w:kern w:val="0"/>
      <w:sz w:val="28"/>
    </w:rPr>
  </w:style>
  <w:style w:type="paragraph" w:customStyle="1" w:styleId="106">
    <w:name w:val="正文缩进1"/>
    <w:basedOn w:val="1"/>
    <w:qFormat/>
    <w:uiPriority w:val="0"/>
    <w:pPr>
      <w:spacing w:line="240" w:lineRule="auto"/>
      <w:ind w:firstLine="420"/>
    </w:pPr>
    <w:rPr>
      <w:rFonts w:ascii="Times New Roman" w:hAnsi="Times New Roman"/>
      <w:sz w:val="21"/>
      <w:szCs w:val="20"/>
    </w:rPr>
  </w:style>
  <w:style w:type="paragraph" w:customStyle="1" w:styleId="107">
    <w:name w:val="xl68"/>
    <w:basedOn w:val="1"/>
    <w:qFormat/>
    <w:uiPriority w:val="0"/>
    <w:pPr>
      <w:widowControl/>
      <w:pBdr>
        <w:bottom w:val="single" w:color="auto" w:sz="4" w:space="0"/>
        <w:right w:val="single" w:color="auto" w:sz="4" w:space="0"/>
      </w:pBdr>
      <w:spacing w:before="100" w:beforeAutospacing="1" w:after="100" w:afterAutospacing="1" w:line="240" w:lineRule="auto"/>
      <w:ind w:firstLine="0" w:firstLineChars="0"/>
      <w:jc w:val="left"/>
      <w:textAlignment w:val="center"/>
    </w:pPr>
    <w:rPr>
      <w:rFonts w:ascii="Microsoft Sans Serif" w:hAnsi="Microsoft Sans Serif" w:cs="Microsoft Sans Serif"/>
      <w:kern w:val="0"/>
      <w:sz w:val="18"/>
      <w:szCs w:val="18"/>
    </w:rPr>
  </w:style>
  <w:style w:type="paragraph" w:customStyle="1" w:styleId="108">
    <w:name w:val="前言、引言标题"/>
    <w:next w:val="1"/>
    <w:qFormat/>
    <w:uiPriority w:val="99"/>
    <w:pPr>
      <w:shd w:val="clear" w:color="FFFFFF" w:fill="FFFFFF"/>
      <w:tabs>
        <w:tab w:val="left" w:pos="425"/>
      </w:tabs>
      <w:spacing w:before="640" w:after="560"/>
      <w:jc w:val="center"/>
      <w:outlineLvl w:val="0"/>
    </w:pPr>
    <w:rPr>
      <w:rFonts w:ascii="黑体" w:hAnsi="Times New Roman" w:eastAsia="黑体" w:cs="Times New Roman"/>
      <w:sz w:val="32"/>
      <w:lang w:val="en-US" w:eastAsia="zh-CN" w:bidi="ar-SA"/>
    </w:rPr>
  </w:style>
  <w:style w:type="paragraph" w:customStyle="1" w:styleId="109">
    <w:name w:val="Indent Normal"/>
    <w:basedOn w:val="1"/>
    <w:qFormat/>
    <w:uiPriority w:val="0"/>
    <w:pPr>
      <w:ind w:firstLine="150" w:firstLineChars="150"/>
    </w:pPr>
  </w:style>
  <w:style w:type="paragraph" w:customStyle="1" w:styleId="110">
    <w:name w:val="msonormal"/>
    <w:basedOn w:val="1"/>
    <w:qFormat/>
    <w:uiPriority w:val="0"/>
    <w:pPr>
      <w:widowControl/>
      <w:spacing w:before="100" w:beforeAutospacing="1" w:after="100" w:afterAutospacing="1" w:line="240" w:lineRule="auto"/>
      <w:ind w:firstLine="0" w:firstLineChars="0"/>
      <w:jc w:val="left"/>
    </w:pPr>
    <w:rPr>
      <w:rFonts w:cs="宋体"/>
      <w:kern w:val="0"/>
    </w:rPr>
  </w:style>
  <w:style w:type="paragraph" w:customStyle="1" w:styleId="111">
    <w:name w:val="正文 缩进2字符"/>
    <w:basedOn w:val="1"/>
    <w:qFormat/>
    <w:uiPriority w:val="0"/>
    <w:pPr>
      <w:spacing w:afterLines="50" w:line="240" w:lineRule="auto"/>
      <w:ind w:firstLine="0" w:firstLineChars="0"/>
    </w:pPr>
    <w:rPr>
      <w:rFonts w:ascii="Times New Roman" w:hAnsi="Times New Roman" w:cs="宋体"/>
      <w:sz w:val="21"/>
      <w:szCs w:val="20"/>
    </w:rPr>
  </w:style>
  <w:style w:type="paragraph" w:customStyle="1" w:styleId="112">
    <w:name w:val="列项●（二级）"/>
    <w:qFormat/>
    <w:uiPriority w:val="0"/>
    <w:pPr>
      <w:numPr>
        <w:ilvl w:val="0"/>
        <w:numId w:val="2"/>
      </w:numPr>
      <w:tabs>
        <w:tab w:val="left" w:pos="840"/>
      </w:tabs>
      <w:ind w:left="600" w:leftChars="400" w:hanging="200" w:hangingChars="200"/>
      <w:jc w:val="both"/>
    </w:pPr>
    <w:rPr>
      <w:rFonts w:ascii="宋体" w:hAnsi="Times New Roman" w:eastAsia="宋体" w:cs="Times New Roman"/>
      <w:sz w:val="21"/>
      <w:lang w:val="en-US" w:eastAsia="zh-CN" w:bidi="ar-SA"/>
    </w:rPr>
  </w:style>
  <w:style w:type="paragraph" w:customStyle="1" w:styleId="113">
    <w:name w:val="助手文本"/>
    <w:basedOn w:val="1"/>
    <w:qFormat/>
    <w:uiPriority w:val="0"/>
    <w:pPr>
      <w:autoSpaceDE w:val="0"/>
      <w:autoSpaceDN w:val="0"/>
      <w:adjustRightInd w:val="0"/>
      <w:spacing w:beforeLines="50" w:afterLines="50"/>
      <w:ind w:left="14" w:firstLine="434"/>
      <w:textAlignment w:val="baseline"/>
    </w:pPr>
    <w:rPr>
      <w:rFonts w:ascii="楷体_GB2312" w:eastAsia="楷体_GB2312"/>
      <w:kern w:val="0"/>
      <w:szCs w:val="20"/>
      <w:u w:val="single"/>
    </w:rPr>
  </w:style>
  <w:style w:type="paragraph" w:customStyle="1" w:styleId="114">
    <w:name w:val="xl67"/>
    <w:basedOn w:val="1"/>
    <w:qFormat/>
    <w:uiPriority w:val="0"/>
    <w:pPr>
      <w:widowControl/>
      <w:pBdr>
        <w:top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Microsoft Sans Serif" w:hAnsi="Microsoft Sans Serif" w:cs="Microsoft Sans Serif"/>
      <w:b/>
      <w:bCs/>
      <w:kern w:val="0"/>
      <w:sz w:val="18"/>
      <w:szCs w:val="18"/>
    </w:rPr>
  </w:style>
  <w:style w:type="paragraph" w:customStyle="1" w:styleId="115">
    <w:name w:val="段"/>
    <w:qFormat/>
    <w:uiPriority w:val="0"/>
    <w:pPr>
      <w:autoSpaceDE w:val="0"/>
      <w:autoSpaceDN w:val="0"/>
      <w:ind w:firstLine="200" w:firstLineChars="200"/>
      <w:jc w:val="both"/>
    </w:pPr>
    <w:rPr>
      <w:rFonts w:ascii="宋体" w:hAnsi="Times New Roman" w:eastAsia="宋体" w:cs="Calibri"/>
      <w:sz w:val="21"/>
      <w:lang w:val="en-US" w:eastAsia="zh-CN" w:bidi="ar-SA"/>
    </w:rPr>
  </w:style>
  <w:style w:type="paragraph" w:customStyle="1" w:styleId="116">
    <w:name w:val="xl7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cs="宋体"/>
      <w:kern w:val="0"/>
    </w:rPr>
  </w:style>
  <w:style w:type="paragraph" w:customStyle="1" w:styleId="117">
    <w:name w:val="Char Char Char Char Char Char1 Char"/>
    <w:basedOn w:val="1"/>
    <w:qFormat/>
    <w:uiPriority w:val="0"/>
    <w:pPr>
      <w:widowControl/>
      <w:spacing w:after="160" w:line="240" w:lineRule="exact"/>
      <w:jc w:val="left"/>
    </w:pPr>
  </w:style>
  <w:style w:type="paragraph" w:customStyle="1" w:styleId="118">
    <w:name w:val="PM_Body"/>
    <w:basedOn w:val="1"/>
    <w:qFormat/>
    <w:locked/>
    <w:uiPriority w:val="0"/>
    <w:rPr>
      <w:szCs w:val="21"/>
    </w:rPr>
  </w:style>
  <w:style w:type="paragraph" w:customStyle="1" w:styleId="119">
    <w:name w:val="Char Char1"/>
    <w:basedOn w:val="1"/>
    <w:qFormat/>
    <w:uiPriority w:val="0"/>
    <w:pPr>
      <w:widowControl/>
      <w:spacing w:before="120" w:after="120"/>
    </w:pPr>
    <w:rPr>
      <w:rFonts w:ascii="Times New Roman" w:hAnsi="Times New Roman" w:cs="宋体"/>
    </w:rPr>
  </w:style>
  <w:style w:type="paragraph" w:customStyle="1" w:styleId="120">
    <w:name w:val="xl71"/>
    <w:basedOn w:val="1"/>
    <w:qFormat/>
    <w:uiPriority w:val="0"/>
    <w:pPr>
      <w:widowControl/>
      <w:spacing w:before="100" w:beforeAutospacing="1" w:after="100" w:afterAutospacing="1" w:line="240" w:lineRule="auto"/>
      <w:ind w:firstLine="0" w:firstLineChars="0"/>
      <w:jc w:val="right"/>
      <w:textAlignment w:val="center"/>
    </w:pPr>
    <w:rPr>
      <w:rFonts w:ascii="Microsoft Sans Serif" w:hAnsi="Microsoft Sans Serif" w:cs="Microsoft Sans Serif"/>
      <w:kern w:val="0"/>
      <w:sz w:val="18"/>
      <w:szCs w:val="18"/>
    </w:rPr>
  </w:style>
  <w:style w:type="paragraph" w:customStyle="1" w:styleId="121">
    <w:name w:val="修订1"/>
    <w:unhideWhenUsed/>
    <w:qFormat/>
    <w:uiPriority w:val="99"/>
    <w:rPr>
      <w:rFonts w:ascii="宋体" w:hAnsi="宋体" w:eastAsia="宋体" w:cs="Times New Roman"/>
      <w:kern w:val="2"/>
      <w:sz w:val="24"/>
      <w:szCs w:val="24"/>
      <w:lang w:val="en-US" w:eastAsia="zh-CN" w:bidi="ar-SA"/>
    </w:rPr>
  </w:style>
  <w:style w:type="paragraph" w:customStyle="1" w:styleId="122">
    <w:name w:val="列出段落2"/>
    <w:basedOn w:val="1"/>
    <w:qFormat/>
    <w:uiPriority w:val="0"/>
    <w:pPr>
      <w:spacing w:line="240" w:lineRule="auto"/>
      <w:ind w:firstLine="420"/>
    </w:pPr>
    <w:rPr>
      <w:rFonts w:ascii="等线" w:hAnsi="等线" w:eastAsia="等线" w:cs="等线"/>
      <w:sz w:val="21"/>
      <w:szCs w:val="21"/>
    </w:rPr>
  </w:style>
  <w:style w:type="paragraph" w:customStyle="1" w:styleId="123">
    <w:name w:val="xl69"/>
    <w:basedOn w:val="1"/>
    <w:qFormat/>
    <w:uiPriority w:val="0"/>
    <w:pPr>
      <w:widowControl/>
      <w:pBdr>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Microsoft Sans Serif" w:hAnsi="Microsoft Sans Serif" w:cs="Microsoft Sans Serif"/>
      <w:kern w:val="0"/>
      <w:sz w:val="18"/>
      <w:szCs w:val="18"/>
    </w:rPr>
  </w:style>
  <w:style w:type="paragraph" w:customStyle="1" w:styleId="124">
    <w:name w:val="xl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Microsoft Sans Serif" w:hAnsi="Microsoft Sans Serif" w:cs="Microsoft Sans Serif"/>
      <w:b/>
      <w:bCs/>
      <w:kern w:val="0"/>
      <w:sz w:val="18"/>
      <w:szCs w:val="18"/>
    </w:rPr>
  </w:style>
  <w:style w:type="paragraph" w:customStyle="1" w:styleId="125">
    <w:name w:val="文档正文文本（中安网脉）"/>
    <w:basedOn w:val="1"/>
    <w:qFormat/>
    <w:uiPriority w:val="0"/>
    <w:pPr>
      <w:ind w:firstLine="200"/>
    </w:pPr>
    <w:rPr>
      <w:rFonts w:ascii="Times New Roman" w:hAnsi="Times New Roman" w:eastAsia="仿宋_GB2312"/>
      <w:color w:val="000000"/>
      <w:szCs w:val="28"/>
    </w:rPr>
  </w:style>
  <w:style w:type="paragraph" w:customStyle="1" w:styleId="126">
    <w:name w:val="xl65"/>
    <w:basedOn w:val="1"/>
    <w:qFormat/>
    <w:uiPriority w:val="0"/>
    <w:pPr>
      <w:widowControl/>
      <w:pBdr>
        <w:left w:val="single" w:color="auto" w:sz="4" w:space="0"/>
        <w:bottom w:val="single" w:color="auto" w:sz="4" w:space="0"/>
        <w:right w:val="single" w:color="auto" w:sz="4" w:space="0"/>
      </w:pBdr>
      <w:spacing w:before="100" w:beforeAutospacing="1" w:after="100" w:afterAutospacing="1" w:line="240" w:lineRule="auto"/>
      <w:ind w:firstLine="0" w:firstLineChars="0"/>
      <w:jc w:val="left"/>
      <w:textAlignment w:val="center"/>
    </w:pPr>
    <w:rPr>
      <w:rFonts w:ascii="Microsoft Sans Serif" w:hAnsi="Microsoft Sans Serif" w:cs="Microsoft Sans Serif"/>
      <w:kern w:val="0"/>
      <w:sz w:val="18"/>
      <w:szCs w:val="18"/>
    </w:rPr>
  </w:style>
  <w:style w:type="paragraph" w:customStyle="1" w:styleId="127">
    <w:name w:val="正文样式"/>
    <w:unhideWhenUsed/>
    <w:qFormat/>
    <w:uiPriority w:val="0"/>
    <w:pPr>
      <w:widowControl w:val="0"/>
      <w:adjustRightInd w:val="0"/>
      <w:snapToGrid w:val="0"/>
      <w:spacing w:line="360" w:lineRule="auto"/>
      <w:ind w:firstLine="200" w:firstLineChars="200"/>
      <w:jc w:val="both"/>
    </w:pPr>
    <w:rPr>
      <w:rFonts w:ascii="Times New Roman" w:hAnsi="Times New Roman" w:eastAsia="宋体" w:cs="Times New Roman"/>
      <w:bCs/>
      <w:snapToGrid w:val="0"/>
      <w:sz w:val="24"/>
      <w:szCs w:val="44"/>
      <w:lang w:val="en-US" w:eastAsia="zh-CN" w:bidi="ar-SA"/>
    </w:rPr>
  </w:style>
  <w:style w:type="paragraph" w:customStyle="1" w:styleId="128">
    <w:name w:val="样式 行距: 1.5 倍行距 首行缩进:  2 字符"/>
    <w:basedOn w:val="1"/>
    <w:qFormat/>
    <w:uiPriority w:val="0"/>
    <w:pPr>
      <w:ind w:firstLine="560"/>
      <w:jc w:val="left"/>
    </w:pPr>
    <w:rPr>
      <w:rFonts w:ascii="仿宋" w:hAnsi="仿宋" w:eastAsia="仿宋" w:cs="宋体"/>
      <w:sz w:val="28"/>
      <w:szCs w:val="20"/>
    </w:rPr>
  </w:style>
  <w:style w:type="paragraph" w:customStyle="1" w:styleId="129">
    <w:name w:val="TOC 标题1"/>
    <w:basedOn w:val="2"/>
    <w:next w:val="1"/>
    <w:qFormat/>
    <w:uiPriority w:val="39"/>
    <w:pPr>
      <w:widowControl/>
      <w:numPr>
        <w:numId w:val="0"/>
      </w:numPr>
      <w:spacing w:before="480" w:after="0" w:line="276" w:lineRule="auto"/>
      <w:jc w:val="left"/>
      <w:outlineLvl w:val="9"/>
    </w:pPr>
    <w:rPr>
      <w:rFonts w:ascii="Cambria" w:hAnsi="Cambria" w:eastAsia="宋体"/>
      <w:color w:val="365F91"/>
      <w:kern w:val="0"/>
      <w:sz w:val="28"/>
    </w:rPr>
  </w:style>
  <w:style w:type="table" w:customStyle="1" w:styleId="130">
    <w:name w:val="!我的表格1"/>
    <w:basedOn w:val="35"/>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31">
    <w:name w:val="网格型1"/>
    <w:basedOn w:val="35"/>
    <w:unhideWhenUsed/>
    <w:qFormat/>
    <w:uiPriority w:val="59"/>
    <w:rPr>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132">
    <w:name w:val="标题 1 Char"/>
    <w:qFormat/>
    <w:uiPriority w:val="0"/>
    <w:rPr>
      <w:rFonts w:ascii="宋体" w:hAnsi="宋体" w:eastAsia="黑体"/>
      <w:b/>
      <w:bCs/>
      <w:kern w:val="44"/>
      <w:sz w:val="32"/>
      <w:szCs w:val="28"/>
    </w:rPr>
  </w:style>
  <w:style w:type="character" w:customStyle="1" w:styleId="133">
    <w:name w:val="纯文本 Char2"/>
    <w:qFormat/>
    <w:uiPriority w:val="0"/>
    <w:rPr>
      <w:rFonts w:ascii="宋体" w:hAnsi="宋体" w:eastAsia="宋体" w:cs="Times New Roman"/>
      <w:color w:val="000000"/>
      <w:kern w:val="0"/>
      <w:sz w:val="24"/>
      <w:szCs w:val="24"/>
    </w:rPr>
  </w:style>
  <w:style w:type="paragraph" w:customStyle="1" w:styleId="134">
    <w:name w:val="方案_正文"/>
    <w:basedOn w:val="1"/>
    <w:autoRedefine/>
    <w:qFormat/>
    <w:uiPriority w:val="0"/>
    <w:pPr>
      <w:widowControl/>
      <w:tabs>
        <w:tab w:val="left" w:pos="987"/>
      </w:tabs>
      <w:spacing w:before="190" w:beforeLines="50" w:after="190" w:afterLines="50"/>
      <w:ind w:firstLine="0" w:firstLineChars="0"/>
      <w:jc w:val="left"/>
    </w:pPr>
    <w:rPr>
      <w:rFonts w:asciiTheme="minorEastAsia" w:hAnsiTheme="minorEastAsia" w:eastAsiaTheme="minorEastAsia"/>
      <w:bCs/>
      <w:kern w:val="0"/>
      <w:lang w:val="zh-CN"/>
    </w:rPr>
  </w:style>
  <w:style w:type="character" w:customStyle="1" w:styleId="135">
    <w:name w:val="表内正文 Char"/>
    <w:link w:val="136"/>
    <w:autoRedefine/>
    <w:qFormat/>
    <w:locked/>
    <w:uiPriority w:val="0"/>
    <w:rPr>
      <w:rFonts w:ascii="Arial" w:hAnsi="Arial" w:cstheme="minorBidi"/>
      <w:sz w:val="21"/>
    </w:rPr>
  </w:style>
  <w:style w:type="paragraph" w:customStyle="1" w:styleId="136">
    <w:name w:val="表内正文"/>
    <w:link w:val="135"/>
    <w:autoRedefine/>
    <w:qFormat/>
    <w:uiPriority w:val="0"/>
    <w:pPr>
      <w:wordWrap w:val="0"/>
      <w:snapToGrid w:val="0"/>
      <w:jc w:val="center"/>
    </w:pPr>
    <w:rPr>
      <w:rFonts w:ascii="Arial" w:hAnsi="Arial" w:eastAsia="宋体" w:cstheme="minorBidi"/>
      <w:sz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4" Type="http://schemas.openxmlformats.org/officeDocument/2006/relationships/fontTable" Target="fontTable.xml"/><Relationship Id="rId23" Type="http://schemas.openxmlformats.org/officeDocument/2006/relationships/customXml" Target="../customXml/item1.xml"/><Relationship Id="rId22" Type="http://schemas.openxmlformats.org/officeDocument/2006/relationships/numbering" Target="numbering.xml"/><Relationship Id="rId21" Type="http://schemas.openxmlformats.org/officeDocument/2006/relationships/image" Target="media/image5.emf"/><Relationship Id="rId20" Type="http://schemas.openxmlformats.org/officeDocument/2006/relationships/oleObject" Target="embeddings/oleObject2.bin"/><Relationship Id="rId2" Type="http://schemas.openxmlformats.org/officeDocument/2006/relationships/settings" Target="settings.xml"/><Relationship Id="rId19" Type="http://schemas.openxmlformats.org/officeDocument/2006/relationships/image" Target="media/image4.emf"/><Relationship Id="rId18" Type="http://schemas.openxmlformats.org/officeDocument/2006/relationships/oleObject" Target="embeddings/oleObject1.bin"/><Relationship Id="rId17" Type="http://schemas.openxmlformats.org/officeDocument/2006/relationships/image" Target="media/image3.png"/><Relationship Id="rId16" Type="http://schemas.openxmlformats.org/officeDocument/2006/relationships/image" Target="media/image2.png"/><Relationship Id="rId15" Type="http://schemas.openxmlformats.org/officeDocument/2006/relationships/image" Target="media/image1.png"/><Relationship Id="rId14" Type="http://schemas.openxmlformats.org/officeDocument/2006/relationships/theme" Target="theme/theme1.xml"/><Relationship Id="rId13" Type="http://schemas.openxmlformats.org/officeDocument/2006/relationships/footer" Target="footer5.xml"/><Relationship Id="rId12" Type="http://schemas.openxmlformats.org/officeDocument/2006/relationships/footer" Target="footer4.xml"/><Relationship Id="rId11" Type="http://schemas.openxmlformats.org/officeDocument/2006/relationships/header" Target="head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SelectedStyle="\APASixthEditionOfficeOnline.xsl" StyleName="APA" Version="6"/>
</file>

<file path=customXml/itemProps1.xml><?xml version="1.0" encoding="utf-8"?>
<ds:datastoreItem xmlns:ds="http://schemas.openxmlformats.org/officeDocument/2006/customXml" ds:itemID="{FAAD8126-9FD8-4507-B370-8FE29C18A537}">
  <ds:schemaRefs/>
</ds:datastoreItem>
</file>

<file path=docProps/app.xml><?xml version="1.0" encoding="utf-8"?>
<Properties xmlns="http://schemas.openxmlformats.org/officeDocument/2006/extended-properties" xmlns:vt="http://schemas.openxmlformats.org/officeDocument/2006/docPropsVTypes">
  <Template>Normal.dotm</Template>
  <Company>国家统计局</Company>
  <Pages>32</Pages>
  <Words>3087</Words>
  <Characters>17597</Characters>
  <Lines>146</Lines>
  <Paragraphs>41</Paragraphs>
  <TotalTime>166</TotalTime>
  <ScaleCrop>false</ScaleCrop>
  <LinksUpToDate>false</LinksUpToDate>
  <CharactersWithSpaces>20643</CharactersWithSpaces>
  <Application>WPS Office_12.8.2.1113_F1E327BC-269C-435d-A152-05C5408002CA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2024-10-10T06:14:00Z</dcterms:created>
  <dc:creator>gtig_tzb</dc:creator>
  <cp:lastModifiedBy>GTT</cp:lastModifiedBy>
  <cp:lastPrinted>2020-08-08T04:08:00Z</cp:lastPrinted>
  <dcterms:modified xsi:type="dcterms:W3CDTF">2024-10-16T14:23:13Z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2052-12.8.2.1113</vt:lpwstr>
  </property>
  <property fmtid="{D5CDD505-2E9C-101B-9397-08002B2CF9AE}" pid="3" name="ICV">
    <vt:lpwstr>FC1F6474EF4A0AB394E20467D0BF5506_42</vt:lpwstr>
  </property>
</Properties>
</file>