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color w:val="auto"/>
          <w:sz w:val="32"/>
          <w:szCs w:val="32"/>
        </w:rPr>
      </w:pPr>
      <w:r>
        <w:rPr>
          <w:rFonts w:hint="eastAsia" w:ascii="宋体" w:hAnsi="宋体" w:eastAsia="宋体" w:cs="宋体"/>
          <w:b/>
          <w:bCs/>
          <w:color w:val="auto"/>
          <w:sz w:val="32"/>
          <w:szCs w:val="32"/>
        </w:rPr>
        <w:t>电梯采购需求</w:t>
      </w:r>
    </w:p>
    <w:p>
      <w:pPr>
        <w:spacing w:line="360" w:lineRule="auto"/>
        <w:ind w:firstLine="422" w:firstLineChars="200"/>
        <w:rPr>
          <w:rFonts w:hint="eastAsia" w:ascii="宋体" w:hAnsi="宋体" w:eastAsia="宋体" w:cs="宋体"/>
          <w:b/>
          <w:color w:val="auto"/>
          <w:sz w:val="21"/>
          <w:szCs w:val="21"/>
          <w:lang w:eastAsia="zh-CN"/>
        </w:rPr>
      </w:pPr>
      <w:r>
        <w:rPr>
          <w:rFonts w:hint="eastAsia" w:ascii="宋体" w:hAnsi="宋体" w:eastAsia="宋体" w:cs="宋体"/>
          <w:b/>
          <w:color w:val="auto"/>
          <w:sz w:val="21"/>
          <w:szCs w:val="21"/>
          <w:lang w:eastAsia="zh-CN"/>
        </w:rPr>
        <w:t>一、</w:t>
      </w:r>
      <w:r>
        <w:rPr>
          <w:rFonts w:hint="eastAsia" w:ascii="宋体" w:hAnsi="宋体" w:eastAsia="宋体" w:cs="宋体"/>
          <w:b/>
          <w:color w:val="auto"/>
          <w:sz w:val="21"/>
          <w:szCs w:val="21"/>
        </w:rPr>
        <w:t>建筑物基本情况</w:t>
      </w:r>
      <w:r>
        <w:rPr>
          <w:rFonts w:hint="eastAsia" w:ascii="宋体" w:hAnsi="宋体" w:eastAsia="宋体" w:cs="宋体"/>
          <w:b/>
          <w:color w:val="auto"/>
          <w:sz w:val="21"/>
          <w:szCs w:val="21"/>
          <w:lang w:val="en-US" w:eastAsia="zh-CN"/>
        </w:rPr>
        <w:t xml:space="preserve"> </w:t>
      </w:r>
    </w:p>
    <w:p>
      <w:pPr>
        <w:spacing w:line="360" w:lineRule="auto"/>
        <w:ind w:firstLine="420" w:firstLineChars="200"/>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eastAsia="zh-CN"/>
        </w:rPr>
        <w:t>（一）</w:t>
      </w:r>
      <w:r>
        <w:rPr>
          <w:rFonts w:hint="eastAsia" w:ascii="宋体" w:hAnsi="宋体" w:eastAsia="宋体" w:cs="宋体"/>
          <w:color w:val="auto"/>
          <w:sz w:val="21"/>
          <w:szCs w:val="21"/>
        </w:rPr>
        <w:t>建筑物地址：</w:t>
      </w:r>
      <w:r>
        <w:rPr>
          <w:rFonts w:hint="eastAsia" w:ascii="宋体" w:hAnsi="宋体" w:eastAsia="宋体" w:cs="宋体"/>
          <w:color w:val="auto"/>
          <w:sz w:val="21"/>
          <w:szCs w:val="21"/>
          <w:lang w:val="en-US" w:eastAsia="zh-CN"/>
        </w:rPr>
        <w:t>上海市浦东新区东方路1678号血液肿瘤中心</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eastAsia="zh-CN"/>
        </w:rPr>
        <w:t>（二）</w:t>
      </w:r>
      <w:r>
        <w:rPr>
          <w:rFonts w:hint="eastAsia" w:ascii="宋体" w:hAnsi="宋体" w:eastAsia="宋体" w:cs="宋体"/>
          <w:color w:val="auto"/>
          <w:sz w:val="21"/>
          <w:szCs w:val="21"/>
        </w:rPr>
        <w:t>建筑物状况：</w:t>
      </w:r>
    </w:p>
    <w:p>
      <w:pPr>
        <w:spacing w:line="360" w:lineRule="auto"/>
        <w:ind w:firstLine="420" w:firstLineChars="200"/>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血液肿瘤中心为2013年竣工投入使用，拟改建为健康管理大楼。在用现有电梯进行更新改造，需拆除旧电梯，井道内部需整改满足新电梯安装要求</w:t>
      </w:r>
    </w:p>
    <w:p>
      <w:pPr>
        <w:numPr>
          <w:ilvl w:val="0"/>
          <w:numId w:val="1"/>
        </w:num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建筑物抗震设计等级情况：</w:t>
      </w:r>
      <w:r>
        <w:rPr>
          <w:rFonts w:hint="eastAsia" w:ascii="宋体" w:hAnsi="宋体" w:eastAsia="宋体" w:cs="宋体"/>
          <w:color w:val="auto"/>
          <w:sz w:val="21"/>
          <w:szCs w:val="21"/>
          <w:lang w:val="en-US" w:eastAsia="zh-CN"/>
        </w:rPr>
        <w:t>乙类建筑，抗震设防烈度为七度</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eastAsia="zh-CN"/>
        </w:rPr>
        <w:t>（四）</w:t>
      </w:r>
      <w:r>
        <w:rPr>
          <w:rFonts w:hint="eastAsia" w:ascii="宋体" w:hAnsi="宋体" w:eastAsia="宋体" w:cs="宋体"/>
          <w:color w:val="auto"/>
          <w:sz w:val="21"/>
          <w:szCs w:val="21"/>
        </w:rPr>
        <w:t>建筑物层站情况（楼层数量及地下室情况）：</w:t>
      </w:r>
    </w:p>
    <w:p>
      <w:pPr>
        <w:spacing w:line="360" w:lineRule="auto"/>
        <w:ind w:firstLine="420" w:firstLineChars="200"/>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建筑物共计8层，地上7层，地下1层。DT1、DT2运行地上1-7层；DT3运行1层、3-7层；DT4、DT5运行地下1层-地上7层。</w:t>
      </w:r>
    </w:p>
    <w:p>
      <w:pPr>
        <w:numPr>
          <w:ilvl w:val="0"/>
          <w:numId w:val="1"/>
        </w:numPr>
        <w:spacing w:line="360" w:lineRule="auto"/>
        <w:ind w:left="0" w:leftChars="0"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建筑物各楼层层间距；</w:t>
      </w:r>
    </w:p>
    <w:p>
      <w:pPr>
        <w:spacing w:line="360" w:lineRule="auto"/>
        <w:ind w:firstLine="420" w:firstLineChars="200"/>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eastAsia="zh-CN"/>
        </w:rPr>
        <w:t>（七）</w:t>
      </w:r>
      <w:r>
        <w:rPr>
          <w:rFonts w:hint="eastAsia" w:ascii="宋体" w:hAnsi="宋体" w:eastAsia="宋体" w:cs="宋体"/>
          <w:color w:val="auto"/>
          <w:sz w:val="21"/>
          <w:szCs w:val="21"/>
        </w:rPr>
        <w:t>地面基站设定要求：</w:t>
      </w:r>
      <w:r>
        <w:rPr>
          <w:rFonts w:hint="eastAsia" w:ascii="宋体" w:hAnsi="宋体" w:eastAsia="宋体" w:cs="宋体"/>
          <w:color w:val="auto"/>
          <w:sz w:val="21"/>
          <w:szCs w:val="21"/>
          <w:lang w:val="en-US" w:eastAsia="zh-CN"/>
        </w:rPr>
        <w:t>1F</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eastAsia="zh-CN"/>
        </w:rPr>
        <w:t>（八）</w:t>
      </w:r>
      <w:r>
        <w:rPr>
          <w:rFonts w:hint="eastAsia" w:ascii="宋体" w:hAnsi="宋体" w:eastAsia="宋体" w:cs="宋体"/>
          <w:color w:val="auto"/>
          <w:sz w:val="21"/>
          <w:szCs w:val="21"/>
        </w:rPr>
        <w:t>电梯井道是全封闭或半封闭、透明或不透明等情况：</w:t>
      </w:r>
      <w:r>
        <w:rPr>
          <w:rFonts w:hint="eastAsia" w:ascii="宋体" w:hAnsi="宋体" w:eastAsia="宋体" w:cs="宋体"/>
          <w:color w:val="auto"/>
          <w:sz w:val="21"/>
          <w:szCs w:val="21"/>
          <w:lang w:val="en-US" w:eastAsia="zh-CN"/>
        </w:rPr>
        <w:t>电梯井道全封闭</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eastAsia="zh-CN"/>
        </w:rPr>
        <w:t>（九）</w:t>
      </w:r>
      <w:r>
        <w:rPr>
          <w:rFonts w:hint="eastAsia" w:ascii="宋体" w:hAnsi="宋体" w:eastAsia="宋体" w:cs="宋体"/>
          <w:color w:val="auto"/>
          <w:sz w:val="21"/>
          <w:szCs w:val="21"/>
        </w:rPr>
        <w:t>电源：交流三相 380V士7%，50士1HZ;照明:交流单相，220V/50HZ</w:t>
      </w:r>
    </w:p>
    <w:p>
      <w:pPr>
        <w:spacing w:line="360" w:lineRule="auto"/>
        <w:ind w:firstLine="420" w:firstLineChars="200"/>
        <w:rPr>
          <w:rFonts w:hint="eastAsia" w:ascii="宋体" w:hAnsi="宋体" w:eastAsia="等线" w:cs="宋体"/>
          <w:color w:val="auto"/>
          <w:sz w:val="21"/>
          <w:szCs w:val="21"/>
          <w:lang w:eastAsia="zh-CN"/>
        </w:rPr>
      </w:pPr>
      <w:r>
        <w:rPr>
          <w:rFonts w:hint="eastAsia" w:ascii="宋体" w:hAnsi="宋体" w:eastAsia="宋体" w:cs="宋体"/>
          <w:color w:val="auto"/>
          <w:sz w:val="21"/>
          <w:szCs w:val="21"/>
        </w:rPr>
        <w:t>说明：（1）拟采购电梯所在建筑物应当已经完成相关图纸审定工作。</w:t>
      </w:r>
    </w:p>
    <w:p>
      <w:pPr>
        <w:spacing w:line="360" w:lineRule="auto"/>
        <w:rPr>
          <w:rFonts w:hint="eastAsia" w:ascii="宋体" w:hAnsi="宋体" w:eastAsia="宋体" w:cs="宋体"/>
          <w:color w:val="auto"/>
          <w:sz w:val="21"/>
          <w:szCs w:val="21"/>
        </w:rPr>
      </w:pPr>
    </w:p>
    <w:p>
      <w:pPr>
        <w:spacing w:line="360" w:lineRule="auto"/>
        <w:ind w:firstLine="422" w:firstLineChars="200"/>
        <w:rPr>
          <w:rFonts w:hint="eastAsia" w:ascii="宋体" w:hAnsi="宋体" w:eastAsia="宋体" w:cs="宋体"/>
          <w:b/>
          <w:color w:val="auto"/>
          <w:sz w:val="21"/>
          <w:szCs w:val="21"/>
        </w:rPr>
      </w:pPr>
      <w:r>
        <w:rPr>
          <w:rFonts w:hint="eastAsia" w:ascii="宋体" w:hAnsi="宋体" w:eastAsia="宋体" w:cs="宋体"/>
          <w:b/>
          <w:color w:val="auto"/>
          <w:sz w:val="21"/>
          <w:szCs w:val="21"/>
        </w:rPr>
        <w:t>三、执行规定及标准</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所提供电梯产品至少应满足以下安全技术规范和国家标准的要求：</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一</w:t>
      </w:r>
      <w:r>
        <w:rPr>
          <w:rFonts w:hint="eastAsia" w:ascii="宋体" w:hAnsi="宋体" w:eastAsia="宋体" w:cs="宋体"/>
          <w:color w:val="auto"/>
          <w:sz w:val="21"/>
          <w:szCs w:val="21"/>
        </w:rPr>
        <w:t>）TSG T7001-2023《电梯监督检验和定期检验规则》</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二</w:t>
      </w:r>
      <w:r>
        <w:rPr>
          <w:rFonts w:hint="eastAsia" w:ascii="宋体" w:hAnsi="宋体" w:eastAsia="宋体" w:cs="宋体"/>
          <w:color w:val="auto"/>
          <w:sz w:val="21"/>
          <w:szCs w:val="21"/>
        </w:rPr>
        <w:t>）TSG T7008-2023《电梯自行检测规则》</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三</w:t>
      </w:r>
      <w:r>
        <w:rPr>
          <w:rFonts w:hint="eastAsia" w:ascii="宋体" w:hAnsi="宋体" w:eastAsia="宋体" w:cs="宋体"/>
          <w:color w:val="auto"/>
          <w:sz w:val="21"/>
          <w:szCs w:val="21"/>
        </w:rPr>
        <w:t>）TSG T7007-2022《电梯型式试验规则》</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四</w:t>
      </w:r>
      <w:r>
        <w:rPr>
          <w:rFonts w:hint="eastAsia" w:ascii="宋体" w:hAnsi="宋体" w:eastAsia="宋体" w:cs="宋体"/>
          <w:color w:val="auto"/>
          <w:sz w:val="21"/>
          <w:szCs w:val="21"/>
        </w:rPr>
        <w:t>）GB/T 7588.1-2020《电梯制造与安装安全规范第1部分：乘客电梯和载货电梯》</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五</w:t>
      </w:r>
      <w:r>
        <w:rPr>
          <w:rFonts w:hint="eastAsia" w:ascii="宋体" w:hAnsi="宋体" w:eastAsia="宋体" w:cs="宋体"/>
          <w:color w:val="auto"/>
          <w:sz w:val="21"/>
          <w:szCs w:val="21"/>
        </w:rPr>
        <w:t>）GB/T 7588.2-2020《电梯制造与安装安全规范第2部分：电梯部件的设计原则、计算和检验》</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六</w:t>
      </w:r>
      <w:r>
        <w:rPr>
          <w:rFonts w:hint="eastAsia" w:ascii="宋体" w:hAnsi="宋体" w:eastAsia="宋体" w:cs="宋体"/>
          <w:color w:val="auto"/>
          <w:sz w:val="21"/>
          <w:szCs w:val="21"/>
        </w:rPr>
        <w:t>）GB/T 10058-2009 《电梯技术条件》</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七</w:t>
      </w:r>
      <w:r>
        <w:rPr>
          <w:rFonts w:hint="eastAsia" w:ascii="宋体" w:hAnsi="宋体" w:eastAsia="宋体" w:cs="宋体"/>
          <w:color w:val="auto"/>
          <w:sz w:val="21"/>
          <w:szCs w:val="21"/>
        </w:rPr>
        <w:t>）GB/T 10059-2009 《电梯试验方法》</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八</w:t>
      </w:r>
      <w:r>
        <w:rPr>
          <w:rFonts w:hint="eastAsia" w:ascii="宋体" w:hAnsi="宋体" w:eastAsia="宋体" w:cs="宋体"/>
          <w:color w:val="auto"/>
          <w:sz w:val="21"/>
          <w:szCs w:val="21"/>
        </w:rPr>
        <w:t>）GB/T 10060-2011《电梯安装验收规范》</w:t>
      </w:r>
    </w:p>
    <w:p>
      <w:pPr>
        <w:spacing w:line="360" w:lineRule="auto"/>
        <w:ind w:firstLine="420" w:firstLineChars="200"/>
        <w:rPr>
          <w:rFonts w:hint="eastAsia" w:ascii="宋体" w:hAnsi="宋体" w:eastAsia="宋体" w:cs="宋体"/>
          <w:color w:val="auto"/>
          <w:sz w:val="21"/>
          <w:szCs w:val="21"/>
          <w:highlight w:val="yellow"/>
        </w:rPr>
      </w:pP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九</w:t>
      </w:r>
      <w:r>
        <w:rPr>
          <w:rFonts w:hint="eastAsia" w:ascii="宋体" w:hAnsi="宋体" w:eastAsia="宋体" w:cs="宋体"/>
          <w:color w:val="auto"/>
          <w:sz w:val="21"/>
          <w:szCs w:val="21"/>
        </w:rPr>
        <w:t>）GB55019-2021 《建筑与市政工程无障碍通用规范》</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十</w:t>
      </w:r>
      <w:r>
        <w:rPr>
          <w:rFonts w:hint="eastAsia" w:ascii="宋体" w:hAnsi="宋体" w:eastAsia="宋体" w:cs="宋体"/>
          <w:color w:val="auto"/>
          <w:sz w:val="21"/>
          <w:szCs w:val="21"/>
        </w:rPr>
        <w:t>）GB 25194-2010《杂物电梯制造与安装安全规范》（仅杂物电梯适用）</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十一</w:t>
      </w:r>
      <w:r>
        <w:rPr>
          <w:rFonts w:hint="eastAsia" w:ascii="宋体" w:hAnsi="宋体" w:eastAsia="宋体" w:cs="宋体"/>
          <w:color w:val="auto"/>
          <w:sz w:val="21"/>
          <w:szCs w:val="21"/>
        </w:rPr>
        <w:t>）GB/T 31094-2014《防爆电梯制造与安装规范》（仅防爆电梯适用）</w:t>
      </w:r>
    </w:p>
    <w:p>
      <w:pPr>
        <w:spacing w:line="360" w:lineRule="auto"/>
        <w:ind w:firstLine="420" w:firstLineChars="200"/>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十二</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建筑防火通用规范</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GB 55037-2022</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说明：1.以上标准如有更新，按最新标准执行。2.采购需求未列明的技术要求按标准规范执行；若采购需求提出的要求高于标准规范要求的，则按采购需求所列要求执行。</w:t>
      </w:r>
    </w:p>
    <w:p>
      <w:pPr>
        <w:spacing w:line="360" w:lineRule="auto"/>
        <w:rPr>
          <w:rFonts w:hint="eastAsia" w:ascii="宋体" w:hAnsi="宋体" w:eastAsia="宋体" w:cs="宋体"/>
          <w:color w:val="auto"/>
          <w:sz w:val="21"/>
          <w:szCs w:val="21"/>
        </w:rPr>
      </w:pPr>
    </w:p>
    <w:p>
      <w:pPr>
        <w:spacing w:line="360" w:lineRule="auto"/>
        <w:ind w:firstLine="422" w:firstLineChars="200"/>
        <w:rPr>
          <w:rFonts w:hint="eastAsia" w:ascii="宋体" w:hAnsi="宋体" w:eastAsia="宋体" w:cs="宋体"/>
          <w:b/>
          <w:color w:val="auto"/>
          <w:sz w:val="21"/>
          <w:szCs w:val="21"/>
        </w:rPr>
      </w:pPr>
      <w:r>
        <w:rPr>
          <w:rFonts w:hint="eastAsia" w:ascii="宋体" w:hAnsi="宋体" w:eastAsia="宋体" w:cs="宋体"/>
          <w:b/>
          <w:color w:val="auto"/>
          <w:sz w:val="21"/>
          <w:szCs w:val="21"/>
        </w:rPr>
        <w:t>四、采购标的清单</w:t>
      </w:r>
    </w:p>
    <w:tbl>
      <w:tblPr>
        <w:tblStyle w:val="10"/>
        <w:tblW w:w="8028" w:type="dxa"/>
        <w:tblInd w:w="57" w:type="dxa"/>
        <w:tblLayout w:type="autofit"/>
        <w:tblCellMar>
          <w:top w:w="0" w:type="dxa"/>
          <w:left w:w="0" w:type="dxa"/>
          <w:bottom w:w="0" w:type="dxa"/>
          <w:right w:w="0" w:type="dxa"/>
        </w:tblCellMar>
      </w:tblPr>
      <w:tblGrid>
        <w:gridCol w:w="654"/>
        <w:gridCol w:w="729"/>
        <w:gridCol w:w="663"/>
        <w:gridCol w:w="1327"/>
        <w:gridCol w:w="1194"/>
        <w:gridCol w:w="2570"/>
        <w:gridCol w:w="891"/>
      </w:tblGrid>
      <w:tr>
        <w:tblPrEx>
          <w:tblCellMar>
            <w:top w:w="0" w:type="dxa"/>
            <w:left w:w="0" w:type="dxa"/>
            <w:bottom w:w="0" w:type="dxa"/>
            <w:right w:w="0" w:type="dxa"/>
          </w:tblCellMar>
        </w:tblPrEx>
        <w:trPr>
          <w:trHeight w:val="271" w:hRule="atLeast"/>
          <w:tblHeader/>
        </w:trPr>
        <w:tc>
          <w:tcPr>
            <w:tcW w:w="654" w:type="dxa"/>
            <w:vMerge w:val="restart"/>
            <w:tcBorders>
              <w:top w:val="single" w:color="auto" w:sz="4" w:space="0"/>
              <w:left w:val="single" w:color="auto" w:sz="4" w:space="0"/>
              <w:right w:val="single" w:color="auto" w:sz="4" w:space="0"/>
            </w:tcBorders>
            <w:tcMar>
              <w:left w:w="57" w:type="dxa"/>
              <w:right w:w="57" w:type="dxa"/>
            </w:tcMar>
            <w:vAlign w:val="center"/>
          </w:tcPr>
          <w:p>
            <w:pPr>
              <w:widowControl/>
              <w:wordWrap w:val="0"/>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序号</w:t>
            </w:r>
          </w:p>
        </w:tc>
        <w:tc>
          <w:tcPr>
            <w:tcW w:w="729" w:type="dxa"/>
            <w:vMerge w:val="restart"/>
            <w:tcBorders>
              <w:top w:val="single" w:color="auto" w:sz="4" w:space="0"/>
              <w:left w:val="single" w:color="auto" w:sz="4" w:space="0"/>
              <w:right w:val="single" w:color="auto" w:sz="4" w:space="0"/>
            </w:tcBorders>
            <w:tcMar>
              <w:left w:w="57" w:type="dxa"/>
              <w:right w:w="57" w:type="dxa"/>
            </w:tcMar>
            <w:vAlign w:val="center"/>
          </w:tcPr>
          <w:p>
            <w:pPr>
              <w:widowControl/>
              <w:wordWrap w:val="0"/>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类别</w:t>
            </w:r>
          </w:p>
        </w:tc>
        <w:tc>
          <w:tcPr>
            <w:tcW w:w="663" w:type="dxa"/>
            <w:vMerge w:val="restart"/>
            <w:tcBorders>
              <w:top w:val="single" w:color="auto" w:sz="4" w:space="0"/>
              <w:left w:val="single" w:color="auto" w:sz="4" w:space="0"/>
              <w:right w:val="single" w:color="auto" w:sz="4" w:space="0"/>
            </w:tcBorders>
            <w:tcMar>
              <w:left w:w="57" w:type="dxa"/>
              <w:right w:w="57" w:type="dxa"/>
            </w:tcMar>
            <w:vAlign w:val="center"/>
          </w:tcPr>
          <w:p>
            <w:pPr>
              <w:widowControl/>
              <w:wordWrap w:val="0"/>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数量</w:t>
            </w:r>
          </w:p>
        </w:tc>
        <w:tc>
          <w:tcPr>
            <w:tcW w:w="2521" w:type="dxa"/>
            <w:gridSpan w:val="2"/>
            <w:tcBorders>
              <w:top w:val="single" w:color="auto" w:sz="4" w:space="0"/>
              <w:left w:val="single" w:color="auto" w:sz="4" w:space="0"/>
              <w:bottom w:val="single" w:color="auto" w:sz="4" w:space="0"/>
              <w:right w:val="single" w:color="auto" w:sz="4" w:space="0"/>
            </w:tcBorders>
            <w:tcMar>
              <w:left w:w="57" w:type="dxa"/>
              <w:right w:w="57" w:type="dxa"/>
            </w:tcMar>
            <w:vAlign w:val="center"/>
          </w:tcPr>
          <w:p>
            <w:pPr>
              <w:widowControl/>
              <w:wordWrap w:val="0"/>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规格</w:t>
            </w:r>
          </w:p>
        </w:tc>
        <w:tc>
          <w:tcPr>
            <w:tcW w:w="2570" w:type="dxa"/>
            <w:vMerge w:val="restart"/>
            <w:tcBorders>
              <w:top w:val="single" w:color="auto" w:sz="4" w:space="0"/>
              <w:left w:val="single" w:color="auto" w:sz="4" w:space="0"/>
              <w:right w:val="single" w:color="auto" w:sz="4" w:space="0"/>
            </w:tcBorders>
            <w:tcMar>
              <w:left w:w="57" w:type="dxa"/>
              <w:right w:w="57" w:type="dxa"/>
            </w:tcMar>
            <w:vAlign w:val="center"/>
          </w:tcPr>
          <w:p>
            <w:pPr>
              <w:widowControl/>
              <w:wordWrap w:val="0"/>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层 / 站 / 门</w:t>
            </w:r>
          </w:p>
        </w:tc>
        <w:tc>
          <w:tcPr>
            <w:tcW w:w="891" w:type="dxa"/>
            <w:vMerge w:val="restart"/>
            <w:tcBorders>
              <w:top w:val="single" w:color="auto" w:sz="4" w:space="0"/>
              <w:left w:val="single" w:color="auto" w:sz="4" w:space="0"/>
              <w:right w:val="single" w:color="auto" w:sz="4" w:space="0"/>
            </w:tcBorders>
            <w:tcMar>
              <w:left w:w="108" w:type="dxa"/>
              <w:right w:w="108" w:type="dxa"/>
            </w:tcMar>
          </w:tcPr>
          <w:p>
            <w:pPr>
              <w:widowControl/>
              <w:wordWrap w:val="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备注</w:t>
            </w:r>
          </w:p>
        </w:tc>
      </w:tr>
      <w:tr>
        <w:tblPrEx>
          <w:tblCellMar>
            <w:top w:w="0" w:type="dxa"/>
            <w:left w:w="0" w:type="dxa"/>
            <w:bottom w:w="0" w:type="dxa"/>
            <w:right w:w="0" w:type="dxa"/>
          </w:tblCellMar>
        </w:tblPrEx>
        <w:trPr>
          <w:trHeight w:val="363" w:hRule="atLeast"/>
          <w:tblHeader/>
        </w:trPr>
        <w:tc>
          <w:tcPr>
            <w:tcW w:w="654" w:type="dxa"/>
            <w:vMerge w:val="continue"/>
            <w:tcBorders>
              <w:left w:val="single" w:color="auto" w:sz="4" w:space="0"/>
              <w:bottom w:val="single" w:color="auto" w:sz="4" w:space="0"/>
              <w:right w:val="single" w:color="auto" w:sz="4" w:space="0"/>
            </w:tcBorders>
            <w:tcMar>
              <w:left w:w="57" w:type="dxa"/>
              <w:right w:w="57" w:type="dxa"/>
            </w:tcMar>
            <w:vAlign w:val="center"/>
          </w:tcPr>
          <w:p>
            <w:pPr>
              <w:widowControl/>
              <w:wordWrap w:val="0"/>
              <w:jc w:val="center"/>
              <w:rPr>
                <w:rFonts w:hint="eastAsia" w:ascii="宋体" w:hAnsi="宋体" w:eastAsia="宋体" w:cs="宋体"/>
                <w:color w:val="auto"/>
                <w:kern w:val="0"/>
                <w:sz w:val="21"/>
                <w:szCs w:val="21"/>
              </w:rPr>
            </w:pPr>
          </w:p>
        </w:tc>
        <w:tc>
          <w:tcPr>
            <w:tcW w:w="729" w:type="dxa"/>
            <w:vMerge w:val="continue"/>
            <w:tcBorders>
              <w:left w:val="single" w:color="auto" w:sz="4" w:space="0"/>
              <w:bottom w:val="single" w:color="auto" w:sz="4" w:space="0"/>
              <w:right w:val="single" w:color="auto" w:sz="4" w:space="0"/>
            </w:tcBorders>
            <w:tcMar>
              <w:left w:w="57" w:type="dxa"/>
              <w:right w:w="57" w:type="dxa"/>
            </w:tcMar>
            <w:vAlign w:val="center"/>
          </w:tcPr>
          <w:p>
            <w:pPr>
              <w:widowControl/>
              <w:wordWrap w:val="0"/>
              <w:jc w:val="center"/>
              <w:rPr>
                <w:rFonts w:hint="eastAsia" w:ascii="宋体" w:hAnsi="宋体" w:eastAsia="宋体" w:cs="宋体"/>
                <w:color w:val="auto"/>
                <w:kern w:val="0"/>
                <w:sz w:val="21"/>
                <w:szCs w:val="21"/>
              </w:rPr>
            </w:pPr>
          </w:p>
        </w:tc>
        <w:tc>
          <w:tcPr>
            <w:tcW w:w="663" w:type="dxa"/>
            <w:vMerge w:val="continue"/>
            <w:tcBorders>
              <w:left w:val="single" w:color="auto" w:sz="4" w:space="0"/>
              <w:bottom w:val="single" w:color="auto" w:sz="4" w:space="0"/>
              <w:right w:val="single" w:color="auto" w:sz="4" w:space="0"/>
            </w:tcBorders>
            <w:tcMar>
              <w:left w:w="57" w:type="dxa"/>
              <w:right w:w="57" w:type="dxa"/>
            </w:tcMar>
            <w:vAlign w:val="center"/>
          </w:tcPr>
          <w:p>
            <w:pPr>
              <w:widowControl/>
              <w:wordWrap w:val="0"/>
              <w:jc w:val="center"/>
              <w:rPr>
                <w:rFonts w:hint="eastAsia" w:ascii="宋体" w:hAnsi="宋体" w:eastAsia="宋体" w:cs="宋体"/>
                <w:color w:val="auto"/>
                <w:kern w:val="0"/>
                <w:sz w:val="21"/>
                <w:szCs w:val="21"/>
              </w:rPr>
            </w:pPr>
          </w:p>
        </w:tc>
        <w:tc>
          <w:tcPr>
            <w:tcW w:w="1327"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widowControl/>
              <w:wordWrap w:val="0"/>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rPr>
              <w:t>额定载重量</w:t>
            </w:r>
          </w:p>
        </w:tc>
        <w:tc>
          <w:tcPr>
            <w:tcW w:w="1194"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widowControl/>
              <w:wordWrap w:val="0"/>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rPr>
              <w:t>额定速度</w:t>
            </w:r>
          </w:p>
        </w:tc>
        <w:tc>
          <w:tcPr>
            <w:tcW w:w="2570" w:type="dxa"/>
            <w:vMerge w:val="continue"/>
            <w:tcBorders>
              <w:left w:val="single" w:color="auto" w:sz="4" w:space="0"/>
              <w:bottom w:val="single" w:color="auto" w:sz="4" w:space="0"/>
              <w:right w:val="single" w:color="auto" w:sz="4" w:space="0"/>
            </w:tcBorders>
            <w:tcMar>
              <w:left w:w="57" w:type="dxa"/>
              <w:right w:w="57" w:type="dxa"/>
            </w:tcMar>
            <w:vAlign w:val="center"/>
          </w:tcPr>
          <w:p>
            <w:pPr>
              <w:widowControl/>
              <w:wordWrap w:val="0"/>
              <w:jc w:val="center"/>
              <w:rPr>
                <w:rFonts w:hint="eastAsia" w:ascii="宋体" w:hAnsi="宋体" w:eastAsia="宋体" w:cs="宋体"/>
                <w:color w:val="auto"/>
                <w:kern w:val="0"/>
                <w:sz w:val="21"/>
                <w:szCs w:val="21"/>
              </w:rPr>
            </w:pPr>
          </w:p>
        </w:tc>
        <w:tc>
          <w:tcPr>
            <w:tcW w:w="891" w:type="dxa"/>
            <w:vMerge w:val="continue"/>
            <w:tcBorders>
              <w:left w:val="single" w:color="auto" w:sz="4" w:space="0"/>
              <w:bottom w:val="single" w:color="auto" w:sz="4" w:space="0"/>
              <w:right w:val="single" w:color="auto" w:sz="4" w:space="0"/>
            </w:tcBorders>
            <w:tcMar>
              <w:left w:w="108" w:type="dxa"/>
              <w:right w:w="108" w:type="dxa"/>
            </w:tcMar>
          </w:tcPr>
          <w:p>
            <w:pPr>
              <w:widowControl/>
              <w:wordWrap w:val="0"/>
              <w:rPr>
                <w:rFonts w:hint="eastAsia" w:ascii="宋体" w:hAnsi="宋体" w:eastAsia="宋体" w:cs="宋体"/>
                <w:color w:val="auto"/>
                <w:kern w:val="0"/>
                <w:sz w:val="21"/>
                <w:szCs w:val="21"/>
              </w:rPr>
            </w:pPr>
          </w:p>
        </w:tc>
      </w:tr>
      <w:tr>
        <w:tblPrEx>
          <w:tblCellMar>
            <w:top w:w="0" w:type="dxa"/>
            <w:left w:w="0" w:type="dxa"/>
            <w:bottom w:w="0" w:type="dxa"/>
            <w:right w:w="0" w:type="dxa"/>
          </w:tblCellMar>
        </w:tblPrEx>
        <w:trPr>
          <w:trHeight w:val="405" w:hRule="atLeast"/>
        </w:trPr>
        <w:tc>
          <w:tcPr>
            <w:tcW w:w="654"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idowControl/>
              <w:wordWrap w:val="0"/>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w:t>
            </w:r>
          </w:p>
        </w:tc>
        <w:tc>
          <w:tcPr>
            <w:tcW w:w="729"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医梯</w:t>
            </w:r>
          </w:p>
        </w:tc>
        <w:tc>
          <w:tcPr>
            <w:tcW w:w="663"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idowControl/>
              <w:wordWrap w:val="0"/>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w:t>
            </w:r>
          </w:p>
        </w:tc>
        <w:tc>
          <w:tcPr>
            <w:tcW w:w="1327"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idowControl/>
              <w:wordWrap w:val="0"/>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1600kg</w:t>
            </w:r>
          </w:p>
        </w:tc>
        <w:tc>
          <w:tcPr>
            <w:tcW w:w="1194"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idowControl/>
              <w:wordWrap w:val="0"/>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1.75m/s</w:t>
            </w:r>
          </w:p>
        </w:tc>
        <w:tc>
          <w:tcPr>
            <w:tcW w:w="2570"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idowControl/>
              <w:wordWrap w:val="0"/>
              <w:jc w:val="center"/>
              <w:rPr>
                <w:rFonts w:hint="eastAsia" w:ascii="宋体" w:hAnsi="宋体" w:eastAsia="宋体" w:cs="宋体"/>
                <w:color w:val="auto"/>
                <w:kern w:val="0"/>
                <w:sz w:val="21"/>
                <w:szCs w:val="21"/>
              </w:rPr>
            </w:pPr>
            <w:r>
              <w:rPr>
                <w:rFonts w:hint="eastAsia"/>
                <w:color w:val="auto"/>
              </w:rPr>
              <w:t>7层7站</w:t>
            </w:r>
          </w:p>
        </w:tc>
        <w:tc>
          <w:tcPr>
            <w:tcW w:w="891" w:type="dxa"/>
            <w:tcBorders>
              <w:top w:val="single" w:color="auto" w:sz="4" w:space="0"/>
              <w:left w:val="single" w:color="auto" w:sz="4" w:space="0"/>
              <w:bottom w:val="single" w:color="auto" w:sz="4" w:space="0"/>
              <w:right w:val="single" w:color="auto" w:sz="4" w:space="0"/>
            </w:tcBorders>
            <w:tcMar>
              <w:left w:w="108" w:type="dxa"/>
              <w:right w:w="108" w:type="dxa"/>
            </w:tcMar>
          </w:tcPr>
          <w:p>
            <w:pPr>
              <w:widowControl/>
              <w:wordWrap w:val="0"/>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w:t>
            </w:r>
          </w:p>
        </w:tc>
      </w:tr>
      <w:tr>
        <w:tblPrEx>
          <w:tblCellMar>
            <w:top w:w="0" w:type="dxa"/>
            <w:left w:w="0" w:type="dxa"/>
            <w:bottom w:w="0" w:type="dxa"/>
            <w:right w:w="0" w:type="dxa"/>
          </w:tblCellMar>
        </w:tblPrEx>
        <w:trPr>
          <w:trHeight w:val="405" w:hRule="atLeast"/>
        </w:trPr>
        <w:tc>
          <w:tcPr>
            <w:tcW w:w="654"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idowControl/>
              <w:wordWrap w:val="0"/>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w:t>
            </w:r>
          </w:p>
        </w:tc>
        <w:tc>
          <w:tcPr>
            <w:tcW w:w="729"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医梯</w:t>
            </w:r>
          </w:p>
        </w:tc>
        <w:tc>
          <w:tcPr>
            <w:tcW w:w="663"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idowControl/>
              <w:wordWrap w:val="0"/>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w:t>
            </w:r>
          </w:p>
        </w:tc>
        <w:tc>
          <w:tcPr>
            <w:tcW w:w="1327"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idowControl/>
              <w:wordWrap w:val="0"/>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1600kg</w:t>
            </w:r>
          </w:p>
        </w:tc>
        <w:tc>
          <w:tcPr>
            <w:tcW w:w="1194"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idowControl/>
              <w:wordWrap w:val="0"/>
              <w:jc w:val="center"/>
              <w:rPr>
                <w:rFonts w:hint="eastAsia" w:ascii="宋体" w:hAnsi="宋体" w:eastAsia="宋体" w:cs="宋体"/>
                <w:color w:val="auto"/>
                <w:kern w:val="0"/>
                <w:sz w:val="21"/>
                <w:szCs w:val="21"/>
              </w:rPr>
            </w:pPr>
            <w:r>
              <w:rPr>
                <w:rFonts w:hint="eastAsia"/>
                <w:color w:val="auto"/>
              </w:rPr>
              <w:t>1.75m/s</w:t>
            </w:r>
          </w:p>
        </w:tc>
        <w:tc>
          <w:tcPr>
            <w:tcW w:w="2570"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idowControl/>
              <w:wordWrap w:val="0"/>
              <w:jc w:val="center"/>
              <w:rPr>
                <w:rFonts w:hint="eastAsia" w:ascii="宋体" w:hAnsi="宋体" w:eastAsia="宋体" w:cs="宋体"/>
                <w:color w:val="auto"/>
                <w:kern w:val="0"/>
                <w:sz w:val="21"/>
                <w:szCs w:val="21"/>
              </w:rPr>
            </w:pPr>
            <w:r>
              <w:rPr>
                <w:rFonts w:hint="eastAsia"/>
                <w:color w:val="auto"/>
              </w:rPr>
              <w:t>7层7站</w:t>
            </w:r>
          </w:p>
        </w:tc>
        <w:tc>
          <w:tcPr>
            <w:tcW w:w="891" w:type="dxa"/>
            <w:tcBorders>
              <w:top w:val="single" w:color="auto" w:sz="4" w:space="0"/>
              <w:left w:val="single" w:color="auto" w:sz="4" w:space="0"/>
              <w:bottom w:val="single" w:color="auto" w:sz="4" w:space="0"/>
              <w:right w:val="single" w:color="auto" w:sz="4" w:space="0"/>
            </w:tcBorders>
            <w:tcMar>
              <w:left w:w="108" w:type="dxa"/>
              <w:right w:w="108" w:type="dxa"/>
            </w:tcMar>
          </w:tcPr>
          <w:p>
            <w:pPr>
              <w:widowControl/>
              <w:wordWrap w:val="0"/>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w:t>
            </w:r>
          </w:p>
        </w:tc>
      </w:tr>
      <w:tr>
        <w:tblPrEx>
          <w:tblCellMar>
            <w:top w:w="0" w:type="dxa"/>
            <w:left w:w="0" w:type="dxa"/>
            <w:bottom w:w="0" w:type="dxa"/>
            <w:right w:w="0" w:type="dxa"/>
          </w:tblCellMar>
        </w:tblPrEx>
        <w:trPr>
          <w:trHeight w:val="405" w:hRule="atLeast"/>
        </w:trPr>
        <w:tc>
          <w:tcPr>
            <w:tcW w:w="654"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idowControl/>
              <w:wordWrap w:val="0"/>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w:t>
            </w:r>
          </w:p>
        </w:tc>
        <w:tc>
          <w:tcPr>
            <w:tcW w:w="729"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医梯兼无障碍</w:t>
            </w:r>
          </w:p>
        </w:tc>
        <w:tc>
          <w:tcPr>
            <w:tcW w:w="663"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idowControl/>
              <w:wordWrap w:val="0"/>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w:t>
            </w:r>
          </w:p>
        </w:tc>
        <w:tc>
          <w:tcPr>
            <w:tcW w:w="1327"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idowControl/>
              <w:wordWrap w:val="0"/>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1600kg</w:t>
            </w:r>
          </w:p>
        </w:tc>
        <w:tc>
          <w:tcPr>
            <w:tcW w:w="1194"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idowControl/>
              <w:wordWrap w:val="0"/>
              <w:jc w:val="center"/>
              <w:rPr>
                <w:rFonts w:hint="eastAsia" w:ascii="宋体" w:hAnsi="宋体" w:eastAsia="宋体" w:cs="宋体"/>
                <w:color w:val="auto"/>
                <w:kern w:val="0"/>
                <w:sz w:val="21"/>
                <w:szCs w:val="21"/>
              </w:rPr>
            </w:pPr>
            <w:r>
              <w:rPr>
                <w:rFonts w:hint="eastAsia"/>
                <w:color w:val="auto"/>
              </w:rPr>
              <w:t>1.75m/s</w:t>
            </w:r>
          </w:p>
        </w:tc>
        <w:tc>
          <w:tcPr>
            <w:tcW w:w="2570"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idowControl/>
              <w:wordWrap w:val="0"/>
              <w:jc w:val="center"/>
              <w:rPr>
                <w:rFonts w:hint="eastAsia" w:ascii="宋体" w:hAnsi="宋体" w:eastAsia="宋体" w:cs="宋体"/>
                <w:color w:val="auto"/>
                <w:kern w:val="0"/>
                <w:sz w:val="21"/>
                <w:szCs w:val="21"/>
              </w:rPr>
            </w:pPr>
            <w:r>
              <w:rPr>
                <w:rFonts w:hint="eastAsia"/>
                <w:color w:val="auto"/>
                <w:lang w:val="en-US" w:eastAsia="zh-CN"/>
              </w:rPr>
              <w:t>7</w:t>
            </w:r>
            <w:r>
              <w:rPr>
                <w:rFonts w:hint="eastAsia"/>
                <w:color w:val="auto"/>
              </w:rPr>
              <w:t>层</w:t>
            </w:r>
            <w:r>
              <w:rPr>
                <w:rFonts w:hint="eastAsia"/>
                <w:color w:val="auto"/>
                <w:lang w:val="en-US" w:eastAsia="zh-CN"/>
              </w:rPr>
              <w:t>6</w:t>
            </w:r>
            <w:r>
              <w:rPr>
                <w:rFonts w:hint="eastAsia"/>
                <w:color w:val="auto"/>
              </w:rPr>
              <w:t>站</w:t>
            </w:r>
          </w:p>
        </w:tc>
        <w:tc>
          <w:tcPr>
            <w:tcW w:w="891" w:type="dxa"/>
            <w:tcBorders>
              <w:top w:val="single" w:color="auto" w:sz="4" w:space="0"/>
              <w:left w:val="single" w:color="auto" w:sz="4" w:space="0"/>
              <w:bottom w:val="single" w:color="auto" w:sz="4" w:space="0"/>
              <w:right w:val="single" w:color="auto" w:sz="4" w:space="0"/>
            </w:tcBorders>
            <w:tcMar>
              <w:left w:w="108" w:type="dxa"/>
              <w:right w:w="108" w:type="dxa"/>
            </w:tcMar>
          </w:tcPr>
          <w:p>
            <w:pPr>
              <w:widowControl/>
              <w:wordWrap w:val="0"/>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w:t>
            </w:r>
          </w:p>
        </w:tc>
      </w:tr>
      <w:tr>
        <w:tblPrEx>
          <w:tblCellMar>
            <w:top w:w="0" w:type="dxa"/>
            <w:left w:w="0" w:type="dxa"/>
            <w:bottom w:w="0" w:type="dxa"/>
            <w:right w:w="0" w:type="dxa"/>
          </w:tblCellMar>
        </w:tblPrEx>
        <w:trPr>
          <w:trHeight w:val="620" w:hRule="atLeast"/>
        </w:trPr>
        <w:tc>
          <w:tcPr>
            <w:tcW w:w="654"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idowControl/>
              <w:wordWrap w:val="0"/>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val="en-US" w:eastAsia="zh-CN"/>
              </w:rPr>
              <w:t>4</w:t>
            </w:r>
          </w:p>
        </w:tc>
        <w:tc>
          <w:tcPr>
            <w:tcW w:w="729"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idowControl/>
              <w:wordWrap w:val="0"/>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医护梯/办公梯</w:t>
            </w:r>
          </w:p>
        </w:tc>
        <w:tc>
          <w:tcPr>
            <w:tcW w:w="663"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idowControl/>
              <w:wordWrap w:val="0"/>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w:t>
            </w:r>
          </w:p>
        </w:tc>
        <w:tc>
          <w:tcPr>
            <w:tcW w:w="1327"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idowControl/>
              <w:wordWrap w:val="0"/>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1600kg</w:t>
            </w:r>
          </w:p>
        </w:tc>
        <w:tc>
          <w:tcPr>
            <w:tcW w:w="1194"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idowControl/>
              <w:wordWrap w:val="0"/>
              <w:jc w:val="center"/>
              <w:rPr>
                <w:rFonts w:hint="eastAsia" w:ascii="宋体" w:hAnsi="宋体" w:eastAsia="宋体" w:cs="宋体"/>
                <w:color w:val="auto"/>
                <w:kern w:val="0"/>
                <w:sz w:val="21"/>
                <w:szCs w:val="21"/>
              </w:rPr>
            </w:pPr>
            <w:r>
              <w:rPr>
                <w:rFonts w:hint="eastAsia"/>
                <w:color w:val="auto"/>
              </w:rPr>
              <w:t>1.75m/s</w:t>
            </w:r>
          </w:p>
        </w:tc>
        <w:tc>
          <w:tcPr>
            <w:tcW w:w="2570"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idowControl/>
              <w:wordWrap w:val="0"/>
              <w:jc w:val="center"/>
              <w:rPr>
                <w:rFonts w:hint="eastAsia" w:ascii="宋体" w:hAnsi="宋体" w:eastAsia="宋体" w:cs="宋体"/>
                <w:color w:val="auto"/>
                <w:kern w:val="0"/>
                <w:sz w:val="21"/>
                <w:szCs w:val="21"/>
              </w:rPr>
            </w:pPr>
            <w:r>
              <w:rPr>
                <w:rFonts w:hint="eastAsia"/>
                <w:color w:val="auto"/>
                <w:lang w:val="en-US" w:eastAsia="zh-CN"/>
              </w:rPr>
              <w:t>8</w:t>
            </w:r>
            <w:r>
              <w:rPr>
                <w:rFonts w:hint="eastAsia"/>
                <w:color w:val="auto"/>
              </w:rPr>
              <w:t>层</w:t>
            </w:r>
            <w:r>
              <w:rPr>
                <w:rFonts w:hint="eastAsia"/>
                <w:color w:val="auto"/>
                <w:lang w:val="en-US" w:eastAsia="zh-CN"/>
              </w:rPr>
              <w:t>8</w:t>
            </w:r>
            <w:r>
              <w:rPr>
                <w:rFonts w:hint="eastAsia"/>
                <w:color w:val="auto"/>
              </w:rPr>
              <w:t>站</w:t>
            </w:r>
          </w:p>
        </w:tc>
        <w:tc>
          <w:tcPr>
            <w:tcW w:w="891" w:type="dxa"/>
            <w:tcBorders>
              <w:top w:val="single" w:color="auto" w:sz="4" w:space="0"/>
              <w:left w:val="single" w:color="auto" w:sz="4" w:space="0"/>
              <w:bottom w:val="single" w:color="auto" w:sz="4" w:space="0"/>
              <w:right w:val="single" w:color="auto" w:sz="4" w:space="0"/>
            </w:tcBorders>
            <w:tcMar>
              <w:left w:w="108" w:type="dxa"/>
              <w:right w:w="108" w:type="dxa"/>
            </w:tcMar>
          </w:tcPr>
          <w:p>
            <w:pPr>
              <w:widowControl/>
              <w:wordWrap w:val="0"/>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w:t>
            </w:r>
          </w:p>
        </w:tc>
      </w:tr>
      <w:tr>
        <w:tblPrEx>
          <w:tblCellMar>
            <w:top w:w="0" w:type="dxa"/>
            <w:left w:w="0" w:type="dxa"/>
            <w:bottom w:w="0" w:type="dxa"/>
            <w:right w:w="0" w:type="dxa"/>
          </w:tblCellMar>
        </w:tblPrEx>
        <w:trPr>
          <w:trHeight w:val="405" w:hRule="atLeast"/>
        </w:trPr>
        <w:tc>
          <w:tcPr>
            <w:tcW w:w="654"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idowControl/>
              <w:wordWrap w:val="0"/>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5</w:t>
            </w:r>
          </w:p>
        </w:tc>
        <w:tc>
          <w:tcPr>
            <w:tcW w:w="729"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idowControl/>
              <w:wordWrap w:val="0"/>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污梯/消防梯</w:t>
            </w:r>
          </w:p>
        </w:tc>
        <w:tc>
          <w:tcPr>
            <w:tcW w:w="663"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idowControl/>
              <w:wordWrap w:val="0"/>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w:t>
            </w:r>
          </w:p>
        </w:tc>
        <w:tc>
          <w:tcPr>
            <w:tcW w:w="1327"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idowControl/>
              <w:wordWrap w:val="0"/>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1600kg</w:t>
            </w:r>
          </w:p>
        </w:tc>
        <w:tc>
          <w:tcPr>
            <w:tcW w:w="1194"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idowControl/>
              <w:wordWrap w:val="0"/>
              <w:jc w:val="center"/>
              <w:rPr>
                <w:rFonts w:hint="eastAsia" w:ascii="宋体" w:hAnsi="宋体" w:eastAsia="宋体" w:cs="宋体"/>
                <w:color w:val="auto"/>
                <w:kern w:val="0"/>
                <w:sz w:val="21"/>
                <w:szCs w:val="21"/>
              </w:rPr>
            </w:pPr>
            <w:r>
              <w:rPr>
                <w:rFonts w:hint="eastAsia"/>
                <w:color w:val="auto"/>
              </w:rPr>
              <w:t>1.75m/s</w:t>
            </w:r>
          </w:p>
        </w:tc>
        <w:tc>
          <w:tcPr>
            <w:tcW w:w="2570"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idowControl/>
              <w:wordWrap w:val="0"/>
              <w:jc w:val="center"/>
              <w:rPr>
                <w:rFonts w:hint="eastAsia" w:ascii="宋体" w:hAnsi="宋体" w:eastAsia="宋体" w:cs="宋体"/>
                <w:color w:val="auto"/>
                <w:kern w:val="0"/>
                <w:sz w:val="21"/>
                <w:szCs w:val="21"/>
              </w:rPr>
            </w:pPr>
            <w:r>
              <w:rPr>
                <w:rFonts w:hint="eastAsia"/>
                <w:color w:val="auto"/>
                <w:lang w:val="en-US" w:eastAsia="zh-CN"/>
              </w:rPr>
              <w:t>8</w:t>
            </w:r>
            <w:r>
              <w:rPr>
                <w:rFonts w:hint="eastAsia"/>
                <w:color w:val="auto"/>
              </w:rPr>
              <w:t>层</w:t>
            </w:r>
            <w:r>
              <w:rPr>
                <w:rFonts w:hint="eastAsia"/>
                <w:color w:val="auto"/>
                <w:lang w:val="en-US" w:eastAsia="zh-CN"/>
              </w:rPr>
              <w:t>8</w:t>
            </w:r>
            <w:r>
              <w:rPr>
                <w:rFonts w:hint="eastAsia"/>
                <w:color w:val="auto"/>
              </w:rPr>
              <w:t>站</w:t>
            </w:r>
          </w:p>
        </w:tc>
        <w:tc>
          <w:tcPr>
            <w:tcW w:w="891" w:type="dxa"/>
            <w:tcBorders>
              <w:top w:val="single" w:color="auto" w:sz="4" w:space="0"/>
              <w:left w:val="single" w:color="auto" w:sz="4" w:space="0"/>
              <w:bottom w:val="single" w:color="auto" w:sz="4" w:space="0"/>
              <w:right w:val="single" w:color="auto" w:sz="4" w:space="0"/>
            </w:tcBorders>
            <w:tcMar>
              <w:left w:w="108" w:type="dxa"/>
              <w:right w:w="108" w:type="dxa"/>
            </w:tcMar>
          </w:tcPr>
          <w:p>
            <w:pPr>
              <w:widowControl/>
              <w:wordWrap w:val="0"/>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w:t>
            </w:r>
          </w:p>
        </w:tc>
      </w:tr>
    </w:tbl>
    <w:p>
      <w:pPr>
        <w:spacing w:line="360" w:lineRule="auto"/>
        <w:rPr>
          <w:rFonts w:hint="eastAsia" w:ascii="宋体" w:hAnsi="宋体" w:eastAsia="宋体" w:cs="宋体"/>
          <w:color w:val="auto"/>
          <w:sz w:val="21"/>
          <w:szCs w:val="21"/>
        </w:rPr>
      </w:pPr>
    </w:p>
    <w:p>
      <w:pPr>
        <w:spacing w:line="360" w:lineRule="auto"/>
        <w:ind w:firstLine="422" w:firstLineChars="200"/>
        <w:rPr>
          <w:rFonts w:hint="eastAsia" w:ascii="宋体" w:hAnsi="宋体" w:eastAsia="宋体" w:cs="宋体"/>
          <w:b/>
          <w:color w:val="auto"/>
          <w:sz w:val="21"/>
          <w:szCs w:val="21"/>
        </w:rPr>
      </w:pPr>
      <w:r>
        <w:rPr>
          <w:rFonts w:hint="eastAsia" w:ascii="宋体" w:hAnsi="宋体" w:eastAsia="宋体" w:cs="宋体"/>
          <w:b/>
          <w:color w:val="auto"/>
          <w:sz w:val="21"/>
          <w:szCs w:val="21"/>
        </w:rPr>
        <w:t>五、土建尺寸、技术参数、功能要求、性能指标、其他要求</w:t>
      </w:r>
    </w:p>
    <w:p>
      <w:pPr>
        <w:spacing w:line="360" w:lineRule="auto"/>
        <w:ind w:firstLine="420" w:firstLineChars="200"/>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详见</w:t>
      </w:r>
      <w:r>
        <w:rPr>
          <w:rFonts w:hint="eastAsia" w:ascii="宋体" w:hAnsi="宋体" w:eastAsia="宋体" w:cs="宋体"/>
          <w:color w:val="auto"/>
          <w:sz w:val="21"/>
          <w:szCs w:val="21"/>
        </w:rPr>
        <w:t>附件</w:t>
      </w:r>
      <w:r>
        <w:rPr>
          <w:rFonts w:hint="eastAsia" w:ascii="宋体" w:hAnsi="宋体" w:eastAsia="宋体" w:cs="宋体"/>
          <w:color w:val="auto"/>
          <w:sz w:val="21"/>
          <w:szCs w:val="21"/>
          <w:lang w:eastAsia="zh-CN"/>
        </w:rPr>
        <w:t>。</w:t>
      </w:r>
    </w:p>
    <w:p>
      <w:pPr>
        <w:spacing w:line="360" w:lineRule="auto"/>
        <w:ind w:firstLine="0" w:firstLineChars="0"/>
        <w:rPr>
          <w:rFonts w:hint="eastAsia" w:ascii="宋体" w:hAnsi="宋体" w:eastAsia="宋体" w:cs="宋体"/>
          <w:b/>
          <w:color w:val="auto"/>
          <w:sz w:val="21"/>
          <w:szCs w:val="21"/>
        </w:rPr>
      </w:pPr>
      <w:r>
        <w:rPr>
          <w:rFonts w:hint="eastAsia" w:ascii="宋体" w:hAnsi="宋体" w:eastAsia="宋体" w:cs="宋体"/>
          <w:color w:val="auto"/>
          <w:sz w:val="21"/>
          <w:szCs w:val="21"/>
          <w:lang w:val="en-US" w:eastAsia="zh-CN"/>
        </w:rPr>
        <w:t xml:space="preserve"> </w:t>
      </w:r>
    </w:p>
    <w:p>
      <w:pPr>
        <w:spacing w:line="360" w:lineRule="auto"/>
        <w:ind w:firstLine="422" w:firstLineChars="200"/>
        <w:rPr>
          <w:rFonts w:hint="eastAsia" w:ascii="宋体" w:hAnsi="宋体" w:eastAsia="宋体" w:cs="宋体"/>
          <w:b/>
          <w:color w:val="auto"/>
          <w:sz w:val="21"/>
          <w:szCs w:val="21"/>
        </w:rPr>
      </w:pPr>
      <w:r>
        <w:rPr>
          <w:rFonts w:hint="eastAsia" w:ascii="宋体" w:hAnsi="宋体" w:eastAsia="宋体" w:cs="宋体"/>
          <w:b/>
          <w:color w:val="auto"/>
          <w:sz w:val="21"/>
          <w:szCs w:val="21"/>
        </w:rPr>
        <w:t>六、商务要求</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一</w:t>
      </w:r>
      <w:r>
        <w:rPr>
          <w:rFonts w:hint="eastAsia" w:ascii="宋体" w:hAnsi="宋体" w:eastAsia="宋体" w:cs="宋体"/>
          <w:color w:val="auto"/>
          <w:sz w:val="21"/>
          <w:szCs w:val="21"/>
        </w:rPr>
        <w:t>）包装和运输</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eastAsia="zh-CN"/>
        </w:rPr>
        <w:t>产品包装应当</w:t>
      </w:r>
      <w:r>
        <w:rPr>
          <w:rFonts w:hint="eastAsia" w:ascii="宋体" w:hAnsi="宋体" w:eastAsia="宋体" w:cs="宋体"/>
          <w:color w:val="auto"/>
          <w:sz w:val="21"/>
          <w:szCs w:val="21"/>
        </w:rPr>
        <w:t>参照财政部等印发的《商品包装政府采购需求标准（试行）》《快递包装政府采购需求标准（试行）》（财办库〔2020〕123号）</w:t>
      </w:r>
      <w:r>
        <w:rPr>
          <w:rFonts w:hint="eastAsia" w:ascii="宋体" w:hAnsi="宋体" w:eastAsia="宋体" w:cs="宋体"/>
          <w:color w:val="auto"/>
          <w:sz w:val="21"/>
          <w:szCs w:val="21"/>
          <w:lang w:eastAsia="zh-CN"/>
        </w:rPr>
        <w:t>要求执行。</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二</w:t>
      </w:r>
      <w:r>
        <w:rPr>
          <w:rFonts w:hint="eastAsia" w:ascii="宋体" w:hAnsi="宋体" w:eastAsia="宋体" w:cs="宋体"/>
          <w:color w:val="auto"/>
          <w:sz w:val="21"/>
          <w:szCs w:val="21"/>
        </w:rPr>
        <w:t>）保险</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供应商</w:t>
      </w:r>
      <w:r>
        <w:rPr>
          <w:rFonts w:hint="eastAsia" w:ascii="宋体" w:hAnsi="宋体" w:eastAsia="宋体" w:cs="宋体"/>
          <w:color w:val="auto"/>
          <w:sz w:val="21"/>
          <w:szCs w:val="21"/>
          <w:lang w:eastAsia="zh-CN"/>
        </w:rPr>
        <w:t>可以</w:t>
      </w:r>
      <w:r>
        <w:rPr>
          <w:rFonts w:hint="eastAsia" w:ascii="宋体" w:hAnsi="宋体" w:eastAsia="宋体" w:cs="宋体"/>
          <w:color w:val="auto"/>
          <w:sz w:val="21"/>
          <w:szCs w:val="21"/>
        </w:rPr>
        <w:t>结合当地市场监管部门相关政策购买电梯责任保险或其他等同形式的商业保险，并明确保险受益人</w:t>
      </w:r>
      <w:r>
        <w:rPr>
          <w:rFonts w:hint="eastAsia" w:ascii="宋体" w:hAnsi="宋体" w:eastAsia="宋体" w:cs="宋体"/>
          <w:color w:val="auto"/>
          <w:sz w:val="21"/>
          <w:szCs w:val="21"/>
          <w:lang w:eastAsia="zh-CN"/>
        </w:rPr>
        <w:t>为采购人</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三</w:t>
      </w:r>
      <w:r>
        <w:rPr>
          <w:rFonts w:hint="eastAsia" w:ascii="宋体" w:hAnsi="宋体" w:eastAsia="宋体" w:cs="宋体"/>
          <w:color w:val="auto"/>
          <w:sz w:val="21"/>
          <w:szCs w:val="21"/>
        </w:rPr>
        <w:t>）出厂检验</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供应商所提供的电梯品牌制造单位必须履行电梯出厂检验程序，提供随机附带的配置说明文件。对需要使用密码接入控制器的，应要求其在安装使用维护说明中标明该预设密码。</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四</w:t>
      </w:r>
      <w:r>
        <w:rPr>
          <w:rFonts w:hint="eastAsia" w:ascii="宋体" w:hAnsi="宋体" w:eastAsia="宋体" w:cs="宋体"/>
          <w:color w:val="auto"/>
          <w:sz w:val="21"/>
          <w:szCs w:val="21"/>
        </w:rPr>
        <w:t>）到货检验</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供应商在货物运抵安装位置后应当履行到货检验手续。到货检验可由采购人（含采购人委托的监理单位）、供应商共同进行，必要时可约定邀请第三方专业检验检测机构参与。检验内容包括对照采购清单及技术要求检查相关品牌证书、装箱清单（含设备的主、附件）、产品配置说明、设备出厂检验报告、整机及安全保护装置型式试验证书等相关文件证书等。</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五</w:t>
      </w:r>
      <w:r>
        <w:rPr>
          <w:rFonts w:hint="eastAsia" w:ascii="宋体" w:hAnsi="宋体" w:eastAsia="宋体" w:cs="宋体"/>
          <w:color w:val="auto"/>
          <w:sz w:val="21"/>
          <w:szCs w:val="21"/>
        </w:rPr>
        <w:t>）安装调试</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电梯安装施工过程中，中标供应商应当服从施工总包单位对施工现场安全生产的管理，落实现场安全防护措施，并明确各自的安全责任。</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电梯安装施工期间应在电梯口的显著位置设置警示标志和公示牌，并采取必要的防护措施，公示牌载明作业内容、施工期限、施工单位、责任人、联系方式等信息。</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中标供应商不得采用更改软件程序、变动硬件设施等技术手段设置技术障碍，影响电梯正常运行。</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中标供应商不得以任何形式允许、默许其他单位或者个人将未经检验或者检验不合格的电梯投入使用。</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中标供应商应提供必要的技术服务和必需的备品配件，指导并协助解决电梯安装、调试、使用过程中涉及的质量安全问题，并在安装竣工后进行整机验收、出具整机质量证明文件。</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六</w:t>
      </w:r>
      <w:r>
        <w:rPr>
          <w:rFonts w:hint="eastAsia" w:ascii="宋体" w:hAnsi="宋体" w:eastAsia="宋体" w:cs="宋体"/>
          <w:color w:val="auto"/>
          <w:sz w:val="21"/>
          <w:szCs w:val="21"/>
        </w:rPr>
        <w:t>）交付检验</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中标供应商应提供交付检验服务。招标文件、投标文件、厂家货物技术标准说明及国家有关的质量标准规定均为验收依据。交付检验至少应满足以下要求：</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电梯安装调试完毕后，采购人根据招标文件、投标文件、厂家货物技术标准说明等内容进行检查，符合要求后提请特种设备监督检验机构进行监督检验。必要时可约定邀请第三方专业检验检测机构参与。</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电梯安装监督检验须由经核准的特种设备监督检验机构进行，检验合格并完成电梯使用登记手续后方视为完成交付检验。</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完成交付检验后，中标供应商应向采购人移交监督检验报告、特种设备使用标志、电梯相关建筑接口符合性声明、配置说明、型式试验证书、电气原理图、整机质量证明文件、安装使用维护保养说明书、应急救援说明、非金属材质部件使用声明（如果有）、未设置人为障碍声明、变更设计证明文件（如果有）、安装自检报告等有关资料。</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七</w:t>
      </w:r>
      <w:r>
        <w:rPr>
          <w:rFonts w:hint="eastAsia" w:ascii="宋体" w:hAnsi="宋体" w:eastAsia="宋体" w:cs="宋体"/>
          <w:color w:val="auto"/>
          <w:sz w:val="21"/>
          <w:szCs w:val="21"/>
        </w:rPr>
        <w:t>）管理及技术支撑能力</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投标人应在投标文件中明确项目实施期间的管理人员配置、安装过程管理方案、调试方案、维保及技术支撑方案、类似业绩等。项目组成员数量配置</w:t>
      </w:r>
      <w:r>
        <w:rPr>
          <w:rFonts w:hint="eastAsia" w:ascii="宋体" w:hAnsi="宋体" w:eastAsia="宋体" w:cs="宋体"/>
          <w:color w:val="auto"/>
          <w:sz w:val="21"/>
          <w:szCs w:val="21"/>
          <w:lang w:eastAsia="zh-CN"/>
        </w:rPr>
        <w:t>应当</w:t>
      </w:r>
      <w:r>
        <w:rPr>
          <w:rFonts w:hint="eastAsia" w:ascii="宋体" w:hAnsi="宋体" w:eastAsia="宋体" w:cs="宋体"/>
          <w:color w:val="auto"/>
          <w:sz w:val="21"/>
          <w:szCs w:val="21"/>
        </w:rPr>
        <w:t>满足本项目安装进度要求</w:t>
      </w:r>
      <w:r>
        <w:rPr>
          <w:rFonts w:hint="eastAsia" w:ascii="宋体" w:hAnsi="宋体" w:eastAsia="宋体" w:cs="宋体"/>
          <w:color w:val="auto"/>
          <w:sz w:val="21"/>
          <w:szCs w:val="21"/>
          <w:lang w:eastAsia="zh-CN"/>
        </w:rPr>
        <w:t>和质量要求</w:t>
      </w:r>
      <w:r>
        <w:rPr>
          <w:rFonts w:hint="eastAsia" w:ascii="宋体" w:hAnsi="宋体" w:eastAsia="宋体" w:cs="宋体"/>
          <w:color w:val="auto"/>
          <w:sz w:val="21"/>
          <w:szCs w:val="21"/>
        </w:rPr>
        <w:t>，提供团队人员名单。</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八</w:t>
      </w:r>
      <w:r>
        <w:rPr>
          <w:rFonts w:hint="eastAsia" w:ascii="宋体" w:hAnsi="宋体" w:eastAsia="宋体" w:cs="宋体"/>
          <w:color w:val="auto"/>
          <w:sz w:val="21"/>
          <w:szCs w:val="21"/>
        </w:rPr>
        <w:t>）售后服务</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免费售后维保服务期限</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自特种设备检验机构监督检验合格之日起，整机不低于2年，主要部件和安全保护装置不低于5年。</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在质量保证期限内存在质量问题的，中标供应商应当提供免费修理或者更换服务。</w:t>
      </w:r>
    </w:p>
    <w:p>
      <w:pPr>
        <w:spacing w:line="360" w:lineRule="auto"/>
        <w:ind w:firstLine="422" w:firstLineChars="200"/>
        <w:rPr>
          <w:rFonts w:hint="eastAsia" w:ascii="宋体" w:hAnsi="宋体" w:eastAsia="宋体" w:cs="宋体"/>
          <w:color w:val="auto"/>
          <w:sz w:val="21"/>
          <w:szCs w:val="21"/>
        </w:rPr>
      </w:pPr>
      <w:r>
        <w:rPr>
          <w:rFonts w:hint="eastAsia" w:ascii="宋体" w:hAnsi="宋体" w:eastAsia="宋体" w:cs="宋体"/>
          <w:b/>
          <w:color w:val="auto"/>
          <w:sz w:val="21"/>
          <w:szCs w:val="21"/>
        </w:rPr>
        <w:t>电梯主要部件包括</w:t>
      </w:r>
      <w:r>
        <w:rPr>
          <w:rFonts w:hint="eastAsia" w:ascii="宋体" w:hAnsi="宋体" w:eastAsia="宋体" w:cs="宋体"/>
          <w:color w:val="auto"/>
          <w:sz w:val="21"/>
          <w:szCs w:val="21"/>
        </w:rPr>
        <w:t>控制柜、驱动主机（适用于曳引与强制驱动电梯）</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门机</w:t>
      </w:r>
      <w:r>
        <w:rPr>
          <w:rFonts w:hint="eastAsia" w:ascii="宋体" w:hAnsi="宋体" w:eastAsia="宋体" w:cs="宋体"/>
          <w:color w:val="auto"/>
          <w:sz w:val="21"/>
          <w:szCs w:val="21"/>
        </w:rPr>
        <w:t>；</w:t>
      </w:r>
    </w:p>
    <w:p>
      <w:pPr>
        <w:spacing w:line="360" w:lineRule="auto"/>
        <w:ind w:firstLine="422" w:firstLineChars="200"/>
        <w:rPr>
          <w:rFonts w:hint="eastAsia" w:ascii="宋体" w:hAnsi="宋体" w:eastAsia="宋体" w:cs="宋体"/>
          <w:color w:val="auto"/>
          <w:sz w:val="21"/>
          <w:szCs w:val="21"/>
        </w:rPr>
      </w:pPr>
      <w:r>
        <w:rPr>
          <w:rFonts w:hint="eastAsia" w:ascii="宋体" w:hAnsi="宋体" w:eastAsia="宋体" w:cs="宋体"/>
          <w:b/>
          <w:color w:val="auto"/>
          <w:sz w:val="21"/>
          <w:szCs w:val="21"/>
        </w:rPr>
        <w:t>安全保护装置包括</w:t>
      </w:r>
      <w:r>
        <w:rPr>
          <w:rFonts w:hint="eastAsia" w:ascii="宋体" w:hAnsi="宋体" w:eastAsia="宋体" w:cs="宋体"/>
          <w:color w:val="auto"/>
          <w:sz w:val="21"/>
          <w:szCs w:val="21"/>
        </w:rPr>
        <w:t>限速器、安全钳、缓冲器、门锁装置、轿厢上行超速保护装置（适用于曳引驱动电梯）、含有电子元件的安全电路、可编程电子安全相关系统、轿厢意外移动保护装置（适用于曳引与强制驱动非防爆电梯）。</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售后服务要求</w:t>
      </w:r>
    </w:p>
    <w:p>
      <w:pPr>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验收通过后</w:t>
      </w:r>
      <w:r>
        <w:rPr>
          <w:rFonts w:hint="eastAsia" w:ascii="宋体" w:hAnsi="宋体" w:eastAsia="宋体" w:cs="宋体"/>
          <w:color w:val="auto"/>
          <w:sz w:val="21"/>
          <w:szCs w:val="21"/>
          <w:lang w:val="en-US" w:eastAsia="zh-CN"/>
        </w:rPr>
        <w:t>24</w:t>
      </w:r>
      <w:r>
        <w:rPr>
          <w:rFonts w:hint="eastAsia" w:ascii="宋体" w:hAnsi="宋体" w:eastAsia="宋体" w:cs="宋体"/>
          <w:color w:val="auto"/>
          <w:sz w:val="21"/>
          <w:szCs w:val="21"/>
        </w:rPr>
        <w:t>个月内，现场维护保养应至少由</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名持有特种设备作业人员资格证的人员驻场实施。</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设立24小时维保值班电话，保证接到故障通知后及时予以排除。</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建立每台电梯的维保记录，及时记录电梯的维保、故障等情况。</w:t>
      </w:r>
    </w:p>
    <w:p>
      <w:pPr>
        <w:spacing w:line="360" w:lineRule="auto"/>
        <w:ind w:firstLine="420" w:firstLineChars="200"/>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接到电梯困人故障报告后，维保人员</w:t>
      </w:r>
      <w:r>
        <w:rPr>
          <w:rFonts w:hint="eastAsia" w:ascii="宋体" w:hAnsi="宋体" w:eastAsia="宋体" w:cs="宋体"/>
          <w:color w:val="auto"/>
          <w:sz w:val="21"/>
          <w:szCs w:val="21"/>
          <w:highlight w:val="yellow"/>
        </w:rPr>
        <w:t>30</w:t>
      </w:r>
      <w:r>
        <w:rPr>
          <w:rFonts w:hint="eastAsia" w:ascii="宋体" w:hAnsi="宋体" w:eastAsia="宋体" w:cs="宋体"/>
          <w:color w:val="auto"/>
          <w:sz w:val="21"/>
          <w:szCs w:val="21"/>
        </w:rPr>
        <w:t>分钟内抵达所维保电梯所在地实施现场救援。</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协助采购人建立每台电梯的档案，包括电梯安全管理制度、应急救援预案、维保记录、故障记录、日常巡查记录等。</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协助采购人至少每年开展一次应急演练。</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7</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至少提前一天书面告知采购人维护保养时间及联系人，维护保养期间应在现场放置警示标志。</w:t>
      </w:r>
    </w:p>
    <w:p>
      <w:pPr>
        <w:spacing w:line="360" w:lineRule="auto"/>
        <w:ind w:firstLine="420" w:firstLineChars="200"/>
        <w:rPr>
          <w:rFonts w:hint="eastAsia" w:ascii="宋体" w:hAnsi="宋体" w:eastAsia="宋体" w:cs="宋体"/>
          <w:color w:val="auto"/>
          <w:sz w:val="21"/>
          <w:szCs w:val="21"/>
          <w:highlight w:val="yellow"/>
          <w:lang w:val="en-US" w:eastAsia="zh-CN"/>
        </w:rPr>
      </w:pPr>
      <w:r>
        <w:rPr>
          <w:rFonts w:hint="eastAsia" w:ascii="宋体" w:hAnsi="宋体" w:eastAsia="宋体" w:cs="宋体"/>
          <w:color w:val="auto"/>
          <w:sz w:val="21"/>
          <w:szCs w:val="21"/>
          <w:highlight w:val="yellow"/>
          <w:lang w:val="en-US" w:eastAsia="zh-CN"/>
        </w:rPr>
        <w:t>（8）质保期内轿内显示器更换屏幕显示内容不再另外收费。</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9</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终止电梯维护保养时不得采用设置密码等方式干扰电梯后续的正常运行和安全使用。</w:t>
      </w:r>
    </w:p>
    <w:p>
      <w:pPr>
        <w:spacing w:line="360" w:lineRule="auto"/>
        <w:ind w:firstLine="420" w:firstLineChars="200"/>
        <w:rPr>
          <w:rFonts w:hint="default" w:ascii="宋体" w:hAnsi="宋体" w:eastAsia="宋体" w:cs="宋体"/>
          <w:color w:val="auto"/>
          <w:sz w:val="21"/>
          <w:szCs w:val="21"/>
          <w:highlight w:val="yellow"/>
          <w:lang w:val="en-US" w:eastAsia="zh-CN"/>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10</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提供必需的备品备件，满足使用过程中更换及时性的要求。</w:t>
      </w:r>
      <w:r>
        <w:rPr>
          <w:rFonts w:hint="eastAsia" w:ascii="宋体" w:hAnsi="宋体" w:eastAsia="宋体" w:cs="宋体"/>
          <w:color w:val="auto"/>
          <w:sz w:val="21"/>
          <w:szCs w:val="21"/>
          <w:highlight w:val="yellow"/>
          <w:lang w:val="en-US" w:eastAsia="zh-CN"/>
        </w:rPr>
        <w:t>需明确主要配件到货时间。</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11</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在未经采购人许可的情况下不得将售后维保业务转包、分包。</w:t>
      </w:r>
    </w:p>
    <w:p>
      <w:pPr>
        <w:spacing w:line="360" w:lineRule="auto"/>
        <w:rPr>
          <w:rFonts w:hint="eastAsia" w:ascii="宋体" w:hAnsi="宋体" w:eastAsia="宋体" w:cs="宋体"/>
          <w:color w:val="auto"/>
          <w:sz w:val="21"/>
          <w:szCs w:val="21"/>
        </w:rPr>
      </w:pPr>
    </w:p>
    <w:p>
      <w:pPr>
        <w:spacing w:line="360" w:lineRule="auto"/>
        <w:ind w:firstLine="422" w:firstLineChars="200"/>
        <w:rPr>
          <w:rFonts w:hint="eastAsia" w:ascii="宋体" w:hAnsi="宋体" w:eastAsia="宋体" w:cs="宋体"/>
          <w:color w:val="auto"/>
          <w:sz w:val="21"/>
          <w:szCs w:val="21"/>
        </w:rPr>
      </w:pPr>
      <w:bookmarkStart w:id="0" w:name="_Toc17452"/>
      <w:bookmarkStart w:id="1" w:name="_Toc20695"/>
      <w:r>
        <w:rPr>
          <w:rFonts w:hint="eastAsia" w:ascii="宋体" w:hAnsi="宋体" w:eastAsia="宋体" w:cs="宋体"/>
          <w:b/>
          <w:color w:val="auto"/>
          <w:sz w:val="21"/>
          <w:szCs w:val="21"/>
        </w:rPr>
        <w:t>七、施工界面划分</w:t>
      </w:r>
      <w:bookmarkEnd w:id="0"/>
      <w:bookmarkEnd w:id="1"/>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eastAsia="zh-CN"/>
        </w:rPr>
        <w:t>（一）</w:t>
      </w:r>
      <w:r>
        <w:rPr>
          <w:rFonts w:hint="eastAsia" w:ascii="宋体" w:hAnsi="宋体" w:eastAsia="宋体" w:cs="宋体"/>
          <w:color w:val="auto"/>
          <w:sz w:val="21"/>
          <w:szCs w:val="21"/>
        </w:rPr>
        <w:t>电梯电源管线由施工总包</w:t>
      </w:r>
      <w:r>
        <w:rPr>
          <w:rFonts w:hint="eastAsia" w:ascii="宋体" w:hAnsi="宋体" w:eastAsia="宋体" w:cs="宋体"/>
          <w:color w:val="auto"/>
          <w:sz w:val="21"/>
          <w:szCs w:val="21"/>
          <w:lang w:val="en-US" w:eastAsia="zh-CN"/>
        </w:rPr>
        <w:t>接入</w:t>
      </w:r>
      <w:r>
        <w:rPr>
          <w:rFonts w:hint="eastAsia" w:ascii="宋体" w:hAnsi="宋体" w:eastAsia="宋体" w:cs="宋体"/>
          <w:color w:val="auto"/>
          <w:sz w:val="21"/>
          <w:szCs w:val="21"/>
        </w:rPr>
        <w:t>至井道内电梯控制柜（箱），电梯控制柜（箱）出线的管路（或线槽）、电缆敷设、导线由中标供应商提供并安装。</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eastAsia="zh-CN"/>
        </w:rPr>
        <w:t>（二）</w:t>
      </w:r>
      <w:r>
        <w:rPr>
          <w:rFonts w:hint="eastAsia" w:ascii="宋体" w:hAnsi="宋体" w:eastAsia="宋体" w:cs="宋体"/>
          <w:color w:val="auto"/>
          <w:sz w:val="21"/>
          <w:szCs w:val="21"/>
        </w:rPr>
        <w:t>中标供应商负责提供井道照明的材料及安装。</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eastAsia="zh-CN"/>
        </w:rPr>
        <w:t>（三）</w:t>
      </w:r>
      <w:r>
        <w:rPr>
          <w:rFonts w:hint="eastAsia" w:ascii="宋体" w:hAnsi="宋体" w:eastAsia="宋体" w:cs="宋体"/>
          <w:color w:val="auto"/>
          <w:sz w:val="21"/>
          <w:szCs w:val="21"/>
        </w:rPr>
        <w:t>电梯井道门洞口的防护栅栏由</w:t>
      </w:r>
      <w:r>
        <w:rPr>
          <w:rFonts w:hint="eastAsia" w:ascii="宋体" w:hAnsi="宋体" w:eastAsia="宋体" w:cs="宋体"/>
          <w:color w:val="auto"/>
          <w:sz w:val="21"/>
          <w:szCs w:val="21"/>
          <w:lang w:val="en-US" w:eastAsia="zh-CN"/>
        </w:rPr>
        <w:t>院方确认的第三方拆梯</w:t>
      </w:r>
      <w:r>
        <w:rPr>
          <w:rFonts w:hint="eastAsia" w:ascii="宋体" w:hAnsi="宋体" w:eastAsia="宋体" w:cs="宋体"/>
          <w:color w:val="auto"/>
          <w:sz w:val="21"/>
          <w:szCs w:val="21"/>
        </w:rPr>
        <w:t>单位在</w:t>
      </w:r>
      <w:r>
        <w:rPr>
          <w:rFonts w:hint="eastAsia" w:ascii="宋体" w:hAnsi="宋体" w:eastAsia="宋体" w:cs="宋体"/>
          <w:color w:val="auto"/>
          <w:sz w:val="21"/>
          <w:szCs w:val="21"/>
          <w:lang w:val="en-US" w:eastAsia="zh-CN"/>
        </w:rPr>
        <w:t>拆梯</w:t>
      </w:r>
      <w:r>
        <w:rPr>
          <w:rFonts w:hint="eastAsia" w:ascii="宋体" w:hAnsi="宋体" w:eastAsia="宋体" w:cs="宋体"/>
          <w:color w:val="auto"/>
          <w:sz w:val="21"/>
          <w:szCs w:val="21"/>
        </w:rPr>
        <w:t>时完成(厅门护栏的设置应符合中标供应商的安全要求),中标供应商进场后由中标供应商负责井道门洞口的安全维护。</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eastAsia="zh-CN"/>
        </w:rPr>
        <w:t>（四）</w:t>
      </w:r>
      <w:r>
        <w:rPr>
          <w:rFonts w:hint="eastAsia" w:ascii="宋体" w:hAnsi="宋体" w:eastAsia="宋体" w:cs="宋体"/>
          <w:color w:val="auto"/>
          <w:sz w:val="21"/>
          <w:szCs w:val="21"/>
        </w:rPr>
        <w:t>施工总包单位负责为中标供应商提供每个楼层施工标高线，同时按中标供应商提供图纸预留电梯厅外按钮、到站显示灯等孔洞。</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eastAsia="zh-CN"/>
        </w:rPr>
        <w:t>（五）</w:t>
      </w:r>
      <w:r>
        <w:rPr>
          <w:rFonts w:hint="eastAsia" w:ascii="宋体" w:hAnsi="宋体" w:eastAsia="宋体" w:cs="宋体"/>
          <w:color w:val="auto"/>
          <w:sz w:val="21"/>
          <w:szCs w:val="21"/>
        </w:rPr>
        <w:t>施工总包单位为中标供应商提供临时场所并指定施工现场内的垃圾堆放点，中标供应商在临时场所搭建工具房并自行采用保护措施，负责自行施工过程中的建筑垃圾清理及外运。</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eastAsia="zh-CN"/>
        </w:rPr>
        <w:t>（六）</w:t>
      </w:r>
      <w:r>
        <w:rPr>
          <w:rFonts w:hint="eastAsia" w:ascii="宋体" w:hAnsi="宋体" w:eastAsia="宋体" w:cs="宋体"/>
          <w:color w:val="auto"/>
          <w:sz w:val="21"/>
          <w:szCs w:val="21"/>
        </w:rPr>
        <w:t>电梯井道施工用脚手架由中标供应商自行负责提供及安装。</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eastAsia="zh-CN"/>
        </w:rPr>
        <w:t>（七）</w:t>
      </w:r>
      <w:r>
        <w:rPr>
          <w:rFonts w:hint="eastAsia" w:ascii="宋体" w:hAnsi="宋体" w:eastAsia="宋体" w:cs="宋体"/>
          <w:color w:val="auto"/>
          <w:sz w:val="21"/>
          <w:szCs w:val="21"/>
        </w:rPr>
        <w:t>施工总包提供中标供应商施工用水用电到指定地点，中标供应商需支付施工水电费用，水电接驳点至电梯井部分电线及水管由中标供应商负责，且用水用电满足现场施工要求。</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eastAsia="zh-CN"/>
        </w:rPr>
        <w:t>（八）</w:t>
      </w:r>
      <w:r>
        <w:rPr>
          <w:rFonts w:hint="eastAsia" w:ascii="宋体" w:hAnsi="宋体" w:eastAsia="宋体" w:cs="宋体"/>
          <w:color w:val="auto"/>
          <w:sz w:val="21"/>
          <w:szCs w:val="21"/>
        </w:rPr>
        <w:t>电梯调试期间，施工总包提供二级电箱并接线至电梯机房，以满足调试电源所需的独立电源。中标供应商承担调试、转换用电费用。</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eastAsia="zh-CN"/>
        </w:rPr>
        <w:t>（九）</w:t>
      </w:r>
      <w:r>
        <w:rPr>
          <w:rFonts w:hint="eastAsia" w:ascii="宋体" w:hAnsi="宋体" w:eastAsia="宋体" w:cs="宋体"/>
          <w:color w:val="auto"/>
          <w:sz w:val="21"/>
          <w:szCs w:val="21"/>
        </w:rPr>
        <w:t>电梯井道至轿箱顶部的管线由中标供应商提供并安装；中央监控室至电梯井道管线由施工总包提供并安装。</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eastAsia="zh-CN"/>
        </w:rPr>
        <w:t>（十）</w:t>
      </w:r>
      <w:r>
        <w:rPr>
          <w:rFonts w:hint="eastAsia" w:ascii="宋体" w:hAnsi="宋体" w:eastAsia="宋体" w:cs="宋体"/>
          <w:color w:val="auto"/>
          <w:sz w:val="21"/>
          <w:szCs w:val="21"/>
        </w:rPr>
        <w:t>中央监控室五方对讲主机、机房至电梯轿箱内的五方通话管线，及轿顶、轿内、底坑对讲机由中标供应商提供并安装</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需与原系统对接</w:t>
      </w:r>
      <w:r>
        <w:rPr>
          <w:rFonts w:hint="eastAsia" w:ascii="宋体" w:hAnsi="宋体" w:eastAsia="宋体" w:cs="宋体"/>
          <w:color w:val="auto"/>
          <w:sz w:val="21"/>
          <w:szCs w:val="21"/>
        </w:rPr>
        <w:t>；中央监控室至电梯井道五方对讲管线由施工总包提供并安装。</w:t>
      </w:r>
    </w:p>
    <w:p>
      <w:pPr>
        <w:spacing w:line="36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十一</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监控系统提供随行电缆，预留BA接口，由施工总包接线至监控室，同时监控探头由施工总包提供并安装。</w:t>
      </w:r>
    </w:p>
    <w:p>
      <w:pPr>
        <w:spacing w:line="360" w:lineRule="auto"/>
        <w:ind w:firstLine="420" w:firstLineChars="200"/>
        <w:rPr>
          <w:rFonts w:hint="eastAsia" w:ascii="宋体" w:hAnsi="宋体" w:eastAsia="宋体" w:cs="宋体"/>
          <w:color w:val="auto"/>
          <w:sz w:val="21"/>
          <w:szCs w:val="21"/>
          <w:highlight w:val="yellow"/>
          <w:lang w:val="en-US" w:eastAsia="zh-CN"/>
        </w:rPr>
      </w:pPr>
      <w:r>
        <w:rPr>
          <w:rFonts w:hint="eastAsia" w:ascii="宋体" w:hAnsi="宋体" w:eastAsia="宋体" w:cs="宋体"/>
          <w:color w:val="auto"/>
          <w:sz w:val="21"/>
          <w:szCs w:val="21"/>
          <w:lang w:val="en-US" w:eastAsia="zh-CN"/>
        </w:rPr>
        <w:t>（十二）电梯刷卡系统，支持第三方标准IC卡写卡，需满足医院一卡通要求。</w:t>
      </w:r>
      <w:r>
        <w:rPr>
          <w:rFonts w:hint="eastAsia" w:ascii="宋体" w:hAnsi="宋体" w:eastAsia="宋体" w:cs="宋体"/>
          <w:color w:val="auto"/>
          <w:sz w:val="21"/>
          <w:szCs w:val="21"/>
          <w:highlight w:val="yellow"/>
          <w:lang w:val="en-US" w:eastAsia="zh-CN"/>
        </w:rPr>
        <w:t>电梯梯控需支持医院本身一卡通FM1208-10芯片卡刷开电梯，通讯协议遵循ISO/IEC 14443-A 标准1；梯控系统支持系统对接，可实现权限远程授权管理。</w:t>
      </w:r>
    </w:p>
    <w:p>
      <w:pPr>
        <w:spacing w:line="360" w:lineRule="auto"/>
        <w:ind w:firstLine="420" w:firstLineChars="200"/>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（十三）消防联动模块由总包接入电梯控制柜，中标供应商配合总包施工。</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十四</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中标供应商与施工总包的配合协调费和现场与土建相关的施工、修补、完善费用</w:t>
      </w:r>
      <w:bookmarkStart w:id="2" w:name="_GoBack"/>
      <w:bookmarkEnd w:id="2"/>
      <w:r>
        <w:rPr>
          <w:rFonts w:hint="eastAsia" w:ascii="宋体" w:hAnsi="宋体" w:eastAsia="宋体" w:cs="宋体"/>
          <w:color w:val="auto"/>
          <w:sz w:val="21"/>
          <w:szCs w:val="21"/>
          <w:lang w:val="en-US" w:eastAsia="zh-CN"/>
        </w:rPr>
        <w:t>等</w:t>
      </w:r>
      <w:r>
        <w:rPr>
          <w:rFonts w:hint="eastAsia" w:ascii="宋体" w:hAnsi="宋体" w:eastAsia="宋体" w:cs="宋体"/>
          <w:b/>
          <w:color w:val="auto"/>
          <w:sz w:val="21"/>
          <w:szCs w:val="21"/>
        </w:rPr>
        <w:t>按照安装工程费</w:t>
      </w:r>
      <w:r>
        <w:rPr>
          <w:rFonts w:hint="eastAsia" w:ascii="宋体" w:hAnsi="宋体" w:eastAsia="宋体" w:cs="宋体"/>
          <w:b/>
          <w:color w:val="auto"/>
          <w:sz w:val="21"/>
          <w:szCs w:val="21"/>
          <w:lang w:val="en-US" w:eastAsia="zh-CN"/>
        </w:rPr>
        <w:t>2</w:t>
      </w:r>
      <w:r>
        <w:rPr>
          <w:rFonts w:hint="eastAsia" w:ascii="宋体" w:hAnsi="宋体" w:eastAsia="宋体" w:cs="宋体"/>
          <w:b/>
          <w:color w:val="auto"/>
          <w:sz w:val="21"/>
          <w:szCs w:val="21"/>
        </w:rPr>
        <w:t>%计取</w:t>
      </w:r>
      <w:r>
        <w:rPr>
          <w:rFonts w:hint="eastAsia" w:ascii="宋体" w:hAnsi="宋体" w:eastAsia="宋体" w:cs="宋体"/>
          <w:color w:val="auto"/>
          <w:sz w:val="21"/>
          <w:szCs w:val="21"/>
        </w:rPr>
        <w:t>，纳入投标总价，由中标供应商支付给施工总包。</w:t>
      </w:r>
    </w:p>
    <w:p>
      <w:pPr>
        <w:spacing w:line="360" w:lineRule="auto"/>
        <w:ind w:firstLine="420" w:firstLineChars="200"/>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十五）电梯安装验收完成后至移交业主这段时间内，如施工总包需临时用梯，需另行签署临时用提协议，费用自行协商，不含在投标总价中。</w:t>
      </w:r>
    </w:p>
    <w:p>
      <w:pPr>
        <w:spacing w:line="360" w:lineRule="auto"/>
        <w:ind w:firstLine="420" w:firstLineChars="200"/>
        <w:rPr>
          <w:rFonts w:hint="eastAsia" w:ascii="宋体" w:hAnsi="宋体" w:eastAsia="宋体" w:cs="宋体"/>
          <w:color w:val="auto"/>
          <w:sz w:val="21"/>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等线">
    <w:altName w:val="华文中宋"/>
    <w:panose1 w:val="02010600030101010101"/>
    <w:charset w:val="86"/>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 w:name="方正兰亭黑_GBK">
    <w:altName w:val="方正黑体_GBK"/>
    <w:panose1 w:val="00000000000000000000"/>
    <w:charset w:val="86"/>
    <w:family w:val="script"/>
    <w:pitch w:val="default"/>
    <w:sig w:usb0="00000000" w:usb1="00000000" w:usb2="00080016" w:usb3="00000000" w:csb0="00040001" w:csb1="00000000"/>
  </w:font>
  <w:font w:name="方正黑体_GBK">
    <w:panose1 w:val="02000000000000000000"/>
    <w:charset w:val="86"/>
    <w:family w:val="auto"/>
    <w:pitch w:val="default"/>
    <w:sig w:usb0="00000001" w:usb1="08000000" w:usb2="00000000" w:usb3="00000000" w:csb0="00040000" w:csb1="00000000"/>
  </w:font>
  <w:font w:name="Liberation Serif">
    <w:panose1 w:val="02020603050405020304"/>
    <w:charset w:val="00"/>
    <w:family w:val="auto"/>
    <w:pitch w:val="default"/>
    <w:sig w:usb0="A00002AF" w:usb1="500078FB" w:usb2="00000000" w:usb3="00000000" w:csb0="6000009F" w:csb1="DFD70000"/>
  </w:font>
  <w:font w:name="文泉驿微米黑">
    <w:panose1 w:val="020B0606030804020204"/>
    <w:charset w:val="86"/>
    <w:family w:val="auto"/>
    <w:pitch w:val="default"/>
    <w:sig w:usb0="E10002EF" w:usb1="6BDFFCFB" w:usb2="00800036" w:usb3="00000000" w:csb0="603E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docPartObj>
        <w:docPartGallery w:val="autotext"/>
      </w:docPartObj>
    </w:sdtPr>
    <w:sdtContent>
      <w:p>
        <w:pPr>
          <w:pStyle w:val="7"/>
          <w:jc w:val="center"/>
        </w:pPr>
        <w:r>
          <w:fldChar w:fldCharType="begin"/>
        </w:r>
        <w:r>
          <w:instrText xml:space="preserve"> PAGE   \* MERGEFORMAT </w:instrText>
        </w:r>
        <w:r>
          <w:fldChar w:fldCharType="separate"/>
        </w:r>
        <w:r>
          <w:rPr>
            <w:lang w:val="zh-CN"/>
          </w:rPr>
          <w:t>1</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88A9F8"/>
    <w:multiLevelType w:val="singleLevel"/>
    <w:tmpl w:val="B888A9F8"/>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1OTMyYmVkNDBiZGZjOTJjNzg0ZTljMGM2NGM1NWEifQ=="/>
  </w:docVars>
  <w:rsids>
    <w:rsidRoot w:val="0064245B"/>
    <w:rsid w:val="0064245B"/>
    <w:rsid w:val="006934B1"/>
    <w:rsid w:val="00802260"/>
    <w:rsid w:val="009055E5"/>
    <w:rsid w:val="009420EA"/>
    <w:rsid w:val="00E30F34"/>
    <w:rsid w:val="13B05BC1"/>
    <w:rsid w:val="170D12E4"/>
    <w:rsid w:val="1A575719"/>
    <w:rsid w:val="27802EAA"/>
    <w:rsid w:val="288A5C59"/>
    <w:rsid w:val="2FF3FBAB"/>
    <w:rsid w:val="49902B2E"/>
    <w:rsid w:val="4B572944"/>
    <w:rsid w:val="540120F8"/>
    <w:rsid w:val="57FE0636"/>
    <w:rsid w:val="5BFBE6E2"/>
    <w:rsid w:val="637F1EB5"/>
    <w:rsid w:val="64AC6408"/>
    <w:rsid w:val="676F0972"/>
    <w:rsid w:val="6FF95D8D"/>
    <w:rsid w:val="704F5DEA"/>
    <w:rsid w:val="72A94928"/>
    <w:rsid w:val="791ED33A"/>
    <w:rsid w:val="7ADE9624"/>
    <w:rsid w:val="7AFFC944"/>
    <w:rsid w:val="7BCD0401"/>
    <w:rsid w:val="7E9EAA1C"/>
    <w:rsid w:val="7EFBC76B"/>
    <w:rsid w:val="7F86190A"/>
    <w:rsid w:val="8D7D9F74"/>
    <w:rsid w:val="A70BD1AB"/>
    <w:rsid w:val="B6DFD12B"/>
    <w:rsid w:val="BBDF90F7"/>
    <w:rsid w:val="C7BF9098"/>
    <w:rsid w:val="F3F5D35A"/>
    <w:rsid w:val="FB7807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等线" w:hAnsi="Times New Roman" w:eastAsia="等线" w:cs="Arial"/>
      <w:kern w:val="2"/>
      <w:sz w:val="21"/>
      <w:szCs w:val="22"/>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autoRedefine/>
    <w:qFormat/>
    <w:uiPriority w:val="0"/>
    <w:pPr>
      <w:keepNext/>
      <w:keepLines/>
      <w:spacing w:before="260" w:after="260" w:line="415" w:lineRule="auto"/>
      <w:outlineLvl w:val="1"/>
    </w:pPr>
    <w:rPr>
      <w:rFonts w:ascii="方正兰亭黑_GBK" w:hAnsi="方正兰亭黑_GBK" w:eastAsia="黑体"/>
      <w:b/>
      <w:bCs/>
      <w:sz w:val="32"/>
      <w:szCs w:val="32"/>
    </w:rPr>
  </w:style>
  <w:style w:type="paragraph" w:styleId="4">
    <w:name w:val="heading 3"/>
    <w:basedOn w:val="1"/>
    <w:next w:val="1"/>
    <w:autoRedefine/>
    <w:qFormat/>
    <w:uiPriority w:val="0"/>
    <w:pPr>
      <w:keepNext/>
      <w:keepLines/>
      <w:spacing w:before="260" w:after="260" w:line="415" w:lineRule="auto"/>
      <w:outlineLvl w:val="2"/>
    </w:pPr>
    <w:rPr>
      <w:b/>
      <w:bCs/>
      <w:sz w:val="32"/>
      <w:szCs w:val="32"/>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alloon Text"/>
    <w:basedOn w:val="1"/>
    <w:autoRedefine/>
    <w:qFormat/>
    <w:uiPriority w:val="0"/>
    <w:rPr>
      <w:sz w:val="18"/>
      <w:szCs w:val="18"/>
    </w:rPr>
  </w:style>
  <w:style w:type="paragraph" w:styleId="7">
    <w:name w:val="footer"/>
    <w:basedOn w:val="1"/>
    <w:autoRedefine/>
    <w:qFormat/>
    <w:uiPriority w:val="0"/>
    <w:pPr>
      <w:tabs>
        <w:tab w:val="center" w:pos="4153"/>
        <w:tab w:val="right" w:pos="8306"/>
      </w:tabs>
      <w:snapToGrid w:val="0"/>
      <w:jc w:val="left"/>
    </w:pPr>
    <w:rPr>
      <w:sz w:val="18"/>
      <w:szCs w:val="18"/>
    </w:rPr>
  </w:style>
  <w:style w:type="paragraph" w:styleId="8">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5"/>
    <w:next w:val="5"/>
    <w:autoRedefine/>
    <w:qFormat/>
    <w:uiPriority w:val="0"/>
    <w:rPr>
      <w:b/>
      <w:bCs/>
    </w:rPr>
  </w:style>
  <w:style w:type="character" w:styleId="12">
    <w:name w:val="annotation reference"/>
    <w:basedOn w:val="11"/>
    <w:autoRedefine/>
    <w:qFormat/>
    <w:uiPriority w:val="0"/>
    <w:rPr>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xmlns="http://www.yozosoft.com.cn/officeDocument/2016/customData">
    <docPr xmlns="http://www.yozosoft.com.cn/officeDocument/2016/customData" revisions="3 0 5 0 0 0 1 0 0 0 3000 0 1 1 1 1"/>
    <sectPr xmlns="http://www.yozosoft.com.cn/officeDocument/2016/customData"/>
  </customProps>
</customData>
</file>

<file path=customXml/itemProps1.xml><?xml version="1.0" encoding="utf-8"?>
<ds:datastoreItem xmlns:ds="http://schemas.openxmlformats.org/officeDocument/2006/customXml" ds:itemID="{D9D6E088-AB28-4FA6-B41C-B99B8905EA8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3527</Words>
  <Characters>3790</Characters>
  <Lines>28</Lines>
  <Paragraphs>7</Paragraphs>
  <TotalTime>37</TotalTime>
  <ScaleCrop>false</ScaleCrop>
  <LinksUpToDate>false</LinksUpToDate>
  <CharactersWithSpaces>3812</CharactersWithSpaces>
  <Application>WPS Office_12.8.2.1113_F1E327BC-269C-435d-A152-05C5408002CA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2024-03-19T07:49:00Z</dcterms:created>
  <dc:creator>张敏捷</dc:creator>
  <cp:lastModifiedBy>顾文林</cp:lastModifiedBy>
  <dcterms:modified xsi:type="dcterms:W3CDTF">2025-06-30T15:16:24Z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2052-12.8.2.1113</vt:lpwstr>
  </property>
  <property fmtid="{D5CDD505-2E9C-101B-9397-08002B2CF9AE}" pid="3" name="ICV">
    <vt:lpwstr>D01E45FC10214B60984FE4547D041C9C_13</vt:lpwstr>
  </property>
  <property fmtid="{D5CDD505-2E9C-101B-9397-08002B2CF9AE}" pid="4" name="KSOTemplateDocerSaveRecord">
    <vt:lpwstr>eyJoZGlkIjoiNmNlZmY3ZTIzN2ZkMTNmOGMwOTQxNzQ2OTZlZDRmY2YiLCJ1c2VySWQiOiIzNjE2MzM0NDQifQ==</vt:lpwstr>
  </property>
</Properties>
</file>