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1592E">
      <w:pPr>
        <w:ind w:firstLine="0" w:firstLineChars="0"/>
        <w:jc w:val="center"/>
        <w:rPr>
          <w:rFonts w:hint="eastAsia" w:ascii="黑体" w:hAnsi="黑体" w:eastAsia="黑体"/>
          <w:sz w:val="48"/>
          <w:szCs w:val="48"/>
        </w:rPr>
      </w:pPr>
    </w:p>
    <w:p w14:paraId="5A06DA61">
      <w:pPr>
        <w:ind w:firstLine="0" w:firstLineChars="0"/>
        <w:jc w:val="center"/>
        <w:rPr>
          <w:rFonts w:hint="eastAsia" w:ascii="黑体" w:hAnsi="黑体" w:eastAsia="黑体"/>
          <w:sz w:val="48"/>
          <w:szCs w:val="48"/>
        </w:rPr>
      </w:pPr>
    </w:p>
    <w:p w14:paraId="53F49C92">
      <w:pPr>
        <w:pStyle w:val="32"/>
        <w:widowControl w:val="0"/>
        <w:spacing w:before="0" w:after="0"/>
        <w:ind w:firstLine="0" w:firstLineChars="0"/>
        <w:jc w:val="center"/>
        <w:rPr>
          <w:rFonts w:ascii="黑体" w:hAnsi="黑体" w:eastAsia="黑体"/>
          <w:kern w:val="2"/>
          <w:sz w:val="52"/>
          <w:szCs w:val="52"/>
        </w:rPr>
      </w:pPr>
      <w:bookmarkStart w:id="0" w:name="_Toc13676"/>
      <w:r>
        <w:rPr>
          <w:rFonts w:ascii="黑体" w:hAnsi="黑体" w:eastAsia="黑体"/>
          <w:kern w:val="2"/>
          <w:sz w:val="52"/>
          <w:szCs w:val="52"/>
        </w:rPr>
        <w:t>上海化工区数据融合子系统</w:t>
      </w:r>
    </w:p>
    <w:p w14:paraId="6A276501">
      <w:pPr>
        <w:ind w:firstLine="0" w:firstLineChars="0"/>
        <w:jc w:val="center"/>
        <w:rPr>
          <w:rFonts w:hint="eastAsia" w:ascii="黑体" w:hAnsi="黑体" w:eastAsia="黑体"/>
          <w:sz w:val="52"/>
          <w:szCs w:val="52"/>
        </w:rPr>
      </w:pPr>
      <w:r>
        <w:rPr>
          <w:rFonts w:hint="eastAsia" w:ascii="黑体" w:hAnsi="黑体" w:eastAsia="黑体"/>
          <w:sz w:val="52"/>
          <w:szCs w:val="52"/>
        </w:rPr>
        <w:t>建设项目采购需求</w:t>
      </w:r>
    </w:p>
    <w:p w14:paraId="045ABAA6">
      <w:pPr>
        <w:pStyle w:val="32"/>
        <w:widowControl w:val="0"/>
        <w:spacing w:before="0" w:after="0"/>
        <w:ind w:firstLine="420" w:firstLineChars="0"/>
        <w:jc w:val="both"/>
        <w:rPr>
          <w:rFonts w:ascii="黑体" w:hAnsi="宋体" w:eastAsia="黑体" w:cs="黑体"/>
          <w:kern w:val="2"/>
          <w:sz w:val="32"/>
          <w:szCs w:val="32"/>
        </w:rPr>
      </w:pPr>
    </w:p>
    <w:bookmarkEnd w:id="0"/>
    <w:p w14:paraId="27B71945">
      <w:pPr>
        <w:ind w:firstLine="0" w:firstLineChars="0"/>
        <w:jc w:val="center"/>
        <w:rPr>
          <w:rFonts w:hint="eastAsia" w:ascii="黑体" w:hAnsi="黑体" w:eastAsia="黑体"/>
          <w:sz w:val="52"/>
          <w:szCs w:val="52"/>
        </w:rPr>
      </w:pPr>
    </w:p>
    <w:p w14:paraId="365130ED">
      <w:pPr>
        <w:ind w:firstLine="0" w:firstLineChars="0"/>
        <w:jc w:val="center"/>
        <w:rPr>
          <w:rFonts w:hint="eastAsia" w:ascii="黑体" w:hAnsi="黑体" w:eastAsia="黑体"/>
          <w:sz w:val="52"/>
          <w:szCs w:val="52"/>
        </w:rPr>
      </w:pPr>
    </w:p>
    <w:p w14:paraId="63CECB2A">
      <w:pPr>
        <w:ind w:firstLine="0" w:firstLineChars="0"/>
        <w:jc w:val="center"/>
        <w:rPr>
          <w:rFonts w:hint="eastAsia" w:ascii="黑体" w:hAnsi="黑体" w:eastAsia="黑体"/>
          <w:sz w:val="52"/>
          <w:szCs w:val="52"/>
        </w:rPr>
      </w:pPr>
    </w:p>
    <w:p w14:paraId="0F54E6A6">
      <w:pPr>
        <w:ind w:firstLine="0" w:firstLineChars="0"/>
        <w:jc w:val="center"/>
        <w:rPr>
          <w:rFonts w:hint="eastAsia" w:ascii="黑体" w:hAnsi="黑体" w:eastAsia="黑体"/>
          <w:sz w:val="52"/>
          <w:szCs w:val="52"/>
        </w:rPr>
      </w:pPr>
    </w:p>
    <w:p w14:paraId="4721205B">
      <w:pPr>
        <w:ind w:firstLine="0" w:firstLineChars="0"/>
        <w:jc w:val="center"/>
        <w:rPr>
          <w:rFonts w:hint="eastAsia" w:ascii="黑体" w:hAnsi="黑体" w:eastAsia="黑体"/>
          <w:sz w:val="52"/>
          <w:szCs w:val="52"/>
        </w:rPr>
      </w:pPr>
    </w:p>
    <w:p w14:paraId="5CE329C9">
      <w:pPr>
        <w:ind w:firstLine="0" w:firstLineChars="0"/>
        <w:jc w:val="center"/>
        <w:rPr>
          <w:rFonts w:hint="eastAsia" w:ascii="黑体" w:hAnsi="黑体" w:eastAsia="黑体"/>
          <w:sz w:val="52"/>
          <w:szCs w:val="52"/>
        </w:rPr>
      </w:pPr>
    </w:p>
    <w:p w14:paraId="11C6DEFC">
      <w:pPr>
        <w:ind w:firstLine="0" w:firstLineChars="0"/>
        <w:jc w:val="center"/>
        <w:rPr>
          <w:rFonts w:hint="eastAsia" w:ascii="黑体" w:hAnsi="黑体" w:eastAsia="黑体"/>
          <w:sz w:val="36"/>
          <w:szCs w:val="36"/>
        </w:rPr>
      </w:pPr>
    </w:p>
    <w:p w14:paraId="156530A8">
      <w:pPr>
        <w:ind w:firstLine="0" w:firstLineChars="0"/>
        <w:jc w:val="center"/>
        <w:rPr>
          <w:rFonts w:hint="eastAsia" w:ascii="黑体" w:hAnsi="黑体" w:eastAsia="黑体"/>
          <w:sz w:val="36"/>
          <w:szCs w:val="36"/>
        </w:rPr>
      </w:pPr>
    </w:p>
    <w:p w14:paraId="66085EF7">
      <w:pPr>
        <w:ind w:firstLine="0" w:firstLineChars="0"/>
        <w:jc w:val="center"/>
        <w:rPr>
          <w:rFonts w:hint="eastAsia" w:ascii="黑体" w:hAnsi="黑体" w:eastAsia="黑体"/>
          <w:sz w:val="52"/>
          <w:szCs w:val="52"/>
        </w:rPr>
      </w:pPr>
      <w:r>
        <w:rPr>
          <w:rFonts w:hint="eastAsia" w:ascii="黑体" w:hAnsi="黑体" w:eastAsia="黑体"/>
          <w:sz w:val="36"/>
          <w:szCs w:val="36"/>
        </w:rPr>
        <w:t>2025年11月</w:t>
      </w:r>
    </w:p>
    <w:p w14:paraId="6A3023F0">
      <w:pPr>
        <w:ind w:firstLine="0" w:firstLineChars="0"/>
        <w:jc w:val="center"/>
        <w:rPr>
          <w:rFonts w:hint="eastAsia" w:ascii="黑体" w:hAnsi="黑体" w:eastAsia="黑体"/>
          <w:sz w:val="72"/>
          <w:szCs w:val="72"/>
        </w:rPr>
      </w:pPr>
    </w:p>
    <w:p w14:paraId="53DF91D7">
      <w:pPr>
        <w:ind w:firstLine="0" w:firstLineChars="0"/>
        <w:jc w:val="center"/>
        <w:rPr>
          <w:rFonts w:hint="eastAsia" w:ascii="黑体" w:hAnsi="黑体" w:eastAsia="黑体"/>
          <w:sz w:val="48"/>
          <w:szCs w:val="48"/>
        </w:rPr>
      </w:pPr>
    </w:p>
    <w:p w14:paraId="42EAD546">
      <w:pPr>
        <w:ind w:firstLine="0" w:firstLineChars="0"/>
        <w:rPr>
          <w:rFonts w:hint="eastAsia" w:ascii="黑体" w:hAnsi="黑体" w:eastAsia="黑体"/>
          <w:sz w:val="52"/>
          <w:szCs w:val="52"/>
        </w:rPr>
      </w:pPr>
    </w:p>
    <w:p w14:paraId="4604B50C">
      <w:pPr>
        <w:pStyle w:val="2"/>
        <w:rPr>
          <w:rFonts w:hint="eastAsia"/>
        </w:rPr>
      </w:pPr>
      <w:bookmarkStart w:id="1" w:name="_Toc63785461"/>
      <w:r>
        <w:rPr>
          <w:rFonts w:hint="eastAsia"/>
        </w:rPr>
        <w:t>项目概况</w:t>
      </w:r>
      <w:bookmarkEnd w:id="1"/>
    </w:p>
    <w:p w14:paraId="3DA2664D">
      <w:pPr>
        <w:rPr>
          <w:rFonts w:hint="eastAsia"/>
        </w:rPr>
      </w:pPr>
      <w:r>
        <w:rPr>
          <w:rFonts w:hint="eastAsia"/>
        </w:rPr>
        <w:t>为贯彻落实</w:t>
      </w:r>
      <w:r>
        <w:rPr>
          <w:rFonts w:hint="eastAsia" w:ascii="仿宋_GB2312" w:hAnsi="仿宋_GB2312" w:cs="仿宋_GB2312"/>
        </w:rPr>
        <w:t>《关于全面推进上海城市数字化转型的意见》（沪委发〔</w:t>
      </w:r>
      <w:r>
        <w:rPr>
          <w:rFonts w:hint="eastAsia"/>
        </w:rPr>
        <w:t>2020〕35号）文件精神，上海化学工业区管理委员会围绕打造世界级智慧园区总目标，持续推进园区数据要素底座、态势全面感知、趋势智能研判、协同高效处置等数字化转型工作。实施数字化转型是上海化学工业区面向未来塑造核心竞争力的关键之举，是园区治理体系和治理能力现代化的必然要求。根据《关于全面推进上海化学工业区数字化转型的实施意见》，上海化工区数字化转型将取得显著成效，建成“国际数字之都”先导园区，实现数据感知更多元、数据传递更迅捷、数据汇聚更丰富、数据融合更系统、数据应用更广泛，数字要素高效流动，数字红利初步显现。实现治理数字化能力全面跃升，经济数字化发展全国领先，服务数字化水平行业一流，安全管控达到新高度、营商环境成为新典范，初步建成数字化基础设施一流的“世界级石化产业基地”和“循环经济示范基地”，形成区域产业集群高质量发展的新范式，引领化工园区数字经济新跑道。到2035年上海化工区将成为具有世界影响力的国际数字化工园区。</w:t>
      </w:r>
    </w:p>
    <w:p w14:paraId="1A3B62C1">
      <w:pPr>
        <w:rPr>
          <w:rFonts w:hint="eastAsia" w:cs="宋体"/>
        </w:rPr>
      </w:pPr>
      <w:r>
        <w:rPr>
          <w:rFonts w:hint="eastAsia" w:cs="宋体"/>
          <w:lang w:bidi="ar"/>
        </w:rPr>
        <w:t>本项目充分吸收</w:t>
      </w:r>
      <w:r>
        <w:rPr>
          <w:rFonts w:hint="eastAsia"/>
        </w:rPr>
        <w:t>上海化学工业区</w:t>
      </w:r>
      <w:r>
        <w:rPr>
          <w:rFonts w:hint="eastAsia" w:cs="宋体"/>
          <w:lang w:bidi="ar"/>
        </w:rPr>
        <w:t>（以下称：化工区）已有数据成果，夯实化工区数字底座，深化数据共性支撑能力，提供应用的共性集成能力，推进现有各业务系统的整合与集成，完善化工区数据主题库设计，促进制造业数字化转型进一步高质量发展。</w:t>
      </w:r>
    </w:p>
    <w:p w14:paraId="7348443A">
      <w:pPr>
        <w:ind w:firstLine="482"/>
        <w:rPr>
          <w:rFonts w:hint="eastAsia"/>
        </w:rPr>
      </w:pPr>
      <w:r>
        <w:rPr>
          <w:rFonts w:hint="eastAsia"/>
          <w:b/>
          <w:bCs/>
        </w:rPr>
        <w:t>建设期限：</w:t>
      </w:r>
      <w:r>
        <w:rPr>
          <w:rFonts w:hint="eastAsia"/>
        </w:rPr>
        <w:t>自合同签订后</w:t>
      </w:r>
      <w:r>
        <w:rPr>
          <w:b/>
          <w:bCs/>
        </w:rPr>
        <w:t>9</w:t>
      </w:r>
      <w:r>
        <w:rPr>
          <w:rFonts w:hint="eastAsia"/>
          <w:b/>
          <w:bCs/>
        </w:rPr>
        <w:t>个月内</w:t>
      </w:r>
      <w:r>
        <w:rPr>
          <w:rFonts w:hint="eastAsia"/>
        </w:rPr>
        <w:t>完成本项目的内容建设并通过专项验收，其中包括为期</w:t>
      </w:r>
      <w:r>
        <w:rPr>
          <w:rFonts w:hint="eastAsia"/>
          <w:b/>
          <w:bCs/>
        </w:rPr>
        <w:t>30天</w:t>
      </w:r>
      <w:r>
        <w:rPr>
          <w:rFonts w:hint="eastAsia"/>
        </w:rPr>
        <w:t>的试运行。</w:t>
      </w:r>
    </w:p>
    <w:p w14:paraId="366E552A">
      <w:pPr>
        <w:ind w:firstLine="482"/>
        <w:rPr>
          <w:rFonts w:hint="eastAsia"/>
        </w:rPr>
      </w:pPr>
      <w:r>
        <w:rPr>
          <w:rFonts w:hint="eastAsia"/>
          <w:b/>
          <w:bCs/>
        </w:rPr>
        <w:t>建设地点：</w:t>
      </w:r>
      <w:r>
        <w:rPr>
          <w:rFonts w:hint="eastAsia"/>
        </w:rPr>
        <w:t>上海市</w:t>
      </w:r>
      <w:r>
        <w:rPr>
          <w:rFonts w:hint="eastAsia"/>
          <w:szCs w:val="21"/>
          <w:u w:val="single"/>
        </w:rPr>
        <w:t>月华路66号</w:t>
      </w:r>
    </w:p>
    <w:p w14:paraId="41C5FBE8">
      <w:pPr>
        <w:ind w:firstLine="482"/>
        <w:rPr>
          <w:rFonts w:hint="eastAsia"/>
          <w:bCs/>
        </w:rPr>
      </w:pPr>
      <w:r>
        <w:rPr>
          <w:rFonts w:hint="eastAsia"/>
          <w:b/>
          <w:bCs/>
        </w:rPr>
        <w:t>预算金额：</w:t>
      </w:r>
      <w:r>
        <w:rPr>
          <w:rFonts w:hint="eastAsia"/>
          <w:szCs w:val="21"/>
        </w:rPr>
        <w:t>5122500.00</w:t>
      </w:r>
      <w:r>
        <w:rPr>
          <w:rFonts w:hint="eastAsia"/>
          <w:bCs/>
        </w:rPr>
        <w:t>元</w:t>
      </w:r>
    </w:p>
    <w:p w14:paraId="635DD057">
      <w:pPr>
        <w:ind w:firstLine="482"/>
        <w:rPr>
          <w:rFonts w:hint="eastAsia"/>
          <w:b/>
          <w:bCs/>
        </w:rPr>
      </w:pPr>
      <w:r>
        <w:rPr>
          <w:rFonts w:hint="eastAsia"/>
          <w:b/>
          <w:bCs/>
        </w:rPr>
        <w:t>采购金额（最高限价）：</w:t>
      </w:r>
      <w:r>
        <w:rPr>
          <w:rFonts w:hint="eastAsia"/>
          <w:szCs w:val="21"/>
        </w:rPr>
        <w:t>5122500.00</w:t>
      </w:r>
      <w:r>
        <w:rPr>
          <w:rFonts w:hint="eastAsia"/>
          <w:bCs/>
        </w:rPr>
        <w:t>元</w:t>
      </w:r>
    </w:p>
    <w:p w14:paraId="210E8A60">
      <w:pPr>
        <w:ind w:firstLine="482"/>
        <w:rPr>
          <w:rFonts w:hint="eastAsia"/>
        </w:rPr>
      </w:pPr>
      <w:r>
        <w:rPr>
          <w:rFonts w:hint="eastAsia"/>
          <w:b/>
          <w:bCs/>
        </w:rPr>
        <w:t>组织形式：</w:t>
      </w:r>
      <w:r>
        <w:rPr>
          <w:rFonts w:hint="eastAsia"/>
        </w:rPr>
        <w:t>集中采购</w:t>
      </w:r>
    </w:p>
    <w:p w14:paraId="45DF4683">
      <w:pPr>
        <w:ind w:firstLine="482"/>
        <w:rPr>
          <w:rFonts w:hint="eastAsia"/>
        </w:rPr>
      </w:pPr>
      <w:r>
        <w:rPr>
          <w:rFonts w:hint="eastAsia"/>
          <w:b/>
          <w:bCs/>
        </w:rPr>
        <w:t>采购形式：</w:t>
      </w:r>
      <w:r>
        <w:rPr>
          <w:rFonts w:hint="eastAsia"/>
        </w:rPr>
        <w:t>公开招标</w:t>
      </w:r>
    </w:p>
    <w:p w14:paraId="21A0EDED">
      <w:pPr>
        <w:ind w:firstLine="482"/>
        <w:rPr>
          <w:rFonts w:hint="eastAsia"/>
        </w:rPr>
      </w:pPr>
      <w:r>
        <w:rPr>
          <w:rFonts w:hint="eastAsia"/>
          <w:b/>
          <w:bCs/>
        </w:rPr>
        <w:t>是否接受联合体投标：</w:t>
      </w:r>
      <w:r>
        <w:rPr>
          <w:rFonts w:hint="eastAsia"/>
        </w:rPr>
        <w:t>否</w:t>
      </w:r>
    </w:p>
    <w:p w14:paraId="35D46AE0">
      <w:pPr>
        <w:ind w:firstLine="482"/>
        <w:rPr>
          <w:rFonts w:hint="eastAsia"/>
        </w:rPr>
      </w:pPr>
      <w:r>
        <w:rPr>
          <w:b/>
          <w:bCs/>
        </w:rPr>
        <w:t>是否按</w:t>
      </w:r>
      <w:r>
        <w:rPr>
          <w:rFonts w:hint="eastAsia"/>
          <w:b/>
          <w:bCs/>
        </w:rPr>
        <w:t>CK国产化</w:t>
      </w:r>
      <w:r>
        <w:rPr>
          <w:b/>
          <w:bCs/>
        </w:rPr>
        <w:t>要求建设：</w:t>
      </w:r>
      <w:r>
        <w:t>是</w:t>
      </w:r>
    </w:p>
    <w:p w14:paraId="3114DBAF">
      <w:pPr>
        <w:rPr>
          <w:rFonts w:hint="eastAsia"/>
        </w:rPr>
      </w:pPr>
    </w:p>
    <w:p w14:paraId="083C86EB">
      <w:pPr>
        <w:pStyle w:val="2"/>
        <w:rPr>
          <w:rFonts w:hint="eastAsia"/>
        </w:rPr>
      </w:pPr>
      <w:bookmarkStart w:id="2" w:name="_Toc47536272"/>
      <w:bookmarkEnd w:id="2"/>
      <w:bookmarkStart w:id="3" w:name="_Toc47539070"/>
      <w:bookmarkEnd w:id="3"/>
      <w:bookmarkStart w:id="4" w:name="_Toc47532891"/>
      <w:bookmarkEnd w:id="4"/>
      <w:bookmarkStart w:id="5" w:name="_Toc47533256"/>
      <w:bookmarkEnd w:id="5"/>
      <w:bookmarkStart w:id="6" w:name="_Toc47537134"/>
      <w:bookmarkEnd w:id="6"/>
      <w:bookmarkStart w:id="7" w:name="_Toc47532255"/>
      <w:bookmarkEnd w:id="7"/>
      <w:bookmarkStart w:id="8" w:name="_Toc47531634"/>
      <w:bookmarkEnd w:id="8"/>
      <w:bookmarkStart w:id="9" w:name="_Toc47536644"/>
      <w:bookmarkEnd w:id="9"/>
      <w:bookmarkStart w:id="10" w:name="_Toc63785463"/>
      <w:bookmarkStart w:id="11" w:name="_Toc48223882"/>
      <w:r>
        <w:rPr>
          <w:rFonts w:hint="eastAsia"/>
        </w:rPr>
        <w:t>建设目标</w:t>
      </w:r>
      <w:bookmarkEnd w:id="10"/>
      <w:bookmarkEnd w:id="11"/>
    </w:p>
    <w:p w14:paraId="15109DA5">
      <w:pPr>
        <w:pStyle w:val="3"/>
        <w:ind w:left="453" w:hanging="451" w:hangingChars="188"/>
        <w:rPr>
          <w:rFonts w:hint="eastAsia"/>
          <w:sz w:val="24"/>
          <w:szCs w:val="24"/>
        </w:rPr>
      </w:pPr>
      <w:r>
        <w:rPr>
          <w:rFonts w:hint="eastAsia"/>
          <w:sz w:val="24"/>
          <w:szCs w:val="24"/>
        </w:rPr>
        <w:t>总体目标</w:t>
      </w:r>
    </w:p>
    <w:p w14:paraId="397C863A">
      <w:pPr>
        <w:rPr>
          <w:rFonts w:hint="eastAsia" w:cs="宋体"/>
          <w:lang w:bidi="ar"/>
        </w:rPr>
      </w:pPr>
      <w:r>
        <w:rPr>
          <w:rFonts w:hint="eastAsia" w:cs="宋体"/>
          <w:lang w:bidi="ar"/>
        </w:rPr>
        <w:t>本项目旨在通过建设数据融合子系统，充分吸收信息化现有成果，深化数据服务应用，夯实数字底座，提供应用的共性集成能力，推进化工区系统整合与集成。为化工区打造一个全方位、多层次的数据生态，以数据为驱动，赋能业务发展，实现决策智能化与运营高效化。</w:t>
      </w:r>
    </w:p>
    <w:p w14:paraId="79363D41">
      <w:pPr>
        <w:rPr>
          <w:rFonts w:hint="eastAsia"/>
        </w:rPr>
      </w:pPr>
      <w:r>
        <w:t>高效推进化工区应用系统整合。</w:t>
      </w:r>
      <w:r>
        <w:rPr>
          <w:lang w:bidi="ar"/>
        </w:rPr>
        <w:t>提供应用的共性集成能力，推进化工区信息系统整合共享，遵循政务信息系统整合共享的“六个统一”的建设标准，集成与整合各业务系统，实现各应用系统的“数据通”“业务通”。</w:t>
      </w:r>
    </w:p>
    <w:p w14:paraId="30D8CCD1">
      <w:pPr>
        <w:rPr>
          <w:rFonts w:hint="eastAsia"/>
        </w:rPr>
      </w:pPr>
      <w:r>
        <w:t>落实数据标准，规范数据管理。</w:t>
      </w:r>
      <w:r>
        <w:rPr>
          <w:lang w:bidi="ar"/>
        </w:rPr>
        <w:t>落实全面兼容的元数据、数据质量管理、数据对接、数据开发利用等数据标准，完善化工区大数据管理体系，建立健全化工区数据共享协调机制，形成职责清晰、分工有序、协调有力的数据管理新格局。</w:t>
      </w:r>
    </w:p>
    <w:p w14:paraId="08363E7A">
      <w:pPr>
        <w:rPr>
          <w:rFonts w:hint="eastAsia"/>
        </w:rPr>
      </w:pPr>
      <w:r>
        <w:t>数据按需归集、应归尽归。</w:t>
      </w:r>
      <w:r>
        <w:rPr>
          <w:lang w:bidi="ar"/>
        </w:rPr>
        <w:t>按照应归尽归、应编尽编的原则，与</w:t>
      </w:r>
      <w:r>
        <w:rPr>
          <w:rFonts w:hint="eastAsia"/>
          <w:lang w:bidi="ar"/>
        </w:rPr>
        <w:t>至少30</w:t>
      </w:r>
      <w:r>
        <w:rPr>
          <w:lang w:bidi="ar"/>
        </w:rPr>
        <w:t>个应用系统进行数据对接，形成500类数据信息。加强数据全生命周期质量控制，实现问题数据可反馈、共享过程可追溯、数据质量问题可定责，形成统筹管理、有序调度、合理分布的政务数据资源体系；建立全量覆盖、互联互通的高质量数据资源目录，推进实时同步更新机制，实现化工区数据“一本账”管理。</w:t>
      </w:r>
    </w:p>
    <w:p w14:paraId="24078BEA">
      <w:pPr>
        <w:rPr>
          <w:rFonts w:hint="eastAsia"/>
        </w:rPr>
      </w:pPr>
      <w:r>
        <w:t>夯实数字底座，深化共性数据支撑能力。</w:t>
      </w:r>
      <w:r>
        <w:rPr>
          <w:lang w:bidi="ar"/>
        </w:rPr>
        <w:t>充分利用现有数据成果，进一步夯实数字底座，通过数据融合应用采购及定制开发，深化数据归集、融合治理、统一调度、数据管理、供需管理等共性数据支撑能力，提升数据在跨部门、跨领域数据的深度融合治理、高效利用与规范管理，提高数据的决策支持能力。</w:t>
      </w:r>
    </w:p>
    <w:p w14:paraId="508F4F52">
      <w:pPr>
        <w:rPr>
          <w:rFonts w:hint="eastAsia"/>
        </w:rPr>
      </w:pPr>
      <w:r>
        <w:t>数据资产管理一体化。</w:t>
      </w:r>
      <w:r>
        <w:rPr>
          <w:lang w:bidi="ar"/>
        </w:rPr>
        <w:t>通过统一的数据资产目录，实现全局数据资产统管，为各项数据管理应用提供数据资产服务。提供全局元数据服务，数据血缘关系溯源；建立全面的数据资产评估体系，提供数据资产全方位信息视图，赋能高效数据探查，展现全局数据资产，根据数据探查需求进行下钻、分析。</w:t>
      </w:r>
    </w:p>
    <w:p w14:paraId="24E2E94A">
      <w:pPr>
        <w:rPr>
          <w:rFonts w:hint="eastAsia"/>
        </w:rPr>
      </w:pPr>
      <w:r>
        <w:t>落实数据安全保障。</w:t>
      </w:r>
      <w:r>
        <w:rPr>
          <w:lang w:bidi="ar"/>
        </w:rPr>
        <w:t>以“数据”为安全保障的核心要素，强化安全主体责任，健全保障机制，完善数据安全防护和监测手段，加强数据流转全流程管理，落实制度规范、技术防护和运行管理三位一体的化工区数据安全保障。</w:t>
      </w:r>
    </w:p>
    <w:p w14:paraId="301C6FF6">
      <w:pPr>
        <w:pStyle w:val="3"/>
        <w:ind w:left="0" w:firstLine="0" w:firstLineChars="0"/>
        <w:rPr>
          <w:rFonts w:hint="eastAsia"/>
        </w:rPr>
      </w:pPr>
      <w:r>
        <w:rPr>
          <w:rFonts w:hint="eastAsia"/>
        </w:rPr>
        <w:t>绩效目标</w:t>
      </w:r>
    </w:p>
    <w:p w14:paraId="4DFFED0F">
      <w:pPr>
        <w:rPr>
          <w:rFonts w:hint="eastAsia"/>
        </w:rPr>
      </w:pPr>
      <w:r>
        <w:rPr>
          <w:rFonts w:hint="eastAsia"/>
        </w:rPr>
        <w:t>本项目需实现以下绩效目标：</w:t>
      </w:r>
    </w:p>
    <w:tbl>
      <w:tblPr>
        <w:tblStyle w:val="35"/>
        <w:tblW w:w="8674" w:type="dxa"/>
        <w:tblInd w:w="97" w:type="dxa"/>
        <w:tblLayout w:type="autofit"/>
        <w:tblCellMar>
          <w:top w:w="0" w:type="dxa"/>
          <w:left w:w="108" w:type="dxa"/>
          <w:bottom w:w="0" w:type="dxa"/>
          <w:right w:w="108" w:type="dxa"/>
        </w:tblCellMar>
      </w:tblPr>
      <w:tblGrid>
        <w:gridCol w:w="610"/>
        <w:gridCol w:w="721"/>
        <w:gridCol w:w="850"/>
        <w:gridCol w:w="800"/>
        <w:gridCol w:w="3857"/>
        <w:gridCol w:w="1836"/>
      </w:tblGrid>
      <w:tr w14:paraId="76F1B866">
        <w:tblPrEx>
          <w:tblCellMar>
            <w:top w:w="0" w:type="dxa"/>
            <w:left w:w="108" w:type="dxa"/>
            <w:bottom w:w="0" w:type="dxa"/>
            <w:right w:w="108" w:type="dxa"/>
          </w:tblCellMar>
        </w:tblPrEx>
        <w:trPr>
          <w:trHeight w:val="540" w:hRule="atLeast"/>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6E36373B">
            <w:pPr>
              <w:widowControl/>
              <w:ind w:firstLine="0" w:firstLineChars="0"/>
              <w:jc w:val="left"/>
              <w:textAlignment w:val="center"/>
              <w:rPr>
                <w:rFonts w:hint="eastAsia" w:cs="宋体"/>
                <w:sz w:val="22"/>
                <w:szCs w:val="22"/>
              </w:rPr>
            </w:pPr>
            <w:r>
              <w:rPr>
                <w:rFonts w:hint="eastAsia" w:cs="宋体"/>
                <w:kern w:val="0"/>
                <w:sz w:val="22"/>
                <w:szCs w:val="22"/>
                <w:lang w:bidi="ar"/>
              </w:rPr>
              <w:t>规</w:t>
            </w:r>
            <w:r>
              <w:rPr>
                <w:rFonts w:hint="eastAsia" w:cs="宋体"/>
                <w:kern w:val="0"/>
                <w:sz w:val="22"/>
                <w:szCs w:val="22"/>
                <w:lang w:bidi="ar"/>
              </w:rPr>
              <w:br w:type="textWrapping"/>
            </w:r>
            <w:r>
              <w:rPr>
                <w:rFonts w:hint="eastAsia" w:cs="宋体"/>
                <w:kern w:val="0"/>
                <w:sz w:val="22"/>
                <w:szCs w:val="22"/>
                <w:lang w:bidi="ar"/>
              </w:rPr>
              <w:t>划</w:t>
            </w:r>
            <w:r>
              <w:rPr>
                <w:rFonts w:hint="eastAsia" w:cs="宋体"/>
                <w:kern w:val="0"/>
                <w:sz w:val="22"/>
                <w:szCs w:val="22"/>
                <w:lang w:bidi="ar"/>
              </w:rPr>
              <w:br w:type="textWrapping"/>
            </w:r>
            <w:r>
              <w:rPr>
                <w:rFonts w:hint="eastAsia" w:cs="宋体"/>
                <w:kern w:val="0"/>
                <w:sz w:val="22"/>
                <w:szCs w:val="22"/>
                <w:lang w:bidi="ar"/>
              </w:rPr>
              <w:t>指</w:t>
            </w:r>
            <w:r>
              <w:rPr>
                <w:rFonts w:hint="eastAsia" w:cs="宋体"/>
                <w:kern w:val="0"/>
                <w:sz w:val="22"/>
                <w:szCs w:val="22"/>
                <w:lang w:bidi="ar"/>
              </w:rPr>
              <w:br w:type="textWrapping"/>
            </w:r>
            <w:r>
              <w:rPr>
                <w:rFonts w:hint="eastAsia" w:cs="宋体"/>
                <w:kern w:val="0"/>
                <w:sz w:val="22"/>
                <w:szCs w:val="22"/>
                <w:lang w:bidi="ar"/>
              </w:rPr>
              <w:t>标</w:t>
            </w:r>
            <w:r>
              <w:rPr>
                <w:rFonts w:hint="eastAsia" w:cs="宋体"/>
                <w:kern w:val="0"/>
                <w:sz w:val="22"/>
                <w:szCs w:val="22"/>
                <w:lang w:bidi="ar"/>
              </w:rPr>
              <w:br w:type="textWrapping"/>
            </w:r>
            <w:r>
              <w:rPr>
                <w:rFonts w:hint="eastAsia" w:cs="宋体"/>
                <w:kern w:val="0"/>
                <w:sz w:val="22"/>
                <w:szCs w:val="22"/>
                <w:lang w:bidi="ar"/>
              </w:rPr>
              <w:t>参</w:t>
            </w:r>
            <w:r>
              <w:rPr>
                <w:rFonts w:hint="eastAsia" w:cs="宋体"/>
                <w:kern w:val="0"/>
                <w:sz w:val="22"/>
                <w:szCs w:val="22"/>
                <w:lang w:bidi="ar"/>
              </w:rPr>
              <w:br w:type="textWrapping"/>
            </w:r>
            <w:r>
              <w:rPr>
                <w:rFonts w:hint="eastAsia" w:cs="宋体"/>
                <w:kern w:val="0"/>
                <w:sz w:val="22"/>
                <w:szCs w:val="22"/>
                <w:lang w:bidi="ar"/>
              </w:rPr>
              <w:t>数</w:t>
            </w:r>
          </w:p>
        </w:tc>
        <w:tc>
          <w:tcPr>
            <w:tcW w:w="721" w:type="dxa"/>
            <w:tcBorders>
              <w:top w:val="single" w:color="000000" w:sz="4" w:space="0"/>
              <w:left w:val="single" w:color="000000" w:sz="4" w:space="0"/>
              <w:bottom w:val="single" w:color="000000" w:sz="4" w:space="0"/>
              <w:right w:val="single" w:color="000000" w:sz="4" w:space="0"/>
            </w:tcBorders>
            <w:vAlign w:val="center"/>
          </w:tcPr>
          <w:p w14:paraId="30F1CA05">
            <w:pPr>
              <w:widowControl/>
              <w:ind w:firstLine="0" w:firstLineChars="0"/>
              <w:jc w:val="left"/>
              <w:textAlignment w:val="center"/>
              <w:rPr>
                <w:rFonts w:hint="eastAsia" w:cs="宋体"/>
                <w:sz w:val="22"/>
                <w:szCs w:val="22"/>
              </w:rPr>
            </w:pPr>
            <w:r>
              <w:rPr>
                <w:rFonts w:hint="eastAsia" w:cs="宋体"/>
                <w:kern w:val="0"/>
                <w:sz w:val="22"/>
                <w:szCs w:val="22"/>
                <w:lang w:bidi="ar"/>
              </w:rPr>
              <w:t>一级</w:t>
            </w:r>
            <w:r>
              <w:rPr>
                <w:rFonts w:hint="eastAsia" w:cs="宋体"/>
                <w:kern w:val="0"/>
                <w:sz w:val="22"/>
                <w:szCs w:val="22"/>
                <w:lang w:bidi="ar"/>
              </w:rPr>
              <w:br w:type="textWrapping"/>
            </w:r>
            <w:r>
              <w:rPr>
                <w:rFonts w:hint="eastAsia" w:cs="宋体"/>
                <w:kern w:val="0"/>
                <w:sz w:val="22"/>
                <w:szCs w:val="22"/>
                <w:lang w:bidi="ar"/>
              </w:rPr>
              <w:t>指标</w:t>
            </w:r>
          </w:p>
        </w:tc>
        <w:tc>
          <w:tcPr>
            <w:tcW w:w="850" w:type="dxa"/>
            <w:tcBorders>
              <w:top w:val="single" w:color="000000" w:sz="4" w:space="0"/>
              <w:left w:val="single" w:color="000000" w:sz="4" w:space="0"/>
              <w:bottom w:val="single" w:color="000000" w:sz="4" w:space="0"/>
              <w:right w:val="single" w:color="000000" w:sz="4" w:space="0"/>
            </w:tcBorders>
            <w:vAlign w:val="center"/>
          </w:tcPr>
          <w:p w14:paraId="46DFF7C2">
            <w:pPr>
              <w:widowControl/>
              <w:ind w:firstLine="0" w:firstLineChars="0"/>
              <w:jc w:val="left"/>
              <w:textAlignment w:val="center"/>
              <w:rPr>
                <w:rFonts w:hint="eastAsia" w:cs="宋体"/>
                <w:sz w:val="22"/>
                <w:szCs w:val="22"/>
              </w:rPr>
            </w:pPr>
            <w:r>
              <w:rPr>
                <w:rFonts w:hint="eastAsia" w:cs="宋体"/>
                <w:kern w:val="0"/>
                <w:sz w:val="22"/>
                <w:szCs w:val="22"/>
                <w:lang w:bidi="ar"/>
              </w:rPr>
              <w:t>二级</w:t>
            </w:r>
            <w:r>
              <w:rPr>
                <w:rFonts w:hint="eastAsia" w:cs="宋体"/>
                <w:kern w:val="0"/>
                <w:sz w:val="22"/>
                <w:szCs w:val="22"/>
                <w:lang w:bidi="ar"/>
              </w:rPr>
              <w:br w:type="textWrapping"/>
            </w:r>
            <w:r>
              <w:rPr>
                <w:rFonts w:hint="eastAsia" w:cs="宋体"/>
                <w:kern w:val="0"/>
                <w:sz w:val="22"/>
                <w:szCs w:val="22"/>
                <w:lang w:bidi="ar"/>
              </w:rPr>
              <w:t>指标</w:t>
            </w:r>
          </w:p>
        </w:tc>
        <w:tc>
          <w:tcPr>
            <w:tcW w:w="800" w:type="dxa"/>
            <w:tcBorders>
              <w:top w:val="single" w:color="000000" w:sz="4" w:space="0"/>
              <w:left w:val="single" w:color="000000" w:sz="4" w:space="0"/>
              <w:bottom w:val="single" w:color="000000" w:sz="4" w:space="0"/>
              <w:right w:val="single" w:color="000000" w:sz="4" w:space="0"/>
            </w:tcBorders>
            <w:vAlign w:val="center"/>
          </w:tcPr>
          <w:p w14:paraId="1930B46E">
            <w:pPr>
              <w:widowControl/>
              <w:ind w:firstLine="0" w:firstLineChars="0"/>
              <w:jc w:val="left"/>
              <w:textAlignment w:val="center"/>
              <w:rPr>
                <w:rFonts w:hint="eastAsia" w:cs="宋体"/>
                <w:sz w:val="22"/>
                <w:szCs w:val="22"/>
              </w:rPr>
            </w:pPr>
            <w:r>
              <w:rPr>
                <w:rFonts w:hint="eastAsia" w:cs="宋体"/>
                <w:kern w:val="0"/>
                <w:sz w:val="22"/>
                <w:szCs w:val="22"/>
                <w:lang w:bidi="ar"/>
              </w:rPr>
              <w:t>三级指标</w:t>
            </w:r>
          </w:p>
        </w:tc>
        <w:tc>
          <w:tcPr>
            <w:tcW w:w="3857" w:type="dxa"/>
            <w:tcBorders>
              <w:top w:val="single" w:color="000000" w:sz="4" w:space="0"/>
              <w:left w:val="single" w:color="000000" w:sz="4" w:space="0"/>
              <w:bottom w:val="single" w:color="000000" w:sz="4" w:space="0"/>
              <w:right w:val="single" w:color="000000" w:sz="4" w:space="0"/>
            </w:tcBorders>
            <w:vAlign w:val="center"/>
          </w:tcPr>
          <w:p w14:paraId="7C86A976">
            <w:pPr>
              <w:widowControl/>
              <w:ind w:firstLine="0" w:firstLineChars="0"/>
              <w:jc w:val="center"/>
              <w:textAlignment w:val="center"/>
              <w:rPr>
                <w:rFonts w:hint="eastAsia" w:cs="宋体"/>
                <w:kern w:val="0"/>
                <w:sz w:val="22"/>
                <w:szCs w:val="22"/>
                <w:lang w:bidi="ar"/>
              </w:rPr>
            </w:pPr>
            <w:r>
              <w:rPr>
                <w:rFonts w:hint="eastAsia" w:cs="宋体"/>
                <w:kern w:val="0"/>
                <w:sz w:val="22"/>
                <w:szCs w:val="22"/>
                <w:lang w:bidi="ar"/>
              </w:rPr>
              <w:t>四级</w:t>
            </w:r>
          </w:p>
          <w:p w14:paraId="55201B56">
            <w:pPr>
              <w:widowControl/>
              <w:ind w:firstLine="0" w:firstLineChars="0"/>
              <w:jc w:val="center"/>
              <w:textAlignment w:val="center"/>
              <w:rPr>
                <w:rFonts w:hint="eastAsia" w:cs="宋体"/>
                <w:sz w:val="22"/>
                <w:szCs w:val="22"/>
              </w:rPr>
            </w:pPr>
            <w:r>
              <w:rPr>
                <w:rFonts w:hint="eastAsia" w:cs="宋体"/>
                <w:kern w:val="0"/>
                <w:sz w:val="22"/>
                <w:szCs w:val="22"/>
                <w:lang w:bidi="ar"/>
              </w:rPr>
              <w:t>指标</w:t>
            </w:r>
          </w:p>
        </w:tc>
        <w:tc>
          <w:tcPr>
            <w:tcW w:w="1836" w:type="dxa"/>
            <w:tcBorders>
              <w:top w:val="single" w:color="000000" w:sz="4" w:space="0"/>
              <w:left w:val="single" w:color="000000" w:sz="4" w:space="0"/>
              <w:bottom w:val="single" w:color="000000" w:sz="4" w:space="0"/>
              <w:right w:val="single" w:color="000000" w:sz="4" w:space="0"/>
            </w:tcBorders>
            <w:vAlign w:val="center"/>
          </w:tcPr>
          <w:p w14:paraId="4BC59BAA">
            <w:pPr>
              <w:widowControl/>
              <w:ind w:firstLine="0" w:firstLineChars="0"/>
              <w:jc w:val="center"/>
              <w:textAlignment w:val="center"/>
              <w:rPr>
                <w:rFonts w:hint="eastAsia" w:cs="宋体"/>
                <w:sz w:val="22"/>
                <w:szCs w:val="22"/>
              </w:rPr>
            </w:pPr>
            <w:r>
              <w:rPr>
                <w:rFonts w:hint="eastAsia" w:cs="宋体"/>
                <w:kern w:val="0"/>
                <w:sz w:val="22"/>
                <w:szCs w:val="22"/>
                <w:lang w:bidi="ar"/>
              </w:rPr>
              <w:t>目标值</w:t>
            </w:r>
          </w:p>
        </w:tc>
      </w:tr>
      <w:tr w14:paraId="15A78E7D">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23C139F">
            <w:pPr>
              <w:ind w:firstLine="440"/>
              <w:jc w:val="left"/>
              <w:rPr>
                <w:rFonts w:hint="eastAsia" w:cs="宋体"/>
                <w:sz w:val="22"/>
                <w:szCs w:val="22"/>
              </w:rPr>
            </w:pP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45C98A43">
            <w:pPr>
              <w:widowControl/>
              <w:ind w:firstLine="0" w:firstLineChars="0"/>
              <w:jc w:val="left"/>
              <w:textAlignment w:val="center"/>
              <w:rPr>
                <w:rFonts w:hint="eastAsia" w:cs="宋体"/>
                <w:sz w:val="22"/>
                <w:szCs w:val="22"/>
              </w:rPr>
            </w:pPr>
            <w:r>
              <w:rPr>
                <w:rFonts w:hint="eastAsia" w:cs="宋体"/>
                <w:kern w:val="0"/>
                <w:sz w:val="22"/>
                <w:szCs w:val="22"/>
                <w:lang w:bidi="ar"/>
              </w:rPr>
              <w:t>通用</w:t>
            </w:r>
            <w:r>
              <w:rPr>
                <w:rFonts w:hint="eastAsia" w:cs="宋体"/>
                <w:kern w:val="0"/>
                <w:sz w:val="22"/>
                <w:szCs w:val="22"/>
                <w:lang w:bidi="ar"/>
              </w:rPr>
              <w:br w:type="textWrapping"/>
            </w:r>
            <w:r>
              <w:rPr>
                <w:rFonts w:hint="eastAsia" w:cs="宋体"/>
                <w:kern w:val="0"/>
                <w:sz w:val="22"/>
                <w:szCs w:val="22"/>
                <w:lang w:bidi="ar"/>
              </w:rPr>
              <w:t>指标</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5FC9FB76">
            <w:pPr>
              <w:widowControl/>
              <w:ind w:firstLine="0" w:firstLineChars="0"/>
              <w:jc w:val="left"/>
              <w:textAlignment w:val="center"/>
              <w:rPr>
                <w:rFonts w:hint="eastAsia" w:cs="宋体"/>
                <w:sz w:val="22"/>
                <w:szCs w:val="22"/>
              </w:rPr>
            </w:pPr>
            <w:r>
              <w:rPr>
                <w:rFonts w:hint="eastAsia" w:cs="宋体"/>
                <w:kern w:val="0"/>
                <w:sz w:val="22"/>
                <w:szCs w:val="22"/>
                <w:lang w:bidi="ar"/>
              </w:rPr>
              <w:t>产出</w:t>
            </w:r>
            <w:r>
              <w:rPr>
                <w:rFonts w:hint="eastAsia" w:cs="宋体"/>
                <w:kern w:val="0"/>
                <w:sz w:val="22"/>
                <w:szCs w:val="22"/>
                <w:lang w:bidi="ar"/>
              </w:rPr>
              <w:br w:type="textWrapping"/>
            </w:r>
            <w:r>
              <w:rPr>
                <w:rFonts w:hint="eastAsia" w:cs="宋体"/>
                <w:kern w:val="0"/>
                <w:sz w:val="22"/>
                <w:szCs w:val="22"/>
                <w:lang w:bidi="ar"/>
              </w:rPr>
              <w:t>指标</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62C0D6E0">
            <w:pPr>
              <w:widowControl/>
              <w:ind w:firstLine="0" w:firstLineChars="0"/>
              <w:jc w:val="left"/>
              <w:textAlignment w:val="center"/>
              <w:rPr>
                <w:rFonts w:hint="eastAsia" w:cs="宋体"/>
                <w:sz w:val="22"/>
                <w:szCs w:val="22"/>
              </w:rPr>
            </w:pPr>
            <w:r>
              <w:rPr>
                <w:rFonts w:hint="eastAsia" w:cs="宋体"/>
                <w:kern w:val="0"/>
                <w:sz w:val="22"/>
                <w:szCs w:val="22"/>
                <w:lang w:bidi="ar"/>
              </w:rPr>
              <w:t>产出数量</w:t>
            </w:r>
          </w:p>
        </w:tc>
        <w:tc>
          <w:tcPr>
            <w:tcW w:w="3857" w:type="dxa"/>
            <w:tcBorders>
              <w:top w:val="single" w:color="000000" w:sz="4" w:space="0"/>
              <w:left w:val="single" w:color="000000" w:sz="4" w:space="0"/>
              <w:bottom w:val="single" w:color="000000" w:sz="4" w:space="0"/>
              <w:right w:val="single" w:color="000000" w:sz="4" w:space="0"/>
            </w:tcBorders>
            <w:vAlign w:val="center"/>
          </w:tcPr>
          <w:p w14:paraId="1B0036A1">
            <w:pPr>
              <w:widowControl/>
              <w:ind w:firstLine="440"/>
              <w:jc w:val="left"/>
              <w:textAlignment w:val="center"/>
              <w:rPr>
                <w:rFonts w:hint="eastAsia" w:cs="宋体"/>
                <w:sz w:val="22"/>
                <w:szCs w:val="22"/>
              </w:rPr>
            </w:pPr>
            <w:r>
              <w:rPr>
                <w:rFonts w:hint="eastAsia" w:cs="宋体"/>
                <w:kern w:val="0"/>
                <w:sz w:val="22"/>
                <w:szCs w:val="22"/>
                <w:lang w:bidi="ar"/>
              </w:rPr>
              <w:t>软件开发完成率</w:t>
            </w:r>
          </w:p>
        </w:tc>
        <w:tc>
          <w:tcPr>
            <w:tcW w:w="1836" w:type="dxa"/>
            <w:tcBorders>
              <w:top w:val="single" w:color="000000" w:sz="4" w:space="0"/>
              <w:left w:val="single" w:color="000000" w:sz="4" w:space="0"/>
              <w:bottom w:val="single" w:color="000000" w:sz="4" w:space="0"/>
              <w:right w:val="single" w:color="000000" w:sz="4" w:space="0"/>
            </w:tcBorders>
            <w:vAlign w:val="center"/>
          </w:tcPr>
          <w:p w14:paraId="723C7D80">
            <w:pPr>
              <w:widowControl/>
              <w:ind w:firstLine="440"/>
              <w:jc w:val="left"/>
              <w:textAlignment w:val="center"/>
              <w:rPr>
                <w:rFonts w:hint="eastAsia" w:cs="宋体"/>
                <w:sz w:val="22"/>
                <w:szCs w:val="22"/>
              </w:rPr>
            </w:pPr>
            <w:r>
              <w:rPr>
                <w:rFonts w:hint="eastAsia" w:cs="宋体"/>
                <w:kern w:val="0"/>
                <w:sz w:val="22"/>
                <w:szCs w:val="22"/>
                <w:lang w:bidi="ar"/>
              </w:rPr>
              <w:t>100%</w:t>
            </w:r>
          </w:p>
        </w:tc>
      </w:tr>
      <w:tr w14:paraId="75F815A0">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581215F8">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8E1ACA6">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14A9492E">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3D691A44">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04217128">
            <w:pPr>
              <w:widowControl/>
              <w:ind w:firstLine="440"/>
              <w:jc w:val="left"/>
              <w:textAlignment w:val="center"/>
              <w:rPr>
                <w:rFonts w:hint="eastAsia" w:cs="宋体"/>
                <w:sz w:val="22"/>
                <w:szCs w:val="22"/>
              </w:rPr>
            </w:pPr>
            <w:r>
              <w:rPr>
                <w:rFonts w:hint="eastAsia" w:cs="宋体"/>
                <w:kern w:val="0"/>
                <w:sz w:val="22"/>
                <w:szCs w:val="22"/>
                <w:lang w:bidi="ar"/>
              </w:rPr>
              <w:t>产品软件购置完成率</w:t>
            </w:r>
          </w:p>
        </w:tc>
        <w:tc>
          <w:tcPr>
            <w:tcW w:w="1836" w:type="dxa"/>
            <w:tcBorders>
              <w:top w:val="single" w:color="000000" w:sz="4" w:space="0"/>
              <w:left w:val="single" w:color="000000" w:sz="4" w:space="0"/>
              <w:bottom w:val="single" w:color="000000" w:sz="4" w:space="0"/>
              <w:right w:val="single" w:color="000000" w:sz="4" w:space="0"/>
            </w:tcBorders>
            <w:vAlign w:val="center"/>
          </w:tcPr>
          <w:p w14:paraId="11FEC5D4">
            <w:pPr>
              <w:widowControl/>
              <w:ind w:firstLine="440"/>
              <w:jc w:val="left"/>
              <w:textAlignment w:val="center"/>
              <w:rPr>
                <w:rFonts w:hint="eastAsia" w:cs="宋体"/>
                <w:sz w:val="22"/>
                <w:szCs w:val="22"/>
              </w:rPr>
            </w:pPr>
            <w:r>
              <w:rPr>
                <w:rFonts w:hint="eastAsia" w:cs="宋体"/>
                <w:kern w:val="0"/>
                <w:sz w:val="22"/>
                <w:szCs w:val="22"/>
                <w:lang w:bidi="ar"/>
              </w:rPr>
              <w:t>100%</w:t>
            </w:r>
          </w:p>
        </w:tc>
      </w:tr>
      <w:tr w14:paraId="7F22445B">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4962A37F">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68270917">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3C949BE9">
            <w:pPr>
              <w:ind w:firstLine="440"/>
              <w:jc w:val="left"/>
              <w:rPr>
                <w:rFonts w:hint="eastAsia" w:cs="宋体"/>
                <w:sz w:val="22"/>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2C2E0A58">
            <w:pPr>
              <w:widowControl/>
              <w:ind w:firstLine="0" w:firstLineChars="0"/>
              <w:jc w:val="left"/>
              <w:textAlignment w:val="center"/>
              <w:rPr>
                <w:rFonts w:hint="eastAsia" w:cs="宋体"/>
                <w:sz w:val="22"/>
                <w:szCs w:val="22"/>
              </w:rPr>
            </w:pPr>
            <w:r>
              <w:rPr>
                <w:rFonts w:hint="eastAsia" w:cs="宋体"/>
                <w:kern w:val="0"/>
                <w:sz w:val="22"/>
                <w:szCs w:val="22"/>
                <w:lang w:bidi="ar"/>
              </w:rPr>
              <w:t>产出质量</w:t>
            </w:r>
          </w:p>
        </w:tc>
        <w:tc>
          <w:tcPr>
            <w:tcW w:w="3857" w:type="dxa"/>
            <w:tcBorders>
              <w:top w:val="single" w:color="000000" w:sz="4" w:space="0"/>
              <w:left w:val="single" w:color="000000" w:sz="4" w:space="0"/>
              <w:bottom w:val="single" w:color="000000" w:sz="4" w:space="0"/>
              <w:right w:val="single" w:color="000000" w:sz="4" w:space="0"/>
            </w:tcBorders>
            <w:vAlign w:val="center"/>
          </w:tcPr>
          <w:p w14:paraId="7D4F9D7E">
            <w:pPr>
              <w:widowControl/>
              <w:ind w:firstLine="440"/>
              <w:jc w:val="left"/>
              <w:textAlignment w:val="center"/>
              <w:rPr>
                <w:rFonts w:hint="eastAsia" w:cs="宋体"/>
                <w:sz w:val="22"/>
                <w:szCs w:val="22"/>
              </w:rPr>
            </w:pPr>
            <w:r>
              <w:rPr>
                <w:rFonts w:hint="eastAsia" w:cs="宋体"/>
                <w:kern w:val="0"/>
                <w:sz w:val="22"/>
                <w:szCs w:val="22"/>
                <w:lang w:bidi="ar"/>
              </w:rPr>
              <w:t>一次性验收合格率</w:t>
            </w:r>
          </w:p>
        </w:tc>
        <w:tc>
          <w:tcPr>
            <w:tcW w:w="1836" w:type="dxa"/>
            <w:tcBorders>
              <w:top w:val="single" w:color="000000" w:sz="4" w:space="0"/>
              <w:left w:val="single" w:color="000000" w:sz="4" w:space="0"/>
              <w:bottom w:val="single" w:color="000000" w:sz="4" w:space="0"/>
              <w:right w:val="single" w:color="000000" w:sz="4" w:space="0"/>
            </w:tcBorders>
            <w:vAlign w:val="center"/>
          </w:tcPr>
          <w:p w14:paraId="7259EE92">
            <w:pPr>
              <w:widowControl/>
              <w:ind w:firstLine="440"/>
              <w:jc w:val="left"/>
              <w:textAlignment w:val="center"/>
              <w:rPr>
                <w:rFonts w:hint="eastAsia" w:cs="宋体"/>
                <w:sz w:val="22"/>
                <w:szCs w:val="22"/>
              </w:rPr>
            </w:pPr>
            <w:r>
              <w:rPr>
                <w:rFonts w:hint="eastAsia" w:cs="宋体"/>
                <w:kern w:val="0"/>
                <w:sz w:val="22"/>
                <w:szCs w:val="22"/>
                <w:lang w:bidi="ar"/>
              </w:rPr>
              <w:t>100%</w:t>
            </w:r>
          </w:p>
        </w:tc>
      </w:tr>
      <w:tr w14:paraId="4DBA41EE">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0A557DC">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228760D">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2545B67A">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7E76336B">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179F8C8E">
            <w:pPr>
              <w:widowControl/>
              <w:ind w:firstLine="440"/>
              <w:jc w:val="left"/>
              <w:textAlignment w:val="center"/>
              <w:rPr>
                <w:rFonts w:hint="eastAsia" w:cs="宋体"/>
                <w:sz w:val="22"/>
                <w:szCs w:val="22"/>
              </w:rPr>
            </w:pPr>
            <w:r>
              <w:rPr>
                <w:rFonts w:hint="eastAsia" w:cs="宋体"/>
                <w:kern w:val="0"/>
                <w:sz w:val="22"/>
                <w:szCs w:val="22"/>
                <w:lang w:bidi="ar"/>
              </w:rPr>
              <w:t>系统可靠性</w:t>
            </w:r>
          </w:p>
        </w:tc>
        <w:tc>
          <w:tcPr>
            <w:tcW w:w="1836" w:type="dxa"/>
            <w:tcBorders>
              <w:top w:val="single" w:color="000000" w:sz="4" w:space="0"/>
              <w:left w:val="single" w:color="000000" w:sz="4" w:space="0"/>
              <w:bottom w:val="single" w:color="000000" w:sz="4" w:space="0"/>
              <w:right w:val="single" w:color="000000" w:sz="4" w:space="0"/>
            </w:tcBorders>
            <w:vAlign w:val="center"/>
          </w:tcPr>
          <w:p w14:paraId="5EDFE0A7">
            <w:pPr>
              <w:widowControl/>
              <w:ind w:firstLine="440"/>
              <w:jc w:val="left"/>
              <w:textAlignment w:val="center"/>
              <w:rPr>
                <w:rFonts w:hint="eastAsia" w:cs="宋体"/>
                <w:sz w:val="22"/>
                <w:szCs w:val="22"/>
              </w:rPr>
            </w:pPr>
            <w:r>
              <w:rPr>
                <w:rFonts w:hint="eastAsia" w:cs="宋体"/>
                <w:kern w:val="0"/>
                <w:sz w:val="22"/>
                <w:szCs w:val="22"/>
                <w:lang w:bidi="ar"/>
              </w:rPr>
              <w:t>≥99.9%</w:t>
            </w:r>
          </w:p>
        </w:tc>
      </w:tr>
      <w:tr w14:paraId="59496B9C">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D802A70">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38E908DE">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5F0601FD">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048742D8">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541C1C94">
            <w:pPr>
              <w:widowControl/>
              <w:ind w:firstLine="440"/>
              <w:jc w:val="left"/>
              <w:textAlignment w:val="center"/>
              <w:rPr>
                <w:rFonts w:hint="eastAsia" w:cs="宋体"/>
                <w:sz w:val="22"/>
                <w:szCs w:val="22"/>
              </w:rPr>
            </w:pPr>
            <w:r>
              <w:rPr>
                <w:rFonts w:hint="eastAsia" w:cs="宋体"/>
                <w:kern w:val="0"/>
                <w:sz w:val="22"/>
                <w:szCs w:val="22"/>
                <w:lang w:bidi="ar"/>
              </w:rPr>
              <w:t>安全测试</w:t>
            </w:r>
          </w:p>
        </w:tc>
        <w:tc>
          <w:tcPr>
            <w:tcW w:w="1836" w:type="dxa"/>
            <w:tcBorders>
              <w:top w:val="single" w:color="000000" w:sz="4" w:space="0"/>
              <w:left w:val="single" w:color="000000" w:sz="4" w:space="0"/>
              <w:bottom w:val="single" w:color="000000" w:sz="4" w:space="0"/>
              <w:right w:val="single" w:color="000000" w:sz="4" w:space="0"/>
            </w:tcBorders>
            <w:vAlign w:val="center"/>
          </w:tcPr>
          <w:p w14:paraId="558137E0">
            <w:pPr>
              <w:widowControl/>
              <w:ind w:firstLine="440"/>
              <w:jc w:val="left"/>
              <w:textAlignment w:val="center"/>
              <w:rPr>
                <w:rFonts w:hint="eastAsia" w:cs="宋体"/>
                <w:sz w:val="22"/>
                <w:szCs w:val="22"/>
              </w:rPr>
            </w:pPr>
            <w:r>
              <w:rPr>
                <w:rFonts w:hint="eastAsia" w:cs="宋体"/>
                <w:kern w:val="0"/>
                <w:sz w:val="22"/>
                <w:szCs w:val="22"/>
                <w:lang w:bidi="ar"/>
              </w:rPr>
              <w:t>通过</w:t>
            </w:r>
          </w:p>
        </w:tc>
      </w:tr>
      <w:tr w14:paraId="645652F3">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0B21457">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AC3312F">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2D42C15A">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7500551C">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28CE14F3">
            <w:pPr>
              <w:widowControl/>
              <w:ind w:firstLine="440"/>
              <w:jc w:val="left"/>
              <w:textAlignment w:val="center"/>
              <w:rPr>
                <w:rFonts w:hint="eastAsia" w:cs="宋体"/>
                <w:sz w:val="22"/>
                <w:szCs w:val="22"/>
              </w:rPr>
            </w:pPr>
            <w:r>
              <w:rPr>
                <w:rFonts w:hint="eastAsia" w:cs="宋体"/>
                <w:kern w:val="0"/>
                <w:sz w:val="22"/>
                <w:szCs w:val="22"/>
                <w:lang w:bidi="ar"/>
              </w:rPr>
              <w:t>密码测试</w:t>
            </w:r>
          </w:p>
        </w:tc>
        <w:tc>
          <w:tcPr>
            <w:tcW w:w="1836" w:type="dxa"/>
            <w:tcBorders>
              <w:top w:val="single" w:color="000000" w:sz="4" w:space="0"/>
              <w:left w:val="single" w:color="000000" w:sz="4" w:space="0"/>
              <w:bottom w:val="single" w:color="000000" w:sz="4" w:space="0"/>
              <w:right w:val="single" w:color="000000" w:sz="4" w:space="0"/>
            </w:tcBorders>
            <w:vAlign w:val="center"/>
          </w:tcPr>
          <w:p w14:paraId="050678D6">
            <w:pPr>
              <w:widowControl/>
              <w:ind w:firstLine="440"/>
              <w:jc w:val="left"/>
              <w:textAlignment w:val="center"/>
              <w:rPr>
                <w:rFonts w:hint="eastAsia" w:cs="宋体"/>
                <w:sz w:val="22"/>
                <w:szCs w:val="22"/>
              </w:rPr>
            </w:pPr>
            <w:r>
              <w:rPr>
                <w:rFonts w:hint="eastAsia" w:cs="宋体"/>
                <w:kern w:val="0"/>
                <w:sz w:val="22"/>
                <w:szCs w:val="22"/>
                <w:lang w:bidi="ar"/>
              </w:rPr>
              <w:t>通过</w:t>
            </w:r>
          </w:p>
        </w:tc>
      </w:tr>
      <w:tr w14:paraId="7AC243B2">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5EB930BB">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018F6AD3">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7601E1E9">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4144AFDE">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031B9F36">
            <w:pPr>
              <w:widowControl/>
              <w:ind w:firstLine="440"/>
              <w:jc w:val="left"/>
              <w:textAlignment w:val="center"/>
              <w:rPr>
                <w:rFonts w:hint="eastAsia" w:cs="宋体"/>
                <w:sz w:val="22"/>
                <w:szCs w:val="22"/>
              </w:rPr>
            </w:pPr>
            <w:r>
              <w:rPr>
                <w:rFonts w:hint="eastAsia" w:cs="宋体"/>
                <w:kern w:val="0"/>
                <w:sz w:val="22"/>
                <w:szCs w:val="22"/>
                <w:lang w:bidi="ar"/>
              </w:rPr>
              <w:t>软件测评</w:t>
            </w:r>
          </w:p>
        </w:tc>
        <w:tc>
          <w:tcPr>
            <w:tcW w:w="1836" w:type="dxa"/>
            <w:tcBorders>
              <w:top w:val="single" w:color="000000" w:sz="4" w:space="0"/>
              <w:left w:val="single" w:color="000000" w:sz="4" w:space="0"/>
              <w:bottom w:val="single" w:color="000000" w:sz="4" w:space="0"/>
              <w:right w:val="single" w:color="000000" w:sz="4" w:space="0"/>
            </w:tcBorders>
            <w:vAlign w:val="center"/>
          </w:tcPr>
          <w:p w14:paraId="55B779A3">
            <w:pPr>
              <w:widowControl/>
              <w:ind w:firstLine="440"/>
              <w:jc w:val="left"/>
              <w:textAlignment w:val="center"/>
              <w:rPr>
                <w:rFonts w:hint="eastAsia" w:cs="宋体"/>
                <w:sz w:val="22"/>
                <w:szCs w:val="22"/>
              </w:rPr>
            </w:pPr>
            <w:r>
              <w:rPr>
                <w:rFonts w:hint="eastAsia" w:cs="宋体"/>
                <w:kern w:val="0"/>
                <w:sz w:val="22"/>
                <w:szCs w:val="22"/>
                <w:lang w:bidi="ar"/>
              </w:rPr>
              <w:t>通过</w:t>
            </w:r>
          </w:p>
        </w:tc>
      </w:tr>
      <w:tr w14:paraId="6BEF0509">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9AC0093">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269EB316">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314928DC">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5EB15FE7">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55B914E8">
            <w:pPr>
              <w:widowControl/>
              <w:ind w:firstLine="440"/>
              <w:jc w:val="left"/>
              <w:textAlignment w:val="center"/>
              <w:rPr>
                <w:rFonts w:hint="eastAsia" w:cs="宋体"/>
                <w:sz w:val="22"/>
                <w:szCs w:val="22"/>
              </w:rPr>
            </w:pPr>
            <w:r>
              <w:rPr>
                <w:rFonts w:hint="eastAsia" w:cs="宋体"/>
                <w:kern w:val="0"/>
                <w:sz w:val="22"/>
                <w:szCs w:val="22"/>
                <w:lang w:bidi="ar"/>
              </w:rPr>
              <w:t>网络安全等级保护</w:t>
            </w:r>
          </w:p>
        </w:tc>
        <w:tc>
          <w:tcPr>
            <w:tcW w:w="1836" w:type="dxa"/>
            <w:tcBorders>
              <w:top w:val="single" w:color="000000" w:sz="4" w:space="0"/>
              <w:left w:val="single" w:color="000000" w:sz="4" w:space="0"/>
              <w:bottom w:val="single" w:color="000000" w:sz="4" w:space="0"/>
              <w:right w:val="single" w:color="000000" w:sz="4" w:space="0"/>
            </w:tcBorders>
            <w:vAlign w:val="center"/>
          </w:tcPr>
          <w:p w14:paraId="3863E904">
            <w:pPr>
              <w:widowControl/>
              <w:ind w:firstLine="440"/>
              <w:jc w:val="left"/>
              <w:textAlignment w:val="center"/>
              <w:rPr>
                <w:rFonts w:hint="eastAsia" w:cs="宋体"/>
                <w:sz w:val="22"/>
                <w:szCs w:val="22"/>
              </w:rPr>
            </w:pPr>
            <w:r>
              <w:rPr>
                <w:rFonts w:hint="eastAsia" w:cs="宋体"/>
                <w:kern w:val="0"/>
                <w:sz w:val="22"/>
                <w:szCs w:val="22"/>
                <w:lang w:bidi="ar"/>
              </w:rPr>
              <w:t>三级</w:t>
            </w:r>
          </w:p>
        </w:tc>
      </w:tr>
      <w:tr w14:paraId="017F43FE">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4BA10828">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BC2B0EF">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770AA8D2">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6EFB84FC">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4229ABC3">
            <w:pPr>
              <w:widowControl/>
              <w:ind w:firstLine="440"/>
              <w:jc w:val="left"/>
              <w:textAlignment w:val="center"/>
              <w:rPr>
                <w:rFonts w:hint="eastAsia" w:cs="宋体"/>
                <w:sz w:val="22"/>
                <w:szCs w:val="22"/>
              </w:rPr>
            </w:pPr>
            <w:r>
              <w:rPr>
                <w:rFonts w:hint="eastAsia" w:cs="宋体"/>
                <w:kern w:val="0"/>
                <w:sz w:val="22"/>
                <w:szCs w:val="22"/>
                <w:lang w:bidi="ar"/>
              </w:rPr>
              <w:t>数据安全事件发生次数</w:t>
            </w:r>
          </w:p>
        </w:tc>
        <w:tc>
          <w:tcPr>
            <w:tcW w:w="1836" w:type="dxa"/>
            <w:tcBorders>
              <w:top w:val="single" w:color="000000" w:sz="4" w:space="0"/>
              <w:left w:val="single" w:color="000000" w:sz="4" w:space="0"/>
              <w:bottom w:val="single" w:color="000000" w:sz="4" w:space="0"/>
              <w:right w:val="single" w:color="000000" w:sz="4" w:space="0"/>
            </w:tcBorders>
            <w:vAlign w:val="center"/>
          </w:tcPr>
          <w:p w14:paraId="53AF2730">
            <w:pPr>
              <w:widowControl/>
              <w:ind w:firstLine="440"/>
              <w:jc w:val="left"/>
              <w:textAlignment w:val="center"/>
              <w:rPr>
                <w:rFonts w:hint="eastAsia" w:cs="宋体"/>
                <w:sz w:val="22"/>
                <w:szCs w:val="22"/>
              </w:rPr>
            </w:pPr>
            <w:r>
              <w:rPr>
                <w:rFonts w:hint="eastAsia" w:cs="宋体"/>
                <w:kern w:val="0"/>
                <w:sz w:val="22"/>
                <w:szCs w:val="22"/>
                <w:lang w:bidi="ar"/>
              </w:rPr>
              <w:t>0次</w:t>
            </w:r>
          </w:p>
        </w:tc>
      </w:tr>
      <w:tr w14:paraId="5F46BA3C">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A601BCD">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2417479D">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2C232399">
            <w:pPr>
              <w:ind w:firstLine="440"/>
              <w:jc w:val="left"/>
              <w:rPr>
                <w:rFonts w:hint="eastAsia" w:cs="宋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5B196056">
            <w:pPr>
              <w:widowControl/>
              <w:ind w:firstLine="0" w:firstLineChars="0"/>
              <w:jc w:val="left"/>
              <w:textAlignment w:val="center"/>
              <w:rPr>
                <w:rFonts w:hint="eastAsia" w:cs="宋体"/>
                <w:sz w:val="22"/>
                <w:szCs w:val="22"/>
              </w:rPr>
            </w:pPr>
            <w:r>
              <w:rPr>
                <w:rFonts w:hint="eastAsia" w:cs="宋体"/>
                <w:kern w:val="0"/>
                <w:sz w:val="22"/>
                <w:szCs w:val="22"/>
                <w:lang w:bidi="ar"/>
              </w:rPr>
              <w:t>产出时效</w:t>
            </w:r>
          </w:p>
        </w:tc>
        <w:tc>
          <w:tcPr>
            <w:tcW w:w="3857" w:type="dxa"/>
            <w:tcBorders>
              <w:top w:val="single" w:color="000000" w:sz="4" w:space="0"/>
              <w:left w:val="single" w:color="000000" w:sz="4" w:space="0"/>
              <w:bottom w:val="single" w:color="000000" w:sz="4" w:space="0"/>
              <w:right w:val="single" w:color="000000" w:sz="4" w:space="0"/>
            </w:tcBorders>
            <w:vAlign w:val="center"/>
          </w:tcPr>
          <w:p w14:paraId="7791AAD4">
            <w:pPr>
              <w:widowControl/>
              <w:ind w:firstLine="440"/>
              <w:jc w:val="left"/>
              <w:textAlignment w:val="center"/>
              <w:rPr>
                <w:rFonts w:hint="eastAsia" w:cs="宋体"/>
                <w:sz w:val="22"/>
                <w:szCs w:val="22"/>
              </w:rPr>
            </w:pPr>
            <w:r>
              <w:rPr>
                <w:rFonts w:hint="eastAsia" w:cs="宋体"/>
                <w:kern w:val="0"/>
                <w:sz w:val="22"/>
                <w:szCs w:val="22"/>
                <w:lang w:bidi="ar"/>
              </w:rPr>
              <w:t>项目建设周期</w:t>
            </w:r>
          </w:p>
        </w:tc>
        <w:tc>
          <w:tcPr>
            <w:tcW w:w="1836" w:type="dxa"/>
            <w:tcBorders>
              <w:top w:val="single" w:color="000000" w:sz="4" w:space="0"/>
              <w:left w:val="single" w:color="000000" w:sz="4" w:space="0"/>
              <w:bottom w:val="single" w:color="000000" w:sz="4" w:space="0"/>
              <w:right w:val="single" w:color="000000" w:sz="4" w:space="0"/>
            </w:tcBorders>
            <w:vAlign w:val="center"/>
          </w:tcPr>
          <w:p w14:paraId="2A53789C">
            <w:pPr>
              <w:widowControl/>
              <w:ind w:firstLine="440"/>
              <w:jc w:val="left"/>
              <w:textAlignment w:val="center"/>
              <w:rPr>
                <w:rFonts w:hint="eastAsia" w:cs="宋体"/>
                <w:sz w:val="22"/>
                <w:szCs w:val="22"/>
              </w:rPr>
            </w:pPr>
            <w:r>
              <w:rPr>
                <w:rFonts w:hint="eastAsia" w:cs="宋体"/>
                <w:kern w:val="0"/>
                <w:sz w:val="22"/>
                <w:szCs w:val="22"/>
                <w:lang w:bidi="ar"/>
              </w:rPr>
              <w:t>≤9个月</w:t>
            </w:r>
          </w:p>
        </w:tc>
      </w:tr>
      <w:tr w14:paraId="4486EB3C">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763672A">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B798827">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00692E77">
            <w:pPr>
              <w:ind w:firstLine="440"/>
              <w:jc w:val="left"/>
              <w:rPr>
                <w:rFonts w:hint="eastAsia" w:cs="宋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5E284D17">
            <w:pPr>
              <w:widowControl/>
              <w:ind w:firstLine="0" w:firstLineChars="0"/>
              <w:jc w:val="left"/>
              <w:textAlignment w:val="center"/>
              <w:rPr>
                <w:rFonts w:hint="eastAsia" w:cs="宋体"/>
                <w:sz w:val="22"/>
                <w:szCs w:val="22"/>
              </w:rPr>
            </w:pPr>
            <w:r>
              <w:rPr>
                <w:rFonts w:hint="eastAsia" w:cs="宋体"/>
                <w:kern w:val="0"/>
                <w:sz w:val="22"/>
                <w:szCs w:val="22"/>
                <w:lang w:bidi="ar"/>
              </w:rPr>
              <w:t>产出成本</w:t>
            </w:r>
          </w:p>
        </w:tc>
        <w:tc>
          <w:tcPr>
            <w:tcW w:w="3857" w:type="dxa"/>
            <w:tcBorders>
              <w:top w:val="single" w:color="000000" w:sz="4" w:space="0"/>
              <w:left w:val="single" w:color="000000" w:sz="4" w:space="0"/>
              <w:bottom w:val="single" w:color="000000" w:sz="4" w:space="0"/>
              <w:right w:val="single" w:color="000000" w:sz="4" w:space="0"/>
            </w:tcBorders>
            <w:vAlign w:val="center"/>
          </w:tcPr>
          <w:p w14:paraId="4B225E99">
            <w:pPr>
              <w:widowControl/>
              <w:ind w:firstLine="440"/>
              <w:jc w:val="left"/>
              <w:textAlignment w:val="center"/>
              <w:rPr>
                <w:rFonts w:hint="eastAsia" w:cs="宋体"/>
                <w:sz w:val="22"/>
                <w:szCs w:val="22"/>
              </w:rPr>
            </w:pPr>
            <w:r>
              <w:rPr>
                <w:rFonts w:hint="eastAsia" w:cs="宋体"/>
                <w:kern w:val="0"/>
                <w:sz w:val="22"/>
                <w:szCs w:val="22"/>
                <w:lang w:bidi="ar"/>
              </w:rPr>
              <w:t>标准化内容支出比例</w:t>
            </w:r>
          </w:p>
        </w:tc>
        <w:tc>
          <w:tcPr>
            <w:tcW w:w="1836" w:type="dxa"/>
            <w:tcBorders>
              <w:top w:val="single" w:color="000000" w:sz="4" w:space="0"/>
              <w:left w:val="single" w:color="000000" w:sz="4" w:space="0"/>
              <w:bottom w:val="single" w:color="000000" w:sz="4" w:space="0"/>
              <w:right w:val="single" w:color="000000" w:sz="4" w:space="0"/>
            </w:tcBorders>
            <w:vAlign w:val="center"/>
          </w:tcPr>
          <w:p w14:paraId="0093E363">
            <w:pPr>
              <w:widowControl/>
              <w:ind w:firstLine="440"/>
              <w:jc w:val="left"/>
              <w:textAlignment w:val="center"/>
              <w:rPr>
                <w:rFonts w:hint="eastAsia" w:cs="宋体"/>
                <w:sz w:val="22"/>
                <w:szCs w:val="22"/>
              </w:rPr>
            </w:pPr>
            <w:r>
              <w:rPr>
                <w:rFonts w:hint="eastAsia" w:cs="宋体"/>
                <w:kern w:val="0"/>
                <w:sz w:val="22"/>
                <w:szCs w:val="22"/>
                <w:lang w:bidi="ar"/>
              </w:rPr>
              <w:t>≥24%</w:t>
            </w:r>
          </w:p>
        </w:tc>
      </w:tr>
      <w:tr w14:paraId="45088987">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6FB4554">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09F4F00">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2AA6A8A4">
            <w:pPr>
              <w:ind w:firstLine="440"/>
              <w:jc w:val="left"/>
              <w:rPr>
                <w:rFonts w:hint="eastAsia" w:cs="宋体"/>
                <w:sz w:val="22"/>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56A055F2">
            <w:pPr>
              <w:widowControl/>
              <w:ind w:firstLine="0" w:firstLineChars="0"/>
              <w:jc w:val="left"/>
              <w:textAlignment w:val="center"/>
              <w:rPr>
                <w:rFonts w:hint="eastAsia" w:cs="宋体"/>
                <w:sz w:val="22"/>
                <w:szCs w:val="22"/>
              </w:rPr>
            </w:pPr>
            <w:r>
              <w:rPr>
                <w:rFonts w:hint="eastAsia" w:cs="宋体"/>
                <w:kern w:val="0"/>
                <w:sz w:val="22"/>
                <w:szCs w:val="22"/>
                <w:lang w:bidi="ar"/>
              </w:rPr>
              <w:t>共性平台</w:t>
            </w:r>
          </w:p>
        </w:tc>
        <w:tc>
          <w:tcPr>
            <w:tcW w:w="3857" w:type="dxa"/>
            <w:tcBorders>
              <w:top w:val="single" w:color="000000" w:sz="4" w:space="0"/>
              <w:left w:val="single" w:color="000000" w:sz="4" w:space="0"/>
              <w:bottom w:val="single" w:color="000000" w:sz="4" w:space="0"/>
              <w:right w:val="single" w:color="000000" w:sz="4" w:space="0"/>
            </w:tcBorders>
            <w:vAlign w:val="center"/>
          </w:tcPr>
          <w:p w14:paraId="600E11DC">
            <w:pPr>
              <w:widowControl/>
              <w:ind w:firstLine="440"/>
              <w:jc w:val="left"/>
              <w:textAlignment w:val="center"/>
              <w:rPr>
                <w:rFonts w:hint="eastAsia" w:cs="宋体"/>
                <w:sz w:val="22"/>
                <w:szCs w:val="22"/>
              </w:rPr>
            </w:pPr>
            <w:r>
              <w:rPr>
                <w:rFonts w:hint="eastAsia" w:cs="宋体"/>
                <w:kern w:val="0"/>
                <w:sz w:val="22"/>
                <w:szCs w:val="22"/>
                <w:lang w:bidi="ar"/>
              </w:rPr>
              <w:t>跨部门数据共享程度</w:t>
            </w:r>
          </w:p>
        </w:tc>
        <w:tc>
          <w:tcPr>
            <w:tcW w:w="1836" w:type="dxa"/>
            <w:tcBorders>
              <w:top w:val="single" w:color="000000" w:sz="4" w:space="0"/>
              <w:left w:val="single" w:color="000000" w:sz="4" w:space="0"/>
              <w:bottom w:val="single" w:color="000000" w:sz="4" w:space="0"/>
              <w:right w:val="single" w:color="000000" w:sz="4" w:space="0"/>
            </w:tcBorders>
            <w:vAlign w:val="center"/>
          </w:tcPr>
          <w:p w14:paraId="16D002CF">
            <w:pPr>
              <w:widowControl/>
              <w:ind w:firstLine="440"/>
              <w:jc w:val="left"/>
              <w:textAlignment w:val="center"/>
              <w:rPr>
                <w:rFonts w:hint="eastAsia" w:cs="宋体"/>
                <w:sz w:val="22"/>
                <w:szCs w:val="22"/>
              </w:rPr>
            </w:pPr>
            <w:r>
              <w:rPr>
                <w:rFonts w:hint="eastAsia" w:cs="宋体"/>
                <w:kern w:val="0"/>
                <w:sz w:val="22"/>
                <w:szCs w:val="22"/>
                <w:lang w:bidi="ar"/>
              </w:rPr>
              <w:t>≥20%</w:t>
            </w:r>
          </w:p>
        </w:tc>
      </w:tr>
      <w:tr w14:paraId="2573ACE2">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390E113">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1817785C">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57712EF9">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2C23E039">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775DB568">
            <w:pPr>
              <w:widowControl/>
              <w:ind w:firstLine="440"/>
              <w:jc w:val="left"/>
              <w:textAlignment w:val="center"/>
              <w:rPr>
                <w:rFonts w:hint="eastAsia" w:cs="宋体"/>
                <w:sz w:val="22"/>
                <w:szCs w:val="22"/>
              </w:rPr>
            </w:pPr>
            <w:r>
              <w:rPr>
                <w:rFonts w:hint="eastAsia" w:cs="宋体"/>
                <w:kern w:val="0"/>
                <w:sz w:val="22"/>
                <w:szCs w:val="22"/>
                <w:lang w:bidi="ar"/>
              </w:rPr>
              <w:t>核心数据缺失率</w:t>
            </w:r>
          </w:p>
        </w:tc>
        <w:tc>
          <w:tcPr>
            <w:tcW w:w="1836" w:type="dxa"/>
            <w:tcBorders>
              <w:top w:val="single" w:color="000000" w:sz="4" w:space="0"/>
              <w:left w:val="single" w:color="000000" w:sz="4" w:space="0"/>
              <w:bottom w:val="single" w:color="000000" w:sz="4" w:space="0"/>
              <w:right w:val="single" w:color="000000" w:sz="4" w:space="0"/>
            </w:tcBorders>
            <w:vAlign w:val="center"/>
          </w:tcPr>
          <w:p w14:paraId="61055AA7">
            <w:pPr>
              <w:widowControl/>
              <w:ind w:firstLine="440"/>
              <w:jc w:val="left"/>
              <w:textAlignment w:val="center"/>
              <w:rPr>
                <w:rFonts w:hint="eastAsia" w:cs="宋体"/>
                <w:sz w:val="22"/>
                <w:szCs w:val="22"/>
              </w:rPr>
            </w:pPr>
            <w:r>
              <w:rPr>
                <w:rFonts w:hint="eastAsia" w:cs="宋体"/>
                <w:kern w:val="0"/>
                <w:sz w:val="22"/>
                <w:szCs w:val="22"/>
                <w:lang w:bidi="ar"/>
              </w:rPr>
              <w:t>≤0%</w:t>
            </w:r>
          </w:p>
        </w:tc>
      </w:tr>
      <w:tr w14:paraId="5F2F1500">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1BC2960">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0A8C2876">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3DF8EF83">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12095AB8">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0BEA0E6D">
            <w:pPr>
              <w:widowControl/>
              <w:ind w:firstLine="440"/>
              <w:jc w:val="left"/>
              <w:textAlignment w:val="center"/>
              <w:rPr>
                <w:rFonts w:hint="eastAsia" w:cs="宋体"/>
                <w:sz w:val="22"/>
                <w:szCs w:val="22"/>
              </w:rPr>
            </w:pPr>
            <w:r>
              <w:rPr>
                <w:rFonts w:hint="eastAsia" w:cs="宋体"/>
                <w:kern w:val="0"/>
                <w:sz w:val="22"/>
                <w:szCs w:val="22"/>
                <w:lang w:bidi="ar"/>
              </w:rPr>
              <w:t>覆盖部门数量</w:t>
            </w:r>
          </w:p>
        </w:tc>
        <w:tc>
          <w:tcPr>
            <w:tcW w:w="1836" w:type="dxa"/>
            <w:tcBorders>
              <w:top w:val="single" w:color="000000" w:sz="4" w:space="0"/>
              <w:left w:val="single" w:color="000000" w:sz="4" w:space="0"/>
              <w:bottom w:val="single" w:color="000000" w:sz="4" w:space="0"/>
              <w:right w:val="single" w:color="000000" w:sz="4" w:space="0"/>
            </w:tcBorders>
            <w:vAlign w:val="center"/>
          </w:tcPr>
          <w:p w14:paraId="2D382D50">
            <w:pPr>
              <w:widowControl/>
              <w:ind w:firstLine="440"/>
              <w:jc w:val="left"/>
              <w:textAlignment w:val="center"/>
              <w:rPr>
                <w:rFonts w:hint="eastAsia" w:cs="宋体"/>
                <w:sz w:val="22"/>
                <w:szCs w:val="22"/>
              </w:rPr>
            </w:pPr>
            <w:r>
              <w:rPr>
                <w:rFonts w:hint="eastAsia" w:cs="宋体"/>
                <w:kern w:val="0"/>
                <w:sz w:val="22"/>
                <w:szCs w:val="22"/>
                <w:lang w:bidi="ar"/>
              </w:rPr>
              <w:t>≥8个</w:t>
            </w:r>
          </w:p>
        </w:tc>
      </w:tr>
      <w:tr w14:paraId="681BE4F5">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2C459105">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03D93580">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3EE62A52">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1EF255D2">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51D31E72">
            <w:pPr>
              <w:widowControl/>
              <w:ind w:firstLine="440"/>
              <w:jc w:val="left"/>
              <w:textAlignment w:val="center"/>
              <w:rPr>
                <w:rFonts w:hint="eastAsia" w:cs="宋体"/>
                <w:sz w:val="22"/>
                <w:szCs w:val="22"/>
              </w:rPr>
            </w:pPr>
            <w:r>
              <w:rPr>
                <w:rFonts w:hint="eastAsia" w:cs="宋体"/>
                <w:kern w:val="0"/>
                <w:sz w:val="22"/>
                <w:szCs w:val="22"/>
                <w:lang w:bidi="ar"/>
              </w:rPr>
              <w:t>统筹对接系统数量</w:t>
            </w:r>
          </w:p>
        </w:tc>
        <w:tc>
          <w:tcPr>
            <w:tcW w:w="1836" w:type="dxa"/>
            <w:tcBorders>
              <w:top w:val="single" w:color="000000" w:sz="4" w:space="0"/>
              <w:left w:val="single" w:color="000000" w:sz="4" w:space="0"/>
              <w:bottom w:val="single" w:color="000000" w:sz="4" w:space="0"/>
              <w:right w:val="single" w:color="000000" w:sz="4" w:space="0"/>
            </w:tcBorders>
            <w:vAlign w:val="center"/>
          </w:tcPr>
          <w:p w14:paraId="2B43EE5B">
            <w:pPr>
              <w:widowControl/>
              <w:ind w:firstLine="440"/>
              <w:jc w:val="left"/>
              <w:textAlignment w:val="center"/>
              <w:rPr>
                <w:rFonts w:hint="eastAsia" w:cs="宋体"/>
                <w:sz w:val="22"/>
                <w:szCs w:val="22"/>
              </w:rPr>
            </w:pPr>
            <w:r>
              <w:rPr>
                <w:rFonts w:hint="eastAsia" w:cs="宋体"/>
                <w:kern w:val="0"/>
                <w:sz w:val="22"/>
                <w:szCs w:val="22"/>
                <w:lang w:bidi="ar"/>
              </w:rPr>
              <w:t>≥30个</w:t>
            </w:r>
          </w:p>
        </w:tc>
      </w:tr>
      <w:tr w14:paraId="43CC7093">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12B8B49">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E8B21CC">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4A9C6461">
            <w:pPr>
              <w:ind w:firstLine="440"/>
              <w:jc w:val="left"/>
              <w:rPr>
                <w:rFonts w:hint="eastAsia" w:cs="宋体"/>
                <w:sz w:val="22"/>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6CC3ABD6">
            <w:pPr>
              <w:widowControl/>
              <w:ind w:firstLine="0" w:firstLineChars="0"/>
              <w:jc w:val="left"/>
              <w:textAlignment w:val="center"/>
              <w:rPr>
                <w:rFonts w:hint="eastAsia" w:cs="宋体"/>
                <w:sz w:val="22"/>
                <w:szCs w:val="22"/>
              </w:rPr>
            </w:pPr>
            <w:r>
              <w:rPr>
                <w:rFonts w:hint="eastAsia" w:cs="宋体"/>
                <w:kern w:val="0"/>
                <w:sz w:val="22"/>
                <w:szCs w:val="22"/>
                <w:lang w:bidi="ar"/>
              </w:rPr>
              <w:t>数据服务</w:t>
            </w:r>
          </w:p>
        </w:tc>
        <w:tc>
          <w:tcPr>
            <w:tcW w:w="3857" w:type="dxa"/>
            <w:tcBorders>
              <w:top w:val="single" w:color="000000" w:sz="4" w:space="0"/>
              <w:left w:val="single" w:color="000000" w:sz="4" w:space="0"/>
              <w:bottom w:val="single" w:color="000000" w:sz="4" w:space="0"/>
              <w:right w:val="single" w:color="000000" w:sz="4" w:space="0"/>
            </w:tcBorders>
            <w:vAlign w:val="center"/>
          </w:tcPr>
          <w:p w14:paraId="29A41F57">
            <w:pPr>
              <w:widowControl/>
              <w:ind w:firstLine="440"/>
              <w:jc w:val="left"/>
              <w:textAlignment w:val="center"/>
              <w:rPr>
                <w:rFonts w:hint="eastAsia" w:cs="宋体"/>
                <w:sz w:val="22"/>
                <w:szCs w:val="22"/>
              </w:rPr>
            </w:pPr>
            <w:r>
              <w:rPr>
                <w:rFonts w:hint="eastAsia" w:cs="宋体"/>
                <w:kern w:val="0"/>
                <w:sz w:val="22"/>
                <w:szCs w:val="22"/>
                <w:lang w:bidi="ar"/>
              </w:rPr>
              <w:t>完成迁移数据库记录数量</w:t>
            </w:r>
          </w:p>
        </w:tc>
        <w:tc>
          <w:tcPr>
            <w:tcW w:w="1836" w:type="dxa"/>
            <w:tcBorders>
              <w:top w:val="single" w:color="000000" w:sz="4" w:space="0"/>
              <w:left w:val="single" w:color="000000" w:sz="4" w:space="0"/>
              <w:bottom w:val="single" w:color="000000" w:sz="4" w:space="0"/>
              <w:right w:val="single" w:color="000000" w:sz="4" w:space="0"/>
            </w:tcBorders>
            <w:vAlign w:val="center"/>
          </w:tcPr>
          <w:p w14:paraId="185303FB">
            <w:pPr>
              <w:widowControl/>
              <w:ind w:firstLine="440"/>
              <w:jc w:val="left"/>
              <w:textAlignment w:val="center"/>
              <w:rPr>
                <w:rFonts w:hint="eastAsia" w:cs="宋体"/>
                <w:sz w:val="22"/>
                <w:szCs w:val="22"/>
              </w:rPr>
            </w:pPr>
            <w:r>
              <w:rPr>
                <w:rFonts w:hint="eastAsia" w:cs="宋体"/>
                <w:kern w:val="0"/>
                <w:sz w:val="22"/>
                <w:szCs w:val="22"/>
                <w:lang w:bidi="ar"/>
              </w:rPr>
              <w:t>≥30个</w:t>
            </w:r>
          </w:p>
        </w:tc>
      </w:tr>
      <w:tr w14:paraId="477E16FD">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507A0AE">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60ABEE8D">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3EEB9208">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6E4E0B94">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431F2254">
            <w:pPr>
              <w:widowControl/>
              <w:ind w:firstLine="440"/>
              <w:jc w:val="left"/>
              <w:textAlignment w:val="center"/>
              <w:rPr>
                <w:rFonts w:hint="eastAsia" w:cs="宋体"/>
                <w:sz w:val="22"/>
                <w:szCs w:val="22"/>
              </w:rPr>
            </w:pPr>
            <w:r>
              <w:rPr>
                <w:rFonts w:hint="eastAsia" w:cs="宋体"/>
                <w:kern w:val="0"/>
                <w:sz w:val="22"/>
                <w:szCs w:val="22"/>
                <w:lang w:bidi="ar"/>
              </w:rPr>
              <w:t>新增数据标签数量</w:t>
            </w:r>
          </w:p>
        </w:tc>
        <w:tc>
          <w:tcPr>
            <w:tcW w:w="1836" w:type="dxa"/>
            <w:tcBorders>
              <w:top w:val="single" w:color="000000" w:sz="4" w:space="0"/>
              <w:left w:val="single" w:color="000000" w:sz="4" w:space="0"/>
              <w:bottom w:val="single" w:color="000000" w:sz="4" w:space="0"/>
              <w:right w:val="single" w:color="000000" w:sz="4" w:space="0"/>
            </w:tcBorders>
            <w:vAlign w:val="center"/>
          </w:tcPr>
          <w:p w14:paraId="1C74CA35">
            <w:pPr>
              <w:widowControl/>
              <w:ind w:firstLine="440"/>
              <w:jc w:val="left"/>
              <w:textAlignment w:val="center"/>
              <w:rPr>
                <w:rFonts w:hint="eastAsia" w:cs="宋体"/>
                <w:sz w:val="22"/>
                <w:szCs w:val="22"/>
              </w:rPr>
            </w:pPr>
            <w:r>
              <w:rPr>
                <w:rFonts w:hint="eastAsia" w:cs="宋体"/>
                <w:kern w:val="0"/>
                <w:sz w:val="22"/>
                <w:szCs w:val="22"/>
                <w:lang w:bidi="ar"/>
              </w:rPr>
              <w:t>≥1645个</w:t>
            </w:r>
          </w:p>
        </w:tc>
      </w:tr>
      <w:tr w14:paraId="0C240410">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4B44C98B">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28F4A6F9">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4CB67141">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0E239971">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06C23AD4">
            <w:pPr>
              <w:widowControl/>
              <w:ind w:firstLine="440"/>
              <w:jc w:val="left"/>
              <w:textAlignment w:val="center"/>
              <w:rPr>
                <w:rFonts w:hint="eastAsia" w:cs="宋体"/>
                <w:sz w:val="22"/>
                <w:szCs w:val="22"/>
              </w:rPr>
            </w:pPr>
            <w:r>
              <w:rPr>
                <w:rFonts w:hint="eastAsia" w:cs="宋体"/>
                <w:kern w:val="0"/>
                <w:sz w:val="22"/>
                <w:szCs w:val="22"/>
                <w:lang w:bidi="ar"/>
              </w:rPr>
              <w:t>完成数据融合的数据条数</w:t>
            </w:r>
          </w:p>
        </w:tc>
        <w:tc>
          <w:tcPr>
            <w:tcW w:w="1836" w:type="dxa"/>
            <w:tcBorders>
              <w:top w:val="single" w:color="000000" w:sz="4" w:space="0"/>
              <w:left w:val="single" w:color="000000" w:sz="4" w:space="0"/>
              <w:bottom w:val="single" w:color="000000" w:sz="4" w:space="0"/>
              <w:right w:val="single" w:color="000000" w:sz="4" w:space="0"/>
            </w:tcBorders>
            <w:vAlign w:val="center"/>
          </w:tcPr>
          <w:p w14:paraId="64578206">
            <w:pPr>
              <w:widowControl/>
              <w:ind w:firstLine="440"/>
              <w:jc w:val="left"/>
              <w:textAlignment w:val="center"/>
              <w:rPr>
                <w:rFonts w:hint="eastAsia" w:cs="宋体"/>
                <w:sz w:val="22"/>
                <w:szCs w:val="22"/>
              </w:rPr>
            </w:pPr>
            <w:r>
              <w:rPr>
                <w:rFonts w:hint="eastAsia" w:cs="宋体"/>
                <w:kern w:val="0"/>
                <w:sz w:val="22"/>
                <w:szCs w:val="22"/>
                <w:lang w:bidi="ar"/>
              </w:rPr>
              <w:t>≥2.5亿条</w:t>
            </w:r>
          </w:p>
        </w:tc>
      </w:tr>
      <w:tr w14:paraId="0CBFBE84">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5CBC9228">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93FF926">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364600DF">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369C2B3A">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20331D19">
            <w:pPr>
              <w:widowControl/>
              <w:ind w:firstLine="440"/>
              <w:jc w:val="left"/>
              <w:textAlignment w:val="center"/>
              <w:rPr>
                <w:rFonts w:hint="eastAsia" w:cs="宋体"/>
                <w:sz w:val="22"/>
                <w:szCs w:val="22"/>
              </w:rPr>
            </w:pPr>
            <w:r>
              <w:rPr>
                <w:rFonts w:hint="eastAsia" w:cs="宋体"/>
                <w:kern w:val="0"/>
                <w:sz w:val="22"/>
                <w:szCs w:val="22"/>
                <w:lang w:bidi="ar"/>
              </w:rPr>
              <w:t>进入公共数据目录条目占比</w:t>
            </w:r>
          </w:p>
        </w:tc>
        <w:tc>
          <w:tcPr>
            <w:tcW w:w="1836" w:type="dxa"/>
            <w:tcBorders>
              <w:top w:val="single" w:color="000000" w:sz="4" w:space="0"/>
              <w:left w:val="single" w:color="000000" w:sz="4" w:space="0"/>
              <w:bottom w:val="single" w:color="000000" w:sz="4" w:space="0"/>
              <w:right w:val="single" w:color="000000" w:sz="4" w:space="0"/>
            </w:tcBorders>
            <w:vAlign w:val="center"/>
          </w:tcPr>
          <w:p w14:paraId="63F0176E">
            <w:pPr>
              <w:widowControl/>
              <w:ind w:firstLine="440"/>
              <w:jc w:val="left"/>
              <w:textAlignment w:val="center"/>
              <w:rPr>
                <w:rFonts w:hint="eastAsia" w:cs="宋体"/>
                <w:sz w:val="22"/>
                <w:szCs w:val="22"/>
              </w:rPr>
            </w:pPr>
            <w:r>
              <w:rPr>
                <w:rFonts w:hint="eastAsia" w:cs="宋体"/>
                <w:kern w:val="0"/>
                <w:sz w:val="22"/>
                <w:szCs w:val="22"/>
                <w:lang w:bidi="ar"/>
              </w:rPr>
              <w:t>≥70%</w:t>
            </w:r>
          </w:p>
        </w:tc>
      </w:tr>
      <w:tr w14:paraId="70ED8E26">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2FC827B">
            <w:pPr>
              <w:ind w:firstLine="440"/>
              <w:jc w:val="left"/>
              <w:rPr>
                <w:rFonts w:hint="eastAsia" w:cs="宋体"/>
                <w:sz w:val="22"/>
                <w:szCs w:val="22"/>
              </w:rPr>
            </w:pP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1C2668D3">
            <w:pPr>
              <w:widowControl/>
              <w:ind w:firstLine="0" w:firstLineChars="0"/>
              <w:jc w:val="left"/>
              <w:textAlignment w:val="center"/>
              <w:rPr>
                <w:rFonts w:hint="eastAsia" w:cs="宋体"/>
                <w:sz w:val="22"/>
                <w:szCs w:val="22"/>
              </w:rPr>
            </w:pPr>
            <w:r>
              <w:rPr>
                <w:rFonts w:hint="eastAsia" w:cs="宋体"/>
                <w:kern w:val="0"/>
                <w:sz w:val="22"/>
                <w:szCs w:val="22"/>
                <w:lang w:bidi="ar"/>
              </w:rPr>
              <w:t>业务</w:t>
            </w:r>
            <w:r>
              <w:rPr>
                <w:rFonts w:hint="eastAsia" w:cs="宋体"/>
                <w:kern w:val="0"/>
                <w:sz w:val="22"/>
                <w:szCs w:val="22"/>
                <w:lang w:bidi="ar"/>
              </w:rPr>
              <w:br w:type="textWrapping"/>
            </w:r>
            <w:r>
              <w:rPr>
                <w:rFonts w:hint="eastAsia" w:cs="宋体"/>
                <w:kern w:val="0"/>
                <w:sz w:val="22"/>
                <w:szCs w:val="22"/>
                <w:lang w:bidi="ar"/>
              </w:rPr>
              <w:t>指标</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08902CB7">
            <w:pPr>
              <w:widowControl/>
              <w:ind w:firstLine="0" w:firstLineChars="0"/>
              <w:jc w:val="left"/>
              <w:textAlignment w:val="center"/>
              <w:rPr>
                <w:rFonts w:hint="eastAsia" w:cs="宋体"/>
                <w:sz w:val="22"/>
                <w:szCs w:val="22"/>
              </w:rPr>
            </w:pPr>
            <w:r>
              <w:rPr>
                <w:rFonts w:hint="eastAsia" w:cs="宋体"/>
                <w:kern w:val="0"/>
                <w:sz w:val="22"/>
                <w:szCs w:val="22"/>
                <w:lang w:bidi="ar"/>
              </w:rPr>
              <w:t>产出</w:t>
            </w:r>
            <w:r>
              <w:rPr>
                <w:rFonts w:hint="eastAsia" w:cs="宋体"/>
                <w:kern w:val="0"/>
                <w:sz w:val="22"/>
                <w:szCs w:val="22"/>
                <w:lang w:bidi="ar"/>
              </w:rPr>
              <w:br w:type="textWrapping"/>
            </w:r>
            <w:r>
              <w:rPr>
                <w:rFonts w:hint="eastAsia" w:cs="宋体"/>
                <w:kern w:val="0"/>
                <w:sz w:val="22"/>
                <w:szCs w:val="22"/>
                <w:lang w:bidi="ar"/>
              </w:rPr>
              <w:t>指标</w:t>
            </w:r>
          </w:p>
        </w:tc>
        <w:tc>
          <w:tcPr>
            <w:tcW w:w="800" w:type="dxa"/>
            <w:tcBorders>
              <w:top w:val="single" w:color="000000" w:sz="4" w:space="0"/>
              <w:left w:val="single" w:color="000000" w:sz="4" w:space="0"/>
              <w:bottom w:val="single" w:color="000000" w:sz="4" w:space="0"/>
              <w:right w:val="single" w:color="000000" w:sz="4" w:space="0"/>
            </w:tcBorders>
            <w:vAlign w:val="center"/>
          </w:tcPr>
          <w:p w14:paraId="1E101597">
            <w:pPr>
              <w:widowControl/>
              <w:ind w:firstLine="0" w:firstLineChars="0"/>
              <w:jc w:val="left"/>
              <w:textAlignment w:val="center"/>
              <w:rPr>
                <w:rFonts w:hint="eastAsia" w:cs="宋体"/>
                <w:sz w:val="22"/>
                <w:szCs w:val="22"/>
              </w:rPr>
            </w:pPr>
            <w:r>
              <w:rPr>
                <w:rFonts w:hint="eastAsia" w:cs="宋体"/>
                <w:kern w:val="0"/>
                <w:sz w:val="22"/>
                <w:szCs w:val="22"/>
                <w:lang w:bidi="ar"/>
              </w:rPr>
              <w:t>产出数量</w:t>
            </w:r>
          </w:p>
        </w:tc>
        <w:tc>
          <w:tcPr>
            <w:tcW w:w="3857" w:type="dxa"/>
            <w:tcBorders>
              <w:top w:val="single" w:color="000000" w:sz="4" w:space="0"/>
              <w:left w:val="single" w:color="000000" w:sz="4" w:space="0"/>
              <w:bottom w:val="single" w:color="000000" w:sz="4" w:space="0"/>
              <w:right w:val="single" w:color="000000" w:sz="4" w:space="0"/>
            </w:tcBorders>
            <w:vAlign w:val="center"/>
          </w:tcPr>
          <w:p w14:paraId="6A1902AB">
            <w:pPr>
              <w:widowControl/>
              <w:ind w:firstLine="440"/>
              <w:jc w:val="left"/>
              <w:textAlignment w:val="center"/>
              <w:rPr>
                <w:rFonts w:hint="eastAsia" w:cs="宋体"/>
                <w:sz w:val="22"/>
                <w:szCs w:val="22"/>
              </w:rPr>
            </w:pPr>
            <w:r>
              <w:rPr>
                <w:rFonts w:hint="eastAsia" w:cs="宋体"/>
                <w:kern w:val="0"/>
                <w:sz w:val="22"/>
                <w:szCs w:val="22"/>
                <w:lang w:bidi="ar"/>
              </w:rPr>
              <w:t>数据服务完成率</w:t>
            </w:r>
          </w:p>
        </w:tc>
        <w:tc>
          <w:tcPr>
            <w:tcW w:w="1836" w:type="dxa"/>
            <w:tcBorders>
              <w:top w:val="single" w:color="000000" w:sz="4" w:space="0"/>
              <w:left w:val="single" w:color="000000" w:sz="4" w:space="0"/>
              <w:bottom w:val="single" w:color="000000" w:sz="4" w:space="0"/>
              <w:right w:val="single" w:color="000000" w:sz="4" w:space="0"/>
            </w:tcBorders>
            <w:vAlign w:val="center"/>
          </w:tcPr>
          <w:p w14:paraId="5C883888">
            <w:pPr>
              <w:widowControl/>
              <w:ind w:firstLine="440"/>
              <w:jc w:val="left"/>
              <w:textAlignment w:val="center"/>
              <w:rPr>
                <w:rFonts w:hint="eastAsia" w:cs="宋体"/>
                <w:sz w:val="22"/>
                <w:szCs w:val="22"/>
              </w:rPr>
            </w:pPr>
            <w:r>
              <w:rPr>
                <w:rFonts w:hint="eastAsia" w:cs="宋体"/>
                <w:kern w:val="0"/>
                <w:sz w:val="22"/>
                <w:szCs w:val="22"/>
                <w:lang w:bidi="ar"/>
              </w:rPr>
              <w:t>100%</w:t>
            </w:r>
          </w:p>
        </w:tc>
      </w:tr>
      <w:tr w14:paraId="4500499E">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473325A">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325F8BED">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1687C5C9">
            <w:pPr>
              <w:ind w:firstLine="440"/>
              <w:jc w:val="left"/>
              <w:rPr>
                <w:rFonts w:hint="eastAsia" w:cs="宋体"/>
                <w:sz w:val="22"/>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71BB7CD1">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40B06519">
            <w:pPr>
              <w:widowControl/>
              <w:ind w:firstLine="440"/>
              <w:jc w:val="left"/>
              <w:textAlignment w:val="center"/>
              <w:rPr>
                <w:rFonts w:hint="eastAsia" w:cs="宋体"/>
                <w:sz w:val="22"/>
                <w:szCs w:val="22"/>
              </w:rPr>
            </w:pPr>
            <w:r>
              <w:rPr>
                <w:rFonts w:hint="eastAsia" w:cs="宋体"/>
                <w:kern w:val="0"/>
                <w:sz w:val="22"/>
                <w:szCs w:val="22"/>
                <w:lang w:bidi="ar"/>
              </w:rPr>
              <w:t>系统平均响应时间</w:t>
            </w:r>
          </w:p>
        </w:tc>
        <w:tc>
          <w:tcPr>
            <w:tcW w:w="1836" w:type="dxa"/>
            <w:tcBorders>
              <w:top w:val="single" w:color="000000" w:sz="4" w:space="0"/>
              <w:left w:val="single" w:color="000000" w:sz="4" w:space="0"/>
              <w:bottom w:val="single" w:color="000000" w:sz="4" w:space="0"/>
              <w:right w:val="single" w:color="000000" w:sz="4" w:space="0"/>
            </w:tcBorders>
            <w:vAlign w:val="center"/>
          </w:tcPr>
          <w:p w14:paraId="4A233DA2">
            <w:pPr>
              <w:widowControl/>
              <w:ind w:firstLine="440"/>
              <w:jc w:val="left"/>
              <w:textAlignment w:val="center"/>
              <w:rPr>
                <w:rFonts w:hint="eastAsia" w:cs="宋体"/>
                <w:sz w:val="22"/>
                <w:szCs w:val="22"/>
              </w:rPr>
            </w:pPr>
            <w:r>
              <w:rPr>
                <w:rFonts w:hint="eastAsia" w:cs="宋体"/>
                <w:kern w:val="0"/>
                <w:sz w:val="22"/>
                <w:szCs w:val="22"/>
                <w:lang w:bidi="ar"/>
              </w:rPr>
              <w:t>≤1秒</w:t>
            </w:r>
          </w:p>
        </w:tc>
      </w:tr>
      <w:tr w14:paraId="5CB0FEC8">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714FD1A">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3B3EABF5">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6E57A3DA">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3335D7D5">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33A5E71D">
            <w:pPr>
              <w:widowControl/>
              <w:ind w:firstLine="440"/>
              <w:jc w:val="left"/>
              <w:textAlignment w:val="center"/>
              <w:rPr>
                <w:rFonts w:hint="eastAsia" w:cs="宋体"/>
                <w:sz w:val="22"/>
                <w:szCs w:val="22"/>
              </w:rPr>
            </w:pPr>
            <w:r>
              <w:rPr>
                <w:rFonts w:hint="eastAsia" w:cs="宋体"/>
                <w:kern w:val="0"/>
                <w:sz w:val="22"/>
                <w:szCs w:val="22"/>
                <w:lang w:bidi="ar"/>
              </w:rPr>
              <w:t>业务数据保存时间</w:t>
            </w:r>
          </w:p>
        </w:tc>
        <w:tc>
          <w:tcPr>
            <w:tcW w:w="1836" w:type="dxa"/>
            <w:tcBorders>
              <w:top w:val="single" w:color="000000" w:sz="4" w:space="0"/>
              <w:left w:val="single" w:color="000000" w:sz="4" w:space="0"/>
              <w:bottom w:val="single" w:color="000000" w:sz="4" w:space="0"/>
              <w:right w:val="single" w:color="000000" w:sz="4" w:space="0"/>
            </w:tcBorders>
            <w:vAlign w:val="center"/>
          </w:tcPr>
          <w:p w14:paraId="7EA00A1D">
            <w:pPr>
              <w:widowControl/>
              <w:ind w:firstLine="440"/>
              <w:jc w:val="left"/>
              <w:textAlignment w:val="center"/>
              <w:rPr>
                <w:rFonts w:hint="eastAsia" w:cs="宋体"/>
                <w:sz w:val="22"/>
                <w:szCs w:val="22"/>
              </w:rPr>
            </w:pPr>
            <w:r>
              <w:rPr>
                <w:rFonts w:hint="eastAsia" w:cs="宋体"/>
                <w:kern w:val="0"/>
                <w:sz w:val="22"/>
                <w:szCs w:val="22"/>
                <w:lang w:bidi="ar"/>
              </w:rPr>
              <w:t>≥10年</w:t>
            </w:r>
          </w:p>
        </w:tc>
      </w:tr>
      <w:tr w14:paraId="05B84BEA">
        <w:tblPrEx>
          <w:tblCellMar>
            <w:top w:w="0" w:type="dxa"/>
            <w:left w:w="108" w:type="dxa"/>
            <w:bottom w:w="0" w:type="dxa"/>
            <w:right w:w="108" w:type="dxa"/>
          </w:tblCellMar>
        </w:tblPrEx>
        <w:trPr>
          <w:trHeight w:val="54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D2B2F6D">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CC72A3C">
            <w:pPr>
              <w:ind w:firstLine="440"/>
              <w:jc w:val="left"/>
              <w:rPr>
                <w:rFonts w:hint="eastAsia" w:cs="宋体"/>
                <w:sz w:val="22"/>
                <w:szCs w:val="22"/>
              </w:rPr>
            </w:pP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0FAC1E23">
            <w:pPr>
              <w:widowControl/>
              <w:ind w:firstLine="0" w:firstLineChars="0"/>
              <w:jc w:val="left"/>
              <w:textAlignment w:val="center"/>
              <w:rPr>
                <w:rFonts w:hint="eastAsia" w:cs="宋体"/>
                <w:sz w:val="22"/>
                <w:szCs w:val="22"/>
              </w:rPr>
            </w:pPr>
            <w:r>
              <w:rPr>
                <w:rFonts w:hint="eastAsia" w:cs="宋体"/>
                <w:kern w:val="0"/>
                <w:sz w:val="22"/>
                <w:szCs w:val="22"/>
                <w:lang w:bidi="ar"/>
              </w:rPr>
              <w:t>效益</w:t>
            </w:r>
            <w:r>
              <w:rPr>
                <w:rFonts w:hint="eastAsia" w:cs="宋体"/>
                <w:kern w:val="0"/>
                <w:sz w:val="22"/>
                <w:szCs w:val="22"/>
                <w:lang w:bidi="ar"/>
              </w:rPr>
              <w:br w:type="textWrapping"/>
            </w:r>
            <w:r>
              <w:rPr>
                <w:rFonts w:hint="eastAsia" w:cs="宋体"/>
                <w:kern w:val="0"/>
                <w:sz w:val="22"/>
                <w:szCs w:val="22"/>
                <w:lang w:bidi="ar"/>
              </w:rPr>
              <w:t>指标</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590CCC20">
            <w:pPr>
              <w:widowControl/>
              <w:ind w:firstLine="0" w:firstLineChars="0"/>
              <w:jc w:val="left"/>
              <w:textAlignment w:val="center"/>
              <w:rPr>
                <w:rFonts w:hint="eastAsia" w:cs="宋体"/>
                <w:sz w:val="22"/>
                <w:szCs w:val="22"/>
              </w:rPr>
            </w:pPr>
            <w:r>
              <w:rPr>
                <w:rFonts w:hint="eastAsia" w:cs="宋体"/>
                <w:kern w:val="0"/>
                <w:sz w:val="22"/>
                <w:szCs w:val="22"/>
                <w:lang w:bidi="ar"/>
              </w:rPr>
              <w:t>社会效益</w:t>
            </w:r>
          </w:p>
        </w:tc>
        <w:tc>
          <w:tcPr>
            <w:tcW w:w="3857" w:type="dxa"/>
            <w:tcBorders>
              <w:top w:val="single" w:color="000000" w:sz="4" w:space="0"/>
              <w:left w:val="single" w:color="000000" w:sz="4" w:space="0"/>
              <w:bottom w:val="single" w:color="000000" w:sz="4" w:space="0"/>
              <w:right w:val="single" w:color="000000" w:sz="4" w:space="0"/>
            </w:tcBorders>
            <w:vAlign w:val="center"/>
          </w:tcPr>
          <w:p w14:paraId="5AFFD64B">
            <w:pPr>
              <w:widowControl/>
              <w:ind w:firstLine="440"/>
              <w:jc w:val="left"/>
              <w:textAlignment w:val="center"/>
              <w:rPr>
                <w:rFonts w:hint="eastAsia" w:cs="宋体"/>
                <w:sz w:val="22"/>
                <w:szCs w:val="22"/>
              </w:rPr>
            </w:pPr>
            <w:r>
              <w:rPr>
                <w:rFonts w:hint="eastAsia" w:cs="宋体"/>
                <w:kern w:val="0"/>
                <w:sz w:val="22"/>
                <w:szCs w:val="22"/>
                <w:lang w:bidi="ar"/>
              </w:rPr>
              <w:t>问题数据可反馈、共享过程可</w:t>
            </w:r>
            <w:r>
              <w:rPr>
                <w:rFonts w:hint="eastAsia" w:cs="宋体"/>
                <w:kern w:val="0"/>
                <w:sz w:val="22"/>
                <w:szCs w:val="22"/>
                <w:lang w:bidi="ar"/>
              </w:rPr>
              <w:br w:type="textWrapping"/>
            </w:r>
            <w:r>
              <w:rPr>
                <w:rFonts w:hint="eastAsia" w:cs="宋体"/>
                <w:kern w:val="0"/>
                <w:sz w:val="22"/>
                <w:szCs w:val="22"/>
                <w:lang w:bidi="ar"/>
              </w:rPr>
              <w:t>追溯、数据质量问题可定责</w:t>
            </w:r>
          </w:p>
        </w:tc>
        <w:tc>
          <w:tcPr>
            <w:tcW w:w="1836" w:type="dxa"/>
            <w:tcBorders>
              <w:top w:val="single" w:color="000000" w:sz="4" w:space="0"/>
              <w:left w:val="single" w:color="000000" w:sz="4" w:space="0"/>
              <w:bottom w:val="single" w:color="000000" w:sz="4" w:space="0"/>
              <w:right w:val="single" w:color="000000" w:sz="4" w:space="0"/>
            </w:tcBorders>
            <w:vAlign w:val="center"/>
          </w:tcPr>
          <w:p w14:paraId="23CCDFF4">
            <w:pPr>
              <w:widowControl/>
              <w:ind w:firstLine="440"/>
              <w:jc w:val="left"/>
              <w:textAlignment w:val="center"/>
              <w:rPr>
                <w:rFonts w:hint="eastAsia" w:cs="宋体"/>
                <w:sz w:val="22"/>
                <w:szCs w:val="22"/>
              </w:rPr>
            </w:pPr>
            <w:r>
              <w:rPr>
                <w:rFonts w:hint="eastAsia" w:cs="宋体"/>
                <w:kern w:val="0"/>
                <w:sz w:val="22"/>
                <w:szCs w:val="22"/>
                <w:lang w:bidi="ar"/>
              </w:rPr>
              <w:t>实现</w:t>
            </w:r>
          </w:p>
        </w:tc>
      </w:tr>
      <w:tr w14:paraId="50EB7FF2">
        <w:tblPrEx>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A45134C">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1702026F">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43241C2A">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5B5947CE">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0B248DCB">
            <w:pPr>
              <w:widowControl/>
              <w:ind w:firstLine="440"/>
              <w:jc w:val="left"/>
              <w:textAlignment w:val="center"/>
              <w:rPr>
                <w:rFonts w:hint="eastAsia" w:cs="宋体"/>
                <w:sz w:val="22"/>
                <w:szCs w:val="22"/>
              </w:rPr>
            </w:pPr>
            <w:r>
              <w:rPr>
                <w:rFonts w:hint="eastAsia" w:cs="宋体"/>
                <w:kern w:val="0"/>
                <w:sz w:val="22"/>
                <w:szCs w:val="22"/>
                <w:lang w:bidi="ar"/>
              </w:rPr>
              <w:t>完成归集的数据种类数</w:t>
            </w:r>
          </w:p>
        </w:tc>
        <w:tc>
          <w:tcPr>
            <w:tcW w:w="1836" w:type="dxa"/>
            <w:tcBorders>
              <w:top w:val="single" w:color="000000" w:sz="4" w:space="0"/>
              <w:left w:val="single" w:color="000000" w:sz="4" w:space="0"/>
              <w:bottom w:val="single" w:color="000000" w:sz="4" w:space="0"/>
              <w:right w:val="single" w:color="000000" w:sz="4" w:space="0"/>
            </w:tcBorders>
            <w:vAlign w:val="center"/>
          </w:tcPr>
          <w:p w14:paraId="14606410">
            <w:pPr>
              <w:widowControl/>
              <w:ind w:firstLine="440"/>
              <w:jc w:val="left"/>
              <w:textAlignment w:val="center"/>
              <w:rPr>
                <w:rFonts w:hint="eastAsia" w:cs="宋体"/>
                <w:sz w:val="22"/>
                <w:szCs w:val="22"/>
              </w:rPr>
            </w:pPr>
            <w:r>
              <w:rPr>
                <w:rFonts w:hint="eastAsia" w:cs="宋体"/>
                <w:kern w:val="0"/>
                <w:sz w:val="22"/>
                <w:szCs w:val="22"/>
                <w:lang w:bidi="ar"/>
              </w:rPr>
              <w:t>≥500个</w:t>
            </w:r>
          </w:p>
        </w:tc>
      </w:tr>
      <w:tr w14:paraId="35C72B45">
        <w:tblPrEx>
          <w:tblCellMar>
            <w:top w:w="0" w:type="dxa"/>
            <w:left w:w="108" w:type="dxa"/>
            <w:bottom w:w="0" w:type="dxa"/>
            <w:right w:w="108" w:type="dxa"/>
          </w:tblCellMar>
        </w:tblPrEx>
        <w:trPr>
          <w:trHeight w:val="54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5984159">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6D0FFCC0">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196030B0">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1A3888D0">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05E541DF">
            <w:pPr>
              <w:widowControl/>
              <w:ind w:firstLine="440"/>
              <w:jc w:val="left"/>
              <w:textAlignment w:val="center"/>
              <w:rPr>
                <w:rFonts w:hint="eastAsia" w:cs="宋体"/>
                <w:sz w:val="22"/>
                <w:szCs w:val="22"/>
              </w:rPr>
            </w:pPr>
            <w:r>
              <w:rPr>
                <w:rFonts w:hint="eastAsia" w:cs="宋体"/>
                <w:kern w:val="0"/>
                <w:sz w:val="22"/>
                <w:szCs w:val="22"/>
                <w:lang w:bidi="ar"/>
              </w:rPr>
              <w:t>数据可视化分析功能用户日均</w:t>
            </w:r>
            <w:r>
              <w:rPr>
                <w:rFonts w:hint="eastAsia" w:cs="宋体"/>
                <w:kern w:val="0"/>
                <w:sz w:val="22"/>
                <w:szCs w:val="22"/>
                <w:lang w:bidi="ar"/>
              </w:rPr>
              <w:br w:type="textWrapping"/>
            </w:r>
            <w:r>
              <w:rPr>
                <w:rFonts w:hint="eastAsia" w:cs="宋体"/>
                <w:kern w:val="0"/>
                <w:sz w:val="22"/>
                <w:szCs w:val="22"/>
                <w:lang w:bidi="ar"/>
              </w:rPr>
              <w:t>使用次数</w:t>
            </w:r>
          </w:p>
        </w:tc>
        <w:tc>
          <w:tcPr>
            <w:tcW w:w="1836" w:type="dxa"/>
            <w:tcBorders>
              <w:top w:val="single" w:color="000000" w:sz="4" w:space="0"/>
              <w:left w:val="single" w:color="000000" w:sz="4" w:space="0"/>
              <w:bottom w:val="single" w:color="000000" w:sz="4" w:space="0"/>
              <w:right w:val="single" w:color="000000" w:sz="4" w:space="0"/>
            </w:tcBorders>
            <w:vAlign w:val="center"/>
          </w:tcPr>
          <w:p w14:paraId="471CC53A">
            <w:pPr>
              <w:widowControl/>
              <w:ind w:firstLine="0" w:firstLineChars="0"/>
              <w:jc w:val="left"/>
              <w:textAlignment w:val="center"/>
              <w:rPr>
                <w:rFonts w:hint="eastAsia" w:cs="宋体"/>
                <w:sz w:val="22"/>
                <w:szCs w:val="22"/>
              </w:rPr>
            </w:pPr>
            <w:r>
              <w:rPr>
                <w:rFonts w:hint="eastAsia" w:cs="宋体"/>
                <w:kern w:val="0"/>
                <w:sz w:val="22"/>
                <w:szCs w:val="22"/>
                <w:lang w:bidi="ar"/>
              </w:rPr>
              <w:t>≥3次／人．天</w:t>
            </w:r>
          </w:p>
        </w:tc>
      </w:tr>
      <w:tr w14:paraId="19625021">
        <w:tblPrEx>
          <w:tblCellMar>
            <w:top w:w="0" w:type="dxa"/>
            <w:left w:w="108" w:type="dxa"/>
            <w:bottom w:w="0" w:type="dxa"/>
            <w:right w:w="108" w:type="dxa"/>
          </w:tblCellMar>
        </w:tblPrEx>
        <w:trPr>
          <w:trHeight w:val="81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4D3D0CE">
            <w:pPr>
              <w:ind w:firstLine="440"/>
              <w:jc w:val="left"/>
              <w:rPr>
                <w:rFonts w:hint="eastAsia" w:cs="宋体"/>
                <w:sz w:val="22"/>
                <w:szCs w:val="22"/>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3CFE4767">
            <w:pPr>
              <w:ind w:firstLine="440"/>
              <w:jc w:val="left"/>
              <w:rPr>
                <w:rFonts w:hint="eastAsia" w:cs="宋体"/>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020608B9">
            <w:pPr>
              <w:ind w:firstLine="440"/>
              <w:jc w:val="left"/>
              <w:rPr>
                <w:rFonts w:hint="eastAsia" w:cs="宋体"/>
                <w:sz w:val="22"/>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3C894D91">
            <w:pPr>
              <w:ind w:firstLine="440"/>
              <w:jc w:val="left"/>
              <w:rPr>
                <w:rFonts w:hint="eastAsia" w:cs="宋体"/>
                <w:sz w:val="22"/>
                <w:szCs w:val="22"/>
              </w:rPr>
            </w:pPr>
          </w:p>
        </w:tc>
        <w:tc>
          <w:tcPr>
            <w:tcW w:w="3857" w:type="dxa"/>
            <w:tcBorders>
              <w:top w:val="single" w:color="000000" w:sz="4" w:space="0"/>
              <w:left w:val="single" w:color="000000" w:sz="4" w:space="0"/>
              <w:bottom w:val="single" w:color="000000" w:sz="4" w:space="0"/>
              <w:right w:val="single" w:color="000000" w:sz="4" w:space="0"/>
            </w:tcBorders>
            <w:vAlign w:val="center"/>
          </w:tcPr>
          <w:p w14:paraId="7A717B88">
            <w:pPr>
              <w:widowControl/>
              <w:ind w:firstLine="440"/>
              <w:jc w:val="left"/>
              <w:textAlignment w:val="center"/>
              <w:rPr>
                <w:rFonts w:hint="eastAsia" w:cs="宋体"/>
                <w:sz w:val="22"/>
                <w:szCs w:val="22"/>
              </w:rPr>
            </w:pPr>
            <w:r>
              <w:rPr>
                <w:rFonts w:hint="eastAsia" w:cs="宋体"/>
                <w:kern w:val="0"/>
                <w:sz w:val="22"/>
                <w:szCs w:val="22"/>
                <w:lang w:bidi="ar"/>
              </w:rPr>
              <w:t>统一门户、统一接入、统一用</w:t>
            </w:r>
            <w:r>
              <w:rPr>
                <w:rFonts w:hint="eastAsia" w:cs="宋体"/>
                <w:kern w:val="0"/>
                <w:sz w:val="22"/>
                <w:szCs w:val="22"/>
                <w:lang w:bidi="ar"/>
              </w:rPr>
              <w:br w:type="textWrapping"/>
            </w:r>
            <w:r>
              <w:rPr>
                <w:rFonts w:hint="eastAsia" w:cs="宋体"/>
                <w:kern w:val="0"/>
                <w:sz w:val="22"/>
                <w:szCs w:val="22"/>
                <w:lang w:bidi="ar"/>
              </w:rPr>
              <w:t>户、统一授权、统一资源管理、</w:t>
            </w:r>
            <w:r>
              <w:rPr>
                <w:rFonts w:hint="eastAsia" w:cs="宋体"/>
                <w:kern w:val="0"/>
                <w:sz w:val="22"/>
                <w:szCs w:val="22"/>
                <w:lang w:bidi="ar"/>
              </w:rPr>
              <w:br w:type="textWrapping"/>
            </w:r>
            <w:r>
              <w:rPr>
                <w:rFonts w:hint="eastAsia" w:cs="宋体"/>
                <w:kern w:val="0"/>
                <w:sz w:val="22"/>
                <w:szCs w:val="22"/>
                <w:lang w:bidi="ar"/>
              </w:rPr>
              <w:t>统一安全防护能力</w:t>
            </w:r>
          </w:p>
        </w:tc>
        <w:tc>
          <w:tcPr>
            <w:tcW w:w="1836" w:type="dxa"/>
            <w:tcBorders>
              <w:top w:val="single" w:color="000000" w:sz="4" w:space="0"/>
              <w:left w:val="single" w:color="000000" w:sz="4" w:space="0"/>
              <w:bottom w:val="single" w:color="000000" w:sz="4" w:space="0"/>
              <w:right w:val="single" w:color="000000" w:sz="4" w:space="0"/>
            </w:tcBorders>
            <w:vAlign w:val="center"/>
          </w:tcPr>
          <w:p w14:paraId="6E9D08AA">
            <w:pPr>
              <w:widowControl/>
              <w:ind w:firstLine="440"/>
              <w:jc w:val="left"/>
              <w:textAlignment w:val="center"/>
              <w:rPr>
                <w:rFonts w:hint="eastAsia" w:cs="宋体"/>
                <w:sz w:val="22"/>
                <w:szCs w:val="22"/>
              </w:rPr>
            </w:pPr>
            <w:r>
              <w:rPr>
                <w:rFonts w:hint="eastAsia" w:cs="宋体"/>
                <w:kern w:val="0"/>
                <w:sz w:val="22"/>
                <w:szCs w:val="22"/>
                <w:lang w:bidi="ar"/>
              </w:rPr>
              <w:t>实现</w:t>
            </w:r>
          </w:p>
        </w:tc>
      </w:tr>
    </w:tbl>
    <w:p w14:paraId="6BA8CAE4">
      <w:pPr>
        <w:rPr>
          <w:rFonts w:hint="eastAsia"/>
        </w:rPr>
      </w:pPr>
    </w:p>
    <w:p w14:paraId="457C82EA">
      <w:pPr>
        <w:pStyle w:val="2"/>
        <w:rPr>
          <w:rFonts w:hint="eastAsia"/>
        </w:rPr>
      </w:pPr>
      <w:bookmarkStart w:id="12" w:name="_Toc47532923"/>
      <w:bookmarkEnd w:id="12"/>
      <w:bookmarkStart w:id="13" w:name="_Toc47536304"/>
      <w:bookmarkEnd w:id="13"/>
      <w:bookmarkStart w:id="14" w:name="_Toc47536676"/>
      <w:bookmarkEnd w:id="14"/>
      <w:bookmarkStart w:id="15" w:name="_Toc47539102"/>
      <w:bookmarkEnd w:id="15"/>
      <w:bookmarkStart w:id="16" w:name="_Toc47533288"/>
      <w:bookmarkEnd w:id="16"/>
      <w:bookmarkStart w:id="17" w:name="_Toc47537166"/>
      <w:bookmarkEnd w:id="17"/>
      <w:r>
        <w:rPr>
          <w:rFonts w:hint="eastAsia"/>
        </w:rPr>
        <w:t>建设内容</w:t>
      </w:r>
    </w:p>
    <w:p w14:paraId="54B72F09">
      <w:pPr>
        <w:rPr>
          <w:rFonts w:hint="eastAsia" w:cs="宋体"/>
          <w:lang w:bidi="ar"/>
        </w:rPr>
      </w:pPr>
      <w:r>
        <w:rPr>
          <w:rFonts w:hint="eastAsia" w:cs="宋体"/>
          <w:lang w:bidi="ar"/>
        </w:rPr>
        <w:t>本次项目建设主要内容包括数据融合治理系统产品软件采购、数据融合应用软件开发、能力支撑软件开发和数据治理服务。</w:t>
      </w:r>
    </w:p>
    <w:p w14:paraId="129458EB">
      <w:pPr>
        <w:pStyle w:val="3"/>
        <w:ind w:left="0" w:firstLine="0" w:firstLineChars="0"/>
        <w:rPr>
          <w:rFonts w:hint="eastAsia"/>
          <w:sz w:val="24"/>
          <w:szCs w:val="24"/>
        </w:rPr>
      </w:pPr>
      <w:r>
        <w:rPr>
          <w:rFonts w:hint="eastAsia"/>
          <w:sz w:val="24"/>
          <w:szCs w:val="24"/>
        </w:rPr>
        <w:t>技术路线要求</w:t>
      </w:r>
    </w:p>
    <w:p w14:paraId="6023F162">
      <w:pPr>
        <w:numPr>
          <w:ilvl w:val="0"/>
          <w:numId w:val="3"/>
        </w:numPr>
        <w:ind w:firstLineChars="0"/>
        <w:rPr>
          <w:rFonts w:hint="eastAsia"/>
        </w:rPr>
      </w:pPr>
      <w:r>
        <w:t>本项目要求基于</w:t>
      </w:r>
      <w:r>
        <w:rPr>
          <w:rFonts w:hint="eastAsia"/>
        </w:rPr>
        <w:t>CK国产化</w:t>
      </w:r>
      <w:r>
        <w:t>环境进行建设，投标人需</w:t>
      </w:r>
      <w:r>
        <w:rPr>
          <w:rFonts w:hint="eastAsia"/>
        </w:rPr>
        <w:t>具有自主知识产权的国产化业务元数据管理类、国产化数据采集类、国产化微服务支撑管理类、国产化智能搜索类、国产化数据处理类、智能决策分析类、业务建模软件类、大数据平台类</w:t>
      </w:r>
      <w:r>
        <w:rPr>
          <w:rFonts w:hint="eastAsia" w:cs="宋体"/>
        </w:rPr>
        <w:t>软件的</w:t>
      </w:r>
      <w:r>
        <w:rPr>
          <w:rFonts w:hint="eastAsia"/>
        </w:rPr>
        <w:t>开发经验；需提供相关的证明材料。</w:t>
      </w:r>
    </w:p>
    <w:p w14:paraId="5DF0176A">
      <w:pPr>
        <w:numPr>
          <w:ilvl w:val="0"/>
          <w:numId w:val="3"/>
        </w:numPr>
        <w:ind w:firstLineChars="0"/>
        <w:rPr>
          <w:rFonts w:hint="eastAsia"/>
        </w:rPr>
      </w:pPr>
      <w:r>
        <w:rPr>
          <w:rFonts w:hint="eastAsia"/>
        </w:rPr>
        <w:t>数据分析软件建设标准：选择的数据分析挖掘软件符合TPC-D规范，建设过程采用数据分析挖掘软件建设过程专用的CLDS规范；</w:t>
      </w:r>
    </w:p>
    <w:p w14:paraId="5EBF1D0A">
      <w:pPr>
        <w:numPr>
          <w:ilvl w:val="0"/>
          <w:numId w:val="3"/>
        </w:numPr>
        <w:ind w:firstLineChars="0"/>
        <w:rPr>
          <w:rFonts w:hint="eastAsia"/>
        </w:rPr>
      </w:pPr>
      <w:r>
        <w:rPr>
          <w:rFonts w:hint="eastAsia"/>
        </w:rPr>
        <w:t>Web服务标准应采用UDDI、WSDL和SOAP；</w:t>
      </w:r>
    </w:p>
    <w:p w14:paraId="64C9F92C">
      <w:pPr>
        <w:numPr>
          <w:ilvl w:val="0"/>
          <w:numId w:val="3"/>
        </w:numPr>
        <w:ind w:firstLineChars="0"/>
        <w:rPr>
          <w:rFonts w:hint="eastAsia"/>
        </w:rPr>
      </w:pPr>
      <w:r>
        <w:rPr>
          <w:rFonts w:hint="eastAsia"/>
        </w:rPr>
        <w:t>XML技术标准应采用XML相关标准；</w:t>
      </w:r>
    </w:p>
    <w:p w14:paraId="33690672">
      <w:pPr>
        <w:numPr>
          <w:ilvl w:val="0"/>
          <w:numId w:val="3"/>
        </w:numPr>
        <w:ind w:firstLineChars="0"/>
        <w:rPr>
          <w:rFonts w:hint="eastAsia"/>
        </w:rPr>
      </w:pPr>
      <w:r>
        <w:rPr>
          <w:rFonts w:hint="eastAsia"/>
        </w:rPr>
        <w:t>在工作流平台中，应采用WFMC（工作流管理组织）的规范，实现流程定义与其他流程管理平台的接口。</w:t>
      </w:r>
    </w:p>
    <w:p w14:paraId="5F2907BF">
      <w:pPr>
        <w:pStyle w:val="3"/>
        <w:ind w:left="0" w:firstLine="0" w:firstLineChars="0"/>
        <w:rPr>
          <w:rFonts w:hint="eastAsia"/>
          <w:sz w:val="24"/>
          <w:szCs w:val="24"/>
        </w:rPr>
      </w:pPr>
      <w:r>
        <w:rPr>
          <w:rFonts w:hint="eastAsia"/>
          <w:sz w:val="24"/>
          <w:szCs w:val="24"/>
        </w:rPr>
        <w:t>部署环境要求</w:t>
      </w:r>
    </w:p>
    <w:p w14:paraId="441B1D67">
      <w:pPr>
        <w:rPr>
          <w:rFonts w:hint="eastAsia"/>
        </w:rPr>
      </w:pPr>
      <w:r>
        <w:rPr>
          <w:rFonts w:hint="eastAsia"/>
        </w:rPr>
        <w:t>本项目依托上海市电子政务云进行开发部署，投标人需提供相关资源的需求分析及依据。</w:t>
      </w:r>
    </w:p>
    <w:p w14:paraId="5F43CB49">
      <w:pPr>
        <w:pStyle w:val="3"/>
        <w:ind w:left="0" w:firstLine="0" w:firstLineChars="0"/>
        <w:rPr>
          <w:rFonts w:hint="eastAsia"/>
          <w:sz w:val="24"/>
          <w:szCs w:val="24"/>
        </w:rPr>
      </w:pPr>
      <w:r>
        <w:rPr>
          <w:rFonts w:hint="eastAsia"/>
          <w:sz w:val="24"/>
          <w:szCs w:val="24"/>
        </w:rPr>
        <w:t>系统性能要求</w:t>
      </w:r>
    </w:p>
    <w:p w14:paraId="46DAABAD">
      <w:pPr>
        <w:rPr>
          <w:rFonts w:hint="eastAsia"/>
        </w:rPr>
      </w:pPr>
      <w:r>
        <w:rPr>
          <w:rFonts w:hint="eastAsia"/>
        </w:rPr>
        <w:t>本项目系统性能需求如下：</w:t>
      </w:r>
    </w:p>
    <w:p w14:paraId="4DF8E4DD">
      <w:pPr>
        <w:numPr>
          <w:ilvl w:val="0"/>
          <w:numId w:val="4"/>
        </w:numPr>
        <w:ind w:firstLineChars="0"/>
        <w:rPr>
          <w:rFonts w:hint="eastAsia"/>
        </w:rPr>
      </w:pPr>
      <w:r>
        <w:rPr>
          <w:rFonts w:hint="eastAsia"/>
        </w:rPr>
        <w:t>同时在线用户数≥500；</w:t>
      </w:r>
    </w:p>
    <w:p w14:paraId="6070C408">
      <w:pPr>
        <w:numPr>
          <w:ilvl w:val="0"/>
          <w:numId w:val="4"/>
        </w:numPr>
        <w:ind w:firstLineChars="0"/>
        <w:jc w:val="left"/>
        <w:rPr>
          <w:rFonts w:hint="eastAsia"/>
        </w:rPr>
      </w:pPr>
      <w:r>
        <w:rPr>
          <w:rFonts w:hint="eastAsia"/>
        </w:rPr>
        <w:t>并发用户数≥250；</w:t>
      </w:r>
    </w:p>
    <w:p w14:paraId="611D4743">
      <w:pPr>
        <w:numPr>
          <w:ilvl w:val="0"/>
          <w:numId w:val="4"/>
        </w:numPr>
        <w:ind w:firstLineChars="0"/>
        <w:jc w:val="left"/>
        <w:rPr>
          <w:rFonts w:hint="eastAsia"/>
        </w:rPr>
      </w:pPr>
      <w:r>
        <w:rPr>
          <w:rFonts w:hint="eastAsia"/>
        </w:rPr>
        <w:t>系统登录时间≤</w:t>
      </w:r>
      <w:r>
        <w:t>5</w:t>
      </w:r>
      <w:r>
        <w:rPr>
          <w:rFonts w:hint="eastAsia"/>
        </w:rPr>
        <w:t>秒；</w:t>
      </w:r>
    </w:p>
    <w:p w14:paraId="3B43C5CF">
      <w:pPr>
        <w:numPr>
          <w:ilvl w:val="0"/>
          <w:numId w:val="4"/>
        </w:numPr>
        <w:ind w:firstLineChars="0"/>
        <w:jc w:val="left"/>
        <w:rPr>
          <w:rFonts w:hint="eastAsia"/>
        </w:rPr>
      </w:pPr>
      <w:r>
        <w:rPr>
          <w:rFonts w:hint="eastAsia"/>
        </w:rPr>
        <w:t>一般查询和写入操作响应时间（</w:t>
      </w:r>
      <w:r>
        <w:t>90%</w:t>
      </w:r>
      <w:r>
        <w:rPr>
          <w:rFonts w:hint="eastAsia"/>
        </w:rPr>
        <w:t>的操作页面）≤</w:t>
      </w:r>
      <w:r>
        <w:t>5</w:t>
      </w:r>
      <w:r>
        <w:rPr>
          <w:rFonts w:hint="eastAsia"/>
        </w:rPr>
        <w:t>秒；</w:t>
      </w:r>
    </w:p>
    <w:p w14:paraId="32086254">
      <w:pPr>
        <w:numPr>
          <w:ilvl w:val="0"/>
          <w:numId w:val="4"/>
        </w:numPr>
        <w:ind w:firstLineChars="0"/>
        <w:jc w:val="left"/>
        <w:rPr>
          <w:rFonts w:hint="eastAsia"/>
        </w:rPr>
      </w:pPr>
      <w:r>
        <w:rPr>
          <w:rFonts w:hint="eastAsia"/>
        </w:rPr>
        <w:t>搜索类操作响应时间≤</w:t>
      </w:r>
      <w:r>
        <w:t>10</w:t>
      </w:r>
      <w:r>
        <w:rPr>
          <w:rFonts w:hint="eastAsia"/>
        </w:rPr>
        <w:t>秒；</w:t>
      </w:r>
    </w:p>
    <w:p w14:paraId="06B0F8FA">
      <w:pPr>
        <w:numPr>
          <w:ilvl w:val="0"/>
          <w:numId w:val="4"/>
        </w:numPr>
        <w:ind w:firstLineChars="0"/>
        <w:jc w:val="left"/>
        <w:rPr>
          <w:rFonts w:hint="eastAsia"/>
        </w:rPr>
      </w:pPr>
      <w:r>
        <w:rPr>
          <w:rFonts w:hint="eastAsia"/>
        </w:rPr>
        <w:t>报表统计类操作响应时间≤</w:t>
      </w:r>
      <w:r>
        <w:t>15</w:t>
      </w:r>
      <w:r>
        <w:rPr>
          <w:rFonts w:hint="eastAsia"/>
        </w:rPr>
        <w:t>秒。</w:t>
      </w:r>
    </w:p>
    <w:p w14:paraId="4E4C34BC">
      <w:pPr>
        <w:pStyle w:val="3"/>
        <w:widowControl/>
        <w:ind w:firstLineChars="0"/>
        <w:rPr>
          <w:rFonts w:hint="eastAsia" w:cs="宋体"/>
          <w:sz w:val="24"/>
          <w:szCs w:val="24"/>
        </w:rPr>
      </w:pPr>
      <w:r>
        <w:rPr>
          <w:rFonts w:hint="eastAsia" w:cs="宋体"/>
          <w:sz w:val="24"/>
          <w:szCs w:val="24"/>
        </w:rPr>
        <w:t>功能建设要求</w:t>
      </w:r>
    </w:p>
    <w:p w14:paraId="5C8FE6B0">
      <w:pPr>
        <w:jc w:val="left"/>
        <w:rPr>
          <w:rFonts w:hint="eastAsia" w:cs="宋体"/>
          <w:lang w:bidi="ar"/>
        </w:rPr>
      </w:pPr>
      <w:r>
        <w:rPr>
          <w:rFonts w:hint="eastAsia" w:cs="宋体"/>
          <w:lang w:bidi="ar"/>
        </w:rPr>
        <w:t>本项目建设内容包括：数据融合治理系统产品软件、数据融合应用软件开发和能力支撑软件开发。</w:t>
      </w:r>
    </w:p>
    <w:p w14:paraId="1791D857">
      <w:pPr>
        <w:ind w:firstLine="0" w:firstLineChars="0"/>
        <w:jc w:val="left"/>
        <w:rPr>
          <w:rFonts w:hint="eastAsia"/>
        </w:rPr>
      </w:pPr>
      <w:r>
        <w:rPr>
          <w:rFonts w:hint="eastAsia"/>
        </w:rPr>
        <w:t>（1）</w:t>
      </w:r>
      <w:r>
        <w:rPr>
          <w:rFonts w:hint="eastAsia" w:cs="宋体"/>
          <w:lang w:bidi="ar"/>
        </w:rPr>
        <w:t>数据融合治理系统产品软件</w:t>
      </w:r>
      <w:r>
        <w:rPr>
          <w:rFonts w:hint="eastAsia"/>
        </w:rPr>
        <w:t>功能要求</w:t>
      </w:r>
    </w:p>
    <w:p w14:paraId="51253262">
      <w:pPr>
        <w:rPr>
          <w:rFonts w:hint="eastAsia"/>
        </w:rPr>
      </w:pPr>
      <w:r>
        <w:rPr>
          <w:rFonts w:hint="eastAsia" w:cs="宋体"/>
          <w:lang w:bidi="ar"/>
        </w:rPr>
        <w:t>数据融合治理系统产品软件</w:t>
      </w:r>
      <w:r>
        <w:rPr>
          <w:rFonts w:hint="eastAsia"/>
        </w:rPr>
        <w:t>应基于统一数据标准与元数据体系，实现加强化工区数据归集、融合治理、统一调度、数据管理、共享服务、供需管理的规范化、可视化、一体化管理等能力提升。</w:t>
      </w:r>
    </w:p>
    <w:tbl>
      <w:tblPr>
        <w:tblStyle w:val="35"/>
        <w:tblW w:w="4642"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19"/>
        <w:gridCol w:w="1518"/>
        <w:gridCol w:w="5003"/>
      </w:tblGrid>
      <w:tr w14:paraId="0E91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1" w:hRule="atLeast"/>
        </w:trPr>
        <w:tc>
          <w:tcPr>
            <w:tcW w:w="893"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1B0ABCF6">
            <w:pPr>
              <w:pStyle w:val="154"/>
              <w:jc w:val="center"/>
              <w:rPr>
                <w:rFonts w:hint="eastAsia" w:ascii="宋体" w:hAnsi="宋体" w:eastAsia="宋体" w:cs="宋体"/>
                <w:b/>
                <w:sz w:val="24"/>
                <w:szCs w:val="24"/>
              </w:rPr>
            </w:pPr>
            <w:r>
              <w:rPr>
                <w:rFonts w:hint="eastAsia" w:ascii="宋体" w:hAnsi="宋体" w:eastAsia="宋体" w:cs="宋体"/>
                <w:b/>
                <w:sz w:val="24"/>
                <w:szCs w:val="24"/>
              </w:rPr>
              <w:t>类别</w:t>
            </w:r>
          </w:p>
        </w:tc>
        <w:tc>
          <w:tcPr>
            <w:tcW w:w="955"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05FFD74D">
            <w:pPr>
              <w:pStyle w:val="154"/>
              <w:jc w:val="center"/>
              <w:rPr>
                <w:rFonts w:hint="eastAsia" w:ascii="宋体" w:hAnsi="宋体" w:eastAsia="宋体" w:cs="宋体"/>
                <w:b/>
                <w:sz w:val="24"/>
                <w:szCs w:val="24"/>
              </w:rPr>
            </w:pPr>
            <w:r>
              <w:rPr>
                <w:rFonts w:hint="eastAsia" w:ascii="宋体" w:hAnsi="宋体" w:eastAsia="宋体" w:cs="宋体"/>
                <w:b/>
                <w:sz w:val="24"/>
                <w:szCs w:val="24"/>
              </w:rPr>
              <w:t>功能名称</w:t>
            </w:r>
          </w:p>
        </w:tc>
        <w:tc>
          <w:tcPr>
            <w:tcW w:w="3148"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42F365B6">
            <w:pPr>
              <w:pStyle w:val="154"/>
              <w:jc w:val="center"/>
              <w:rPr>
                <w:rFonts w:hint="eastAsia" w:ascii="宋体" w:hAnsi="宋体" w:eastAsia="宋体" w:cs="宋体"/>
                <w:b/>
                <w:sz w:val="24"/>
                <w:szCs w:val="24"/>
              </w:rPr>
            </w:pPr>
            <w:r>
              <w:rPr>
                <w:rFonts w:hint="eastAsia" w:ascii="宋体" w:hAnsi="宋体" w:eastAsia="宋体" w:cs="宋体"/>
                <w:b/>
                <w:sz w:val="24"/>
                <w:szCs w:val="24"/>
              </w:rPr>
              <w:t>功能描述</w:t>
            </w:r>
          </w:p>
        </w:tc>
      </w:tr>
      <w:tr w14:paraId="1E8B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3" w:type="pct"/>
            <w:vMerge w:val="restart"/>
            <w:tcBorders>
              <w:top w:val="nil"/>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0AAE1CD1">
            <w:pPr>
              <w:pStyle w:val="154"/>
              <w:jc w:val="center"/>
              <w:rPr>
                <w:rFonts w:hint="eastAsia" w:ascii="宋体" w:hAnsi="宋体" w:eastAsia="宋体" w:cs="宋体"/>
                <w:sz w:val="24"/>
                <w:szCs w:val="24"/>
              </w:rPr>
            </w:pPr>
            <w:r>
              <w:rPr>
                <w:rFonts w:hint="eastAsia" w:ascii="宋体" w:hAnsi="宋体" w:eastAsia="宋体" w:cs="宋体"/>
                <w:kern w:val="2"/>
                <w:sz w:val="24"/>
                <w:szCs w:val="24"/>
                <w:lang w:bidi="ar"/>
              </w:rPr>
              <w:t>数据融合治理系统产品软件</w:t>
            </w:r>
            <w:r>
              <w:rPr>
                <w:rFonts w:hint="eastAsia"/>
              </w:rPr>
              <w:t>功能要求</w:t>
            </w:r>
          </w:p>
        </w:tc>
        <w:tc>
          <w:tcPr>
            <w:tcW w:w="955"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549441BC">
            <w:pPr>
              <w:pStyle w:val="154"/>
              <w:rPr>
                <w:rFonts w:hint="eastAsia" w:ascii="宋体" w:hAnsi="宋体" w:eastAsia="宋体" w:cs="宋体"/>
                <w:sz w:val="24"/>
                <w:szCs w:val="24"/>
              </w:rPr>
            </w:pPr>
            <w:r>
              <w:rPr>
                <w:rFonts w:hint="eastAsia" w:ascii="宋体" w:hAnsi="宋体" w:eastAsia="宋体" w:cs="宋体"/>
                <w:sz w:val="24"/>
                <w:szCs w:val="24"/>
              </w:rPr>
              <w:t>数据归集</w:t>
            </w:r>
          </w:p>
        </w:tc>
        <w:tc>
          <w:tcPr>
            <w:tcW w:w="3148"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56AAB1E5">
            <w:pPr>
              <w:pStyle w:val="154"/>
              <w:rPr>
                <w:rFonts w:hint="eastAsia" w:ascii="宋体" w:hAnsi="宋体" w:eastAsia="宋体" w:cs="宋体"/>
                <w:sz w:val="24"/>
                <w:szCs w:val="24"/>
              </w:rPr>
            </w:pPr>
            <w:r>
              <w:rPr>
                <w:rFonts w:hint="eastAsia" w:ascii="宋体" w:hAnsi="宋体" w:eastAsia="宋体" w:cs="宋体"/>
                <w:sz w:val="24"/>
                <w:szCs w:val="24"/>
              </w:rPr>
              <w:t>- 支持多类型数据源（组织机构、业务系统、关系型 / 分布式 / 图数据库、接口等）增删改查；- 覆盖库表批量 / 实时 / 异构数据入湖；</w:t>
            </w:r>
          </w:p>
          <w:p w14:paraId="6D778DE8">
            <w:pPr>
              <w:pStyle w:val="154"/>
              <w:rPr>
                <w:rFonts w:hint="eastAsia" w:ascii="宋体" w:hAnsi="宋体" w:eastAsia="宋体" w:cs="宋体"/>
                <w:sz w:val="24"/>
                <w:szCs w:val="24"/>
              </w:rPr>
            </w:pPr>
            <w:r>
              <w:rPr>
                <w:rFonts w:hint="eastAsia" w:ascii="宋体" w:hAnsi="宋体" w:eastAsia="宋体" w:cs="宋体"/>
                <w:sz w:val="24"/>
                <w:szCs w:val="24"/>
              </w:rPr>
              <w:t>- 具备数据源可靠性监控、库表 / 文件比对及核心指标统计分析能力。</w:t>
            </w:r>
          </w:p>
        </w:tc>
      </w:tr>
      <w:tr w14:paraId="139D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3" w:type="pct"/>
            <w:vMerge w:val="continue"/>
            <w:tcBorders>
              <w:top w:val="nil"/>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7A887B60">
            <w:pPr>
              <w:rPr>
                <w:rFonts w:hint="eastAsia" w:cs="宋体"/>
              </w:rPr>
            </w:pPr>
          </w:p>
        </w:tc>
        <w:tc>
          <w:tcPr>
            <w:tcW w:w="955"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60F20EB4">
            <w:pPr>
              <w:pStyle w:val="154"/>
              <w:rPr>
                <w:rFonts w:hint="eastAsia" w:ascii="宋体" w:hAnsi="宋体" w:eastAsia="宋体" w:cs="宋体"/>
                <w:sz w:val="24"/>
                <w:szCs w:val="24"/>
              </w:rPr>
            </w:pPr>
            <w:r>
              <w:rPr>
                <w:rFonts w:hint="eastAsia" w:ascii="宋体" w:hAnsi="宋体" w:eastAsia="宋体" w:cs="宋体"/>
                <w:sz w:val="24"/>
                <w:szCs w:val="24"/>
              </w:rPr>
              <w:t>融合治理</w:t>
            </w:r>
          </w:p>
        </w:tc>
        <w:tc>
          <w:tcPr>
            <w:tcW w:w="3148"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412B00E8">
            <w:pPr>
              <w:pStyle w:val="154"/>
              <w:rPr>
                <w:rFonts w:hint="eastAsia" w:ascii="宋体" w:hAnsi="宋体" w:eastAsia="宋体" w:cs="宋体"/>
                <w:sz w:val="24"/>
                <w:szCs w:val="24"/>
              </w:rPr>
            </w:pPr>
            <w:r>
              <w:rPr>
                <w:rFonts w:hint="eastAsia" w:ascii="宋体" w:hAnsi="宋体" w:eastAsia="宋体" w:cs="宋体"/>
                <w:sz w:val="24"/>
                <w:szCs w:val="24"/>
              </w:rPr>
              <w:t>- 构建湖仓体系（分层维护、模型设计）；</w:t>
            </w:r>
          </w:p>
          <w:p w14:paraId="29CEA53D">
            <w:pPr>
              <w:pStyle w:val="154"/>
              <w:rPr>
                <w:rFonts w:hint="eastAsia" w:ascii="宋体" w:hAnsi="宋体" w:eastAsia="宋体" w:cs="宋体"/>
                <w:sz w:val="24"/>
                <w:szCs w:val="24"/>
              </w:rPr>
            </w:pPr>
            <w:r>
              <w:rPr>
                <w:rFonts w:hint="eastAsia" w:ascii="宋体" w:hAnsi="宋体" w:eastAsia="宋体" w:cs="宋体"/>
                <w:sz w:val="24"/>
                <w:szCs w:val="24"/>
              </w:rPr>
              <w:t>- 管理数据标准（术语、代码、数据元等）；</w:t>
            </w:r>
          </w:p>
          <w:p w14:paraId="77A5F0A5">
            <w:pPr>
              <w:pStyle w:val="154"/>
              <w:rPr>
                <w:rFonts w:hint="eastAsia" w:ascii="宋体" w:hAnsi="宋体" w:eastAsia="宋体" w:cs="宋体"/>
                <w:sz w:val="24"/>
                <w:szCs w:val="24"/>
              </w:rPr>
            </w:pPr>
            <w:r>
              <w:rPr>
                <w:rFonts w:hint="eastAsia" w:ascii="宋体" w:hAnsi="宋体" w:eastAsia="宋体" w:cs="宋体"/>
                <w:sz w:val="24"/>
                <w:szCs w:val="24"/>
              </w:rPr>
              <w:t>- 管控元数据（采集、版本、血缘分析）；</w:t>
            </w:r>
          </w:p>
          <w:p w14:paraId="340DE1D4">
            <w:pPr>
              <w:pStyle w:val="154"/>
              <w:rPr>
                <w:rFonts w:hint="eastAsia" w:ascii="宋体" w:hAnsi="宋体" w:eastAsia="宋体" w:cs="宋体"/>
                <w:sz w:val="24"/>
                <w:szCs w:val="24"/>
              </w:rPr>
            </w:pPr>
            <w:r>
              <w:rPr>
                <w:rFonts w:hint="eastAsia" w:ascii="宋体" w:hAnsi="宋体" w:eastAsia="宋体" w:cs="宋体"/>
                <w:sz w:val="24"/>
                <w:szCs w:val="24"/>
              </w:rPr>
              <w:t>- 提供数据安全防护（分类分级、敏感数据识别）。</w:t>
            </w:r>
          </w:p>
        </w:tc>
      </w:tr>
      <w:tr w14:paraId="5E09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3" w:type="pct"/>
            <w:vMerge w:val="continue"/>
            <w:tcBorders>
              <w:top w:val="nil"/>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14B1CB10">
            <w:pPr>
              <w:rPr>
                <w:rFonts w:hint="eastAsia" w:cs="宋体"/>
              </w:rPr>
            </w:pPr>
          </w:p>
        </w:tc>
        <w:tc>
          <w:tcPr>
            <w:tcW w:w="955"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03C7EFD2">
            <w:pPr>
              <w:pStyle w:val="154"/>
              <w:rPr>
                <w:rFonts w:hint="eastAsia" w:ascii="宋体" w:hAnsi="宋体" w:eastAsia="宋体" w:cs="宋体"/>
                <w:sz w:val="24"/>
                <w:szCs w:val="24"/>
              </w:rPr>
            </w:pPr>
            <w:r>
              <w:rPr>
                <w:rFonts w:hint="eastAsia" w:ascii="宋体" w:hAnsi="宋体" w:eastAsia="宋体" w:cs="宋体"/>
                <w:sz w:val="24"/>
                <w:szCs w:val="24"/>
              </w:rPr>
              <w:t>统一调度</w:t>
            </w:r>
          </w:p>
        </w:tc>
        <w:tc>
          <w:tcPr>
            <w:tcW w:w="3148"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2847F7F3">
            <w:pPr>
              <w:pStyle w:val="154"/>
              <w:rPr>
                <w:rFonts w:hint="eastAsia" w:ascii="宋体" w:hAnsi="宋体" w:eastAsia="宋体" w:cs="宋体"/>
                <w:sz w:val="24"/>
                <w:szCs w:val="24"/>
              </w:rPr>
            </w:pPr>
            <w:r>
              <w:rPr>
                <w:rFonts w:hint="eastAsia" w:ascii="宋体" w:hAnsi="宋体" w:eastAsia="宋体" w:cs="宋体"/>
                <w:sz w:val="24"/>
                <w:szCs w:val="24"/>
              </w:rPr>
              <w:t>- 支持调度任务增删改查与定时设置，提供可视化流程设计；</w:t>
            </w:r>
          </w:p>
          <w:p w14:paraId="6BFFE2A4">
            <w:pPr>
              <w:pStyle w:val="154"/>
              <w:rPr>
                <w:rFonts w:hint="eastAsia" w:ascii="宋体" w:hAnsi="宋体" w:eastAsia="宋体" w:cs="宋体"/>
                <w:sz w:val="24"/>
                <w:szCs w:val="24"/>
              </w:rPr>
            </w:pPr>
            <w:r>
              <w:rPr>
                <w:rFonts w:hint="eastAsia" w:ascii="宋体" w:hAnsi="宋体" w:eastAsia="宋体" w:cs="宋体"/>
                <w:sz w:val="24"/>
                <w:szCs w:val="24"/>
              </w:rPr>
              <w:t>- 提供环节日志与详情查询，实时统计任务状态；</w:t>
            </w:r>
          </w:p>
          <w:p w14:paraId="52A6A4B7">
            <w:pPr>
              <w:pStyle w:val="154"/>
              <w:rPr>
                <w:rFonts w:hint="eastAsia" w:ascii="宋体" w:hAnsi="宋体" w:eastAsia="宋体" w:cs="宋体"/>
                <w:sz w:val="24"/>
                <w:szCs w:val="24"/>
              </w:rPr>
            </w:pPr>
            <w:r>
              <w:rPr>
                <w:rFonts w:hint="eastAsia" w:ascii="宋体" w:hAnsi="宋体" w:eastAsia="宋体" w:cs="宋体"/>
                <w:sz w:val="24"/>
                <w:szCs w:val="24"/>
              </w:rPr>
              <w:t>- 支持可配置告警（短信 / 邮件）及工作站动态管理。</w:t>
            </w:r>
          </w:p>
        </w:tc>
      </w:tr>
      <w:tr w14:paraId="2E83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3" w:type="pct"/>
            <w:vMerge w:val="continue"/>
            <w:tcBorders>
              <w:top w:val="nil"/>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39F559E0">
            <w:pPr>
              <w:rPr>
                <w:rFonts w:hint="eastAsia" w:cs="宋体"/>
              </w:rPr>
            </w:pPr>
          </w:p>
        </w:tc>
        <w:tc>
          <w:tcPr>
            <w:tcW w:w="955"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1485CBC2">
            <w:pPr>
              <w:pStyle w:val="154"/>
              <w:rPr>
                <w:rFonts w:hint="eastAsia" w:ascii="宋体" w:hAnsi="宋体" w:eastAsia="宋体" w:cs="宋体"/>
                <w:sz w:val="24"/>
                <w:szCs w:val="24"/>
              </w:rPr>
            </w:pPr>
            <w:r>
              <w:rPr>
                <w:rFonts w:hint="eastAsia" w:ascii="宋体" w:hAnsi="宋体" w:eastAsia="宋体" w:cs="宋体"/>
                <w:sz w:val="24"/>
                <w:szCs w:val="24"/>
              </w:rPr>
              <w:t>数据管理</w:t>
            </w:r>
          </w:p>
        </w:tc>
        <w:tc>
          <w:tcPr>
            <w:tcW w:w="3148"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6BE67BBC">
            <w:pPr>
              <w:pStyle w:val="154"/>
              <w:rPr>
                <w:rFonts w:hint="eastAsia" w:ascii="宋体" w:hAnsi="宋体" w:eastAsia="宋体" w:cs="宋体"/>
                <w:sz w:val="24"/>
                <w:szCs w:val="24"/>
              </w:rPr>
            </w:pPr>
            <w:r>
              <w:rPr>
                <w:rFonts w:hint="eastAsia" w:ascii="宋体" w:hAnsi="宋体" w:eastAsia="宋体" w:cs="宋体"/>
                <w:sz w:val="24"/>
                <w:szCs w:val="24"/>
              </w:rPr>
              <w:t>- 按业务域 / 标签存储湖仓资源池，管理资源生命周期；</w:t>
            </w:r>
          </w:p>
          <w:p w14:paraId="0425C639">
            <w:pPr>
              <w:pStyle w:val="154"/>
              <w:rPr>
                <w:rFonts w:hint="eastAsia" w:ascii="宋体" w:hAnsi="宋体" w:eastAsia="宋体" w:cs="宋体"/>
                <w:sz w:val="24"/>
                <w:szCs w:val="24"/>
              </w:rPr>
            </w:pPr>
            <w:r>
              <w:rPr>
                <w:rFonts w:hint="eastAsia" w:ascii="宋体" w:hAnsi="宋体" w:eastAsia="宋体" w:cs="宋体"/>
                <w:sz w:val="24"/>
                <w:szCs w:val="24"/>
              </w:rPr>
              <w:t>- 支持标签全流程（类目维护、加工、圈群构建）管理；</w:t>
            </w:r>
          </w:p>
          <w:p w14:paraId="383233FA">
            <w:pPr>
              <w:pStyle w:val="154"/>
              <w:rPr>
                <w:rFonts w:hint="eastAsia" w:ascii="宋体" w:hAnsi="宋体" w:eastAsia="宋体" w:cs="宋体"/>
                <w:sz w:val="24"/>
                <w:szCs w:val="24"/>
              </w:rPr>
            </w:pPr>
            <w:r>
              <w:rPr>
                <w:rFonts w:hint="eastAsia" w:ascii="宋体" w:hAnsi="宋体" w:eastAsia="宋体" w:cs="宋体"/>
                <w:sz w:val="24"/>
                <w:szCs w:val="24"/>
              </w:rPr>
              <w:t>- 提供数据探查、多方式智能检索；</w:t>
            </w:r>
          </w:p>
          <w:p w14:paraId="7900CB4B">
            <w:pPr>
              <w:pStyle w:val="154"/>
              <w:rPr>
                <w:rFonts w:hint="eastAsia" w:ascii="宋体" w:hAnsi="宋体" w:eastAsia="宋体" w:cs="宋体"/>
                <w:sz w:val="24"/>
                <w:szCs w:val="24"/>
              </w:rPr>
            </w:pPr>
            <w:r>
              <w:rPr>
                <w:rFonts w:hint="eastAsia" w:ascii="宋体" w:hAnsi="宋体" w:eastAsia="宋体" w:cs="宋体"/>
                <w:sz w:val="24"/>
                <w:szCs w:val="24"/>
              </w:rPr>
              <w:t>- 覆盖数据资产登记、权限管控、价值评估、质量检测及报表分析。</w:t>
            </w:r>
          </w:p>
        </w:tc>
      </w:tr>
      <w:tr w14:paraId="565A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3" w:type="pct"/>
            <w:vMerge w:val="continue"/>
            <w:tcBorders>
              <w:top w:val="nil"/>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176A65AF">
            <w:pPr>
              <w:rPr>
                <w:rFonts w:hint="eastAsia" w:cs="宋体"/>
              </w:rPr>
            </w:pPr>
          </w:p>
        </w:tc>
        <w:tc>
          <w:tcPr>
            <w:tcW w:w="955"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67CBA850">
            <w:pPr>
              <w:pStyle w:val="154"/>
              <w:rPr>
                <w:rFonts w:hint="eastAsia" w:ascii="宋体" w:hAnsi="宋体" w:eastAsia="宋体" w:cs="宋体"/>
                <w:sz w:val="24"/>
                <w:szCs w:val="24"/>
              </w:rPr>
            </w:pPr>
            <w:r>
              <w:rPr>
                <w:rFonts w:hint="eastAsia" w:ascii="宋体" w:hAnsi="宋体" w:eastAsia="宋体" w:cs="宋体"/>
                <w:sz w:val="24"/>
                <w:szCs w:val="24"/>
              </w:rPr>
              <w:t>共享服务</w:t>
            </w:r>
          </w:p>
        </w:tc>
        <w:tc>
          <w:tcPr>
            <w:tcW w:w="3148"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0B04F8AE">
            <w:pPr>
              <w:pStyle w:val="154"/>
              <w:rPr>
                <w:rFonts w:hint="eastAsia" w:ascii="宋体" w:hAnsi="宋体" w:eastAsia="宋体" w:cs="宋体"/>
                <w:sz w:val="24"/>
                <w:szCs w:val="24"/>
              </w:rPr>
            </w:pPr>
            <w:r>
              <w:rPr>
                <w:rFonts w:hint="eastAsia" w:ascii="宋体" w:hAnsi="宋体" w:eastAsia="宋体" w:cs="宋体"/>
                <w:sz w:val="24"/>
                <w:szCs w:val="24"/>
              </w:rPr>
              <w:t>- 支持多类型数据服务封装（身份鉴定、权限控制、日志监控）；</w:t>
            </w:r>
          </w:p>
          <w:p w14:paraId="58C4E91A">
            <w:pPr>
              <w:pStyle w:val="154"/>
              <w:rPr>
                <w:rFonts w:hint="eastAsia" w:ascii="宋体" w:hAnsi="宋体" w:eastAsia="宋体" w:cs="宋体"/>
                <w:sz w:val="24"/>
                <w:szCs w:val="24"/>
              </w:rPr>
            </w:pPr>
            <w:r>
              <w:rPr>
                <w:rFonts w:hint="eastAsia" w:ascii="宋体" w:hAnsi="宋体" w:eastAsia="宋体" w:cs="宋体"/>
                <w:sz w:val="24"/>
                <w:szCs w:val="24"/>
              </w:rPr>
              <w:t>- 提供资源目录全生命周期管理、共享交换任务配置与订阅；</w:t>
            </w:r>
          </w:p>
          <w:p w14:paraId="152F65A3">
            <w:pPr>
              <w:pStyle w:val="154"/>
              <w:rPr>
                <w:rFonts w:hint="eastAsia" w:ascii="宋体" w:hAnsi="宋体" w:eastAsia="宋体" w:cs="宋体"/>
                <w:sz w:val="24"/>
                <w:szCs w:val="24"/>
              </w:rPr>
            </w:pPr>
            <w:r>
              <w:rPr>
                <w:rFonts w:hint="eastAsia" w:ascii="宋体" w:hAnsi="宋体" w:eastAsia="宋体" w:cs="宋体"/>
                <w:sz w:val="24"/>
                <w:szCs w:val="24"/>
              </w:rPr>
              <w:t>- 包含共享门户（首页展示、统计分析、互动）及后台内容管理功能。</w:t>
            </w:r>
          </w:p>
        </w:tc>
      </w:tr>
      <w:tr w14:paraId="59FE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3" w:type="pct"/>
            <w:vMerge w:val="continue"/>
            <w:tcBorders>
              <w:top w:val="nil"/>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757EA138">
            <w:pPr>
              <w:rPr>
                <w:rFonts w:hint="eastAsia" w:cs="宋体"/>
              </w:rPr>
            </w:pPr>
          </w:p>
        </w:tc>
        <w:tc>
          <w:tcPr>
            <w:tcW w:w="955"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15FBDCAE">
            <w:pPr>
              <w:pStyle w:val="154"/>
              <w:rPr>
                <w:rFonts w:hint="eastAsia" w:ascii="宋体" w:hAnsi="宋体" w:eastAsia="宋体" w:cs="宋体"/>
                <w:sz w:val="24"/>
                <w:szCs w:val="24"/>
              </w:rPr>
            </w:pPr>
            <w:r>
              <w:rPr>
                <w:rFonts w:hint="eastAsia" w:ascii="宋体" w:hAnsi="宋体" w:eastAsia="宋体" w:cs="宋体"/>
                <w:sz w:val="24"/>
                <w:szCs w:val="24"/>
              </w:rPr>
              <w:t>供需管理</w:t>
            </w:r>
          </w:p>
        </w:tc>
        <w:tc>
          <w:tcPr>
            <w:tcW w:w="3148" w:type="pc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tcPr>
          <w:p w14:paraId="7A4DB216">
            <w:pPr>
              <w:pStyle w:val="154"/>
              <w:rPr>
                <w:rFonts w:hint="eastAsia" w:ascii="宋体" w:hAnsi="宋体" w:eastAsia="宋体" w:cs="宋体"/>
                <w:sz w:val="24"/>
                <w:szCs w:val="24"/>
              </w:rPr>
            </w:pPr>
            <w:r>
              <w:rPr>
                <w:rFonts w:hint="eastAsia" w:ascii="宋体" w:hAnsi="宋体" w:eastAsia="宋体" w:cs="宋体"/>
                <w:sz w:val="24"/>
                <w:szCs w:val="24"/>
              </w:rPr>
              <w:t>- 提供首页消息提醒功能；</w:t>
            </w:r>
          </w:p>
          <w:p w14:paraId="11B5DCA6">
            <w:pPr>
              <w:pStyle w:val="154"/>
              <w:rPr>
                <w:rFonts w:hint="eastAsia" w:ascii="宋体" w:hAnsi="宋体" w:eastAsia="宋体" w:cs="宋体"/>
                <w:sz w:val="24"/>
                <w:szCs w:val="24"/>
              </w:rPr>
            </w:pPr>
            <w:r>
              <w:rPr>
                <w:rFonts w:hint="eastAsia" w:ascii="宋体" w:hAnsi="宋体" w:eastAsia="宋体" w:cs="宋体"/>
                <w:sz w:val="24"/>
                <w:szCs w:val="24"/>
              </w:rPr>
              <w:t>- 支持需求单分级管理，覆盖数据产生 / 汇聚 / 治理 / 发布 / 交付全流程；</w:t>
            </w:r>
          </w:p>
          <w:p w14:paraId="08DE7A17">
            <w:pPr>
              <w:pStyle w:val="154"/>
              <w:rPr>
                <w:rFonts w:hint="eastAsia" w:ascii="宋体" w:hAnsi="宋体" w:eastAsia="宋体" w:cs="宋体"/>
                <w:sz w:val="24"/>
                <w:szCs w:val="24"/>
              </w:rPr>
            </w:pPr>
            <w:r>
              <w:rPr>
                <w:rFonts w:hint="eastAsia" w:ascii="宋体" w:hAnsi="宋体" w:eastAsia="宋体" w:cs="宋体"/>
                <w:sz w:val="24"/>
                <w:szCs w:val="24"/>
              </w:rPr>
              <w:t>- 包含配置管理（关系表维护）、流程时长监控（规则配置、超期日志）、多维度统计分析及系统管理功能。</w:t>
            </w:r>
          </w:p>
        </w:tc>
      </w:tr>
    </w:tbl>
    <w:p w14:paraId="122E1938">
      <w:pPr>
        <w:ind w:firstLine="0" w:firstLineChars="0"/>
        <w:rPr>
          <w:rFonts w:hint="eastAsia"/>
        </w:rPr>
      </w:pPr>
    </w:p>
    <w:p w14:paraId="0D8A2B19">
      <w:pPr>
        <w:ind w:firstLine="0" w:firstLineChars="0"/>
        <w:rPr>
          <w:rFonts w:hint="eastAsia"/>
        </w:rPr>
      </w:pPr>
      <w:r>
        <w:rPr>
          <w:rFonts w:hint="eastAsia"/>
        </w:rPr>
        <w:t>（2）数据融合应用软件开发功能要求</w:t>
      </w:r>
    </w:p>
    <w:p w14:paraId="08A428F0">
      <w:pPr>
        <w:rPr>
          <w:rFonts w:hint="eastAsia" w:cs="宋体"/>
        </w:rPr>
      </w:pPr>
      <w:r>
        <w:rPr>
          <w:rFonts w:hint="eastAsia" w:cs="宋体"/>
          <w:lang w:bidi="ar"/>
        </w:rPr>
        <w:t>在数据融合治理系统产品软件功能的基础上，针对链路监控、元数据稽核、数据安全管理、数据处理自动化、知识图谱构建、资产合规管理、异议数据合适、数据质量管理、数据可视化分析、数据对接等方面的个性化需求进行定制开发。</w:t>
      </w:r>
    </w:p>
    <w:tbl>
      <w:tblPr>
        <w:tblStyle w:val="35"/>
        <w:tblW w:w="0" w:type="auto"/>
        <w:tblInd w:w="98" w:type="dxa"/>
        <w:tblLayout w:type="autofit"/>
        <w:tblCellMar>
          <w:top w:w="0" w:type="dxa"/>
          <w:left w:w="108" w:type="dxa"/>
          <w:bottom w:w="0" w:type="dxa"/>
          <w:right w:w="108" w:type="dxa"/>
        </w:tblCellMar>
      </w:tblPr>
      <w:tblGrid>
        <w:gridCol w:w="1310"/>
        <w:gridCol w:w="1530"/>
        <w:gridCol w:w="5170"/>
      </w:tblGrid>
      <w:tr w14:paraId="26BDA893">
        <w:tblPrEx>
          <w:tblCellMar>
            <w:top w:w="0" w:type="dxa"/>
            <w:left w:w="108" w:type="dxa"/>
            <w:bottom w:w="0" w:type="dxa"/>
            <w:right w:w="108" w:type="dxa"/>
          </w:tblCellMar>
        </w:tblPrEx>
        <w:trPr>
          <w:trHeight w:val="29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34446">
            <w:pPr>
              <w:widowControl/>
              <w:spacing w:line="288" w:lineRule="auto"/>
              <w:ind w:firstLine="0" w:firstLineChars="0"/>
              <w:jc w:val="center"/>
              <w:textAlignment w:val="center"/>
              <w:rPr>
                <w:rFonts w:hint="eastAsia" w:cs="宋体"/>
                <w:b/>
                <w:bCs/>
              </w:rPr>
            </w:pPr>
            <w:r>
              <w:rPr>
                <w:rFonts w:hint="eastAsia" w:cs="宋体"/>
                <w:b/>
                <w:bCs/>
                <w:kern w:val="0"/>
                <w:lang w:bidi="ar"/>
              </w:rPr>
              <w:t>类别</w:t>
            </w: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0A1EF70B">
            <w:pPr>
              <w:widowControl/>
              <w:spacing w:line="288" w:lineRule="auto"/>
              <w:ind w:firstLine="0" w:firstLineChars="0"/>
              <w:jc w:val="center"/>
              <w:textAlignment w:val="center"/>
              <w:rPr>
                <w:rFonts w:hint="eastAsia" w:cs="宋体"/>
                <w:b/>
                <w:bCs/>
              </w:rPr>
            </w:pPr>
            <w:r>
              <w:rPr>
                <w:rFonts w:hint="eastAsia" w:cs="宋体"/>
                <w:b/>
                <w:bCs/>
                <w:kern w:val="0"/>
                <w:lang w:bidi="ar"/>
              </w:rPr>
              <w:t>功能模块</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60F80AA8">
            <w:pPr>
              <w:widowControl/>
              <w:spacing w:line="288" w:lineRule="auto"/>
              <w:ind w:firstLine="0" w:firstLineChars="0"/>
              <w:jc w:val="center"/>
              <w:textAlignment w:val="center"/>
              <w:rPr>
                <w:rFonts w:hint="eastAsia" w:cs="宋体"/>
                <w:b/>
                <w:bCs/>
              </w:rPr>
            </w:pPr>
            <w:r>
              <w:rPr>
                <w:rFonts w:hint="eastAsia" w:cs="宋体"/>
                <w:b/>
                <w:bCs/>
                <w:kern w:val="0"/>
                <w:lang w:bidi="ar"/>
              </w:rPr>
              <w:t>核心建设内容</w:t>
            </w:r>
          </w:p>
        </w:tc>
      </w:tr>
      <w:tr w14:paraId="1115B569">
        <w:tblPrEx>
          <w:tblCellMar>
            <w:top w:w="0" w:type="dxa"/>
            <w:left w:w="108" w:type="dxa"/>
            <w:bottom w:w="0" w:type="dxa"/>
            <w:right w:w="108" w:type="dxa"/>
          </w:tblCellMar>
        </w:tblPrEx>
        <w:trPr>
          <w:trHeight w:val="1160" w:hRule="atLeast"/>
        </w:trPr>
        <w:tc>
          <w:tcPr>
            <w:tcW w:w="1310" w:type="dxa"/>
            <w:vMerge w:val="restart"/>
            <w:tcBorders>
              <w:top w:val="nil"/>
              <w:left w:val="single" w:color="000000" w:sz="4" w:space="0"/>
              <w:bottom w:val="single" w:color="000000" w:sz="4" w:space="0"/>
              <w:right w:val="single" w:color="000000" w:sz="4" w:space="0"/>
            </w:tcBorders>
            <w:shd w:val="clear" w:color="auto" w:fill="FFFFFF"/>
            <w:vAlign w:val="center"/>
          </w:tcPr>
          <w:p w14:paraId="54F8C533">
            <w:pPr>
              <w:widowControl/>
              <w:spacing w:line="288" w:lineRule="auto"/>
              <w:ind w:firstLine="0" w:firstLineChars="0"/>
              <w:textAlignment w:val="center"/>
              <w:rPr>
                <w:rFonts w:hint="eastAsia" w:cs="宋体"/>
              </w:rPr>
            </w:pPr>
            <w:r>
              <w:rPr>
                <w:rFonts w:hint="eastAsia" w:cs="宋体"/>
                <w:bCs/>
              </w:rPr>
              <w:t>数据融合应用软件开发功能要求</w:t>
            </w: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66B21F66">
            <w:pPr>
              <w:widowControl/>
              <w:spacing w:line="288" w:lineRule="auto"/>
              <w:ind w:firstLine="0" w:firstLineChars="0"/>
              <w:jc w:val="left"/>
              <w:textAlignment w:val="center"/>
              <w:rPr>
                <w:rFonts w:hint="eastAsia" w:cs="宋体"/>
              </w:rPr>
            </w:pPr>
            <w:r>
              <w:rPr>
                <w:rFonts w:hint="eastAsia" w:cs="宋体"/>
                <w:kern w:val="0"/>
                <w:lang w:bidi="ar"/>
              </w:rPr>
              <w:t>化工区多源数据归集链路监控</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5A6B7F25">
            <w:pPr>
              <w:widowControl/>
              <w:spacing w:line="288" w:lineRule="auto"/>
              <w:jc w:val="left"/>
              <w:textAlignment w:val="center"/>
              <w:rPr>
                <w:rFonts w:hint="eastAsia" w:cs="宋体"/>
                <w:kern w:val="0"/>
              </w:rPr>
            </w:pPr>
            <w:r>
              <w:rPr>
                <w:rFonts w:hint="eastAsia" w:cs="宋体"/>
                <w:lang w:bidi="ar"/>
              </w:rPr>
              <w:t xml:space="preserve">- </w:t>
            </w:r>
            <w:r>
              <w:rPr>
                <w:rFonts w:hint="eastAsia" w:cs="宋体"/>
                <w:kern w:val="0"/>
                <w:lang w:bidi="ar"/>
              </w:rPr>
              <w:t>在数据归集模块基础上，定制开发全链路监控功能；</w:t>
            </w:r>
          </w:p>
          <w:p w14:paraId="68F98847">
            <w:pPr>
              <w:widowControl/>
              <w:spacing w:line="288" w:lineRule="auto"/>
              <w:jc w:val="left"/>
              <w:textAlignment w:val="center"/>
              <w:rPr>
                <w:rFonts w:hint="eastAsia" w:cs="宋体"/>
              </w:rPr>
            </w:pPr>
            <w:r>
              <w:rPr>
                <w:rFonts w:hint="eastAsia" w:cs="宋体"/>
                <w:lang w:bidi="ar"/>
              </w:rPr>
              <w:t>- 针对化工区企业填报、在线监测设备、外部门接入等多源数据归集过程中可能存在的链路中断、数据不一致、异常难追踪等问题，通过全链路监控确保关键数据的完整性与时效性，支撑风险研判与决策。</w:t>
            </w:r>
          </w:p>
          <w:p w14:paraId="47EE03D4">
            <w:pPr>
              <w:widowControl/>
              <w:spacing w:line="288" w:lineRule="auto"/>
              <w:ind w:firstLine="0" w:firstLineChars="0"/>
              <w:jc w:val="left"/>
              <w:textAlignment w:val="center"/>
              <w:rPr>
                <w:rFonts w:hint="eastAsia" w:cs="宋体"/>
                <w:kern w:val="0"/>
              </w:rPr>
            </w:pPr>
          </w:p>
        </w:tc>
      </w:tr>
      <w:tr w14:paraId="23769350">
        <w:tblPrEx>
          <w:tblCellMar>
            <w:top w:w="0" w:type="dxa"/>
            <w:left w:w="108" w:type="dxa"/>
            <w:bottom w:w="0" w:type="dxa"/>
            <w:right w:w="108" w:type="dxa"/>
          </w:tblCellMar>
        </w:tblPrEx>
        <w:trPr>
          <w:trHeight w:val="116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08DD2503">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26E1897B">
            <w:pPr>
              <w:widowControl/>
              <w:spacing w:line="288" w:lineRule="auto"/>
              <w:ind w:firstLine="0" w:firstLineChars="0"/>
              <w:jc w:val="left"/>
              <w:textAlignment w:val="center"/>
              <w:rPr>
                <w:rFonts w:hint="eastAsia" w:cs="宋体"/>
              </w:rPr>
            </w:pPr>
            <w:r>
              <w:rPr>
                <w:rFonts w:hint="eastAsia" w:cs="宋体"/>
                <w:kern w:val="0"/>
                <w:lang w:bidi="ar"/>
              </w:rPr>
              <w:t>化工区业务元数据稽核</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3563FFA9">
            <w:pPr>
              <w:widowControl/>
              <w:spacing w:line="288" w:lineRule="auto"/>
              <w:ind w:firstLine="0" w:firstLineChars="0"/>
              <w:jc w:val="left"/>
              <w:textAlignment w:val="center"/>
              <w:rPr>
                <w:rFonts w:hint="eastAsia" w:cs="宋体"/>
                <w:kern w:val="0"/>
              </w:rPr>
            </w:pPr>
            <w:r>
              <w:rPr>
                <w:rFonts w:hint="eastAsia" w:cs="宋体"/>
                <w:lang w:bidi="ar"/>
              </w:rPr>
              <w:t xml:space="preserve">- </w:t>
            </w:r>
            <w:r>
              <w:rPr>
                <w:rFonts w:hint="eastAsia" w:cs="宋体"/>
                <w:kern w:val="0"/>
                <w:lang w:bidi="ar"/>
              </w:rPr>
              <w:t>在数据融合平台（成品软件）中融合治理（元数据管理）模块的基础上，定制开发“化工区业务元数据稽核”功能；</w:t>
            </w:r>
          </w:p>
          <w:p w14:paraId="5853D747">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解决化工区数据来源分散、标准不一导致的元数据不完整、不一致问题，通过自动化稽核确保关键业务数据的准确性，如企业安全档案、危化品信息，为风险研判与决策提供可靠数据基础。</w:t>
            </w:r>
          </w:p>
        </w:tc>
      </w:tr>
      <w:tr w14:paraId="15FDACA0">
        <w:tblPrEx>
          <w:tblCellMar>
            <w:top w:w="0" w:type="dxa"/>
            <w:left w:w="108" w:type="dxa"/>
            <w:bottom w:w="0" w:type="dxa"/>
            <w:right w:w="108" w:type="dxa"/>
          </w:tblCellMar>
        </w:tblPrEx>
        <w:trPr>
          <w:trHeight w:val="87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16FE39B5">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31F89FD5">
            <w:pPr>
              <w:widowControl/>
              <w:spacing w:line="288" w:lineRule="auto"/>
              <w:ind w:firstLine="0" w:firstLineChars="0"/>
              <w:jc w:val="left"/>
              <w:textAlignment w:val="center"/>
              <w:rPr>
                <w:rFonts w:hint="eastAsia" w:cs="宋体"/>
              </w:rPr>
            </w:pPr>
            <w:r>
              <w:rPr>
                <w:rFonts w:hint="eastAsia" w:cs="宋体"/>
                <w:kern w:val="0"/>
                <w:lang w:bidi="ar"/>
              </w:rPr>
              <w:t>化工区高频元数据变更订阅</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2A18885F">
            <w:pPr>
              <w:widowControl/>
              <w:spacing w:line="288" w:lineRule="auto"/>
              <w:ind w:firstLine="0" w:firstLineChars="0"/>
              <w:jc w:val="left"/>
              <w:textAlignment w:val="center"/>
              <w:rPr>
                <w:rFonts w:hint="eastAsia" w:cs="宋体"/>
                <w:kern w:val="0"/>
              </w:rPr>
            </w:pPr>
            <w:r>
              <w:rPr>
                <w:rFonts w:hint="eastAsia" w:cs="宋体"/>
                <w:lang w:bidi="ar"/>
              </w:rPr>
              <w:t xml:space="preserve">- </w:t>
            </w:r>
            <w:r>
              <w:rPr>
                <w:rFonts w:hint="eastAsia" w:cs="宋体"/>
                <w:kern w:val="0"/>
                <w:lang w:bidi="ar"/>
              </w:rPr>
              <w:t>在数据融合平台（成品软件）中融合治理（元数据管理）模块的基础上，定制开发“化工区高频元数据变更订阅”功能；</w:t>
            </w:r>
          </w:p>
          <w:p w14:paraId="0A345DC3">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解决化工区数据可能存在的变更频繁、通知滞后问题，如企业安全许可更新、危化品存储量调整，通过订阅机制实现关键元数据变更的即时感知，确保跨部门协同信息同步。</w:t>
            </w:r>
          </w:p>
        </w:tc>
      </w:tr>
      <w:tr w14:paraId="0A1BFBD9">
        <w:tblPrEx>
          <w:tblCellMar>
            <w:top w:w="0" w:type="dxa"/>
            <w:left w:w="108" w:type="dxa"/>
            <w:bottom w:w="0" w:type="dxa"/>
            <w:right w:w="108" w:type="dxa"/>
          </w:tblCellMar>
        </w:tblPrEx>
        <w:trPr>
          <w:trHeight w:val="87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3FD4451A">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4D6BBB27">
            <w:pPr>
              <w:widowControl/>
              <w:spacing w:line="288" w:lineRule="auto"/>
              <w:ind w:firstLine="0" w:firstLineChars="0"/>
              <w:jc w:val="left"/>
              <w:textAlignment w:val="center"/>
              <w:rPr>
                <w:rFonts w:hint="eastAsia" w:cs="宋体"/>
              </w:rPr>
            </w:pPr>
            <w:r>
              <w:rPr>
                <w:rFonts w:hint="eastAsia" w:cs="宋体"/>
                <w:kern w:val="0"/>
                <w:lang w:bidi="ar"/>
              </w:rPr>
              <w:t>化工区敏感数据安全规则库</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38F7B6A9">
            <w:pPr>
              <w:widowControl/>
              <w:spacing w:line="288" w:lineRule="auto"/>
              <w:ind w:firstLine="0" w:firstLineChars="0"/>
              <w:jc w:val="left"/>
              <w:textAlignment w:val="center"/>
              <w:rPr>
                <w:rFonts w:hint="eastAsia" w:cs="宋体"/>
                <w:kern w:val="0"/>
              </w:rPr>
            </w:pPr>
            <w:r>
              <w:rPr>
                <w:rFonts w:hint="eastAsia" w:cs="宋体"/>
                <w:lang w:bidi="ar"/>
              </w:rPr>
              <w:t xml:space="preserve">- </w:t>
            </w:r>
            <w:r>
              <w:rPr>
                <w:rFonts w:hint="eastAsia" w:cs="宋体"/>
                <w:kern w:val="0"/>
                <w:lang w:bidi="ar"/>
              </w:rPr>
              <w:t>在数据融合平台（成品软件）中融合治理模块的基础上，定制开发“化工区数据敏感数据安全规则库”功能；</w:t>
            </w:r>
          </w:p>
          <w:p w14:paraId="12275607">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针对化工区数据敏感程度高、合规要求严的要求，通过在安全规则库中定制加密与脱敏规则，满足数据安全保障需求。</w:t>
            </w:r>
          </w:p>
        </w:tc>
      </w:tr>
      <w:tr w14:paraId="00A2375A">
        <w:tblPrEx>
          <w:tblCellMar>
            <w:top w:w="0" w:type="dxa"/>
            <w:left w:w="108" w:type="dxa"/>
            <w:bottom w:w="0" w:type="dxa"/>
            <w:right w:w="108" w:type="dxa"/>
          </w:tblCellMar>
        </w:tblPrEx>
        <w:trPr>
          <w:trHeight w:val="87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6E997B3C">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1119B0F9">
            <w:pPr>
              <w:widowControl/>
              <w:spacing w:line="288" w:lineRule="auto"/>
              <w:ind w:firstLine="0" w:firstLineChars="0"/>
              <w:jc w:val="left"/>
              <w:textAlignment w:val="center"/>
              <w:rPr>
                <w:rFonts w:hint="eastAsia" w:cs="宋体"/>
              </w:rPr>
            </w:pPr>
            <w:r>
              <w:rPr>
                <w:rFonts w:hint="eastAsia" w:cs="宋体"/>
                <w:kern w:val="0"/>
                <w:lang w:bidi="ar"/>
              </w:rPr>
              <w:t>化工区高频业务流程机器人管理</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21A703D2">
            <w:pPr>
              <w:widowControl/>
              <w:spacing w:line="288" w:lineRule="auto"/>
              <w:ind w:firstLine="0" w:firstLineChars="0"/>
              <w:jc w:val="left"/>
              <w:textAlignment w:val="center"/>
              <w:rPr>
                <w:rFonts w:hint="eastAsia" w:cs="宋体"/>
                <w:kern w:val="0"/>
              </w:rPr>
            </w:pPr>
            <w:r>
              <w:rPr>
                <w:rFonts w:hint="eastAsia" w:cs="宋体"/>
                <w:lang w:bidi="ar"/>
              </w:rPr>
              <w:t xml:space="preserve">- </w:t>
            </w:r>
            <w:r>
              <w:rPr>
                <w:rFonts w:hint="eastAsia" w:cs="宋体"/>
                <w:kern w:val="0"/>
                <w:lang w:bidi="ar"/>
              </w:rPr>
              <w:t>在数据融合平台（成品软件）中统一调度模块的基础上，定制开发“化工区高频业务流程机器人管理”功能。</w:t>
            </w:r>
          </w:p>
          <w:p w14:paraId="1F4A4E15">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解决化工区跨业务场景（如安全生产监测、环境数据采集、应急任务调度）中任务执行分散、人工操作效率低的问题，通过标准化机器人模板实现高频、重复任务的自动化执行。</w:t>
            </w:r>
          </w:p>
        </w:tc>
      </w:tr>
      <w:tr w14:paraId="71796DFA">
        <w:tblPrEx>
          <w:tblCellMar>
            <w:top w:w="0" w:type="dxa"/>
            <w:left w:w="108" w:type="dxa"/>
            <w:bottom w:w="0" w:type="dxa"/>
            <w:right w:w="108" w:type="dxa"/>
          </w:tblCellMar>
        </w:tblPrEx>
        <w:trPr>
          <w:trHeight w:val="87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6A322241">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2058F80D">
            <w:pPr>
              <w:widowControl/>
              <w:spacing w:line="288" w:lineRule="auto"/>
              <w:ind w:firstLine="0" w:firstLineChars="0"/>
              <w:jc w:val="left"/>
              <w:textAlignment w:val="center"/>
              <w:rPr>
                <w:rFonts w:hint="eastAsia" w:cs="宋体"/>
              </w:rPr>
            </w:pPr>
            <w:r>
              <w:rPr>
                <w:rFonts w:hint="eastAsia" w:cs="宋体"/>
                <w:kern w:val="0"/>
                <w:lang w:bidi="ar"/>
              </w:rPr>
              <w:t>化工区业务知识图谱</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1030C0E6">
            <w:pPr>
              <w:widowControl/>
              <w:spacing w:line="288" w:lineRule="auto"/>
              <w:ind w:firstLine="0" w:firstLineChars="0"/>
              <w:jc w:val="left"/>
              <w:textAlignment w:val="center"/>
              <w:rPr>
                <w:rFonts w:hint="eastAsia" w:cs="宋体"/>
                <w:kern w:val="0"/>
              </w:rPr>
            </w:pPr>
            <w:r>
              <w:rPr>
                <w:rFonts w:hint="eastAsia" w:cs="宋体"/>
                <w:lang w:bidi="ar"/>
              </w:rPr>
              <w:t xml:space="preserve">- </w:t>
            </w:r>
            <w:r>
              <w:rPr>
                <w:rFonts w:hint="eastAsia" w:cs="宋体"/>
                <w:kern w:val="0"/>
                <w:lang w:bidi="ar"/>
              </w:rPr>
              <w:t>在数据融合平台（成品软件）中数据管理模块的基础上，定制开发“化工区业务知识图谱”功能；</w:t>
            </w:r>
          </w:p>
          <w:p w14:paraId="3964F78B">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赋能化工区风险研判与智能决策。解决化工区数据关联分散、风险溯源困难的痛点，通过数据与业务的深度关联，辅助管委会精准识别风险传播路径、优化应急处置策略。</w:t>
            </w:r>
          </w:p>
        </w:tc>
      </w:tr>
      <w:tr w14:paraId="1E8910CA">
        <w:tblPrEx>
          <w:tblCellMar>
            <w:top w:w="0" w:type="dxa"/>
            <w:left w:w="108" w:type="dxa"/>
            <w:bottom w:w="0" w:type="dxa"/>
            <w:right w:w="108" w:type="dxa"/>
          </w:tblCellMar>
        </w:tblPrEx>
        <w:trPr>
          <w:trHeight w:val="87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5A7D11E5">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0B24649F">
            <w:pPr>
              <w:widowControl/>
              <w:spacing w:line="288" w:lineRule="auto"/>
              <w:ind w:firstLine="0" w:firstLineChars="0"/>
              <w:jc w:val="left"/>
              <w:textAlignment w:val="center"/>
              <w:rPr>
                <w:rFonts w:hint="eastAsia" w:cs="宋体"/>
              </w:rPr>
            </w:pPr>
            <w:r>
              <w:rPr>
                <w:rFonts w:hint="eastAsia" w:cs="宋体"/>
                <w:kern w:val="0"/>
                <w:lang w:bidi="ar"/>
              </w:rPr>
              <w:t>化工区资产合规性管理</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0E34E6DB">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在数据融合平台（成品软件）中数据管理模块的基础上，定制开发“资产合规性管理”模块，用于应对化工区数据涉及敏感信息（如企业工艺配方、环保未公开数据）多、法规要求严等业务难点，保障数据全生命周期合规运营。</w:t>
            </w:r>
          </w:p>
        </w:tc>
      </w:tr>
      <w:tr w14:paraId="096518E3">
        <w:tblPrEx>
          <w:tblCellMar>
            <w:top w:w="0" w:type="dxa"/>
            <w:left w:w="108" w:type="dxa"/>
            <w:bottom w:w="0" w:type="dxa"/>
            <w:right w:w="108" w:type="dxa"/>
          </w:tblCellMar>
        </w:tblPrEx>
        <w:trPr>
          <w:trHeight w:val="87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0B55D5D3">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76F8BB38">
            <w:pPr>
              <w:widowControl/>
              <w:spacing w:line="288" w:lineRule="auto"/>
              <w:ind w:firstLine="0" w:firstLineChars="0"/>
              <w:jc w:val="left"/>
              <w:textAlignment w:val="center"/>
              <w:rPr>
                <w:rFonts w:hint="eastAsia" w:cs="宋体"/>
              </w:rPr>
            </w:pPr>
            <w:r>
              <w:rPr>
                <w:rFonts w:hint="eastAsia" w:cs="宋体"/>
                <w:kern w:val="0"/>
                <w:lang w:bidi="ar"/>
              </w:rPr>
              <w:t>化工区业务数据质量评估</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3F333CB1">
            <w:pPr>
              <w:widowControl/>
              <w:spacing w:line="288" w:lineRule="auto"/>
              <w:ind w:firstLine="0" w:firstLineChars="0"/>
              <w:jc w:val="left"/>
              <w:textAlignment w:val="center"/>
              <w:rPr>
                <w:rFonts w:hint="eastAsia" w:cs="宋体"/>
                <w:kern w:val="0"/>
              </w:rPr>
            </w:pPr>
            <w:r>
              <w:rPr>
                <w:rFonts w:hint="eastAsia" w:cs="宋体"/>
                <w:lang w:bidi="ar"/>
              </w:rPr>
              <w:t xml:space="preserve">- </w:t>
            </w:r>
            <w:r>
              <w:rPr>
                <w:rFonts w:hint="eastAsia" w:cs="宋体"/>
                <w:kern w:val="0"/>
                <w:lang w:bidi="ar"/>
              </w:rPr>
              <w:t>集成至数据管理模块，构建质量管控闭环；</w:t>
            </w:r>
          </w:p>
          <w:p w14:paraId="2BAC3B21">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支持规则分类管理（自定义、模板导入）、全流程检测任务执行、多维度监控告警、问题工单分配及可视化展示。</w:t>
            </w:r>
          </w:p>
        </w:tc>
      </w:tr>
      <w:tr w14:paraId="7087879E">
        <w:tblPrEx>
          <w:tblCellMar>
            <w:top w:w="0" w:type="dxa"/>
            <w:left w:w="108" w:type="dxa"/>
            <w:bottom w:w="0" w:type="dxa"/>
            <w:right w:w="108" w:type="dxa"/>
          </w:tblCellMar>
        </w:tblPrEx>
        <w:trPr>
          <w:trHeight w:val="92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06788347">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5850E0DB">
            <w:pPr>
              <w:widowControl/>
              <w:spacing w:line="288" w:lineRule="auto"/>
              <w:ind w:firstLine="0" w:firstLineChars="0"/>
              <w:jc w:val="left"/>
              <w:textAlignment w:val="center"/>
              <w:rPr>
                <w:rFonts w:hint="eastAsia" w:cs="宋体"/>
              </w:rPr>
            </w:pPr>
            <w:r>
              <w:rPr>
                <w:rFonts w:hint="eastAsia" w:cs="宋体"/>
                <w:kern w:val="0"/>
                <w:lang w:bidi="ar"/>
              </w:rPr>
              <w:t>化工区主题数据可视化分析</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31CF15E4">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集成至成品软件，支持画布拖拉拽布局、多源数据连接（DSF、表格、接口等）、10 余类可视化组件及交互配置（页面跳转、组件联动）。</w:t>
            </w:r>
          </w:p>
        </w:tc>
      </w:tr>
      <w:tr w14:paraId="31EF6B3A">
        <w:tblPrEx>
          <w:tblCellMar>
            <w:top w:w="0" w:type="dxa"/>
            <w:left w:w="108" w:type="dxa"/>
            <w:bottom w:w="0" w:type="dxa"/>
            <w:right w:w="108" w:type="dxa"/>
          </w:tblCellMar>
        </w:tblPrEx>
        <w:trPr>
          <w:trHeight w:val="970" w:hRule="atLeast"/>
        </w:trPr>
        <w:tc>
          <w:tcPr>
            <w:tcW w:w="1310" w:type="dxa"/>
            <w:vMerge w:val="continue"/>
            <w:tcBorders>
              <w:top w:val="nil"/>
              <w:left w:val="single" w:color="000000" w:sz="4" w:space="0"/>
              <w:bottom w:val="single" w:color="000000" w:sz="4" w:space="0"/>
              <w:right w:val="single" w:color="000000" w:sz="4" w:space="0"/>
            </w:tcBorders>
            <w:shd w:val="clear" w:color="auto" w:fill="FFFFFF"/>
            <w:vAlign w:val="center"/>
          </w:tcPr>
          <w:p w14:paraId="1A6AB6A8">
            <w:pPr>
              <w:rPr>
                <w:rFonts w:hint="eastAsia" w:cs="宋体"/>
              </w:rPr>
            </w:pPr>
          </w:p>
        </w:tc>
        <w:tc>
          <w:tcPr>
            <w:tcW w:w="1530" w:type="dxa"/>
            <w:tcBorders>
              <w:top w:val="single" w:color="000000" w:sz="4" w:space="0"/>
              <w:left w:val="nil"/>
              <w:bottom w:val="single" w:color="000000" w:sz="4" w:space="0"/>
              <w:right w:val="single" w:color="000000" w:sz="4" w:space="0"/>
            </w:tcBorders>
            <w:shd w:val="clear" w:color="auto" w:fill="FFFFFF"/>
            <w:vAlign w:val="center"/>
          </w:tcPr>
          <w:p w14:paraId="0AEE010F">
            <w:pPr>
              <w:widowControl/>
              <w:spacing w:line="288" w:lineRule="auto"/>
              <w:ind w:firstLine="0" w:firstLineChars="0"/>
              <w:jc w:val="left"/>
              <w:textAlignment w:val="center"/>
              <w:rPr>
                <w:rFonts w:hint="eastAsia" w:cs="宋体"/>
              </w:rPr>
            </w:pPr>
            <w:r>
              <w:rPr>
                <w:rFonts w:hint="eastAsia" w:cs="宋体"/>
                <w:kern w:val="0"/>
                <w:lang w:bidi="ar"/>
              </w:rPr>
              <w:t>现有系统与部门数据归集接口</w:t>
            </w:r>
          </w:p>
        </w:tc>
        <w:tc>
          <w:tcPr>
            <w:tcW w:w="5170" w:type="dxa"/>
            <w:tcBorders>
              <w:top w:val="single" w:color="000000" w:sz="4" w:space="0"/>
              <w:left w:val="nil"/>
              <w:bottom w:val="single" w:color="000000" w:sz="4" w:space="0"/>
              <w:right w:val="single" w:color="000000" w:sz="4" w:space="0"/>
            </w:tcBorders>
            <w:shd w:val="clear" w:color="auto" w:fill="FFFFFF"/>
            <w:vAlign w:val="center"/>
          </w:tcPr>
          <w:p w14:paraId="67AB4E80">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集成至数据归集模块，通过接口归集 46 个现有系统数据，通过前置机获取 10 个外部系统数据。</w:t>
            </w:r>
          </w:p>
        </w:tc>
      </w:tr>
    </w:tbl>
    <w:p w14:paraId="48F16B08">
      <w:pPr>
        <w:rPr>
          <w:rFonts w:hint="eastAsia" w:cs="宋体"/>
        </w:rPr>
      </w:pPr>
      <w:r>
        <w:rPr>
          <w:rFonts w:hint="eastAsia" w:cs="宋体"/>
          <w:lang w:bidi="ar"/>
        </w:rPr>
        <w:t xml:space="preserve"> </w:t>
      </w:r>
    </w:p>
    <w:p w14:paraId="70A3FF60">
      <w:pPr>
        <w:ind w:firstLine="0" w:firstLineChars="0"/>
        <w:rPr>
          <w:rFonts w:hint="eastAsia"/>
        </w:rPr>
      </w:pPr>
      <w:r>
        <w:rPr>
          <w:rFonts w:hint="eastAsia"/>
        </w:rPr>
        <w:t>（3）能力支撑软件开发</w:t>
      </w:r>
    </w:p>
    <w:p w14:paraId="5E88EE2C">
      <w:pPr>
        <w:rPr>
          <w:rFonts w:hint="eastAsia" w:cs="宋体"/>
        </w:rPr>
      </w:pPr>
      <w:r>
        <w:rPr>
          <w:rFonts w:hint="eastAsia" w:cs="宋体"/>
          <w:lang w:bidi="ar"/>
        </w:rPr>
        <w:t>能力支撑</w:t>
      </w:r>
      <w:r>
        <w:rPr>
          <w:rFonts w:hint="eastAsia"/>
        </w:rPr>
        <w:t>软件开发</w:t>
      </w:r>
      <w:r>
        <w:rPr>
          <w:rFonts w:hint="eastAsia" w:cs="宋体"/>
          <w:lang w:bidi="ar"/>
        </w:rPr>
        <w:t>将按照《上海市政务信息系统整合实施方案》的要求，基于互联互通、业务协同、信息共享的原则，提供应用的共性集成能力，推进化工区各业务系统整合与集成。能力支撑主要提供统一门户集成、统一接入管理、统一用户管理、统一授权管理、统一资源管理、统一安全防护等共性支撑能力。</w:t>
      </w:r>
    </w:p>
    <w:p w14:paraId="46260831">
      <w:pPr>
        <w:ind w:firstLine="0" w:firstLineChars="0"/>
        <w:rPr>
          <w:rFonts w:hint="eastAsia" w:cs="宋体"/>
        </w:rPr>
      </w:pPr>
      <w:r>
        <w:rPr>
          <w:rFonts w:hint="eastAsia" w:cs="宋体"/>
          <w:lang w:bidi="ar"/>
        </w:rPr>
        <w:t xml:space="preserve"> </w:t>
      </w:r>
    </w:p>
    <w:tbl>
      <w:tblPr>
        <w:tblStyle w:val="35"/>
        <w:tblW w:w="0" w:type="auto"/>
        <w:tblInd w:w="98" w:type="dxa"/>
        <w:tblLayout w:type="fixed"/>
        <w:tblCellMar>
          <w:top w:w="0" w:type="dxa"/>
          <w:left w:w="108" w:type="dxa"/>
          <w:bottom w:w="0" w:type="dxa"/>
          <w:right w:w="108" w:type="dxa"/>
        </w:tblCellMar>
      </w:tblPr>
      <w:tblGrid>
        <w:gridCol w:w="1483"/>
        <w:gridCol w:w="1512"/>
        <w:gridCol w:w="5242"/>
      </w:tblGrid>
      <w:tr w14:paraId="00D7E65F">
        <w:tblPrEx>
          <w:tblCellMar>
            <w:top w:w="0" w:type="dxa"/>
            <w:left w:w="108" w:type="dxa"/>
            <w:bottom w:w="0" w:type="dxa"/>
            <w:right w:w="108" w:type="dxa"/>
          </w:tblCellMar>
        </w:tblPrEx>
        <w:trPr>
          <w:trHeight w:val="29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52375">
            <w:pPr>
              <w:widowControl/>
              <w:spacing w:line="288" w:lineRule="auto"/>
              <w:ind w:firstLine="0" w:firstLineChars="0"/>
              <w:jc w:val="center"/>
              <w:textAlignment w:val="center"/>
              <w:rPr>
                <w:rFonts w:hint="eastAsia" w:cs="宋体"/>
              </w:rPr>
            </w:pPr>
            <w:r>
              <w:rPr>
                <w:rFonts w:hint="eastAsia" w:cs="宋体"/>
                <w:kern w:val="0"/>
                <w:lang w:bidi="ar"/>
              </w:rPr>
              <w:t>类别</w:t>
            </w:r>
          </w:p>
        </w:tc>
        <w:tc>
          <w:tcPr>
            <w:tcW w:w="1512" w:type="dxa"/>
            <w:tcBorders>
              <w:top w:val="single" w:color="000000" w:sz="4" w:space="0"/>
              <w:left w:val="nil"/>
              <w:bottom w:val="single" w:color="000000" w:sz="4" w:space="0"/>
              <w:right w:val="single" w:color="000000" w:sz="4" w:space="0"/>
            </w:tcBorders>
            <w:shd w:val="clear" w:color="auto" w:fill="FFFFFF"/>
            <w:vAlign w:val="center"/>
          </w:tcPr>
          <w:p w14:paraId="11FE0950">
            <w:pPr>
              <w:widowControl/>
              <w:spacing w:line="288" w:lineRule="auto"/>
              <w:ind w:firstLine="0" w:firstLineChars="0"/>
              <w:jc w:val="center"/>
              <w:textAlignment w:val="center"/>
              <w:rPr>
                <w:rFonts w:hint="eastAsia" w:cs="宋体"/>
              </w:rPr>
            </w:pPr>
            <w:r>
              <w:rPr>
                <w:rFonts w:hint="eastAsia" w:cs="宋体"/>
                <w:kern w:val="0"/>
                <w:lang w:bidi="ar"/>
              </w:rPr>
              <w:t>功能模块</w:t>
            </w:r>
          </w:p>
        </w:tc>
        <w:tc>
          <w:tcPr>
            <w:tcW w:w="5242" w:type="dxa"/>
            <w:tcBorders>
              <w:top w:val="single" w:color="000000" w:sz="4" w:space="0"/>
              <w:left w:val="nil"/>
              <w:bottom w:val="single" w:color="000000" w:sz="4" w:space="0"/>
              <w:right w:val="single" w:color="000000" w:sz="4" w:space="0"/>
            </w:tcBorders>
            <w:shd w:val="clear" w:color="auto" w:fill="FFFFFF"/>
            <w:vAlign w:val="center"/>
          </w:tcPr>
          <w:p w14:paraId="59B7F251">
            <w:pPr>
              <w:widowControl/>
              <w:spacing w:line="288" w:lineRule="auto"/>
              <w:ind w:firstLine="0" w:firstLineChars="0"/>
              <w:jc w:val="center"/>
              <w:textAlignment w:val="center"/>
              <w:rPr>
                <w:rFonts w:hint="eastAsia" w:cs="宋体"/>
              </w:rPr>
            </w:pPr>
            <w:r>
              <w:rPr>
                <w:rFonts w:hint="eastAsia" w:cs="宋体"/>
                <w:kern w:val="0"/>
                <w:lang w:bidi="ar"/>
              </w:rPr>
              <w:t>核心建设内容</w:t>
            </w:r>
          </w:p>
        </w:tc>
      </w:tr>
      <w:tr w14:paraId="4B57ECBD">
        <w:tblPrEx>
          <w:tblCellMar>
            <w:top w:w="0" w:type="dxa"/>
            <w:left w:w="108" w:type="dxa"/>
            <w:bottom w:w="0" w:type="dxa"/>
            <w:right w:w="108" w:type="dxa"/>
          </w:tblCellMar>
        </w:tblPrEx>
        <w:trPr>
          <w:trHeight w:val="1260"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AD6EED">
            <w:pPr>
              <w:widowControl/>
              <w:spacing w:line="288" w:lineRule="auto"/>
              <w:ind w:firstLine="0" w:firstLineChars="0"/>
              <w:jc w:val="left"/>
              <w:textAlignment w:val="center"/>
              <w:rPr>
                <w:rFonts w:hint="eastAsia" w:cs="宋体"/>
              </w:rPr>
            </w:pPr>
            <w:r>
              <w:rPr>
                <w:rFonts w:hint="eastAsia" w:cs="宋体"/>
                <w:kern w:val="0"/>
                <w:lang w:bidi="ar"/>
              </w:rPr>
              <w:t>能力支撑</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5E95">
            <w:pPr>
              <w:widowControl/>
              <w:spacing w:line="288" w:lineRule="auto"/>
              <w:ind w:firstLine="0" w:firstLineChars="0"/>
              <w:jc w:val="left"/>
              <w:textAlignment w:val="center"/>
              <w:rPr>
                <w:rFonts w:hint="eastAsia" w:cs="宋体"/>
              </w:rPr>
            </w:pPr>
            <w:r>
              <w:rPr>
                <w:rFonts w:hint="eastAsia" w:cs="宋体"/>
                <w:kern w:val="0"/>
                <w:lang w:bidi="ar"/>
              </w:rPr>
              <w:t>统一门户集成</w:t>
            </w:r>
          </w:p>
        </w:tc>
        <w:tc>
          <w:tcPr>
            <w:tcW w:w="5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A291C">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打造一站式门户，实现单点登录（一套账号访问授权应用）、应用集成（业务/流程/消息整合），对接上海市统一身份认证体系。</w:t>
            </w:r>
          </w:p>
        </w:tc>
      </w:tr>
      <w:tr w14:paraId="7528531D">
        <w:tblPrEx>
          <w:tblCellMar>
            <w:top w:w="0" w:type="dxa"/>
            <w:left w:w="108" w:type="dxa"/>
            <w:bottom w:w="0" w:type="dxa"/>
            <w:right w:w="108" w:type="dxa"/>
          </w:tblCellMar>
        </w:tblPrEx>
        <w:trPr>
          <w:trHeight w:val="121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1F923">
            <w:pPr>
              <w:rPr>
                <w:rFonts w:hint="eastAsia" w:cs="宋体"/>
              </w:rPr>
            </w:pP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6B76">
            <w:pPr>
              <w:widowControl/>
              <w:spacing w:line="288" w:lineRule="auto"/>
              <w:ind w:firstLine="0" w:firstLineChars="0"/>
              <w:jc w:val="left"/>
              <w:textAlignment w:val="center"/>
              <w:rPr>
                <w:rFonts w:hint="eastAsia" w:cs="宋体"/>
              </w:rPr>
            </w:pPr>
            <w:r>
              <w:rPr>
                <w:rFonts w:hint="eastAsia" w:cs="宋体"/>
                <w:kern w:val="0"/>
                <w:lang w:bidi="ar"/>
              </w:rPr>
              <w:t>统一接入管理</w:t>
            </w:r>
          </w:p>
        </w:tc>
        <w:tc>
          <w:tcPr>
            <w:tcW w:w="5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6D1B">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对业务系统接入进行统一管理和配置，遵循统一标准规范，提供接入认证、监控等功能，支持API、Web Service等多种接入方式。</w:t>
            </w:r>
          </w:p>
        </w:tc>
      </w:tr>
      <w:tr w14:paraId="2C561EBA">
        <w:tblPrEx>
          <w:tblCellMar>
            <w:top w:w="0" w:type="dxa"/>
            <w:left w:w="108" w:type="dxa"/>
            <w:bottom w:w="0" w:type="dxa"/>
            <w:right w:w="108" w:type="dxa"/>
          </w:tblCellMar>
        </w:tblPrEx>
        <w:trPr>
          <w:trHeight w:val="116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09631E">
            <w:pPr>
              <w:rPr>
                <w:rFonts w:hint="eastAsia" w:cs="宋体"/>
              </w:rPr>
            </w:pP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38D0">
            <w:pPr>
              <w:widowControl/>
              <w:spacing w:line="288" w:lineRule="auto"/>
              <w:ind w:firstLine="0" w:firstLineChars="0"/>
              <w:jc w:val="left"/>
              <w:textAlignment w:val="center"/>
              <w:rPr>
                <w:rFonts w:hint="eastAsia" w:cs="宋体"/>
              </w:rPr>
            </w:pPr>
            <w:r>
              <w:rPr>
                <w:rFonts w:hint="eastAsia" w:cs="宋体"/>
                <w:kern w:val="0"/>
                <w:lang w:bidi="ar"/>
              </w:rPr>
              <w:t>统一用户管理</w:t>
            </w:r>
          </w:p>
        </w:tc>
        <w:tc>
          <w:tcPr>
            <w:tcW w:w="5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C3EE7">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集中管理机构、岗位、用户及关联关系，提供生命周期管理、用户组管理功能，对外提供身份认证和信息查询接口。</w:t>
            </w:r>
          </w:p>
        </w:tc>
      </w:tr>
      <w:tr w14:paraId="1E1F0398">
        <w:tblPrEx>
          <w:tblCellMar>
            <w:top w:w="0" w:type="dxa"/>
            <w:left w:w="108" w:type="dxa"/>
            <w:bottom w:w="0" w:type="dxa"/>
            <w:right w:w="108" w:type="dxa"/>
          </w:tblCellMar>
        </w:tblPrEx>
        <w:trPr>
          <w:trHeight w:val="131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59451">
            <w:pPr>
              <w:rPr>
                <w:rFonts w:hint="eastAsia" w:cs="宋体"/>
              </w:rPr>
            </w:pP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E3F5">
            <w:pPr>
              <w:widowControl/>
              <w:spacing w:line="288" w:lineRule="auto"/>
              <w:ind w:firstLine="0" w:firstLineChars="0"/>
              <w:jc w:val="left"/>
              <w:textAlignment w:val="center"/>
              <w:rPr>
                <w:rFonts w:hint="eastAsia" w:cs="宋体"/>
              </w:rPr>
            </w:pPr>
            <w:r>
              <w:rPr>
                <w:rFonts w:hint="eastAsia" w:cs="宋体"/>
                <w:kern w:val="0"/>
                <w:lang w:bidi="ar"/>
              </w:rPr>
              <w:t>统一授权管理</w:t>
            </w:r>
          </w:p>
        </w:tc>
        <w:tc>
          <w:tcPr>
            <w:tcW w:w="5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03A6">
            <w:pPr>
              <w:widowControl/>
              <w:spacing w:line="288" w:lineRule="auto"/>
              <w:ind w:firstLine="0" w:firstLineChars="0"/>
              <w:jc w:val="left"/>
              <w:textAlignment w:val="center"/>
              <w:rPr>
                <w:rFonts w:hint="eastAsia" w:cs="宋体"/>
                <w:kern w:val="0"/>
              </w:rPr>
            </w:pPr>
            <w:r>
              <w:rPr>
                <w:rFonts w:hint="eastAsia" w:cs="宋体"/>
                <w:lang w:bidi="ar"/>
              </w:rPr>
              <w:t xml:space="preserve">- </w:t>
            </w:r>
            <w:r>
              <w:rPr>
                <w:rFonts w:hint="eastAsia" w:cs="宋体"/>
                <w:kern w:val="0"/>
                <w:lang w:bidi="ar"/>
              </w:rPr>
              <w:t>基于成熟模型分配权限（功能权限：应用 / 菜单 / URL；数据权限：记录 / 数据点)；</w:t>
            </w:r>
          </w:p>
          <w:p w14:paraId="1CA5C263">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支持按机构 / 岗位 / 角色分配，支持多级权限管理（管理员向下分配自身权限）。</w:t>
            </w:r>
          </w:p>
        </w:tc>
      </w:tr>
      <w:tr w14:paraId="7DEA43B0">
        <w:tblPrEx>
          <w:tblCellMar>
            <w:top w:w="0" w:type="dxa"/>
            <w:left w:w="108" w:type="dxa"/>
            <w:bottom w:w="0" w:type="dxa"/>
            <w:right w:w="108" w:type="dxa"/>
          </w:tblCellMar>
        </w:tblPrEx>
        <w:trPr>
          <w:trHeight w:val="92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99777">
            <w:pPr>
              <w:rPr>
                <w:rFonts w:hint="eastAsia" w:cs="宋体"/>
              </w:rPr>
            </w:pP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48162">
            <w:pPr>
              <w:widowControl/>
              <w:spacing w:line="288" w:lineRule="auto"/>
              <w:ind w:firstLine="0" w:firstLineChars="0"/>
              <w:jc w:val="left"/>
              <w:textAlignment w:val="center"/>
              <w:rPr>
                <w:rFonts w:hint="eastAsia" w:cs="宋体"/>
              </w:rPr>
            </w:pPr>
            <w:r>
              <w:rPr>
                <w:rFonts w:hint="eastAsia" w:cs="宋体"/>
                <w:kern w:val="0"/>
                <w:lang w:bidi="ar"/>
              </w:rPr>
              <w:t>统一资源管理</w:t>
            </w:r>
          </w:p>
        </w:tc>
        <w:tc>
          <w:tcPr>
            <w:tcW w:w="5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43536">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监控基础资源与微服务指标（CPU、内存、网络等），提供应用运行数据查看、监管 / 服务维度分析；提供任务调度工具，管理异步任务。</w:t>
            </w:r>
          </w:p>
        </w:tc>
      </w:tr>
      <w:tr w14:paraId="1C761217">
        <w:tblPrEx>
          <w:tblCellMar>
            <w:top w:w="0" w:type="dxa"/>
            <w:left w:w="108" w:type="dxa"/>
            <w:bottom w:w="0" w:type="dxa"/>
            <w:right w:w="108" w:type="dxa"/>
          </w:tblCellMar>
        </w:tblPrEx>
        <w:trPr>
          <w:trHeight w:val="87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3A66F">
            <w:pPr>
              <w:rPr>
                <w:rFonts w:hint="eastAsia" w:cs="宋体"/>
              </w:rPr>
            </w:pP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4AE98">
            <w:pPr>
              <w:widowControl/>
              <w:spacing w:line="288" w:lineRule="auto"/>
              <w:ind w:firstLine="0" w:firstLineChars="0"/>
              <w:jc w:val="left"/>
              <w:textAlignment w:val="center"/>
              <w:rPr>
                <w:rFonts w:hint="eastAsia" w:cs="宋体"/>
              </w:rPr>
            </w:pPr>
            <w:r>
              <w:rPr>
                <w:rFonts w:hint="eastAsia" w:cs="宋体"/>
                <w:kern w:val="0"/>
                <w:lang w:bidi="ar"/>
              </w:rPr>
              <w:t>统一安全防护</w:t>
            </w:r>
          </w:p>
        </w:tc>
        <w:tc>
          <w:tcPr>
            <w:tcW w:w="5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AAE85">
            <w:pPr>
              <w:widowControl/>
              <w:spacing w:line="288" w:lineRule="auto"/>
              <w:ind w:firstLine="0" w:firstLineChars="0"/>
              <w:jc w:val="left"/>
              <w:textAlignment w:val="center"/>
              <w:rPr>
                <w:rFonts w:hint="eastAsia" w:cs="宋体"/>
              </w:rPr>
            </w:pPr>
            <w:r>
              <w:rPr>
                <w:rFonts w:hint="eastAsia" w:cs="宋体"/>
                <w:lang w:bidi="ar"/>
              </w:rPr>
              <w:t xml:space="preserve">- </w:t>
            </w:r>
            <w:r>
              <w:rPr>
                <w:rFonts w:hint="eastAsia" w:cs="宋体"/>
                <w:kern w:val="0"/>
                <w:lang w:bidi="ar"/>
              </w:rPr>
              <w:t>提供日志管理功能，收集所有系统的日志信息，并进行统一存储和管理，为安全防护提供基础数据。</w:t>
            </w:r>
          </w:p>
        </w:tc>
      </w:tr>
    </w:tbl>
    <w:p w14:paraId="78A0B3CD">
      <w:pPr>
        <w:rPr>
          <w:rFonts w:hint="eastAsia"/>
        </w:rPr>
      </w:pPr>
      <w:r>
        <w:rPr>
          <w:rFonts w:hint="eastAsia"/>
          <w:lang w:bidi="ar"/>
        </w:rPr>
        <w:t xml:space="preserve"> </w:t>
      </w:r>
    </w:p>
    <w:p w14:paraId="481EA932">
      <w:pPr>
        <w:pStyle w:val="3"/>
        <w:widowControl/>
        <w:ind w:left="864" w:firstLineChars="0"/>
        <w:rPr>
          <w:rFonts w:hint="eastAsia" w:cs="宋体"/>
          <w:sz w:val="24"/>
          <w:szCs w:val="24"/>
        </w:rPr>
      </w:pPr>
      <w:r>
        <w:rPr>
          <w:rFonts w:hint="eastAsia" w:cs="宋体"/>
          <w:sz w:val="24"/>
          <w:szCs w:val="24"/>
        </w:rPr>
        <w:t>数据治理服务</w:t>
      </w:r>
    </w:p>
    <w:p w14:paraId="5B4DC864">
      <w:pPr>
        <w:rPr>
          <w:rFonts w:hint="eastAsia" w:cs="宋体"/>
          <w:lang w:bidi="ar"/>
        </w:rPr>
      </w:pPr>
      <w:r>
        <w:rPr>
          <w:rFonts w:hint="eastAsia" w:cs="宋体"/>
          <w:lang w:bidi="ar"/>
        </w:rPr>
        <w:t>在上海化工区已建立的数据标准体系框架下，结合应用需求，新增或修订部分已制定的标准或规范，并在应用建设过程中指导落实相关标准规范。编制化工区元数据标准、数据接口标准、数据质量管理规范、数据治理规范等。</w:t>
      </w:r>
    </w:p>
    <w:p w14:paraId="520D8D60">
      <w:pPr>
        <w:rPr>
          <w:rFonts w:hint="eastAsia" w:cs="宋体"/>
          <w:lang w:bidi="ar"/>
        </w:rPr>
      </w:pPr>
      <w:r>
        <w:rPr>
          <w:rFonts w:hint="eastAsia" w:cs="宋体"/>
          <w:lang w:bidi="ar"/>
        </w:rPr>
        <w:t>按照新增或修订后的数据标准或规范，围绕本次项目涉及的化工区13个业务系统数据的统一归集、规范管理以及未来开展多维度高质量的数据分析利用，需开展配套的数据治理服务，包括7项数据融合服务和10类数据标签服务。</w:t>
      </w:r>
    </w:p>
    <w:p w14:paraId="6CF58F0A">
      <w:pPr>
        <w:ind w:firstLine="0" w:firstLineChars="0"/>
        <w:rPr>
          <w:rFonts w:hint="eastAsia" w:cs="宋体"/>
          <w:lang w:bidi="ar"/>
        </w:rPr>
      </w:pPr>
      <w:r>
        <w:rPr>
          <w:rFonts w:hint="eastAsia" w:cs="宋体"/>
          <w:lang w:bidi="ar"/>
        </w:rPr>
        <w:t>（1）数据融合服务</w:t>
      </w:r>
    </w:p>
    <w:tbl>
      <w:tblPr>
        <w:tblStyle w:val="35"/>
        <w:tblW w:w="5000" w:type="pct"/>
        <w:jc w:val="center"/>
        <w:tblLayout w:type="fixed"/>
        <w:tblCellMar>
          <w:top w:w="0" w:type="dxa"/>
          <w:left w:w="108" w:type="dxa"/>
          <w:bottom w:w="0" w:type="dxa"/>
          <w:right w:w="108" w:type="dxa"/>
        </w:tblCellMar>
      </w:tblPr>
      <w:tblGrid>
        <w:gridCol w:w="767"/>
        <w:gridCol w:w="399"/>
        <w:gridCol w:w="1909"/>
        <w:gridCol w:w="4274"/>
        <w:gridCol w:w="1179"/>
      </w:tblGrid>
      <w:tr w14:paraId="0F72A9CE">
        <w:tblPrEx>
          <w:tblCellMar>
            <w:top w:w="0" w:type="dxa"/>
            <w:left w:w="108" w:type="dxa"/>
            <w:bottom w:w="0" w:type="dxa"/>
            <w:right w:w="108" w:type="dxa"/>
          </w:tblCellMar>
        </w:tblPrEx>
        <w:trPr>
          <w:trHeight w:val="3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237D5371">
            <w:pPr>
              <w:widowControl/>
              <w:spacing w:line="240" w:lineRule="auto"/>
              <w:ind w:firstLine="0" w:firstLineChars="0"/>
              <w:jc w:val="center"/>
              <w:textAlignment w:val="center"/>
              <w:rPr>
                <w:rFonts w:hint="eastAsia" w:cs="宋体"/>
                <w:b/>
                <w:bCs/>
              </w:rPr>
            </w:pPr>
            <w:r>
              <w:rPr>
                <w:rFonts w:hint="eastAsia" w:cs="宋体"/>
                <w:b/>
                <w:bCs/>
                <w:kern w:val="0"/>
                <w:lang w:bidi="ar"/>
              </w:rPr>
              <w:t>序号</w:t>
            </w:r>
          </w:p>
        </w:tc>
        <w:tc>
          <w:tcPr>
            <w:tcW w:w="1353" w:type="pct"/>
            <w:gridSpan w:val="2"/>
            <w:tcBorders>
              <w:top w:val="single" w:color="000000" w:sz="4" w:space="0"/>
              <w:left w:val="single" w:color="000000" w:sz="4" w:space="0"/>
              <w:bottom w:val="single" w:color="000000" w:sz="4" w:space="0"/>
              <w:right w:val="single" w:color="000000" w:sz="4" w:space="0"/>
            </w:tcBorders>
            <w:noWrap/>
            <w:vAlign w:val="center"/>
          </w:tcPr>
          <w:p w14:paraId="19F6E39B">
            <w:pPr>
              <w:widowControl/>
              <w:spacing w:line="240" w:lineRule="auto"/>
              <w:ind w:firstLine="0" w:firstLineChars="0"/>
              <w:jc w:val="center"/>
              <w:textAlignment w:val="center"/>
              <w:rPr>
                <w:rFonts w:hint="eastAsia" w:cs="宋体"/>
                <w:b/>
                <w:bCs/>
              </w:rPr>
            </w:pPr>
            <w:r>
              <w:rPr>
                <w:rFonts w:hint="eastAsia" w:cs="宋体"/>
                <w:b/>
                <w:bCs/>
                <w:kern w:val="0"/>
                <w:lang w:bidi="ar"/>
              </w:rPr>
              <w:t>功能名称</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2F8664B6">
            <w:pPr>
              <w:widowControl/>
              <w:spacing w:line="240" w:lineRule="auto"/>
              <w:ind w:firstLine="0" w:firstLineChars="0"/>
              <w:jc w:val="center"/>
              <w:textAlignment w:val="center"/>
              <w:rPr>
                <w:rFonts w:hint="eastAsia" w:cs="宋体"/>
                <w:b/>
                <w:bCs/>
              </w:rPr>
            </w:pPr>
            <w:r>
              <w:rPr>
                <w:rFonts w:hint="eastAsia" w:cs="宋体"/>
                <w:b/>
                <w:bCs/>
                <w:kern w:val="0"/>
                <w:lang w:bidi="ar"/>
              </w:rPr>
              <w:t>功能要求</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1D264D2">
            <w:pPr>
              <w:widowControl/>
              <w:spacing w:line="240" w:lineRule="auto"/>
              <w:ind w:firstLine="0" w:firstLineChars="0"/>
              <w:jc w:val="center"/>
              <w:textAlignment w:val="center"/>
              <w:rPr>
                <w:rFonts w:hint="eastAsia" w:cs="宋体"/>
                <w:b/>
                <w:bCs/>
              </w:rPr>
            </w:pPr>
            <w:r>
              <w:rPr>
                <w:rFonts w:hint="eastAsia" w:cs="宋体"/>
                <w:b/>
                <w:bCs/>
                <w:kern w:val="0"/>
                <w:lang w:bidi="ar"/>
              </w:rPr>
              <w:t>工作量（万条）</w:t>
            </w:r>
          </w:p>
        </w:tc>
      </w:tr>
      <w:tr w14:paraId="300D3491">
        <w:tblPrEx>
          <w:tblCellMar>
            <w:top w:w="0" w:type="dxa"/>
            <w:left w:w="108" w:type="dxa"/>
            <w:bottom w:w="0" w:type="dxa"/>
            <w:right w:w="108" w:type="dxa"/>
          </w:tblCellMar>
        </w:tblPrEx>
        <w:trPr>
          <w:trHeight w:val="6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3CE8EB53">
            <w:pPr>
              <w:widowControl/>
              <w:spacing w:line="240" w:lineRule="auto"/>
              <w:ind w:firstLine="0" w:firstLineChars="0"/>
              <w:jc w:val="center"/>
              <w:textAlignment w:val="center"/>
              <w:rPr>
                <w:rFonts w:hint="eastAsia" w:cs="宋体"/>
              </w:rPr>
            </w:pPr>
            <w:r>
              <w:rPr>
                <w:rFonts w:hint="eastAsia" w:cs="宋体"/>
                <w:kern w:val="0"/>
                <w:lang w:bidi="ar"/>
              </w:rPr>
              <w:t>1</w:t>
            </w:r>
          </w:p>
        </w:tc>
        <w:tc>
          <w:tcPr>
            <w:tcW w:w="234" w:type="pct"/>
            <w:vMerge w:val="restart"/>
            <w:tcBorders>
              <w:top w:val="single" w:color="000000" w:sz="4" w:space="0"/>
              <w:left w:val="single" w:color="000000" w:sz="4" w:space="0"/>
              <w:bottom w:val="single" w:color="000000" w:sz="4" w:space="0"/>
              <w:right w:val="single" w:color="000000" w:sz="4" w:space="0"/>
            </w:tcBorders>
            <w:noWrap/>
            <w:vAlign w:val="center"/>
          </w:tcPr>
          <w:p w14:paraId="4E989E6D">
            <w:pPr>
              <w:widowControl/>
              <w:spacing w:line="240" w:lineRule="auto"/>
              <w:ind w:firstLine="0" w:firstLineChars="0"/>
              <w:jc w:val="center"/>
              <w:textAlignment w:val="center"/>
              <w:rPr>
                <w:rFonts w:hint="eastAsia" w:cs="宋体"/>
                <w:kern w:val="0"/>
                <w:lang w:bidi="ar"/>
              </w:rPr>
            </w:pPr>
          </w:p>
          <w:p w14:paraId="50029C2E">
            <w:pPr>
              <w:widowControl/>
              <w:spacing w:line="240" w:lineRule="auto"/>
              <w:ind w:firstLine="0" w:firstLineChars="0"/>
              <w:jc w:val="center"/>
              <w:textAlignment w:val="center"/>
              <w:rPr>
                <w:rFonts w:hint="eastAsia" w:cs="宋体"/>
                <w:kern w:val="0"/>
                <w:lang w:bidi="ar"/>
              </w:rPr>
            </w:pPr>
          </w:p>
          <w:p w14:paraId="0F2E6FB9">
            <w:pPr>
              <w:widowControl/>
              <w:spacing w:line="240" w:lineRule="auto"/>
              <w:ind w:firstLine="0" w:firstLineChars="0"/>
              <w:jc w:val="center"/>
              <w:textAlignment w:val="center"/>
              <w:rPr>
                <w:rFonts w:hint="eastAsia" w:cs="宋体"/>
                <w:kern w:val="0"/>
                <w:lang w:bidi="ar"/>
              </w:rPr>
            </w:pPr>
          </w:p>
          <w:p w14:paraId="0380CBFA">
            <w:pPr>
              <w:widowControl/>
              <w:spacing w:line="240" w:lineRule="auto"/>
              <w:ind w:firstLine="0" w:firstLineChars="0"/>
              <w:jc w:val="center"/>
              <w:textAlignment w:val="center"/>
              <w:rPr>
                <w:rFonts w:hint="eastAsia" w:cs="宋体"/>
                <w:kern w:val="0"/>
                <w:lang w:bidi="ar"/>
              </w:rPr>
            </w:pPr>
          </w:p>
          <w:p w14:paraId="7F1DD908">
            <w:pPr>
              <w:widowControl/>
              <w:spacing w:line="240" w:lineRule="auto"/>
              <w:ind w:firstLine="0" w:firstLineChars="0"/>
              <w:jc w:val="center"/>
              <w:textAlignment w:val="center"/>
              <w:rPr>
                <w:rFonts w:hint="eastAsia" w:cs="宋体"/>
              </w:rPr>
            </w:pPr>
            <w:r>
              <w:rPr>
                <w:rFonts w:hint="eastAsia" w:cs="宋体"/>
                <w:kern w:val="0"/>
                <w:lang w:bidi="ar"/>
              </w:rPr>
              <w:t>数据融合服务</w:t>
            </w: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371C1659">
            <w:pPr>
              <w:widowControl/>
              <w:spacing w:line="240" w:lineRule="auto"/>
              <w:ind w:firstLine="0" w:firstLineChars="0"/>
              <w:jc w:val="left"/>
              <w:textAlignment w:val="center"/>
              <w:rPr>
                <w:rFonts w:hint="eastAsia" w:cs="宋体"/>
              </w:rPr>
            </w:pPr>
            <w:r>
              <w:rPr>
                <w:rFonts w:hint="eastAsia" w:cs="宋体"/>
                <w:kern w:val="0"/>
                <w:lang w:bidi="ar"/>
              </w:rPr>
              <w:t>应急救援主题数据融合服务</w:t>
            </w:r>
          </w:p>
        </w:tc>
        <w:tc>
          <w:tcPr>
            <w:tcW w:w="2504" w:type="pct"/>
            <w:tcBorders>
              <w:top w:val="single" w:color="000000" w:sz="4" w:space="0"/>
              <w:left w:val="single" w:color="000000" w:sz="4" w:space="0"/>
              <w:bottom w:val="single" w:color="000000" w:sz="4" w:space="0"/>
              <w:right w:val="single" w:color="000000" w:sz="4" w:space="0"/>
            </w:tcBorders>
            <w:vAlign w:val="center"/>
          </w:tcPr>
          <w:p w14:paraId="4B921359">
            <w:pPr>
              <w:widowControl/>
              <w:spacing w:line="240" w:lineRule="auto"/>
              <w:ind w:firstLine="0" w:firstLineChars="0"/>
              <w:jc w:val="left"/>
              <w:textAlignment w:val="center"/>
              <w:rPr>
                <w:rFonts w:hint="eastAsia" w:cs="宋体"/>
              </w:rPr>
            </w:pPr>
            <w:r>
              <w:rPr>
                <w:rFonts w:hint="eastAsia" w:cs="宋体"/>
                <w:kern w:val="0"/>
                <w:lang w:bidi="ar"/>
              </w:rPr>
              <w:t>围绕化工区应急救援主题，归集各业务系统数据，对数据进行清洗、整合服务。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DFD0DF5">
            <w:pPr>
              <w:widowControl/>
              <w:spacing w:line="240" w:lineRule="auto"/>
              <w:ind w:firstLine="0" w:firstLineChars="0"/>
              <w:jc w:val="right"/>
              <w:textAlignment w:val="center"/>
              <w:rPr>
                <w:rFonts w:hint="eastAsia" w:cs="宋体"/>
                <w:kern w:val="0"/>
                <w:lang w:bidi="ar"/>
              </w:rPr>
            </w:pPr>
            <w:r>
              <w:rPr>
                <w:rFonts w:hint="eastAsia" w:cs="宋体"/>
                <w:kern w:val="0"/>
                <w:lang w:bidi="ar"/>
              </w:rPr>
              <w:t>4700</w:t>
            </w:r>
          </w:p>
        </w:tc>
      </w:tr>
      <w:tr w14:paraId="1B547259">
        <w:tblPrEx>
          <w:tblCellMar>
            <w:top w:w="0" w:type="dxa"/>
            <w:left w:w="108" w:type="dxa"/>
            <w:bottom w:w="0" w:type="dxa"/>
            <w:right w:w="108" w:type="dxa"/>
          </w:tblCellMar>
        </w:tblPrEx>
        <w:trPr>
          <w:trHeight w:val="6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05A659DF">
            <w:pPr>
              <w:widowControl/>
              <w:spacing w:line="240" w:lineRule="auto"/>
              <w:ind w:firstLine="0" w:firstLineChars="0"/>
              <w:jc w:val="center"/>
              <w:textAlignment w:val="center"/>
              <w:rPr>
                <w:rFonts w:hint="eastAsia" w:cs="宋体"/>
              </w:rPr>
            </w:pPr>
            <w:r>
              <w:rPr>
                <w:rFonts w:hint="eastAsia" w:cs="宋体"/>
                <w:kern w:val="0"/>
                <w:lang w:bidi="ar"/>
              </w:rPr>
              <w:t>2</w:t>
            </w:r>
          </w:p>
        </w:tc>
        <w:tc>
          <w:tcPr>
            <w:tcW w:w="234" w:type="pct"/>
            <w:vMerge w:val="continue"/>
            <w:tcBorders>
              <w:top w:val="single" w:color="000000" w:sz="4" w:space="0"/>
              <w:left w:val="single" w:color="000000" w:sz="4" w:space="0"/>
              <w:bottom w:val="single" w:color="000000" w:sz="4" w:space="0"/>
              <w:right w:val="single" w:color="000000" w:sz="4" w:space="0"/>
            </w:tcBorders>
            <w:noWrap/>
            <w:vAlign w:val="center"/>
          </w:tcPr>
          <w:p w14:paraId="59D28685">
            <w:pPr>
              <w:widowControl/>
              <w:spacing w:line="240" w:lineRule="auto"/>
              <w:ind w:firstLine="0" w:firstLineChars="0"/>
              <w:jc w:val="center"/>
              <w:rPr>
                <w:rFonts w:hint="eastAsia" w:cs="宋体"/>
              </w:rPr>
            </w:pP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7C7F733B">
            <w:pPr>
              <w:widowControl/>
              <w:spacing w:line="240" w:lineRule="auto"/>
              <w:ind w:firstLine="0" w:firstLineChars="0"/>
              <w:jc w:val="left"/>
              <w:textAlignment w:val="center"/>
              <w:rPr>
                <w:rFonts w:hint="eastAsia" w:cs="宋体"/>
              </w:rPr>
            </w:pPr>
            <w:r>
              <w:rPr>
                <w:rFonts w:hint="eastAsia" w:cs="宋体"/>
                <w:kern w:val="0"/>
                <w:lang w:bidi="ar"/>
              </w:rPr>
              <w:t>安全生产主题数据融合服务</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4074933F">
            <w:pPr>
              <w:widowControl/>
              <w:spacing w:line="240" w:lineRule="auto"/>
              <w:ind w:firstLine="0" w:firstLineChars="0"/>
              <w:textAlignment w:val="center"/>
              <w:rPr>
                <w:rFonts w:hint="eastAsia" w:cs="宋体"/>
              </w:rPr>
            </w:pPr>
            <w:r>
              <w:rPr>
                <w:rFonts w:hint="eastAsia" w:cs="宋体"/>
                <w:kern w:val="0"/>
                <w:lang w:bidi="ar"/>
              </w:rPr>
              <w:t>围绕化工区安全生产主题，归集各业务系统数据，对数据进行清洗、整合服务。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341B89E">
            <w:pPr>
              <w:widowControl/>
              <w:spacing w:line="240" w:lineRule="auto"/>
              <w:ind w:firstLine="0" w:firstLineChars="0"/>
              <w:jc w:val="right"/>
              <w:textAlignment w:val="center"/>
              <w:rPr>
                <w:rFonts w:hint="eastAsia" w:cs="宋体"/>
                <w:kern w:val="0"/>
                <w:lang w:bidi="ar"/>
              </w:rPr>
            </w:pPr>
            <w:r>
              <w:rPr>
                <w:rFonts w:hint="eastAsia" w:cs="宋体"/>
                <w:kern w:val="0"/>
                <w:lang w:bidi="ar"/>
              </w:rPr>
              <w:t>5400</w:t>
            </w:r>
          </w:p>
        </w:tc>
      </w:tr>
      <w:tr w14:paraId="14D40C55">
        <w:tblPrEx>
          <w:tblCellMar>
            <w:top w:w="0" w:type="dxa"/>
            <w:left w:w="108" w:type="dxa"/>
            <w:bottom w:w="0" w:type="dxa"/>
            <w:right w:w="108" w:type="dxa"/>
          </w:tblCellMar>
        </w:tblPrEx>
        <w:trPr>
          <w:trHeight w:val="6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11B377DB">
            <w:pPr>
              <w:widowControl/>
              <w:spacing w:line="240" w:lineRule="auto"/>
              <w:ind w:firstLine="0" w:firstLineChars="0"/>
              <w:jc w:val="center"/>
              <w:textAlignment w:val="center"/>
              <w:rPr>
                <w:rFonts w:hint="eastAsia" w:cs="宋体"/>
              </w:rPr>
            </w:pPr>
            <w:r>
              <w:rPr>
                <w:rFonts w:hint="eastAsia" w:cs="宋体"/>
                <w:kern w:val="0"/>
                <w:lang w:bidi="ar"/>
              </w:rPr>
              <w:t>3</w:t>
            </w:r>
          </w:p>
        </w:tc>
        <w:tc>
          <w:tcPr>
            <w:tcW w:w="234" w:type="pct"/>
            <w:vMerge w:val="continue"/>
            <w:tcBorders>
              <w:top w:val="single" w:color="000000" w:sz="4" w:space="0"/>
              <w:left w:val="single" w:color="000000" w:sz="4" w:space="0"/>
              <w:bottom w:val="single" w:color="000000" w:sz="4" w:space="0"/>
              <w:right w:val="single" w:color="000000" w:sz="4" w:space="0"/>
            </w:tcBorders>
            <w:noWrap/>
            <w:vAlign w:val="center"/>
          </w:tcPr>
          <w:p w14:paraId="2D09D6E4">
            <w:pPr>
              <w:widowControl/>
              <w:spacing w:line="240" w:lineRule="auto"/>
              <w:ind w:firstLine="0" w:firstLineChars="0"/>
              <w:jc w:val="center"/>
              <w:rPr>
                <w:rFonts w:hint="eastAsia" w:cs="宋体"/>
              </w:rPr>
            </w:pP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6D85A37F">
            <w:pPr>
              <w:widowControl/>
              <w:spacing w:line="240" w:lineRule="auto"/>
              <w:ind w:firstLine="0" w:firstLineChars="0"/>
              <w:jc w:val="left"/>
              <w:textAlignment w:val="center"/>
              <w:rPr>
                <w:rFonts w:hint="eastAsia" w:cs="宋体"/>
              </w:rPr>
            </w:pPr>
            <w:r>
              <w:rPr>
                <w:rFonts w:hint="eastAsia" w:cs="宋体"/>
                <w:kern w:val="0"/>
                <w:lang w:bidi="ar"/>
              </w:rPr>
              <w:t>环境监测与污染控制主题数据融合服务</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3ADE2198">
            <w:pPr>
              <w:widowControl/>
              <w:spacing w:line="240" w:lineRule="auto"/>
              <w:ind w:firstLine="0" w:firstLineChars="0"/>
              <w:textAlignment w:val="center"/>
              <w:rPr>
                <w:rFonts w:hint="eastAsia" w:cs="宋体"/>
              </w:rPr>
            </w:pPr>
            <w:r>
              <w:rPr>
                <w:rFonts w:hint="eastAsia" w:cs="宋体"/>
                <w:kern w:val="0"/>
                <w:lang w:bidi="ar"/>
              </w:rPr>
              <w:t>围绕化工区的环境监测与污染控制主题，归集各业务系统数据，对数据进行清洗、整合服务。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76BB91C4">
            <w:pPr>
              <w:widowControl/>
              <w:spacing w:line="240" w:lineRule="auto"/>
              <w:ind w:firstLine="0" w:firstLineChars="0"/>
              <w:jc w:val="right"/>
              <w:textAlignment w:val="center"/>
              <w:rPr>
                <w:rFonts w:hint="eastAsia" w:cs="宋体"/>
                <w:kern w:val="0"/>
                <w:lang w:bidi="ar"/>
              </w:rPr>
            </w:pPr>
            <w:r>
              <w:rPr>
                <w:rFonts w:hint="eastAsia" w:cs="宋体"/>
                <w:kern w:val="0"/>
                <w:lang w:bidi="ar"/>
              </w:rPr>
              <w:t>2600</w:t>
            </w:r>
          </w:p>
        </w:tc>
      </w:tr>
      <w:tr w14:paraId="665C8422">
        <w:tblPrEx>
          <w:tblCellMar>
            <w:top w:w="0" w:type="dxa"/>
            <w:left w:w="108" w:type="dxa"/>
            <w:bottom w:w="0" w:type="dxa"/>
            <w:right w:w="108" w:type="dxa"/>
          </w:tblCellMar>
        </w:tblPrEx>
        <w:trPr>
          <w:trHeight w:val="6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25E9E3BC">
            <w:pPr>
              <w:widowControl/>
              <w:spacing w:line="240" w:lineRule="auto"/>
              <w:ind w:firstLine="0" w:firstLineChars="0"/>
              <w:jc w:val="center"/>
              <w:textAlignment w:val="center"/>
              <w:rPr>
                <w:rFonts w:hint="eastAsia" w:cs="宋体"/>
              </w:rPr>
            </w:pPr>
            <w:r>
              <w:rPr>
                <w:rFonts w:hint="eastAsia" w:cs="宋体"/>
                <w:kern w:val="0"/>
                <w:lang w:bidi="ar"/>
              </w:rPr>
              <w:t>4</w:t>
            </w:r>
          </w:p>
        </w:tc>
        <w:tc>
          <w:tcPr>
            <w:tcW w:w="234" w:type="pct"/>
            <w:vMerge w:val="continue"/>
            <w:tcBorders>
              <w:top w:val="single" w:color="000000" w:sz="4" w:space="0"/>
              <w:left w:val="single" w:color="000000" w:sz="4" w:space="0"/>
              <w:bottom w:val="single" w:color="000000" w:sz="4" w:space="0"/>
              <w:right w:val="single" w:color="000000" w:sz="4" w:space="0"/>
            </w:tcBorders>
            <w:noWrap/>
            <w:vAlign w:val="center"/>
          </w:tcPr>
          <w:p w14:paraId="18D26862">
            <w:pPr>
              <w:widowControl/>
              <w:spacing w:line="240" w:lineRule="auto"/>
              <w:ind w:firstLine="0" w:firstLineChars="0"/>
              <w:jc w:val="center"/>
              <w:rPr>
                <w:rFonts w:hint="eastAsia" w:cs="宋体"/>
              </w:rPr>
            </w:pP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5AFB3D35">
            <w:pPr>
              <w:widowControl/>
              <w:spacing w:line="240" w:lineRule="auto"/>
              <w:ind w:firstLine="0" w:firstLineChars="0"/>
              <w:jc w:val="left"/>
              <w:textAlignment w:val="center"/>
              <w:rPr>
                <w:rFonts w:hint="eastAsia" w:cs="宋体"/>
              </w:rPr>
            </w:pPr>
            <w:r>
              <w:rPr>
                <w:rFonts w:hint="eastAsia" w:cs="宋体"/>
                <w:kern w:val="0"/>
                <w:lang w:bidi="ar"/>
              </w:rPr>
              <w:t>园区经济发展主题数据融合服务</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736810A3">
            <w:pPr>
              <w:widowControl/>
              <w:spacing w:line="240" w:lineRule="auto"/>
              <w:ind w:firstLine="0" w:firstLineChars="0"/>
              <w:textAlignment w:val="center"/>
              <w:rPr>
                <w:rFonts w:hint="eastAsia" w:cs="宋体"/>
              </w:rPr>
            </w:pPr>
            <w:r>
              <w:rPr>
                <w:rFonts w:hint="eastAsia" w:cs="宋体"/>
                <w:kern w:val="0"/>
                <w:lang w:bidi="ar"/>
              </w:rPr>
              <w:t>围绕化工区的经济发展主题，归集各业务系统数据，对数据进行清洗、整合服务。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7A533D1D">
            <w:pPr>
              <w:widowControl/>
              <w:spacing w:line="240" w:lineRule="auto"/>
              <w:ind w:firstLine="0" w:firstLineChars="0"/>
              <w:jc w:val="right"/>
              <w:textAlignment w:val="center"/>
              <w:rPr>
                <w:rFonts w:hint="eastAsia" w:cs="宋体"/>
                <w:kern w:val="0"/>
                <w:lang w:bidi="ar"/>
              </w:rPr>
            </w:pPr>
            <w:r>
              <w:rPr>
                <w:rFonts w:hint="eastAsia" w:cs="宋体"/>
                <w:kern w:val="0"/>
                <w:lang w:bidi="ar"/>
              </w:rPr>
              <w:t>3500</w:t>
            </w:r>
          </w:p>
        </w:tc>
      </w:tr>
      <w:tr w14:paraId="02748B8E">
        <w:tblPrEx>
          <w:tblCellMar>
            <w:top w:w="0" w:type="dxa"/>
            <w:left w:w="108" w:type="dxa"/>
            <w:bottom w:w="0" w:type="dxa"/>
            <w:right w:w="108" w:type="dxa"/>
          </w:tblCellMar>
        </w:tblPrEx>
        <w:trPr>
          <w:trHeight w:val="6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0645FD46">
            <w:pPr>
              <w:widowControl/>
              <w:spacing w:line="240" w:lineRule="auto"/>
              <w:ind w:firstLine="0" w:firstLineChars="0"/>
              <w:jc w:val="center"/>
              <w:textAlignment w:val="center"/>
              <w:rPr>
                <w:rFonts w:hint="eastAsia" w:cs="宋体"/>
              </w:rPr>
            </w:pPr>
            <w:r>
              <w:rPr>
                <w:rFonts w:hint="eastAsia" w:cs="宋体"/>
                <w:kern w:val="0"/>
                <w:lang w:bidi="ar"/>
              </w:rPr>
              <w:t>5</w:t>
            </w:r>
          </w:p>
        </w:tc>
        <w:tc>
          <w:tcPr>
            <w:tcW w:w="234" w:type="pct"/>
            <w:vMerge w:val="continue"/>
            <w:tcBorders>
              <w:top w:val="single" w:color="000000" w:sz="4" w:space="0"/>
              <w:left w:val="single" w:color="000000" w:sz="4" w:space="0"/>
              <w:bottom w:val="single" w:color="000000" w:sz="4" w:space="0"/>
              <w:right w:val="single" w:color="000000" w:sz="4" w:space="0"/>
            </w:tcBorders>
            <w:noWrap/>
            <w:vAlign w:val="center"/>
          </w:tcPr>
          <w:p w14:paraId="46120FA4">
            <w:pPr>
              <w:widowControl/>
              <w:spacing w:line="240" w:lineRule="auto"/>
              <w:ind w:firstLine="0" w:firstLineChars="0"/>
              <w:jc w:val="center"/>
              <w:rPr>
                <w:rFonts w:hint="eastAsia" w:cs="宋体"/>
              </w:rPr>
            </w:pP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3DEEDCAC">
            <w:pPr>
              <w:widowControl/>
              <w:spacing w:line="240" w:lineRule="auto"/>
              <w:ind w:firstLine="0" w:firstLineChars="0"/>
              <w:jc w:val="left"/>
              <w:textAlignment w:val="center"/>
              <w:rPr>
                <w:rFonts w:hint="eastAsia" w:cs="宋体"/>
              </w:rPr>
            </w:pPr>
            <w:r>
              <w:rPr>
                <w:rFonts w:hint="eastAsia" w:cs="宋体"/>
                <w:kern w:val="0"/>
                <w:lang w:bidi="ar"/>
              </w:rPr>
              <w:t>园区产业发展主题数据融合服务</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0F948103">
            <w:pPr>
              <w:widowControl/>
              <w:spacing w:line="240" w:lineRule="auto"/>
              <w:ind w:firstLine="0" w:firstLineChars="0"/>
              <w:textAlignment w:val="center"/>
              <w:rPr>
                <w:rFonts w:hint="eastAsia" w:cs="宋体"/>
              </w:rPr>
            </w:pPr>
            <w:r>
              <w:rPr>
                <w:rFonts w:hint="eastAsia" w:cs="宋体"/>
                <w:kern w:val="0"/>
                <w:lang w:bidi="ar"/>
              </w:rPr>
              <w:t>围绕化工区的经济发展主题，归集各业务系统数据，对数据进行清洗、整合服务。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4F26115A">
            <w:pPr>
              <w:widowControl/>
              <w:spacing w:line="240" w:lineRule="auto"/>
              <w:ind w:firstLine="0" w:firstLineChars="0"/>
              <w:jc w:val="right"/>
              <w:textAlignment w:val="center"/>
              <w:rPr>
                <w:rFonts w:hint="eastAsia" w:cs="宋体"/>
                <w:kern w:val="0"/>
                <w:lang w:bidi="ar"/>
              </w:rPr>
            </w:pPr>
            <w:r>
              <w:rPr>
                <w:rFonts w:hint="eastAsia" w:cs="宋体"/>
                <w:kern w:val="0"/>
                <w:lang w:bidi="ar"/>
              </w:rPr>
              <w:t>4000</w:t>
            </w:r>
          </w:p>
        </w:tc>
      </w:tr>
      <w:tr w14:paraId="7C70AF66">
        <w:tblPrEx>
          <w:tblCellMar>
            <w:top w:w="0" w:type="dxa"/>
            <w:left w:w="108" w:type="dxa"/>
            <w:bottom w:w="0" w:type="dxa"/>
            <w:right w:w="108" w:type="dxa"/>
          </w:tblCellMar>
        </w:tblPrEx>
        <w:trPr>
          <w:trHeight w:val="6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4C1A829A">
            <w:pPr>
              <w:widowControl/>
              <w:spacing w:line="240" w:lineRule="auto"/>
              <w:ind w:firstLine="0" w:firstLineChars="0"/>
              <w:jc w:val="center"/>
              <w:textAlignment w:val="center"/>
              <w:rPr>
                <w:rFonts w:hint="eastAsia" w:cs="宋体"/>
              </w:rPr>
            </w:pPr>
            <w:r>
              <w:rPr>
                <w:rFonts w:hint="eastAsia" w:cs="宋体"/>
                <w:kern w:val="0"/>
                <w:lang w:bidi="ar"/>
              </w:rPr>
              <w:t>6</w:t>
            </w:r>
          </w:p>
        </w:tc>
        <w:tc>
          <w:tcPr>
            <w:tcW w:w="234" w:type="pct"/>
            <w:vMerge w:val="continue"/>
            <w:tcBorders>
              <w:top w:val="single" w:color="000000" w:sz="4" w:space="0"/>
              <w:left w:val="single" w:color="000000" w:sz="4" w:space="0"/>
              <w:bottom w:val="single" w:color="000000" w:sz="4" w:space="0"/>
              <w:right w:val="single" w:color="000000" w:sz="4" w:space="0"/>
            </w:tcBorders>
            <w:noWrap/>
            <w:vAlign w:val="center"/>
          </w:tcPr>
          <w:p w14:paraId="30113ABF">
            <w:pPr>
              <w:widowControl/>
              <w:spacing w:line="240" w:lineRule="auto"/>
              <w:ind w:firstLine="0" w:firstLineChars="0"/>
              <w:jc w:val="center"/>
              <w:rPr>
                <w:rFonts w:hint="eastAsia" w:cs="宋体"/>
              </w:rPr>
            </w:pP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200771FA">
            <w:pPr>
              <w:widowControl/>
              <w:spacing w:line="240" w:lineRule="auto"/>
              <w:ind w:firstLine="0" w:firstLineChars="0"/>
              <w:jc w:val="left"/>
              <w:textAlignment w:val="center"/>
              <w:rPr>
                <w:rFonts w:hint="eastAsia" w:cs="宋体"/>
              </w:rPr>
            </w:pPr>
            <w:r>
              <w:rPr>
                <w:rFonts w:hint="eastAsia" w:cs="宋体"/>
                <w:kern w:val="0"/>
                <w:lang w:bidi="ar"/>
              </w:rPr>
              <w:t>园区土地利用主题数据融合服务</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58AC4D53">
            <w:pPr>
              <w:widowControl/>
              <w:spacing w:line="240" w:lineRule="auto"/>
              <w:ind w:firstLine="0" w:firstLineChars="0"/>
              <w:textAlignment w:val="center"/>
              <w:rPr>
                <w:rFonts w:hint="eastAsia" w:cs="宋体"/>
              </w:rPr>
            </w:pPr>
            <w:r>
              <w:rPr>
                <w:rFonts w:hint="eastAsia" w:cs="宋体"/>
                <w:kern w:val="0"/>
                <w:lang w:bidi="ar"/>
              </w:rPr>
              <w:t>围绕化工区的土地利用主题，归集各业务系统数据，对数据进行清洗、整合服务。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651F4A42">
            <w:pPr>
              <w:widowControl/>
              <w:spacing w:line="240" w:lineRule="auto"/>
              <w:ind w:firstLine="0" w:firstLineChars="0"/>
              <w:jc w:val="right"/>
              <w:textAlignment w:val="center"/>
              <w:rPr>
                <w:rFonts w:hint="eastAsia" w:cs="宋体"/>
                <w:kern w:val="0"/>
                <w:lang w:bidi="ar"/>
              </w:rPr>
            </w:pPr>
            <w:r>
              <w:rPr>
                <w:rFonts w:hint="eastAsia" w:cs="宋体"/>
                <w:kern w:val="0"/>
                <w:lang w:bidi="ar"/>
              </w:rPr>
              <w:t>1800</w:t>
            </w:r>
          </w:p>
        </w:tc>
      </w:tr>
      <w:tr w14:paraId="76622263">
        <w:tblPrEx>
          <w:tblCellMar>
            <w:top w:w="0" w:type="dxa"/>
            <w:left w:w="108" w:type="dxa"/>
            <w:bottom w:w="0" w:type="dxa"/>
            <w:right w:w="108" w:type="dxa"/>
          </w:tblCellMar>
        </w:tblPrEx>
        <w:trPr>
          <w:trHeight w:val="600" w:hRule="atLeast"/>
          <w:jc w:val="center"/>
        </w:trPr>
        <w:tc>
          <w:tcPr>
            <w:tcW w:w="450" w:type="pct"/>
            <w:tcBorders>
              <w:top w:val="single" w:color="000000" w:sz="4" w:space="0"/>
              <w:left w:val="single" w:color="000000" w:sz="4" w:space="0"/>
              <w:bottom w:val="single" w:color="000000" w:sz="4" w:space="0"/>
              <w:right w:val="single" w:color="000000" w:sz="4" w:space="0"/>
            </w:tcBorders>
            <w:noWrap/>
            <w:vAlign w:val="center"/>
          </w:tcPr>
          <w:p w14:paraId="0A05CBB4">
            <w:pPr>
              <w:widowControl/>
              <w:spacing w:line="240" w:lineRule="auto"/>
              <w:ind w:firstLine="0" w:firstLineChars="0"/>
              <w:jc w:val="center"/>
              <w:textAlignment w:val="center"/>
              <w:rPr>
                <w:rFonts w:hint="eastAsia" w:cs="宋体"/>
              </w:rPr>
            </w:pPr>
            <w:r>
              <w:rPr>
                <w:rFonts w:hint="eastAsia" w:cs="宋体"/>
                <w:kern w:val="0"/>
                <w:lang w:bidi="ar"/>
              </w:rPr>
              <w:t>7</w:t>
            </w:r>
          </w:p>
        </w:tc>
        <w:tc>
          <w:tcPr>
            <w:tcW w:w="234" w:type="pct"/>
            <w:vMerge w:val="continue"/>
            <w:tcBorders>
              <w:top w:val="single" w:color="000000" w:sz="4" w:space="0"/>
              <w:left w:val="single" w:color="000000" w:sz="4" w:space="0"/>
              <w:bottom w:val="single" w:color="000000" w:sz="4" w:space="0"/>
              <w:right w:val="single" w:color="000000" w:sz="4" w:space="0"/>
            </w:tcBorders>
            <w:noWrap/>
            <w:vAlign w:val="center"/>
          </w:tcPr>
          <w:p w14:paraId="1B645E62">
            <w:pPr>
              <w:widowControl/>
              <w:spacing w:line="240" w:lineRule="auto"/>
              <w:ind w:firstLine="0" w:firstLineChars="0"/>
              <w:jc w:val="center"/>
              <w:rPr>
                <w:rFonts w:hint="eastAsia" w:cs="宋体"/>
              </w:rPr>
            </w:pP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74858C99">
            <w:pPr>
              <w:widowControl/>
              <w:spacing w:line="240" w:lineRule="auto"/>
              <w:ind w:firstLine="0" w:firstLineChars="0"/>
              <w:jc w:val="left"/>
              <w:textAlignment w:val="center"/>
              <w:rPr>
                <w:rFonts w:hint="eastAsia" w:cs="宋体"/>
              </w:rPr>
            </w:pPr>
            <w:r>
              <w:rPr>
                <w:rFonts w:hint="eastAsia" w:cs="宋体"/>
                <w:kern w:val="0"/>
                <w:lang w:bidi="ar"/>
              </w:rPr>
              <w:t>企业发展主题数据融合服务</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426FAFDC">
            <w:pPr>
              <w:widowControl/>
              <w:spacing w:line="240" w:lineRule="auto"/>
              <w:ind w:firstLine="0" w:firstLineChars="0"/>
              <w:textAlignment w:val="center"/>
              <w:rPr>
                <w:rFonts w:hint="eastAsia" w:cs="宋体"/>
              </w:rPr>
            </w:pPr>
            <w:r>
              <w:rPr>
                <w:rFonts w:hint="eastAsia" w:cs="宋体"/>
                <w:kern w:val="0"/>
                <w:lang w:bidi="ar"/>
              </w:rPr>
              <w:t>围绕化工区的企业发展主题，归集各业务系统数据，对数据进行清洗、整合服务。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1BA6283">
            <w:pPr>
              <w:widowControl/>
              <w:spacing w:line="240" w:lineRule="auto"/>
              <w:ind w:firstLine="0" w:firstLineChars="0"/>
              <w:jc w:val="right"/>
              <w:textAlignment w:val="center"/>
              <w:rPr>
                <w:rFonts w:hint="eastAsia" w:cs="宋体"/>
                <w:kern w:val="0"/>
                <w:lang w:bidi="ar"/>
              </w:rPr>
            </w:pPr>
            <w:r>
              <w:rPr>
                <w:rFonts w:hint="eastAsia" w:cs="宋体"/>
                <w:kern w:val="0"/>
                <w:lang w:bidi="ar"/>
              </w:rPr>
              <w:t>3000</w:t>
            </w:r>
          </w:p>
        </w:tc>
      </w:tr>
      <w:tr w14:paraId="5314A9B2">
        <w:tblPrEx>
          <w:tblCellMar>
            <w:top w:w="0" w:type="dxa"/>
            <w:left w:w="108" w:type="dxa"/>
            <w:bottom w:w="0" w:type="dxa"/>
            <w:right w:w="108" w:type="dxa"/>
          </w:tblCellMar>
        </w:tblPrEx>
        <w:trPr>
          <w:trHeight w:val="360" w:hRule="atLeast"/>
          <w:jc w:val="center"/>
        </w:trPr>
        <w:tc>
          <w:tcPr>
            <w:tcW w:w="4308" w:type="pct"/>
            <w:gridSpan w:val="4"/>
            <w:tcBorders>
              <w:top w:val="single" w:color="000000" w:sz="4" w:space="0"/>
              <w:left w:val="single" w:color="000000" w:sz="4" w:space="0"/>
              <w:bottom w:val="single" w:color="000000" w:sz="4" w:space="0"/>
              <w:right w:val="single" w:color="000000" w:sz="4" w:space="0"/>
            </w:tcBorders>
            <w:noWrap/>
            <w:vAlign w:val="center"/>
          </w:tcPr>
          <w:p w14:paraId="2DCE3843">
            <w:pPr>
              <w:widowControl/>
              <w:spacing w:line="240" w:lineRule="auto"/>
              <w:ind w:firstLine="0" w:firstLineChars="0"/>
              <w:jc w:val="right"/>
              <w:textAlignment w:val="center"/>
              <w:rPr>
                <w:rFonts w:hint="eastAsia" w:cs="宋体"/>
                <w:b/>
                <w:bCs/>
                <w:kern w:val="0"/>
                <w:lang w:bidi="ar"/>
              </w:rPr>
            </w:pPr>
            <w:r>
              <w:rPr>
                <w:rFonts w:hint="eastAsia" w:cs="宋体"/>
                <w:b/>
                <w:bCs/>
                <w:kern w:val="0"/>
                <w:lang w:bidi="ar"/>
              </w:rPr>
              <w:t>总计</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B512566">
            <w:pPr>
              <w:widowControl/>
              <w:spacing w:line="240" w:lineRule="auto"/>
              <w:ind w:firstLine="0" w:firstLineChars="0"/>
              <w:jc w:val="right"/>
              <w:textAlignment w:val="center"/>
              <w:rPr>
                <w:rFonts w:hint="eastAsia" w:cs="宋体"/>
                <w:b/>
                <w:bCs/>
                <w:kern w:val="0"/>
                <w:lang w:bidi="ar"/>
              </w:rPr>
            </w:pPr>
            <w:r>
              <w:rPr>
                <w:rFonts w:hint="eastAsia" w:cs="宋体"/>
                <w:b/>
                <w:bCs/>
                <w:kern w:val="0"/>
                <w:lang w:bidi="ar"/>
              </w:rPr>
              <w:t>25000</w:t>
            </w:r>
          </w:p>
        </w:tc>
      </w:tr>
    </w:tbl>
    <w:p w14:paraId="5ABF043A">
      <w:pPr>
        <w:ind w:firstLine="0" w:firstLineChars="0"/>
        <w:rPr>
          <w:rFonts w:hint="eastAsia" w:cs="宋体"/>
          <w:lang w:bidi="ar"/>
        </w:rPr>
      </w:pPr>
      <w:r>
        <w:rPr>
          <w:rFonts w:hint="eastAsia" w:cs="宋体"/>
          <w:lang w:bidi="ar"/>
        </w:rPr>
        <w:t>（2）数据标签服务</w:t>
      </w:r>
    </w:p>
    <w:tbl>
      <w:tblPr>
        <w:tblStyle w:val="35"/>
        <w:tblW w:w="5000" w:type="pct"/>
        <w:tblInd w:w="0" w:type="dxa"/>
        <w:tblLayout w:type="fixed"/>
        <w:tblCellMar>
          <w:top w:w="0" w:type="dxa"/>
          <w:left w:w="108" w:type="dxa"/>
          <w:bottom w:w="0" w:type="dxa"/>
          <w:right w:w="108" w:type="dxa"/>
        </w:tblCellMar>
      </w:tblPr>
      <w:tblGrid>
        <w:gridCol w:w="777"/>
        <w:gridCol w:w="389"/>
        <w:gridCol w:w="1909"/>
        <w:gridCol w:w="4358"/>
        <w:gridCol w:w="1095"/>
      </w:tblGrid>
      <w:tr w14:paraId="29D56073">
        <w:tblPrEx>
          <w:tblCellMar>
            <w:top w:w="0" w:type="dxa"/>
            <w:left w:w="108" w:type="dxa"/>
            <w:bottom w:w="0" w:type="dxa"/>
            <w:right w:w="108" w:type="dxa"/>
          </w:tblCellMar>
        </w:tblPrEx>
        <w:trPr>
          <w:trHeight w:val="3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6D121ADB">
            <w:pPr>
              <w:widowControl/>
              <w:spacing w:line="240" w:lineRule="auto"/>
              <w:ind w:firstLine="0" w:firstLineChars="0"/>
              <w:jc w:val="center"/>
              <w:textAlignment w:val="center"/>
              <w:rPr>
                <w:rFonts w:hint="eastAsia" w:cs="宋体"/>
                <w:b/>
                <w:bCs/>
              </w:rPr>
            </w:pPr>
            <w:r>
              <w:rPr>
                <w:rFonts w:hint="eastAsia" w:cs="宋体"/>
                <w:b/>
                <w:bCs/>
                <w:kern w:val="0"/>
                <w:lang w:bidi="ar"/>
              </w:rPr>
              <w:t>序号</w:t>
            </w:r>
          </w:p>
        </w:tc>
        <w:tc>
          <w:tcPr>
            <w:tcW w:w="1347" w:type="pct"/>
            <w:gridSpan w:val="2"/>
            <w:tcBorders>
              <w:top w:val="single" w:color="000000" w:sz="4" w:space="0"/>
              <w:left w:val="single" w:color="000000" w:sz="4" w:space="0"/>
              <w:bottom w:val="single" w:color="000000" w:sz="4" w:space="0"/>
              <w:right w:val="single" w:color="000000" w:sz="4" w:space="0"/>
            </w:tcBorders>
            <w:noWrap/>
            <w:vAlign w:val="center"/>
          </w:tcPr>
          <w:p w14:paraId="6A9D3213">
            <w:pPr>
              <w:widowControl/>
              <w:spacing w:line="240" w:lineRule="auto"/>
              <w:ind w:firstLine="0" w:firstLineChars="0"/>
              <w:jc w:val="center"/>
              <w:textAlignment w:val="center"/>
              <w:rPr>
                <w:rFonts w:hint="eastAsia" w:cs="宋体"/>
                <w:b/>
                <w:bCs/>
              </w:rPr>
            </w:pPr>
            <w:r>
              <w:rPr>
                <w:rFonts w:hint="eastAsia" w:cs="宋体"/>
                <w:b/>
                <w:bCs/>
                <w:kern w:val="0"/>
                <w:lang w:bidi="ar"/>
              </w:rPr>
              <w:t>功能名称</w:t>
            </w: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2B97001C">
            <w:pPr>
              <w:widowControl/>
              <w:spacing w:line="240" w:lineRule="auto"/>
              <w:ind w:firstLine="0" w:firstLineChars="0"/>
              <w:jc w:val="center"/>
              <w:textAlignment w:val="center"/>
              <w:rPr>
                <w:rFonts w:hint="eastAsia" w:cs="宋体"/>
                <w:b/>
                <w:bCs/>
              </w:rPr>
            </w:pPr>
            <w:r>
              <w:rPr>
                <w:rFonts w:hint="eastAsia" w:cs="宋体"/>
                <w:b/>
                <w:bCs/>
                <w:kern w:val="0"/>
                <w:lang w:bidi="ar"/>
              </w:rPr>
              <w:t>功能要求</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AEBF9A7">
            <w:pPr>
              <w:widowControl/>
              <w:spacing w:line="240" w:lineRule="auto"/>
              <w:ind w:firstLine="0" w:firstLineChars="0"/>
              <w:jc w:val="center"/>
              <w:textAlignment w:val="center"/>
              <w:rPr>
                <w:rFonts w:hint="eastAsia" w:cs="宋体"/>
                <w:b/>
                <w:bCs/>
              </w:rPr>
            </w:pPr>
            <w:r>
              <w:rPr>
                <w:rFonts w:hint="eastAsia" w:cs="宋体"/>
                <w:b/>
                <w:bCs/>
                <w:kern w:val="0"/>
                <w:lang w:bidi="ar"/>
              </w:rPr>
              <w:t>工作量（个）</w:t>
            </w:r>
          </w:p>
        </w:tc>
      </w:tr>
      <w:tr w14:paraId="50CDE8B2">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79E1DB03">
            <w:pPr>
              <w:widowControl/>
              <w:spacing w:line="240" w:lineRule="auto"/>
              <w:ind w:firstLine="0" w:firstLineChars="0"/>
              <w:jc w:val="center"/>
              <w:textAlignment w:val="center"/>
              <w:rPr>
                <w:rFonts w:hint="eastAsia" w:cs="宋体"/>
              </w:rPr>
            </w:pPr>
            <w:r>
              <w:rPr>
                <w:rFonts w:hint="eastAsia" w:cs="宋体"/>
                <w:kern w:val="0"/>
                <w:lang w:bidi="ar"/>
              </w:rPr>
              <w:t>1</w:t>
            </w:r>
          </w:p>
        </w:tc>
        <w:tc>
          <w:tcPr>
            <w:tcW w:w="228" w:type="pct"/>
            <w:vMerge w:val="restart"/>
            <w:tcBorders>
              <w:top w:val="single" w:color="000000" w:sz="4" w:space="0"/>
              <w:left w:val="single" w:color="000000" w:sz="4" w:space="0"/>
              <w:bottom w:val="single" w:color="000000" w:sz="4" w:space="0"/>
              <w:right w:val="single" w:color="000000" w:sz="4" w:space="0"/>
            </w:tcBorders>
            <w:noWrap/>
            <w:vAlign w:val="center"/>
          </w:tcPr>
          <w:p w14:paraId="689C0DFB">
            <w:pPr>
              <w:widowControl/>
              <w:spacing w:line="240" w:lineRule="auto"/>
              <w:ind w:firstLine="0" w:firstLineChars="0"/>
              <w:jc w:val="center"/>
              <w:textAlignment w:val="center"/>
              <w:rPr>
                <w:rFonts w:hint="eastAsia" w:cs="宋体"/>
              </w:rPr>
            </w:pPr>
            <w:r>
              <w:rPr>
                <w:rFonts w:hint="eastAsia" w:cs="宋体"/>
                <w:kern w:val="0"/>
                <w:lang w:bidi="ar"/>
              </w:rPr>
              <w:t>数据标签服务</w:t>
            </w:r>
          </w:p>
        </w:tc>
        <w:tc>
          <w:tcPr>
            <w:tcW w:w="1118" w:type="pct"/>
            <w:vMerge w:val="restart"/>
            <w:tcBorders>
              <w:top w:val="single" w:color="000000" w:sz="4" w:space="0"/>
              <w:left w:val="single" w:color="000000" w:sz="4" w:space="0"/>
              <w:bottom w:val="single" w:color="000000" w:sz="4" w:space="0"/>
              <w:right w:val="single" w:color="000000" w:sz="4" w:space="0"/>
            </w:tcBorders>
            <w:noWrap/>
            <w:vAlign w:val="center"/>
          </w:tcPr>
          <w:p w14:paraId="45D134D1">
            <w:pPr>
              <w:widowControl/>
              <w:spacing w:line="240" w:lineRule="auto"/>
              <w:ind w:firstLine="0" w:firstLineChars="0"/>
              <w:jc w:val="center"/>
              <w:textAlignment w:val="center"/>
              <w:rPr>
                <w:rFonts w:hint="eastAsia" w:cs="宋体"/>
              </w:rPr>
            </w:pPr>
            <w:r>
              <w:rPr>
                <w:rFonts w:hint="eastAsia" w:cs="宋体"/>
                <w:kern w:val="0"/>
                <w:lang w:bidi="ar"/>
              </w:rPr>
              <w:t>企业标签设计</w:t>
            </w: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05E41F94">
            <w:pPr>
              <w:widowControl/>
              <w:spacing w:line="240" w:lineRule="auto"/>
              <w:ind w:firstLine="0" w:firstLineChars="0"/>
              <w:jc w:val="left"/>
              <w:textAlignment w:val="center"/>
              <w:rPr>
                <w:rFonts w:hint="eastAsia" w:cs="宋体"/>
              </w:rPr>
            </w:pPr>
            <w:r>
              <w:rPr>
                <w:rFonts w:hint="eastAsia" w:cs="宋体"/>
                <w:kern w:val="0"/>
                <w:lang w:bidi="ar"/>
              </w:rPr>
              <w:t>基础画像标签（静态+强标准化）</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1B9C2897">
            <w:pPr>
              <w:widowControl/>
              <w:spacing w:line="240" w:lineRule="auto"/>
              <w:ind w:firstLine="0" w:firstLineChars="0"/>
              <w:jc w:val="right"/>
              <w:textAlignment w:val="center"/>
              <w:rPr>
                <w:rFonts w:hint="eastAsia" w:cs="宋体"/>
              </w:rPr>
            </w:pPr>
            <w:r>
              <w:rPr>
                <w:rFonts w:hint="eastAsia" w:cs="宋体"/>
                <w:kern w:val="0"/>
                <w:lang w:bidi="ar"/>
              </w:rPr>
              <w:t>15</w:t>
            </w:r>
          </w:p>
        </w:tc>
      </w:tr>
      <w:tr w14:paraId="5B7B7608">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0664C537">
            <w:pPr>
              <w:widowControl/>
              <w:spacing w:line="240" w:lineRule="auto"/>
              <w:ind w:firstLine="0" w:firstLineChars="0"/>
              <w:jc w:val="center"/>
              <w:textAlignment w:val="center"/>
              <w:rPr>
                <w:rFonts w:hint="eastAsia" w:cs="宋体"/>
              </w:rPr>
            </w:pPr>
            <w:r>
              <w:rPr>
                <w:rFonts w:hint="eastAsia" w:cs="宋体"/>
                <w:kern w:val="0"/>
                <w:lang w:bidi="ar"/>
              </w:rPr>
              <w:t>2</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62EE8C92">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7493A2B7">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5ED632FA">
            <w:pPr>
              <w:widowControl/>
              <w:spacing w:line="240" w:lineRule="auto"/>
              <w:ind w:firstLine="0" w:firstLineChars="0"/>
              <w:jc w:val="left"/>
              <w:textAlignment w:val="center"/>
              <w:rPr>
                <w:rFonts w:hint="eastAsia" w:cs="宋体"/>
              </w:rPr>
            </w:pPr>
            <w:r>
              <w:rPr>
                <w:rFonts w:hint="eastAsia" w:cs="宋体"/>
                <w:kern w:val="0"/>
                <w:lang w:bidi="ar"/>
              </w:rPr>
              <w:t>特色企业资质类标签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A6E7B42">
            <w:pPr>
              <w:widowControl/>
              <w:spacing w:line="240" w:lineRule="auto"/>
              <w:ind w:firstLine="0" w:firstLineChars="0"/>
              <w:jc w:val="right"/>
              <w:textAlignment w:val="center"/>
              <w:rPr>
                <w:rFonts w:hint="eastAsia" w:cs="宋体"/>
              </w:rPr>
            </w:pPr>
            <w:r>
              <w:rPr>
                <w:rFonts w:hint="eastAsia" w:cs="宋体"/>
                <w:kern w:val="0"/>
                <w:lang w:bidi="ar"/>
              </w:rPr>
              <w:t>9</w:t>
            </w:r>
          </w:p>
        </w:tc>
      </w:tr>
      <w:tr w14:paraId="1AD7CBA8">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2A6BEFB1">
            <w:pPr>
              <w:widowControl/>
              <w:spacing w:line="240" w:lineRule="auto"/>
              <w:ind w:firstLine="0" w:firstLineChars="0"/>
              <w:jc w:val="center"/>
              <w:textAlignment w:val="center"/>
              <w:rPr>
                <w:rFonts w:hint="eastAsia" w:cs="宋体"/>
              </w:rPr>
            </w:pPr>
            <w:r>
              <w:rPr>
                <w:rFonts w:hint="eastAsia" w:cs="宋体"/>
                <w:kern w:val="0"/>
                <w:lang w:bidi="ar"/>
              </w:rPr>
              <w:t>3</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09D72A87">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1E872CA0">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42C7B6B7">
            <w:pPr>
              <w:widowControl/>
              <w:spacing w:line="240" w:lineRule="auto"/>
              <w:ind w:firstLine="0" w:firstLineChars="0"/>
              <w:jc w:val="left"/>
              <w:textAlignment w:val="center"/>
              <w:rPr>
                <w:rFonts w:hint="eastAsia" w:cs="宋体"/>
              </w:rPr>
            </w:pPr>
            <w:r>
              <w:rPr>
                <w:rFonts w:hint="eastAsia" w:cs="宋体"/>
                <w:kern w:val="0"/>
                <w:lang w:bidi="ar"/>
              </w:rPr>
              <w:t>经营能力标签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2B953FD">
            <w:pPr>
              <w:widowControl/>
              <w:spacing w:line="240" w:lineRule="auto"/>
              <w:ind w:firstLine="0" w:firstLineChars="0"/>
              <w:jc w:val="right"/>
              <w:textAlignment w:val="center"/>
              <w:rPr>
                <w:rFonts w:hint="eastAsia" w:cs="宋体"/>
              </w:rPr>
            </w:pPr>
            <w:r>
              <w:rPr>
                <w:rFonts w:hint="eastAsia" w:cs="宋体"/>
                <w:kern w:val="0"/>
                <w:lang w:bidi="ar"/>
              </w:rPr>
              <w:t>12</w:t>
            </w:r>
          </w:p>
        </w:tc>
      </w:tr>
      <w:tr w14:paraId="1BA3BB2E">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63ACAF18">
            <w:pPr>
              <w:widowControl/>
              <w:spacing w:line="240" w:lineRule="auto"/>
              <w:ind w:firstLine="0" w:firstLineChars="0"/>
              <w:jc w:val="center"/>
              <w:textAlignment w:val="center"/>
              <w:rPr>
                <w:rFonts w:hint="eastAsia" w:cs="宋体"/>
              </w:rPr>
            </w:pPr>
            <w:r>
              <w:rPr>
                <w:rFonts w:hint="eastAsia" w:cs="宋体"/>
                <w:kern w:val="0"/>
                <w:lang w:bidi="ar"/>
              </w:rPr>
              <w:t>4</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72C60C00">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32C74580">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21C20FC0">
            <w:pPr>
              <w:widowControl/>
              <w:spacing w:line="240" w:lineRule="auto"/>
              <w:ind w:firstLine="0" w:firstLineChars="0"/>
              <w:jc w:val="left"/>
              <w:textAlignment w:val="center"/>
              <w:rPr>
                <w:rFonts w:hint="eastAsia" w:cs="宋体"/>
              </w:rPr>
            </w:pPr>
            <w:r>
              <w:rPr>
                <w:rFonts w:hint="eastAsia" w:cs="宋体"/>
                <w:kern w:val="0"/>
                <w:lang w:bidi="ar"/>
              </w:rPr>
              <w:t>发展潜力标签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2CE300D5">
            <w:pPr>
              <w:widowControl/>
              <w:spacing w:line="240" w:lineRule="auto"/>
              <w:ind w:firstLine="0" w:firstLineChars="0"/>
              <w:jc w:val="right"/>
              <w:textAlignment w:val="center"/>
              <w:rPr>
                <w:rFonts w:hint="eastAsia" w:cs="宋体"/>
              </w:rPr>
            </w:pPr>
            <w:r>
              <w:rPr>
                <w:rFonts w:hint="eastAsia" w:cs="宋体"/>
                <w:kern w:val="0"/>
                <w:lang w:bidi="ar"/>
              </w:rPr>
              <w:t>4</w:t>
            </w:r>
          </w:p>
        </w:tc>
      </w:tr>
      <w:tr w14:paraId="09DCF01D">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73509858">
            <w:pPr>
              <w:widowControl/>
              <w:spacing w:line="240" w:lineRule="auto"/>
              <w:ind w:firstLine="0" w:firstLineChars="0"/>
              <w:jc w:val="center"/>
              <w:textAlignment w:val="center"/>
              <w:rPr>
                <w:rFonts w:hint="eastAsia" w:cs="宋体"/>
              </w:rPr>
            </w:pPr>
            <w:r>
              <w:rPr>
                <w:rFonts w:hint="eastAsia" w:cs="宋体"/>
                <w:kern w:val="0"/>
                <w:lang w:bidi="ar"/>
              </w:rPr>
              <w:t>5</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75F1507E">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45A9DA99">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2033FDEB">
            <w:pPr>
              <w:widowControl/>
              <w:spacing w:line="240" w:lineRule="auto"/>
              <w:ind w:firstLine="0" w:firstLineChars="0"/>
              <w:jc w:val="left"/>
              <w:textAlignment w:val="center"/>
              <w:rPr>
                <w:rFonts w:hint="eastAsia" w:cs="宋体"/>
              </w:rPr>
            </w:pPr>
            <w:r>
              <w:rPr>
                <w:rFonts w:hint="eastAsia" w:cs="宋体"/>
                <w:kern w:val="0"/>
                <w:lang w:bidi="ar"/>
              </w:rPr>
              <w:t>企业创新能力类标签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5A0EE27">
            <w:pPr>
              <w:widowControl/>
              <w:spacing w:line="240" w:lineRule="auto"/>
              <w:ind w:firstLine="0" w:firstLineChars="0"/>
              <w:jc w:val="right"/>
              <w:textAlignment w:val="center"/>
              <w:rPr>
                <w:rFonts w:hint="eastAsia" w:cs="宋体"/>
              </w:rPr>
            </w:pPr>
            <w:r>
              <w:rPr>
                <w:rFonts w:hint="eastAsia" w:cs="宋体"/>
                <w:kern w:val="0"/>
                <w:lang w:bidi="ar"/>
              </w:rPr>
              <w:t>3</w:t>
            </w:r>
          </w:p>
        </w:tc>
      </w:tr>
      <w:tr w14:paraId="0CCBED6C">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7BF446DF">
            <w:pPr>
              <w:widowControl/>
              <w:spacing w:line="240" w:lineRule="auto"/>
              <w:ind w:firstLine="0" w:firstLineChars="0"/>
              <w:jc w:val="center"/>
              <w:textAlignment w:val="center"/>
              <w:rPr>
                <w:rFonts w:hint="eastAsia" w:cs="宋体"/>
              </w:rPr>
            </w:pPr>
            <w:r>
              <w:rPr>
                <w:rFonts w:hint="eastAsia" w:cs="宋体"/>
                <w:kern w:val="0"/>
                <w:lang w:bidi="ar"/>
              </w:rPr>
              <w:t>6</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654FDE02">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4404DC73">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098A0CEF">
            <w:pPr>
              <w:widowControl/>
              <w:spacing w:line="240" w:lineRule="auto"/>
              <w:ind w:firstLine="0" w:firstLineChars="0"/>
              <w:jc w:val="left"/>
              <w:textAlignment w:val="center"/>
              <w:rPr>
                <w:rFonts w:hint="eastAsia" w:cs="宋体"/>
              </w:rPr>
            </w:pPr>
            <w:r>
              <w:rPr>
                <w:rFonts w:hint="eastAsia" w:cs="宋体"/>
                <w:kern w:val="0"/>
                <w:lang w:bidi="ar"/>
              </w:rPr>
              <w:t>区域经济贡献类标签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101EE88C">
            <w:pPr>
              <w:widowControl/>
              <w:spacing w:line="240" w:lineRule="auto"/>
              <w:ind w:firstLine="0" w:firstLineChars="0"/>
              <w:jc w:val="right"/>
              <w:textAlignment w:val="center"/>
              <w:rPr>
                <w:rFonts w:hint="eastAsia" w:cs="宋体"/>
              </w:rPr>
            </w:pPr>
            <w:r>
              <w:rPr>
                <w:rFonts w:hint="eastAsia" w:cs="宋体"/>
                <w:kern w:val="0"/>
                <w:lang w:bidi="ar"/>
              </w:rPr>
              <w:t>4</w:t>
            </w:r>
          </w:p>
        </w:tc>
      </w:tr>
      <w:tr w14:paraId="6FECA443">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0660024F">
            <w:pPr>
              <w:widowControl/>
              <w:spacing w:line="240" w:lineRule="auto"/>
              <w:ind w:firstLine="0" w:firstLineChars="0"/>
              <w:jc w:val="center"/>
              <w:textAlignment w:val="center"/>
              <w:rPr>
                <w:rFonts w:hint="eastAsia" w:cs="宋体"/>
              </w:rPr>
            </w:pPr>
            <w:r>
              <w:rPr>
                <w:rFonts w:hint="eastAsia" w:cs="宋体"/>
                <w:kern w:val="0"/>
                <w:lang w:bidi="ar"/>
              </w:rPr>
              <w:t>7</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2C453B69">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7704F326">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13F0E800">
            <w:pPr>
              <w:widowControl/>
              <w:spacing w:line="240" w:lineRule="auto"/>
              <w:ind w:firstLine="0" w:firstLineChars="0"/>
              <w:jc w:val="left"/>
              <w:textAlignment w:val="center"/>
              <w:rPr>
                <w:rFonts w:hint="eastAsia" w:cs="宋体"/>
              </w:rPr>
            </w:pPr>
            <w:r>
              <w:rPr>
                <w:rFonts w:hint="eastAsia" w:cs="宋体"/>
                <w:kern w:val="0"/>
                <w:lang w:bidi="ar"/>
              </w:rPr>
              <w:t>其他特色标签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1C0110C2">
            <w:pPr>
              <w:widowControl/>
              <w:spacing w:line="240" w:lineRule="auto"/>
              <w:ind w:firstLine="0" w:firstLineChars="0"/>
              <w:jc w:val="right"/>
              <w:textAlignment w:val="center"/>
              <w:rPr>
                <w:rFonts w:hint="eastAsia" w:cs="宋体"/>
              </w:rPr>
            </w:pPr>
            <w:r>
              <w:rPr>
                <w:rFonts w:hint="eastAsia" w:cs="宋体"/>
                <w:kern w:val="0"/>
                <w:lang w:bidi="ar"/>
              </w:rPr>
              <w:t>10</w:t>
            </w:r>
          </w:p>
        </w:tc>
      </w:tr>
      <w:tr w14:paraId="06A421F3">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64668A9C">
            <w:pPr>
              <w:widowControl/>
              <w:spacing w:line="240" w:lineRule="auto"/>
              <w:ind w:firstLine="0" w:firstLineChars="0"/>
              <w:jc w:val="center"/>
              <w:textAlignment w:val="center"/>
              <w:rPr>
                <w:rFonts w:hint="eastAsia" w:cs="宋体"/>
              </w:rPr>
            </w:pPr>
            <w:r>
              <w:rPr>
                <w:rFonts w:hint="eastAsia" w:cs="宋体"/>
                <w:kern w:val="0"/>
                <w:lang w:bidi="ar"/>
              </w:rPr>
              <w:t>8</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4CE06EA5">
            <w:pPr>
              <w:widowControl/>
              <w:spacing w:line="240" w:lineRule="auto"/>
              <w:ind w:firstLine="0" w:firstLineChars="0"/>
              <w:jc w:val="center"/>
              <w:rPr>
                <w:rFonts w:hint="eastAsia" w:cs="宋体"/>
              </w:rPr>
            </w:pPr>
          </w:p>
        </w:tc>
        <w:tc>
          <w:tcPr>
            <w:tcW w:w="1118" w:type="pct"/>
            <w:vMerge w:val="restart"/>
            <w:tcBorders>
              <w:top w:val="single" w:color="000000" w:sz="4" w:space="0"/>
              <w:left w:val="single" w:color="000000" w:sz="4" w:space="0"/>
              <w:bottom w:val="single" w:color="000000" w:sz="4" w:space="0"/>
              <w:right w:val="single" w:color="000000" w:sz="4" w:space="0"/>
            </w:tcBorders>
            <w:noWrap/>
            <w:vAlign w:val="center"/>
          </w:tcPr>
          <w:p w14:paraId="59017FF7">
            <w:pPr>
              <w:widowControl/>
              <w:spacing w:line="240" w:lineRule="auto"/>
              <w:ind w:firstLine="0" w:firstLineChars="0"/>
              <w:jc w:val="center"/>
              <w:textAlignment w:val="center"/>
              <w:rPr>
                <w:rFonts w:hint="eastAsia" w:cs="宋体"/>
              </w:rPr>
            </w:pPr>
            <w:r>
              <w:rPr>
                <w:rFonts w:hint="eastAsia" w:cs="宋体"/>
                <w:kern w:val="0"/>
                <w:lang w:bidi="ar"/>
              </w:rPr>
              <w:t>园区相关主题标签设计</w:t>
            </w: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29970045">
            <w:pPr>
              <w:widowControl/>
              <w:spacing w:line="240" w:lineRule="auto"/>
              <w:ind w:firstLine="0" w:firstLineChars="0"/>
              <w:jc w:val="left"/>
              <w:textAlignment w:val="center"/>
              <w:rPr>
                <w:rFonts w:hint="eastAsia" w:cs="宋体"/>
              </w:rPr>
            </w:pPr>
            <w:r>
              <w:rPr>
                <w:rFonts w:hint="eastAsia" w:cs="宋体"/>
                <w:kern w:val="0"/>
                <w:lang w:bidi="ar"/>
              </w:rPr>
              <w:t>应急救援与安全生产类标签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20F2333B">
            <w:pPr>
              <w:widowControl/>
              <w:spacing w:line="240" w:lineRule="auto"/>
              <w:ind w:firstLine="0" w:firstLineChars="0"/>
              <w:jc w:val="right"/>
              <w:textAlignment w:val="center"/>
              <w:rPr>
                <w:rFonts w:hint="eastAsia" w:cs="宋体"/>
              </w:rPr>
            </w:pPr>
            <w:r>
              <w:rPr>
                <w:rFonts w:hint="eastAsia" w:cs="宋体"/>
                <w:kern w:val="0"/>
                <w:lang w:bidi="ar"/>
              </w:rPr>
              <w:t>520</w:t>
            </w:r>
          </w:p>
        </w:tc>
      </w:tr>
      <w:tr w14:paraId="7DCBB90D">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61B70DA4">
            <w:pPr>
              <w:widowControl/>
              <w:spacing w:line="240" w:lineRule="auto"/>
              <w:ind w:firstLine="0" w:firstLineChars="0"/>
              <w:jc w:val="center"/>
              <w:textAlignment w:val="center"/>
              <w:rPr>
                <w:rFonts w:hint="eastAsia" w:cs="宋体"/>
              </w:rPr>
            </w:pPr>
            <w:r>
              <w:rPr>
                <w:rFonts w:hint="eastAsia" w:cs="宋体"/>
                <w:kern w:val="0"/>
                <w:lang w:bidi="ar"/>
              </w:rPr>
              <w:t>9</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4693266B">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1635A88C">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238FB5E3">
            <w:pPr>
              <w:widowControl/>
              <w:spacing w:line="240" w:lineRule="auto"/>
              <w:ind w:firstLine="0" w:firstLineChars="0"/>
              <w:jc w:val="left"/>
              <w:textAlignment w:val="center"/>
              <w:rPr>
                <w:rFonts w:hint="eastAsia" w:cs="宋体"/>
              </w:rPr>
            </w:pPr>
            <w:r>
              <w:rPr>
                <w:rFonts w:hint="eastAsia" w:cs="宋体"/>
                <w:kern w:val="0"/>
                <w:lang w:bidi="ar"/>
              </w:rPr>
              <w:t>环境监测与污染控制类标签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B4193B0">
            <w:pPr>
              <w:widowControl/>
              <w:spacing w:line="240" w:lineRule="auto"/>
              <w:ind w:firstLine="0" w:firstLineChars="0"/>
              <w:jc w:val="right"/>
              <w:textAlignment w:val="center"/>
              <w:rPr>
                <w:rFonts w:hint="eastAsia" w:cs="宋体"/>
              </w:rPr>
            </w:pPr>
            <w:r>
              <w:rPr>
                <w:rFonts w:hint="eastAsia" w:cs="宋体"/>
                <w:kern w:val="0"/>
                <w:lang w:bidi="ar"/>
              </w:rPr>
              <w:t>538</w:t>
            </w:r>
          </w:p>
        </w:tc>
      </w:tr>
      <w:tr w14:paraId="563F4C76">
        <w:tblPrEx>
          <w:tblCellMar>
            <w:top w:w="0" w:type="dxa"/>
            <w:left w:w="108" w:type="dxa"/>
            <w:bottom w:w="0" w:type="dxa"/>
            <w:right w:w="108" w:type="dxa"/>
          </w:tblCellMar>
        </w:tblPrEx>
        <w:trPr>
          <w:trHeight w:val="36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14:paraId="0B871A11">
            <w:pPr>
              <w:widowControl/>
              <w:spacing w:line="240" w:lineRule="auto"/>
              <w:ind w:firstLine="0" w:firstLineChars="0"/>
              <w:jc w:val="center"/>
              <w:textAlignment w:val="center"/>
              <w:rPr>
                <w:rFonts w:hint="eastAsia" w:cs="宋体"/>
              </w:rPr>
            </w:pPr>
            <w:r>
              <w:rPr>
                <w:rFonts w:hint="eastAsia" w:cs="宋体"/>
                <w:kern w:val="0"/>
                <w:lang w:bidi="ar"/>
              </w:rPr>
              <w:t>10</w:t>
            </w:r>
          </w:p>
        </w:tc>
        <w:tc>
          <w:tcPr>
            <w:tcW w:w="228" w:type="pct"/>
            <w:vMerge w:val="continue"/>
            <w:tcBorders>
              <w:top w:val="single" w:color="000000" w:sz="4" w:space="0"/>
              <w:left w:val="single" w:color="000000" w:sz="4" w:space="0"/>
              <w:bottom w:val="single" w:color="000000" w:sz="4" w:space="0"/>
              <w:right w:val="single" w:color="000000" w:sz="4" w:space="0"/>
            </w:tcBorders>
            <w:noWrap/>
            <w:vAlign w:val="center"/>
          </w:tcPr>
          <w:p w14:paraId="58FFB8D8">
            <w:pPr>
              <w:widowControl/>
              <w:spacing w:line="240" w:lineRule="auto"/>
              <w:ind w:firstLine="0" w:firstLineChars="0"/>
              <w:jc w:val="center"/>
              <w:rPr>
                <w:rFonts w:hint="eastAsia" w:cs="宋体"/>
              </w:rPr>
            </w:pPr>
          </w:p>
        </w:tc>
        <w:tc>
          <w:tcPr>
            <w:tcW w:w="1118" w:type="pct"/>
            <w:vMerge w:val="continue"/>
            <w:tcBorders>
              <w:top w:val="single" w:color="000000" w:sz="4" w:space="0"/>
              <w:left w:val="single" w:color="000000" w:sz="4" w:space="0"/>
              <w:bottom w:val="single" w:color="000000" w:sz="4" w:space="0"/>
              <w:right w:val="single" w:color="000000" w:sz="4" w:space="0"/>
            </w:tcBorders>
            <w:noWrap/>
            <w:vAlign w:val="center"/>
          </w:tcPr>
          <w:p w14:paraId="656318EC">
            <w:pPr>
              <w:widowControl/>
              <w:spacing w:line="240" w:lineRule="auto"/>
              <w:ind w:firstLine="0" w:firstLineChars="0"/>
              <w:jc w:val="center"/>
              <w:rPr>
                <w:rFonts w:hint="eastAsia" w:cs="宋体"/>
              </w:rPr>
            </w:pPr>
          </w:p>
        </w:tc>
        <w:tc>
          <w:tcPr>
            <w:tcW w:w="2554" w:type="pct"/>
            <w:tcBorders>
              <w:top w:val="single" w:color="000000" w:sz="4" w:space="0"/>
              <w:left w:val="single" w:color="000000" w:sz="4" w:space="0"/>
              <w:bottom w:val="single" w:color="000000" w:sz="4" w:space="0"/>
              <w:right w:val="single" w:color="000000" w:sz="4" w:space="0"/>
            </w:tcBorders>
            <w:noWrap/>
            <w:vAlign w:val="center"/>
          </w:tcPr>
          <w:p w14:paraId="25C00980">
            <w:pPr>
              <w:widowControl/>
              <w:spacing w:line="240" w:lineRule="auto"/>
              <w:ind w:firstLine="0" w:firstLineChars="0"/>
              <w:jc w:val="left"/>
              <w:textAlignment w:val="center"/>
              <w:rPr>
                <w:rFonts w:hint="eastAsia" w:cs="宋体"/>
              </w:rPr>
            </w:pPr>
            <w:r>
              <w:rPr>
                <w:rFonts w:hint="eastAsia" w:cs="宋体"/>
                <w:kern w:val="0"/>
                <w:lang w:bidi="ar"/>
              </w:rPr>
              <w:t>园区经济发展类标签</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3393F54">
            <w:pPr>
              <w:widowControl/>
              <w:spacing w:line="240" w:lineRule="auto"/>
              <w:ind w:firstLine="0" w:firstLineChars="0"/>
              <w:jc w:val="right"/>
              <w:textAlignment w:val="center"/>
              <w:rPr>
                <w:rFonts w:hint="eastAsia" w:cs="宋体"/>
              </w:rPr>
            </w:pPr>
            <w:r>
              <w:rPr>
                <w:rFonts w:hint="eastAsia" w:cs="宋体"/>
                <w:kern w:val="0"/>
                <w:lang w:bidi="ar"/>
              </w:rPr>
              <w:t>530</w:t>
            </w:r>
          </w:p>
        </w:tc>
      </w:tr>
      <w:tr w14:paraId="471D21B9">
        <w:tblPrEx>
          <w:tblCellMar>
            <w:top w:w="0" w:type="dxa"/>
            <w:left w:w="108" w:type="dxa"/>
            <w:bottom w:w="0" w:type="dxa"/>
            <w:right w:w="108" w:type="dxa"/>
          </w:tblCellMar>
        </w:tblPrEx>
        <w:trPr>
          <w:trHeight w:val="300" w:hRule="atLeast"/>
        </w:trPr>
        <w:tc>
          <w:tcPr>
            <w:tcW w:w="4357" w:type="pct"/>
            <w:gridSpan w:val="4"/>
            <w:tcBorders>
              <w:top w:val="single" w:color="000000" w:sz="4" w:space="0"/>
              <w:left w:val="single" w:color="000000" w:sz="4" w:space="0"/>
              <w:bottom w:val="single" w:color="auto" w:sz="4" w:space="0"/>
              <w:right w:val="single" w:color="000000" w:sz="4" w:space="0"/>
            </w:tcBorders>
            <w:noWrap/>
            <w:vAlign w:val="center"/>
          </w:tcPr>
          <w:p w14:paraId="556527A1">
            <w:pPr>
              <w:widowControl/>
              <w:spacing w:line="240" w:lineRule="auto"/>
              <w:ind w:firstLine="0" w:firstLineChars="0"/>
              <w:jc w:val="right"/>
              <w:textAlignment w:val="center"/>
              <w:rPr>
                <w:rFonts w:hint="eastAsia" w:cs="宋体"/>
                <w:b/>
                <w:bCs/>
              </w:rPr>
            </w:pPr>
            <w:r>
              <w:rPr>
                <w:rFonts w:hint="eastAsia" w:cs="宋体"/>
                <w:b/>
                <w:bCs/>
                <w:kern w:val="0"/>
                <w:lang w:bidi="ar"/>
              </w:rPr>
              <w:t>总计</w:t>
            </w:r>
          </w:p>
        </w:tc>
        <w:tc>
          <w:tcPr>
            <w:tcW w:w="642" w:type="pct"/>
            <w:tcBorders>
              <w:top w:val="single" w:color="000000" w:sz="4" w:space="0"/>
              <w:left w:val="single" w:color="000000" w:sz="4" w:space="0"/>
              <w:bottom w:val="single" w:color="auto" w:sz="4" w:space="0"/>
              <w:right w:val="single" w:color="000000" w:sz="4" w:space="0"/>
            </w:tcBorders>
            <w:noWrap/>
            <w:vAlign w:val="center"/>
          </w:tcPr>
          <w:p w14:paraId="24AE2062">
            <w:pPr>
              <w:widowControl/>
              <w:spacing w:line="240" w:lineRule="auto"/>
              <w:ind w:firstLine="0" w:firstLineChars="0"/>
              <w:jc w:val="right"/>
              <w:textAlignment w:val="center"/>
              <w:rPr>
                <w:rFonts w:hint="eastAsia" w:cs="宋体"/>
                <w:b/>
                <w:bCs/>
              </w:rPr>
            </w:pPr>
            <w:r>
              <w:rPr>
                <w:rFonts w:hint="eastAsia" w:cs="宋体"/>
                <w:b/>
                <w:bCs/>
                <w:kern w:val="0"/>
                <w:lang w:bidi="ar"/>
              </w:rPr>
              <w:t>1645</w:t>
            </w:r>
          </w:p>
        </w:tc>
      </w:tr>
    </w:tbl>
    <w:p w14:paraId="43A3930B">
      <w:pPr>
        <w:pStyle w:val="2"/>
        <w:rPr>
          <w:rFonts w:hint="eastAsia"/>
        </w:rPr>
      </w:pPr>
      <w:bookmarkStart w:id="18" w:name="_Toc63785503"/>
      <w:r>
        <w:rPr>
          <w:rFonts w:hint="eastAsia"/>
        </w:rPr>
        <w:t>电子政务云资源说明（不包含在本项目预算中）</w:t>
      </w:r>
    </w:p>
    <w:p w14:paraId="754CE8DB">
      <w:pPr>
        <w:rPr>
          <w:rFonts w:hint="eastAsia"/>
        </w:rPr>
      </w:pPr>
      <w:r>
        <w:rPr>
          <w:rFonts w:hint="eastAsia"/>
        </w:rPr>
        <w:t>根据项目前期资源现状，本次建设项目电子政务云将提供4台虚拟机服务器资源，包括CPU</w:t>
      </w:r>
      <w:r>
        <w:t xml:space="preserve"> </w:t>
      </w:r>
      <w:r>
        <w:rPr>
          <w:rFonts w:hint="eastAsia"/>
        </w:rPr>
        <w:t>64核、内存128G、存储1400</w:t>
      </w:r>
      <w:r>
        <w:t>G</w:t>
      </w:r>
      <w:r>
        <w:rPr>
          <w:rFonts w:hint="eastAsia"/>
        </w:rPr>
        <w:t>。供应商应合理利用上述电子政务云资源进行系统的安装和部署。</w:t>
      </w:r>
    </w:p>
    <w:p w14:paraId="228E0DED">
      <w:pPr>
        <w:pStyle w:val="2"/>
        <w:rPr>
          <w:rFonts w:hint="eastAsia"/>
        </w:rPr>
      </w:pPr>
      <w:r>
        <w:rPr>
          <w:rFonts w:hint="eastAsia"/>
        </w:rPr>
        <w:t>其他工作要求</w:t>
      </w:r>
      <w:bookmarkEnd w:id="18"/>
    </w:p>
    <w:p w14:paraId="3EB8F405">
      <w:pPr>
        <w:pStyle w:val="3"/>
        <w:ind w:left="0" w:firstLine="0" w:firstLineChars="0"/>
        <w:rPr>
          <w:rFonts w:hint="eastAsia"/>
          <w:sz w:val="24"/>
          <w:szCs w:val="24"/>
        </w:rPr>
      </w:pPr>
      <w:bookmarkStart w:id="19" w:name="_Toc62209488"/>
      <w:bookmarkEnd w:id="19"/>
      <w:bookmarkStart w:id="20" w:name="_Toc61968111"/>
      <w:bookmarkEnd w:id="20"/>
      <w:bookmarkStart w:id="21" w:name="_Toc62219358"/>
      <w:bookmarkEnd w:id="21"/>
      <w:bookmarkStart w:id="22" w:name="_Toc63785504"/>
      <w:bookmarkEnd w:id="22"/>
      <w:bookmarkStart w:id="23" w:name="_Toc63151871"/>
      <w:bookmarkEnd w:id="23"/>
      <w:bookmarkStart w:id="24" w:name="_Toc63785439"/>
      <w:bookmarkEnd w:id="24"/>
      <w:bookmarkStart w:id="25" w:name="_Toc63762370"/>
      <w:bookmarkEnd w:id="25"/>
      <w:bookmarkStart w:id="26" w:name="_Toc63585480"/>
      <w:bookmarkEnd w:id="26"/>
      <w:bookmarkStart w:id="27" w:name="_Toc63785505"/>
      <w:r>
        <w:rPr>
          <w:rFonts w:hint="eastAsia"/>
          <w:sz w:val="24"/>
          <w:szCs w:val="24"/>
        </w:rPr>
        <w:t>售后服务要求</w:t>
      </w:r>
      <w:bookmarkEnd w:id="27"/>
    </w:p>
    <w:p w14:paraId="58764320">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本项目从系统验收通过之日起不少于12个月内提供</w:t>
      </w:r>
      <w:r>
        <w:rPr>
          <w:rFonts w:ascii="宋体" w:hAnsi="宋体"/>
          <w:sz w:val="24"/>
          <w:szCs w:val="24"/>
        </w:rPr>
        <w:t>7*24小时免费技术支持</w:t>
      </w:r>
      <w:r>
        <w:rPr>
          <w:rFonts w:hint="eastAsia" w:ascii="宋体" w:hAnsi="宋体"/>
          <w:sz w:val="24"/>
          <w:szCs w:val="24"/>
        </w:rPr>
        <w:t>和售后服务。</w:t>
      </w:r>
    </w:p>
    <w:p w14:paraId="4BF9FE43">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软件维护、系统功能完善、数据更新备份维护、数据库安全维护、系统硬件维护、系统巡检维护等。</w:t>
      </w:r>
    </w:p>
    <w:p w14:paraId="509C2FCC">
      <w:pPr>
        <w:pStyle w:val="3"/>
        <w:ind w:left="0" w:firstLine="0" w:firstLineChars="0"/>
        <w:rPr>
          <w:rFonts w:hint="eastAsia"/>
          <w:sz w:val="24"/>
          <w:szCs w:val="24"/>
        </w:rPr>
      </w:pPr>
      <w:bookmarkStart w:id="28" w:name="_Toc63785506"/>
      <w:r>
        <w:rPr>
          <w:rFonts w:hint="eastAsia"/>
          <w:sz w:val="24"/>
          <w:szCs w:val="24"/>
        </w:rPr>
        <w:t>应急响应要求</w:t>
      </w:r>
      <w:bookmarkEnd w:id="28"/>
    </w:p>
    <w:p w14:paraId="12E28EB0">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30分钟之内响应，专业工程师1小时内到达现场</w:t>
      </w:r>
      <w:r>
        <w:rPr>
          <w:rFonts w:hint="eastAsia" w:ascii="宋体" w:hAnsi="宋体"/>
          <w:sz w:val="24"/>
          <w:szCs w:val="24"/>
        </w:rPr>
        <w:t>并确诊，总故障解决时间不超过4小时。特殊故障与客户沟通协商后，按照协商的方式制定解决方案并进行处理。</w:t>
      </w:r>
    </w:p>
    <w:p w14:paraId="1888A6CB">
      <w:pPr>
        <w:pStyle w:val="3"/>
        <w:ind w:left="0" w:firstLine="0" w:firstLineChars="0"/>
        <w:rPr>
          <w:rFonts w:hint="eastAsia"/>
          <w:sz w:val="24"/>
          <w:szCs w:val="24"/>
        </w:rPr>
      </w:pPr>
      <w:bookmarkStart w:id="29" w:name="_Toc63785507"/>
      <w:r>
        <w:rPr>
          <w:rFonts w:hint="eastAsia"/>
          <w:sz w:val="24"/>
          <w:szCs w:val="24"/>
        </w:rPr>
        <w:t>培训要求</w:t>
      </w:r>
      <w:bookmarkEnd w:id="29"/>
    </w:p>
    <w:p w14:paraId="4D737DB5">
      <w:pPr>
        <w:rPr>
          <w:rFonts w:hint="eastAsia"/>
        </w:rPr>
      </w:pPr>
      <w:r>
        <w:rPr>
          <w:rFonts w:hint="eastAsia"/>
        </w:rPr>
        <w:t>对系统使用单位提供业务操作培训，应提供详细培训方案。</w:t>
      </w:r>
    </w:p>
    <w:p w14:paraId="62AA58ED">
      <w:pPr>
        <w:rPr>
          <w:rFonts w:hint="eastAsia"/>
        </w:rPr>
      </w:pPr>
      <w:r>
        <w:rPr>
          <w:rFonts w:hint="eastAsia"/>
        </w:rPr>
        <w:t>(1)在质量保证期内，提供2次与项目相关的必要培训。</w:t>
      </w:r>
    </w:p>
    <w:p w14:paraId="3C226393">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0E52D253">
      <w:pPr>
        <w:rPr>
          <w:rFonts w:hint="eastAsia"/>
        </w:rPr>
      </w:pPr>
      <w:r>
        <w:rPr>
          <w:rFonts w:hint="eastAsia"/>
        </w:rPr>
        <w:t>(3)供应商应提供一般用户的基础操作培训和部门信息管理员的日常应用维护的培训，确保用户对象能够掌握对应的操作技能。</w:t>
      </w:r>
    </w:p>
    <w:p w14:paraId="1A5B7E6A">
      <w:pPr>
        <w:pStyle w:val="3"/>
        <w:ind w:left="0" w:firstLine="0" w:firstLineChars="0"/>
        <w:rPr>
          <w:rFonts w:hint="eastAsia"/>
          <w:sz w:val="24"/>
          <w:szCs w:val="24"/>
        </w:rPr>
      </w:pPr>
      <w:bookmarkStart w:id="30" w:name="_Toc63785508"/>
      <w:r>
        <w:rPr>
          <w:rFonts w:hint="eastAsia"/>
          <w:sz w:val="24"/>
          <w:szCs w:val="24"/>
        </w:rPr>
        <w:t>验收要求</w:t>
      </w:r>
      <w:bookmarkEnd w:id="30"/>
    </w:p>
    <w:p w14:paraId="430D6E31">
      <w:pPr>
        <w:rPr>
          <w:rFonts w:hint="eastAsia"/>
          <w:szCs w:val="21"/>
        </w:rPr>
      </w:pPr>
      <w:r>
        <w:rPr>
          <w:rFonts w:hint="eastAsia"/>
          <w:szCs w:val="21"/>
        </w:rPr>
        <w:t>本项目验收前，</w:t>
      </w:r>
      <w:r>
        <w:rPr>
          <w:szCs w:val="21"/>
        </w:rPr>
        <w:t>供应商须完成软件开发、安装和系统的调试等，并对本项目进行功能和运行检测，确保所有系统功能模块能够正常运行且已达到本项目约定的各类标准要求。供应商应以书面形式向招标方递交</w:t>
      </w:r>
      <w:r>
        <w:rPr>
          <w:rFonts w:hint="eastAsia"/>
          <w:szCs w:val="21"/>
        </w:rPr>
        <w:t>验收</w:t>
      </w:r>
      <w:r>
        <w:rPr>
          <w:szCs w:val="21"/>
        </w:rPr>
        <w:t>通知书。招标方应当在接到通知后的</w:t>
      </w:r>
      <w:r>
        <w:rPr>
          <w:rFonts w:hint="eastAsia"/>
          <w:szCs w:val="21"/>
        </w:rPr>
        <w:t>1</w:t>
      </w:r>
      <w:r>
        <w:rPr>
          <w:szCs w:val="21"/>
        </w:rPr>
        <w:t>5个工作日内</w:t>
      </w:r>
      <w:r>
        <w:rPr>
          <w:rFonts w:hint="eastAsia"/>
          <w:szCs w:val="21"/>
        </w:rPr>
        <w:t>发起组织专家验收会并</w:t>
      </w:r>
      <w:r>
        <w:rPr>
          <w:szCs w:val="21"/>
        </w:rPr>
        <w:t>确定</w:t>
      </w:r>
      <w:r>
        <w:rPr>
          <w:rFonts w:hint="eastAsia"/>
          <w:szCs w:val="21"/>
        </w:rPr>
        <w:t>验收</w:t>
      </w:r>
      <w:r>
        <w:rPr>
          <w:szCs w:val="21"/>
        </w:rPr>
        <w:t>的具体日期</w:t>
      </w:r>
      <w:r>
        <w:rPr>
          <w:rFonts w:hint="eastAsia"/>
          <w:szCs w:val="21"/>
        </w:rPr>
        <w:t>。</w:t>
      </w:r>
      <w:r>
        <w:rPr>
          <w:szCs w:val="21"/>
        </w:rPr>
        <w:t>由双方按照本项目的约定完成本项目</w:t>
      </w:r>
      <w:r>
        <w:rPr>
          <w:rFonts w:hint="eastAsia"/>
          <w:szCs w:val="21"/>
        </w:rPr>
        <w:t>验收</w:t>
      </w:r>
      <w:r>
        <w:rPr>
          <w:szCs w:val="21"/>
        </w:rPr>
        <w:t>。招标方有权委托第三方检测机构进行验收，对此供应商应当配合。</w:t>
      </w:r>
    </w:p>
    <w:p w14:paraId="754924CA">
      <w:pPr>
        <w:rPr>
          <w:rFonts w:hint="eastAsia"/>
          <w:szCs w:val="21"/>
        </w:rPr>
      </w:pPr>
      <w:r>
        <w:rPr>
          <w:rFonts w:hint="eastAsia"/>
          <w:szCs w:val="21"/>
        </w:rPr>
        <w:t>验收</w:t>
      </w:r>
      <w:r>
        <w:rPr>
          <w:szCs w:val="21"/>
        </w:rPr>
        <w:t>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如有缺陷，招标方应向供应商出具书面报告，陈述需要改进的缺陷。供应商应立即严格依照招标方的书面报告中的要求改进缺陷。</w:t>
      </w:r>
    </w:p>
    <w:p w14:paraId="1215552B">
      <w:pPr>
        <w:rPr>
          <w:rFonts w:hint="eastAsia"/>
          <w:szCs w:val="21"/>
        </w:rPr>
      </w:pPr>
      <w:r>
        <w:rPr>
          <w:szCs w:val="21"/>
        </w:rPr>
        <w:t>如果属于供应商原因致使本项目未能通过</w:t>
      </w:r>
      <w:r>
        <w:rPr>
          <w:rFonts w:hint="eastAsia"/>
          <w:szCs w:val="21"/>
        </w:rPr>
        <w:t>验收</w:t>
      </w:r>
      <w:r>
        <w:rPr>
          <w:szCs w:val="21"/>
        </w:rPr>
        <w:t>，供应商应当排除缺陷，直至本项目完全符合验收标准，由上述情形而产生的相关费用应由供应商自行承担。</w:t>
      </w:r>
    </w:p>
    <w:p w14:paraId="577108CB">
      <w:pPr>
        <w:rPr>
          <w:rFonts w:hint="eastAsia"/>
          <w:szCs w:val="21"/>
        </w:rPr>
      </w:pPr>
      <w:r>
        <w:rPr>
          <w:szCs w:val="21"/>
        </w:rPr>
        <w:t>如果由于招标方原因导致本项目在</w:t>
      </w:r>
      <w:r>
        <w:rPr>
          <w:rFonts w:hint="eastAsia"/>
          <w:szCs w:val="21"/>
        </w:rPr>
        <w:t>验收</w:t>
      </w:r>
      <w:r>
        <w:rPr>
          <w:szCs w:val="21"/>
        </w:rPr>
        <w:t>通过前出现故障或问题，供应商应及时配合排除该方面的故障或问题。</w:t>
      </w:r>
    </w:p>
    <w:p w14:paraId="266B3A1A">
      <w:pPr>
        <w:pStyle w:val="3"/>
        <w:ind w:left="0" w:firstLine="0" w:firstLineChars="0"/>
        <w:rPr>
          <w:rFonts w:hint="eastAsia"/>
          <w:sz w:val="24"/>
          <w:szCs w:val="24"/>
        </w:rPr>
      </w:pPr>
      <w:bookmarkStart w:id="31" w:name="_Toc63785509"/>
      <w:r>
        <w:rPr>
          <w:rFonts w:hint="eastAsia"/>
          <w:sz w:val="24"/>
          <w:szCs w:val="24"/>
        </w:rPr>
        <w:t>进度要求</w:t>
      </w:r>
      <w:bookmarkEnd w:id="31"/>
    </w:p>
    <w:p w14:paraId="7AA0AF90">
      <w:pPr>
        <w:rPr>
          <w:rFonts w:hint="eastAsia"/>
        </w:rPr>
      </w:pPr>
      <w:r>
        <w:rPr>
          <w:rFonts w:hint="eastAsia"/>
        </w:rPr>
        <w:t>投标人应根据建设内容，分阶段制定合理的项目建设时间进度，并且应根据招标方要求进行调整和细化。</w:t>
      </w:r>
    </w:p>
    <w:p w14:paraId="017C2964">
      <w:pPr>
        <w:rPr>
          <w:rFonts w:hint="eastAsia"/>
        </w:rPr>
      </w:pPr>
      <w:r>
        <w:rPr>
          <w:rFonts w:hint="eastAsia"/>
        </w:rPr>
        <w:t>本项目总建设周期为</w:t>
      </w:r>
      <w:r>
        <w:t>9</w:t>
      </w:r>
      <w:r>
        <w:rPr>
          <w:rFonts w:hint="eastAsia"/>
        </w:rPr>
        <w:t>个月，分为</w:t>
      </w:r>
      <w:r>
        <w:t>4</w:t>
      </w:r>
      <w:r>
        <w:rPr>
          <w:rFonts w:hint="eastAsia"/>
        </w:rPr>
        <w:t>个阶段；</w:t>
      </w:r>
    </w:p>
    <w:p w14:paraId="134CA165">
      <w:pPr>
        <w:rPr>
          <w:rFonts w:hint="eastAsia"/>
        </w:rPr>
      </w:pPr>
      <w:r>
        <w:rPr>
          <w:rFonts w:hint="eastAsia"/>
        </w:rPr>
        <w:t>第一阶段为</w:t>
      </w:r>
      <w:r>
        <w:t>1</w:t>
      </w:r>
      <w:r>
        <w:rPr>
          <w:rFonts w:hint="eastAsia"/>
        </w:rPr>
        <w:t>个月，完成项目</w:t>
      </w:r>
      <w:r>
        <w:t>规划设计</w:t>
      </w:r>
      <w:r>
        <w:rPr>
          <w:rFonts w:hint="eastAsia"/>
        </w:rPr>
        <w:t>；</w:t>
      </w:r>
    </w:p>
    <w:p w14:paraId="7DD85EC7">
      <w:pPr>
        <w:rPr>
          <w:rFonts w:hint="eastAsia"/>
        </w:rPr>
      </w:pPr>
      <w:r>
        <w:rPr>
          <w:rFonts w:hint="eastAsia"/>
        </w:rPr>
        <w:t>第二阶段为</w:t>
      </w:r>
      <w:r>
        <w:t>5</w:t>
      </w:r>
      <w:r>
        <w:rPr>
          <w:rFonts w:hint="eastAsia"/>
        </w:rPr>
        <w:t>个月，完成项目</w:t>
      </w:r>
      <w:r>
        <w:t>开发测试</w:t>
      </w:r>
      <w:r>
        <w:rPr>
          <w:rFonts w:hint="eastAsia"/>
        </w:rPr>
        <w:t>以及空间计算感知设备硬件部署；</w:t>
      </w:r>
    </w:p>
    <w:p w14:paraId="70B901BF">
      <w:pPr>
        <w:rPr>
          <w:rFonts w:hint="eastAsia"/>
        </w:rPr>
      </w:pPr>
      <w:r>
        <w:rPr>
          <w:rFonts w:hint="eastAsia"/>
        </w:rPr>
        <w:t>第三阶段为</w:t>
      </w:r>
      <w:r>
        <w:t>1</w:t>
      </w:r>
      <w:r>
        <w:rPr>
          <w:rFonts w:hint="eastAsia"/>
        </w:rPr>
        <w:t>个月，完成项目</w:t>
      </w:r>
      <w:r>
        <w:t>试运行和迭代开发</w:t>
      </w:r>
      <w:r>
        <w:rPr>
          <w:rFonts w:hint="eastAsia"/>
        </w:rPr>
        <w:t>；</w:t>
      </w:r>
    </w:p>
    <w:p w14:paraId="0484F1F4">
      <w:pPr>
        <w:rPr>
          <w:rFonts w:hint="eastAsia"/>
        </w:rPr>
      </w:pPr>
      <w:r>
        <w:rPr>
          <w:rFonts w:hint="eastAsia"/>
        </w:rPr>
        <w:t>第四阶段为</w:t>
      </w:r>
      <w:r>
        <w:t>2</w:t>
      </w:r>
      <w:r>
        <w:rPr>
          <w:rFonts w:hint="eastAsia"/>
        </w:rPr>
        <w:t>个月，完成项目</w:t>
      </w:r>
      <w:r>
        <w:t>验收</w:t>
      </w:r>
      <w:r>
        <w:rPr>
          <w:rFonts w:hint="eastAsia"/>
        </w:rPr>
        <w:t>。</w:t>
      </w:r>
    </w:p>
    <w:p w14:paraId="7B42D0F7">
      <w:pPr>
        <w:pStyle w:val="3"/>
        <w:ind w:left="0" w:firstLine="0" w:firstLineChars="0"/>
        <w:rPr>
          <w:rFonts w:hint="eastAsia"/>
          <w:sz w:val="24"/>
          <w:szCs w:val="24"/>
        </w:rPr>
      </w:pPr>
      <w:bookmarkStart w:id="32" w:name="_Toc63785510"/>
      <w:r>
        <w:rPr>
          <w:rFonts w:hint="eastAsia"/>
          <w:sz w:val="24"/>
          <w:szCs w:val="24"/>
        </w:rPr>
        <w:t>项目团队及驻场人员要求</w:t>
      </w:r>
      <w:bookmarkEnd w:id="32"/>
    </w:p>
    <w:p w14:paraId="4D577DD4">
      <w:pPr>
        <w:rPr>
          <w:rFonts w:hint="eastAsia"/>
        </w:rPr>
      </w:pPr>
      <w:r>
        <w:t>投标人</w:t>
      </w:r>
      <w:r>
        <w:rPr>
          <w:rFonts w:hint="eastAsia"/>
        </w:rPr>
        <w:t>需</w:t>
      </w:r>
      <w:r>
        <w:t>具有稳定的在职技术保障力量，能够提供及时的技术支援或服务，应针对本项目提供</w:t>
      </w:r>
      <w:r>
        <w:rPr>
          <w:rFonts w:hint="eastAsia"/>
          <w:b/>
          <w:bCs/>
        </w:rPr>
        <w:t>至少10</w:t>
      </w:r>
      <w:r>
        <w:rPr>
          <w:b/>
          <w:bCs/>
        </w:rPr>
        <w:t>人</w:t>
      </w:r>
      <w:r>
        <w:t>的项目服务团队</w:t>
      </w:r>
      <w:r>
        <w:rPr>
          <w:rFonts w:hint="eastAsia"/>
        </w:rPr>
        <w:t>，</w:t>
      </w:r>
      <w:r>
        <w:rPr>
          <w:rFonts w:hint="eastAsia" w:ascii="Calibri" w:hAnsi="等线"/>
          <w:szCs w:val="22"/>
        </w:rPr>
        <w:t>并保证投标文件中所提供的项目团队人员名单，与后续项目执行中所投入的人员保持一致，如不一致，采购人有权终止项目合作</w:t>
      </w:r>
      <w:r>
        <w:t>。</w:t>
      </w:r>
    </w:p>
    <w:tbl>
      <w:tblPr>
        <w:tblStyle w:val="35"/>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83"/>
        <w:gridCol w:w="1290"/>
        <w:gridCol w:w="1040"/>
        <w:gridCol w:w="2310"/>
        <w:gridCol w:w="2120"/>
        <w:gridCol w:w="1014"/>
      </w:tblGrid>
      <w:tr w14:paraId="7835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1083" w:type="dxa"/>
            <w:noWrap/>
            <w:vAlign w:val="center"/>
          </w:tcPr>
          <w:p w14:paraId="30830FA6">
            <w:pPr>
              <w:widowControl/>
              <w:spacing w:line="240" w:lineRule="auto"/>
              <w:ind w:firstLine="0" w:firstLineChars="0"/>
              <w:jc w:val="center"/>
              <w:rPr>
                <w:rFonts w:hint="eastAsia"/>
                <w:b/>
                <w:sz w:val="21"/>
                <w:szCs w:val="21"/>
              </w:rPr>
            </w:pPr>
            <w:r>
              <w:rPr>
                <w:rFonts w:hint="eastAsia"/>
                <w:b/>
                <w:sz w:val="21"/>
                <w:szCs w:val="21"/>
              </w:rPr>
              <w:t>角色</w:t>
            </w:r>
          </w:p>
        </w:tc>
        <w:tc>
          <w:tcPr>
            <w:tcW w:w="1290" w:type="dxa"/>
            <w:noWrap/>
            <w:vAlign w:val="center"/>
          </w:tcPr>
          <w:p w14:paraId="2EFC20C8">
            <w:pPr>
              <w:widowControl/>
              <w:spacing w:line="240" w:lineRule="auto"/>
              <w:ind w:firstLine="0" w:firstLineChars="0"/>
              <w:jc w:val="center"/>
              <w:rPr>
                <w:rFonts w:hint="eastAsia"/>
                <w:b/>
                <w:sz w:val="21"/>
                <w:szCs w:val="21"/>
              </w:rPr>
            </w:pPr>
            <w:r>
              <w:rPr>
                <w:rFonts w:hint="eastAsia"/>
                <w:b/>
                <w:sz w:val="21"/>
                <w:szCs w:val="21"/>
              </w:rPr>
              <w:t>主要职责</w:t>
            </w:r>
          </w:p>
        </w:tc>
        <w:tc>
          <w:tcPr>
            <w:tcW w:w="1040" w:type="dxa"/>
            <w:noWrap/>
            <w:vAlign w:val="center"/>
          </w:tcPr>
          <w:p w14:paraId="19826B74">
            <w:pPr>
              <w:widowControl/>
              <w:spacing w:line="240" w:lineRule="auto"/>
              <w:ind w:firstLine="0" w:firstLineChars="0"/>
              <w:jc w:val="center"/>
              <w:rPr>
                <w:rFonts w:hint="eastAsia"/>
                <w:b/>
                <w:sz w:val="21"/>
                <w:szCs w:val="21"/>
              </w:rPr>
            </w:pPr>
            <w:r>
              <w:rPr>
                <w:rFonts w:hint="eastAsia"/>
                <w:b/>
                <w:sz w:val="21"/>
                <w:szCs w:val="21"/>
              </w:rPr>
              <w:t>人员数量</w:t>
            </w:r>
          </w:p>
        </w:tc>
        <w:tc>
          <w:tcPr>
            <w:tcW w:w="2310" w:type="dxa"/>
            <w:vAlign w:val="center"/>
          </w:tcPr>
          <w:p w14:paraId="3B610FF7">
            <w:pPr>
              <w:widowControl/>
              <w:spacing w:line="240" w:lineRule="auto"/>
              <w:ind w:firstLine="0" w:firstLineChars="0"/>
              <w:jc w:val="center"/>
              <w:rPr>
                <w:rFonts w:hint="eastAsia"/>
                <w:b/>
                <w:sz w:val="21"/>
                <w:szCs w:val="21"/>
              </w:rPr>
            </w:pPr>
            <w:r>
              <w:rPr>
                <w:rFonts w:hint="eastAsia"/>
                <w:b/>
                <w:sz w:val="21"/>
                <w:szCs w:val="21"/>
              </w:rPr>
              <w:t>人员资质要求</w:t>
            </w:r>
          </w:p>
        </w:tc>
        <w:tc>
          <w:tcPr>
            <w:tcW w:w="2120" w:type="dxa"/>
            <w:noWrap/>
            <w:vAlign w:val="center"/>
          </w:tcPr>
          <w:p w14:paraId="15AE53DF">
            <w:pPr>
              <w:widowControl/>
              <w:spacing w:line="240" w:lineRule="auto"/>
              <w:ind w:firstLine="0" w:firstLineChars="0"/>
              <w:jc w:val="center"/>
              <w:rPr>
                <w:rFonts w:hint="eastAsia"/>
                <w:b/>
                <w:sz w:val="21"/>
                <w:szCs w:val="21"/>
              </w:rPr>
            </w:pPr>
            <w:r>
              <w:rPr>
                <w:rFonts w:hint="eastAsia"/>
                <w:b/>
                <w:sz w:val="21"/>
                <w:szCs w:val="21"/>
              </w:rPr>
              <w:t>其他要求</w:t>
            </w:r>
          </w:p>
        </w:tc>
        <w:tc>
          <w:tcPr>
            <w:tcW w:w="1014" w:type="dxa"/>
            <w:noWrap/>
            <w:vAlign w:val="center"/>
          </w:tcPr>
          <w:p w14:paraId="5BD43D05">
            <w:pPr>
              <w:widowControl/>
              <w:spacing w:line="240" w:lineRule="auto"/>
              <w:ind w:firstLine="0" w:firstLineChars="0"/>
              <w:jc w:val="center"/>
              <w:rPr>
                <w:rFonts w:hint="eastAsia"/>
                <w:b/>
                <w:sz w:val="21"/>
                <w:szCs w:val="21"/>
              </w:rPr>
            </w:pPr>
            <w:r>
              <w:rPr>
                <w:rFonts w:hint="eastAsia"/>
                <w:b/>
                <w:sz w:val="21"/>
                <w:szCs w:val="21"/>
              </w:rPr>
              <w:t>驻场要求</w:t>
            </w:r>
          </w:p>
        </w:tc>
      </w:tr>
      <w:tr w14:paraId="539F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9" w:hRule="atLeast"/>
          <w:jc w:val="center"/>
        </w:trPr>
        <w:tc>
          <w:tcPr>
            <w:tcW w:w="1083" w:type="dxa"/>
            <w:noWrap/>
            <w:vAlign w:val="center"/>
          </w:tcPr>
          <w:p w14:paraId="42FAA760">
            <w:pPr>
              <w:widowControl/>
              <w:spacing w:line="240" w:lineRule="auto"/>
              <w:ind w:firstLine="0" w:firstLineChars="0"/>
              <w:jc w:val="center"/>
              <w:rPr>
                <w:rFonts w:hint="eastAsia"/>
                <w:sz w:val="21"/>
                <w:szCs w:val="21"/>
              </w:rPr>
            </w:pPr>
            <w:r>
              <w:rPr>
                <w:rFonts w:hint="eastAsia"/>
                <w:sz w:val="21"/>
                <w:szCs w:val="21"/>
              </w:rPr>
              <w:t>项目经理</w:t>
            </w:r>
          </w:p>
        </w:tc>
        <w:tc>
          <w:tcPr>
            <w:tcW w:w="1290" w:type="dxa"/>
            <w:vAlign w:val="center"/>
          </w:tcPr>
          <w:p w14:paraId="24F3D822">
            <w:pPr>
              <w:widowControl/>
              <w:spacing w:line="240" w:lineRule="auto"/>
              <w:ind w:firstLine="0" w:firstLineChars="0"/>
              <w:jc w:val="center"/>
              <w:rPr>
                <w:rFonts w:hint="eastAsia"/>
                <w:sz w:val="21"/>
                <w:szCs w:val="21"/>
              </w:rPr>
            </w:pPr>
            <w:r>
              <w:rPr>
                <w:rFonts w:hint="eastAsia"/>
                <w:sz w:val="21"/>
                <w:szCs w:val="21"/>
              </w:rPr>
              <w:t>负责项目质量和进度控制</w:t>
            </w:r>
          </w:p>
        </w:tc>
        <w:tc>
          <w:tcPr>
            <w:tcW w:w="1040" w:type="dxa"/>
            <w:noWrap/>
            <w:vAlign w:val="center"/>
          </w:tcPr>
          <w:p w14:paraId="39B7440E">
            <w:pPr>
              <w:widowControl/>
              <w:spacing w:line="240" w:lineRule="auto"/>
              <w:ind w:firstLine="0" w:firstLineChars="0"/>
              <w:jc w:val="center"/>
              <w:rPr>
                <w:rFonts w:hint="eastAsia"/>
                <w:sz w:val="21"/>
                <w:szCs w:val="21"/>
              </w:rPr>
            </w:pPr>
            <w:r>
              <w:rPr>
                <w:rFonts w:hint="eastAsia"/>
                <w:sz w:val="21"/>
                <w:szCs w:val="21"/>
              </w:rPr>
              <w:t>1人</w:t>
            </w:r>
          </w:p>
        </w:tc>
        <w:tc>
          <w:tcPr>
            <w:tcW w:w="2310" w:type="dxa"/>
            <w:vAlign w:val="center"/>
          </w:tcPr>
          <w:p w14:paraId="46BA8D4D">
            <w:pPr>
              <w:widowControl/>
              <w:spacing w:line="240" w:lineRule="auto"/>
              <w:ind w:firstLine="0" w:firstLineChars="0"/>
              <w:jc w:val="left"/>
              <w:rPr>
                <w:rFonts w:hint="eastAsia"/>
                <w:sz w:val="21"/>
                <w:szCs w:val="21"/>
              </w:rPr>
            </w:pPr>
            <w:r>
              <w:rPr>
                <w:rFonts w:hint="eastAsia"/>
                <w:sz w:val="21"/>
                <w:szCs w:val="21"/>
              </w:rPr>
              <w:t>本科及以上学历，具备信息系统项目管理师（高级）证书</w:t>
            </w:r>
          </w:p>
        </w:tc>
        <w:tc>
          <w:tcPr>
            <w:tcW w:w="2120" w:type="dxa"/>
            <w:noWrap/>
            <w:vAlign w:val="center"/>
          </w:tcPr>
          <w:p w14:paraId="7DCB8FFF">
            <w:pPr>
              <w:widowControl/>
              <w:spacing w:line="240" w:lineRule="auto"/>
              <w:ind w:firstLine="0" w:firstLineChars="0"/>
              <w:jc w:val="left"/>
              <w:rPr>
                <w:rFonts w:hint="eastAsia" w:eastAsia="宋体"/>
                <w:sz w:val="21"/>
                <w:szCs w:val="21"/>
                <w:lang w:eastAsia="zh-CN"/>
              </w:rPr>
            </w:pPr>
            <w:r>
              <w:rPr>
                <w:rFonts w:hint="eastAsia"/>
                <w:sz w:val="21"/>
                <w:szCs w:val="21"/>
              </w:rPr>
              <w:t>需提供相关人员</w:t>
            </w:r>
            <w:bookmarkStart w:id="44" w:name="_GoBack"/>
            <w:bookmarkEnd w:id="44"/>
            <w:r>
              <w:rPr>
                <w:rFonts w:hint="eastAsia"/>
                <w:sz w:val="21"/>
                <w:szCs w:val="21"/>
                <w:lang w:eastAsia="zh-CN"/>
              </w:rPr>
              <w:t>投标前进一季度内任一月在本单位缴纳社保的证明材料</w:t>
            </w:r>
          </w:p>
        </w:tc>
        <w:tc>
          <w:tcPr>
            <w:tcW w:w="1014" w:type="dxa"/>
            <w:noWrap/>
            <w:vAlign w:val="center"/>
          </w:tcPr>
          <w:p w14:paraId="05601F5A">
            <w:pPr>
              <w:widowControl/>
              <w:spacing w:line="240" w:lineRule="auto"/>
              <w:ind w:firstLine="0" w:firstLineChars="0"/>
              <w:jc w:val="center"/>
              <w:rPr>
                <w:rFonts w:hint="eastAsia"/>
                <w:sz w:val="21"/>
                <w:szCs w:val="21"/>
              </w:rPr>
            </w:pPr>
            <w:r>
              <w:rPr>
                <w:rFonts w:hint="eastAsia"/>
                <w:sz w:val="21"/>
                <w:szCs w:val="21"/>
              </w:rPr>
              <w:t>驻场</w:t>
            </w:r>
          </w:p>
        </w:tc>
      </w:tr>
      <w:tr w14:paraId="7FD9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atLeast"/>
          <w:jc w:val="center"/>
        </w:trPr>
        <w:tc>
          <w:tcPr>
            <w:tcW w:w="1083" w:type="dxa"/>
            <w:noWrap/>
            <w:vAlign w:val="center"/>
          </w:tcPr>
          <w:p w14:paraId="292318DD">
            <w:pPr>
              <w:widowControl/>
              <w:spacing w:line="240" w:lineRule="auto"/>
              <w:ind w:firstLine="0" w:firstLineChars="0"/>
              <w:jc w:val="center"/>
              <w:rPr>
                <w:rFonts w:hint="eastAsia"/>
                <w:sz w:val="21"/>
                <w:szCs w:val="21"/>
              </w:rPr>
            </w:pPr>
            <w:r>
              <w:rPr>
                <w:rFonts w:hint="eastAsia"/>
                <w:sz w:val="21"/>
                <w:szCs w:val="21"/>
              </w:rPr>
              <w:t>系统架构师</w:t>
            </w:r>
          </w:p>
        </w:tc>
        <w:tc>
          <w:tcPr>
            <w:tcW w:w="1290" w:type="dxa"/>
            <w:vAlign w:val="center"/>
          </w:tcPr>
          <w:p w14:paraId="427D924E">
            <w:pPr>
              <w:widowControl/>
              <w:spacing w:line="240" w:lineRule="auto"/>
              <w:ind w:firstLine="0" w:firstLineChars="0"/>
              <w:jc w:val="center"/>
              <w:rPr>
                <w:rFonts w:hint="eastAsia"/>
                <w:sz w:val="21"/>
                <w:szCs w:val="21"/>
              </w:rPr>
            </w:pPr>
            <w:r>
              <w:rPr>
                <w:rFonts w:hint="eastAsia"/>
                <w:sz w:val="21"/>
                <w:szCs w:val="21"/>
              </w:rPr>
              <w:t>架构设计</w:t>
            </w:r>
          </w:p>
        </w:tc>
        <w:tc>
          <w:tcPr>
            <w:tcW w:w="1040" w:type="dxa"/>
            <w:noWrap/>
            <w:vAlign w:val="center"/>
          </w:tcPr>
          <w:p w14:paraId="666280C4">
            <w:pPr>
              <w:widowControl/>
              <w:spacing w:line="240" w:lineRule="auto"/>
              <w:ind w:firstLine="0" w:firstLineChars="0"/>
              <w:jc w:val="center"/>
              <w:rPr>
                <w:rFonts w:hint="eastAsia"/>
                <w:sz w:val="21"/>
                <w:szCs w:val="21"/>
              </w:rPr>
            </w:pPr>
            <w:r>
              <w:rPr>
                <w:rFonts w:hint="eastAsia"/>
                <w:sz w:val="21"/>
                <w:szCs w:val="21"/>
              </w:rPr>
              <w:t>1人</w:t>
            </w:r>
          </w:p>
        </w:tc>
        <w:tc>
          <w:tcPr>
            <w:tcW w:w="2310" w:type="dxa"/>
            <w:vAlign w:val="center"/>
          </w:tcPr>
          <w:p w14:paraId="6BF2D583">
            <w:pPr>
              <w:widowControl/>
              <w:spacing w:line="240" w:lineRule="auto"/>
              <w:ind w:firstLine="0" w:firstLineChars="0"/>
              <w:jc w:val="left"/>
              <w:rPr>
                <w:rFonts w:hint="eastAsia"/>
                <w:sz w:val="21"/>
                <w:szCs w:val="21"/>
              </w:rPr>
            </w:pPr>
            <w:r>
              <w:rPr>
                <w:rFonts w:hint="eastAsia"/>
                <w:sz w:val="21"/>
                <w:szCs w:val="21"/>
              </w:rPr>
              <w:t>本科及以上学历，具备正高级工程师证书</w:t>
            </w:r>
          </w:p>
        </w:tc>
        <w:tc>
          <w:tcPr>
            <w:tcW w:w="2120" w:type="dxa"/>
            <w:noWrap/>
            <w:vAlign w:val="center"/>
          </w:tcPr>
          <w:p w14:paraId="5DF5FB86">
            <w:pPr>
              <w:widowControl/>
              <w:spacing w:line="240" w:lineRule="auto"/>
              <w:ind w:firstLine="0" w:firstLineChars="0"/>
              <w:jc w:val="left"/>
              <w:rPr>
                <w:rFonts w:hint="eastAsia" w:eastAsia="宋体"/>
                <w:sz w:val="21"/>
                <w:szCs w:val="21"/>
                <w:lang w:eastAsia="zh-CN"/>
              </w:rPr>
            </w:pPr>
            <w:r>
              <w:rPr>
                <w:rFonts w:hint="eastAsia"/>
                <w:sz w:val="21"/>
                <w:szCs w:val="21"/>
              </w:rPr>
              <w:t>需提供相关人员</w:t>
            </w:r>
            <w:r>
              <w:rPr>
                <w:rFonts w:hint="eastAsia"/>
                <w:sz w:val="21"/>
                <w:szCs w:val="21"/>
                <w:lang w:eastAsia="zh-CN"/>
              </w:rPr>
              <w:t>投标前进一季度内任一月在本单位缴纳社保的证明材料</w:t>
            </w:r>
          </w:p>
        </w:tc>
        <w:tc>
          <w:tcPr>
            <w:tcW w:w="1014" w:type="dxa"/>
            <w:noWrap/>
            <w:vAlign w:val="center"/>
          </w:tcPr>
          <w:p w14:paraId="40BF241D">
            <w:pPr>
              <w:widowControl/>
              <w:spacing w:line="240" w:lineRule="auto"/>
              <w:ind w:firstLine="0" w:firstLineChars="0"/>
              <w:jc w:val="center"/>
              <w:rPr>
                <w:rFonts w:hint="eastAsia"/>
                <w:sz w:val="21"/>
                <w:szCs w:val="21"/>
              </w:rPr>
            </w:pPr>
            <w:r>
              <w:rPr>
                <w:rFonts w:hint="eastAsia"/>
                <w:sz w:val="21"/>
                <w:szCs w:val="21"/>
              </w:rPr>
              <w:t>不驻场</w:t>
            </w:r>
          </w:p>
        </w:tc>
      </w:tr>
      <w:tr w14:paraId="6DB6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5" w:hRule="atLeast"/>
          <w:jc w:val="center"/>
        </w:trPr>
        <w:tc>
          <w:tcPr>
            <w:tcW w:w="1083" w:type="dxa"/>
            <w:noWrap/>
            <w:vAlign w:val="center"/>
          </w:tcPr>
          <w:p w14:paraId="4C1D51AD">
            <w:pPr>
              <w:widowControl/>
              <w:spacing w:line="240" w:lineRule="auto"/>
              <w:ind w:firstLine="0" w:firstLineChars="0"/>
              <w:jc w:val="center"/>
              <w:rPr>
                <w:rFonts w:hint="eastAsia"/>
                <w:sz w:val="21"/>
                <w:szCs w:val="21"/>
              </w:rPr>
            </w:pPr>
            <w:r>
              <w:rPr>
                <w:rFonts w:hint="eastAsia"/>
                <w:sz w:val="21"/>
                <w:szCs w:val="21"/>
              </w:rPr>
              <w:t>产品经理</w:t>
            </w:r>
          </w:p>
        </w:tc>
        <w:tc>
          <w:tcPr>
            <w:tcW w:w="1290" w:type="dxa"/>
            <w:vAlign w:val="center"/>
          </w:tcPr>
          <w:p w14:paraId="1BD3491E">
            <w:pPr>
              <w:widowControl/>
              <w:spacing w:line="240" w:lineRule="auto"/>
              <w:ind w:firstLine="0" w:firstLineChars="0"/>
              <w:jc w:val="center"/>
              <w:rPr>
                <w:rFonts w:hint="eastAsia"/>
                <w:sz w:val="21"/>
                <w:szCs w:val="21"/>
              </w:rPr>
            </w:pPr>
            <w:r>
              <w:rPr>
                <w:rFonts w:hint="eastAsia"/>
                <w:sz w:val="21"/>
                <w:szCs w:val="21"/>
              </w:rPr>
              <w:t>负责项目需求评估与产品设计</w:t>
            </w:r>
          </w:p>
        </w:tc>
        <w:tc>
          <w:tcPr>
            <w:tcW w:w="1040" w:type="dxa"/>
            <w:noWrap/>
            <w:vAlign w:val="center"/>
          </w:tcPr>
          <w:p w14:paraId="13A8D3A0">
            <w:pPr>
              <w:widowControl/>
              <w:spacing w:line="240" w:lineRule="auto"/>
              <w:ind w:firstLine="0" w:firstLineChars="0"/>
              <w:jc w:val="center"/>
              <w:rPr>
                <w:rFonts w:hint="eastAsia"/>
                <w:sz w:val="21"/>
                <w:szCs w:val="21"/>
              </w:rPr>
            </w:pPr>
            <w:r>
              <w:rPr>
                <w:rFonts w:hint="eastAsia"/>
                <w:sz w:val="21"/>
                <w:szCs w:val="21"/>
              </w:rPr>
              <w:t>1人</w:t>
            </w:r>
          </w:p>
        </w:tc>
        <w:tc>
          <w:tcPr>
            <w:tcW w:w="2310" w:type="dxa"/>
            <w:vAlign w:val="center"/>
          </w:tcPr>
          <w:p w14:paraId="4ECB5ECA">
            <w:pPr>
              <w:widowControl/>
              <w:spacing w:line="240" w:lineRule="auto"/>
              <w:ind w:firstLine="0" w:firstLineChars="0"/>
              <w:jc w:val="left"/>
              <w:rPr>
                <w:rFonts w:hint="eastAsia"/>
                <w:sz w:val="21"/>
                <w:szCs w:val="21"/>
              </w:rPr>
            </w:pPr>
            <w:r>
              <w:rPr>
                <w:rFonts w:hint="eastAsia"/>
                <w:sz w:val="21"/>
                <w:szCs w:val="21"/>
              </w:rPr>
              <w:t>本科及以上学历，具备</w:t>
            </w:r>
            <w:r>
              <w:rPr>
                <w:rFonts w:hint="eastAsia" w:ascii="Calibri" w:hAnsi="等线"/>
                <w:sz w:val="21"/>
                <w:szCs w:val="21"/>
              </w:rPr>
              <w:t>系统分析师</w:t>
            </w:r>
            <w:r>
              <w:rPr>
                <w:rFonts w:hint="eastAsia"/>
                <w:sz w:val="21"/>
                <w:szCs w:val="21"/>
              </w:rPr>
              <w:t>证书</w:t>
            </w:r>
          </w:p>
        </w:tc>
        <w:tc>
          <w:tcPr>
            <w:tcW w:w="2120" w:type="dxa"/>
            <w:noWrap/>
            <w:vAlign w:val="center"/>
          </w:tcPr>
          <w:p w14:paraId="6B005807">
            <w:pPr>
              <w:widowControl/>
              <w:spacing w:line="240" w:lineRule="auto"/>
              <w:ind w:firstLine="0" w:firstLineChars="0"/>
              <w:jc w:val="left"/>
              <w:rPr>
                <w:rFonts w:hint="eastAsia" w:eastAsia="宋体"/>
                <w:sz w:val="21"/>
                <w:szCs w:val="21"/>
                <w:lang w:eastAsia="zh-CN"/>
              </w:rPr>
            </w:pPr>
            <w:r>
              <w:rPr>
                <w:rFonts w:hint="eastAsia"/>
                <w:sz w:val="21"/>
                <w:szCs w:val="21"/>
              </w:rPr>
              <w:t>需提供相关人员</w:t>
            </w:r>
            <w:r>
              <w:rPr>
                <w:rFonts w:hint="eastAsia"/>
                <w:sz w:val="21"/>
                <w:szCs w:val="21"/>
                <w:lang w:eastAsia="zh-CN"/>
              </w:rPr>
              <w:t>投标前进一季度内任一月在本单位缴纳社保的证明材料</w:t>
            </w:r>
          </w:p>
        </w:tc>
        <w:tc>
          <w:tcPr>
            <w:tcW w:w="1014" w:type="dxa"/>
            <w:noWrap/>
            <w:vAlign w:val="center"/>
          </w:tcPr>
          <w:p w14:paraId="073DECEC">
            <w:pPr>
              <w:widowControl/>
              <w:spacing w:line="240" w:lineRule="auto"/>
              <w:ind w:firstLine="0" w:firstLineChars="0"/>
              <w:jc w:val="center"/>
              <w:rPr>
                <w:rFonts w:hint="eastAsia"/>
                <w:sz w:val="21"/>
                <w:szCs w:val="21"/>
              </w:rPr>
            </w:pPr>
            <w:r>
              <w:rPr>
                <w:rFonts w:hint="eastAsia"/>
                <w:sz w:val="21"/>
                <w:szCs w:val="21"/>
              </w:rPr>
              <w:t>驻场</w:t>
            </w:r>
          </w:p>
        </w:tc>
      </w:tr>
      <w:tr w14:paraId="1F1E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1" w:hRule="atLeast"/>
          <w:jc w:val="center"/>
        </w:trPr>
        <w:tc>
          <w:tcPr>
            <w:tcW w:w="1083" w:type="dxa"/>
            <w:noWrap/>
            <w:vAlign w:val="center"/>
          </w:tcPr>
          <w:p w14:paraId="1913A07B">
            <w:pPr>
              <w:widowControl/>
              <w:spacing w:line="240" w:lineRule="auto"/>
              <w:ind w:firstLine="0" w:firstLineChars="0"/>
              <w:jc w:val="center"/>
              <w:rPr>
                <w:rFonts w:hint="eastAsia"/>
                <w:sz w:val="21"/>
                <w:szCs w:val="21"/>
              </w:rPr>
            </w:pPr>
            <w:r>
              <w:rPr>
                <w:rFonts w:hint="eastAsia"/>
                <w:sz w:val="21"/>
                <w:szCs w:val="21"/>
              </w:rPr>
              <w:t>研发、实施和测试</w:t>
            </w:r>
          </w:p>
        </w:tc>
        <w:tc>
          <w:tcPr>
            <w:tcW w:w="1290" w:type="dxa"/>
            <w:noWrap/>
            <w:vAlign w:val="center"/>
          </w:tcPr>
          <w:p w14:paraId="210054BE">
            <w:pPr>
              <w:widowControl/>
              <w:spacing w:line="240" w:lineRule="auto"/>
              <w:ind w:firstLine="0" w:firstLineChars="0"/>
              <w:jc w:val="center"/>
              <w:rPr>
                <w:rFonts w:hint="eastAsia"/>
                <w:sz w:val="21"/>
                <w:szCs w:val="21"/>
              </w:rPr>
            </w:pPr>
            <w:r>
              <w:rPr>
                <w:rFonts w:hint="eastAsia"/>
                <w:sz w:val="21"/>
                <w:szCs w:val="21"/>
              </w:rPr>
              <w:t>负责项目具体研发、实施和测试</w:t>
            </w:r>
          </w:p>
        </w:tc>
        <w:tc>
          <w:tcPr>
            <w:tcW w:w="1040" w:type="dxa"/>
            <w:noWrap/>
            <w:vAlign w:val="center"/>
          </w:tcPr>
          <w:p w14:paraId="24BFD07F">
            <w:pPr>
              <w:widowControl/>
              <w:spacing w:line="240" w:lineRule="auto"/>
              <w:ind w:firstLine="0" w:firstLineChars="0"/>
              <w:jc w:val="center"/>
              <w:rPr>
                <w:rFonts w:hint="eastAsia"/>
                <w:sz w:val="21"/>
                <w:szCs w:val="21"/>
              </w:rPr>
            </w:pPr>
            <w:r>
              <w:rPr>
                <w:rFonts w:hint="eastAsia"/>
                <w:sz w:val="21"/>
                <w:szCs w:val="21"/>
              </w:rPr>
              <w:t>7人</w:t>
            </w:r>
          </w:p>
        </w:tc>
        <w:tc>
          <w:tcPr>
            <w:tcW w:w="2310" w:type="dxa"/>
            <w:vAlign w:val="center"/>
          </w:tcPr>
          <w:p w14:paraId="6DAE58F2">
            <w:pPr>
              <w:widowControl/>
              <w:spacing w:line="240" w:lineRule="auto"/>
              <w:ind w:firstLine="0" w:firstLineChars="0"/>
              <w:jc w:val="left"/>
              <w:rPr>
                <w:rFonts w:hint="eastAsia"/>
                <w:sz w:val="21"/>
                <w:szCs w:val="21"/>
              </w:rPr>
            </w:pPr>
            <w:r>
              <w:rPr>
                <w:rFonts w:hint="eastAsia"/>
                <w:sz w:val="21"/>
                <w:szCs w:val="21"/>
              </w:rPr>
              <w:t>项目团队中具备软件设计师、系统集成项目管理工程师、数据库系统工程师、信息系统管理师</w:t>
            </w:r>
          </w:p>
        </w:tc>
        <w:tc>
          <w:tcPr>
            <w:tcW w:w="2120" w:type="dxa"/>
            <w:noWrap/>
            <w:vAlign w:val="center"/>
          </w:tcPr>
          <w:p w14:paraId="549740B0">
            <w:pPr>
              <w:widowControl/>
              <w:spacing w:line="240" w:lineRule="auto"/>
              <w:ind w:firstLine="0" w:firstLineChars="0"/>
              <w:jc w:val="left"/>
              <w:rPr>
                <w:rFonts w:hint="eastAsia" w:eastAsia="宋体"/>
                <w:sz w:val="21"/>
                <w:szCs w:val="21"/>
                <w:lang w:eastAsia="zh-CN"/>
              </w:rPr>
            </w:pPr>
            <w:r>
              <w:rPr>
                <w:rFonts w:hint="eastAsia"/>
                <w:sz w:val="21"/>
                <w:szCs w:val="21"/>
              </w:rPr>
              <w:t>需提供相关人员</w:t>
            </w:r>
            <w:r>
              <w:rPr>
                <w:rFonts w:hint="eastAsia"/>
                <w:sz w:val="21"/>
                <w:szCs w:val="21"/>
                <w:lang w:eastAsia="zh-CN"/>
              </w:rPr>
              <w:t>投标前进一季度内任一月在本单位缴纳社保的证明材料</w:t>
            </w:r>
          </w:p>
        </w:tc>
        <w:tc>
          <w:tcPr>
            <w:tcW w:w="1014" w:type="dxa"/>
            <w:noWrap/>
            <w:vAlign w:val="center"/>
          </w:tcPr>
          <w:p w14:paraId="499974AE">
            <w:pPr>
              <w:widowControl/>
              <w:spacing w:line="240" w:lineRule="auto"/>
              <w:ind w:firstLine="0" w:firstLineChars="0"/>
              <w:jc w:val="center"/>
              <w:rPr>
                <w:rFonts w:hint="eastAsia"/>
                <w:sz w:val="21"/>
                <w:szCs w:val="21"/>
              </w:rPr>
            </w:pPr>
            <w:r>
              <w:rPr>
                <w:rFonts w:hint="eastAsia"/>
                <w:sz w:val="21"/>
                <w:szCs w:val="21"/>
              </w:rPr>
              <w:t>驻场</w:t>
            </w:r>
          </w:p>
        </w:tc>
      </w:tr>
    </w:tbl>
    <w:p w14:paraId="6201F48E">
      <w:pPr>
        <w:pStyle w:val="3"/>
        <w:ind w:left="0" w:firstLine="0" w:firstLineChars="0"/>
        <w:rPr>
          <w:rFonts w:hint="eastAsia"/>
          <w:sz w:val="24"/>
          <w:szCs w:val="24"/>
        </w:rPr>
      </w:pPr>
      <w:bookmarkStart w:id="33" w:name="_Toc63785511"/>
      <w:r>
        <w:rPr>
          <w:rFonts w:hint="eastAsia"/>
          <w:sz w:val="24"/>
          <w:szCs w:val="24"/>
        </w:rPr>
        <w:t>等级保护要求</w:t>
      </w:r>
    </w:p>
    <w:p w14:paraId="000FC6B4">
      <w:pPr>
        <w:rPr>
          <w:rFonts w:hint="eastAsia"/>
        </w:rPr>
      </w:pPr>
      <w:r>
        <w:rPr>
          <w:rFonts w:hint="eastAsia"/>
        </w:rPr>
        <w:t>本项目等级保护要求：</w:t>
      </w:r>
      <w:r>
        <w:rPr>
          <w:rFonts w:hint="eastAsia"/>
          <w:b/>
          <w:bCs/>
        </w:rPr>
        <w:t>三级</w:t>
      </w:r>
    </w:p>
    <w:p w14:paraId="78469611">
      <w:pPr>
        <w:pStyle w:val="3"/>
        <w:ind w:left="0" w:firstLine="0" w:firstLineChars="0"/>
        <w:rPr>
          <w:rFonts w:hint="eastAsia"/>
          <w:sz w:val="24"/>
          <w:szCs w:val="24"/>
        </w:rPr>
      </w:pPr>
      <w:r>
        <w:rPr>
          <w:rFonts w:hint="eastAsia"/>
          <w:sz w:val="24"/>
          <w:szCs w:val="24"/>
        </w:rPr>
        <w:t>商业密码应用需求</w:t>
      </w:r>
    </w:p>
    <w:p w14:paraId="46F81099">
      <w:pPr>
        <w:pStyle w:val="133"/>
        <w:widowControl/>
        <w:ind w:firstLine="480"/>
        <w:rPr>
          <w:rFonts w:hint="eastAsia" w:ascii="宋体" w:hAnsi="宋体" w:eastAsia="宋体" w:cs="宋体"/>
          <w:sz w:val="24"/>
          <w:szCs w:val="24"/>
        </w:rPr>
      </w:pPr>
      <w:r>
        <w:rPr>
          <w:rFonts w:hint="eastAsia" w:ascii="宋体" w:hAnsi="宋体" w:eastAsia="宋体" w:cs="宋体"/>
          <w:sz w:val="24"/>
          <w:szCs w:val="24"/>
        </w:rPr>
        <w:t xml:space="preserve">围绕《国家政务信息化项目建设管理办法》中关于政务信息系统在系统规划阶段的密码应用要求，综合考虑物理和环境、网络和通信、设备和计算、应用和数据、安全管理等层面的密码应用需求，设计合规、正确、有效的系统密码应用方案，满足GB/T 39786—2021《信息安全技术信息系统密码应用基本要求》中三级指标要求，并为通过密码应用安全性评估奠定基础。 </w:t>
      </w:r>
    </w:p>
    <w:p w14:paraId="35A19FF7">
      <w:pPr>
        <w:pStyle w:val="3"/>
        <w:ind w:left="0" w:firstLine="0" w:firstLineChars="0"/>
        <w:rPr>
          <w:rFonts w:hint="eastAsia" w:cs="宋体"/>
          <w:sz w:val="24"/>
          <w:szCs w:val="24"/>
        </w:rPr>
      </w:pPr>
      <w:r>
        <w:rPr>
          <w:rFonts w:hint="eastAsia" w:cs="宋体"/>
          <w:sz w:val="24"/>
          <w:szCs w:val="24"/>
        </w:rPr>
        <w:t>技术文件要求</w:t>
      </w:r>
    </w:p>
    <w:p w14:paraId="14828D2B">
      <w:pPr>
        <w:rPr>
          <w:rFonts w:hint="eastAsia" w:cs="宋体"/>
        </w:rPr>
      </w:pPr>
      <w:r>
        <w:rPr>
          <w:rFonts w:hint="eastAsia" w:cs="宋体"/>
        </w:rPr>
        <w:t>投标人提供的书面技术资料应能确保系统正常运行所需的管理、运营及维护有关的全套文件。技术文件应该全面、完整、详细。投标人提供的技术文件至少应包括：</w:t>
      </w:r>
    </w:p>
    <w:p w14:paraId="6F6E5434">
      <w:pPr>
        <w:rPr>
          <w:rFonts w:hint="eastAsia" w:cs="宋体"/>
        </w:rPr>
      </w:pPr>
      <w:r>
        <w:rPr>
          <w:rFonts w:hint="eastAsia" w:cs="宋体"/>
        </w:rPr>
        <w:t xml:space="preserve">－ 系统说明文件； </w:t>
      </w:r>
    </w:p>
    <w:p w14:paraId="76A147D2">
      <w:pPr>
        <w:rPr>
          <w:rFonts w:hint="eastAsia" w:cs="宋体"/>
        </w:rPr>
      </w:pPr>
      <w:r>
        <w:rPr>
          <w:rFonts w:hint="eastAsia" w:cs="宋体"/>
        </w:rPr>
        <w:t xml:space="preserve">－ 技术手册(安装、测试、操作、维护、故障排除等)； </w:t>
      </w:r>
    </w:p>
    <w:p w14:paraId="244D4A16">
      <w:pPr>
        <w:rPr>
          <w:rFonts w:hint="eastAsia" w:cs="宋体"/>
        </w:rPr>
      </w:pPr>
      <w:r>
        <w:rPr>
          <w:rFonts w:hint="eastAsia" w:cs="宋体"/>
        </w:rPr>
        <w:t>－ 项目文档，应该包括：</w:t>
      </w:r>
    </w:p>
    <w:p w14:paraId="441FFF24">
      <w:pPr>
        <w:numPr>
          <w:ilvl w:val="0"/>
          <w:numId w:val="5"/>
        </w:numPr>
        <w:ind w:firstLine="480"/>
        <w:rPr>
          <w:rFonts w:hint="eastAsia" w:cs="宋体"/>
        </w:rPr>
      </w:pPr>
      <w:r>
        <w:rPr>
          <w:rFonts w:hint="eastAsia" w:cs="宋体"/>
          <w:lang w:bidi="ar"/>
        </w:rPr>
        <w:t>《需求规格说明书》</w:t>
      </w:r>
    </w:p>
    <w:p w14:paraId="1A8BD70E">
      <w:pPr>
        <w:rPr>
          <w:rFonts w:hint="eastAsia" w:cs="宋体"/>
        </w:rPr>
      </w:pPr>
      <w:r>
        <w:rPr>
          <w:rFonts w:hint="eastAsia" w:cs="宋体"/>
          <w:lang w:bidi="ar"/>
        </w:rPr>
        <w:t>(2)《概要设计说明书》</w:t>
      </w:r>
    </w:p>
    <w:p w14:paraId="01C5F8CD">
      <w:pPr>
        <w:rPr>
          <w:rFonts w:hint="eastAsia" w:cs="宋体"/>
        </w:rPr>
      </w:pPr>
      <w:r>
        <w:rPr>
          <w:rFonts w:hint="eastAsia" w:cs="宋体"/>
          <w:lang w:bidi="ar"/>
        </w:rPr>
        <w:t>(3)《详细设计说明书》</w:t>
      </w:r>
    </w:p>
    <w:p w14:paraId="22E6733E">
      <w:pPr>
        <w:rPr>
          <w:rFonts w:hint="eastAsia" w:cs="宋体"/>
        </w:rPr>
      </w:pPr>
      <w:r>
        <w:rPr>
          <w:rFonts w:hint="eastAsia" w:cs="宋体"/>
          <w:lang w:bidi="ar"/>
        </w:rPr>
        <w:t>(4)《数据库设计说明书》</w:t>
      </w:r>
    </w:p>
    <w:p w14:paraId="7DDFCFCA">
      <w:pPr>
        <w:rPr>
          <w:rFonts w:hint="eastAsia" w:cs="宋体"/>
        </w:rPr>
      </w:pPr>
      <w:r>
        <w:rPr>
          <w:rFonts w:hint="eastAsia" w:cs="宋体"/>
          <w:lang w:bidi="ar"/>
        </w:rPr>
        <w:t>(5)《软件功能清单》</w:t>
      </w:r>
    </w:p>
    <w:p w14:paraId="0E33670E">
      <w:pPr>
        <w:rPr>
          <w:rFonts w:hint="eastAsia"/>
        </w:rPr>
      </w:pPr>
      <w:r>
        <w:rPr>
          <w:rFonts w:hint="eastAsia"/>
        </w:rPr>
        <w:t>提供全套技术文件纸介质</w:t>
      </w:r>
      <w:r>
        <w:t>3套以及电子文件1套。</w:t>
      </w:r>
    </w:p>
    <w:p w14:paraId="65054280">
      <w:pPr>
        <w:pStyle w:val="2"/>
        <w:rPr>
          <w:rFonts w:hint="eastAsia"/>
        </w:rPr>
      </w:pPr>
      <w:r>
        <w:rPr>
          <w:rFonts w:hint="eastAsia"/>
        </w:rPr>
        <w:t>供应商实力要求</w:t>
      </w:r>
    </w:p>
    <w:p w14:paraId="15D50E1B">
      <w:pPr>
        <w:numPr>
          <w:ilvl w:val="0"/>
          <w:numId w:val="6"/>
        </w:numPr>
        <w:rPr>
          <w:rFonts w:hint="eastAsia"/>
        </w:rPr>
      </w:pPr>
      <w:r>
        <w:rPr>
          <w:rFonts w:hint="eastAsia"/>
        </w:rPr>
        <w:t>具有国产化业务元数据管理类、国产化数据采集类、国产化微服务支撑管理类、国产化智能搜索类、国产化数据处理类、智能决策分析类、业务建模软件类、大数据平台软件类</w:t>
      </w:r>
      <w:r>
        <w:rPr>
          <w:rFonts w:hint="eastAsia" w:cs="宋体"/>
        </w:rPr>
        <w:t>等</w:t>
      </w:r>
      <w:r>
        <w:rPr>
          <w:rFonts w:hint="eastAsia"/>
        </w:rPr>
        <w:t>与本项目相关的软件专利著作的优先考虑。</w:t>
      </w:r>
    </w:p>
    <w:p w14:paraId="298AE0FA">
      <w:pPr>
        <w:numPr>
          <w:ilvl w:val="0"/>
          <w:numId w:val="6"/>
        </w:numPr>
        <w:rPr>
          <w:rFonts w:hint="eastAsia"/>
        </w:rPr>
      </w:pPr>
      <w:r>
        <w:rPr>
          <w:rFonts w:hint="eastAsia"/>
        </w:rPr>
        <w:t>供应商具有ITSS 信息技术服务运行维护标准符合性证书、ISO20000信息技术服务管理体系认证证书、ISO27001信息安全管理体系认证证书、信息系统建设和服务能力等级CS证书等信息化相关服务实力证明证书的优先考虑。</w:t>
      </w:r>
    </w:p>
    <w:p w14:paraId="4FE58F04">
      <w:pPr>
        <w:numPr>
          <w:ilvl w:val="0"/>
          <w:numId w:val="6"/>
        </w:numPr>
        <w:rPr>
          <w:rFonts w:hint="eastAsia"/>
        </w:rPr>
      </w:pPr>
      <w:r>
        <w:rPr>
          <w:rFonts w:hint="eastAsia"/>
        </w:rPr>
        <w:t>供应商有过与本项目类似业绩的优先考虑。</w:t>
      </w:r>
    </w:p>
    <w:bookmarkEnd w:id="33"/>
    <w:p w14:paraId="34AC6F22">
      <w:pPr>
        <w:pStyle w:val="2"/>
        <w:rPr>
          <w:rFonts w:hint="eastAsia"/>
        </w:rPr>
      </w:pPr>
      <w:bookmarkStart w:id="34" w:name="_Toc63785512"/>
      <w:r>
        <w:rPr>
          <w:rFonts w:hint="eastAsia"/>
        </w:rPr>
        <w:t>供应商管理要求</w:t>
      </w:r>
      <w:bookmarkEnd w:id="34"/>
    </w:p>
    <w:p w14:paraId="56304DA8">
      <w:pPr>
        <w:pStyle w:val="93"/>
        <w:ind w:firstLine="480"/>
        <w:rPr>
          <w:rFonts w:hint="eastAsia"/>
          <w:sz w:val="24"/>
          <w:szCs w:val="24"/>
        </w:rPr>
      </w:pPr>
      <w:r>
        <w:rPr>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16200BDD">
      <w:pPr>
        <w:pStyle w:val="93"/>
        <w:ind w:firstLine="480"/>
        <w:rPr>
          <w:rFonts w:hint="eastAsia"/>
          <w:sz w:val="24"/>
          <w:szCs w:val="24"/>
        </w:rPr>
      </w:pPr>
      <w:r>
        <w:rPr>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w:t>
      </w:r>
      <w:r>
        <w:rPr>
          <w:rFonts w:hint="eastAsia"/>
          <w:sz w:val="24"/>
          <w:szCs w:val="24"/>
        </w:rPr>
        <w:t>做出</w:t>
      </w:r>
      <w:r>
        <w:rPr>
          <w:sz w:val="24"/>
          <w:szCs w:val="24"/>
        </w:rPr>
        <w:t>更好的调整。</w:t>
      </w:r>
    </w:p>
    <w:p w14:paraId="6673CAFD">
      <w:pPr>
        <w:pStyle w:val="93"/>
        <w:ind w:firstLine="480"/>
        <w:rPr>
          <w:rFonts w:hint="eastAsia"/>
          <w:sz w:val="24"/>
          <w:szCs w:val="24"/>
        </w:rPr>
      </w:pPr>
      <w:r>
        <w:rPr>
          <w:sz w:val="24"/>
          <w:szCs w:val="24"/>
        </w:rPr>
        <w:t>3、中标人在项目实施期间，应按项目实际进度与环节落实所对应项目整体及各环节管理工作，按照规范做好项目实施期间相关管理与实施记录。</w:t>
      </w:r>
    </w:p>
    <w:p w14:paraId="033F4479">
      <w:pPr>
        <w:pStyle w:val="93"/>
        <w:ind w:firstLine="480"/>
        <w:rPr>
          <w:rFonts w:hint="eastAsia"/>
          <w:sz w:val="24"/>
          <w:szCs w:val="24"/>
        </w:rPr>
      </w:pPr>
      <w:r>
        <w:rPr>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2D329366">
      <w:pPr>
        <w:pStyle w:val="93"/>
        <w:ind w:firstLine="480"/>
        <w:rPr>
          <w:rFonts w:hint="eastAsia"/>
          <w:sz w:val="24"/>
          <w:szCs w:val="24"/>
        </w:rPr>
      </w:pPr>
      <w:r>
        <w:rPr>
          <w:sz w:val="24"/>
          <w:szCs w:val="24"/>
        </w:rPr>
        <w:t>5、中标人在项目实施期间必须遵守采购人的规章制度并提供实施人员名单。</w:t>
      </w:r>
    </w:p>
    <w:p w14:paraId="084D87CD">
      <w:pPr>
        <w:pStyle w:val="93"/>
        <w:ind w:firstLine="480"/>
        <w:rPr>
          <w:rFonts w:hint="eastAsia"/>
          <w:sz w:val="24"/>
          <w:szCs w:val="24"/>
        </w:rPr>
      </w:pPr>
      <w:r>
        <w:rPr>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215F827D">
      <w:pPr>
        <w:pStyle w:val="93"/>
        <w:ind w:firstLine="480"/>
        <w:rPr>
          <w:rFonts w:hint="eastAsia"/>
          <w:sz w:val="24"/>
          <w:szCs w:val="24"/>
        </w:rPr>
      </w:pPr>
      <w:r>
        <w:rPr>
          <w:sz w:val="24"/>
          <w:szCs w:val="24"/>
        </w:rPr>
        <w:t>7、本项目软件开发及调试将纳入采购人的管理范围，中标人在此过程中须服从上述单位的管理协调</w:t>
      </w:r>
      <w:r>
        <w:rPr>
          <w:rFonts w:hint="eastAsia"/>
          <w:sz w:val="24"/>
          <w:szCs w:val="24"/>
        </w:rPr>
        <w:t>。</w:t>
      </w:r>
    </w:p>
    <w:p w14:paraId="681DC608">
      <w:pPr>
        <w:pStyle w:val="2"/>
        <w:rPr>
          <w:rFonts w:hint="eastAsia"/>
        </w:rPr>
      </w:pPr>
      <w:bookmarkStart w:id="35" w:name="_Toc63785513"/>
      <w:r>
        <w:rPr>
          <w:rFonts w:hint="eastAsia"/>
        </w:rPr>
        <w:t>关于转让和分包的规定</w:t>
      </w:r>
    </w:p>
    <w:p w14:paraId="59430BD4">
      <w:pPr>
        <w:pStyle w:val="93"/>
        <w:ind w:firstLine="480"/>
        <w:rPr>
          <w:rFonts w:hint="eastAsia"/>
          <w:sz w:val="24"/>
          <w:szCs w:val="24"/>
        </w:rPr>
      </w:pPr>
      <w:r>
        <w:rPr>
          <w:rFonts w:hint="eastAsia"/>
          <w:sz w:val="24"/>
          <w:szCs w:val="24"/>
        </w:rPr>
        <w:t>本项目不得转让、不得分包。</w:t>
      </w:r>
    </w:p>
    <w:p w14:paraId="7C29A592">
      <w:pPr>
        <w:pStyle w:val="2"/>
        <w:rPr>
          <w:rFonts w:hint="eastAsia"/>
        </w:rPr>
      </w:pPr>
      <w:r>
        <w:rPr>
          <w:rFonts w:hint="eastAsia"/>
        </w:rPr>
        <w:t>知识产权及保密要求</w:t>
      </w:r>
      <w:bookmarkEnd w:id="35"/>
    </w:p>
    <w:p w14:paraId="64C1BEE8">
      <w:pPr>
        <w:rPr>
          <w:rFonts w:hint="eastAsia"/>
          <w:bCs/>
        </w:rPr>
      </w:pPr>
      <w:bookmarkStart w:id="36" w:name="_Toc62932992"/>
      <w:bookmarkStart w:id="37" w:name="_Toc64623486"/>
      <w:bookmarkStart w:id="38" w:name="_Toc63098430"/>
      <w:bookmarkStart w:id="39" w:name="_Toc1952508964"/>
      <w:r>
        <w:rPr>
          <w:bCs/>
        </w:rPr>
        <w:t>1、中标人数据、文件、资料知识产权</w:t>
      </w:r>
    </w:p>
    <w:p w14:paraId="77C5C7A2">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79888DA1">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06AE5C64">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w:t>
      </w:r>
      <w:r>
        <w:t>/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6A1B2864">
      <w:pPr>
        <w:rPr>
          <w:rFonts w:hint="eastAsia"/>
          <w:bCs/>
        </w:rPr>
      </w:pPr>
      <w:r>
        <w:rPr>
          <w:bCs/>
        </w:rPr>
        <w:t>2、项目保密要求</w:t>
      </w:r>
    </w:p>
    <w:p w14:paraId="2EE969C8">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w:t>
      </w:r>
      <w:r>
        <w:t>/仲裁费、调查费、公证费等。</w:t>
      </w:r>
    </w:p>
    <w:p w14:paraId="4B8BF53F">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534C58B0">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32F339DF">
      <w:pPr>
        <w:rPr>
          <w:rFonts w:hint="eastAsia"/>
        </w:rPr>
      </w:pPr>
      <w:r>
        <w:rPr>
          <w:rFonts w:hint="eastAsia"/>
        </w:rPr>
        <w:t>以上内容的保密期限自中标人知悉保密信息起始至保密信息被合法公开之日止。</w:t>
      </w:r>
    </w:p>
    <w:p w14:paraId="37FFE300">
      <w:pPr>
        <w:rPr>
          <w:rFonts w:hint="eastAsia"/>
        </w:rPr>
      </w:pPr>
      <w:r>
        <w:t>3、临时账号等使用要求</w:t>
      </w:r>
    </w:p>
    <w:p w14:paraId="6EB4394F">
      <w:pPr>
        <w:rPr>
          <w:rFonts w:hint="eastAsia"/>
        </w:rPr>
      </w:pPr>
      <w:r>
        <w:rPr>
          <w:rFonts w:hint="eastAsia"/>
        </w:rPr>
        <w:t>中标人对采购人提供的临时使用账号要保密，不得公开，对组件开发的账号密码需进行加密，避免信息安全的泄露。未经采购人的同意不得利用采购人的网络及平台进行短信、彩信、微信发送，</w:t>
      </w:r>
      <w:r>
        <w:t>造成的一切后果由中标人负责</w:t>
      </w:r>
      <w:r>
        <w:rPr>
          <w:rFonts w:hint="eastAsia"/>
        </w:rPr>
        <w:t>。</w:t>
      </w:r>
      <w:bookmarkEnd w:id="36"/>
      <w:bookmarkEnd w:id="37"/>
      <w:bookmarkEnd w:id="38"/>
      <w:bookmarkEnd w:id="39"/>
    </w:p>
    <w:p w14:paraId="13078264">
      <w:pPr>
        <w:pStyle w:val="2"/>
        <w:rPr>
          <w:rFonts w:hint="eastAsia"/>
        </w:rPr>
      </w:pPr>
      <w:bookmarkStart w:id="40" w:name="_Toc65170093"/>
      <w:r>
        <w:t>项目的变更、解除和终止</w:t>
      </w:r>
    </w:p>
    <w:bookmarkEnd w:id="40"/>
    <w:p w14:paraId="2221DF04">
      <w:pPr>
        <w:rPr>
          <w:rFonts w:hint="eastAsia"/>
        </w:rPr>
      </w:pPr>
      <w:bookmarkStart w:id="41" w:name="PO_评分标准"/>
      <w:bookmarkEnd w:id="41"/>
      <w:bookmarkStart w:id="42" w:name="PO_pf包2"/>
      <w:bookmarkEnd w:id="42"/>
      <w:bookmarkStart w:id="43" w:name="PO_pf包1"/>
      <w:bookmarkEnd w:id="43"/>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08756822">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1B28A55D">
      <w:pPr>
        <w:ind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1F00FF" w:csb1="FFFF0000"/>
  </w:font>
  <w:font w:name="等线 Light">
    <w:panose1 w:val="02010600030101010101"/>
    <w:charset w:val="86"/>
    <w:family w:val="auto"/>
    <w:pitch w:val="default"/>
    <w:sig w:usb0="A00002BF" w:usb1="38CF7CFA" w:usb2="00000016" w:usb3="00000000" w:csb0="0004000F" w:csb1="00000000"/>
  </w:font>
  <w:font w:name="ti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094C">
    <w:pPr>
      <w:ind w:firstLine="0" w:firstLineChars="0"/>
      <w:jc w:val="center"/>
      <w:rPr>
        <w:rFonts w:hint="eastAsia"/>
      </w:rPr>
    </w:pPr>
    <w:r>
      <w:rPr>
        <w:rFonts w:hint="eastAsia"/>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E2B9E57">
                <w:pPr>
                  <w:ind w:firstLine="0" w:firstLineChars="0"/>
                  <w:jc w:val="center"/>
                  <w:rPr>
                    <w:rFonts w:hint="eastAsia"/>
                    <w:sz w:val="22"/>
                    <w:szCs w:val="22"/>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17</w:t>
                </w:r>
                <w:r>
                  <w:rPr>
                    <w:sz w:val="21"/>
                    <w:szCs w:val="21"/>
                    <w:lang w:val="zh-CN"/>
                  </w:rPr>
                  <w:fldChar w:fldCharType="end"/>
                </w:r>
              </w:p>
            </w:txbxContent>
          </v:textbox>
        </v:shape>
      </w:pict>
    </w:r>
  </w:p>
  <w:p w14:paraId="4DF36513">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EA30">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4AF0">
    <w:pPr>
      <w:ind w:firstLine="0" w:firstLineChars="0"/>
      <w:jc w:val="center"/>
      <w:rPr>
        <w:rFonts w:hint="eastAsia"/>
        <w:lang w:val="zh-CN"/>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6564ED80">
                <w:pPr>
                  <w:ind w:firstLine="0" w:firstLineChars="0"/>
                  <w:jc w:val="center"/>
                  <w:rPr>
                    <w:rFonts w:hint="eastAsia"/>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v:textbox>
        </v:shape>
      </w:pict>
    </w:r>
  </w:p>
  <w:p w14:paraId="5C2BBA38">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8B7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DD1E">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BB08">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41B2A"/>
    <w:multiLevelType w:val="singleLevel"/>
    <w:tmpl w:val="9C241B2A"/>
    <w:lvl w:ilvl="0" w:tentative="0">
      <w:start w:val="1"/>
      <w:numFmt w:val="decimal"/>
      <w:lvlText w:val="(%1)"/>
      <w:lvlJc w:val="left"/>
      <w:pPr>
        <w:ind w:left="425" w:hanging="425"/>
      </w:pPr>
      <w:rPr>
        <w:rFonts w:hint="default"/>
      </w:rPr>
    </w:lvl>
  </w:abstractNum>
  <w:abstractNum w:abstractNumId="1">
    <w:nsid w:val="DBBE075A"/>
    <w:multiLevelType w:val="singleLevel"/>
    <w:tmpl w:val="DBBE075A"/>
    <w:lvl w:ilvl="0" w:tentative="0">
      <w:start w:val="1"/>
      <w:numFmt w:val="decimal"/>
      <w:lvlText w:val="%1."/>
      <w:lvlJc w:val="left"/>
      <w:pPr>
        <w:tabs>
          <w:tab w:val="left" w:pos="312"/>
        </w:tabs>
      </w:pPr>
    </w:lvl>
  </w:abstractNum>
  <w:abstractNum w:abstractNumId="2">
    <w:nsid w:val="E3DFD7EE"/>
    <w:multiLevelType w:val="multilevel"/>
    <w:tmpl w:val="E3DFD7EE"/>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5D57574"/>
    <w:multiLevelType w:val="multilevel"/>
    <w:tmpl w:val="65D5757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4677"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YwZGRhZWEzYWEyMmQ4NmM1NzdjZTA5ZDY0NmFhY2MifQ=="/>
  </w:docVars>
  <w:rsids>
    <w:rsidRoot w:val="006910C0"/>
    <w:rsid w:val="0000005A"/>
    <w:rsid w:val="00000AED"/>
    <w:rsid w:val="00000D61"/>
    <w:rsid w:val="00003516"/>
    <w:rsid w:val="0000380E"/>
    <w:rsid w:val="00004403"/>
    <w:rsid w:val="00005AFD"/>
    <w:rsid w:val="00006563"/>
    <w:rsid w:val="00006E00"/>
    <w:rsid w:val="000074F1"/>
    <w:rsid w:val="00007A41"/>
    <w:rsid w:val="00007DA7"/>
    <w:rsid w:val="00010575"/>
    <w:rsid w:val="00012070"/>
    <w:rsid w:val="00012EF0"/>
    <w:rsid w:val="0001553A"/>
    <w:rsid w:val="000156DE"/>
    <w:rsid w:val="00015766"/>
    <w:rsid w:val="000165AD"/>
    <w:rsid w:val="000179E9"/>
    <w:rsid w:val="00017D99"/>
    <w:rsid w:val="00021EE6"/>
    <w:rsid w:val="0002280E"/>
    <w:rsid w:val="00022C74"/>
    <w:rsid w:val="00022EB6"/>
    <w:rsid w:val="00024530"/>
    <w:rsid w:val="00025122"/>
    <w:rsid w:val="000252D5"/>
    <w:rsid w:val="00026997"/>
    <w:rsid w:val="0002722C"/>
    <w:rsid w:val="00027A64"/>
    <w:rsid w:val="00031771"/>
    <w:rsid w:val="00032D27"/>
    <w:rsid w:val="00035325"/>
    <w:rsid w:val="00035A55"/>
    <w:rsid w:val="00035D5B"/>
    <w:rsid w:val="000378D0"/>
    <w:rsid w:val="00037F2C"/>
    <w:rsid w:val="00041266"/>
    <w:rsid w:val="00042C2A"/>
    <w:rsid w:val="000430EC"/>
    <w:rsid w:val="000447CB"/>
    <w:rsid w:val="00047915"/>
    <w:rsid w:val="00047D06"/>
    <w:rsid w:val="00050FBD"/>
    <w:rsid w:val="0005192C"/>
    <w:rsid w:val="00052929"/>
    <w:rsid w:val="00052963"/>
    <w:rsid w:val="0005299F"/>
    <w:rsid w:val="000541D7"/>
    <w:rsid w:val="000545C0"/>
    <w:rsid w:val="0005586D"/>
    <w:rsid w:val="00056C0E"/>
    <w:rsid w:val="000574A8"/>
    <w:rsid w:val="00057A49"/>
    <w:rsid w:val="0006231F"/>
    <w:rsid w:val="00062A05"/>
    <w:rsid w:val="00062EE6"/>
    <w:rsid w:val="0006344E"/>
    <w:rsid w:val="00065AE4"/>
    <w:rsid w:val="00065E0A"/>
    <w:rsid w:val="0006794B"/>
    <w:rsid w:val="00067DCA"/>
    <w:rsid w:val="00070063"/>
    <w:rsid w:val="000701C2"/>
    <w:rsid w:val="0007087A"/>
    <w:rsid w:val="000710EC"/>
    <w:rsid w:val="0007114A"/>
    <w:rsid w:val="00072237"/>
    <w:rsid w:val="00072ABE"/>
    <w:rsid w:val="00072AF5"/>
    <w:rsid w:val="00075F35"/>
    <w:rsid w:val="00080B39"/>
    <w:rsid w:val="0008235B"/>
    <w:rsid w:val="00083950"/>
    <w:rsid w:val="0008452F"/>
    <w:rsid w:val="00084E8E"/>
    <w:rsid w:val="00085A68"/>
    <w:rsid w:val="00086C42"/>
    <w:rsid w:val="00090625"/>
    <w:rsid w:val="00090948"/>
    <w:rsid w:val="00091CD1"/>
    <w:rsid w:val="000934DD"/>
    <w:rsid w:val="0009460E"/>
    <w:rsid w:val="000951D4"/>
    <w:rsid w:val="00097B93"/>
    <w:rsid w:val="000A0746"/>
    <w:rsid w:val="000A2146"/>
    <w:rsid w:val="000A2930"/>
    <w:rsid w:val="000A3276"/>
    <w:rsid w:val="000A3C35"/>
    <w:rsid w:val="000A3E30"/>
    <w:rsid w:val="000A53F5"/>
    <w:rsid w:val="000A5876"/>
    <w:rsid w:val="000A61D0"/>
    <w:rsid w:val="000A6C67"/>
    <w:rsid w:val="000A6DB8"/>
    <w:rsid w:val="000A7596"/>
    <w:rsid w:val="000B11A8"/>
    <w:rsid w:val="000B1959"/>
    <w:rsid w:val="000B219A"/>
    <w:rsid w:val="000B2E1C"/>
    <w:rsid w:val="000B4459"/>
    <w:rsid w:val="000B4B46"/>
    <w:rsid w:val="000B5363"/>
    <w:rsid w:val="000B53BA"/>
    <w:rsid w:val="000B6C99"/>
    <w:rsid w:val="000B6DD6"/>
    <w:rsid w:val="000C2675"/>
    <w:rsid w:val="000C2EAF"/>
    <w:rsid w:val="000C3228"/>
    <w:rsid w:val="000C4CC8"/>
    <w:rsid w:val="000C5A75"/>
    <w:rsid w:val="000C787A"/>
    <w:rsid w:val="000D08BF"/>
    <w:rsid w:val="000D0AB2"/>
    <w:rsid w:val="000D1C02"/>
    <w:rsid w:val="000D225C"/>
    <w:rsid w:val="000D36F2"/>
    <w:rsid w:val="000D4B26"/>
    <w:rsid w:val="000D74DB"/>
    <w:rsid w:val="000D792D"/>
    <w:rsid w:val="000D7BFB"/>
    <w:rsid w:val="000E1140"/>
    <w:rsid w:val="000E24D6"/>
    <w:rsid w:val="000E6072"/>
    <w:rsid w:val="000E6D61"/>
    <w:rsid w:val="000E7A23"/>
    <w:rsid w:val="000F1862"/>
    <w:rsid w:val="000F1C29"/>
    <w:rsid w:val="000F1E9E"/>
    <w:rsid w:val="000F26B9"/>
    <w:rsid w:val="000F2B10"/>
    <w:rsid w:val="000F2B23"/>
    <w:rsid w:val="000F3AC3"/>
    <w:rsid w:val="000F5C60"/>
    <w:rsid w:val="000F5E4C"/>
    <w:rsid w:val="001039BC"/>
    <w:rsid w:val="001055B2"/>
    <w:rsid w:val="00106207"/>
    <w:rsid w:val="001068F0"/>
    <w:rsid w:val="00106C9E"/>
    <w:rsid w:val="00106E16"/>
    <w:rsid w:val="0010768B"/>
    <w:rsid w:val="00111701"/>
    <w:rsid w:val="00112A29"/>
    <w:rsid w:val="001167F6"/>
    <w:rsid w:val="00116C86"/>
    <w:rsid w:val="00121ACF"/>
    <w:rsid w:val="00121D8F"/>
    <w:rsid w:val="00122037"/>
    <w:rsid w:val="001220FD"/>
    <w:rsid w:val="0012210C"/>
    <w:rsid w:val="00122A7F"/>
    <w:rsid w:val="00123106"/>
    <w:rsid w:val="00123F98"/>
    <w:rsid w:val="001242A5"/>
    <w:rsid w:val="00124531"/>
    <w:rsid w:val="00126EDF"/>
    <w:rsid w:val="00127BBE"/>
    <w:rsid w:val="00130DB1"/>
    <w:rsid w:val="00131D52"/>
    <w:rsid w:val="001328E4"/>
    <w:rsid w:val="001329C1"/>
    <w:rsid w:val="00132C16"/>
    <w:rsid w:val="00136320"/>
    <w:rsid w:val="00136FFA"/>
    <w:rsid w:val="00137AC6"/>
    <w:rsid w:val="00145512"/>
    <w:rsid w:val="00147B45"/>
    <w:rsid w:val="00150803"/>
    <w:rsid w:val="00151D83"/>
    <w:rsid w:val="001546C9"/>
    <w:rsid w:val="00154F37"/>
    <w:rsid w:val="00154FAE"/>
    <w:rsid w:val="00155E77"/>
    <w:rsid w:val="00160A61"/>
    <w:rsid w:val="00160FC0"/>
    <w:rsid w:val="00164525"/>
    <w:rsid w:val="00164C50"/>
    <w:rsid w:val="001652B9"/>
    <w:rsid w:val="00165CB2"/>
    <w:rsid w:val="00165E0A"/>
    <w:rsid w:val="00166767"/>
    <w:rsid w:val="0017036F"/>
    <w:rsid w:val="001707CB"/>
    <w:rsid w:val="00171477"/>
    <w:rsid w:val="00172A1A"/>
    <w:rsid w:val="00173251"/>
    <w:rsid w:val="00176BED"/>
    <w:rsid w:val="0017759D"/>
    <w:rsid w:val="001804A5"/>
    <w:rsid w:val="00181C37"/>
    <w:rsid w:val="00181C94"/>
    <w:rsid w:val="00182C84"/>
    <w:rsid w:val="00187031"/>
    <w:rsid w:val="00191EA4"/>
    <w:rsid w:val="00192B6C"/>
    <w:rsid w:val="0019381E"/>
    <w:rsid w:val="00193CAF"/>
    <w:rsid w:val="00194A73"/>
    <w:rsid w:val="0019503C"/>
    <w:rsid w:val="00195D94"/>
    <w:rsid w:val="00196F7B"/>
    <w:rsid w:val="001971CB"/>
    <w:rsid w:val="0019795C"/>
    <w:rsid w:val="001A22A2"/>
    <w:rsid w:val="001A2971"/>
    <w:rsid w:val="001A335D"/>
    <w:rsid w:val="001A3D52"/>
    <w:rsid w:val="001A460A"/>
    <w:rsid w:val="001A4A4C"/>
    <w:rsid w:val="001A5EAD"/>
    <w:rsid w:val="001B0230"/>
    <w:rsid w:val="001B13AB"/>
    <w:rsid w:val="001B229A"/>
    <w:rsid w:val="001B3907"/>
    <w:rsid w:val="001B3B49"/>
    <w:rsid w:val="001B4907"/>
    <w:rsid w:val="001B4DC5"/>
    <w:rsid w:val="001B5505"/>
    <w:rsid w:val="001B5613"/>
    <w:rsid w:val="001B5ED2"/>
    <w:rsid w:val="001C2180"/>
    <w:rsid w:val="001C29CC"/>
    <w:rsid w:val="001C3B98"/>
    <w:rsid w:val="001C6028"/>
    <w:rsid w:val="001C6365"/>
    <w:rsid w:val="001C761E"/>
    <w:rsid w:val="001D0ABB"/>
    <w:rsid w:val="001D0E79"/>
    <w:rsid w:val="001D431D"/>
    <w:rsid w:val="001D6049"/>
    <w:rsid w:val="001D7339"/>
    <w:rsid w:val="001D73B2"/>
    <w:rsid w:val="001E2750"/>
    <w:rsid w:val="001E4343"/>
    <w:rsid w:val="001E660A"/>
    <w:rsid w:val="001F05D6"/>
    <w:rsid w:val="001F1ADF"/>
    <w:rsid w:val="001F5B0A"/>
    <w:rsid w:val="001F640F"/>
    <w:rsid w:val="001F6794"/>
    <w:rsid w:val="001F6F65"/>
    <w:rsid w:val="002002DF"/>
    <w:rsid w:val="002030DE"/>
    <w:rsid w:val="00203A6F"/>
    <w:rsid w:val="0020411A"/>
    <w:rsid w:val="00205646"/>
    <w:rsid w:val="002063F7"/>
    <w:rsid w:val="002129E5"/>
    <w:rsid w:val="00212AA4"/>
    <w:rsid w:val="00212E13"/>
    <w:rsid w:val="002179FE"/>
    <w:rsid w:val="00220B76"/>
    <w:rsid w:val="00220CC0"/>
    <w:rsid w:val="00221A36"/>
    <w:rsid w:val="002240F7"/>
    <w:rsid w:val="0022486F"/>
    <w:rsid w:val="002248DC"/>
    <w:rsid w:val="00225314"/>
    <w:rsid w:val="00225DF4"/>
    <w:rsid w:val="00226C70"/>
    <w:rsid w:val="002313F9"/>
    <w:rsid w:val="00231A00"/>
    <w:rsid w:val="00231F98"/>
    <w:rsid w:val="002324F8"/>
    <w:rsid w:val="00232BF6"/>
    <w:rsid w:val="002348B0"/>
    <w:rsid w:val="00235CDC"/>
    <w:rsid w:val="00237E76"/>
    <w:rsid w:val="00240BBE"/>
    <w:rsid w:val="00240FAC"/>
    <w:rsid w:val="00240FC7"/>
    <w:rsid w:val="00241525"/>
    <w:rsid w:val="00241D87"/>
    <w:rsid w:val="00243C55"/>
    <w:rsid w:val="00243D5E"/>
    <w:rsid w:val="002451EC"/>
    <w:rsid w:val="00245CB9"/>
    <w:rsid w:val="00245ED4"/>
    <w:rsid w:val="00246B41"/>
    <w:rsid w:val="0025002B"/>
    <w:rsid w:val="002500DE"/>
    <w:rsid w:val="00251ADF"/>
    <w:rsid w:val="00252130"/>
    <w:rsid w:val="00252457"/>
    <w:rsid w:val="00252581"/>
    <w:rsid w:val="00252FB1"/>
    <w:rsid w:val="002535B5"/>
    <w:rsid w:val="002538CB"/>
    <w:rsid w:val="002542BD"/>
    <w:rsid w:val="0025774E"/>
    <w:rsid w:val="00257D64"/>
    <w:rsid w:val="0026340A"/>
    <w:rsid w:val="00263A8D"/>
    <w:rsid w:val="002654EA"/>
    <w:rsid w:val="002704EA"/>
    <w:rsid w:val="0027061A"/>
    <w:rsid w:val="002719CC"/>
    <w:rsid w:val="00272588"/>
    <w:rsid w:val="002730C5"/>
    <w:rsid w:val="0027337C"/>
    <w:rsid w:val="00273A15"/>
    <w:rsid w:val="0027602B"/>
    <w:rsid w:val="00277F5E"/>
    <w:rsid w:val="00280084"/>
    <w:rsid w:val="00280490"/>
    <w:rsid w:val="002860B8"/>
    <w:rsid w:val="0029206E"/>
    <w:rsid w:val="00292B7C"/>
    <w:rsid w:val="00293382"/>
    <w:rsid w:val="00294F51"/>
    <w:rsid w:val="002A080C"/>
    <w:rsid w:val="002A2342"/>
    <w:rsid w:val="002A279E"/>
    <w:rsid w:val="002A47C1"/>
    <w:rsid w:val="002A4FA3"/>
    <w:rsid w:val="002B18C2"/>
    <w:rsid w:val="002B1A7B"/>
    <w:rsid w:val="002B246F"/>
    <w:rsid w:val="002B3606"/>
    <w:rsid w:val="002B3D80"/>
    <w:rsid w:val="002B4402"/>
    <w:rsid w:val="002B4946"/>
    <w:rsid w:val="002B4C41"/>
    <w:rsid w:val="002B588D"/>
    <w:rsid w:val="002C0903"/>
    <w:rsid w:val="002C1839"/>
    <w:rsid w:val="002C214A"/>
    <w:rsid w:val="002C28E8"/>
    <w:rsid w:val="002C2C39"/>
    <w:rsid w:val="002C3027"/>
    <w:rsid w:val="002C57CF"/>
    <w:rsid w:val="002C674D"/>
    <w:rsid w:val="002C7648"/>
    <w:rsid w:val="002C7DC4"/>
    <w:rsid w:val="002D0821"/>
    <w:rsid w:val="002D1929"/>
    <w:rsid w:val="002D1B73"/>
    <w:rsid w:val="002D228D"/>
    <w:rsid w:val="002D4800"/>
    <w:rsid w:val="002D5B21"/>
    <w:rsid w:val="002D6F6D"/>
    <w:rsid w:val="002D765D"/>
    <w:rsid w:val="002E1FE6"/>
    <w:rsid w:val="002E2EA7"/>
    <w:rsid w:val="002E36D2"/>
    <w:rsid w:val="002E3CA8"/>
    <w:rsid w:val="002E7193"/>
    <w:rsid w:val="002E748B"/>
    <w:rsid w:val="002F2002"/>
    <w:rsid w:val="002F335D"/>
    <w:rsid w:val="002F4E32"/>
    <w:rsid w:val="002F503F"/>
    <w:rsid w:val="002F50F3"/>
    <w:rsid w:val="002F51DD"/>
    <w:rsid w:val="002F5D08"/>
    <w:rsid w:val="002F61E0"/>
    <w:rsid w:val="002F6895"/>
    <w:rsid w:val="002F6D13"/>
    <w:rsid w:val="003049C7"/>
    <w:rsid w:val="00305F0E"/>
    <w:rsid w:val="0030667A"/>
    <w:rsid w:val="0031063D"/>
    <w:rsid w:val="003106DE"/>
    <w:rsid w:val="00311530"/>
    <w:rsid w:val="00312D31"/>
    <w:rsid w:val="00315216"/>
    <w:rsid w:val="0031586E"/>
    <w:rsid w:val="0031691C"/>
    <w:rsid w:val="00316DCC"/>
    <w:rsid w:val="00317AEF"/>
    <w:rsid w:val="00317F49"/>
    <w:rsid w:val="0032089B"/>
    <w:rsid w:val="00323450"/>
    <w:rsid w:val="00323541"/>
    <w:rsid w:val="0032489B"/>
    <w:rsid w:val="0032525B"/>
    <w:rsid w:val="00326A7A"/>
    <w:rsid w:val="00326FEE"/>
    <w:rsid w:val="003315D7"/>
    <w:rsid w:val="0033252E"/>
    <w:rsid w:val="003335BC"/>
    <w:rsid w:val="00334DE6"/>
    <w:rsid w:val="0033536D"/>
    <w:rsid w:val="003353FF"/>
    <w:rsid w:val="003366D2"/>
    <w:rsid w:val="00337C79"/>
    <w:rsid w:val="00337FEF"/>
    <w:rsid w:val="0034084C"/>
    <w:rsid w:val="00340D5E"/>
    <w:rsid w:val="00341B9C"/>
    <w:rsid w:val="003420B5"/>
    <w:rsid w:val="00343646"/>
    <w:rsid w:val="00344CCB"/>
    <w:rsid w:val="00344E46"/>
    <w:rsid w:val="00345897"/>
    <w:rsid w:val="00346B05"/>
    <w:rsid w:val="00351BFC"/>
    <w:rsid w:val="0035575E"/>
    <w:rsid w:val="003565B4"/>
    <w:rsid w:val="00362E75"/>
    <w:rsid w:val="00362F4A"/>
    <w:rsid w:val="003631AA"/>
    <w:rsid w:val="003632D5"/>
    <w:rsid w:val="00363575"/>
    <w:rsid w:val="00364EF9"/>
    <w:rsid w:val="0036616C"/>
    <w:rsid w:val="00367579"/>
    <w:rsid w:val="0036795B"/>
    <w:rsid w:val="00370A29"/>
    <w:rsid w:val="003722F9"/>
    <w:rsid w:val="00372349"/>
    <w:rsid w:val="003726D7"/>
    <w:rsid w:val="003731B7"/>
    <w:rsid w:val="00374BDE"/>
    <w:rsid w:val="003768AF"/>
    <w:rsid w:val="00376B39"/>
    <w:rsid w:val="003772C0"/>
    <w:rsid w:val="00377422"/>
    <w:rsid w:val="00377BAC"/>
    <w:rsid w:val="00380142"/>
    <w:rsid w:val="00380558"/>
    <w:rsid w:val="00381D3C"/>
    <w:rsid w:val="0038223E"/>
    <w:rsid w:val="00382D92"/>
    <w:rsid w:val="00385AEF"/>
    <w:rsid w:val="003860EA"/>
    <w:rsid w:val="0038781A"/>
    <w:rsid w:val="003903E8"/>
    <w:rsid w:val="0039080B"/>
    <w:rsid w:val="0039326E"/>
    <w:rsid w:val="00394E22"/>
    <w:rsid w:val="003967A4"/>
    <w:rsid w:val="00397FA3"/>
    <w:rsid w:val="003A1596"/>
    <w:rsid w:val="003A317E"/>
    <w:rsid w:val="003A345B"/>
    <w:rsid w:val="003A378E"/>
    <w:rsid w:val="003A49EE"/>
    <w:rsid w:val="003A5D07"/>
    <w:rsid w:val="003A674D"/>
    <w:rsid w:val="003A7123"/>
    <w:rsid w:val="003B102E"/>
    <w:rsid w:val="003B2167"/>
    <w:rsid w:val="003B5486"/>
    <w:rsid w:val="003B5F5D"/>
    <w:rsid w:val="003B619D"/>
    <w:rsid w:val="003B778F"/>
    <w:rsid w:val="003C0C62"/>
    <w:rsid w:val="003C1229"/>
    <w:rsid w:val="003C12DC"/>
    <w:rsid w:val="003C1EE6"/>
    <w:rsid w:val="003C20AB"/>
    <w:rsid w:val="003C2CDA"/>
    <w:rsid w:val="003C6CF7"/>
    <w:rsid w:val="003D000A"/>
    <w:rsid w:val="003D0C24"/>
    <w:rsid w:val="003D31E9"/>
    <w:rsid w:val="003D544E"/>
    <w:rsid w:val="003D5980"/>
    <w:rsid w:val="003D75B0"/>
    <w:rsid w:val="003E0842"/>
    <w:rsid w:val="003E13B0"/>
    <w:rsid w:val="003E2580"/>
    <w:rsid w:val="003E3DEE"/>
    <w:rsid w:val="003E3EBB"/>
    <w:rsid w:val="003E4A4C"/>
    <w:rsid w:val="003E4CBA"/>
    <w:rsid w:val="003E4D2F"/>
    <w:rsid w:val="003E4EDC"/>
    <w:rsid w:val="003E599D"/>
    <w:rsid w:val="003E5C81"/>
    <w:rsid w:val="003F00E8"/>
    <w:rsid w:val="003F1936"/>
    <w:rsid w:val="003F1BDD"/>
    <w:rsid w:val="003F3BA3"/>
    <w:rsid w:val="003F3BD5"/>
    <w:rsid w:val="003F400E"/>
    <w:rsid w:val="003F5989"/>
    <w:rsid w:val="003F6F35"/>
    <w:rsid w:val="003F714A"/>
    <w:rsid w:val="003F7768"/>
    <w:rsid w:val="00400E8C"/>
    <w:rsid w:val="004017DC"/>
    <w:rsid w:val="00401B53"/>
    <w:rsid w:val="00402668"/>
    <w:rsid w:val="00402B27"/>
    <w:rsid w:val="004038E4"/>
    <w:rsid w:val="00404B3C"/>
    <w:rsid w:val="00404FEC"/>
    <w:rsid w:val="0040534D"/>
    <w:rsid w:val="00405FAD"/>
    <w:rsid w:val="004117AB"/>
    <w:rsid w:val="00411D86"/>
    <w:rsid w:val="00412B2F"/>
    <w:rsid w:val="00412DD2"/>
    <w:rsid w:val="004135A3"/>
    <w:rsid w:val="00415281"/>
    <w:rsid w:val="00415716"/>
    <w:rsid w:val="0041604D"/>
    <w:rsid w:val="00417842"/>
    <w:rsid w:val="00417A6E"/>
    <w:rsid w:val="00430221"/>
    <w:rsid w:val="00430B13"/>
    <w:rsid w:val="00430CE5"/>
    <w:rsid w:val="0043153C"/>
    <w:rsid w:val="00431D0F"/>
    <w:rsid w:val="0043481C"/>
    <w:rsid w:val="0043525F"/>
    <w:rsid w:val="00441FF2"/>
    <w:rsid w:val="00444307"/>
    <w:rsid w:val="0044436F"/>
    <w:rsid w:val="004443EB"/>
    <w:rsid w:val="00444432"/>
    <w:rsid w:val="00444673"/>
    <w:rsid w:val="0044621E"/>
    <w:rsid w:val="00450BA4"/>
    <w:rsid w:val="004511FC"/>
    <w:rsid w:val="004550C3"/>
    <w:rsid w:val="00456457"/>
    <w:rsid w:val="00456784"/>
    <w:rsid w:val="00456DCA"/>
    <w:rsid w:val="004611DB"/>
    <w:rsid w:val="004658B0"/>
    <w:rsid w:val="0046614B"/>
    <w:rsid w:val="004676C0"/>
    <w:rsid w:val="004678E5"/>
    <w:rsid w:val="00467D3D"/>
    <w:rsid w:val="00467FD7"/>
    <w:rsid w:val="00470073"/>
    <w:rsid w:val="00471416"/>
    <w:rsid w:val="004725DB"/>
    <w:rsid w:val="004730F8"/>
    <w:rsid w:val="00474353"/>
    <w:rsid w:val="0047454F"/>
    <w:rsid w:val="00474555"/>
    <w:rsid w:val="004750F4"/>
    <w:rsid w:val="00476CB1"/>
    <w:rsid w:val="00480A48"/>
    <w:rsid w:val="00482501"/>
    <w:rsid w:val="00482E7D"/>
    <w:rsid w:val="00484395"/>
    <w:rsid w:val="0048544D"/>
    <w:rsid w:val="004865FB"/>
    <w:rsid w:val="00486C03"/>
    <w:rsid w:val="00491AB3"/>
    <w:rsid w:val="00494A21"/>
    <w:rsid w:val="00497A33"/>
    <w:rsid w:val="004A1112"/>
    <w:rsid w:val="004A1DA0"/>
    <w:rsid w:val="004A2393"/>
    <w:rsid w:val="004A27C0"/>
    <w:rsid w:val="004A3569"/>
    <w:rsid w:val="004A452A"/>
    <w:rsid w:val="004A5F2C"/>
    <w:rsid w:val="004A6E4F"/>
    <w:rsid w:val="004A720D"/>
    <w:rsid w:val="004B00D0"/>
    <w:rsid w:val="004B2848"/>
    <w:rsid w:val="004B6084"/>
    <w:rsid w:val="004B62F3"/>
    <w:rsid w:val="004B7AE0"/>
    <w:rsid w:val="004C260D"/>
    <w:rsid w:val="004C27B4"/>
    <w:rsid w:val="004C2D47"/>
    <w:rsid w:val="004C4357"/>
    <w:rsid w:val="004C4477"/>
    <w:rsid w:val="004C5730"/>
    <w:rsid w:val="004C6397"/>
    <w:rsid w:val="004C668F"/>
    <w:rsid w:val="004C682B"/>
    <w:rsid w:val="004D142C"/>
    <w:rsid w:val="004D29F7"/>
    <w:rsid w:val="004D36D8"/>
    <w:rsid w:val="004D37E0"/>
    <w:rsid w:val="004D4C5C"/>
    <w:rsid w:val="004D5AB0"/>
    <w:rsid w:val="004D5EAE"/>
    <w:rsid w:val="004D6C01"/>
    <w:rsid w:val="004D7A0E"/>
    <w:rsid w:val="004E06E7"/>
    <w:rsid w:val="004E0AE3"/>
    <w:rsid w:val="004E20D3"/>
    <w:rsid w:val="004E2C82"/>
    <w:rsid w:val="004E475B"/>
    <w:rsid w:val="004E4FAE"/>
    <w:rsid w:val="004E62C7"/>
    <w:rsid w:val="004E68FF"/>
    <w:rsid w:val="004E7A1B"/>
    <w:rsid w:val="004F0B7F"/>
    <w:rsid w:val="004F0D17"/>
    <w:rsid w:val="004F1193"/>
    <w:rsid w:val="004F11DC"/>
    <w:rsid w:val="004F271B"/>
    <w:rsid w:val="004F2C62"/>
    <w:rsid w:val="004F3A52"/>
    <w:rsid w:val="004F449F"/>
    <w:rsid w:val="004F4E7E"/>
    <w:rsid w:val="004F63AB"/>
    <w:rsid w:val="004F6B76"/>
    <w:rsid w:val="004F6C7C"/>
    <w:rsid w:val="004F7F1A"/>
    <w:rsid w:val="004F7FBB"/>
    <w:rsid w:val="00501EE6"/>
    <w:rsid w:val="00503D3F"/>
    <w:rsid w:val="005042B3"/>
    <w:rsid w:val="005044DF"/>
    <w:rsid w:val="005045AB"/>
    <w:rsid w:val="00504E48"/>
    <w:rsid w:val="00507D43"/>
    <w:rsid w:val="00510E2C"/>
    <w:rsid w:val="00510F10"/>
    <w:rsid w:val="00511FDC"/>
    <w:rsid w:val="00512254"/>
    <w:rsid w:val="005124C6"/>
    <w:rsid w:val="00513CFE"/>
    <w:rsid w:val="00513EBC"/>
    <w:rsid w:val="005145EE"/>
    <w:rsid w:val="00514CE1"/>
    <w:rsid w:val="0051599A"/>
    <w:rsid w:val="00516189"/>
    <w:rsid w:val="00517155"/>
    <w:rsid w:val="00517DB3"/>
    <w:rsid w:val="005200DC"/>
    <w:rsid w:val="005200F2"/>
    <w:rsid w:val="0052081D"/>
    <w:rsid w:val="005217AA"/>
    <w:rsid w:val="00521B4D"/>
    <w:rsid w:val="0052369D"/>
    <w:rsid w:val="00525289"/>
    <w:rsid w:val="005271DB"/>
    <w:rsid w:val="005272C3"/>
    <w:rsid w:val="00527EAF"/>
    <w:rsid w:val="00530D2F"/>
    <w:rsid w:val="0053487C"/>
    <w:rsid w:val="005356E1"/>
    <w:rsid w:val="00536A8B"/>
    <w:rsid w:val="00540324"/>
    <w:rsid w:val="00540418"/>
    <w:rsid w:val="00541A96"/>
    <w:rsid w:val="00541C6A"/>
    <w:rsid w:val="00542C54"/>
    <w:rsid w:val="00545BA0"/>
    <w:rsid w:val="00546A43"/>
    <w:rsid w:val="00546C70"/>
    <w:rsid w:val="00547258"/>
    <w:rsid w:val="00550CF0"/>
    <w:rsid w:val="005559FE"/>
    <w:rsid w:val="005560D6"/>
    <w:rsid w:val="00556D07"/>
    <w:rsid w:val="00556FBB"/>
    <w:rsid w:val="005611F2"/>
    <w:rsid w:val="00561734"/>
    <w:rsid w:val="00561952"/>
    <w:rsid w:val="00561ABC"/>
    <w:rsid w:val="00564B9A"/>
    <w:rsid w:val="00565694"/>
    <w:rsid w:val="00566DD6"/>
    <w:rsid w:val="005714EF"/>
    <w:rsid w:val="00571CEC"/>
    <w:rsid w:val="00572FCE"/>
    <w:rsid w:val="005750DB"/>
    <w:rsid w:val="005759FC"/>
    <w:rsid w:val="00575B85"/>
    <w:rsid w:val="00576686"/>
    <w:rsid w:val="00576DB9"/>
    <w:rsid w:val="0057738F"/>
    <w:rsid w:val="005805E4"/>
    <w:rsid w:val="0058168B"/>
    <w:rsid w:val="0058202F"/>
    <w:rsid w:val="00584221"/>
    <w:rsid w:val="0058523E"/>
    <w:rsid w:val="00586B68"/>
    <w:rsid w:val="0058767F"/>
    <w:rsid w:val="0058774E"/>
    <w:rsid w:val="005878CF"/>
    <w:rsid w:val="0059026A"/>
    <w:rsid w:val="00590CA0"/>
    <w:rsid w:val="00595B01"/>
    <w:rsid w:val="00596D98"/>
    <w:rsid w:val="005979A5"/>
    <w:rsid w:val="005A0021"/>
    <w:rsid w:val="005A017B"/>
    <w:rsid w:val="005A2AEC"/>
    <w:rsid w:val="005A5212"/>
    <w:rsid w:val="005A67E2"/>
    <w:rsid w:val="005B002D"/>
    <w:rsid w:val="005B0FFF"/>
    <w:rsid w:val="005B19AF"/>
    <w:rsid w:val="005B258C"/>
    <w:rsid w:val="005B3552"/>
    <w:rsid w:val="005B61DD"/>
    <w:rsid w:val="005B6735"/>
    <w:rsid w:val="005B7831"/>
    <w:rsid w:val="005C0977"/>
    <w:rsid w:val="005C0CD6"/>
    <w:rsid w:val="005C12D9"/>
    <w:rsid w:val="005C2146"/>
    <w:rsid w:val="005C309D"/>
    <w:rsid w:val="005C38DE"/>
    <w:rsid w:val="005C544B"/>
    <w:rsid w:val="005C5916"/>
    <w:rsid w:val="005C5AEE"/>
    <w:rsid w:val="005C774A"/>
    <w:rsid w:val="005D0D59"/>
    <w:rsid w:val="005D2BE2"/>
    <w:rsid w:val="005D3734"/>
    <w:rsid w:val="005D4F16"/>
    <w:rsid w:val="005D5A53"/>
    <w:rsid w:val="005D5DA0"/>
    <w:rsid w:val="005D7610"/>
    <w:rsid w:val="005D7FBD"/>
    <w:rsid w:val="005E0DF2"/>
    <w:rsid w:val="005E19B4"/>
    <w:rsid w:val="005E1D6B"/>
    <w:rsid w:val="005E227A"/>
    <w:rsid w:val="005E3126"/>
    <w:rsid w:val="005E7075"/>
    <w:rsid w:val="005E75A7"/>
    <w:rsid w:val="005F2B08"/>
    <w:rsid w:val="005F38E2"/>
    <w:rsid w:val="005F3EE6"/>
    <w:rsid w:val="005F45BF"/>
    <w:rsid w:val="005F45E0"/>
    <w:rsid w:val="005F6736"/>
    <w:rsid w:val="006003D9"/>
    <w:rsid w:val="00602C10"/>
    <w:rsid w:val="00603737"/>
    <w:rsid w:val="00604CF2"/>
    <w:rsid w:val="0060525F"/>
    <w:rsid w:val="00605A37"/>
    <w:rsid w:val="00606DFF"/>
    <w:rsid w:val="00606FB7"/>
    <w:rsid w:val="006076D0"/>
    <w:rsid w:val="0061039F"/>
    <w:rsid w:val="00610533"/>
    <w:rsid w:val="006107A2"/>
    <w:rsid w:val="006110F6"/>
    <w:rsid w:val="00611FA1"/>
    <w:rsid w:val="00612522"/>
    <w:rsid w:val="00612DA6"/>
    <w:rsid w:val="0061365B"/>
    <w:rsid w:val="006138B6"/>
    <w:rsid w:val="006144C7"/>
    <w:rsid w:val="00614BC6"/>
    <w:rsid w:val="00614E33"/>
    <w:rsid w:val="006158B8"/>
    <w:rsid w:val="0061706D"/>
    <w:rsid w:val="006173DA"/>
    <w:rsid w:val="00617BAD"/>
    <w:rsid w:val="00617EF9"/>
    <w:rsid w:val="00620295"/>
    <w:rsid w:val="00622F8E"/>
    <w:rsid w:val="00626AC8"/>
    <w:rsid w:val="00627912"/>
    <w:rsid w:val="0063017A"/>
    <w:rsid w:val="0063195F"/>
    <w:rsid w:val="0063523C"/>
    <w:rsid w:val="00636C0A"/>
    <w:rsid w:val="00637EC6"/>
    <w:rsid w:val="00640255"/>
    <w:rsid w:val="0064240C"/>
    <w:rsid w:val="00642FF5"/>
    <w:rsid w:val="006430FB"/>
    <w:rsid w:val="00643992"/>
    <w:rsid w:val="00643D67"/>
    <w:rsid w:val="00644DBC"/>
    <w:rsid w:val="00644FEE"/>
    <w:rsid w:val="00646FE6"/>
    <w:rsid w:val="006474CD"/>
    <w:rsid w:val="00647744"/>
    <w:rsid w:val="006479A0"/>
    <w:rsid w:val="006500D9"/>
    <w:rsid w:val="006501E8"/>
    <w:rsid w:val="00652507"/>
    <w:rsid w:val="0065387D"/>
    <w:rsid w:val="00653B54"/>
    <w:rsid w:val="006541A3"/>
    <w:rsid w:val="00654FAD"/>
    <w:rsid w:val="00655C9F"/>
    <w:rsid w:val="006567BB"/>
    <w:rsid w:val="006567FF"/>
    <w:rsid w:val="00656867"/>
    <w:rsid w:val="00660F84"/>
    <w:rsid w:val="0066109F"/>
    <w:rsid w:val="0066453B"/>
    <w:rsid w:val="00664B26"/>
    <w:rsid w:val="0066596B"/>
    <w:rsid w:val="00670295"/>
    <w:rsid w:val="006704F5"/>
    <w:rsid w:val="00670F18"/>
    <w:rsid w:val="00672894"/>
    <w:rsid w:val="00674B47"/>
    <w:rsid w:val="0067609E"/>
    <w:rsid w:val="00677749"/>
    <w:rsid w:val="00680E07"/>
    <w:rsid w:val="00681BD4"/>
    <w:rsid w:val="00682B9D"/>
    <w:rsid w:val="00683806"/>
    <w:rsid w:val="00686AF9"/>
    <w:rsid w:val="006910C0"/>
    <w:rsid w:val="006911F9"/>
    <w:rsid w:val="00691954"/>
    <w:rsid w:val="0069320E"/>
    <w:rsid w:val="00693D13"/>
    <w:rsid w:val="00694F58"/>
    <w:rsid w:val="006955BC"/>
    <w:rsid w:val="006959E2"/>
    <w:rsid w:val="00696920"/>
    <w:rsid w:val="00697DB0"/>
    <w:rsid w:val="00697EB9"/>
    <w:rsid w:val="006A15CF"/>
    <w:rsid w:val="006A20D4"/>
    <w:rsid w:val="006A268D"/>
    <w:rsid w:val="006A2D9D"/>
    <w:rsid w:val="006A346D"/>
    <w:rsid w:val="006A350F"/>
    <w:rsid w:val="006A3957"/>
    <w:rsid w:val="006A39A4"/>
    <w:rsid w:val="006A41D6"/>
    <w:rsid w:val="006A51A8"/>
    <w:rsid w:val="006A5E22"/>
    <w:rsid w:val="006A669D"/>
    <w:rsid w:val="006A6E41"/>
    <w:rsid w:val="006B012F"/>
    <w:rsid w:val="006B27CF"/>
    <w:rsid w:val="006B2E3C"/>
    <w:rsid w:val="006B41BD"/>
    <w:rsid w:val="006B5678"/>
    <w:rsid w:val="006B62B2"/>
    <w:rsid w:val="006B6C89"/>
    <w:rsid w:val="006C1C57"/>
    <w:rsid w:val="006C3C1B"/>
    <w:rsid w:val="006C5760"/>
    <w:rsid w:val="006C6D6F"/>
    <w:rsid w:val="006D0D78"/>
    <w:rsid w:val="006D1128"/>
    <w:rsid w:val="006D2848"/>
    <w:rsid w:val="006D30E0"/>
    <w:rsid w:val="006D4CE3"/>
    <w:rsid w:val="006D5FE9"/>
    <w:rsid w:val="006D6CBB"/>
    <w:rsid w:val="006D6F3B"/>
    <w:rsid w:val="006D76A9"/>
    <w:rsid w:val="006D77F4"/>
    <w:rsid w:val="006E0898"/>
    <w:rsid w:val="006E1594"/>
    <w:rsid w:val="006E41CD"/>
    <w:rsid w:val="006F14B7"/>
    <w:rsid w:val="006F3BEC"/>
    <w:rsid w:val="006F550E"/>
    <w:rsid w:val="007019D3"/>
    <w:rsid w:val="00703B71"/>
    <w:rsid w:val="00703C00"/>
    <w:rsid w:val="007057CC"/>
    <w:rsid w:val="00705CDC"/>
    <w:rsid w:val="007066F2"/>
    <w:rsid w:val="00706AE5"/>
    <w:rsid w:val="0070740A"/>
    <w:rsid w:val="00711F93"/>
    <w:rsid w:val="00712940"/>
    <w:rsid w:val="0071428C"/>
    <w:rsid w:val="00715A16"/>
    <w:rsid w:val="007164B0"/>
    <w:rsid w:val="007166FF"/>
    <w:rsid w:val="00721AFE"/>
    <w:rsid w:val="00725BBC"/>
    <w:rsid w:val="00726543"/>
    <w:rsid w:val="00731327"/>
    <w:rsid w:val="00732092"/>
    <w:rsid w:val="0073353E"/>
    <w:rsid w:val="00736476"/>
    <w:rsid w:val="00736633"/>
    <w:rsid w:val="00741415"/>
    <w:rsid w:val="00741EE7"/>
    <w:rsid w:val="00743817"/>
    <w:rsid w:val="00743A79"/>
    <w:rsid w:val="0074594D"/>
    <w:rsid w:val="007459F3"/>
    <w:rsid w:val="00746E35"/>
    <w:rsid w:val="007470E2"/>
    <w:rsid w:val="007503A9"/>
    <w:rsid w:val="0075232F"/>
    <w:rsid w:val="00754F1A"/>
    <w:rsid w:val="007550B3"/>
    <w:rsid w:val="007573E1"/>
    <w:rsid w:val="00757C55"/>
    <w:rsid w:val="00760451"/>
    <w:rsid w:val="00760EAB"/>
    <w:rsid w:val="0076681C"/>
    <w:rsid w:val="0077182A"/>
    <w:rsid w:val="00771913"/>
    <w:rsid w:val="00771F62"/>
    <w:rsid w:val="00772718"/>
    <w:rsid w:val="00775329"/>
    <w:rsid w:val="00775BCF"/>
    <w:rsid w:val="00777EE9"/>
    <w:rsid w:val="00783140"/>
    <w:rsid w:val="007838B6"/>
    <w:rsid w:val="00783E77"/>
    <w:rsid w:val="007906F1"/>
    <w:rsid w:val="0079243D"/>
    <w:rsid w:val="00794A9B"/>
    <w:rsid w:val="0079583B"/>
    <w:rsid w:val="00796602"/>
    <w:rsid w:val="00797185"/>
    <w:rsid w:val="007973C3"/>
    <w:rsid w:val="007976B7"/>
    <w:rsid w:val="00797A7E"/>
    <w:rsid w:val="00797D6F"/>
    <w:rsid w:val="007A5360"/>
    <w:rsid w:val="007A587A"/>
    <w:rsid w:val="007A77EF"/>
    <w:rsid w:val="007B014B"/>
    <w:rsid w:val="007B0D88"/>
    <w:rsid w:val="007B1CBB"/>
    <w:rsid w:val="007B306F"/>
    <w:rsid w:val="007B4714"/>
    <w:rsid w:val="007B4E82"/>
    <w:rsid w:val="007B54D2"/>
    <w:rsid w:val="007B5E6B"/>
    <w:rsid w:val="007C1996"/>
    <w:rsid w:val="007C3773"/>
    <w:rsid w:val="007C3D1E"/>
    <w:rsid w:val="007C3F1F"/>
    <w:rsid w:val="007C6639"/>
    <w:rsid w:val="007C6D9D"/>
    <w:rsid w:val="007D2905"/>
    <w:rsid w:val="007D2D0D"/>
    <w:rsid w:val="007D3325"/>
    <w:rsid w:val="007D3818"/>
    <w:rsid w:val="007D5A63"/>
    <w:rsid w:val="007D6DC5"/>
    <w:rsid w:val="007D7425"/>
    <w:rsid w:val="007E320E"/>
    <w:rsid w:val="007E3280"/>
    <w:rsid w:val="007E4A02"/>
    <w:rsid w:val="007E595C"/>
    <w:rsid w:val="007E59A5"/>
    <w:rsid w:val="007E6856"/>
    <w:rsid w:val="007F3B8C"/>
    <w:rsid w:val="007F41D0"/>
    <w:rsid w:val="007F4B8B"/>
    <w:rsid w:val="007F5957"/>
    <w:rsid w:val="007F70B6"/>
    <w:rsid w:val="007F74CA"/>
    <w:rsid w:val="00800F1E"/>
    <w:rsid w:val="0080195A"/>
    <w:rsid w:val="0080239C"/>
    <w:rsid w:val="00802841"/>
    <w:rsid w:val="008037D5"/>
    <w:rsid w:val="008053B2"/>
    <w:rsid w:val="00805447"/>
    <w:rsid w:val="008054FA"/>
    <w:rsid w:val="0080717A"/>
    <w:rsid w:val="00807DFA"/>
    <w:rsid w:val="0081009F"/>
    <w:rsid w:val="00810152"/>
    <w:rsid w:val="008115AB"/>
    <w:rsid w:val="008159F4"/>
    <w:rsid w:val="008167C1"/>
    <w:rsid w:val="008167C6"/>
    <w:rsid w:val="00816B8F"/>
    <w:rsid w:val="00817991"/>
    <w:rsid w:val="00820331"/>
    <w:rsid w:val="00820BF5"/>
    <w:rsid w:val="008212B1"/>
    <w:rsid w:val="0082155A"/>
    <w:rsid w:val="0082209F"/>
    <w:rsid w:val="008223C2"/>
    <w:rsid w:val="00824E82"/>
    <w:rsid w:val="008250A2"/>
    <w:rsid w:val="00825D64"/>
    <w:rsid w:val="0082650B"/>
    <w:rsid w:val="008301CE"/>
    <w:rsid w:val="008312E3"/>
    <w:rsid w:val="00831AEC"/>
    <w:rsid w:val="00831D5B"/>
    <w:rsid w:val="00832DD6"/>
    <w:rsid w:val="00832F0C"/>
    <w:rsid w:val="008336F2"/>
    <w:rsid w:val="008345D9"/>
    <w:rsid w:val="008347CB"/>
    <w:rsid w:val="00835647"/>
    <w:rsid w:val="00837A2E"/>
    <w:rsid w:val="00841558"/>
    <w:rsid w:val="0084193F"/>
    <w:rsid w:val="00842A68"/>
    <w:rsid w:val="008435BA"/>
    <w:rsid w:val="00844A9C"/>
    <w:rsid w:val="0084558B"/>
    <w:rsid w:val="0084654A"/>
    <w:rsid w:val="008469DB"/>
    <w:rsid w:val="00847654"/>
    <w:rsid w:val="00854499"/>
    <w:rsid w:val="00855543"/>
    <w:rsid w:val="008566B3"/>
    <w:rsid w:val="008576B7"/>
    <w:rsid w:val="00857F7B"/>
    <w:rsid w:val="00863DA1"/>
    <w:rsid w:val="008654A6"/>
    <w:rsid w:val="00865D86"/>
    <w:rsid w:val="008678D4"/>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8646B"/>
    <w:rsid w:val="008902BC"/>
    <w:rsid w:val="00890712"/>
    <w:rsid w:val="00890D81"/>
    <w:rsid w:val="008911D7"/>
    <w:rsid w:val="00892955"/>
    <w:rsid w:val="00893628"/>
    <w:rsid w:val="008941EB"/>
    <w:rsid w:val="0089545A"/>
    <w:rsid w:val="00895A02"/>
    <w:rsid w:val="008A01EE"/>
    <w:rsid w:val="008A1BAB"/>
    <w:rsid w:val="008A3B78"/>
    <w:rsid w:val="008A4166"/>
    <w:rsid w:val="008A7019"/>
    <w:rsid w:val="008A7DBF"/>
    <w:rsid w:val="008B1067"/>
    <w:rsid w:val="008B136C"/>
    <w:rsid w:val="008B55EF"/>
    <w:rsid w:val="008C0B5C"/>
    <w:rsid w:val="008C1343"/>
    <w:rsid w:val="008C3912"/>
    <w:rsid w:val="008C5598"/>
    <w:rsid w:val="008C69EA"/>
    <w:rsid w:val="008C6F8B"/>
    <w:rsid w:val="008C7AB7"/>
    <w:rsid w:val="008C7FB4"/>
    <w:rsid w:val="008D2C8C"/>
    <w:rsid w:val="008D3040"/>
    <w:rsid w:val="008D3ECD"/>
    <w:rsid w:val="008D4A9F"/>
    <w:rsid w:val="008D5890"/>
    <w:rsid w:val="008D5C03"/>
    <w:rsid w:val="008D7C35"/>
    <w:rsid w:val="008E5698"/>
    <w:rsid w:val="008E5733"/>
    <w:rsid w:val="008E77D2"/>
    <w:rsid w:val="008E78FD"/>
    <w:rsid w:val="008F199D"/>
    <w:rsid w:val="008F1C8C"/>
    <w:rsid w:val="008F38A0"/>
    <w:rsid w:val="008F39C9"/>
    <w:rsid w:val="008F5EB5"/>
    <w:rsid w:val="008F678C"/>
    <w:rsid w:val="008F75A7"/>
    <w:rsid w:val="008F7E5A"/>
    <w:rsid w:val="0090092B"/>
    <w:rsid w:val="009036EE"/>
    <w:rsid w:val="00905815"/>
    <w:rsid w:val="00905D1D"/>
    <w:rsid w:val="00906963"/>
    <w:rsid w:val="00907921"/>
    <w:rsid w:val="0091016D"/>
    <w:rsid w:val="0091183B"/>
    <w:rsid w:val="00911910"/>
    <w:rsid w:val="00912A58"/>
    <w:rsid w:val="00913908"/>
    <w:rsid w:val="00913D26"/>
    <w:rsid w:val="0091438B"/>
    <w:rsid w:val="009147E3"/>
    <w:rsid w:val="00920FD2"/>
    <w:rsid w:val="00923A43"/>
    <w:rsid w:val="0092439C"/>
    <w:rsid w:val="00924554"/>
    <w:rsid w:val="0092498E"/>
    <w:rsid w:val="00925B91"/>
    <w:rsid w:val="00932193"/>
    <w:rsid w:val="00934461"/>
    <w:rsid w:val="00934F7E"/>
    <w:rsid w:val="00936A1C"/>
    <w:rsid w:val="00943E35"/>
    <w:rsid w:val="00945278"/>
    <w:rsid w:val="0094658D"/>
    <w:rsid w:val="00947678"/>
    <w:rsid w:val="00947878"/>
    <w:rsid w:val="00947EB3"/>
    <w:rsid w:val="009504C2"/>
    <w:rsid w:val="0095254A"/>
    <w:rsid w:val="009559E1"/>
    <w:rsid w:val="009568D5"/>
    <w:rsid w:val="00957C5E"/>
    <w:rsid w:val="00957CD3"/>
    <w:rsid w:val="0096018F"/>
    <w:rsid w:val="0096269B"/>
    <w:rsid w:val="00962D12"/>
    <w:rsid w:val="00963FB0"/>
    <w:rsid w:val="00964A50"/>
    <w:rsid w:val="00964C86"/>
    <w:rsid w:val="00965E82"/>
    <w:rsid w:val="009664BB"/>
    <w:rsid w:val="009669F8"/>
    <w:rsid w:val="00966BB8"/>
    <w:rsid w:val="00966F89"/>
    <w:rsid w:val="0096784D"/>
    <w:rsid w:val="00973B5D"/>
    <w:rsid w:val="00974109"/>
    <w:rsid w:val="00974C9E"/>
    <w:rsid w:val="0097755E"/>
    <w:rsid w:val="00980B45"/>
    <w:rsid w:val="00981080"/>
    <w:rsid w:val="00981467"/>
    <w:rsid w:val="00981C24"/>
    <w:rsid w:val="009852F6"/>
    <w:rsid w:val="00985DE5"/>
    <w:rsid w:val="00986254"/>
    <w:rsid w:val="0098729E"/>
    <w:rsid w:val="00990067"/>
    <w:rsid w:val="00992977"/>
    <w:rsid w:val="009936E5"/>
    <w:rsid w:val="009937D4"/>
    <w:rsid w:val="00993A41"/>
    <w:rsid w:val="00993C78"/>
    <w:rsid w:val="009948C7"/>
    <w:rsid w:val="00995850"/>
    <w:rsid w:val="0099796C"/>
    <w:rsid w:val="009A1EA2"/>
    <w:rsid w:val="009A209E"/>
    <w:rsid w:val="009A3FD7"/>
    <w:rsid w:val="009A48B5"/>
    <w:rsid w:val="009A4A7D"/>
    <w:rsid w:val="009A6652"/>
    <w:rsid w:val="009A74FD"/>
    <w:rsid w:val="009A7779"/>
    <w:rsid w:val="009B1A6E"/>
    <w:rsid w:val="009B25D8"/>
    <w:rsid w:val="009B42E3"/>
    <w:rsid w:val="009B5372"/>
    <w:rsid w:val="009B5859"/>
    <w:rsid w:val="009B7D84"/>
    <w:rsid w:val="009C0428"/>
    <w:rsid w:val="009C6D07"/>
    <w:rsid w:val="009C7CEC"/>
    <w:rsid w:val="009D154D"/>
    <w:rsid w:val="009D18EF"/>
    <w:rsid w:val="009D3BE8"/>
    <w:rsid w:val="009D44E0"/>
    <w:rsid w:val="009D5684"/>
    <w:rsid w:val="009D573B"/>
    <w:rsid w:val="009D59A0"/>
    <w:rsid w:val="009D5B01"/>
    <w:rsid w:val="009D716A"/>
    <w:rsid w:val="009D7388"/>
    <w:rsid w:val="009E01CA"/>
    <w:rsid w:val="009E1AC4"/>
    <w:rsid w:val="009E20B8"/>
    <w:rsid w:val="009E2384"/>
    <w:rsid w:val="009E29A0"/>
    <w:rsid w:val="009E41B5"/>
    <w:rsid w:val="009E55D7"/>
    <w:rsid w:val="009E627C"/>
    <w:rsid w:val="009F1498"/>
    <w:rsid w:val="009F1E9F"/>
    <w:rsid w:val="009F3793"/>
    <w:rsid w:val="009F54F2"/>
    <w:rsid w:val="009F621C"/>
    <w:rsid w:val="00A0056B"/>
    <w:rsid w:val="00A0147B"/>
    <w:rsid w:val="00A01657"/>
    <w:rsid w:val="00A01C65"/>
    <w:rsid w:val="00A0213D"/>
    <w:rsid w:val="00A036B5"/>
    <w:rsid w:val="00A04C73"/>
    <w:rsid w:val="00A0679A"/>
    <w:rsid w:val="00A07A2B"/>
    <w:rsid w:val="00A12375"/>
    <w:rsid w:val="00A125B8"/>
    <w:rsid w:val="00A13124"/>
    <w:rsid w:val="00A131D1"/>
    <w:rsid w:val="00A15370"/>
    <w:rsid w:val="00A156AB"/>
    <w:rsid w:val="00A16B8D"/>
    <w:rsid w:val="00A21293"/>
    <w:rsid w:val="00A2134B"/>
    <w:rsid w:val="00A21623"/>
    <w:rsid w:val="00A220EB"/>
    <w:rsid w:val="00A22302"/>
    <w:rsid w:val="00A25F1B"/>
    <w:rsid w:val="00A270EC"/>
    <w:rsid w:val="00A325F3"/>
    <w:rsid w:val="00A32E2D"/>
    <w:rsid w:val="00A33103"/>
    <w:rsid w:val="00A33294"/>
    <w:rsid w:val="00A35DCB"/>
    <w:rsid w:val="00A36351"/>
    <w:rsid w:val="00A3690E"/>
    <w:rsid w:val="00A37751"/>
    <w:rsid w:val="00A406B1"/>
    <w:rsid w:val="00A4113E"/>
    <w:rsid w:val="00A4135B"/>
    <w:rsid w:val="00A426F3"/>
    <w:rsid w:val="00A438BA"/>
    <w:rsid w:val="00A446FD"/>
    <w:rsid w:val="00A447DF"/>
    <w:rsid w:val="00A44C40"/>
    <w:rsid w:val="00A46F46"/>
    <w:rsid w:val="00A476E3"/>
    <w:rsid w:val="00A52CB6"/>
    <w:rsid w:val="00A52F99"/>
    <w:rsid w:val="00A538BB"/>
    <w:rsid w:val="00A54164"/>
    <w:rsid w:val="00A56737"/>
    <w:rsid w:val="00A60002"/>
    <w:rsid w:val="00A603D8"/>
    <w:rsid w:val="00A6083C"/>
    <w:rsid w:val="00A60AE2"/>
    <w:rsid w:val="00A61834"/>
    <w:rsid w:val="00A618B0"/>
    <w:rsid w:val="00A62790"/>
    <w:rsid w:val="00A6291F"/>
    <w:rsid w:val="00A63F53"/>
    <w:rsid w:val="00A65A53"/>
    <w:rsid w:val="00A676D7"/>
    <w:rsid w:val="00A67D21"/>
    <w:rsid w:val="00A67D81"/>
    <w:rsid w:val="00A7232A"/>
    <w:rsid w:val="00A72578"/>
    <w:rsid w:val="00A755B6"/>
    <w:rsid w:val="00A75B1A"/>
    <w:rsid w:val="00A76805"/>
    <w:rsid w:val="00A80ED4"/>
    <w:rsid w:val="00A816C4"/>
    <w:rsid w:val="00A82981"/>
    <w:rsid w:val="00A853BD"/>
    <w:rsid w:val="00A859B1"/>
    <w:rsid w:val="00A86F10"/>
    <w:rsid w:val="00A87AF2"/>
    <w:rsid w:val="00A90B23"/>
    <w:rsid w:val="00A916BF"/>
    <w:rsid w:val="00A93C2B"/>
    <w:rsid w:val="00A974CB"/>
    <w:rsid w:val="00A9789E"/>
    <w:rsid w:val="00AA1EAC"/>
    <w:rsid w:val="00AA45E2"/>
    <w:rsid w:val="00AA7AC1"/>
    <w:rsid w:val="00AB2FDF"/>
    <w:rsid w:val="00AB6327"/>
    <w:rsid w:val="00AB6B8F"/>
    <w:rsid w:val="00AC0C65"/>
    <w:rsid w:val="00AC0FB2"/>
    <w:rsid w:val="00AC100D"/>
    <w:rsid w:val="00AC13BE"/>
    <w:rsid w:val="00AC41C6"/>
    <w:rsid w:val="00AC6291"/>
    <w:rsid w:val="00AC70C7"/>
    <w:rsid w:val="00AC7370"/>
    <w:rsid w:val="00AC76B7"/>
    <w:rsid w:val="00AD123A"/>
    <w:rsid w:val="00AD15FF"/>
    <w:rsid w:val="00AD206C"/>
    <w:rsid w:val="00AD2920"/>
    <w:rsid w:val="00AD2CD5"/>
    <w:rsid w:val="00AD2DFC"/>
    <w:rsid w:val="00AD38C4"/>
    <w:rsid w:val="00AD522D"/>
    <w:rsid w:val="00AD5A4A"/>
    <w:rsid w:val="00AD60EE"/>
    <w:rsid w:val="00AD6A2B"/>
    <w:rsid w:val="00AD73D4"/>
    <w:rsid w:val="00AE1EA2"/>
    <w:rsid w:val="00AE2874"/>
    <w:rsid w:val="00AE2F98"/>
    <w:rsid w:val="00AE3602"/>
    <w:rsid w:val="00AE5342"/>
    <w:rsid w:val="00AE5987"/>
    <w:rsid w:val="00AE6472"/>
    <w:rsid w:val="00AF1345"/>
    <w:rsid w:val="00AF38A8"/>
    <w:rsid w:val="00AF518E"/>
    <w:rsid w:val="00AF63EB"/>
    <w:rsid w:val="00B016D2"/>
    <w:rsid w:val="00B01783"/>
    <w:rsid w:val="00B018EC"/>
    <w:rsid w:val="00B047DF"/>
    <w:rsid w:val="00B060C7"/>
    <w:rsid w:val="00B10210"/>
    <w:rsid w:val="00B110CC"/>
    <w:rsid w:val="00B11505"/>
    <w:rsid w:val="00B11AB7"/>
    <w:rsid w:val="00B12213"/>
    <w:rsid w:val="00B1284F"/>
    <w:rsid w:val="00B13710"/>
    <w:rsid w:val="00B20DF2"/>
    <w:rsid w:val="00B21536"/>
    <w:rsid w:val="00B22881"/>
    <w:rsid w:val="00B23EFC"/>
    <w:rsid w:val="00B24B72"/>
    <w:rsid w:val="00B24EE3"/>
    <w:rsid w:val="00B25DB8"/>
    <w:rsid w:val="00B2656C"/>
    <w:rsid w:val="00B266E6"/>
    <w:rsid w:val="00B3094D"/>
    <w:rsid w:val="00B30B04"/>
    <w:rsid w:val="00B311BC"/>
    <w:rsid w:val="00B31C10"/>
    <w:rsid w:val="00B3238B"/>
    <w:rsid w:val="00B3446D"/>
    <w:rsid w:val="00B34639"/>
    <w:rsid w:val="00B34652"/>
    <w:rsid w:val="00B3468A"/>
    <w:rsid w:val="00B34F89"/>
    <w:rsid w:val="00B358C8"/>
    <w:rsid w:val="00B36185"/>
    <w:rsid w:val="00B3662F"/>
    <w:rsid w:val="00B373CD"/>
    <w:rsid w:val="00B377C8"/>
    <w:rsid w:val="00B400B8"/>
    <w:rsid w:val="00B404DE"/>
    <w:rsid w:val="00B40765"/>
    <w:rsid w:val="00B40CA3"/>
    <w:rsid w:val="00B4116B"/>
    <w:rsid w:val="00B4232D"/>
    <w:rsid w:val="00B42682"/>
    <w:rsid w:val="00B43065"/>
    <w:rsid w:val="00B4450B"/>
    <w:rsid w:val="00B44784"/>
    <w:rsid w:val="00B449D0"/>
    <w:rsid w:val="00B456AB"/>
    <w:rsid w:val="00B47E8B"/>
    <w:rsid w:val="00B51C67"/>
    <w:rsid w:val="00B521E2"/>
    <w:rsid w:val="00B53F86"/>
    <w:rsid w:val="00B53FDC"/>
    <w:rsid w:val="00B55431"/>
    <w:rsid w:val="00B55CAE"/>
    <w:rsid w:val="00B576C6"/>
    <w:rsid w:val="00B615F2"/>
    <w:rsid w:val="00B61A28"/>
    <w:rsid w:val="00B66B06"/>
    <w:rsid w:val="00B67862"/>
    <w:rsid w:val="00B67C1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38D5"/>
    <w:rsid w:val="00B93C62"/>
    <w:rsid w:val="00B96D3D"/>
    <w:rsid w:val="00BA0A14"/>
    <w:rsid w:val="00BA398D"/>
    <w:rsid w:val="00BA39D3"/>
    <w:rsid w:val="00BA523C"/>
    <w:rsid w:val="00BA5C56"/>
    <w:rsid w:val="00BA776F"/>
    <w:rsid w:val="00BA7CB2"/>
    <w:rsid w:val="00BB0C0D"/>
    <w:rsid w:val="00BB0C4C"/>
    <w:rsid w:val="00BB0D69"/>
    <w:rsid w:val="00BB366E"/>
    <w:rsid w:val="00BB3AF0"/>
    <w:rsid w:val="00BB3C3A"/>
    <w:rsid w:val="00BB4F70"/>
    <w:rsid w:val="00BB6166"/>
    <w:rsid w:val="00BB67FF"/>
    <w:rsid w:val="00BC11B9"/>
    <w:rsid w:val="00BC138C"/>
    <w:rsid w:val="00BC14CF"/>
    <w:rsid w:val="00BC1659"/>
    <w:rsid w:val="00BC1E86"/>
    <w:rsid w:val="00BC2C91"/>
    <w:rsid w:val="00BC3A9C"/>
    <w:rsid w:val="00BC5288"/>
    <w:rsid w:val="00BC6A71"/>
    <w:rsid w:val="00BC6B2F"/>
    <w:rsid w:val="00BC765D"/>
    <w:rsid w:val="00BD0637"/>
    <w:rsid w:val="00BD08A8"/>
    <w:rsid w:val="00BD0ED4"/>
    <w:rsid w:val="00BD1BAC"/>
    <w:rsid w:val="00BD1E26"/>
    <w:rsid w:val="00BD25A6"/>
    <w:rsid w:val="00BD4C95"/>
    <w:rsid w:val="00BD65C3"/>
    <w:rsid w:val="00BD65FC"/>
    <w:rsid w:val="00BD7660"/>
    <w:rsid w:val="00BE0666"/>
    <w:rsid w:val="00BE24B9"/>
    <w:rsid w:val="00BE2AE8"/>
    <w:rsid w:val="00BE2D55"/>
    <w:rsid w:val="00BE38DD"/>
    <w:rsid w:val="00BE4AB1"/>
    <w:rsid w:val="00BE6A53"/>
    <w:rsid w:val="00BF0966"/>
    <w:rsid w:val="00BF16C3"/>
    <w:rsid w:val="00BF1BBC"/>
    <w:rsid w:val="00BF38E0"/>
    <w:rsid w:val="00BF44FA"/>
    <w:rsid w:val="00BF57E1"/>
    <w:rsid w:val="00C00A5F"/>
    <w:rsid w:val="00C024CE"/>
    <w:rsid w:val="00C042E0"/>
    <w:rsid w:val="00C051D9"/>
    <w:rsid w:val="00C06333"/>
    <w:rsid w:val="00C06F68"/>
    <w:rsid w:val="00C075BA"/>
    <w:rsid w:val="00C10A3A"/>
    <w:rsid w:val="00C10A3D"/>
    <w:rsid w:val="00C11771"/>
    <w:rsid w:val="00C11E20"/>
    <w:rsid w:val="00C14434"/>
    <w:rsid w:val="00C15D16"/>
    <w:rsid w:val="00C20015"/>
    <w:rsid w:val="00C2280E"/>
    <w:rsid w:val="00C247DD"/>
    <w:rsid w:val="00C25B43"/>
    <w:rsid w:val="00C26A54"/>
    <w:rsid w:val="00C30FCB"/>
    <w:rsid w:val="00C3261C"/>
    <w:rsid w:val="00C3318B"/>
    <w:rsid w:val="00C33C20"/>
    <w:rsid w:val="00C35362"/>
    <w:rsid w:val="00C357EA"/>
    <w:rsid w:val="00C379F8"/>
    <w:rsid w:val="00C37A1C"/>
    <w:rsid w:val="00C37E73"/>
    <w:rsid w:val="00C40558"/>
    <w:rsid w:val="00C4316E"/>
    <w:rsid w:val="00C44727"/>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49BC"/>
    <w:rsid w:val="00C67473"/>
    <w:rsid w:val="00C67AA4"/>
    <w:rsid w:val="00C7148C"/>
    <w:rsid w:val="00C72192"/>
    <w:rsid w:val="00C72244"/>
    <w:rsid w:val="00C732E5"/>
    <w:rsid w:val="00C73D0B"/>
    <w:rsid w:val="00C74AC8"/>
    <w:rsid w:val="00C74E52"/>
    <w:rsid w:val="00C75017"/>
    <w:rsid w:val="00C765B4"/>
    <w:rsid w:val="00C7793E"/>
    <w:rsid w:val="00C77B22"/>
    <w:rsid w:val="00C813EA"/>
    <w:rsid w:val="00C81496"/>
    <w:rsid w:val="00C82CE6"/>
    <w:rsid w:val="00C82FF3"/>
    <w:rsid w:val="00C848BE"/>
    <w:rsid w:val="00C85144"/>
    <w:rsid w:val="00C86A27"/>
    <w:rsid w:val="00C87C05"/>
    <w:rsid w:val="00C906A1"/>
    <w:rsid w:val="00C91517"/>
    <w:rsid w:val="00C929BD"/>
    <w:rsid w:val="00C931A2"/>
    <w:rsid w:val="00C94C34"/>
    <w:rsid w:val="00C96D56"/>
    <w:rsid w:val="00CA02E1"/>
    <w:rsid w:val="00CA0749"/>
    <w:rsid w:val="00CA15DA"/>
    <w:rsid w:val="00CA21D6"/>
    <w:rsid w:val="00CA224E"/>
    <w:rsid w:val="00CA41C5"/>
    <w:rsid w:val="00CA4A53"/>
    <w:rsid w:val="00CA51F5"/>
    <w:rsid w:val="00CA5527"/>
    <w:rsid w:val="00CA7B7D"/>
    <w:rsid w:val="00CB12D5"/>
    <w:rsid w:val="00CB1968"/>
    <w:rsid w:val="00CB218A"/>
    <w:rsid w:val="00CB225A"/>
    <w:rsid w:val="00CB2EB7"/>
    <w:rsid w:val="00CB41F4"/>
    <w:rsid w:val="00CB58E2"/>
    <w:rsid w:val="00CB69E6"/>
    <w:rsid w:val="00CB761B"/>
    <w:rsid w:val="00CC13DF"/>
    <w:rsid w:val="00CC1EEE"/>
    <w:rsid w:val="00CC562B"/>
    <w:rsid w:val="00CC6C15"/>
    <w:rsid w:val="00CC7FCF"/>
    <w:rsid w:val="00CD1314"/>
    <w:rsid w:val="00CD2749"/>
    <w:rsid w:val="00CD2A60"/>
    <w:rsid w:val="00CD306F"/>
    <w:rsid w:val="00CD3971"/>
    <w:rsid w:val="00CD3DAB"/>
    <w:rsid w:val="00CE0DF1"/>
    <w:rsid w:val="00CE198C"/>
    <w:rsid w:val="00CE3786"/>
    <w:rsid w:val="00CE4027"/>
    <w:rsid w:val="00CE47CC"/>
    <w:rsid w:val="00CE68F6"/>
    <w:rsid w:val="00CE7E27"/>
    <w:rsid w:val="00CF22AC"/>
    <w:rsid w:val="00CF2C81"/>
    <w:rsid w:val="00CF2F0A"/>
    <w:rsid w:val="00CF3F9E"/>
    <w:rsid w:val="00CF79E8"/>
    <w:rsid w:val="00D015AA"/>
    <w:rsid w:val="00D03D90"/>
    <w:rsid w:val="00D04024"/>
    <w:rsid w:val="00D043EB"/>
    <w:rsid w:val="00D06705"/>
    <w:rsid w:val="00D06A9B"/>
    <w:rsid w:val="00D0750D"/>
    <w:rsid w:val="00D07DD8"/>
    <w:rsid w:val="00D07F43"/>
    <w:rsid w:val="00D1038F"/>
    <w:rsid w:val="00D10BF7"/>
    <w:rsid w:val="00D10FEB"/>
    <w:rsid w:val="00D140A0"/>
    <w:rsid w:val="00D14C2C"/>
    <w:rsid w:val="00D203D1"/>
    <w:rsid w:val="00D2057A"/>
    <w:rsid w:val="00D2317F"/>
    <w:rsid w:val="00D231A9"/>
    <w:rsid w:val="00D24391"/>
    <w:rsid w:val="00D2472B"/>
    <w:rsid w:val="00D253DD"/>
    <w:rsid w:val="00D26FFA"/>
    <w:rsid w:val="00D3105F"/>
    <w:rsid w:val="00D3215D"/>
    <w:rsid w:val="00D33352"/>
    <w:rsid w:val="00D347D9"/>
    <w:rsid w:val="00D35565"/>
    <w:rsid w:val="00D36A19"/>
    <w:rsid w:val="00D40DCF"/>
    <w:rsid w:val="00D41075"/>
    <w:rsid w:val="00D41C76"/>
    <w:rsid w:val="00D41DD8"/>
    <w:rsid w:val="00D4222C"/>
    <w:rsid w:val="00D425CE"/>
    <w:rsid w:val="00D42A8F"/>
    <w:rsid w:val="00D42F40"/>
    <w:rsid w:val="00D4396C"/>
    <w:rsid w:val="00D4446F"/>
    <w:rsid w:val="00D44B55"/>
    <w:rsid w:val="00D45490"/>
    <w:rsid w:val="00D457B8"/>
    <w:rsid w:val="00D457E1"/>
    <w:rsid w:val="00D47BEB"/>
    <w:rsid w:val="00D501C2"/>
    <w:rsid w:val="00D50487"/>
    <w:rsid w:val="00D50563"/>
    <w:rsid w:val="00D507DE"/>
    <w:rsid w:val="00D50F50"/>
    <w:rsid w:val="00D5235F"/>
    <w:rsid w:val="00D52F50"/>
    <w:rsid w:val="00D557EA"/>
    <w:rsid w:val="00D55A98"/>
    <w:rsid w:val="00D56B49"/>
    <w:rsid w:val="00D6053F"/>
    <w:rsid w:val="00D6073D"/>
    <w:rsid w:val="00D609E2"/>
    <w:rsid w:val="00D618D6"/>
    <w:rsid w:val="00D62426"/>
    <w:rsid w:val="00D62804"/>
    <w:rsid w:val="00D6599F"/>
    <w:rsid w:val="00D70F55"/>
    <w:rsid w:val="00D70FA5"/>
    <w:rsid w:val="00D712D8"/>
    <w:rsid w:val="00D74171"/>
    <w:rsid w:val="00D750DD"/>
    <w:rsid w:val="00D8032C"/>
    <w:rsid w:val="00D80CE2"/>
    <w:rsid w:val="00D80FD6"/>
    <w:rsid w:val="00D83080"/>
    <w:rsid w:val="00D84AA2"/>
    <w:rsid w:val="00D84D5F"/>
    <w:rsid w:val="00D851E2"/>
    <w:rsid w:val="00D86DB1"/>
    <w:rsid w:val="00D87FFA"/>
    <w:rsid w:val="00D91419"/>
    <w:rsid w:val="00D91DC5"/>
    <w:rsid w:val="00D92D2A"/>
    <w:rsid w:val="00D92EEC"/>
    <w:rsid w:val="00D933B2"/>
    <w:rsid w:val="00D93470"/>
    <w:rsid w:val="00D9395F"/>
    <w:rsid w:val="00D93D55"/>
    <w:rsid w:val="00D941FA"/>
    <w:rsid w:val="00D94B59"/>
    <w:rsid w:val="00D95315"/>
    <w:rsid w:val="00D95EAB"/>
    <w:rsid w:val="00D97655"/>
    <w:rsid w:val="00DA0B39"/>
    <w:rsid w:val="00DA1203"/>
    <w:rsid w:val="00DA2316"/>
    <w:rsid w:val="00DA25E0"/>
    <w:rsid w:val="00DA2700"/>
    <w:rsid w:val="00DA3C5D"/>
    <w:rsid w:val="00DA3EFF"/>
    <w:rsid w:val="00DA7769"/>
    <w:rsid w:val="00DB08C6"/>
    <w:rsid w:val="00DB1BC2"/>
    <w:rsid w:val="00DB1CBB"/>
    <w:rsid w:val="00DB31ED"/>
    <w:rsid w:val="00DB34AC"/>
    <w:rsid w:val="00DB4124"/>
    <w:rsid w:val="00DB4511"/>
    <w:rsid w:val="00DB4F0C"/>
    <w:rsid w:val="00DB7727"/>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33"/>
    <w:rsid w:val="00DD6072"/>
    <w:rsid w:val="00DD62BE"/>
    <w:rsid w:val="00DD77D9"/>
    <w:rsid w:val="00DD7CA4"/>
    <w:rsid w:val="00DE167C"/>
    <w:rsid w:val="00DE2D1F"/>
    <w:rsid w:val="00DE3B70"/>
    <w:rsid w:val="00DE5813"/>
    <w:rsid w:val="00DF1FDA"/>
    <w:rsid w:val="00DF36B8"/>
    <w:rsid w:val="00DF3DD0"/>
    <w:rsid w:val="00DF49AB"/>
    <w:rsid w:val="00DF4D50"/>
    <w:rsid w:val="00DF538C"/>
    <w:rsid w:val="00E021C2"/>
    <w:rsid w:val="00E024A3"/>
    <w:rsid w:val="00E0423D"/>
    <w:rsid w:val="00E054ED"/>
    <w:rsid w:val="00E057B5"/>
    <w:rsid w:val="00E0581E"/>
    <w:rsid w:val="00E06B7E"/>
    <w:rsid w:val="00E079C5"/>
    <w:rsid w:val="00E07CBD"/>
    <w:rsid w:val="00E07F56"/>
    <w:rsid w:val="00E1112F"/>
    <w:rsid w:val="00E11A78"/>
    <w:rsid w:val="00E1318F"/>
    <w:rsid w:val="00E13B3B"/>
    <w:rsid w:val="00E13E29"/>
    <w:rsid w:val="00E16857"/>
    <w:rsid w:val="00E20651"/>
    <w:rsid w:val="00E2107C"/>
    <w:rsid w:val="00E21E70"/>
    <w:rsid w:val="00E224DE"/>
    <w:rsid w:val="00E23B76"/>
    <w:rsid w:val="00E23DCE"/>
    <w:rsid w:val="00E26363"/>
    <w:rsid w:val="00E270C1"/>
    <w:rsid w:val="00E272A4"/>
    <w:rsid w:val="00E305F9"/>
    <w:rsid w:val="00E306AC"/>
    <w:rsid w:val="00E342FE"/>
    <w:rsid w:val="00E34446"/>
    <w:rsid w:val="00E3633B"/>
    <w:rsid w:val="00E36870"/>
    <w:rsid w:val="00E374E1"/>
    <w:rsid w:val="00E417AB"/>
    <w:rsid w:val="00E4191F"/>
    <w:rsid w:val="00E41ADB"/>
    <w:rsid w:val="00E43D48"/>
    <w:rsid w:val="00E43F1B"/>
    <w:rsid w:val="00E440D4"/>
    <w:rsid w:val="00E4542D"/>
    <w:rsid w:val="00E45BE0"/>
    <w:rsid w:val="00E46398"/>
    <w:rsid w:val="00E46704"/>
    <w:rsid w:val="00E46CAD"/>
    <w:rsid w:val="00E47521"/>
    <w:rsid w:val="00E4760C"/>
    <w:rsid w:val="00E507A6"/>
    <w:rsid w:val="00E561AD"/>
    <w:rsid w:val="00E57FAF"/>
    <w:rsid w:val="00E60BA9"/>
    <w:rsid w:val="00E63094"/>
    <w:rsid w:val="00E63510"/>
    <w:rsid w:val="00E635EA"/>
    <w:rsid w:val="00E64449"/>
    <w:rsid w:val="00E655E5"/>
    <w:rsid w:val="00E65F4E"/>
    <w:rsid w:val="00E662E0"/>
    <w:rsid w:val="00E71C7A"/>
    <w:rsid w:val="00E73119"/>
    <w:rsid w:val="00E73E1E"/>
    <w:rsid w:val="00E746FC"/>
    <w:rsid w:val="00E760A8"/>
    <w:rsid w:val="00E767FF"/>
    <w:rsid w:val="00E77EC3"/>
    <w:rsid w:val="00E84C91"/>
    <w:rsid w:val="00E8556E"/>
    <w:rsid w:val="00E86B2D"/>
    <w:rsid w:val="00E86F4D"/>
    <w:rsid w:val="00E87D08"/>
    <w:rsid w:val="00E90D0E"/>
    <w:rsid w:val="00E91B2D"/>
    <w:rsid w:val="00E92FCA"/>
    <w:rsid w:val="00E95CAA"/>
    <w:rsid w:val="00EA0A39"/>
    <w:rsid w:val="00EA0EB2"/>
    <w:rsid w:val="00EA236F"/>
    <w:rsid w:val="00EA3023"/>
    <w:rsid w:val="00EA3D27"/>
    <w:rsid w:val="00EA3E49"/>
    <w:rsid w:val="00EA3FC8"/>
    <w:rsid w:val="00EA5438"/>
    <w:rsid w:val="00EB0DC9"/>
    <w:rsid w:val="00EB0F31"/>
    <w:rsid w:val="00EB252D"/>
    <w:rsid w:val="00EB29FA"/>
    <w:rsid w:val="00EB2CCE"/>
    <w:rsid w:val="00EB33E6"/>
    <w:rsid w:val="00EB385F"/>
    <w:rsid w:val="00EB3E49"/>
    <w:rsid w:val="00EB5FC3"/>
    <w:rsid w:val="00EB6DA9"/>
    <w:rsid w:val="00EB776E"/>
    <w:rsid w:val="00EB7ED2"/>
    <w:rsid w:val="00EC1561"/>
    <w:rsid w:val="00EC462E"/>
    <w:rsid w:val="00EC6CD8"/>
    <w:rsid w:val="00EC786F"/>
    <w:rsid w:val="00ED1866"/>
    <w:rsid w:val="00ED3134"/>
    <w:rsid w:val="00ED38E2"/>
    <w:rsid w:val="00ED41A5"/>
    <w:rsid w:val="00ED5C44"/>
    <w:rsid w:val="00ED635B"/>
    <w:rsid w:val="00EE4B8E"/>
    <w:rsid w:val="00EE7422"/>
    <w:rsid w:val="00EF0A22"/>
    <w:rsid w:val="00EF122B"/>
    <w:rsid w:val="00EF1267"/>
    <w:rsid w:val="00EF180C"/>
    <w:rsid w:val="00EF3B6B"/>
    <w:rsid w:val="00EF4B43"/>
    <w:rsid w:val="00EF589C"/>
    <w:rsid w:val="00EF6750"/>
    <w:rsid w:val="00EF770B"/>
    <w:rsid w:val="00F0059F"/>
    <w:rsid w:val="00F02FB5"/>
    <w:rsid w:val="00F05C30"/>
    <w:rsid w:val="00F10F1B"/>
    <w:rsid w:val="00F11782"/>
    <w:rsid w:val="00F11FCE"/>
    <w:rsid w:val="00F14179"/>
    <w:rsid w:val="00F15786"/>
    <w:rsid w:val="00F15C0C"/>
    <w:rsid w:val="00F167C5"/>
    <w:rsid w:val="00F1681B"/>
    <w:rsid w:val="00F20B5A"/>
    <w:rsid w:val="00F214A5"/>
    <w:rsid w:val="00F21F0B"/>
    <w:rsid w:val="00F236AB"/>
    <w:rsid w:val="00F24EA4"/>
    <w:rsid w:val="00F25BBE"/>
    <w:rsid w:val="00F27087"/>
    <w:rsid w:val="00F2773C"/>
    <w:rsid w:val="00F300B3"/>
    <w:rsid w:val="00F3032F"/>
    <w:rsid w:val="00F30DB9"/>
    <w:rsid w:val="00F30FB8"/>
    <w:rsid w:val="00F31D68"/>
    <w:rsid w:val="00F33152"/>
    <w:rsid w:val="00F338F2"/>
    <w:rsid w:val="00F349D3"/>
    <w:rsid w:val="00F3533E"/>
    <w:rsid w:val="00F35B84"/>
    <w:rsid w:val="00F368BF"/>
    <w:rsid w:val="00F402B5"/>
    <w:rsid w:val="00F4072F"/>
    <w:rsid w:val="00F42839"/>
    <w:rsid w:val="00F44CC0"/>
    <w:rsid w:val="00F450BA"/>
    <w:rsid w:val="00F4684B"/>
    <w:rsid w:val="00F46BE9"/>
    <w:rsid w:val="00F47C3B"/>
    <w:rsid w:val="00F506CA"/>
    <w:rsid w:val="00F50D11"/>
    <w:rsid w:val="00F53A7A"/>
    <w:rsid w:val="00F54FCD"/>
    <w:rsid w:val="00F5785C"/>
    <w:rsid w:val="00F623AF"/>
    <w:rsid w:val="00F67076"/>
    <w:rsid w:val="00F6753B"/>
    <w:rsid w:val="00F677FA"/>
    <w:rsid w:val="00F70E24"/>
    <w:rsid w:val="00F7115A"/>
    <w:rsid w:val="00F71352"/>
    <w:rsid w:val="00F717AA"/>
    <w:rsid w:val="00F72714"/>
    <w:rsid w:val="00F73BC4"/>
    <w:rsid w:val="00F744C3"/>
    <w:rsid w:val="00F75139"/>
    <w:rsid w:val="00F75EE2"/>
    <w:rsid w:val="00F75F69"/>
    <w:rsid w:val="00F802D3"/>
    <w:rsid w:val="00F80F94"/>
    <w:rsid w:val="00F81BA2"/>
    <w:rsid w:val="00F8412F"/>
    <w:rsid w:val="00F84791"/>
    <w:rsid w:val="00F85995"/>
    <w:rsid w:val="00F85F9F"/>
    <w:rsid w:val="00F85FC5"/>
    <w:rsid w:val="00F86C22"/>
    <w:rsid w:val="00F90CB3"/>
    <w:rsid w:val="00F912A2"/>
    <w:rsid w:val="00F913A3"/>
    <w:rsid w:val="00F925C3"/>
    <w:rsid w:val="00F9510E"/>
    <w:rsid w:val="00FA0109"/>
    <w:rsid w:val="00FA334D"/>
    <w:rsid w:val="00FA458B"/>
    <w:rsid w:val="00FA492D"/>
    <w:rsid w:val="00FA5EC5"/>
    <w:rsid w:val="00FA6E6A"/>
    <w:rsid w:val="00FA7016"/>
    <w:rsid w:val="00FA793D"/>
    <w:rsid w:val="00FB020E"/>
    <w:rsid w:val="00FB0E2C"/>
    <w:rsid w:val="00FB4992"/>
    <w:rsid w:val="00FB4B9D"/>
    <w:rsid w:val="00FB50ED"/>
    <w:rsid w:val="00FB6696"/>
    <w:rsid w:val="00FB7F29"/>
    <w:rsid w:val="00FC144B"/>
    <w:rsid w:val="00FC174A"/>
    <w:rsid w:val="00FC2169"/>
    <w:rsid w:val="00FC253C"/>
    <w:rsid w:val="00FC28E2"/>
    <w:rsid w:val="00FC3BF6"/>
    <w:rsid w:val="00FC3D22"/>
    <w:rsid w:val="00FC5CB2"/>
    <w:rsid w:val="00FC6FE1"/>
    <w:rsid w:val="00FC7FC9"/>
    <w:rsid w:val="00FD18AB"/>
    <w:rsid w:val="00FD277F"/>
    <w:rsid w:val="00FD2F6B"/>
    <w:rsid w:val="00FD545C"/>
    <w:rsid w:val="00FE064A"/>
    <w:rsid w:val="00FE0B55"/>
    <w:rsid w:val="00FE16B4"/>
    <w:rsid w:val="00FE1E98"/>
    <w:rsid w:val="00FE2452"/>
    <w:rsid w:val="00FE5469"/>
    <w:rsid w:val="00FE66C2"/>
    <w:rsid w:val="00FE684A"/>
    <w:rsid w:val="00FE6F23"/>
    <w:rsid w:val="00FF062F"/>
    <w:rsid w:val="00FF0A88"/>
    <w:rsid w:val="00FF0F8C"/>
    <w:rsid w:val="00FF408B"/>
    <w:rsid w:val="00FF43E1"/>
    <w:rsid w:val="00FF4F35"/>
    <w:rsid w:val="01C40DDD"/>
    <w:rsid w:val="01E52B01"/>
    <w:rsid w:val="02030736"/>
    <w:rsid w:val="02056D00"/>
    <w:rsid w:val="020C789B"/>
    <w:rsid w:val="02301FCF"/>
    <w:rsid w:val="0256755B"/>
    <w:rsid w:val="02671768"/>
    <w:rsid w:val="02930952"/>
    <w:rsid w:val="0332621A"/>
    <w:rsid w:val="0341645D"/>
    <w:rsid w:val="03430854"/>
    <w:rsid w:val="036A1510"/>
    <w:rsid w:val="039F5FA6"/>
    <w:rsid w:val="03DD7C37"/>
    <w:rsid w:val="03F4527E"/>
    <w:rsid w:val="042B3F64"/>
    <w:rsid w:val="0434636C"/>
    <w:rsid w:val="04365896"/>
    <w:rsid w:val="04784E8A"/>
    <w:rsid w:val="050634BB"/>
    <w:rsid w:val="05100C08"/>
    <w:rsid w:val="053022E6"/>
    <w:rsid w:val="053D0EF8"/>
    <w:rsid w:val="053E0EA6"/>
    <w:rsid w:val="05535068"/>
    <w:rsid w:val="056326BB"/>
    <w:rsid w:val="058044BB"/>
    <w:rsid w:val="05E7509A"/>
    <w:rsid w:val="0620235A"/>
    <w:rsid w:val="06572B71"/>
    <w:rsid w:val="068F128E"/>
    <w:rsid w:val="06990F64"/>
    <w:rsid w:val="06CC3D8C"/>
    <w:rsid w:val="06CC603E"/>
    <w:rsid w:val="06E4195D"/>
    <w:rsid w:val="06E710CA"/>
    <w:rsid w:val="07245E7A"/>
    <w:rsid w:val="07ED0962"/>
    <w:rsid w:val="085E716A"/>
    <w:rsid w:val="086F7648"/>
    <w:rsid w:val="0889068B"/>
    <w:rsid w:val="08907C6B"/>
    <w:rsid w:val="089A2898"/>
    <w:rsid w:val="08CA47FF"/>
    <w:rsid w:val="08EC6EAF"/>
    <w:rsid w:val="0926412B"/>
    <w:rsid w:val="09305ADA"/>
    <w:rsid w:val="09734E97"/>
    <w:rsid w:val="09886B94"/>
    <w:rsid w:val="09CD6E24"/>
    <w:rsid w:val="09E162A4"/>
    <w:rsid w:val="0A2E21C7"/>
    <w:rsid w:val="0A314B36"/>
    <w:rsid w:val="0A411EAA"/>
    <w:rsid w:val="0AB319EF"/>
    <w:rsid w:val="0AC15C13"/>
    <w:rsid w:val="0ACF0995"/>
    <w:rsid w:val="0AD1BB85"/>
    <w:rsid w:val="0AFC15E8"/>
    <w:rsid w:val="0B0264D2"/>
    <w:rsid w:val="0B275F39"/>
    <w:rsid w:val="0B3D575C"/>
    <w:rsid w:val="0B422D73"/>
    <w:rsid w:val="0B6251C3"/>
    <w:rsid w:val="0B925AA8"/>
    <w:rsid w:val="0BA15CEB"/>
    <w:rsid w:val="0BCC3F75"/>
    <w:rsid w:val="0C0A1AE2"/>
    <w:rsid w:val="0C994C14"/>
    <w:rsid w:val="0CAC7F34"/>
    <w:rsid w:val="0CB63A18"/>
    <w:rsid w:val="0CE340E1"/>
    <w:rsid w:val="0CF62067"/>
    <w:rsid w:val="0CFF0F1B"/>
    <w:rsid w:val="0D02678E"/>
    <w:rsid w:val="0D870F11"/>
    <w:rsid w:val="0DA53594"/>
    <w:rsid w:val="0DC91529"/>
    <w:rsid w:val="0DE16873"/>
    <w:rsid w:val="0DE87C01"/>
    <w:rsid w:val="0E8013B7"/>
    <w:rsid w:val="0E8F4521"/>
    <w:rsid w:val="0EA70147"/>
    <w:rsid w:val="0ED65203"/>
    <w:rsid w:val="0F02752B"/>
    <w:rsid w:val="0F1113DA"/>
    <w:rsid w:val="0F505B45"/>
    <w:rsid w:val="0F862AFE"/>
    <w:rsid w:val="0FA1450C"/>
    <w:rsid w:val="0FA674CF"/>
    <w:rsid w:val="0FAE6DC9"/>
    <w:rsid w:val="0FE73EE9"/>
    <w:rsid w:val="10554087"/>
    <w:rsid w:val="108A31F2"/>
    <w:rsid w:val="10C20BDE"/>
    <w:rsid w:val="10D604C6"/>
    <w:rsid w:val="10ED3781"/>
    <w:rsid w:val="113A536B"/>
    <w:rsid w:val="11671785"/>
    <w:rsid w:val="11785740"/>
    <w:rsid w:val="11A16A45"/>
    <w:rsid w:val="11B515E0"/>
    <w:rsid w:val="11BD3153"/>
    <w:rsid w:val="11D16BFE"/>
    <w:rsid w:val="11D5049D"/>
    <w:rsid w:val="121F3E0E"/>
    <w:rsid w:val="12384B3D"/>
    <w:rsid w:val="12850115"/>
    <w:rsid w:val="13023513"/>
    <w:rsid w:val="132E255A"/>
    <w:rsid w:val="13645F7C"/>
    <w:rsid w:val="137361BF"/>
    <w:rsid w:val="139F6FB4"/>
    <w:rsid w:val="13A53267"/>
    <w:rsid w:val="13EC7D20"/>
    <w:rsid w:val="13F970D2"/>
    <w:rsid w:val="14093DD0"/>
    <w:rsid w:val="144C7075"/>
    <w:rsid w:val="14AA4136"/>
    <w:rsid w:val="14B52807"/>
    <w:rsid w:val="14C12F5A"/>
    <w:rsid w:val="14CB5B87"/>
    <w:rsid w:val="14F16930"/>
    <w:rsid w:val="151412DC"/>
    <w:rsid w:val="15485429"/>
    <w:rsid w:val="155D0ED5"/>
    <w:rsid w:val="155E2E9F"/>
    <w:rsid w:val="15B12FCF"/>
    <w:rsid w:val="15C947BC"/>
    <w:rsid w:val="163836F0"/>
    <w:rsid w:val="163A420B"/>
    <w:rsid w:val="167504A0"/>
    <w:rsid w:val="168E50BE"/>
    <w:rsid w:val="169721C5"/>
    <w:rsid w:val="16D026BB"/>
    <w:rsid w:val="16D74CB7"/>
    <w:rsid w:val="16E86EC4"/>
    <w:rsid w:val="16F76BBA"/>
    <w:rsid w:val="17051824"/>
    <w:rsid w:val="17410382"/>
    <w:rsid w:val="1792FC42"/>
    <w:rsid w:val="17F13B56"/>
    <w:rsid w:val="18131D1F"/>
    <w:rsid w:val="1816180F"/>
    <w:rsid w:val="184243B2"/>
    <w:rsid w:val="1844012A"/>
    <w:rsid w:val="185F5E74"/>
    <w:rsid w:val="18626E31"/>
    <w:rsid w:val="186802BC"/>
    <w:rsid w:val="188805F0"/>
    <w:rsid w:val="18952734"/>
    <w:rsid w:val="18AD3F21"/>
    <w:rsid w:val="18B10430"/>
    <w:rsid w:val="18BA03EC"/>
    <w:rsid w:val="18BC23B6"/>
    <w:rsid w:val="18D55226"/>
    <w:rsid w:val="19120228"/>
    <w:rsid w:val="191915B7"/>
    <w:rsid w:val="19413B26"/>
    <w:rsid w:val="196441AC"/>
    <w:rsid w:val="19801636"/>
    <w:rsid w:val="19CA465F"/>
    <w:rsid w:val="19CF1C75"/>
    <w:rsid w:val="1A141D7E"/>
    <w:rsid w:val="1A2975D8"/>
    <w:rsid w:val="1A46462D"/>
    <w:rsid w:val="1A756CC1"/>
    <w:rsid w:val="1A9D1D74"/>
    <w:rsid w:val="1AA72BF2"/>
    <w:rsid w:val="1AEB6F83"/>
    <w:rsid w:val="1B4C41AC"/>
    <w:rsid w:val="1B5A3713"/>
    <w:rsid w:val="1B650AE3"/>
    <w:rsid w:val="1B7829E5"/>
    <w:rsid w:val="1BCA303C"/>
    <w:rsid w:val="1C204A0A"/>
    <w:rsid w:val="1C4F3541"/>
    <w:rsid w:val="1C6D3688"/>
    <w:rsid w:val="1C7DAFFE"/>
    <w:rsid w:val="1CA67605"/>
    <w:rsid w:val="1CC63D0A"/>
    <w:rsid w:val="1CED6FE2"/>
    <w:rsid w:val="1CF87735"/>
    <w:rsid w:val="1D1F2F14"/>
    <w:rsid w:val="1D2C32A0"/>
    <w:rsid w:val="1D520E2A"/>
    <w:rsid w:val="1D5232E9"/>
    <w:rsid w:val="1DB775F0"/>
    <w:rsid w:val="1DC2081A"/>
    <w:rsid w:val="1DC738B3"/>
    <w:rsid w:val="1DD94266"/>
    <w:rsid w:val="1DDB508D"/>
    <w:rsid w:val="1E2A1B70"/>
    <w:rsid w:val="1EAC4C7B"/>
    <w:rsid w:val="1EC65D3D"/>
    <w:rsid w:val="1EF74148"/>
    <w:rsid w:val="1F0E4FEE"/>
    <w:rsid w:val="1F10520A"/>
    <w:rsid w:val="1F1545CE"/>
    <w:rsid w:val="1F705598"/>
    <w:rsid w:val="1F9D0947"/>
    <w:rsid w:val="1FB931AC"/>
    <w:rsid w:val="1FD20711"/>
    <w:rsid w:val="1FE346CD"/>
    <w:rsid w:val="1FE87F35"/>
    <w:rsid w:val="1FF64400"/>
    <w:rsid w:val="1FFB29C6"/>
    <w:rsid w:val="20100D75"/>
    <w:rsid w:val="20692E24"/>
    <w:rsid w:val="206C021E"/>
    <w:rsid w:val="20724C23"/>
    <w:rsid w:val="207417C9"/>
    <w:rsid w:val="2078600D"/>
    <w:rsid w:val="20BD6CCC"/>
    <w:rsid w:val="20C444FE"/>
    <w:rsid w:val="210448FA"/>
    <w:rsid w:val="218705A7"/>
    <w:rsid w:val="21AA3420"/>
    <w:rsid w:val="21BB1B66"/>
    <w:rsid w:val="21C569DD"/>
    <w:rsid w:val="21ED1832"/>
    <w:rsid w:val="22001566"/>
    <w:rsid w:val="22262874"/>
    <w:rsid w:val="22463817"/>
    <w:rsid w:val="22617B2B"/>
    <w:rsid w:val="228A52D3"/>
    <w:rsid w:val="22A80D00"/>
    <w:rsid w:val="22AF3620"/>
    <w:rsid w:val="22C81958"/>
    <w:rsid w:val="22D72D35"/>
    <w:rsid w:val="22E449E3"/>
    <w:rsid w:val="22E70AD4"/>
    <w:rsid w:val="23767606"/>
    <w:rsid w:val="23893A52"/>
    <w:rsid w:val="23A10B26"/>
    <w:rsid w:val="23B87C1E"/>
    <w:rsid w:val="23C30A9D"/>
    <w:rsid w:val="23E17175"/>
    <w:rsid w:val="242F6132"/>
    <w:rsid w:val="24305A06"/>
    <w:rsid w:val="248875F1"/>
    <w:rsid w:val="24F1508D"/>
    <w:rsid w:val="25072C0B"/>
    <w:rsid w:val="250824DF"/>
    <w:rsid w:val="25583467"/>
    <w:rsid w:val="25691621"/>
    <w:rsid w:val="25755DC7"/>
    <w:rsid w:val="258D08C8"/>
    <w:rsid w:val="259049AF"/>
    <w:rsid w:val="25B74631"/>
    <w:rsid w:val="260809E9"/>
    <w:rsid w:val="26151588"/>
    <w:rsid w:val="263E4BE4"/>
    <w:rsid w:val="26415CA9"/>
    <w:rsid w:val="26432F9D"/>
    <w:rsid w:val="26485289"/>
    <w:rsid w:val="266F634F"/>
    <w:rsid w:val="26D20FF7"/>
    <w:rsid w:val="27547C5E"/>
    <w:rsid w:val="278422F1"/>
    <w:rsid w:val="27ED433A"/>
    <w:rsid w:val="27FA25B3"/>
    <w:rsid w:val="283F5887"/>
    <w:rsid w:val="286478B1"/>
    <w:rsid w:val="28AB1AFF"/>
    <w:rsid w:val="28DE1ED5"/>
    <w:rsid w:val="28F65AA9"/>
    <w:rsid w:val="290556B4"/>
    <w:rsid w:val="290A0F1C"/>
    <w:rsid w:val="291059EA"/>
    <w:rsid w:val="296F5223"/>
    <w:rsid w:val="2A2049DE"/>
    <w:rsid w:val="2A846AAC"/>
    <w:rsid w:val="2B0BA24B"/>
    <w:rsid w:val="2B261911"/>
    <w:rsid w:val="2B636E4F"/>
    <w:rsid w:val="2B6F57A1"/>
    <w:rsid w:val="2B764647"/>
    <w:rsid w:val="2BBF12EC"/>
    <w:rsid w:val="2BC649D9"/>
    <w:rsid w:val="2BD17ACF"/>
    <w:rsid w:val="2BD36F12"/>
    <w:rsid w:val="2C04777D"/>
    <w:rsid w:val="2C4209CD"/>
    <w:rsid w:val="2C4464F3"/>
    <w:rsid w:val="2C7F752B"/>
    <w:rsid w:val="2C8114F5"/>
    <w:rsid w:val="2CA9119B"/>
    <w:rsid w:val="2CC35400"/>
    <w:rsid w:val="2CEA52EC"/>
    <w:rsid w:val="2D458CD7"/>
    <w:rsid w:val="2D462AC6"/>
    <w:rsid w:val="2D597D7C"/>
    <w:rsid w:val="2D5C786C"/>
    <w:rsid w:val="2D621327"/>
    <w:rsid w:val="2D71156A"/>
    <w:rsid w:val="2DA10639"/>
    <w:rsid w:val="2DB31B82"/>
    <w:rsid w:val="2E026666"/>
    <w:rsid w:val="2E1145D1"/>
    <w:rsid w:val="2E3F51C4"/>
    <w:rsid w:val="2E3F6F72"/>
    <w:rsid w:val="2E862C0A"/>
    <w:rsid w:val="2EA414CB"/>
    <w:rsid w:val="2EA650AA"/>
    <w:rsid w:val="2EDE4FEF"/>
    <w:rsid w:val="2F012479"/>
    <w:rsid w:val="2F560A17"/>
    <w:rsid w:val="2FBF20F2"/>
    <w:rsid w:val="2FD45DE0"/>
    <w:rsid w:val="2FE4029D"/>
    <w:rsid w:val="2FEB23F2"/>
    <w:rsid w:val="2FFFD8D3"/>
    <w:rsid w:val="300A6CD7"/>
    <w:rsid w:val="30110DE2"/>
    <w:rsid w:val="30135FA2"/>
    <w:rsid w:val="302C1778"/>
    <w:rsid w:val="30647164"/>
    <w:rsid w:val="3115045E"/>
    <w:rsid w:val="31281325"/>
    <w:rsid w:val="314503F2"/>
    <w:rsid w:val="315A0567"/>
    <w:rsid w:val="315A40C3"/>
    <w:rsid w:val="31CC4FC0"/>
    <w:rsid w:val="323D7C6C"/>
    <w:rsid w:val="32452FC5"/>
    <w:rsid w:val="32641F7A"/>
    <w:rsid w:val="32750745"/>
    <w:rsid w:val="32894C60"/>
    <w:rsid w:val="32981347"/>
    <w:rsid w:val="32E7407C"/>
    <w:rsid w:val="32FC0699"/>
    <w:rsid w:val="334B0167"/>
    <w:rsid w:val="336B0809"/>
    <w:rsid w:val="337BB9C2"/>
    <w:rsid w:val="33955886"/>
    <w:rsid w:val="33A53D1B"/>
    <w:rsid w:val="34080A11"/>
    <w:rsid w:val="341669C7"/>
    <w:rsid w:val="344F3C87"/>
    <w:rsid w:val="3515160D"/>
    <w:rsid w:val="351940A5"/>
    <w:rsid w:val="356D0868"/>
    <w:rsid w:val="35A63D7A"/>
    <w:rsid w:val="35E65199"/>
    <w:rsid w:val="35EF127D"/>
    <w:rsid w:val="35F73632"/>
    <w:rsid w:val="35FC399A"/>
    <w:rsid w:val="361138EA"/>
    <w:rsid w:val="36166319"/>
    <w:rsid w:val="36321AB2"/>
    <w:rsid w:val="36581519"/>
    <w:rsid w:val="369C23EC"/>
    <w:rsid w:val="36BB1AA7"/>
    <w:rsid w:val="36FA25D0"/>
    <w:rsid w:val="36FA437E"/>
    <w:rsid w:val="370451FC"/>
    <w:rsid w:val="37270EEB"/>
    <w:rsid w:val="372C02AF"/>
    <w:rsid w:val="37357164"/>
    <w:rsid w:val="377203B8"/>
    <w:rsid w:val="3785060F"/>
    <w:rsid w:val="37DD2279"/>
    <w:rsid w:val="37ED3EE3"/>
    <w:rsid w:val="37FE39FA"/>
    <w:rsid w:val="38084878"/>
    <w:rsid w:val="38CF183A"/>
    <w:rsid w:val="38F117B0"/>
    <w:rsid w:val="39292CF8"/>
    <w:rsid w:val="399F745E"/>
    <w:rsid w:val="3A0E1EEE"/>
    <w:rsid w:val="3A176F56"/>
    <w:rsid w:val="3A282FB0"/>
    <w:rsid w:val="3A7206CF"/>
    <w:rsid w:val="3A7461F5"/>
    <w:rsid w:val="3A960861"/>
    <w:rsid w:val="3ACF5B89"/>
    <w:rsid w:val="3B00217F"/>
    <w:rsid w:val="3B1721C0"/>
    <w:rsid w:val="3B7364AD"/>
    <w:rsid w:val="3B8A37F6"/>
    <w:rsid w:val="3C131A3E"/>
    <w:rsid w:val="3C3420E0"/>
    <w:rsid w:val="3C502C92"/>
    <w:rsid w:val="3C5C33E5"/>
    <w:rsid w:val="3C7D00D8"/>
    <w:rsid w:val="3C8D359E"/>
    <w:rsid w:val="3CA06C0C"/>
    <w:rsid w:val="3CC72F54"/>
    <w:rsid w:val="3CE33B06"/>
    <w:rsid w:val="3D112A47"/>
    <w:rsid w:val="3D127F47"/>
    <w:rsid w:val="3D281519"/>
    <w:rsid w:val="3D6A7D83"/>
    <w:rsid w:val="3DDA2813"/>
    <w:rsid w:val="3E0755D2"/>
    <w:rsid w:val="3E0D0E3B"/>
    <w:rsid w:val="3E2717D1"/>
    <w:rsid w:val="3E6E73FF"/>
    <w:rsid w:val="3E79001F"/>
    <w:rsid w:val="3EA25851"/>
    <w:rsid w:val="3EA352FB"/>
    <w:rsid w:val="3EA38F4F"/>
    <w:rsid w:val="3EA82911"/>
    <w:rsid w:val="3EF26282"/>
    <w:rsid w:val="3F1E55D1"/>
    <w:rsid w:val="3F6C3757"/>
    <w:rsid w:val="3F6D76B7"/>
    <w:rsid w:val="3F9966FE"/>
    <w:rsid w:val="3FB7C87B"/>
    <w:rsid w:val="3FBD23EC"/>
    <w:rsid w:val="3FFA3253"/>
    <w:rsid w:val="3FFF0ABB"/>
    <w:rsid w:val="400242A3"/>
    <w:rsid w:val="400C6ED0"/>
    <w:rsid w:val="40181D19"/>
    <w:rsid w:val="404E573A"/>
    <w:rsid w:val="405368AD"/>
    <w:rsid w:val="405D6A10"/>
    <w:rsid w:val="40776A3F"/>
    <w:rsid w:val="408829FA"/>
    <w:rsid w:val="40E165AE"/>
    <w:rsid w:val="410A1661"/>
    <w:rsid w:val="412D5350"/>
    <w:rsid w:val="414C1C7A"/>
    <w:rsid w:val="4199088C"/>
    <w:rsid w:val="41A27AEC"/>
    <w:rsid w:val="41C07F72"/>
    <w:rsid w:val="41DA6594"/>
    <w:rsid w:val="424010B3"/>
    <w:rsid w:val="42B37AD7"/>
    <w:rsid w:val="432509D4"/>
    <w:rsid w:val="43456981"/>
    <w:rsid w:val="434C41B3"/>
    <w:rsid w:val="43803E5D"/>
    <w:rsid w:val="4387343D"/>
    <w:rsid w:val="43A80903"/>
    <w:rsid w:val="43DD305D"/>
    <w:rsid w:val="444C1A75"/>
    <w:rsid w:val="444D31C4"/>
    <w:rsid w:val="44511355"/>
    <w:rsid w:val="447D214A"/>
    <w:rsid w:val="44827761"/>
    <w:rsid w:val="44A3526F"/>
    <w:rsid w:val="44A84DDD"/>
    <w:rsid w:val="44AD1764"/>
    <w:rsid w:val="44B032F4"/>
    <w:rsid w:val="44C67F95"/>
    <w:rsid w:val="44D3620E"/>
    <w:rsid w:val="44D77AAC"/>
    <w:rsid w:val="45252F0E"/>
    <w:rsid w:val="45260A34"/>
    <w:rsid w:val="45322F35"/>
    <w:rsid w:val="457A48DC"/>
    <w:rsid w:val="457D25F7"/>
    <w:rsid w:val="45906413"/>
    <w:rsid w:val="45BB73CE"/>
    <w:rsid w:val="45C2075D"/>
    <w:rsid w:val="46236D21"/>
    <w:rsid w:val="46712183"/>
    <w:rsid w:val="468341CD"/>
    <w:rsid w:val="46A61E2C"/>
    <w:rsid w:val="46A95479"/>
    <w:rsid w:val="46BB51AC"/>
    <w:rsid w:val="46BE4DA7"/>
    <w:rsid w:val="46CE4EDF"/>
    <w:rsid w:val="46D00C57"/>
    <w:rsid w:val="46E82445"/>
    <w:rsid w:val="472C2589"/>
    <w:rsid w:val="473A07C7"/>
    <w:rsid w:val="476D64A6"/>
    <w:rsid w:val="47A83982"/>
    <w:rsid w:val="47AC3472"/>
    <w:rsid w:val="48254FD3"/>
    <w:rsid w:val="48313978"/>
    <w:rsid w:val="48735D3E"/>
    <w:rsid w:val="48A57EC2"/>
    <w:rsid w:val="48C26B0F"/>
    <w:rsid w:val="48DD3AFF"/>
    <w:rsid w:val="48EB1D78"/>
    <w:rsid w:val="4913307D"/>
    <w:rsid w:val="491B3135"/>
    <w:rsid w:val="4961028C"/>
    <w:rsid w:val="497C0C22"/>
    <w:rsid w:val="49816239"/>
    <w:rsid w:val="49A62143"/>
    <w:rsid w:val="4A162E25"/>
    <w:rsid w:val="4A225C6E"/>
    <w:rsid w:val="4A3239D7"/>
    <w:rsid w:val="4A431740"/>
    <w:rsid w:val="4A5C5CE8"/>
    <w:rsid w:val="4A760AEB"/>
    <w:rsid w:val="4A871F75"/>
    <w:rsid w:val="4A930919"/>
    <w:rsid w:val="4AC42881"/>
    <w:rsid w:val="4B693428"/>
    <w:rsid w:val="4B75001F"/>
    <w:rsid w:val="4BBE3774"/>
    <w:rsid w:val="4BE525C7"/>
    <w:rsid w:val="4C115F9A"/>
    <w:rsid w:val="4C12064C"/>
    <w:rsid w:val="4C2757BD"/>
    <w:rsid w:val="4C2F4672"/>
    <w:rsid w:val="4C6F4A6E"/>
    <w:rsid w:val="4C8C5620"/>
    <w:rsid w:val="4CF82CB6"/>
    <w:rsid w:val="4D73233C"/>
    <w:rsid w:val="4D844549"/>
    <w:rsid w:val="4DD10F20"/>
    <w:rsid w:val="4DE1374A"/>
    <w:rsid w:val="4E393586"/>
    <w:rsid w:val="4E437F61"/>
    <w:rsid w:val="4E77113C"/>
    <w:rsid w:val="4E7E8CC6"/>
    <w:rsid w:val="4E9904C8"/>
    <w:rsid w:val="4EAF3848"/>
    <w:rsid w:val="4EC2498D"/>
    <w:rsid w:val="4ED17C62"/>
    <w:rsid w:val="4F107ACC"/>
    <w:rsid w:val="4F147B4F"/>
    <w:rsid w:val="4F3162CA"/>
    <w:rsid w:val="4F4C72E9"/>
    <w:rsid w:val="4F74239C"/>
    <w:rsid w:val="4F9A0054"/>
    <w:rsid w:val="4FA17635"/>
    <w:rsid w:val="4FA26F09"/>
    <w:rsid w:val="4FA365AE"/>
    <w:rsid w:val="4FCC4105"/>
    <w:rsid w:val="4FDE03BE"/>
    <w:rsid w:val="502B33A2"/>
    <w:rsid w:val="50302767"/>
    <w:rsid w:val="5051105B"/>
    <w:rsid w:val="506348EA"/>
    <w:rsid w:val="506F14E1"/>
    <w:rsid w:val="507C3BFE"/>
    <w:rsid w:val="50850D04"/>
    <w:rsid w:val="50A05B3E"/>
    <w:rsid w:val="50D95873"/>
    <w:rsid w:val="50E023DF"/>
    <w:rsid w:val="51167BAE"/>
    <w:rsid w:val="517A6C6C"/>
    <w:rsid w:val="51856AE2"/>
    <w:rsid w:val="51C23892"/>
    <w:rsid w:val="51F6353C"/>
    <w:rsid w:val="520D0FB1"/>
    <w:rsid w:val="521A36CE"/>
    <w:rsid w:val="524B3888"/>
    <w:rsid w:val="526102AF"/>
    <w:rsid w:val="528444DA"/>
    <w:rsid w:val="52927709"/>
    <w:rsid w:val="52990A97"/>
    <w:rsid w:val="52BC756E"/>
    <w:rsid w:val="52C673B2"/>
    <w:rsid w:val="52E53CDC"/>
    <w:rsid w:val="52F7756C"/>
    <w:rsid w:val="534A7FE3"/>
    <w:rsid w:val="53542C10"/>
    <w:rsid w:val="537745D5"/>
    <w:rsid w:val="53BD07B5"/>
    <w:rsid w:val="53C03E02"/>
    <w:rsid w:val="53EA0E7E"/>
    <w:rsid w:val="53EB7352"/>
    <w:rsid w:val="540846F9"/>
    <w:rsid w:val="54150ECE"/>
    <w:rsid w:val="542919A7"/>
    <w:rsid w:val="546926EB"/>
    <w:rsid w:val="5471502C"/>
    <w:rsid w:val="549A0AF6"/>
    <w:rsid w:val="54E74DF3"/>
    <w:rsid w:val="54EE3C23"/>
    <w:rsid w:val="552306F6"/>
    <w:rsid w:val="554A1464"/>
    <w:rsid w:val="554A4A58"/>
    <w:rsid w:val="55AF05D2"/>
    <w:rsid w:val="55DD513F"/>
    <w:rsid w:val="56DA342C"/>
    <w:rsid w:val="56E352D5"/>
    <w:rsid w:val="570960EF"/>
    <w:rsid w:val="570F15BE"/>
    <w:rsid w:val="57154464"/>
    <w:rsid w:val="57236B81"/>
    <w:rsid w:val="57315742"/>
    <w:rsid w:val="575136EE"/>
    <w:rsid w:val="575C2093"/>
    <w:rsid w:val="576D5F23"/>
    <w:rsid w:val="579BB179"/>
    <w:rsid w:val="57CF1604"/>
    <w:rsid w:val="57E435FE"/>
    <w:rsid w:val="58022C3B"/>
    <w:rsid w:val="582D0655"/>
    <w:rsid w:val="58BE3005"/>
    <w:rsid w:val="58DC16DE"/>
    <w:rsid w:val="591075D9"/>
    <w:rsid w:val="592B4413"/>
    <w:rsid w:val="5951205C"/>
    <w:rsid w:val="598853C1"/>
    <w:rsid w:val="59926240"/>
    <w:rsid w:val="59C06909"/>
    <w:rsid w:val="59D079E8"/>
    <w:rsid w:val="59D40847"/>
    <w:rsid w:val="5A221372"/>
    <w:rsid w:val="5A36306F"/>
    <w:rsid w:val="5A5A6D5E"/>
    <w:rsid w:val="5AE37F25"/>
    <w:rsid w:val="5B104AB0"/>
    <w:rsid w:val="5B1C489F"/>
    <w:rsid w:val="5B7B144A"/>
    <w:rsid w:val="5B834092"/>
    <w:rsid w:val="5B8816A9"/>
    <w:rsid w:val="5BF84A80"/>
    <w:rsid w:val="5C71038F"/>
    <w:rsid w:val="5C7A36E7"/>
    <w:rsid w:val="5C9C18B0"/>
    <w:rsid w:val="5CB23D47"/>
    <w:rsid w:val="5CBA1D36"/>
    <w:rsid w:val="5D2418A5"/>
    <w:rsid w:val="5D4E06D0"/>
    <w:rsid w:val="5D6D0B56"/>
    <w:rsid w:val="5D722610"/>
    <w:rsid w:val="5DAA3B58"/>
    <w:rsid w:val="5DB91FED"/>
    <w:rsid w:val="5DFB0858"/>
    <w:rsid w:val="5E400CE1"/>
    <w:rsid w:val="5EE94B54"/>
    <w:rsid w:val="5EFEDBBD"/>
    <w:rsid w:val="5EFF7ED4"/>
    <w:rsid w:val="5F2931A3"/>
    <w:rsid w:val="5F3D27AA"/>
    <w:rsid w:val="5F7B3529"/>
    <w:rsid w:val="5F8D54E0"/>
    <w:rsid w:val="5F9E149B"/>
    <w:rsid w:val="5FAF09C4"/>
    <w:rsid w:val="5FBFD93C"/>
    <w:rsid w:val="5FE7280E"/>
    <w:rsid w:val="5FF11F12"/>
    <w:rsid w:val="5FF732A1"/>
    <w:rsid w:val="5FFD73CA"/>
    <w:rsid w:val="60017C7C"/>
    <w:rsid w:val="6005151A"/>
    <w:rsid w:val="600C0AFA"/>
    <w:rsid w:val="60196D73"/>
    <w:rsid w:val="602F6597"/>
    <w:rsid w:val="603B318E"/>
    <w:rsid w:val="608C4642"/>
    <w:rsid w:val="60EC4488"/>
    <w:rsid w:val="60EF36C0"/>
    <w:rsid w:val="60F33A68"/>
    <w:rsid w:val="61660013"/>
    <w:rsid w:val="61686204"/>
    <w:rsid w:val="61AE798F"/>
    <w:rsid w:val="61FD7654"/>
    <w:rsid w:val="621B44EF"/>
    <w:rsid w:val="62210161"/>
    <w:rsid w:val="623E51B7"/>
    <w:rsid w:val="624E00B5"/>
    <w:rsid w:val="626C5880"/>
    <w:rsid w:val="62795572"/>
    <w:rsid w:val="62A5660B"/>
    <w:rsid w:val="62B35B22"/>
    <w:rsid w:val="62E94FA7"/>
    <w:rsid w:val="63041F5D"/>
    <w:rsid w:val="63147CC6"/>
    <w:rsid w:val="63181564"/>
    <w:rsid w:val="63185A08"/>
    <w:rsid w:val="631F798E"/>
    <w:rsid w:val="637F3391"/>
    <w:rsid w:val="6381535B"/>
    <w:rsid w:val="63E46486"/>
    <w:rsid w:val="63EA73A4"/>
    <w:rsid w:val="63F20007"/>
    <w:rsid w:val="64833355"/>
    <w:rsid w:val="648A6492"/>
    <w:rsid w:val="649B41FB"/>
    <w:rsid w:val="649E3CEB"/>
    <w:rsid w:val="64C26018"/>
    <w:rsid w:val="64DD6417"/>
    <w:rsid w:val="64DE2339"/>
    <w:rsid w:val="651B358E"/>
    <w:rsid w:val="651F307E"/>
    <w:rsid w:val="655B1BDC"/>
    <w:rsid w:val="65624D19"/>
    <w:rsid w:val="65EC0A86"/>
    <w:rsid w:val="65F52031"/>
    <w:rsid w:val="65FF7838"/>
    <w:rsid w:val="66004745"/>
    <w:rsid w:val="66492FA1"/>
    <w:rsid w:val="664E34EF"/>
    <w:rsid w:val="664F1741"/>
    <w:rsid w:val="66544FA9"/>
    <w:rsid w:val="666F1DE3"/>
    <w:rsid w:val="66A82BFF"/>
    <w:rsid w:val="66B21CD0"/>
    <w:rsid w:val="66BE0674"/>
    <w:rsid w:val="66CC0FE3"/>
    <w:rsid w:val="66E14363"/>
    <w:rsid w:val="67535261"/>
    <w:rsid w:val="67E66A6F"/>
    <w:rsid w:val="67FB901B"/>
    <w:rsid w:val="68262975"/>
    <w:rsid w:val="686139AD"/>
    <w:rsid w:val="68686AEA"/>
    <w:rsid w:val="68AA5354"/>
    <w:rsid w:val="68AD09A1"/>
    <w:rsid w:val="68E85E7D"/>
    <w:rsid w:val="6938470E"/>
    <w:rsid w:val="696372B1"/>
    <w:rsid w:val="69674FF3"/>
    <w:rsid w:val="69CE5072"/>
    <w:rsid w:val="69CF4947"/>
    <w:rsid w:val="69D34437"/>
    <w:rsid w:val="6A1D3904"/>
    <w:rsid w:val="6A470981"/>
    <w:rsid w:val="6A567F20"/>
    <w:rsid w:val="6A6059ED"/>
    <w:rsid w:val="6A851B34"/>
    <w:rsid w:val="6AAB0F10"/>
    <w:rsid w:val="6AE73923"/>
    <w:rsid w:val="6B820BC9"/>
    <w:rsid w:val="6BDB3A77"/>
    <w:rsid w:val="6BDF70C3"/>
    <w:rsid w:val="6BE446D9"/>
    <w:rsid w:val="6CB87914"/>
    <w:rsid w:val="6CD97953"/>
    <w:rsid w:val="6CED1CB3"/>
    <w:rsid w:val="6D1A412B"/>
    <w:rsid w:val="6D374CDD"/>
    <w:rsid w:val="6D4D2752"/>
    <w:rsid w:val="6D5E495F"/>
    <w:rsid w:val="6DA68935"/>
    <w:rsid w:val="6DC01176"/>
    <w:rsid w:val="6E166FE8"/>
    <w:rsid w:val="6E617C68"/>
    <w:rsid w:val="6E734DEE"/>
    <w:rsid w:val="6E737F96"/>
    <w:rsid w:val="6EBF9C3A"/>
    <w:rsid w:val="6ED30FD7"/>
    <w:rsid w:val="6F143527"/>
    <w:rsid w:val="6F26325B"/>
    <w:rsid w:val="6F392F8E"/>
    <w:rsid w:val="6F5B73A8"/>
    <w:rsid w:val="6F6618A9"/>
    <w:rsid w:val="6FBDCDEF"/>
    <w:rsid w:val="6FD131C7"/>
    <w:rsid w:val="6FFE1377"/>
    <w:rsid w:val="701B6B38"/>
    <w:rsid w:val="703B2D36"/>
    <w:rsid w:val="7061072D"/>
    <w:rsid w:val="708C533F"/>
    <w:rsid w:val="70A64653"/>
    <w:rsid w:val="70C96594"/>
    <w:rsid w:val="714EF62D"/>
    <w:rsid w:val="715D6A20"/>
    <w:rsid w:val="718F158B"/>
    <w:rsid w:val="71970440"/>
    <w:rsid w:val="719C254A"/>
    <w:rsid w:val="72227D09"/>
    <w:rsid w:val="727D78FD"/>
    <w:rsid w:val="73233B69"/>
    <w:rsid w:val="73261A7B"/>
    <w:rsid w:val="733A1083"/>
    <w:rsid w:val="73755499"/>
    <w:rsid w:val="738467A2"/>
    <w:rsid w:val="73AF1A71"/>
    <w:rsid w:val="73CC655F"/>
    <w:rsid w:val="73E84F83"/>
    <w:rsid w:val="73EC073B"/>
    <w:rsid w:val="743A732A"/>
    <w:rsid w:val="7476258E"/>
    <w:rsid w:val="748D1686"/>
    <w:rsid w:val="74D75FF7"/>
    <w:rsid w:val="74EB6AD9"/>
    <w:rsid w:val="75363ACC"/>
    <w:rsid w:val="7556F754"/>
    <w:rsid w:val="755D72AA"/>
    <w:rsid w:val="756D1BE3"/>
    <w:rsid w:val="75846F2D"/>
    <w:rsid w:val="75957445"/>
    <w:rsid w:val="75D01AE1"/>
    <w:rsid w:val="75EF084A"/>
    <w:rsid w:val="762D4ECF"/>
    <w:rsid w:val="765406AD"/>
    <w:rsid w:val="76654669"/>
    <w:rsid w:val="76A038F3"/>
    <w:rsid w:val="76A21419"/>
    <w:rsid w:val="76A2766B"/>
    <w:rsid w:val="76AE4262"/>
    <w:rsid w:val="76B807C3"/>
    <w:rsid w:val="76D0242A"/>
    <w:rsid w:val="772207AC"/>
    <w:rsid w:val="774E77F3"/>
    <w:rsid w:val="77524363"/>
    <w:rsid w:val="77560455"/>
    <w:rsid w:val="779EAB6C"/>
    <w:rsid w:val="77B917B5"/>
    <w:rsid w:val="77D25D2E"/>
    <w:rsid w:val="77DF78AB"/>
    <w:rsid w:val="77E4FE7D"/>
    <w:rsid w:val="77F4039A"/>
    <w:rsid w:val="78322549"/>
    <w:rsid w:val="78703975"/>
    <w:rsid w:val="78743289"/>
    <w:rsid w:val="787768D5"/>
    <w:rsid w:val="787E1A12"/>
    <w:rsid w:val="78C8799E"/>
    <w:rsid w:val="794B3FEA"/>
    <w:rsid w:val="79A90D10"/>
    <w:rsid w:val="79D35D8D"/>
    <w:rsid w:val="79E955B1"/>
    <w:rsid w:val="79F3642F"/>
    <w:rsid w:val="79F857F4"/>
    <w:rsid w:val="7A04063C"/>
    <w:rsid w:val="7A066163"/>
    <w:rsid w:val="7A08012D"/>
    <w:rsid w:val="7A140880"/>
    <w:rsid w:val="7A232871"/>
    <w:rsid w:val="7A456C8B"/>
    <w:rsid w:val="7A4F0AB2"/>
    <w:rsid w:val="7A6441F7"/>
    <w:rsid w:val="7A8772A3"/>
    <w:rsid w:val="7A9E283F"/>
    <w:rsid w:val="7AC878BC"/>
    <w:rsid w:val="7ADCFB8A"/>
    <w:rsid w:val="7AE7C111"/>
    <w:rsid w:val="7AF1471D"/>
    <w:rsid w:val="7B42382F"/>
    <w:rsid w:val="7B454A69"/>
    <w:rsid w:val="7B564EC8"/>
    <w:rsid w:val="7B6770D5"/>
    <w:rsid w:val="7B767318"/>
    <w:rsid w:val="7B841A35"/>
    <w:rsid w:val="7BB63411"/>
    <w:rsid w:val="7BC6204D"/>
    <w:rsid w:val="7BDFDD2F"/>
    <w:rsid w:val="7BE420FD"/>
    <w:rsid w:val="7BF94B54"/>
    <w:rsid w:val="7BFE32EE"/>
    <w:rsid w:val="7C1F175E"/>
    <w:rsid w:val="7C4F2043"/>
    <w:rsid w:val="7C8B294F"/>
    <w:rsid w:val="7D0D296B"/>
    <w:rsid w:val="7D4476CE"/>
    <w:rsid w:val="7D4E0B54"/>
    <w:rsid w:val="7D503E78"/>
    <w:rsid w:val="7D807FDA"/>
    <w:rsid w:val="7DA737B9"/>
    <w:rsid w:val="7DBD63AC"/>
    <w:rsid w:val="7DC425BD"/>
    <w:rsid w:val="7DE14F1D"/>
    <w:rsid w:val="7DEE7639"/>
    <w:rsid w:val="7DF7E7C9"/>
    <w:rsid w:val="7DFD95F7"/>
    <w:rsid w:val="7DFE09F4"/>
    <w:rsid w:val="7E0160D4"/>
    <w:rsid w:val="7E1A21DD"/>
    <w:rsid w:val="7E3FBCE5"/>
    <w:rsid w:val="7E857F9E"/>
    <w:rsid w:val="7ED405DD"/>
    <w:rsid w:val="7EE5B010"/>
    <w:rsid w:val="7F016EF9"/>
    <w:rsid w:val="7F0F35FE"/>
    <w:rsid w:val="7F1A3536"/>
    <w:rsid w:val="7F4FA9DE"/>
    <w:rsid w:val="7F6D0046"/>
    <w:rsid w:val="7F7507D8"/>
    <w:rsid w:val="7FAED892"/>
    <w:rsid w:val="7FB14DC3"/>
    <w:rsid w:val="7FCF39B7"/>
    <w:rsid w:val="7FD92881"/>
    <w:rsid w:val="7FDBD9CE"/>
    <w:rsid w:val="7FEC5DFB"/>
    <w:rsid w:val="7FF636DA"/>
    <w:rsid w:val="7FF80E6B"/>
    <w:rsid w:val="7FFFDB18"/>
    <w:rsid w:val="97F21417"/>
    <w:rsid w:val="9AADED32"/>
    <w:rsid w:val="9B9B935C"/>
    <w:rsid w:val="9C534FA4"/>
    <w:rsid w:val="9F763242"/>
    <w:rsid w:val="A2FECD16"/>
    <w:rsid w:val="A7FF3FBD"/>
    <w:rsid w:val="ACF8A4E8"/>
    <w:rsid w:val="ADEBA540"/>
    <w:rsid w:val="B5F70DAC"/>
    <w:rsid w:val="B67FC33B"/>
    <w:rsid w:val="B6DF7FBA"/>
    <w:rsid w:val="B73F31BA"/>
    <w:rsid w:val="B7F7F884"/>
    <w:rsid w:val="B7FBCDED"/>
    <w:rsid w:val="B7FE02F7"/>
    <w:rsid w:val="B93D65D5"/>
    <w:rsid w:val="BB7E0F11"/>
    <w:rsid w:val="BBF5E81F"/>
    <w:rsid w:val="BEFD2CD9"/>
    <w:rsid w:val="BF3B16F2"/>
    <w:rsid w:val="BFF56DF6"/>
    <w:rsid w:val="BFF7A0A2"/>
    <w:rsid w:val="C35F8480"/>
    <w:rsid w:val="CAD71F98"/>
    <w:rsid w:val="CEDF674D"/>
    <w:rsid w:val="CF77E276"/>
    <w:rsid w:val="CFD6C237"/>
    <w:rsid w:val="CFFDD3F0"/>
    <w:rsid w:val="D73F5006"/>
    <w:rsid w:val="D7F7197D"/>
    <w:rsid w:val="DE9ECC45"/>
    <w:rsid w:val="DF1F5CE3"/>
    <w:rsid w:val="DFDDF022"/>
    <w:rsid w:val="E3FE5BF3"/>
    <w:rsid w:val="E7BE4541"/>
    <w:rsid w:val="EBEFDA26"/>
    <w:rsid w:val="EEFADCEA"/>
    <w:rsid w:val="EF321036"/>
    <w:rsid w:val="EF4FDF95"/>
    <w:rsid w:val="EFF9399F"/>
    <w:rsid w:val="EFFFE984"/>
    <w:rsid w:val="F1D3E50D"/>
    <w:rsid w:val="F6FF939D"/>
    <w:rsid w:val="F76F2668"/>
    <w:rsid w:val="F95DCFA8"/>
    <w:rsid w:val="FAFFD9EA"/>
    <w:rsid w:val="FB4D29AB"/>
    <w:rsid w:val="FBBDB7D9"/>
    <w:rsid w:val="FBBF8D6A"/>
    <w:rsid w:val="FBDF4797"/>
    <w:rsid w:val="FBEB4A05"/>
    <w:rsid w:val="FBFFB1EA"/>
    <w:rsid w:val="FCAE4413"/>
    <w:rsid w:val="FD713401"/>
    <w:rsid w:val="FD7E8ADF"/>
    <w:rsid w:val="FDCDD77C"/>
    <w:rsid w:val="FDFF1D4E"/>
    <w:rsid w:val="FF9FBCEE"/>
    <w:rsid w:val="FFBF6BEB"/>
    <w:rsid w:val="FFFFA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next w:val="1"/>
    <w:link w:val="42"/>
    <w:qFormat/>
    <w:uiPriority w:val="0"/>
    <w:pPr>
      <w:keepNext/>
      <w:keepLines/>
      <w:numPr>
        <w:ilvl w:val="0"/>
        <w:numId w:val="1"/>
      </w:numPr>
      <w:spacing w:before="120" w:after="120"/>
      <w:ind w:left="0" w:firstLine="0"/>
      <w:outlineLvl w:val="0"/>
    </w:pPr>
    <w:rPr>
      <w:rFonts w:ascii="宋体" w:hAnsi="宋体" w:eastAsia="黑体" w:cs="Times New Roman"/>
      <w:b/>
      <w:bCs/>
      <w:kern w:val="44"/>
      <w:sz w:val="32"/>
      <w:szCs w:val="28"/>
      <w:lang w:val="en-US" w:eastAsia="zh-CN" w:bidi="ar-SA"/>
    </w:rPr>
  </w:style>
  <w:style w:type="paragraph" w:styleId="3">
    <w:name w:val="heading 2"/>
    <w:basedOn w:val="1"/>
    <w:next w:val="1"/>
    <w:link w:val="43"/>
    <w:qFormat/>
    <w:uiPriority w:val="9"/>
    <w:pPr>
      <w:keepNext/>
      <w:keepLines/>
      <w:numPr>
        <w:ilvl w:val="1"/>
        <w:numId w:val="1"/>
      </w:numPr>
      <w:spacing w:before="120" w:after="120"/>
      <w:ind w:left="567"/>
      <w:outlineLvl w:val="1"/>
    </w:pPr>
    <w:rPr>
      <w:b/>
      <w:bCs/>
      <w:sz w:val="30"/>
      <w:szCs w:val="32"/>
    </w:rPr>
  </w:style>
  <w:style w:type="paragraph" w:styleId="4">
    <w:name w:val="heading 3"/>
    <w:basedOn w:val="1"/>
    <w:next w:val="1"/>
    <w:link w:val="44"/>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5"/>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4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47"/>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48"/>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4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1"/>
    <w:qFormat/>
    <w:uiPriority w:val="0"/>
    <w:pPr>
      <w:spacing w:afterLines="50"/>
      <w:ind w:firstLine="200"/>
    </w:pPr>
    <w:rPr>
      <w:rFonts w:ascii="Arial" w:hAnsi="Arial" w:eastAsia="黑体"/>
      <w:sz w:val="20"/>
      <w:szCs w:val="20"/>
    </w:rPr>
  </w:style>
  <w:style w:type="paragraph" w:styleId="14">
    <w:name w:val="Document Map"/>
    <w:basedOn w:val="1"/>
    <w:link w:val="52"/>
    <w:qFormat/>
    <w:uiPriority w:val="0"/>
    <w:rPr>
      <w:rFonts w:hAnsi="Times New Roman"/>
      <w:sz w:val="18"/>
      <w:szCs w:val="18"/>
    </w:rPr>
  </w:style>
  <w:style w:type="paragraph" w:styleId="15">
    <w:name w:val="annotation text"/>
    <w:basedOn w:val="1"/>
    <w:link w:val="53"/>
    <w:qFormat/>
    <w:uiPriority w:val="99"/>
    <w:pPr>
      <w:jc w:val="left"/>
    </w:pPr>
    <w:rPr>
      <w:rFonts w:ascii="Times New Roman" w:hAnsi="Times New Roman" w:eastAsia="仿宋"/>
      <w:sz w:val="28"/>
    </w:rPr>
  </w:style>
  <w:style w:type="paragraph" w:styleId="16">
    <w:name w:val="Body Text"/>
    <w:basedOn w:val="1"/>
    <w:link w:val="54"/>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5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5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7"/>
    <w:qFormat/>
    <w:uiPriority w:val="0"/>
    <w:pPr>
      <w:ind w:left="100" w:leftChars="2500"/>
    </w:pPr>
    <w:rPr>
      <w:rFonts w:ascii="Times New Roman" w:hAnsi="Times New Roman"/>
      <w:sz w:val="21"/>
    </w:rPr>
  </w:style>
  <w:style w:type="paragraph" w:styleId="23">
    <w:name w:val="Balloon Text"/>
    <w:basedOn w:val="1"/>
    <w:link w:val="58"/>
    <w:qFormat/>
    <w:uiPriority w:val="0"/>
    <w:rPr>
      <w:rFonts w:ascii="Times New Roman" w:hAnsi="Times New Roman"/>
      <w:sz w:val="18"/>
      <w:szCs w:val="18"/>
    </w:rPr>
  </w:style>
  <w:style w:type="paragraph" w:styleId="24">
    <w:name w:val="footer"/>
    <w:basedOn w:val="1"/>
    <w:link w:val="5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60"/>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61"/>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62"/>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6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字符1"/>
    <w:link w:val="2"/>
    <w:qFormat/>
    <w:uiPriority w:val="0"/>
    <w:rPr>
      <w:rFonts w:ascii="宋体" w:hAnsi="宋体" w:eastAsia="黑体"/>
      <w:b/>
      <w:bCs/>
      <w:kern w:val="44"/>
      <w:sz w:val="32"/>
      <w:szCs w:val="28"/>
      <w:lang w:bidi="ar-SA"/>
    </w:rPr>
  </w:style>
  <w:style w:type="character" w:customStyle="1" w:styleId="43">
    <w:name w:val="标题 2 字符1"/>
    <w:link w:val="3"/>
    <w:qFormat/>
    <w:uiPriority w:val="9"/>
    <w:rPr>
      <w:rFonts w:ascii="宋体" w:hAnsi="宋体"/>
      <w:b/>
      <w:bCs/>
      <w:kern w:val="2"/>
      <w:sz w:val="30"/>
      <w:szCs w:val="32"/>
      <w:lang w:bidi="ar-SA"/>
    </w:rPr>
  </w:style>
  <w:style w:type="character" w:customStyle="1" w:styleId="44">
    <w:name w:val="标题 3 字符2"/>
    <w:link w:val="4"/>
    <w:qFormat/>
    <w:uiPriority w:val="0"/>
    <w:rPr>
      <w:rFonts w:ascii="宋体" w:hAnsi="宋体"/>
      <w:b/>
      <w:bCs/>
      <w:kern w:val="2"/>
      <w:sz w:val="28"/>
      <w:szCs w:val="28"/>
    </w:rPr>
  </w:style>
  <w:style w:type="character" w:customStyle="1" w:styleId="45">
    <w:name w:val="标题 4 字符1"/>
    <w:link w:val="5"/>
    <w:qFormat/>
    <w:uiPriority w:val="0"/>
    <w:rPr>
      <w:rFonts w:ascii="宋体" w:hAnsi="宋体"/>
      <w:b/>
      <w:bCs/>
      <w:kern w:val="2"/>
      <w:sz w:val="30"/>
      <w:szCs w:val="30"/>
    </w:rPr>
  </w:style>
  <w:style w:type="character" w:customStyle="1" w:styleId="46">
    <w:name w:val="标题 5 字符1"/>
    <w:link w:val="6"/>
    <w:qFormat/>
    <w:uiPriority w:val="0"/>
    <w:rPr>
      <w:rFonts w:ascii="宋体" w:hAnsi="宋体"/>
      <w:b/>
      <w:bCs/>
      <w:kern w:val="2"/>
      <w:sz w:val="24"/>
      <w:szCs w:val="28"/>
    </w:rPr>
  </w:style>
  <w:style w:type="character" w:customStyle="1" w:styleId="47">
    <w:name w:val="标题 6 字符1"/>
    <w:link w:val="7"/>
    <w:qFormat/>
    <w:uiPriority w:val="0"/>
    <w:rPr>
      <w:rFonts w:ascii="Cambria" w:hAnsi="Cambria"/>
      <w:b/>
      <w:bCs/>
      <w:kern w:val="2"/>
      <w:sz w:val="24"/>
      <w:szCs w:val="24"/>
    </w:rPr>
  </w:style>
  <w:style w:type="character" w:customStyle="1" w:styleId="48">
    <w:name w:val="标题 7 字符"/>
    <w:link w:val="8"/>
    <w:qFormat/>
    <w:uiPriority w:val="9"/>
    <w:rPr>
      <w:b/>
      <w:bCs/>
      <w:kern w:val="2"/>
      <w:sz w:val="21"/>
      <w:szCs w:val="24"/>
    </w:rPr>
  </w:style>
  <w:style w:type="character" w:customStyle="1" w:styleId="49">
    <w:name w:val="标题 8 字符"/>
    <w:link w:val="9"/>
    <w:qFormat/>
    <w:uiPriority w:val="9"/>
    <w:rPr>
      <w:rFonts w:ascii="Cambria" w:hAnsi="Cambria"/>
      <w:kern w:val="2"/>
      <w:sz w:val="21"/>
      <w:szCs w:val="24"/>
    </w:rPr>
  </w:style>
  <w:style w:type="character" w:customStyle="1" w:styleId="50">
    <w:name w:val="标题 9 字符"/>
    <w:link w:val="10"/>
    <w:qFormat/>
    <w:uiPriority w:val="9"/>
    <w:rPr>
      <w:rFonts w:ascii="Cambria" w:hAnsi="Cambria"/>
      <w:kern w:val="2"/>
      <w:sz w:val="21"/>
      <w:szCs w:val="21"/>
    </w:rPr>
  </w:style>
  <w:style w:type="character" w:customStyle="1" w:styleId="51">
    <w:name w:val="题注 字符"/>
    <w:link w:val="13"/>
    <w:qFormat/>
    <w:locked/>
    <w:uiPriority w:val="0"/>
    <w:rPr>
      <w:rFonts w:ascii="Arial" w:hAnsi="Arial" w:eastAsia="黑体"/>
      <w:kern w:val="2"/>
    </w:rPr>
  </w:style>
  <w:style w:type="character" w:customStyle="1" w:styleId="52">
    <w:name w:val="文档结构图 字符1"/>
    <w:link w:val="14"/>
    <w:autoRedefine/>
    <w:qFormat/>
    <w:uiPriority w:val="0"/>
    <w:rPr>
      <w:rFonts w:ascii="宋体"/>
      <w:kern w:val="2"/>
      <w:sz w:val="18"/>
      <w:szCs w:val="18"/>
    </w:rPr>
  </w:style>
  <w:style w:type="character" w:customStyle="1" w:styleId="53">
    <w:name w:val="批注文字 字符1"/>
    <w:link w:val="15"/>
    <w:autoRedefine/>
    <w:qFormat/>
    <w:uiPriority w:val="99"/>
    <w:rPr>
      <w:rFonts w:eastAsia="仿宋"/>
      <w:kern w:val="2"/>
      <w:sz w:val="28"/>
      <w:szCs w:val="24"/>
    </w:rPr>
  </w:style>
  <w:style w:type="character" w:customStyle="1" w:styleId="54">
    <w:name w:val="正文文本 字符"/>
    <w:link w:val="16"/>
    <w:autoRedefine/>
    <w:qFormat/>
    <w:uiPriority w:val="0"/>
    <w:rPr>
      <w:kern w:val="2"/>
      <w:sz w:val="21"/>
      <w:szCs w:val="24"/>
    </w:rPr>
  </w:style>
  <w:style w:type="character" w:customStyle="1" w:styleId="55">
    <w:name w:val="正文文本缩进 字符1"/>
    <w:link w:val="17"/>
    <w:autoRedefine/>
    <w:qFormat/>
    <w:uiPriority w:val="0"/>
    <w:rPr>
      <w:kern w:val="2"/>
      <w:sz w:val="21"/>
    </w:rPr>
  </w:style>
  <w:style w:type="character" w:customStyle="1" w:styleId="56">
    <w:name w:val="纯文本 字符1"/>
    <w:link w:val="20"/>
    <w:autoRedefine/>
    <w:qFormat/>
    <w:locked/>
    <w:uiPriority w:val="0"/>
    <w:rPr>
      <w:rFonts w:ascii="宋体" w:hAnsi="Courier New"/>
      <w:kern w:val="2"/>
      <w:sz w:val="21"/>
    </w:rPr>
  </w:style>
  <w:style w:type="character" w:customStyle="1" w:styleId="57">
    <w:name w:val="日期 字符1"/>
    <w:link w:val="22"/>
    <w:autoRedefine/>
    <w:qFormat/>
    <w:uiPriority w:val="0"/>
    <w:rPr>
      <w:kern w:val="2"/>
      <w:sz w:val="21"/>
      <w:szCs w:val="24"/>
    </w:rPr>
  </w:style>
  <w:style w:type="character" w:customStyle="1" w:styleId="58">
    <w:name w:val="批注框文本 字符1"/>
    <w:link w:val="23"/>
    <w:autoRedefine/>
    <w:qFormat/>
    <w:uiPriority w:val="0"/>
    <w:rPr>
      <w:kern w:val="2"/>
      <w:sz w:val="18"/>
      <w:szCs w:val="18"/>
    </w:rPr>
  </w:style>
  <w:style w:type="character" w:customStyle="1" w:styleId="59">
    <w:name w:val="页脚 字符1"/>
    <w:link w:val="24"/>
    <w:autoRedefine/>
    <w:qFormat/>
    <w:uiPriority w:val="99"/>
    <w:rPr>
      <w:kern w:val="2"/>
      <w:sz w:val="18"/>
      <w:szCs w:val="18"/>
    </w:rPr>
  </w:style>
  <w:style w:type="character" w:customStyle="1" w:styleId="60">
    <w:name w:val="页眉 字符1"/>
    <w:link w:val="25"/>
    <w:autoRedefine/>
    <w:qFormat/>
    <w:uiPriority w:val="99"/>
    <w:rPr>
      <w:kern w:val="2"/>
      <w:sz w:val="18"/>
      <w:szCs w:val="18"/>
    </w:rPr>
  </w:style>
  <w:style w:type="character" w:customStyle="1" w:styleId="61">
    <w:name w:val="副标题 字符1"/>
    <w:link w:val="28"/>
    <w:autoRedefine/>
    <w:qFormat/>
    <w:uiPriority w:val="0"/>
    <w:rPr>
      <w:rFonts w:ascii="Calibri Light" w:hAnsi="Calibri Light"/>
      <w:b/>
      <w:bCs/>
      <w:kern w:val="28"/>
      <w:sz w:val="32"/>
      <w:szCs w:val="32"/>
    </w:rPr>
  </w:style>
  <w:style w:type="character" w:customStyle="1" w:styleId="62">
    <w:name w:val="标题 字符1"/>
    <w:link w:val="33"/>
    <w:autoRedefine/>
    <w:qFormat/>
    <w:uiPriority w:val="0"/>
    <w:rPr>
      <w:rFonts w:ascii="Cambria" w:hAnsi="Cambria" w:eastAsia="黑体"/>
      <w:b/>
      <w:bCs/>
      <w:kern w:val="2"/>
      <w:sz w:val="52"/>
      <w:szCs w:val="32"/>
    </w:rPr>
  </w:style>
  <w:style w:type="character" w:customStyle="1" w:styleId="63">
    <w:name w:val="批注主题 字符1"/>
    <w:link w:val="34"/>
    <w:autoRedefine/>
    <w:qFormat/>
    <w:uiPriority w:val="0"/>
    <w:rPr>
      <w:rFonts w:eastAsia="仿宋"/>
      <w:b/>
      <w:bCs/>
      <w:kern w:val="2"/>
      <w:sz w:val="21"/>
      <w:szCs w:val="24"/>
    </w:rPr>
  </w:style>
  <w:style w:type="character" w:customStyle="1" w:styleId="64">
    <w:name w:val="标题 3 字符"/>
    <w:autoRedefine/>
    <w:semiHidden/>
    <w:qFormat/>
    <w:uiPriority w:val="9"/>
    <w:rPr>
      <w:rFonts w:ascii="宋体" w:hAnsi="宋体"/>
      <w:b/>
      <w:bCs/>
      <w:kern w:val="2"/>
      <w:sz w:val="32"/>
      <w:szCs w:val="32"/>
    </w:rPr>
  </w:style>
  <w:style w:type="character" w:customStyle="1" w:styleId="65">
    <w:name w:val="标题 3 字符1"/>
    <w:autoRedefine/>
    <w:qFormat/>
    <w:uiPriority w:val="0"/>
    <w:rPr>
      <w:rFonts w:ascii="宋体" w:hAnsi="宋体"/>
      <w:b/>
      <w:bCs/>
      <w:kern w:val="2"/>
      <w:sz w:val="28"/>
      <w:szCs w:val="28"/>
    </w:rPr>
  </w:style>
  <w:style w:type="character" w:customStyle="1" w:styleId="66">
    <w:name w:val="首行缩进正文 Char"/>
    <w:link w:val="67"/>
    <w:autoRedefine/>
    <w:qFormat/>
    <w:uiPriority w:val="0"/>
    <w:rPr>
      <w:kern w:val="2"/>
      <w:sz w:val="24"/>
    </w:rPr>
  </w:style>
  <w:style w:type="paragraph" w:customStyle="1" w:styleId="67">
    <w:name w:val="首行缩进正文"/>
    <w:basedOn w:val="1"/>
    <w:link w:val="66"/>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68">
    <w:name w:val="日期 字符"/>
    <w:autoRedefine/>
    <w:semiHidden/>
    <w:qFormat/>
    <w:uiPriority w:val="99"/>
    <w:rPr>
      <w:rFonts w:ascii="宋体" w:hAnsi="宋体"/>
      <w:kern w:val="2"/>
      <w:sz w:val="24"/>
      <w:szCs w:val="24"/>
    </w:rPr>
  </w:style>
  <w:style w:type="character" w:customStyle="1" w:styleId="69">
    <w:name w:val="未处理的提及1"/>
    <w:autoRedefine/>
    <w:unhideWhenUsed/>
    <w:qFormat/>
    <w:uiPriority w:val="99"/>
    <w:rPr>
      <w:color w:val="605E5C"/>
      <w:shd w:val="clear" w:color="auto" w:fill="E1DFDD"/>
    </w:rPr>
  </w:style>
  <w:style w:type="character" w:customStyle="1" w:styleId="70">
    <w:name w:val="标题 1 字符"/>
    <w:autoRedefine/>
    <w:qFormat/>
    <w:uiPriority w:val="9"/>
    <w:rPr>
      <w:rFonts w:ascii="宋体" w:hAnsi="宋体"/>
      <w:b/>
      <w:bCs/>
      <w:kern w:val="44"/>
      <w:sz w:val="44"/>
      <w:szCs w:val="44"/>
    </w:rPr>
  </w:style>
  <w:style w:type="character" w:customStyle="1" w:styleId="71">
    <w:name w:val="页脚 字符"/>
    <w:autoRedefine/>
    <w:qFormat/>
    <w:uiPriority w:val="99"/>
  </w:style>
  <w:style w:type="character" w:customStyle="1" w:styleId="72">
    <w:name w:val="标题 5 字符"/>
    <w:autoRedefine/>
    <w:semiHidden/>
    <w:qFormat/>
    <w:uiPriority w:val="9"/>
    <w:rPr>
      <w:rFonts w:ascii="宋体" w:hAnsi="宋体"/>
      <w:b/>
      <w:bCs/>
      <w:kern w:val="2"/>
      <w:sz w:val="28"/>
      <w:szCs w:val="28"/>
    </w:rPr>
  </w:style>
  <w:style w:type="character" w:customStyle="1" w:styleId="73">
    <w:name w:val="标题 2 字符"/>
    <w:autoRedefine/>
    <w:semiHidden/>
    <w:qFormat/>
    <w:uiPriority w:val="9"/>
    <w:rPr>
      <w:rFonts w:ascii="等线 Light" w:hAnsi="等线 Light" w:eastAsia="等线 Light" w:cs="Times New Roman"/>
      <w:b/>
      <w:bCs/>
      <w:kern w:val="2"/>
      <w:sz w:val="32"/>
      <w:szCs w:val="32"/>
    </w:rPr>
  </w:style>
  <w:style w:type="character" w:customStyle="1" w:styleId="74">
    <w:name w:val="纯文本 字符"/>
    <w:autoRedefine/>
    <w:qFormat/>
    <w:uiPriority w:val="0"/>
    <w:rPr>
      <w:rFonts w:ascii="宋体" w:hAnsi="Courier New" w:cs="Courier New"/>
      <w:kern w:val="2"/>
      <w:sz w:val="21"/>
      <w:szCs w:val="21"/>
    </w:rPr>
  </w:style>
  <w:style w:type="character" w:customStyle="1" w:styleId="75">
    <w:name w:val="列表段落 字符"/>
    <w:autoRedefine/>
    <w:qFormat/>
    <w:uiPriority w:val="34"/>
    <w:rPr>
      <w:kern w:val="2"/>
      <w:sz w:val="21"/>
      <w:szCs w:val="22"/>
    </w:rPr>
  </w:style>
  <w:style w:type="character" w:customStyle="1" w:styleId="76">
    <w:name w:val="列出段落 Char"/>
    <w:link w:val="77"/>
    <w:autoRedefine/>
    <w:qFormat/>
    <w:uiPriority w:val="34"/>
    <w:rPr>
      <w:kern w:val="2"/>
      <w:sz w:val="21"/>
      <w:szCs w:val="24"/>
    </w:rPr>
  </w:style>
  <w:style w:type="paragraph" w:customStyle="1" w:styleId="77">
    <w:name w:val="列表段落1"/>
    <w:basedOn w:val="1"/>
    <w:link w:val="76"/>
    <w:autoRedefine/>
    <w:qFormat/>
    <w:uiPriority w:val="34"/>
    <w:pPr>
      <w:ind w:firstLine="420"/>
    </w:pPr>
    <w:rPr>
      <w:rFonts w:ascii="Times New Roman" w:hAnsi="Times New Roman"/>
      <w:sz w:val="21"/>
    </w:rPr>
  </w:style>
  <w:style w:type="character" w:customStyle="1" w:styleId="78">
    <w:name w:val="font21"/>
    <w:autoRedefine/>
    <w:qFormat/>
    <w:uiPriority w:val="0"/>
    <w:rPr>
      <w:rFonts w:ascii="Calibri" w:hAnsi="Calibri" w:cs="Calibri"/>
      <w:color w:val="000000"/>
      <w:sz w:val="21"/>
      <w:szCs w:val="21"/>
      <w:u w:val="none"/>
    </w:rPr>
  </w:style>
  <w:style w:type="character" w:customStyle="1" w:styleId="79">
    <w:name w:val="*正文 Char"/>
    <w:link w:val="80"/>
    <w:autoRedefine/>
    <w:qFormat/>
    <w:uiPriority w:val="0"/>
    <w:rPr>
      <w:rFonts w:ascii="time" w:hAnsi="time"/>
      <w:sz w:val="24"/>
      <w:szCs w:val="24"/>
      <w:lang w:bidi="en-US"/>
    </w:rPr>
  </w:style>
  <w:style w:type="paragraph" w:customStyle="1" w:styleId="80">
    <w:name w:val="*正文"/>
    <w:basedOn w:val="1"/>
    <w:link w:val="79"/>
    <w:autoRedefine/>
    <w:qFormat/>
    <w:uiPriority w:val="0"/>
    <w:pPr>
      <w:widowControl/>
      <w:ind w:firstLine="200"/>
      <w:contextualSpacing/>
    </w:pPr>
    <w:rPr>
      <w:rFonts w:ascii="time" w:hAnsi="time"/>
      <w:kern w:val="0"/>
      <w:lang w:bidi="en-US"/>
    </w:rPr>
  </w:style>
  <w:style w:type="character" w:customStyle="1" w:styleId="81">
    <w:name w:val="正文文本缩进 字符"/>
    <w:autoRedefine/>
    <w:semiHidden/>
    <w:qFormat/>
    <w:uiPriority w:val="99"/>
    <w:rPr>
      <w:rFonts w:ascii="宋体" w:hAnsi="宋体"/>
      <w:kern w:val="2"/>
      <w:sz w:val="24"/>
      <w:szCs w:val="24"/>
    </w:rPr>
  </w:style>
  <w:style w:type="character" w:customStyle="1" w:styleId="82">
    <w:name w:val="my正文 Char"/>
    <w:link w:val="83"/>
    <w:autoRedefine/>
    <w:qFormat/>
    <w:uiPriority w:val="0"/>
    <w:rPr>
      <w:kern w:val="2"/>
      <w:sz w:val="21"/>
      <w:szCs w:val="24"/>
    </w:rPr>
  </w:style>
  <w:style w:type="paragraph" w:customStyle="1" w:styleId="83">
    <w:name w:val="my正文"/>
    <w:basedOn w:val="1"/>
    <w:link w:val="82"/>
    <w:autoRedefine/>
    <w:qFormat/>
    <w:uiPriority w:val="0"/>
    <w:pPr>
      <w:spacing w:line="240" w:lineRule="auto"/>
      <w:ind w:firstLine="0" w:firstLineChars="0"/>
    </w:pPr>
    <w:rPr>
      <w:rFonts w:ascii="Times New Roman" w:hAnsi="Times New Roman"/>
      <w:sz w:val="21"/>
    </w:rPr>
  </w:style>
  <w:style w:type="character" w:customStyle="1" w:styleId="84">
    <w:name w:val="正文2 字符"/>
    <w:link w:val="85"/>
    <w:autoRedefine/>
    <w:qFormat/>
    <w:uiPriority w:val="0"/>
    <w:rPr>
      <w:kern w:val="2"/>
      <w:sz w:val="21"/>
      <w:szCs w:val="24"/>
    </w:rPr>
  </w:style>
  <w:style w:type="paragraph" w:customStyle="1" w:styleId="85">
    <w:name w:val="正文2"/>
    <w:basedOn w:val="1"/>
    <w:link w:val="84"/>
    <w:autoRedefine/>
    <w:qFormat/>
    <w:uiPriority w:val="0"/>
    <w:pPr>
      <w:ind w:firstLine="420"/>
    </w:pPr>
    <w:rPr>
      <w:rFonts w:ascii="Times New Roman" w:hAnsi="Times New Roman"/>
      <w:sz w:val="21"/>
    </w:rPr>
  </w:style>
  <w:style w:type="character" w:customStyle="1" w:styleId="86">
    <w:name w:val="font41"/>
    <w:autoRedefine/>
    <w:qFormat/>
    <w:uiPriority w:val="0"/>
    <w:rPr>
      <w:rFonts w:hint="eastAsia" w:ascii="宋体" w:hAnsi="宋体" w:eastAsia="宋体" w:cs="宋体"/>
      <w:color w:val="000000"/>
      <w:sz w:val="21"/>
      <w:szCs w:val="21"/>
      <w:u w:val="none"/>
    </w:rPr>
  </w:style>
  <w:style w:type="character" w:customStyle="1" w:styleId="87">
    <w:name w:val="批注框文本 字符"/>
    <w:autoRedefine/>
    <w:semiHidden/>
    <w:qFormat/>
    <w:uiPriority w:val="99"/>
    <w:rPr>
      <w:rFonts w:ascii="宋体" w:hAnsi="宋体"/>
      <w:kern w:val="2"/>
      <w:sz w:val="18"/>
      <w:szCs w:val="18"/>
    </w:rPr>
  </w:style>
  <w:style w:type="character" w:customStyle="1" w:styleId="88">
    <w:name w:val="副标题 Char1"/>
    <w:autoRedefine/>
    <w:qFormat/>
    <w:uiPriority w:val="0"/>
    <w:rPr>
      <w:rFonts w:ascii="Calibri Light" w:hAnsi="Calibri Light" w:cs="Times New Roman"/>
      <w:b/>
      <w:bCs/>
      <w:kern w:val="28"/>
      <w:sz w:val="32"/>
      <w:szCs w:val="32"/>
    </w:rPr>
  </w:style>
  <w:style w:type="character" w:customStyle="1" w:styleId="89">
    <w:name w:val="批注文字 字符"/>
    <w:autoRedefine/>
    <w:semiHidden/>
    <w:qFormat/>
    <w:uiPriority w:val="99"/>
    <w:rPr>
      <w:rFonts w:ascii="宋体" w:hAnsi="宋体"/>
      <w:kern w:val="2"/>
      <w:sz w:val="24"/>
      <w:szCs w:val="24"/>
    </w:rPr>
  </w:style>
  <w:style w:type="character" w:customStyle="1" w:styleId="90">
    <w:name w:val="文档结构图 字符"/>
    <w:autoRedefine/>
    <w:semiHidden/>
    <w:qFormat/>
    <w:uiPriority w:val="99"/>
    <w:rPr>
      <w:rFonts w:ascii="Microsoft YaHei UI" w:hAnsi="宋体" w:eastAsia="Microsoft YaHei UI"/>
      <w:kern w:val="2"/>
      <w:sz w:val="18"/>
      <w:szCs w:val="18"/>
    </w:rPr>
  </w:style>
  <w:style w:type="character" w:customStyle="1" w:styleId="91">
    <w:name w:val="标题 6 字符"/>
    <w:autoRedefine/>
    <w:semiHidden/>
    <w:qFormat/>
    <w:uiPriority w:val="9"/>
    <w:rPr>
      <w:rFonts w:ascii="等线 Light" w:hAnsi="等线 Light" w:eastAsia="等线 Light" w:cs="Times New Roman"/>
      <w:b/>
      <w:bCs/>
      <w:kern w:val="2"/>
      <w:sz w:val="24"/>
      <w:szCs w:val="24"/>
    </w:rPr>
  </w:style>
  <w:style w:type="character" w:customStyle="1" w:styleId="92">
    <w:name w:val="正文正文2 Char"/>
    <w:link w:val="93"/>
    <w:autoRedefine/>
    <w:qFormat/>
    <w:uiPriority w:val="0"/>
    <w:rPr>
      <w:rFonts w:ascii="宋体" w:hAnsi="宋体"/>
      <w:kern w:val="2"/>
      <w:sz w:val="21"/>
      <w:szCs w:val="21"/>
    </w:rPr>
  </w:style>
  <w:style w:type="paragraph" w:customStyle="1" w:styleId="93">
    <w:name w:val="正文正文2"/>
    <w:basedOn w:val="1"/>
    <w:link w:val="92"/>
    <w:autoRedefine/>
    <w:qFormat/>
    <w:uiPriority w:val="0"/>
    <w:pPr>
      <w:ind w:firstLine="460"/>
    </w:pPr>
    <w:rPr>
      <w:sz w:val="21"/>
      <w:szCs w:val="21"/>
    </w:rPr>
  </w:style>
  <w:style w:type="character" w:customStyle="1" w:styleId="94">
    <w:name w:val="标题 4 字符"/>
    <w:autoRedefine/>
    <w:semiHidden/>
    <w:qFormat/>
    <w:uiPriority w:val="9"/>
    <w:rPr>
      <w:rFonts w:ascii="等线 Light" w:hAnsi="等线 Light" w:eastAsia="等线 Light" w:cs="Times New Roman"/>
      <w:b/>
      <w:bCs/>
      <w:kern w:val="2"/>
      <w:sz w:val="28"/>
      <w:szCs w:val="28"/>
    </w:rPr>
  </w:style>
  <w:style w:type="character" w:customStyle="1" w:styleId="95">
    <w:name w:val="页眉 字符"/>
    <w:autoRedefine/>
    <w:semiHidden/>
    <w:qFormat/>
    <w:uiPriority w:val="99"/>
    <w:rPr>
      <w:rFonts w:ascii="宋体" w:hAnsi="宋体"/>
      <w:kern w:val="2"/>
      <w:sz w:val="18"/>
      <w:szCs w:val="18"/>
    </w:rPr>
  </w:style>
  <w:style w:type="character" w:customStyle="1" w:styleId="96">
    <w:name w:val="批注主题 字符"/>
    <w:autoRedefine/>
    <w:semiHidden/>
    <w:qFormat/>
    <w:uiPriority w:val="99"/>
    <w:rPr>
      <w:rFonts w:ascii="宋体" w:hAnsi="宋体"/>
      <w:b/>
      <w:bCs/>
      <w:kern w:val="2"/>
      <w:sz w:val="24"/>
      <w:szCs w:val="24"/>
    </w:rPr>
  </w:style>
  <w:style w:type="character" w:customStyle="1" w:styleId="97">
    <w:name w:val="font31"/>
    <w:autoRedefine/>
    <w:qFormat/>
    <w:uiPriority w:val="0"/>
    <w:rPr>
      <w:rFonts w:hint="eastAsia" w:ascii="宋体" w:hAnsi="宋体" w:eastAsia="宋体" w:cs="宋体"/>
      <w:color w:val="000000"/>
      <w:sz w:val="21"/>
      <w:szCs w:val="21"/>
      <w:u w:val="none"/>
    </w:rPr>
  </w:style>
  <w:style w:type="character" w:customStyle="1" w:styleId="98">
    <w:name w:val="标准正文 Char"/>
    <w:link w:val="99"/>
    <w:autoRedefine/>
    <w:qFormat/>
    <w:uiPriority w:val="0"/>
    <w:rPr>
      <w:rFonts w:ascii="Arial" w:hAnsi="Arial"/>
      <w:kern w:val="2"/>
      <w:sz w:val="24"/>
    </w:rPr>
  </w:style>
  <w:style w:type="paragraph" w:customStyle="1" w:styleId="99">
    <w:name w:val="标准正文"/>
    <w:basedOn w:val="17"/>
    <w:link w:val="98"/>
    <w:autoRedefine/>
    <w:qFormat/>
    <w:uiPriority w:val="0"/>
    <w:pPr>
      <w:spacing w:before="60" w:after="60"/>
      <w:ind w:firstLine="482" w:firstLineChars="0"/>
    </w:pPr>
    <w:rPr>
      <w:rFonts w:ascii="Arial" w:hAnsi="Arial"/>
      <w:sz w:val="24"/>
    </w:rPr>
  </w:style>
  <w:style w:type="character" w:customStyle="1" w:styleId="100">
    <w:name w:val="标题 字符"/>
    <w:autoRedefine/>
    <w:qFormat/>
    <w:uiPriority w:val="10"/>
    <w:rPr>
      <w:rFonts w:ascii="等线 Light" w:hAnsi="等线 Light" w:eastAsia="等线 Light" w:cs="Times New Roman"/>
      <w:b/>
      <w:bCs/>
      <w:kern w:val="2"/>
      <w:sz w:val="32"/>
      <w:szCs w:val="32"/>
    </w:rPr>
  </w:style>
  <w:style w:type="character" w:customStyle="1" w:styleId="101">
    <w:name w:val="副标题 字符"/>
    <w:autoRedefine/>
    <w:qFormat/>
    <w:uiPriority w:val="11"/>
    <w:rPr>
      <w:rFonts w:ascii="等线" w:hAnsi="等线" w:eastAsia="等线" w:cs="Times New Roman"/>
      <w:b/>
      <w:bCs/>
      <w:kern w:val="28"/>
      <w:sz w:val="32"/>
      <w:szCs w:val="32"/>
    </w:rPr>
  </w:style>
  <w:style w:type="paragraph" w:customStyle="1" w:styleId="102">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autoRedefine/>
    <w:qFormat/>
    <w:uiPriority w:val="39"/>
    <w:pPr>
      <w:numPr>
        <w:numId w:val="0"/>
      </w:numPr>
      <w:spacing w:before="480" w:after="0" w:line="276" w:lineRule="auto"/>
      <w:outlineLvl w:val="9"/>
    </w:pPr>
    <w:rPr>
      <w:rFonts w:ascii="Cambria" w:hAnsi="Cambria" w:eastAsia="宋体"/>
      <w:color w:val="365F91"/>
      <w:kern w:val="0"/>
      <w:sz w:val="28"/>
    </w:rPr>
  </w:style>
  <w:style w:type="paragraph" w:customStyle="1" w:styleId="106">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7">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autoRedefine/>
    <w:qFormat/>
    <w:uiPriority w:val="0"/>
    <w:pPr>
      <w:ind w:firstLine="150" w:firstLineChars="150"/>
    </w:pPr>
  </w:style>
  <w:style w:type="paragraph" w:customStyle="1" w:styleId="110">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autoRedefine/>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autoRedefine/>
    <w:qFormat/>
    <w:uiPriority w:val="0"/>
    <w:pPr>
      <w:widowControl/>
      <w:spacing w:after="160" w:line="240" w:lineRule="exact"/>
      <w:jc w:val="left"/>
    </w:pPr>
  </w:style>
  <w:style w:type="paragraph" w:customStyle="1" w:styleId="118">
    <w:name w:val="PM_Body"/>
    <w:basedOn w:val="1"/>
    <w:autoRedefine/>
    <w:qFormat/>
    <w:locked/>
    <w:uiPriority w:val="0"/>
    <w:rPr>
      <w:szCs w:val="21"/>
    </w:rPr>
  </w:style>
  <w:style w:type="paragraph" w:customStyle="1" w:styleId="119">
    <w:name w:val="Char Char1"/>
    <w:basedOn w:val="1"/>
    <w:autoRedefine/>
    <w:qFormat/>
    <w:uiPriority w:val="0"/>
    <w:pPr>
      <w:widowControl/>
      <w:spacing w:before="120" w:after="120"/>
    </w:pPr>
    <w:rPr>
      <w:rFonts w:ascii="Times New Roman" w:hAnsi="Times New Roman" w:cs="宋体"/>
    </w:rPr>
  </w:style>
  <w:style w:type="paragraph" w:customStyle="1" w:styleId="120">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3">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6">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29">
    <w:name w:val="TOC 标题1"/>
    <w:basedOn w:val="2"/>
    <w:next w:val="1"/>
    <w:autoRedefine/>
    <w:qFormat/>
    <w:uiPriority w:val="39"/>
    <w:pPr>
      <w:numPr>
        <w:numId w:val="0"/>
      </w:numPr>
      <w:spacing w:before="480" w:after="0" w:line="276" w:lineRule="auto"/>
      <w:outlineLvl w:val="9"/>
    </w:pPr>
    <w:rPr>
      <w:rFonts w:ascii="Cambria" w:hAnsi="Cambria" w:eastAsia="宋体"/>
      <w:color w:val="365F91"/>
      <w:kern w:val="0"/>
      <w:sz w:val="28"/>
    </w:rPr>
  </w:style>
  <w:style w:type="table" w:customStyle="1" w:styleId="130">
    <w:name w:val="!我的表格1"/>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autoRedefine/>
    <w:qFormat/>
    <w:uiPriority w:val="0"/>
    <w:rPr>
      <w:rFonts w:ascii="宋体" w:hAnsi="宋体" w:eastAsia="黑体"/>
      <w:b/>
      <w:bCs/>
      <w:kern w:val="44"/>
      <w:sz w:val="32"/>
      <w:szCs w:val="28"/>
    </w:rPr>
  </w:style>
  <w:style w:type="paragraph" w:customStyle="1" w:styleId="133">
    <w:name w:val="可研正文"/>
    <w:basedOn w:val="1"/>
    <w:link w:val="134"/>
    <w:autoRedefine/>
    <w:qFormat/>
    <w:uiPriority w:val="0"/>
    <w:pPr>
      <w:ind w:firstLine="200"/>
    </w:pPr>
    <w:rPr>
      <w:rFonts w:ascii="仿宋" w:hAnsi="仿宋" w:eastAsia="仿宋"/>
      <w:sz w:val="28"/>
      <w:szCs w:val="28"/>
    </w:rPr>
  </w:style>
  <w:style w:type="character" w:customStyle="1" w:styleId="134">
    <w:name w:val="可研正文 Char"/>
    <w:link w:val="133"/>
    <w:qFormat/>
    <w:uiPriority w:val="0"/>
    <w:rPr>
      <w:rFonts w:ascii="仿宋" w:hAnsi="仿宋" w:eastAsia="仿宋"/>
      <w:kern w:val="2"/>
      <w:sz w:val="28"/>
      <w:szCs w:val="28"/>
    </w:rPr>
  </w:style>
  <w:style w:type="paragraph" w:customStyle="1" w:styleId="135">
    <w:name w:val="修订2"/>
    <w:autoRedefine/>
    <w:semiHidden/>
    <w:qFormat/>
    <w:uiPriority w:val="99"/>
    <w:rPr>
      <w:rFonts w:ascii="宋体" w:hAnsi="宋体" w:eastAsia="宋体" w:cs="Times New Roman"/>
      <w:kern w:val="2"/>
      <w:sz w:val="24"/>
      <w:szCs w:val="24"/>
      <w:lang w:val="en-US" w:eastAsia="zh-CN" w:bidi="ar-SA"/>
    </w:rPr>
  </w:style>
  <w:style w:type="paragraph" w:customStyle="1" w:styleId="136">
    <w:name w:val="列表段落2"/>
    <w:basedOn w:val="1"/>
    <w:autoRedefine/>
    <w:qFormat/>
    <w:uiPriority w:val="99"/>
    <w:pPr>
      <w:ind w:firstLine="420"/>
    </w:pPr>
  </w:style>
  <w:style w:type="character" w:customStyle="1" w:styleId="137">
    <w:name w:val="font01"/>
    <w:autoRedefine/>
    <w:qFormat/>
    <w:uiPriority w:val="0"/>
    <w:rPr>
      <w:rFonts w:hint="eastAsia" w:ascii="方正书宋_GBK" w:hAnsi="方正书宋_GBK" w:eastAsia="方正书宋_GBK" w:cs="方正书宋_GBK"/>
      <w:color w:val="000000"/>
      <w:sz w:val="18"/>
      <w:szCs w:val="18"/>
      <w:u w:val="none"/>
    </w:rPr>
  </w:style>
  <w:style w:type="paragraph" w:customStyle="1" w:styleId="138">
    <w:name w:val="修订3"/>
    <w:autoRedefine/>
    <w:semiHidden/>
    <w:qFormat/>
    <w:uiPriority w:val="99"/>
    <w:rPr>
      <w:rFonts w:ascii="宋体" w:hAnsi="宋体" w:eastAsia="宋体" w:cs="Times New Roman"/>
      <w:kern w:val="2"/>
      <w:sz w:val="24"/>
      <w:szCs w:val="24"/>
      <w:lang w:val="en-US" w:eastAsia="zh-CN" w:bidi="ar-SA"/>
    </w:rPr>
  </w:style>
  <w:style w:type="paragraph" w:customStyle="1" w:styleId="139">
    <w:name w:val="可研标题"/>
    <w:basedOn w:val="33"/>
    <w:link w:val="140"/>
    <w:autoRedefine/>
    <w:qFormat/>
    <w:uiPriority w:val="0"/>
    <w:pPr>
      <w:spacing w:line="360" w:lineRule="auto"/>
      <w:ind w:firstLine="0" w:firstLineChars="0"/>
      <w:outlineLvl w:val="0"/>
    </w:pPr>
    <w:rPr>
      <w:rFonts w:ascii="微软雅黑" w:hAnsi="微软雅黑" w:eastAsia="微软雅黑"/>
      <w:b w:val="0"/>
      <w:szCs w:val="52"/>
    </w:rPr>
  </w:style>
  <w:style w:type="character" w:customStyle="1" w:styleId="140">
    <w:name w:val="可研标题 Char"/>
    <w:link w:val="139"/>
    <w:autoRedefine/>
    <w:qFormat/>
    <w:uiPriority w:val="0"/>
    <w:rPr>
      <w:rFonts w:ascii="微软雅黑" w:hAnsi="微软雅黑" w:eastAsia="微软雅黑"/>
      <w:bCs/>
      <w:kern w:val="2"/>
      <w:sz w:val="52"/>
      <w:szCs w:val="52"/>
    </w:rPr>
  </w:style>
  <w:style w:type="paragraph" w:customStyle="1" w:styleId="141">
    <w:name w:val="font5"/>
    <w:basedOn w:val="1"/>
    <w:autoRedefine/>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42">
    <w:name w:val="xl64"/>
    <w:basedOn w:val="1"/>
    <w:autoRedefine/>
    <w:qFormat/>
    <w:uiPriority w:val="0"/>
    <w:pPr>
      <w:widowControl/>
      <w:shd w:val="clear" w:color="000000" w:fill="FFFFFF"/>
      <w:spacing w:before="100" w:beforeAutospacing="1" w:after="100" w:afterAutospacing="1" w:line="240" w:lineRule="auto"/>
      <w:ind w:firstLine="0" w:firstLineChars="0"/>
      <w:jc w:val="center"/>
      <w:textAlignment w:val="center"/>
    </w:pPr>
    <w:rPr>
      <w:rFonts w:cs="宋体"/>
      <w:kern w:val="0"/>
      <w:sz w:val="20"/>
      <w:szCs w:val="20"/>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20"/>
      <w:szCs w:val="20"/>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20"/>
      <w:szCs w:val="20"/>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46">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48">
    <w:name w:val="xl79"/>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50">
    <w:name w:val="_Style 149"/>
    <w:autoRedefine/>
    <w:unhideWhenUsed/>
    <w:qFormat/>
    <w:uiPriority w:val="99"/>
    <w:rPr>
      <w:rFonts w:ascii="宋体" w:hAnsi="宋体" w:eastAsia="宋体" w:cs="Times New Roman"/>
      <w:kern w:val="2"/>
      <w:sz w:val="24"/>
      <w:szCs w:val="24"/>
      <w:lang w:val="en-US" w:eastAsia="zh-CN" w:bidi="ar-SA"/>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52">
    <w:name w:val="0正文"/>
    <w:basedOn w:val="1"/>
    <w:link w:val="153"/>
    <w:autoRedefine/>
    <w:qFormat/>
    <w:uiPriority w:val="0"/>
    <w:pPr>
      <w:ind w:firstLine="200"/>
    </w:pPr>
    <w:rPr>
      <w:rFonts w:ascii="仿宋" w:hAnsi="仿宋" w:eastAsia="仿宋"/>
      <w:sz w:val="28"/>
      <w:szCs w:val="28"/>
    </w:rPr>
  </w:style>
  <w:style w:type="character" w:customStyle="1" w:styleId="153">
    <w:name w:val="0正文 Char"/>
    <w:link w:val="152"/>
    <w:autoRedefine/>
    <w:qFormat/>
    <w:uiPriority w:val="0"/>
    <w:rPr>
      <w:rFonts w:ascii="仿宋" w:hAnsi="仿宋" w:eastAsia="仿宋"/>
      <w:kern w:val="2"/>
      <w:sz w:val="28"/>
      <w:szCs w:val="28"/>
    </w:rPr>
  </w:style>
  <w:style w:type="paragraph" w:customStyle="1" w:styleId="154">
    <w:name w:val="_Style 13"/>
    <w:basedOn w:val="1"/>
    <w:qFormat/>
    <w:uiPriority w:val="0"/>
    <w:pPr>
      <w:widowControl/>
      <w:spacing w:before="120" w:after="120" w:line="288" w:lineRule="auto"/>
      <w:ind w:firstLine="0" w:firstLineChars="0"/>
      <w:jc w:val="left"/>
    </w:pPr>
    <w:rPr>
      <w:rFonts w:ascii="Arial" w:hAnsi="Arial" w:eastAsia="等线"/>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上海市政府采购中心</Company>
  <Pages>17</Pages>
  <Words>4210</Words>
  <Characters>4312</Characters>
  <Lines>499</Lines>
  <Paragraphs>402</Paragraphs>
  <TotalTime>8</TotalTime>
  <ScaleCrop>false</ScaleCrop>
  <LinksUpToDate>false</LinksUpToDate>
  <CharactersWithSpaces>4367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2024-10-26T05:23:00Z</dcterms:created>
  <dc:creator>gtig_tzb</dc:creator>
  <cp:lastModifiedBy>晋一民</cp:lastModifiedBy>
  <cp:lastPrinted>2020-08-13T20:08:00Z</cp:lastPrinted>
  <dcterms:modified xsi:type="dcterms:W3CDTF">2025-11-12T08:59:28Z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04DF63FA6C144BF1B2253BDA0A42E591_13</vt:lpwstr>
  </property>
  <property fmtid="{D5CDD505-2E9C-101B-9397-08002B2CF9AE}" pid="4" name="KSOTemplateDocerSaveRecord">
    <vt:lpwstr>eyJoZGlkIjoiNGM3MmY0OTNjM2FiYjM2YjE2NGRhZTljZmIyMTQyNWMiLCJ1c2VySWQiOiIxNjQzMTc3ODEwIn0=</vt:lpwstr>
  </property>
</Properties>
</file>