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75EA4">
      <w:pPr>
        <w:jc w:val="center"/>
        <w:rPr>
          <w:rStyle w:val="49"/>
          <w:rFonts w:cs="Arial"/>
          <w:b/>
          <w:sz w:val="192"/>
          <w:szCs w:val="192"/>
        </w:rPr>
      </w:pPr>
      <w:bookmarkStart w:id="0" w:name="OLE_LINK3"/>
      <w:bookmarkStart w:id="1" w:name="OLE_LINK4"/>
      <w:bookmarkStart w:id="2" w:name="OLE_LINK10"/>
      <w:bookmarkStart w:id="3" w:name="OLE_LINK9"/>
    </w:p>
    <w:bookmarkEnd w:id="0"/>
    <w:bookmarkEnd w:id="1"/>
    <w:p w14:paraId="20C727CD">
      <w:pPr>
        <w:jc w:val="center"/>
        <w:rPr>
          <w:sz w:val="52"/>
          <w:szCs w:val="48"/>
        </w:rPr>
      </w:pPr>
      <w:r>
        <w:rPr>
          <w:rFonts w:hint="eastAsia"/>
          <w:sz w:val="52"/>
          <w:szCs w:val="48"/>
        </w:rPr>
        <w:t>上海市口腔医院深化信息技术应用创新工作改造项目</w:t>
      </w:r>
    </w:p>
    <w:p w14:paraId="65AFF233">
      <w:pPr>
        <w:jc w:val="center"/>
        <w:rPr>
          <w:sz w:val="52"/>
          <w:szCs w:val="48"/>
        </w:rPr>
      </w:pPr>
      <w:r>
        <w:rPr>
          <w:rFonts w:hint="eastAsia"/>
          <w:sz w:val="52"/>
          <w:szCs w:val="48"/>
        </w:rPr>
        <w:t>_（商用密码平台一期建设）</w:t>
      </w:r>
    </w:p>
    <w:p w14:paraId="2995C656">
      <w:pPr>
        <w:jc w:val="center"/>
        <w:rPr>
          <w:sz w:val="52"/>
          <w:szCs w:val="48"/>
        </w:rPr>
      </w:pPr>
    </w:p>
    <w:p w14:paraId="6DB6F28D">
      <w:pPr>
        <w:jc w:val="center"/>
        <w:rPr>
          <w:sz w:val="52"/>
          <w:szCs w:val="48"/>
        </w:rPr>
      </w:pPr>
    </w:p>
    <w:p w14:paraId="7285AF74">
      <w:pPr>
        <w:jc w:val="center"/>
        <w:rPr>
          <w:sz w:val="52"/>
          <w:szCs w:val="48"/>
        </w:rPr>
      </w:pPr>
      <w:r>
        <w:rPr>
          <w:rFonts w:hint="eastAsia"/>
          <w:sz w:val="52"/>
          <w:szCs w:val="48"/>
        </w:rPr>
        <w:t>技术</w:t>
      </w:r>
      <w:bookmarkEnd w:id="2"/>
      <w:bookmarkEnd w:id="3"/>
      <w:r>
        <w:rPr>
          <w:rFonts w:hint="eastAsia"/>
          <w:sz w:val="52"/>
          <w:szCs w:val="48"/>
        </w:rPr>
        <w:t>参数要求</w:t>
      </w:r>
    </w:p>
    <w:p w14:paraId="049A22F6">
      <w:pPr>
        <w:jc w:val="center"/>
        <w:rPr>
          <w:sz w:val="52"/>
          <w:szCs w:val="48"/>
        </w:rPr>
      </w:pPr>
    </w:p>
    <w:p w14:paraId="47AF2998">
      <w:pPr>
        <w:jc w:val="center"/>
        <w:rPr>
          <w:sz w:val="52"/>
          <w:szCs w:val="48"/>
        </w:rPr>
      </w:pPr>
    </w:p>
    <w:p w14:paraId="0F9A81B1">
      <w:pPr>
        <w:jc w:val="center"/>
        <w:rPr>
          <w:sz w:val="48"/>
          <w:szCs w:val="44"/>
        </w:rPr>
      </w:pPr>
    </w:p>
    <w:p w14:paraId="1783E07E">
      <w:pPr>
        <w:jc w:val="center"/>
        <w:rPr>
          <w:sz w:val="48"/>
          <w:szCs w:val="44"/>
        </w:rPr>
      </w:pPr>
    </w:p>
    <w:p w14:paraId="2E44C1C0">
      <w:pPr>
        <w:jc w:val="center"/>
        <w:rPr>
          <w:sz w:val="48"/>
          <w:szCs w:val="44"/>
        </w:rPr>
      </w:pPr>
    </w:p>
    <w:p w14:paraId="03B5ABC5">
      <w:pPr>
        <w:jc w:val="center"/>
        <w:rPr>
          <w:sz w:val="48"/>
          <w:szCs w:val="44"/>
        </w:rPr>
      </w:pPr>
    </w:p>
    <w:p w14:paraId="4B20619A">
      <w:pPr>
        <w:jc w:val="center"/>
        <w:rPr>
          <w:sz w:val="48"/>
          <w:szCs w:val="44"/>
        </w:rPr>
      </w:pPr>
    </w:p>
    <w:p w14:paraId="3EF8A1AC">
      <w:pPr>
        <w:jc w:val="center"/>
        <w:rPr>
          <w:sz w:val="48"/>
          <w:szCs w:val="44"/>
        </w:rPr>
      </w:pPr>
    </w:p>
    <w:p w14:paraId="29589BFB">
      <w:pPr>
        <w:jc w:val="center"/>
        <w:rPr>
          <w:sz w:val="40"/>
          <w:szCs w:val="36"/>
        </w:rPr>
        <w:sectPr>
          <w:footerReference r:id="rId3" w:type="default"/>
          <w:pgSz w:w="11906" w:h="16838"/>
          <w:pgMar w:top="1440" w:right="1800" w:bottom="1440" w:left="1800" w:header="851" w:footer="992" w:gutter="0"/>
          <w:pgNumType w:fmt="upperRoman"/>
          <w:cols w:space="425" w:num="1"/>
          <w:docGrid w:type="lines" w:linePitch="312" w:charSpace="0"/>
        </w:sectPr>
      </w:pPr>
      <w:r>
        <w:rPr>
          <w:rFonts w:hint="eastAsia"/>
          <w:sz w:val="40"/>
          <w:szCs w:val="36"/>
        </w:rPr>
        <w:t>2025年1</w:t>
      </w:r>
      <w:r>
        <w:rPr>
          <w:rFonts w:hint="eastAsia"/>
          <w:sz w:val="40"/>
          <w:szCs w:val="36"/>
          <w:lang w:val="en-US" w:eastAsia="zh-CN"/>
        </w:rPr>
        <w:t>1</w:t>
      </w:r>
      <w:r>
        <w:rPr>
          <w:rFonts w:hint="eastAsia"/>
          <w:sz w:val="40"/>
          <w:szCs w:val="36"/>
        </w:rPr>
        <w:t>月</w:t>
      </w:r>
    </w:p>
    <w:p w14:paraId="472A5919">
      <w:pPr>
        <w:pStyle w:val="2"/>
      </w:pPr>
      <w:bookmarkStart w:id="4" w:name="_Toc35439391"/>
      <w:r>
        <w:rPr>
          <w:rFonts w:hint="eastAsia"/>
        </w:rPr>
        <w:t>商用密码平台一期建设</w:t>
      </w:r>
    </w:p>
    <w:p w14:paraId="501C77DB">
      <w:pPr>
        <w:pStyle w:val="3"/>
      </w:pPr>
      <w:r>
        <w:rPr>
          <w:rFonts w:hint="eastAsia"/>
        </w:rPr>
        <w:t>项目概述</w:t>
      </w:r>
      <w:bookmarkEnd w:id="4"/>
    </w:p>
    <w:p w14:paraId="68A065CC">
      <w:bookmarkStart w:id="5" w:name="_Hlk128373167"/>
      <w:bookmarkStart w:id="6" w:name="_Toc35439392"/>
      <w:r>
        <w:rPr>
          <w:rFonts w:hint="eastAsia"/>
        </w:rPr>
        <w:t>密码是网络安全的基石，是维护网络安全最有效、最可靠、最经济、最系统的技术手段。尤其是在网络日渐开放融合，信息孤岛日渐消弭、传统网络安全防御体系日渐削弱、信</w:t>
      </w:r>
      <w:r>
        <w:rPr>
          <w:rFonts w:hint="eastAsia"/>
          <w:lang w:val="en-US" w:eastAsia="zh-CN"/>
        </w:rPr>
        <w:t xml:space="preserve"> </w:t>
      </w:r>
      <w:r>
        <w:rPr>
          <w:rFonts w:hint="eastAsia"/>
        </w:rPr>
        <w:t>创国产化</w:t>
      </w:r>
      <w:r>
        <w:rPr>
          <w:rFonts w:hint="eastAsia"/>
          <w:lang w:val="en-US" w:eastAsia="zh-CN"/>
        </w:rPr>
        <w:t xml:space="preserve"> </w:t>
      </w:r>
      <w:r>
        <w:rPr>
          <w:rFonts w:hint="eastAsia"/>
        </w:rPr>
        <w:t>替代任重道远的大趋</w:t>
      </w:r>
      <w:r>
        <w:t>势下，密码作为信息安全最后一道防线以及开放融合网络环境下的底层安全技术框架，应该得到前所未有的重视。</w:t>
      </w:r>
    </w:p>
    <w:p w14:paraId="15E30E25">
      <w:r>
        <w:t>近年来医院电子认证密码系统的广泛应用，为我院实现常态化的密评合规、重构数字空间网络信任体系和网络新安全框架奠定了较好的基础，也充分证明密码安全技术在数字医疗领域的体系化应用需求已经到来。</w:t>
      </w:r>
    </w:p>
    <w:p w14:paraId="7FDCACBB">
      <w:r>
        <w:t>上海市口腔医院已形成了包括医院内部网络、外网和互联网的完整网络体系，以及HIS、LIS、PACS、 MEMS、EMR、MHS以及互联网医院等为代表的信息化应用体系。医院具有一院多区复杂网络架构，全院分为闵行院区、黄浦院区、徐汇院区、浦锦院区、永嘉路门诊部等</w:t>
      </w:r>
      <w:r>
        <w:rPr>
          <w:rFonts w:hint="eastAsia"/>
        </w:rPr>
        <w:t>5</w:t>
      </w:r>
      <w:r>
        <w:t>个院区，采用串并联结合的方式通过裸光纤进行互联，具备业务系统分散、网络架构复杂，对于数据安全和管理带来极大挑战。随着数字医疗快速发展，在产业互联、万物互联、数字生态成为趋势、信息孤岛逐渐消弭的态势下，对于密码保障的需求将会越来越凸显，合规、正确、有效地使用密码，使用自主、安全、可控的密码服务，以密评改造为契机，加快推动密码安全保障基础设施的建设，对于推动重构数字医疗信息安全新体系具有重要意义，对于医院数字化转型具有战略意义。</w:t>
      </w:r>
      <w:bookmarkEnd w:id="5"/>
    </w:p>
    <w:p w14:paraId="1579457C">
      <w:r>
        <w:rPr>
          <w:rFonts w:hint="eastAsia"/>
        </w:rPr>
        <w:t>立足我院打造一流智慧医院的发展思路，以密评为契机，以CA电子认证系统为基础，统筹规划我院密评改造工作、电子认证服务体系整合升级以及数字安全新框架构建，三位一体，对标基础设施，专业建设全院统一的密码安全权威保障体系，全面推动监管重点网络和信息系统的密码应用，是当前我院数字化建设的首要任务之一。</w:t>
      </w:r>
    </w:p>
    <w:p w14:paraId="55D8976B">
      <w:pPr>
        <w:pStyle w:val="3"/>
      </w:pPr>
      <w:r>
        <w:rPr>
          <w:rFonts w:hint="eastAsia"/>
        </w:rPr>
        <w:t>建设目标</w:t>
      </w:r>
      <w:bookmarkEnd w:id="6"/>
    </w:p>
    <w:p w14:paraId="28F24AA6">
      <w:r>
        <w:rPr>
          <w:rFonts w:hint="eastAsia"/>
        </w:rPr>
        <w:t>针对现阶段密码应用不广泛、不规范、不安全的严峻现实，为了贯彻落实《网络安全法》、《密码法》、《保守国家秘密法（修订）》、《关键信息基础设施安全保护条例》、《数据安全法》、《电子签名法》、《商用密码应用安全性评估管理办法》（试行）等法律法规对于密码安全应用的要求，以及国家2021年发布的《商用密码应用安全评估制度》，数字化医院商用密码安全应用及管理项目首先定位为数字医院密码安全基础设施建设。目标是从密码能力设备、服务保障和管理监督角度，不仅点对点地满足当前密评改造合规的需求，而且长期系统性地满足“以评促改、以评促建、以评促管，一评三同步”四位一体的密评合规常态化需求，全方位满足全院网络与信息系统广泛、正确、安全使用密码的需求，数字化医院商用密码安全应用及管理项目的目标不仅是满足当下点对点密评合规的需求，更是要满足密评长期化、常态化、系统化的需求。</w:t>
      </w:r>
    </w:p>
    <w:p w14:paraId="656F7B37">
      <w:pPr>
        <w:pStyle w:val="48"/>
        <w:numPr>
          <w:ilvl w:val="0"/>
          <w:numId w:val="5"/>
        </w:numPr>
      </w:pPr>
      <w:r>
        <w:rPr>
          <w:rFonts w:hint="eastAsia"/>
        </w:rPr>
        <w:t>落实</w:t>
      </w:r>
      <w:r>
        <w:t>GB/T 39786-2021</w:t>
      </w:r>
      <w:r>
        <w:rPr>
          <w:rFonts w:hint="eastAsia"/>
        </w:rPr>
        <w:t xml:space="preserve">要求：对标密评量化规则，点对点落实密评合规改造。 </w:t>
      </w:r>
    </w:p>
    <w:p w14:paraId="0CBC770B">
      <w:pPr>
        <w:pStyle w:val="48"/>
        <w:numPr>
          <w:ilvl w:val="0"/>
          <w:numId w:val="5"/>
        </w:numPr>
      </w:pPr>
      <w:r>
        <w:rPr>
          <w:rFonts w:hint="eastAsia"/>
        </w:rPr>
        <w:t>升级密码应用安全基础能力：医院前期已部署证书管理系统、移动安全认证系统、数字签名验签系统、可信时间戳系统、电子签章系统、手写数字签名系统、医护人员数字证书等商用密码产品，基本可以解决数据安全的真实性、完整性和不可否认性需求，本期通过新增部署安全认证网关、服务器加密机、数据库加密机、文件加密网关、完整性保护工具、个人身份数字证书、SSL数字证书等基础密码产品满足数据安全机密性需求，完善密码应用安全基础服务能力。</w:t>
      </w:r>
    </w:p>
    <w:p w14:paraId="598C6415">
      <w:pPr>
        <w:pStyle w:val="48"/>
        <w:numPr>
          <w:ilvl w:val="255"/>
          <w:numId w:val="0"/>
        </w:numPr>
        <w:ind w:left="420" w:firstLine="420" w:firstLineChars="200"/>
      </w:pPr>
      <w:r>
        <w:rPr>
          <w:rFonts w:hint="eastAsia"/>
        </w:rPr>
        <w:t>利旧产品清单如下</w:t>
      </w:r>
    </w:p>
    <w:tbl>
      <w:tblPr>
        <w:tblStyle w:val="24"/>
        <w:tblW w:w="7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2167"/>
        <w:gridCol w:w="2724"/>
        <w:gridCol w:w="1263"/>
        <w:gridCol w:w="976"/>
      </w:tblGrid>
      <w:tr w14:paraId="1A2A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0" w:type="auto"/>
            <w:vAlign w:val="center"/>
          </w:tcPr>
          <w:p w14:paraId="6B31EA5D">
            <w:r>
              <w:rPr>
                <w:rFonts w:hint="eastAsia"/>
              </w:rPr>
              <w:t>序号</w:t>
            </w:r>
          </w:p>
        </w:tc>
        <w:tc>
          <w:tcPr>
            <w:tcW w:w="2167" w:type="dxa"/>
            <w:vAlign w:val="center"/>
          </w:tcPr>
          <w:p w14:paraId="37BA61DD">
            <w:r>
              <w:rPr>
                <w:rFonts w:hint="eastAsia"/>
              </w:rPr>
              <w:t>产品名称</w:t>
            </w:r>
          </w:p>
        </w:tc>
        <w:tc>
          <w:tcPr>
            <w:tcW w:w="2799" w:type="dxa"/>
            <w:vAlign w:val="center"/>
          </w:tcPr>
          <w:p w14:paraId="0648C725">
            <w:r>
              <w:rPr>
                <w:rFonts w:hint="eastAsia"/>
              </w:rPr>
              <w:t>产品型号</w:t>
            </w:r>
          </w:p>
        </w:tc>
        <w:tc>
          <w:tcPr>
            <w:tcW w:w="1294" w:type="dxa"/>
            <w:vAlign w:val="center"/>
          </w:tcPr>
          <w:p w14:paraId="737342D5">
            <w:r>
              <w:rPr>
                <w:rFonts w:hint="eastAsia"/>
              </w:rPr>
              <w:t>单位</w:t>
            </w:r>
          </w:p>
        </w:tc>
        <w:tc>
          <w:tcPr>
            <w:tcW w:w="992" w:type="dxa"/>
            <w:vAlign w:val="center"/>
          </w:tcPr>
          <w:p w14:paraId="72FCD4D7">
            <w:r>
              <w:rPr>
                <w:rFonts w:hint="eastAsia"/>
              </w:rPr>
              <w:t>数量</w:t>
            </w:r>
          </w:p>
        </w:tc>
      </w:tr>
      <w:tr w14:paraId="69B77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0" w:type="auto"/>
            <w:vAlign w:val="center"/>
          </w:tcPr>
          <w:p w14:paraId="5CBD0F66">
            <w:r>
              <w:rPr>
                <w:rFonts w:hint="eastAsia"/>
              </w:rPr>
              <w:t>1</w:t>
            </w:r>
          </w:p>
        </w:tc>
        <w:tc>
          <w:tcPr>
            <w:tcW w:w="2167" w:type="dxa"/>
            <w:noWrap/>
            <w:vAlign w:val="center"/>
          </w:tcPr>
          <w:p w14:paraId="459F96D3">
            <w:r>
              <w:rPr>
                <w:rFonts w:hint="eastAsia"/>
              </w:rPr>
              <w:t>签名验签系统</w:t>
            </w:r>
          </w:p>
        </w:tc>
        <w:tc>
          <w:tcPr>
            <w:tcW w:w="2799" w:type="dxa"/>
          </w:tcPr>
          <w:p w14:paraId="7F40A5B3">
            <w:r>
              <w:t>Unitrust SVS</w:t>
            </w:r>
          </w:p>
        </w:tc>
        <w:tc>
          <w:tcPr>
            <w:tcW w:w="1294" w:type="dxa"/>
            <w:vMerge w:val="restart"/>
            <w:vAlign w:val="center"/>
          </w:tcPr>
          <w:p w14:paraId="74D44027">
            <w:r>
              <w:rPr>
                <w:rFonts w:hint="eastAsia"/>
              </w:rPr>
              <w:t>套</w:t>
            </w:r>
          </w:p>
        </w:tc>
        <w:tc>
          <w:tcPr>
            <w:tcW w:w="992" w:type="dxa"/>
            <w:vMerge w:val="restart"/>
            <w:vAlign w:val="center"/>
          </w:tcPr>
          <w:p w14:paraId="065C7660">
            <w:r>
              <w:rPr>
                <w:rFonts w:hint="eastAsia"/>
              </w:rPr>
              <w:t>1</w:t>
            </w:r>
          </w:p>
        </w:tc>
      </w:tr>
      <w:tr w14:paraId="5D1CE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0" w:type="auto"/>
            <w:vAlign w:val="center"/>
          </w:tcPr>
          <w:p w14:paraId="5E4B311D">
            <w:r>
              <w:rPr>
                <w:rFonts w:hint="eastAsia"/>
              </w:rPr>
              <w:t>2</w:t>
            </w:r>
          </w:p>
        </w:tc>
        <w:tc>
          <w:tcPr>
            <w:tcW w:w="2167" w:type="dxa"/>
            <w:noWrap/>
            <w:vAlign w:val="center"/>
          </w:tcPr>
          <w:p w14:paraId="0CFC8D09">
            <w:r>
              <w:rPr>
                <w:rFonts w:hint="eastAsia"/>
              </w:rPr>
              <w:t>时间戳系统</w:t>
            </w:r>
          </w:p>
        </w:tc>
        <w:tc>
          <w:tcPr>
            <w:tcW w:w="2799" w:type="dxa"/>
          </w:tcPr>
          <w:p w14:paraId="6EA4EB68">
            <w:r>
              <w:t>Unitrust TSS</w:t>
            </w:r>
          </w:p>
        </w:tc>
        <w:tc>
          <w:tcPr>
            <w:tcW w:w="1294" w:type="dxa"/>
            <w:vMerge w:val="continue"/>
            <w:vAlign w:val="center"/>
          </w:tcPr>
          <w:p w14:paraId="2E750A00"/>
        </w:tc>
        <w:tc>
          <w:tcPr>
            <w:tcW w:w="992" w:type="dxa"/>
            <w:vMerge w:val="continue"/>
            <w:vAlign w:val="center"/>
          </w:tcPr>
          <w:p w14:paraId="655A5AE4"/>
        </w:tc>
      </w:tr>
      <w:tr w14:paraId="4EDFB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0" w:type="auto"/>
            <w:vAlign w:val="center"/>
          </w:tcPr>
          <w:p w14:paraId="023AD503">
            <w:r>
              <w:rPr>
                <w:rFonts w:hint="eastAsia"/>
              </w:rPr>
              <w:t>3</w:t>
            </w:r>
          </w:p>
        </w:tc>
        <w:tc>
          <w:tcPr>
            <w:tcW w:w="2167" w:type="dxa"/>
            <w:noWrap/>
            <w:vAlign w:val="center"/>
          </w:tcPr>
          <w:p w14:paraId="5D8C5633">
            <w:r>
              <w:rPr>
                <w:rFonts w:hint="eastAsia"/>
              </w:rPr>
              <w:t>电子签章系统</w:t>
            </w:r>
          </w:p>
        </w:tc>
        <w:tc>
          <w:tcPr>
            <w:tcW w:w="2799" w:type="dxa"/>
          </w:tcPr>
          <w:p w14:paraId="556186B0">
            <w:r>
              <w:t>Unitrust ESS</w:t>
            </w:r>
          </w:p>
        </w:tc>
        <w:tc>
          <w:tcPr>
            <w:tcW w:w="1294" w:type="dxa"/>
            <w:vMerge w:val="continue"/>
            <w:vAlign w:val="center"/>
          </w:tcPr>
          <w:p w14:paraId="1DE2403E"/>
        </w:tc>
        <w:tc>
          <w:tcPr>
            <w:tcW w:w="992" w:type="dxa"/>
            <w:vMerge w:val="continue"/>
            <w:vAlign w:val="center"/>
          </w:tcPr>
          <w:p w14:paraId="4F3AB31C"/>
        </w:tc>
      </w:tr>
      <w:tr w14:paraId="5CE76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0" w:type="auto"/>
            <w:vAlign w:val="center"/>
          </w:tcPr>
          <w:p w14:paraId="71EDC2E6">
            <w:r>
              <w:rPr>
                <w:rFonts w:hint="eastAsia"/>
              </w:rPr>
              <w:t>4</w:t>
            </w:r>
          </w:p>
        </w:tc>
        <w:tc>
          <w:tcPr>
            <w:tcW w:w="2167" w:type="dxa"/>
            <w:noWrap/>
            <w:vAlign w:val="center"/>
          </w:tcPr>
          <w:p w14:paraId="0A1775DC">
            <w:r>
              <w:rPr>
                <w:rFonts w:hint="eastAsia"/>
              </w:rPr>
              <w:t>移动安全认证系统</w:t>
            </w:r>
          </w:p>
        </w:tc>
        <w:tc>
          <w:tcPr>
            <w:tcW w:w="2799" w:type="dxa"/>
          </w:tcPr>
          <w:p w14:paraId="2FE565E4">
            <w:r>
              <w:t>Unitrust MTSP</w:t>
            </w:r>
          </w:p>
        </w:tc>
        <w:tc>
          <w:tcPr>
            <w:tcW w:w="1294" w:type="dxa"/>
            <w:vMerge w:val="continue"/>
            <w:vAlign w:val="center"/>
          </w:tcPr>
          <w:p w14:paraId="297FAECA"/>
        </w:tc>
        <w:tc>
          <w:tcPr>
            <w:tcW w:w="992" w:type="dxa"/>
            <w:vMerge w:val="continue"/>
            <w:vAlign w:val="center"/>
          </w:tcPr>
          <w:p w14:paraId="6580315B"/>
        </w:tc>
      </w:tr>
      <w:tr w14:paraId="2CE21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0" w:type="auto"/>
            <w:vAlign w:val="center"/>
          </w:tcPr>
          <w:p w14:paraId="22EA8819">
            <w:r>
              <w:rPr>
                <w:rFonts w:hint="eastAsia"/>
              </w:rPr>
              <w:t>5</w:t>
            </w:r>
          </w:p>
        </w:tc>
        <w:tc>
          <w:tcPr>
            <w:tcW w:w="2167" w:type="dxa"/>
            <w:noWrap/>
            <w:vAlign w:val="center"/>
          </w:tcPr>
          <w:p w14:paraId="2BDCC740">
            <w:r>
              <w:rPr>
                <w:rFonts w:hint="eastAsia"/>
              </w:rPr>
              <w:t>证书管理系统</w:t>
            </w:r>
          </w:p>
        </w:tc>
        <w:tc>
          <w:tcPr>
            <w:tcW w:w="2799" w:type="dxa"/>
          </w:tcPr>
          <w:p w14:paraId="54F43ED3">
            <w:r>
              <w:t>Unitrust RAG</w:t>
            </w:r>
          </w:p>
        </w:tc>
        <w:tc>
          <w:tcPr>
            <w:tcW w:w="1294" w:type="dxa"/>
            <w:vMerge w:val="continue"/>
            <w:vAlign w:val="center"/>
          </w:tcPr>
          <w:p w14:paraId="60C9A009"/>
        </w:tc>
        <w:tc>
          <w:tcPr>
            <w:tcW w:w="992" w:type="dxa"/>
            <w:vMerge w:val="continue"/>
            <w:vAlign w:val="center"/>
          </w:tcPr>
          <w:p w14:paraId="6F1B3895"/>
        </w:tc>
      </w:tr>
      <w:tr w14:paraId="29F6D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0" w:type="auto"/>
            <w:vAlign w:val="center"/>
          </w:tcPr>
          <w:p w14:paraId="2FFFFFC8">
            <w:r>
              <w:rPr>
                <w:rFonts w:hint="eastAsia"/>
              </w:rPr>
              <w:t>6</w:t>
            </w:r>
          </w:p>
        </w:tc>
        <w:tc>
          <w:tcPr>
            <w:tcW w:w="2167" w:type="dxa"/>
            <w:noWrap/>
            <w:vAlign w:val="center"/>
          </w:tcPr>
          <w:p w14:paraId="549B4BBC">
            <w:r>
              <w:rPr>
                <w:rFonts w:hint="eastAsia"/>
              </w:rPr>
              <w:t>手写数字签名系统</w:t>
            </w:r>
          </w:p>
        </w:tc>
        <w:tc>
          <w:tcPr>
            <w:tcW w:w="2799" w:type="dxa"/>
          </w:tcPr>
          <w:p w14:paraId="26A62934">
            <w:r>
              <w:t>Unitrust DIDMS</w:t>
            </w:r>
          </w:p>
        </w:tc>
        <w:tc>
          <w:tcPr>
            <w:tcW w:w="1294" w:type="dxa"/>
            <w:vMerge w:val="continue"/>
            <w:vAlign w:val="center"/>
          </w:tcPr>
          <w:p w14:paraId="58BBF01C"/>
        </w:tc>
        <w:tc>
          <w:tcPr>
            <w:tcW w:w="992" w:type="dxa"/>
            <w:vMerge w:val="continue"/>
            <w:vAlign w:val="center"/>
          </w:tcPr>
          <w:p w14:paraId="155AE2FF"/>
        </w:tc>
      </w:tr>
    </w:tbl>
    <w:p w14:paraId="1AAB6B83">
      <w:pPr>
        <w:pStyle w:val="48"/>
        <w:numPr>
          <w:ilvl w:val="0"/>
          <w:numId w:val="5"/>
        </w:numPr>
      </w:pPr>
      <w:r>
        <w:rPr>
          <w:rFonts w:hint="eastAsia"/>
        </w:rPr>
        <w:t>打造密码安全基础设施：通过实施部署密码服务管理平台实现对全域密码应用的综合治理、服务保障以及随需调整、扩展和演进，掌握密评主动权，满足常态化、系统性的密评合规需求，避免运动式密评改造；统筹满足密码安全保障和电子认证服务基础设施需求。</w:t>
      </w:r>
    </w:p>
    <w:p w14:paraId="51538F5E">
      <w:pPr>
        <w:pStyle w:val="48"/>
        <w:numPr>
          <w:ilvl w:val="0"/>
          <w:numId w:val="5"/>
        </w:numPr>
      </w:pPr>
      <w:r>
        <w:rPr>
          <w:rFonts w:hint="eastAsia"/>
        </w:rPr>
        <w:t>通过密码安全服务体系解决一院多区下信息系统的物理与环境安全、网络与通信安全、设备与计算安全以及为应用与数据安全提供真实性、机密性、完整性和不可否认性的密码服务支撑。</w:t>
      </w:r>
    </w:p>
    <w:p w14:paraId="105153B8">
      <w:pPr>
        <w:pStyle w:val="3"/>
      </w:pPr>
      <w:r>
        <w:rPr>
          <w:rFonts w:hint="eastAsia"/>
        </w:rPr>
        <w:t>项目清单</w:t>
      </w:r>
    </w:p>
    <w:p w14:paraId="3179376F">
      <w:pPr>
        <w:pStyle w:val="4"/>
      </w:pPr>
      <w:r>
        <w:rPr>
          <w:rFonts w:hint="eastAsia"/>
        </w:rPr>
        <w:t>硬件及服务清单</w:t>
      </w:r>
    </w:p>
    <w:tbl>
      <w:tblPr>
        <w:tblStyle w:val="23"/>
        <w:tblW w:w="0" w:type="auto"/>
        <w:tblInd w:w="0" w:type="dxa"/>
        <w:tblLayout w:type="autofit"/>
        <w:tblCellMar>
          <w:top w:w="0" w:type="dxa"/>
          <w:left w:w="108" w:type="dxa"/>
          <w:bottom w:w="0" w:type="dxa"/>
          <w:right w:w="108" w:type="dxa"/>
        </w:tblCellMar>
      </w:tblPr>
      <w:tblGrid>
        <w:gridCol w:w="465"/>
        <w:gridCol w:w="847"/>
        <w:gridCol w:w="5388"/>
        <w:gridCol w:w="670"/>
        <w:gridCol w:w="1152"/>
      </w:tblGrid>
      <w:tr w14:paraId="137028BB">
        <w:tblPrEx>
          <w:tblCellMar>
            <w:top w:w="0" w:type="dxa"/>
            <w:left w:w="108" w:type="dxa"/>
            <w:bottom w:w="0" w:type="dxa"/>
            <w:right w:w="108" w:type="dxa"/>
          </w:tblCellMar>
        </w:tblPrEx>
        <w:trPr>
          <w:trHeight w:val="312"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B6A35F">
            <w:pPr>
              <w:widowControl/>
              <w:ind w:firstLine="0"/>
              <w:jc w:val="center"/>
              <w:rPr>
                <w:rFonts w:ascii="宋体" w:hAnsi="宋体" w:cs="宋体"/>
                <w:color w:val="000000"/>
                <w:kern w:val="0"/>
                <w:szCs w:val="21"/>
              </w:rPr>
            </w:pPr>
            <w:r>
              <w:rPr>
                <w:rFonts w:hint="eastAsia" w:ascii="宋体" w:hAnsi="宋体" w:cs="宋体"/>
                <w:color w:val="000000"/>
                <w:kern w:val="0"/>
                <w:szCs w:val="21"/>
              </w:rPr>
              <w:t>序号</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4C325E">
            <w:pPr>
              <w:widowControl/>
              <w:ind w:firstLine="0"/>
              <w:jc w:val="center"/>
              <w:rPr>
                <w:rFonts w:hint="eastAsia" w:ascii="宋体" w:hAnsi="宋体" w:cs="宋体"/>
                <w:color w:val="000000"/>
                <w:kern w:val="0"/>
                <w:szCs w:val="21"/>
              </w:rPr>
            </w:pPr>
            <w:r>
              <w:rPr>
                <w:rFonts w:hint="eastAsia" w:ascii="宋体" w:hAnsi="宋体" w:cs="宋体"/>
                <w:color w:val="000000"/>
                <w:kern w:val="0"/>
                <w:szCs w:val="21"/>
              </w:rPr>
              <w:t>产品</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F00F5C">
            <w:pPr>
              <w:widowControl/>
              <w:ind w:firstLine="0"/>
              <w:jc w:val="center"/>
              <w:rPr>
                <w:rFonts w:hint="eastAsia" w:ascii="宋体" w:hAnsi="宋体" w:cs="宋体"/>
                <w:color w:val="000000"/>
                <w:kern w:val="0"/>
                <w:szCs w:val="21"/>
              </w:rPr>
            </w:pPr>
            <w:r>
              <w:rPr>
                <w:rFonts w:hint="eastAsia" w:ascii="宋体" w:hAnsi="宋体" w:cs="宋体"/>
                <w:color w:val="000000"/>
                <w:kern w:val="0"/>
                <w:szCs w:val="21"/>
              </w:rPr>
              <w:t>功能描述</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84BA58">
            <w:pPr>
              <w:widowControl/>
              <w:ind w:firstLine="0"/>
              <w:jc w:val="center"/>
              <w:rPr>
                <w:rFonts w:hint="eastAsia" w:ascii="宋体" w:hAnsi="宋体" w:cs="宋体"/>
                <w:color w:val="000000"/>
                <w:kern w:val="0"/>
                <w:szCs w:val="21"/>
              </w:rPr>
            </w:pPr>
            <w:r>
              <w:rPr>
                <w:rFonts w:hint="eastAsia" w:ascii="宋体" w:hAnsi="宋体" w:cs="宋体"/>
                <w:color w:val="000000"/>
                <w:kern w:val="0"/>
                <w:szCs w:val="21"/>
              </w:rPr>
              <w:t>数量</w:t>
            </w:r>
          </w:p>
        </w:tc>
        <w:tc>
          <w:tcPr>
            <w:tcW w:w="0" w:type="auto"/>
            <w:vMerge w:val="restart"/>
            <w:tcBorders>
              <w:top w:val="single" w:color="auto" w:sz="4" w:space="0"/>
              <w:left w:val="single" w:color="auto" w:sz="4" w:space="0"/>
              <w:bottom w:val="single" w:color="000000" w:sz="4" w:space="0"/>
              <w:right w:val="single" w:color="auto" w:sz="4" w:space="0"/>
            </w:tcBorders>
            <w:shd w:val="clear" w:color="000000" w:fill="D9E1F4"/>
            <w:vAlign w:val="center"/>
          </w:tcPr>
          <w:p w14:paraId="2F773D4C">
            <w:pPr>
              <w:widowControl/>
              <w:ind w:firstLine="0"/>
              <w:jc w:val="center"/>
              <w:rPr>
                <w:rFonts w:hint="eastAsia" w:ascii="宋体" w:hAnsi="宋体" w:cs="宋体"/>
                <w:color w:val="000000"/>
                <w:kern w:val="0"/>
                <w:szCs w:val="21"/>
              </w:rPr>
            </w:pPr>
            <w:r>
              <w:rPr>
                <w:rFonts w:hint="eastAsia" w:ascii="宋体" w:hAnsi="宋体" w:cs="宋体"/>
                <w:color w:val="000000"/>
                <w:kern w:val="0"/>
                <w:szCs w:val="21"/>
              </w:rPr>
              <w:t>最高限价</w:t>
            </w:r>
          </w:p>
        </w:tc>
      </w:tr>
      <w:tr w14:paraId="428BC750">
        <w:tblPrEx>
          <w:tblCellMar>
            <w:top w:w="0" w:type="dxa"/>
            <w:left w:w="108" w:type="dxa"/>
            <w:bottom w:w="0" w:type="dxa"/>
            <w:right w:w="108" w:type="dxa"/>
          </w:tblCellMar>
        </w:tblPrEx>
        <w:trPr>
          <w:trHeight w:val="379"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95BDAFF">
            <w:pPr>
              <w:widowControl/>
              <w:ind w:firstLine="0"/>
              <w:jc w:val="left"/>
              <w:rPr>
                <w:rFonts w:ascii="宋体" w:hAnsi="宋体" w:cs="宋体"/>
                <w:color w:val="000000"/>
                <w:kern w:val="0"/>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D031E9C">
            <w:pPr>
              <w:widowControl/>
              <w:ind w:firstLine="0"/>
              <w:jc w:val="left"/>
              <w:rPr>
                <w:rFonts w:ascii="宋体" w:hAnsi="宋体" w:cs="宋体"/>
                <w:color w:val="000000"/>
                <w:kern w:val="0"/>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D608D00">
            <w:pPr>
              <w:widowControl/>
              <w:ind w:firstLine="0"/>
              <w:jc w:val="left"/>
              <w:rPr>
                <w:rFonts w:ascii="宋体" w:hAnsi="宋体" w:cs="宋体"/>
                <w:color w:val="000000"/>
                <w:kern w:val="0"/>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63A2536">
            <w:pPr>
              <w:widowControl/>
              <w:ind w:firstLine="0"/>
              <w:jc w:val="left"/>
              <w:rPr>
                <w:rFonts w:ascii="宋体" w:hAnsi="宋体" w:cs="宋体"/>
                <w:color w:val="000000"/>
                <w:kern w:val="0"/>
                <w:szCs w:val="21"/>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14:paraId="125609B8">
            <w:pPr>
              <w:widowControl/>
              <w:ind w:firstLine="0"/>
              <w:jc w:val="left"/>
              <w:rPr>
                <w:rFonts w:ascii="宋体" w:hAnsi="宋体" w:cs="宋体"/>
                <w:color w:val="000000"/>
                <w:kern w:val="0"/>
                <w:szCs w:val="21"/>
              </w:rPr>
            </w:pPr>
          </w:p>
        </w:tc>
      </w:tr>
      <w:tr w14:paraId="52F223EF">
        <w:tblPrEx>
          <w:tblCellMar>
            <w:top w:w="0" w:type="dxa"/>
            <w:left w:w="108" w:type="dxa"/>
            <w:bottom w:w="0" w:type="dxa"/>
            <w:right w:w="108" w:type="dxa"/>
          </w:tblCellMar>
        </w:tblPrEx>
        <w:trPr>
          <w:trHeight w:val="126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A3FACCD">
            <w:pPr>
              <w:widowControl/>
              <w:ind w:firstLine="0"/>
              <w:jc w:val="center"/>
              <w:rPr>
                <w:rFonts w:hint="eastAsia"/>
                <w:color w:val="000000"/>
                <w:kern w:val="0"/>
                <w:szCs w:val="21"/>
              </w:rPr>
            </w:pPr>
            <w:r>
              <w:rPr>
                <w:color w:val="000000"/>
                <w:kern w:val="0"/>
                <w:szCs w:val="21"/>
              </w:rPr>
              <w:t>1</w:t>
            </w:r>
          </w:p>
        </w:tc>
        <w:tc>
          <w:tcPr>
            <w:tcW w:w="0" w:type="auto"/>
            <w:tcBorders>
              <w:top w:val="nil"/>
              <w:left w:val="nil"/>
              <w:bottom w:val="single" w:color="auto" w:sz="4" w:space="0"/>
              <w:right w:val="single" w:color="auto" w:sz="4" w:space="0"/>
            </w:tcBorders>
            <w:shd w:val="clear" w:color="auto" w:fill="auto"/>
            <w:vAlign w:val="center"/>
          </w:tcPr>
          <w:p w14:paraId="581F93D5">
            <w:pPr>
              <w:widowControl/>
              <w:ind w:firstLine="0"/>
              <w:rPr>
                <w:rFonts w:ascii="宋体" w:hAnsi="宋体" w:cs="宋体"/>
                <w:color w:val="000000"/>
                <w:kern w:val="0"/>
                <w:szCs w:val="21"/>
              </w:rPr>
            </w:pPr>
            <w:r>
              <w:rPr>
                <w:rFonts w:hint="eastAsia" w:ascii="宋体" w:hAnsi="宋体" w:cs="宋体"/>
                <w:color w:val="000000"/>
                <w:kern w:val="0"/>
                <w:szCs w:val="21"/>
              </w:rPr>
              <w:t>完整性保护工具</w:t>
            </w:r>
          </w:p>
        </w:tc>
        <w:tc>
          <w:tcPr>
            <w:tcW w:w="0" w:type="auto"/>
            <w:tcBorders>
              <w:top w:val="nil"/>
              <w:left w:val="nil"/>
              <w:bottom w:val="single" w:color="auto" w:sz="4" w:space="0"/>
              <w:right w:val="single" w:color="auto" w:sz="4" w:space="0"/>
            </w:tcBorders>
            <w:shd w:val="clear" w:color="auto" w:fill="auto"/>
            <w:vAlign w:val="center"/>
          </w:tcPr>
          <w:p w14:paraId="2629FBB9">
            <w:pPr>
              <w:widowControl/>
              <w:ind w:firstLine="0"/>
              <w:rPr>
                <w:rFonts w:hint="eastAsia" w:ascii="宋体" w:hAnsi="宋体" w:cs="宋体"/>
                <w:color w:val="000000"/>
                <w:kern w:val="0"/>
                <w:szCs w:val="21"/>
              </w:rPr>
            </w:pPr>
            <w:r>
              <w:rPr>
                <w:rFonts w:hint="eastAsia" w:ascii="宋体" w:hAnsi="宋体" w:cs="宋体"/>
                <w:color w:val="000000"/>
                <w:kern w:val="0"/>
                <w:szCs w:val="21"/>
              </w:rPr>
              <w:t>与医院已部署数字签名验签系统升级集成部署支持</w:t>
            </w:r>
            <w:r>
              <w:rPr>
                <w:color w:val="000000"/>
                <w:kern w:val="0"/>
                <w:szCs w:val="21"/>
              </w:rPr>
              <w:t>SM3-HMAC</w:t>
            </w:r>
            <w:r>
              <w:rPr>
                <w:rFonts w:hint="eastAsia" w:ascii="宋体" w:hAnsi="宋体" w:cs="宋体"/>
                <w:color w:val="000000"/>
                <w:kern w:val="0"/>
                <w:szCs w:val="21"/>
              </w:rPr>
              <w:t>算法，以满足业务系统数据完整性保护需求中密码应用对</w:t>
            </w:r>
            <w:r>
              <w:rPr>
                <w:color w:val="000000"/>
                <w:kern w:val="0"/>
                <w:szCs w:val="21"/>
              </w:rPr>
              <w:t>SM3-HMAC</w:t>
            </w:r>
            <w:r>
              <w:rPr>
                <w:rFonts w:hint="eastAsia" w:ascii="宋体" w:hAnsi="宋体" w:cs="宋体"/>
                <w:color w:val="000000"/>
                <w:kern w:val="0"/>
                <w:szCs w:val="21"/>
              </w:rPr>
              <w:t>算法使用需求。（详细需求见技术参数要求章节）</w:t>
            </w:r>
          </w:p>
        </w:tc>
        <w:tc>
          <w:tcPr>
            <w:tcW w:w="0" w:type="auto"/>
            <w:tcBorders>
              <w:top w:val="nil"/>
              <w:left w:val="nil"/>
              <w:bottom w:val="single" w:color="auto" w:sz="4" w:space="0"/>
              <w:right w:val="single" w:color="auto" w:sz="4" w:space="0"/>
            </w:tcBorders>
            <w:shd w:val="clear" w:color="auto" w:fill="auto"/>
            <w:vAlign w:val="center"/>
          </w:tcPr>
          <w:p w14:paraId="4AEF7C5A">
            <w:pPr>
              <w:widowControl/>
              <w:ind w:firstLine="0"/>
              <w:jc w:val="center"/>
              <w:rPr>
                <w:rFonts w:hint="eastAsia"/>
                <w:color w:val="000000"/>
                <w:kern w:val="0"/>
                <w:szCs w:val="21"/>
              </w:rPr>
            </w:pPr>
            <w:r>
              <w:rPr>
                <w:color w:val="000000"/>
                <w:kern w:val="0"/>
                <w:szCs w:val="21"/>
              </w:rPr>
              <w:t>1</w:t>
            </w:r>
            <w:r>
              <w:rPr>
                <w:rFonts w:hint="eastAsia" w:ascii="宋体" w:hAnsi="宋体"/>
                <w:color w:val="000000"/>
                <w:kern w:val="0"/>
                <w:szCs w:val="21"/>
              </w:rPr>
              <w:t>套</w:t>
            </w:r>
          </w:p>
        </w:tc>
        <w:tc>
          <w:tcPr>
            <w:tcW w:w="0" w:type="auto"/>
            <w:tcBorders>
              <w:top w:val="nil"/>
              <w:left w:val="nil"/>
              <w:bottom w:val="single" w:color="auto" w:sz="4" w:space="0"/>
              <w:right w:val="single" w:color="auto" w:sz="4" w:space="0"/>
            </w:tcBorders>
            <w:shd w:val="clear" w:color="000000" w:fill="D9E1F4"/>
            <w:vAlign w:val="center"/>
          </w:tcPr>
          <w:p w14:paraId="34E3D085">
            <w:pPr>
              <w:widowControl/>
              <w:ind w:firstLine="0"/>
              <w:jc w:val="center"/>
              <w:rPr>
                <w:color w:val="000000"/>
                <w:kern w:val="0"/>
                <w:szCs w:val="21"/>
              </w:rPr>
            </w:pPr>
            <w:r>
              <w:rPr>
                <w:color w:val="000000"/>
                <w:kern w:val="0"/>
                <w:szCs w:val="21"/>
              </w:rPr>
              <w:t xml:space="preserve">56700 </w:t>
            </w:r>
          </w:p>
        </w:tc>
      </w:tr>
      <w:tr w14:paraId="69AB1044">
        <w:tblPrEx>
          <w:tblCellMar>
            <w:top w:w="0" w:type="dxa"/>
            <w:left w:w="108" w:type="dxa"/>
            <w:bottom w:w="0" w:type="dxa"/>
            <w:right w:w="108" w:type="dxa"/>
          </w:tblCellMar>
        </w:tblPrEx>
        <w:trPr>
          <w:trHeight w:val="126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36EC40B">
            <w:pPr>
              <w:widowControl/>
              <w:ind w:firstLine="0"/>
              <w:jc w:val="center"/>
              <w:rPr>
                <w:color w:val="000000"/>
                <w:kern w:val="0"/>
                <w:szCs w:val="21"/>
              </w:rPr>
            </w:pPr>
            <w:r>
              <w:rPr>
                <w:color w:val="000000"/>
                <w:kern w:val="0"/>
                <w:szCs w:val="21"/>
              </w:rPr>
              <w:t>2</w:t>
            </w:r>
          </w:p>
        </w:tc>
        <w:tc>
          <w:tcPr>
            <w:tcW w:w="0" w:type="auto"/>
            <w:tcBorders>
              <w:top w:val="nil"/>
              <w:left w:val="nil"/>
              <w:bottom w:val="single" w:color="auto" w:sz="4" w:space="0"/>
              <w:right w:val="single" w:color="auto" w:sz="4" w:space="0"/>
            </w:tcBorders>
            <w:shd w:val="clear" w:color="auto" w:fill="auto"/>
            <w:vAlign w:val="center"/>
          </w:tcPr>
          <w:p w14:paraId="02015196">
            <w:pPr>
              <w:widowControl/>
              <w:ind w:firstLine="0"/>
              <w:rPr>
                <w:rFonts w:ascii="宋体" w:hAnsi="宋体" w:cs="宋体"/>
                <w:color w:val="000000"/>
                <w:kern w:val="0"/>
                <w:szCs w:val="21"/>
              </w:rPr>
            </w:pPr>
            <w:r>
              <w:rPr>
                <w:rFonts w:hint="eastAsia" w:ascii="宋体" w:hAnsi="宋体" w:cs="宋体"/>
                <w:color w:val="000000"/>
                <w:kern w:val="0"/>
                <w:szCs w:val="21"/>
              </w:rPr>
              <w:t>个人身份数字证书</w:t>
            </w:r>
          </w:p>
        </w:tc>
        <w:tc>
          <w:tcPr>
            <w:tcW w:w="0" w:type="auto"/>
            <w:tcBorders>
              <w:top w:val="nil"/>
              <w:left w:val="nil"/>
              <w:bottom w:val="single" w:color="auto" w:sz="4" w:space="0"/>
              <w:right w:val="single" w:color="auto" w:sz="4" w:space="0"/>
            </w:tcBorders>
            <w:shd w:val="clear" w:color="auto" w:fill="auto"/>
            <w:vAlign w:val="center"/>
          </w:tcPr>
          <w:p w14:paraId="65FEFA82">
            <w:pPr>
              <w:widowControl/>
              <w:ind w:firstLine="0"/>
              <w:rPr>
                <w:rFonts w:hint="eastAsia" w:ascii="宋体" w:hAnsi="宋体" w:cs="宋体"/>
                <w:color w:val="000000"/>
                <w:kern w:val="0"/>
                <w:szCs w:val="21"/>
              </w:rPr>
            </w:pPr>
            <w:r>
              <w:rPr>
                <w:rFonts w:hint="eastAsia" w:ascii="宋体" w:hAnsi="宋体" w:cs="宋体"/>
                <w:color w:val="000000"/>
                <w:kern w:val="0"/>
                <w:szCs w:val="21"/>
              </w:rPr>
              <w:t>标识医护人员</w:t>
            </w:r>
            <w:r>
              <w:rPr>
                <w:color w:val="000000"/>
                <w:kern w:val="0"/>
                <w:szCs w:val="21"/>
              </w:rPr>
              <w:t>/</w:t>
            </w:r>
            <w:r>
              <w:rPr>
                <w:rFonts w:hint="eastAsia" w:ascii="宋体" w:hAnsi="宋体" w:cs="宋体"/>
                <w:color w:val="000000"/>
                <w:kern w:val="0"/>
                <w:szCs w:val="21"/>
              </w:rPr>
              <w:t>工作人员网络实体身份。（详细需求见技术参数要求章节）</w:t>
            </w:r>
          </w:p>
        </w:tc>
        <w:tc>
          <w:tcPr>
            <w:tcW w:w="0" w:type="auto"/>
            <w:tcBorders>
              <w:top w:val="nil"/>
              <w:left w:val="nil"/>
              <w:bottom w:val="single" w:color="auto" w:sz="4" w:space="0"/>
              <w:right w:val="single" w:color="auto" w:sz="4" w:space="0"/>
            </w:tcBorders>
            <w:shd w:val="clear" w:color="auto" w:fill="auto"/>
            <w:vAlign w:val="center"/>
          </w:tcPr>
          <w:p w14:paraId="61795AA5">
            <w:pPr>
              <w:widowControl/>
              <w:ind w:firstLine="0"/>
              <w:jc w:val="center"/>
              <w:rPr>
                <w:rFonts w:hint="eastAsia"/>
                <w:color w:val="000000"/>
                <w:kern w:val="0"/>
                <w:szCs w:val="21"/>
              </w:rPr>
            </w:pPr>
            <w:r>
              <w:rPr>
                <w:color w:val="000000"/>
                <w:kern w:val="0"/>
                <w:szCs w:val="21"/>
              </w:rPr>
              <w:t>800</w:t>
            </w:r>
            <w:r>
              <w:rPr>
                <w:rFonts w:hint="eastAsia" w:ascii="宋体" w:hAnsi="宋体"/>
                <w:color w:val="000000"/>
                <w:kern w:val="0"/>
                <w:szCs w:val="21"/>
              </w:rPr>
              <w:t>张</w:t>
            </w:r>
          </w:p>
        </w:tc>
        <w:tc>
          <w:tcPr>
            <w:tcW w:w="0" w:type="auto"/>
            <w:tcBorders>
              <w:top w:val="nil"/>
              <w:left w:val="nil"/>
              <w:bottom w:val="single" w:color="auto" w:sz="4" w:space="0"/>
              <w:right w:val="single" w:color="auto" w:sz="4" w:space="0"/>
            </w:tcBorders>
            <w:shd w:val="clear" w:color="000000" w:fill="D9E1F4"/>
            <w:vAlign w:val="center"/>
          </w:tcPr>
          <w:p w14:paraId="237828B1">
            <w:pPr>
              <w:widowControl/>
              <w:ind w:firstLine="0"/>
              <w:jc w:val="center"/>
              <w:rPr>
                <w:color w:val="000000"/>
                <w:kern w:val="0"/>
                <w:szCs w:val="21"/>
              </w:rPr>
            </w:pPr>
            <w:r>
              <w:rPr>
                <w:color w:val="000000"/>
                <w:kern w:val="0"/>
                <w:szCs w:val="21"/>
              </w:rPr>
              <w:t xml:space="preserve">37800 </w:t>
            </w:r>
          </w:p>
        </w:tc>
      </w:tr>
      <w:tr w14:paraId="7C52CB78">
        <w:tblPrEx>
          <w:tblCellMar>
            <w:top w:w="0" w:type="dxa"/>
            <w:left w:w="108" w:type="dxa"/>
            <w:bottom w:w="0" w:type="dxa"/>
            <w:right w:w="108" w:type="dxa"/>
          </w:tblCellMar>
        </w:tblPrEx>
        <w:trPr>
          <w:trHeight w:val="126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5DCAF47D">
            <w:pPr>
              <w:widowControl/>
              <w:ind w:firstLine="0"/>
              <w:jc w:val="center"/>
              <w:rPr>
                <w:color w:val="000000"/>
                <w:kern w:val="0"/>
                <w:szCs w:val="21"/>
              </w:rPr>
            </w:pPr>
            <w:r>
              <w:rPr>
                <w:color w:val="000000"/>
                <w:kern w:val="0"/>
                <w:szCs w:val="21"/>
              </w:rPr>
              <w:t>3</w:t>
            </w:r>
          </w:p>
        </w:tc>
        <w:tc>
          <w:tcPr>
            <w:tcW w:w="0" w:type="auto"/>
            <w:tcBorders>
              <w:top w:val="nil"/>
              <w:left w:val="nil"/>
              <w:bottom w:val="single" w:color="auto" w:sz="4" w:space="0"/>
              <w:right w:val="single" w:color="auto" w:sz="4" w:space="0"/>
            </w:tcBorders>
            <w:shd w:val="clear" w:color="auto" w:fill="auto"/>
            <w:vAlign w:val="center"/>
          </w:tcPr>
          <w:p w14:paraId="19C5BF34">
            <w:pPr>
              <w:widowControl/>
              <w:ind w:firstLine="0"/>
              <w:rPr>
                <w:color w:val="000000"/>
                <w:kern w:val="0"/>
                <w:szCs w:val="21"/>
              </w:rPr>
            </w:pPr>
            <w:r>
              <w:rPr>
                <w:color w:val="000000"/>
                <w:kern w:val="0"/>
                <w:szCs w:val="21"/>
              </w:rPr>
              <w:t>SSL</w:t>
            </w:r>
            <w:r>
              <w:rPr>
                <w:rFonts w:hint="eastAsia" w:ascii="宋体" w:hAnsi="宋体"/>
                <w:color w:val="000000"/>
                <w:kern w:val="0"/>
                <w:szCs w:val="21"/>
              </w:rPr>
              <w:t>数字证书</w:t>
            </w:r>
          </w:p>
        </w:tc>
        <w:tc>
          <w:tcPr>
            <w:tcW w:w="0" w:type="auto"/>
            <w:tcBorders>
              <w:top w:val="nil"/>
              <w:left w:val="nil"/>
              <w:bottom w:val="single" w:color="auto" w:sz="4" w:space="0"/>
              <w:right w:val="single" w:color="auto" w:sz="4" w:space="0"/>
            </w:tcBorders>
            <w:shd w:val="clear" w:color="auto" w:fill="auto"/>
            <w:vAlign w:val="center"/>
          </w:tcPr>
          <w:p w14:paraId="272AE494">
            <w:pPr>
              <w:widowControl/>
              <w:ind w:firstLine="0"/>
              <w:rPr>
                <w:rFonts w:ascii="宋体" w:hAnsi="宋体" w:cs="宋体"/>
                <w:color w:val="000000"/>
                <w:kern w:val="0"/>
                <w:szCs w:val="21"/>
              </w:rPr>
            </w:pPr>
            <w:r>
              <w:rPr>
                <w:rFonts w:hint="eastAsia" w:ascii="宋体" w:hAnsi="宋体" w:cs="宋体"/>
                <w:color w:val="000000"/>
                <w:kern w:val="0"/>
                <w:szCs w:val="21"/>
              </w:rPr>
              <w:t>符合国际标准的国产</w:t>
            </w:r>
            <w:r>
              <w:rPr>
                <w:color w:val="000000"/>
                <w:kern w:val="0"/>
                <w:szCs w:val="21"/>
              </w:rPr>
              <w:t>SSL</w:t>
            </w:r>
            <w:r>
              <w:rPr>
                <w:rFonts w:hint="eastAsia" w:ascii="宋体" w:hAnsi="宋体" w:cs="宋体"/>
                <w:color w:val="000000"/>
                <w:kern w:val="0"/>
                <w:szCs w:val="21"/>
              </w:rPr>
              <w:t>证书，由国内</w:t>
            </w:r>
            <w:r>
              <w:rPr>
                <w:color w:val="000000"/>
                <w:kern w:val="0"/>
                <w:szCs w:val="21"/>
              </w:rPr>
              <w:t>CA</w:t>
            </w:r>
            <w:r>
              <w:rPr>
                <w:rFonts w:hint="eastAsia" w:ascii="宋体" w:hAnsi="宋体" w:cs="宋体"/>
                <w:color w:val="000000"/>
                <w:kern w:val="0"/>
                <w:szCs w:val="21"/>
              </w:rPr>
              <w:t>机构基于纯国产的</w:t>
            </w:r>
            <w:r>
              <w:rPr>
                <w:color w:val="000000"/>
                <w:kern w:val="0"/>
                <w:szCs w:val="21"/>
              </w:rPr>
              <w:t>CA PKI</w:t>
            </w:r>
            <w:r>
              <w:rPr>
                <w:rFonts w:hint="eastAsia" w:ascii="宋体" w:hAnsi="宋体" w:cs="宋体"/>
                <w:color w:val="000000"/>
                <w:kern w:val="0"/>
                <w:szCs w:val="21"/>
              </w:rPr>
              <w:t>体系推出的本土化品牌，证书自主研发运营、安全可控。（详细需求见技术参数要求章节）</w:t>
            </w:r>
          </w:p>
        </w:tc>
        <w:tc>
          <w:tcPr>
            <w:tcW w:w="0" w:type="auto"/>
            <w:tcBorders>
              <w:top w:val="nil"/>
              <w:left w:val="nil"/>
              <w:bottom w:val="single" w:color="auto" w:sz="4" w:space="0"/>
              <w:right w:val="single" w:color="auto" w:sz="4" w:space="0"/>
            </w:tcBorders>
            <w:shd w:val="clear" w:color="auto" w:fill="auto"/>
            <w:vAlign w:val="center"/>
          </w:tcPr>
          <w:p w14:paraId="7B1F010B">
            <w:pPr>
              <w:widowControl/>
              <w:ind w:firstLine="0"/>
              <w:jc w:val="center"/>
              <w:rPr>
                <w:rFonts w:hint="eastAsia"/>
                <w:color w:val="000000"/>
                <w:kern w:val="0"/>
                <w:szCs w:val="21"/>
              </w:rPr>
            </w:pPr>
            <w:r>
              <w:rPr>
                <w:color w:val="000000"/>
                <w:kern w:val="0"/>
                <w:szCs w:val="21"/>
              </w:rPr>
              <w:t>2</w:t>
            </w:r>
            <w:r>
              <w:rPr>
                <w:rFonts w:hint="eastAsia" w:ascii="宋体" w:hAnsi="宋体"/>
                <w:color w:val="000000"/>
                <w:kern w:val="0"/>
                <w:szCs w:val="21"/>
              </w:rPr>
              <w:t>张</w:t>
            </w:r>
            <w:r>
              <w:rPr>
                <w:color w:val="000000"/>
                <w:kern w:val="0"/>
                <w:szCs w:val="21"/>
              </w:rPr>
              <w:t>/</w:t>
            </w:r>
            <w:r>
              <w:rPr>
                <w:rFonts w:hint="eastAsia" w:ascii="宋体" w:hAnsi="宋体"/>
                <w:color w:val="000000"/>
                <w:kern w:val="0"/>
                <w:szCs w:val="21"/>
              </w:rPr>
              <w:t>年</w:t>
            </w:r>
          </w:p>
        </w:tc>
        <w:tc>
          <w:tcPr>
            <w:tcW w:w="0" w:type="auto"/>
            <w:tcBorders>
              <w:top w:val="nil"/>
              <w:left w:val="nil"/>
              <w:bottom w:val="single" w:color="auto" w:sz="4" w:space="0"/>
              <w:right w:val="single" w:color="auto" w:sz="4" w:space="0"/>
            </w:tcBorders>
            <w:shd w:val="clear" w:color="000000" w:fill="D9E1F4"/>
            <w:vAlign w:val="center"/>
          </w:tcPr>
          <w:p w14:paraId="1E6E44AC">
            <w:pPr>
              <w:widowControl/>
              <w:ind w:firstLine="0"/>
              <w:jc w:val="center"/>
              <w:rPr>
                <w:color w:val="000000"/>
                <w:kern w:val="0"/>
                <w:szCs w:val="21"/>
              </w:rPr>
            </w:pPr>
            <w:r>
              <w:rPr>
                <w:color w:val="000000"/>
                <w:kern w:val="0"/>
                <w:szCs w:val="21"/>
              </w:rPr>
              <w:t xml:space="preserve">18900 </w:t>
            </w:r>
          </w:p>
        </w:tc>
      </w:tr>
      <w:tr w14:paraId="4107F133">
        <w:tblPrEx>
          <w:tblCellMar>
            <w:top w:w="0" w:type="dxa"/>
            <w:left w:w="108" w:type="dxa"/>
            <w:bottom w:w="0" w:type="dxa"/>
            <w:right w:w="108" w:type="dxa"/>
          </w:tblCellMar>
        </w:tblPrEx>
        <w:trPr>
          <w:trHeight w:val="126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4FC9188">
            <w:pPr>
              <w:widowControl/>
              <w:ind w:firstLine="0"/>
              <w:jc w:val="center"/>
              <w:rPr>
                <w:color w:val="000000"/>
                <w:kern w:val="0"/>
                <w:szCs w:val="21"/>
              </w:rPr>
            </w:pPr>
            <w:r>
              <w:rPr>
                <w:color w:val="000000"/>
                <w:kern w:val="0"/>
                <w:szCs w:val="21"/>
              </w:rPr>
              <w:t>4</w:t>
            </w:r>
          </w:p>
        </w:tc>
        <w:tc>
          <w:tcPr>
            <w:tcW w:w="0" w:type="auto"/>
            <w:tcBorders>
              <w:top w:val="nil"/>
              <w:left w:val="nil"/>
              <w:bottom w:val="single" w:color="auto" w:sz="4" w:space="0"/>
              <w:right w:val="single" w:color="auto" w:sz="4" w:space="0"/>
            </w:tcBorders>
            <w:shd w:val="clear" w:color="auto" w:fill="auto"/>
            <w:vAlign w:val="center"/>
          </w:tcPr>
          <w:p w14:paraId="7B1BA779">
            <w:pPr>
              <w:widowControl/>
              <w:ind w:firstLine="0"/>
              <w:rPr>
                <w:rFonts w:ascii="宋体" w:hAnsi="宋体" w:cs="宋体"/>
                <w:color w:val="000000"/>
                <w:kern w:val="0"/>
                <w:szCs w:val="21"/>
              </w:rPr>
            </w:pPr>
            <w:r>
              <w:rPr>
                <w:rFonts w:hint="eastAsia" w:ascii="宋体" w:hAnsi="宋体" w:cs="宋体"/>
                <w:color w:val="000000"/>
                <w:kern w:val="0"/>
                <w:szCs w:val="21"/>
              </w:rPr>
              <w:t>安全网关系统</w:t>
            </w:r>
          </w:p>
        </w:tc>
        <w:tc>
          <w:tcPr>
            <w:tcW w:w="0" w:type="auto"/>
            <w:tcBorders>
              <w:top w:val="nil"/>
              <w:left w:val="nil"/>
              <w:bottom w:val="single" w:color="auto" w:sz="4" w:space="0"/>
              <w:right w:val="single" w:color="auto" w:sz="4" w:space="0"/>
            </w:tcBorders>
            <w:shd w:val="clear" w:color="auto" w:fill="auto"/>
            <w:vAlign w:val="center"/>
          </w:tcPr>
          <w:p w14:paraId="1B61C587">
            <w:pPr>
              <w:widowControl/>
              <w:ind w:firstLine="0"/>
              <w:rPr>
                <w:rFonts w:hint="eastAsia" w:ascii="宋体" w:hAnsi="宋体" w:cs="宋体"/>
                <w:color w:val="000000"/>
                <w:kern w:val="0"/>
                <w:szCs w:val="21"/>
              </w:rPr>
            </w:pPr>
            <w:r>
              <w:rPr>
                <w:rFonts w:hint="eastAsia" w:ascii="宋体" w:hAnsi="宋体" w:cs="宋体"/>
                <w:color w:val="000000"/>
                <w:kern w:val="0"/>
                <w:szCs w:val="21"/>
              </w:rPr>
              <w:t xml:space="preserve">支持在标准的 </w:t>
            </w:r>
            <w:r>
              <w:rPr>
                <w:color w:val="000000"/>
                <w:kern w:val="0"/>
                <w:szCs w:val="21"/>
              </w:rPr>
              <w:t xml:space="preserve">SSL/TLS </w:t>
            </w:r>
            <w:r>
              <w:rPr>
                <w:rFonts w:hint="eastAsia" w:ascii="宋体" w:hAnsi="宋体" w:cs="宋体"/>
                <w:color w:val="000000"/>
                <w:kern w:val="0"/>
                <w:szCs w:val="21"/>
              </w:rPr>
              <w:t xml:space="preserve">协议下，通过网络隧道模式实现数据加密传输。支持 </w:t>
            </w:r>
            <w:r>
              <w:rPr>
                <w:color w:val="000000"/>
                <w:kern w:val="0"/>
                <w:szCs w:val="21"/>
              </w:rPr>
              <w:t xml:space="preserve">SM4 </w:t>
            </w:r>
            <w:r>
              <w:rPr>
                <w:rFonts w:hint="eastAsia" w:ascii="宋体" w:hAnsi="宋体" w:cs="宋体"/>
                <w:color w:val="000000"/>
                <w:kern w:val="0"/>
                <w:szCs w:val="21"/>
              </w:rPr>
              <w:t>对称算法，</w:t>
            </w:r>
            <w:r>
              <w:rPr>
                <w:color w:val="000000"/>
                <w:kern w:val="0"/>
                <w:szCs w:val="21"/>
              </w:rPr>
              <w:t xml:space="preserve">SM2 </w:t>
            </w:r>
            <w:r>
              <w:rPr>
                <w:rFonts w:hint="eastAsia" w:ascii="宋体" w:hAnsi="宋体" w:cs="宋体"/>
                <w:color w:val="000000"/>
                <w:kern w:val="0"/>
                <w:szCs w:val="21"/>
              </w:rPr>
              <w:t>非对称算法，</w:t>
            </w:r>
            <w:r>
              <w:rPr>
                <w:color w:val="000000"/>
                <w:kern w:val="0"/>
                <w:szCs w:val="21"/>
              </w:rPr>
              <w:t xml:space="preserve">SM3 </w:t>
            </w:r>
            <w:r>
              <w:rPr>
                <w:rFonts w:hint="eastAsia" w:ascii="宋体" w:hAnsi="宋体" w:cs="宋体"/>
                <w:color w:val="000000"/>
                <w:kern w:val="0"/>
                <w:szCs w:val="21"/>
              </w:rPr>
              <w:t>摘要算法等国产密码算法。含</w:t>
            </w:r>
            <w:r>
              <w:rPr>
                <w:color w:val="000000"/>
                <w:kern w:val="0"/>
                <w:szCs w:val="21"/>
              </w:rPr>
              <w:t>3</w:t>
            </w:r>
            <w:r>
              <w:rPr>
                <w:rFonts w:hint="eastAsia" w:ascii="宋体" w:hAnsi="宋体" w:cs="宋体"/>
                <w:color w:val="000000"/>
                <w:kern w:val="0"/>
                <w:szCs w:val="21"/>
              </w:rPr>
              <w:t>年原厂维保。（详细需求见技术参数要求章节）</w:t>
            </w:r>
          </w:p>
        </w:tc>
        <w:tc>
          <w:tcPr>
            <w:tcW w:w="0" w:type="auto"/>
            <w:tcBorders>
              <w:top w:val="nil"/>
              <w:left w:val="nil"/>
              <w:bottom w:val="single" w:color="auto" w:sz="4" w:space="0"/>
              <w:right w:val="single" w:color="auto" w:sz="4" w:space="0"/>
            </w:tcBorders>
            <w:shd w:val="clear" w:color="auto" w:fill="auto"/>
            <w:vAlign w:val="center"/>
          </w:tcPr>
          <w:p w14:paraId="358727B7">
            <w:pPr>
              <w:widowControl/>
              <w:ind w:firstLine="0"/>
              <w:jc w:val="center"/>
              <w:rPr>
                <w:rFonts w:hint="eastAsia"/>
                <w:color w:val="000000"/>
                <w:kern w:val="0"/>
                <w:szCs w:val="21"/>
              </w:rPr>
            </w:pPr>
            <w:r>
              <w:rPr>
                <w:color w:val="000000"/>
                <w:kern w:val="0"/>
                <w:szCs w:val="21"/>
              </w:rPr>
              <w:t>4</w:t>
            </w:r>
            <w:r>
              <w:rPr>
                <w:rFonts w:hint="eastAsia" w:ascii="宋体" w:hAnsi="宋体"/>
                <w:color w:val="000000"/>
                <w:kern w:val="0"/>
                <w:szCs w:val="21"/>
              </w:rPr>
              <w:t>台</w:t>
            </w:r>
          </w:p>
        </w:tc>
        <w:tc>
          <w:tcPr>
            <w:tcW w:w="0" w:type="auto"/>
            <w:tcBorders>
              <w:top w:val="nil"/>
              <w:left w:val="nil"/>
              <w:bottom w:val="single" w:color="auto" w:sz="4" w:space="0"/>
              <w:right w:val="single" w:color="auto" w:sz="4" w:space="0"/>
            </w:tcBorders>
            <w:shd w:val="clear" w:color="000000" w:fill="D9E1F4"/>
            <w:vAlign w:val="center"/>
          </w:tcPr>
          <w:p w14:paraId="0B292E98">
            <w:pPr>
              <w:widowControl/>
              <w:ind w:firstLine="0"/>
              <w:jc w:val="center"/>
              <w:rPr>
                <w:color w:val="000000"/>
                <w:kern w:val="0"/>
                <w:szCs w:val="21"/>
              </w:rPr>
            </w:pPr>
            <w:r>
              <w:rPr>
                <w:color w:val="000000"/>
                <w:kern w:val="0"/>
                <w:szCs w:val="21"/>
              </w:rPr>
              <w:t xml:space="preserve">425500 </w:t>
            </w:r>
          </w:p>
        </w:tc>
      </w:tr>
      <w:tr w14:paraId="7E7B521F">
        <w:tblPrEx>
          <w:tblCellMar>
            <w:top w:w="0" w:type="dxa"/>
            <w:left w:w="108" w:type="dxa"/>
            <w:bottom w:w="0" w:type="dxa"/>
            <w:right w:w="108" w:type="dxa"/>
          </w:tblCellMar>
        </w:tblPrEx>
        <w:trPr>
          <w:trHeight w:val="126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5A8D671B">
            <w:pPr>
              <w:widowControl/>
              <w:ind w:firstLine="0"/>
              <w:jc w:val="center"/>
              <w:rPr>
                <w:color w:val="000000"/>
                <w:kern w:val="0"/>
                <w:szCs w:val="21"/>
              </w:rPr>
            </w:pPr>
            <w:r>
              <w:rPr>
                <w:color w:val="000000"/>
                <w:kern w:val="0"/>
                <w:szCs w:val="21"/>
              </w:rPr>
              <w:t>5</w:t>
            </w:r>
          </w:p>
        </w:tc>
        <w:tc>
          <w:tcPr>
            <w:tcW w:w="0" w:type="auto"/>
            <w:tcBorders>
              <w:top w:val="nil"/>
              <w:left w:val="nil"/>
              <w:bottom w:val="single" w:color="auto" w:sz="4" w:space="0"/>
              <w:right w:val="single" w:color="auto" w:sz="4" w:space="0"/>
            </w:tcBorders>
            <w:shd w:val="clear" w:color="auto" w:fill="auto"/>
            <w:vAlign w:val="center"/>
          </w:tcPr>
          <w:p w14:paraId="12B3FDC3">
            <w:pPr>
              <w:widowControl/>
              <w:ind w:firstLine="0"/>
              <w:rPr>
                <w:rFonts w:ascii="宋体" w:hAnsi="宋体" w:cs="宋体"/>
                <w:color w:val="000000"/>
                <w:kern w:val="0"/>
                <w:szCs w:val="21"/>
              </w:rPr>
            </w:pPr>
            <w:r>
              <w:rPr>
                <w:rFonts w:hint="eastAsia" w:ascii="宋体" w:hAnsi="宋体" w:cs="宋体"/>
                <w:color w:val="000000"/>
                <w:kern w:val="0"/>
                <w:szCs w:val="21"/>
              </w:rPr>
              <w:t>服务器密码机</w:t>
            </w:r>
          </w:p>
        </w:tc>
        <w:tc>
          <w:tcPr>
            <w:tcW w:w="0" w:type="auto"/>
            <w:tcBorders>
              <w:top w:val="nil"/>
              <w:left w:val="nil"/>
              <w:bottom w:val="single" w:color="auto" w:sz="4" w:space="0"/>
              <w:right w:val="single" w:color="auto" w:sz="4" w:space="0"/>
            </w:tcBorders>
            <w:shd w:val="clear" w:color="auto" w:fill="auto"/>
            <w:vAlign w:val="center"/>
          </w:tcPr>
          <w:p w14:paraId="343AA220">
            <w:pPr>
              <w:widowControl/>
              <w:ind w:firstLine="0"/>
              <w:rPr>
                <w:rFonts w:hint="eastAsia" w:ascii="宋体" w:hAnsi="宋体" w:cs="宋体"/>
                <w:color w:val="000000"/>
                <w:kern w:val="0"/>
                <w:szCs w:val="21"/>
              </w:rPr>
            </w:pPr>
            <w:r>
              <w:rPr>
                <w:rFonts w:hint="eastAsia" w:ascii="宋体" w:hAnsi="宋体" w:cs="宋体"/>
                <w:color w:val="000000"/>
                <w:kern w:val="0"/>
                <w:szCs w:val="21"/>
              </w:rPr>
              <w:t>密码机内可生成和安全存储各种类型的非对称密钥对、对称密钥</w:t>
            </w:r>
            <w:r>
              <w:rPr>
                <w:color w:val="000000"/>
                <w:kern w:val="0"/>
                <w:szCs w:val="21"/>
              </w:rPr>
              <w:t>;</w:t>
            </w:r>
            <w:r>
              <w:rPr>
                <w:rFonts w:hint="eastAsia" w:ascii="宋体" w:hAnsi="宋体" w:cs="宋体"/>
                <w:color w:val="000000"/>
                <w:kern w:val="0"/>
                <w:szCs w:val="21"/>
              </w:rPr>
              <w:t xml:space="preserve">提供基于 </w:t>
            </w:r>
            <w:r>
              <w:rPr>
                <w:color w:val="000000"/>
                <w:kern w:val="0"/>
                <w:szCs w:val="21"/>
              </w:rPr>
              <w:t xml:space="preserve"> SM1</w:t>
            </w:r>
            <w:r>
              <w:rPr>
                <w:rFonts w:hint="eastAsia" w:ascii="宋体" w:hAnsi="宋体" w:cs="宋体"/>
                <w:color w:val="000000"/>
                <w:kern w:val="0"/>
                <w:szCs w:val="21"/>
              </w:rPr>
              <w:t>、</w:t>
            </w:r>
            <w:r>
              <w:rPr>
                <w:color w:val="000000"/>
                <w:kern w:val="0"/>
                <w:szCs w:val="21"/>
              </w:rPr>
              <w:t>SM2</w:t>
            </w:r>
            <w:r>
              <w:rPr>
                <w:rFonts w:hint="eastAsia" w:ascii="宋体" w:hAnsi="宋体" w:cs="宋体"/>
                <w:color w:val="000000"/>
                <w:kern w:val="0"/>
                <w:szCs w:val="21"/>
              </w:rPr>
              <w:t>、</w:t>
            </w:r>
            <w:r>
              <w:rPr>
                <w:color w:val="000000"/>
                <w:kern w:val="0"/>
                <w:szCs w:val="21"/>
              </w:rPr>
              <w:t>SM43</w:t>
            </w:r>
            <w:r>
              <w:rPr>
                <w:rFonts w:hint="eastAsia" w:ascii="宋体" w:hAnsi="宋体" w:cs="宋体"/>
                <w:color w:val="000000"/>
                <w:kern w:val="0"/>
                <w:szCs w:val="21"/>
              </w:rPr>
              <w:t>、</w:t>
            </w:r>
            <w:r>
              <w:rPr>
                <w:color w:val="000000"/>
                <w:kern w:val="0"/>
                <w:szCs w:val="21"/>
              </w:rPr>
              <w:t xml:space="preserve">SM4 </w:t>
            </w:r>
            <w:r>
              <w:rPr>
                <w:rFonts w:hint="eastAsia" w:ascii="宋体" w:hAnsi="宋体" w:cs="宋体"/>
                <w:color w:val="000000"/>
                <w:kern w:val="0"/>
                <w:szCs w:val="21"/>
              </w:rPr>
              <w:t>等算法的签名</w:t>
            </w:r>
            <w:r>
              <w:rPr>
                <w:color w:val="000000"/>
                <w:kern w:val="0"/>
                <w:szCs w:val="21"/>
              </w:rPr>
              <w:t>/</w:t>
            </w:r>
            <w:r>
              <w:rPr>
                <w:rFonts w:hint="eastAsia" w:ascii="宋体" w:hAnsi="宋体" w:cs="宋体"/>
                <w:color w:val="000000"/>
                <w:kern w:val="0"/>
                <w:szCs w:val="21"/>
              </w:rPr>
              <w:t>验签、加密</w:t>
            </w:r>
            <w:r>
              <w:rPr>
                <w:color w:val="000000"/>
                <w:kern w:val="0"/>
                <w:szCs w:val="21"/>
              </w:rPr>
              <w:t>/</w:t>
            </w:r>
            <w:r>
              <w:rPr>
                <w:rFonts w:hint="eastAsia" w:ascii="宋体" w:hAnsi="宋体" w:cs="宋体"/>
                <w:color w:val="000000"/>
                <w:kern w:val="0"/>
                <w:szCs w:val="21"/>
              </w:rPr>
              <w:t>解密、密钥协商等功能。含</w:t>
            </w:r>
            <w:r>
              <w:rPr>
                <w:color w:val="000000"/>
                <w:kern w:val="0"/>
                <w:szCs w:val="21"/>
              </w:rPr>
              <w:t>3</w:t>
            </w:r>
            <w:r>
              <w:rPr>
                <w:rFonts w:hint="eastAsia" w:ascii="宋体" w:hAnsi="宋体" w:cs="宋体"/>
                <w:color w:val="000000"/>
                <w:kern w:val="0"/>
                <w:szCs w:val="21"/>
              </w:rPr>
              <w:t>年原厂维保。（详细需求见技术参数要求章节）</w:t>
            </w:r>
          </w:p>
        </w:tc>
        <w:tc>
          <w:tcPr>
            <w:tcW w:w="0" w:type="auto"/>
            <w:tcBorders>
              <w:top w:val="nil"/>
              <w:left w:val="nil"/>
              <w:bottom w:val="single" w:color="auto" w:sz="4" w:space="0"/>
              <w:right w:val="single" w:color="auto" w:sz="4" w:space="0"/>
            </w:tcBorders>
            <w:shd w:val="clear" w:color="auto" w:fill="auto"/>
            <w:vAlign w:val="center"/>
          </w:tcPr>
          <w:p w14:paraId="407EB1ED">
            <w:pPr>
              <w:widowControl/>
              <w:ind w:firstLine="0"/>
              <w:jc w:val="center"/>
              <w:rPr>
                <w:rFonts w:hint="eastAsia"/>
                <w:color w:val="000000"/>
                <w:kern w:val="0"/>
                <w:szCs w:val="21"/>
              </w:rPr>
            </w:pPr>
            <w:r>
              <w:rPr>
                <w:color w:val="000000"/>
                <w:kern w:val="0"/>
                <w:szCs w:val="21"/>
              </w:rPr>
              <w:t>2</w:t>
            </w:r>
            <w:r>
              <w:rPr>
                <w:rFonts w:hint="eastAsia" w:ascii="宋体" w:hAnsi="宋体"/>
                <w:color w:val="000000"/>
                <w:kern w:val="0"/>
                <w:szCs w:val="21"/>
              </w:rPr>
              <w:t>台</w:t>
            </w:r>
          </w:p>
        </w:tc>
        <w:tc>
          <w:tcPr>
            <w:tcW w:w="0" w:type="auto"/>
            <w:tcBorders>
              <w:top w:val="nil"/>
              <w:left w:val="nil"/>
              <w:bottom w:val="single" w:color="auto" w:sz="4" w:space="0"/>
              <w:right w:val="single" w:color="auto" w:sz="4" w:space="0"/>
            </w:tcBorders>
            <w:shd w:val="clear" w:color="000000" w:fill="D9E1F4"/>
            <w:vAlign w:val="center"/>
          </w:tcPr>
          <w:p w14:paraId="1549FCEC">
            <w:pPr>
              <w:widowControl/>
              <w:ind w:firstLine="0"/>
              <w:jc w:val="center"/>
              <w:rPr>
                <w:color w:val="000000"/>
                <w:kern w:val="0"/>
                <w:szCs w:val="21"/>
              </w:rPr>
            </w:pPr>
            <w:r>
              <w:rPr>
                <w:color w:val="000000"/>
                <w:kern w:val="0"/>
                <w:szCs w:val="21"/>
              </w:rPr>
              <w:t xml:space="preserve">283700 </w:t>
            </w:r>
          </w:p>
        </w:tc>
      </w:tr>
      <w:tr w14:paraId="5C74AC42">
        <w:tblPrEx>
          <w:tblCellMar>
            <w:top w:w="0" w:type="dxa"/>
            <w:left w:w="108" w:type="dxa"/>
            <w:bottom w:w="0" w:type="dxa"/>
            <w:right w:w="108" w:type="dxa"/>
          </w:tblCellMar>
        </w:tblPrEx>
        <w:trPr>
          <w:trHeight w:val="126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61202C06">
            <w:pPr>
              <w:widowControl/>
              <w:ind w:firstLine="0"/>
              <w:jc w:val="center"/>
              <w:rPr>
                <w:color w:val="000000"/>
                <w:kern w:val="0"/>
                <w:szCs w:val="21"/>
              </w:rPr>
            </w:pPr>
            <w:r>
              <w:rPr>
                <w:color w:val="000000"/>
                <w:kern w:val="0"/>
                <w:szCs w:val="21"/>
              </w:rPr>
              <w:t>6</w:t>
            </w:r>
          </w:p>
        </w:tc>
        <w:tc>
          <w:tcPr>
            <w:tcW w:w="0" w:type="auto"/>
            <w:tcBorders>
              <w:top w:val="nil"/>
              <w:left w:val="nil"/>
              <w:bottom w:val="single" w:color="auto" w:sz="4" w:space="0"/>
              <w:right w:val="single" w:color="auto" w:sz="4" w:space="0"/>
            </w:tcBorders>
            <w:shd w:val="clear" w:color="auto" w:fill="auto"/>
            <w:vAlign w:val="center"/>
          </w:tcPr>
          <w:p w14:paraId="31C3143B">
            <w:pPr>
              <w:widowControl/>
              <w:ind w:firstLine="0"/>
              <w:rPr>
                <w:rFonts w:ascii="宋体" w:hAnsi="宋体" w:cs="宋体"/>
                <w:color w:val="000000"/>
                <w:kern w:val="0"/>
                <w:szCs w:val="21"/>
              </w:rPr>
            </w:pPr>
            <w:r>
              <w:rPr>
                <w:rFonts w:hint="eastAsia" w:ascii="宋体" w:hAnsi="宋体" w:cs="宋体"/>
                <w:color w:val="000000"/>
                <w:kern w:val="0"/>
                <w:szCs w:val="21"/>
              </w:rPr>
              <w:t>数据库加密机</w:t>
            </w:r>
          </w:p>
        </w:tc>
        <w:tc>
          <w:tcPr>
            <w:tcW w:w="0" w:type="auto"/>
            <w:tcBorders>
              <w:top w:val="nil"/>
              <w:left w:val="nil"/>
              <w:bottom w:val="single" w:color="auto" w:sz="4" w:space="0"/>
              <w:right w:val="single" w:color="auto" w:sz="4" w:space="0"/>
            </w:tcBorders>
            <w:shd w:val="clear" w:color="auto" w:fill="auto"/>
            <w:vAlign w:val="center"/>
          </w:tcPr>
          <w:p w14:paraId="7F65DA46">
            <w:pPr>
              <w:widowControl/>
              <w:ind w:firstLine="0"/>
              <w:rPr>
                <w:rFonts w:hint="eastAsia" w:ascii="宋体" w:hAnsi="宋体" w:cs="宋体"/>
                <w:color w:val="000000"/>
                <w:kern w:val="0"/>
                <w:szCs w:val="21"/>
              </w:rPr>
            </w:pPr>
            <w:r>
              <w:rPr>
                <w:rFonts w:hint="eastAsia" w:ascii="宋体" w:hAnsi="宋体" w:cs="宋体"/>
                <w:color w:val="000000"/>
                <w:kern w:val="0"/>
                <w:szCs w:val="21"/>
              </w:rPr>
              <w:t>基于符合国密算法，无需对应用程序、基础设施、业务结构进行更改就能实现加密保护，部署和使用不需要考虑额外的因素。含</w:t>
            </w:r>
            <w:r>
              <w:rPr>
                <w:color w:val="000000"/>
                <w:kern w:val="0"/>
                <w:szCs w:val="21"/>
              </w:rPr>
              <w:t>3</w:t>
            </w:r>
            <w:r>
              <w:rPr>
                <w:rFonts w:hint="eastAsia" w:ascii="宋体" w:hAnsi="宋体" w:cs="宋体"/>
                <w:color w:val="000000"/>
                <w:kern w:val="0"/>
                <w:szCs w:val="21"/>
              </w:rPr>
              <w:t>年原厂维保。（详细需求见技术参数要求章节）</w:t>
            </w:r>
          </w:p>
        </w:tc>
        <w:tc>
          <w:tcPr>
            <w:tcW w:w="0" w:type="auto"/>
            <w:tcBorders>
              <w:top w:val="nil"/>
              <w:left w:val="nil"/>
              <w:bottom w:val="single" w:color="auto" w:sz="4" w:space="0"/>
              <w:right w:val="single" w:color="auto" w:sz="4" w:space="0"/>
            </w:tcBorders>
            <w:shd w:val="clear" w:color="auto" w:fill="auto"/>
            <w:vAlign w:val="center"/>
          </w:tcPr>
          <w:p w14:paraId="626312F0">
            <w:pPr>
              <w:widowControl/>
              <w:ind w:firstLine="0"/>
              <w:jc w:val="center"/>
              <w:rPr>
                <w:rFonts w:hint="eastAsia"/>
                <w:color w:val="000000"/>
                <w:kern w:val="0"/>
                <w:szCs w:val="21"/>
              </w:rPr>
            </w:pPr>
            <w:r>
              <w:rPr>
                <w:color w:val="000000"/>
                <w:kern w:val="0"/>
                <w:szCs w:val="21"/>
              </w:rPr>
              <w:t>1</w:t>
            </w:r>
            <w:r>
              <w:rPr>
                <w:rFonts w:hint="eastAsia" w:ascii="宋体" w:hAnsi="宋体"/>
                <w:color w:val="000000"/>
                <w:kern w:val="0"/>
                <w:szCs w:val="21"/>
              </w:rPr>
              <w:t>台</w:t>
            </w:r>
          </w:p>
        </w:tc>
        <w:tc>
          <w:tcPr>
            <w:tcW w:w="0" w:type="auto"/>
            <w:tcBorders>
              <w:top w:val="nil"/>
              <w:left w:val="nil"/>
              <w:bottom w:val="single" w:color="auto" w:sz="4" w:space="0"/>
              <w:right w:val="single" w:color="auto" w:sz="4" w:space="0"/>
            </w:tcBorders>
            <w:shd w:val="clear" w:color="000000" w:fill="D9E1F4"/>
            <w:vAlign w:val="center"/>
          </w:tcPr>
          <w:p w14:paraId="780C41C5">
            <w:pPr>
              <w:widowControl/>
              <w:ind w:firstLine="0"/>
              <w:jc w:val="center"/>
              <w:rPr>
                <w:color w:val="000000"/>
                <w:kern w:val="0"/>
                <w:szCs w:val="21"/>
              </w:rPr>
            </w:pPr>
            <w:r>
              <w:rPr>
                <w:color w:val="000000"/>
                <w:kern w:val="0"/>
                <w:szCs w:val="21"/>
              </w:rPr>
              <w:t xml:space="preserve">217500 </w:t>
            </w:r>
          </w:p>
        </w:tc>
      </w:tr>
      <w:tr w14:paraId="5A7CB49D">
        <w:tblPrEx>
          <w:tblCellMar>
            <w:top w:w="0" w:type="dxa"/>
            <w:left w:w="108" w:type="dxa"/>
            <w:bottom w:w="0" w:type="dxa"/>
            <w:right w:w="108" w:type="dxa"/>
          </w:tblCellMar>
        </w:tblPrEx>
        <w:trPr>
          <w:trHeight w:val="126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FB6D635">
            <w:pPr>
              <w:widowControl/>
              <w:ind w:firstLine="0"/>
              <w:jc w:val="center"/>
              <w:rPr>
                <w:color w:val="000000"/>
                <w:kern w:val="0"/>
                <w:szCs w:val="21"/>
              </w:rPr>
            </w:pPr>
            <w:r>
              <w:rPr>
                <w:color w:val="000000"/>
                <w:kern w:val="0"/>
                <w:szCs w:val="21"/>
              </w:rPr>
              <w:t>7</w:t>
            </w:r>
          </w:p>
        </w:tc>
        <w:tc>
          <w:tcPr>
            <w:tcW w:w="0" w:type="auto"/>
            <w:tcBorders>
              <w:top w:val="nil"/>
              <w:left w:val="nil"/>
              <w:bottom w:val="single" w:color="auto" w:sz="4" w:space="0"/>
              <w:right w:val="single" w:color="auto" w:sz="4" w:space="0"/>
            </w:tcBorders>
            <w:shd w:val="clear" w:color="auto" w:fill="auto"/>
            <w:vAlign w:val="center"/>
          </w:tcPr>
          <w:p w14:paraId="74B02B5E">
            <w:pPr>
              <w:widowControl/>
              <w:ind w:firstLine="0"/>
              <w:rPr>
                <w:rFonts w:ascii="宋体" w:hAnsi="宋体" w:cs="宋体"/>
                <w:color w:val="000000"/>
                <w:kern w:val="0"/>
                <w:szCs w:val="21"/>
              </w:rPr>
            </w:pPr>
            <w:r>
              <w:rPr>
                <w:rFonts w:hint="eastAsia" w:ascii="宋体" w:hAnsi="宋体" w:cs="宋体"/>
                <w:color w:val="000000"/>
                <w:kern w:val="0"/>
                <w:szCs w:val="21"/>
              </w:rPr>
              <w:t>统一认证系统</w:t>
            </w:r>
          </w:p>
        </w:tc>
        <w:tc>
          <w:tcPr>
            <w:tcW w:w="0" w:type="auto"/>
            <w:tcBorders>
              <w:top w:val="nil"/>
              <w:left w:val="nil"/>
              <w:bottom w:val="single" w:color="auto" w:sz="4" w:space="0"/>
              <w:right w:val="single" w:color="auto" w:sz="4" w:space="0"/>
            </w:tcBorders>
            <w:shd w:val="clear" w:color="auto" w:fill="auto"/>
            <w:vAlign w:val="center"/>
          </w:tcPr>
          <w:p w14:paraId="678847DA">
            <w:pPr>
              <w:widowControl/>
              <w:ind w:firstLine="0"/>
              <w:rPr>
                <w:rFonts w:hint="eastAsia" w:ascii="宋体" w:hAnsi="宋体" w:cs="宋体"/>
                <w:color w:val="000000"/>
                <w:kern w:val="0"/>
                <w:szCs w:val="21"/>
              </w:rPr>
            </w:pPr>
            <w:r>
              <w:rPr>
                <w:rFonts w:hint="eastAsia" w:ascii="宋体" w:hAnsi="宋体" w:cs="宋体"/>
                <w:color w:val="000000"/>
                <w:kern w:val="0"/>
                <w:szCs w:val="21"/>
              </w:rPr>
              <w:t>身份认证服务器提供包括数字证书、动态口令、短信验证码、生物特征等主流认证方式在内的多因素认证服务及统一身份认证登录、统一身份管理、统一认证授权等服务。含</w:t>
            </w:r>
            <w:r>
              <w:rPr>
                <w:color w:val="000000"/>
                <w:kern w:val="0"/>
                <w:szCs w:val="21"/>
              </w:rPr>
              <w:t>3</w:t>
            </w:r>
            <w:r>
              <w:rPr>
                <w:rFonts w:hint="eastAsia" w:ascii="宋体" w:hAnsi="宋体" w:cs="宋体"/>
                <w:color w:val="000000"/>
                <w:kern w:val="0"/>
                <w:szCs w:val="21"/>
              </w:rPr>
              <w:t>年原厂维保。（详细需求见技术参数要求章节）</w:t>
            </w:r>
          </w:p>
        </w:tc>
        <w:tc>
          <w:tcPr>
            <w:tcW w:w="0" w:type="auto"/>
            <w:tcBorders>
              <w:top w:val="nil"/>
              <w:left w:val="nil"/>
              <w:bottom w:val="single" w:color="auto" w:sz="4" w:space="0"/>
              <w:right w:val="single" w:color="auto" w:sz="4" w:space="0"/>
            </w:tcBorders>
            <w:shd w:val="clear" w:color="auto" w:fill="auto"/>
            <w:vAlign w:val="center"/>
          </w:tcPr>
          <w:p w14:paraId="232C47DA">
            <w:pPr>
              <w:widowControl/>
              <w:ind w:firstLine="0"/>
              <w:jc w:val="center"/>
              <w:rPr>
                <w:rFonts w:hint="eastAsia"/>
                <w:color w:val="000000"/>
                <w:kern w:val="0"/>
                <w:szCs w:val="21"/>
              </w:rPr>
            </w:pPr>
            <w:r>
              <w:rPr>
                <w:color w:val="000000"/>
                <w:kern w:val="0"/>
                <w:szCs w:val="21"/>
              </w:rPr>
              <w:t>1</w:t>
            </w:r>
            <w:r>
              <w:rPr>
                <w:rFonts w:hint="eastAsia" w:ascii="宋体" w:hAnsi="宋体"/>
                <w:color w:val="000000"/>
                <w:kern w:val="0"/>
                <w:szCs w:val="21"/>
              </w:rPr>
              <w:t>台</w:t>
            </w:r>
          </w:p>
        </w:tc>
        <w:tc>
          <w:tcPr>
            <w:tcW w:w="0" w:type="auto"/>
            <w:tcBorders>
              <w:top w:val="nil"/>
              <w:left w:val="nil"/>
              <w:bottom w:val="single" w:color="auto" w:sz="4" w:space="0"/>
              <w:right w:val="single" w:color="auto" w:sz="4" w:space="0"/>
            </w:tcBorders>
            <w:shd w:val="clear" w:color="000000" w:fill="D9E1F4"/>
            <w:vAlign w:val="center"/>
          </w:tcPr>
          <w:p w14:paraId="5DF760E6">
            <w:pPr>
              <w:widowControl/>
              <w:ind w:firstLine="0"/>
              <w:jc w:val="center"/>
              <w:rPr>
                <w:color w:val="000000"/>
                <w:kern w:val="0"/>
                <w:szCs w:val="21"/>
              </w:rPr>
            </w:pPr>
            <w:r>
              <w:rPr>
                <w:color w:val="000000"/>
                <w:kern w:val="0"/>
                <w:szCs w:val="21"/>
              </w:rPr>
              <w:t xml:space="preserve">283700 </w:t>
            </w:r>
          </w:p>
        </w:tc>
      </w:tr>
      <w:tr w14:paraId="69D73543">
        <w:tblPrEx>
          <w:tblCellMar>
            <w:top w:w="0" w:type="dxa"/>
            <w:left w:w="108" w:type="dxa"/>
            <w:bottom w:w="0" w:type="dxa"/>
            <w:right w:w="108" w:type="dxa"/>
          </w:tblCellMar>
        </w:tblPrEx>
        <w:trPr>
          <w:trHeight w:val="126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1493E583">
            <w:pPr>
              <w:widowControl/>
              <w:ind w:firstLine="0"/>
              <w:jc w:val="center"/>
              <w:rPr>
                <w:color w:val="000000"/>
                <w:kern w:val="0"/>
                <w:szCs w:val="21"/>
              </w:rPr>
            </w:pPr>
            <w:r>
              <w:rPr>
                <w:color w:val="000000"/>
                <w:kern w:val="0"/>
                <w:szCs w:val="21"/>
              </w:rPr>
              <w:t>8</w:t>
            </w:r>
          </w:p>
        </w:tc>
        <w:tc>
          <w:tcPr>
            <w:tcW w:w="0" w:type="auto"/>
            <w:tcBorders>
              <w:top w:val="nil"/>
              <w:left w:val="nil"/>
              <w:bottom w:val="single" w:color="auto" w:sz="4" w:space="0"/>
              <w:right w:val="single" w:color="auto" w:sz="4" w:space="0"/>
            </w:tcBorders>
            <w:shd w:val="clear" w:color="auto" w:fill="auto"/>
            <w:vAlign w:val="center"/>
          </w:tcPr>
          <w:p w14:paraId="708E6E72">
            <w:pPr>
              <w:widowControl/>
              <w:ind w:firstLine="0"/>
              <w:rPr>
                <w:rFonts w:ascii="宋体" w:hAnsi="宋体" w:cs="宋体"/>
                <w:color w:val="000000"/>
                <w:kern w:val="0"/>
                <w:szCs w:val="21"/>
              </w:rPr>
            </w:pPr>
            <w:r>
              <w:rPr>
                <w:rFonts w:hint="eastAsia" w:ascii="宋体" w:hAnsi="宋体" w:cs="宋体"/>
                <w:color w:val="000000"/>
                <w:kern w:val="0"/>
                <w:szCs w:val="21"/>
              </w:rPr>
              <w:t>文件加密网关</w:t>
            </w:r>
          </w:p>
        </w:tc>
        <w:tc>
          <w:tcPr>
            <w:tcW w:w="0" w:type="auto"/>
            <w:tcBorders>
              <w:top w:val="nil"/>
              <w:left w:val="nil"/>
              <w:bottom w:val="single" w:color="auto" w:sz="4" w:space="0"/>
              <w:right w:val="single" w:color="auto" w:sz="4" w:space="0"/>
            </w:tcBorders>
            <w:shd w:val="clear" w:color="auto" w:fill="auto"/>
            <w:vAlign w:val="center"/>
          </w:tcPr>
          <w:p w14:paraId="132DA84C">
            <w:pPr>
              <w:widowControl/>
              <w:ind w:firstLine="0"/>
              <w:rPr>
                <w:rFonts w:hint="eastAsia" w:ascii="宋体" w:hAnsi="宋体" w:cs="宋体"/>
                <w:color w:val="000000"/>
                <w:kern w:val="0"/>
                <w:szCs w:val="21"/>
              </w:rPr>
            </w:pPr>
            <w:r>
              <w:rPr>
                <w:rFonts w:hint="eastAsia" w:ascii="宋体" w:hAnsi="宋体" w:cs="宋体"/>
                <w:color w:val="000000"/>
                <w:kern w:val="0"/>
                <w:szCs w:val="21"/>
              </w:rPr>
              <w:t>支持基于国产算法的国密</w:t>
            </w:r>
            <w:r>
              <w:rPr>
                <w:color w:val="000000"/>
                <w:kern w:val="0"/>
                <w:szCs w:val="21"/>
              </w:rPr>
              <w:t>SSL</w:t>
            </w:r>
            <w:r>
              <w:rPr>
                <w:rFonts w:hint="eastAsia" w:ascii="宋体" w:hAnsi="宋体" w:cs="宋体"/>
                <w:color w:val="000000"/>
                <w:kern w:val="0"/>
                <w:szCs w:val="21"/>
              </w:rPr>
              <w:t>通道与文件系统密码模块客户端通信。支持应用系统免改造实现数据存储加密，不存在也不需要加解密接口开发和适配环节。含3年原厂维保。（详细需求见技术参数要求章节）</w:t>
            </w:r>
          </w:p>
        </w:tc>
        <w:tc>
          <w:tcPr>
            <w:tcW w:w="0" w:type="auto"/>
            <w:tcBorders>
              <w:top w:val="nil"/>
              <w:left w:val="nil"/>
              <w:bottom w:val="single" w:color="auto" w:sz="4" w:space="0"/>
              <w:right w:val="single" w:color="auto" w:sz="4" w:space="0"/>
            </w:tcBorders>
            <w:shd w:val="clear" w:color="auto" w:fill="auto"/>
            <w:vAlign w:val="center"/>
          </w:tcPr>
          <w:p w14:paraId="4224BA9F">
            <w:pPr>
              <w:widowControl/>
              <w:ind w:firstLine="0"/>
              <w:jc w:val="center"/>
              <w:rPr>
                <w:rFonts w:hint="eastAsia"/>
                <w:color w:val="000000"/>
                <w:kern w:val="0"/>
                <w:szCs w:val="21"/>
              </w:rPr>
            </w:pPr>
            <w:r>
              <w:rPr>
                <w:color w:val="000000"/>
                <w:kern w:val="0"/>
                <w:szCs w:val="21"/>
              </w:rPr>
              <w:t>1</w:t>
            </w:r>
            <w:r>
              <w:rPr>
                <w:rFonts w:hint="eastAsia" w:ascii="宋体" w:hAnsi="宋体"/>
                <w:color w:val="000000"/>
                <w:kern w:val="0"/>
                <w:szCs w:val="21"/>
              </w:rPr>
              <w:t>台</w:t>
            </w:r>
          </w:p>
        </w:tc>
        <w:tc>
          <w:tcPr>
            <w:tcW w:w="0" w:type="auto"/>
            <w:tcBorders>
              <w:top w:val="nil"/>
              <w:left w:val="nil"/>
              <w:bottom w:val="single" w:color="auto" w:sz="4" w:space="0"/>
              <w:right w:val="single" w:color="auto" w:sz="4" w:space="0"/>
            </w:tcBorders>
            <w:shd w:val="clear" w:color="000000" w:fill="D9E1F4"/>
            <w:vAlign w:val="center"/>
          </w:tcPr>
          <w:p w14:paraId="10611CC2">
            <w:pPr>
              <w:widowControl/>
              <w:ind w:firstLine="0"/>
              <w:jc w:val="center"/>
              <w:rPr>
                <w:color w:val="000000"/>
                <w:kern w:val="0"/>
                <w:szCs w:val="21"/>
              </w:rPr>
            </w:pPr>
            <w:r>
              <w:rPr>
                <w:color w:val="000000"/>
                <w:kern w:val="0"/>
                <w:szCs w:val="21"/>
              </w:rPr>
              <w:t xml:space="preserve">245900 </w:t>
            </w:r>
          </w:p>
        </w:tc>
      </w:tr>
      <w:tr w14:paraId="4EAA048A">
        <w:tblPrEx>
          <w:tblCellMar>
            <w:top w:w="0" w:type="dxa"/>
            <w:left w:w="108" w:type="dxa"/>
            <w:bottom w:w="0" w:type="dxa"/>
            <w:right w:w="108" w:type="dxa"/>
          </w:tblCellMar>
        </w:tblPrEx>
        <w:trPr>
          <w:trHeight w:val="144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1DE4AC4">
            <w:pPr>
              <w:widowControl/>
              <w:ind w:firstLine="0"/>
              <w:jc w:val="center"/>
              <w:rPr>
                <w:color w:val="000000"/>
                <w:kern w:val="0"/>
                <w:szCs w:val="21"/>
              </w:rPr>
            </w:pPr>
            <w:r>
              <w:rPr>
                <w:color w:val="000000"/>
                <w:kern w:val="0"/>
                <w:szCs w:val="21"/>
              </w:rPr>
              <w:t>9</w:t>
            </w:r>
          </w:p>
        </w:tc>
        <w:tc>
          <w:tcPr>
            <w:tcW w:w="0" w:type="auto"/>
            <w:tcBorders>
              <w:top w:val="nil"/>
              <w:left w:val="nil"/>
              <w:bottom w:val="single" w:color="auto" w:sz="4" w:space="0"/>
              <w:right w:val="single" w:color="auto" w:sz="4" w:space="0"/>
            </w:tcBorders>
            <w:shd w:val="clear" w:color="auto" w:fill="auto"/>
            <w:vAlign w:val="center"/>
          </w:tcPr>
          <w:p w14:paraId="37A21B63">
            <w:pPr>
              <w:widowControl/>
              <w:ind w:firstLine="0"/>
              <w:rPr>
                <w:rFonts w:ascii="宋体" w:hAnsi="宋体" w:cs="宋体"/>
                <w:color w:val="000000"/>
                <w:kern w:val="0"/>
                <w:szCs w:val="21"/>
              </w:rPr>
            </w:pPr>
            <w:r>
              <w:rPr>
                <w:rFonts w:hint="eastAsia" w:ascii="宋体" w:hAnsi="宋体" w:cs="宋体"/>
                <w:color w:val="000000"/>
                <w:kern w:val="0"/>
                <w:szCs w:val="21"/>
              </w:rPr>
              <w:t>密码服务管理平台</w:t>
            </w:r>
          </w:p>
        </w:tc>
        <w:tc>
          <w:tcPr>
            <w:tcW w:w="0" w:type="auto"/>
            <w:tcBorders>
              <w:top w:val="nil"/>
              <w:left w:val="nil"/>
              <w:bottom w:val="single" w:color="auto" w:sz="4" w:space="0"/>
              <w:right w:val="single" w:color="auto" w:sz="4" w:space="0"/>
            </w:tcBorders>
            <w:shd w:val="clear" w:color="auto" w:fill="auto"/>
            <w:vAlign w:val="center"/>
          </w:tcPr>
          <w:p w14:paraId="28CC1EAD">
            <w:pPr>
              <w:widowControl/>
              <w:ind w:firstLine="0"/>
              <w:rPr>
                <w:rFonts w:hint="eastAsia" w:ascii="宋体" w:hAnsi="宋体" w:cs="宋体"/>
                <w:color w:val="000000"/>
                <w:kern w:val="0"/>
                <w:szCs w:val="21"/>
              </w:rPr>
            </w:pPr>
            <w:r>
              <w:rPr>
                <w:rFonts w:hint="eastAsia" w:ascii="宋体" w:hAnsi="宋体" w:cs="宋体"/>
                <w:color w:val="000000"/>
                <w:kern w:val="0"/>
                <w:szCs w:val="21"/>
              </w:rPr>
              <w:t>实现对全域密码应用的综合治理、服务保障以及随需调整、扩展和演进，掌握密评主动权，满足常态化、系统性的密评合规需求，避免运动式密评改造；统筹满足密码安全保障和电子认证服务基础设施需求。（详细需求见技术参数要求章节）</w:t>
            </w:r>
          </w:p>
        </w:tc>
        <w:tc>
          <w:tcPr>
            <w:tcW w:w="0" w:type="auto"/>
            <w:tcBorders>
              <w:top w:val="nil"/>
              <w:left w:val="nil"/>
              <w:bottom w:val="single" w:color="auto" w:sz="4" w:space="0"/>
              <w:right w:val="single" w:color="auto" w:sz="4" w:space="0"/>
            </w:tcBorders>
            <w:shd w:val="clear" w:color="auto" w:fill="auto"/>
            <w:vAlign w:val="center"/>
          </w:tcPr>
          <w:p w14:paraId="055FCFCC">
            <w:pPr>
              <w:widowControl/>
              <w:ind w:firstLine="0"/>
              <w:jc w:val="center"/>
              <w:rPr>
                <w:rFonts w:hint="eastAsia"/>
                <w:color w:val="000000"/>
                <w:kern w:val="0"/>
                <w:szCs w:val="21"/>
              </w:rPr>
            </w:pPr>
            <w:r>
              <w:rPr>
                <w:color w:val="000000"/>
                <w:kern w:val="0"/>
                <w:szCs w:val="21"/>
              </w:rPr>
              <w:t>1</w:t>
            </w:r>
            <w:r>
              <w:rPr>
                <w:rFonts w:hint="eastAsia" w:ascii="宋体" w:hAnsi="宋体"/>
                <w:color w:val="000000"/>
                <w:kern w:val="0"/>
                <w:szCs w:val="21"/>
              </w:rPr>
              <w:t>套</w:t>
            </w:r>
          </w:p>
        </w:tc>
        <w:tc>
          <w:tcPr>
            <w:tcW w:w="0" w:type="auto"/>
            <w:tcBorders>
              <w:top w:val="nil"/>
              <w:left w:val="nil"/>
              <w:bottom w:val="single" w:color="auto" w:sz="4" w:space="0"/>
              <w:right w:val="single" w:color="auto" w:sz="4" w:space="0"/>
            </w:tcBorders>
            <w:shd w:val="clear" w:color="000000" w:fill="D9E1F4"/>
            <w:vAlign w:val="center"/>
          </w:tcPr>
          <w:p w14:paraId="5C899B27">
            <w:pPr>
              <w:widowControl/>
              <w:ind w:firstLine="0"/>
              <w:jc w:val="center"/>
              <w:rPr>
                <w:color w:val="000000"/>
                <w:kern w:val="0"/>
                <w:szCs w:val="21"/>
              </w:rPr>
            </w:pPr>
            <w:r>
              <w:rPr>
                <w:color w:val="000000"/>
                <w:kern w:val="0"/>
                <w:szCs w:val="21"/>
              </w:rPr>
              <w:t xml:space="preserve">1210300 </w:t>
            </w:r>
          </w:p>
        </w:tc>
      </w:tr>
    </w:tbl>
    <w:p w14:paraId="5A52E5FD">
      <w:pPr>
        <w:rPr>
          <w:lang w:val="zh-CN"/>
        </w:rPr>
      </w:pPr>
    </w:p>
    <w:p w14:paraId="73551120">
      <w:pPr>
        <w:rPr>
          <w:lang w:val="zh-CN"/>
        </w:rPr>
      </w:pPr>
      <w:r>
        <w:rPr>
          <w:rFonts w:hint="eastAsia"/>
          <w:lang w:val="zh-CN"/>
        </w:rPr>
        <w:t>本次项目最高限价：</w:t>
      </w:r>
      <w:r>
        <w:rPr>
          <w:lang w:val="zh-CN"/>
        </w:rPr>
        <w:t>278 0000</w:t>
      </w:r>
      <w:r>
        <w:rPr>
          <w:rFonts w:hint="eastAsia"/>
          <w:lang w:val="zh-CN"/>
        </w:rPr>
        <w:t>.</w:t>
      </w:r>
      <w:r>
        <w:rPr>
          <w:lang w:val="zh-CN"/>
        </w:rPr>
        <w:t>00</w:t>
      </w:r>
      <w:r>
        <w:rPr>
          <w:rFonts w:hint="eastAsia"/>
          <w:lang w:val="zh-CN"/>
        </w:rPr>
        <w:t>元</w:t>
      </w:r>
    </w:p>
    <w:p w14:paraId="596A59B4">
      <w:r>
        <w:rPr>
          <w:rFonts w:hint="eastAsia"/>
          <w:lang w:val="zh-CN"/>
        </w:rPr>
        <w:t>说明：上海市口腔医院深化信息技术应用创新工作改造项目_（商用密码平台一期建设）涉及的咨询管理费、监理费、软件测评费、系统集成费、安全测评费、密码测评费另行采购，不包含在本项目预算中。</w:t>
      </w:r>
    </w:p>
    <w:p w14:paraId="7D890C4B">
      <w:pPr>
        <w:rPr>
          <w:lang w:val="en-US"/>
        </w:rPr>
      </w:pPr>
    </w:p>
    <w:p w14:paraId="34A4D2CE">
      <w:pPr>
        <w:rPr>
          <w:lang w:val="zh-CN"/>
        </w:rPr>
      </w:pPr>
    </w:p>
    <w:p w14:paraId="17D04D25">
      <w:pPr>
        <w:rPr>
          <w:lang w:val="zh-CN"/>
        </w:rPr>
      </w:pPr>
    </w:p>
    <w:p w14:paraId="52334466">
      <w:pPr>
        <w:rPr>
          <w:lang w:val="zh-CN"/>
        </w:rPr>
      </w:pPr>
    </w:p>
    <w:p w14:paraId="1DB715DF">
      <w:pPr>
        <w:rPr>
          <w:lang w:val="zh-CN"/>
        </w:rPr>
      </w:pPr>
    </w:p>
    <w:p w14:paraId="160118FB">
      <w:pPr>
        <w:rPr>
          <w:lang w:val="zh-CN"/>
        </w:rPr>
      </w:pPr>
    </w:p>
    <w:p w14:paraId="106F2617">
      <w:pPr>
        <w:rPr>
          <w:lang w:val="zh-CN"/>
        </w:rPr>
      </w:pPr>
    </w:p>
    <w:p w14:paraId="4CB2D5C9">
      <w:pPr>
        <w:rPr>
          <w:lang w:val="zh-CN"/>
        </w:rPr>
      </w:pPr>
    </w:p>
    <w:p w14:paraId="00EB4A7E">
      <w:pPr>
        <w:rPr>
          <w:lang w:val="zh-CN"/>
        </w:rPr>
      </w:pPr>
    </w:p>
    <w:p w14:paraId="40CEF16F">
      <w:pPr>
        <w:rPr>
          <w:lang w:val="zh-CN"/>
        </w:rPr>
      </w:pPr>
    </w:p>
    <w:p w14:paraId="7518AE38">
      <w:pPr>
        <w:rPr>
          <w:lang w:val="zh-CN"/>
        </w:rPr>
      </w:pPr>
    </w:p>
    <w:p w14:paraId="7A3C09DD">
      <w:pPr>
        <w:rPr>
          <w:lang w:val="zh-CN"/>
        </w:rPr>
      </w:pPr>
    </w:p>
    <w:p w14:paraId="051FBDCE">
      <w:pPr>
        <w:rPr>
          <w:lang w:val="zh-CN"/>
        </w:rPr>
      </w:pPr>
    </w:p>
    <w:p w14:paraId="05DF6BD4">
      <w:pPr>
        <w:rPr>
          <w:lang w:val="zh-CN"/>
        </w:rPr>
      </w:pPr>
    </w:p>
    <w:p w14:paraId="27FB966D">
      <w:pPr>
        <w:pStyle w:val="3"/>
      </w:pPr>
      <w:bookmarkStart w:id="7" w:name="_Toc35439396"/>
      <w:r>
        <w:rPr>
          <w:rFonts w:hint="eastAsia"/>
        </w:rPr>
        <w:t>产品及服务技术参数要求</w:t>
      </w:r>
    </w:p>
    <w:bookmarkEnd w:id="7"/>
    <w:p w14:paraId="1BB71A8C">
      <w:pPr>
        <w:pStyle w:val="4"/>
      </w:pPr>
      <w:r>
        <w:rPr>
          <w:rFonts w:hint="eastAsia"/>
        </w:rPr>
        <w:t>完整性保护工具</w:t>
      </w:r>
    </w:p>
    <w:tbl>
      <w:tblPr>
        <w:tblStyle w:val="23"/>
        <w:tblW w:w="5363" w:type="pct"/>
        <w:jc w:val="center"/>
        <w:tblLayout w:type="autofit"/>
        <w:tblCellMar>
          <w:top w:w="0" w:type="dxa"/>
          <w:left w:w="108" w:type="dxa"/>
          <w:bottom w:w="0" w:type="dxa"/>
          <w:right w:w="108" w:type="dxa"/>
        </w:tblCellMar>
      </w:tblPr>
      <w:tblGrid>
        <w:gridCol w:w="728"/>
        <w:gridCol w:w="8413"/>
      </w:tblGrid>
      <w:tr w14:paraId="18975DC7">
        <w:tblPrEx>
          <w:tblCellMar>
            <w:top w:w="0" w:type="dxa"/>
            <w:left w:w="108" w:type="dxa"/>
            <w:bottom w:w="0" w:type="dxa"/>
            <w:right w:w="108" w:type="dxa"/>
          </w:tblCellMar>
        </w:tblPrEx>
        <w:trPr>
          <w:trHeight w:val="285" w:hRule="atLeast"/>
          <w:jc w:val="center"/>
        </w:trPr>
        <w:tc>
          <w:tcPr>
            <w:tcW w:w="728" w:type="dxa"/>
            <w:tcBorders>
              <w:top w:val="single" w:color="auto" w:sz="4" w:space="0"/>
              <w:left w:val="single" w:color="auto" w:sz="4" w:space="0"/>
              <w:bottom w:val="single" w:color="auto" w:sz="4" w:space="0"/>
              <w:right w:val="single" w:color="auto" w:sz="4" w:space="0"/>
            </w:tcBorders>
            <w:shd w:val="clear" w:color="000000" w:fill="auto"/>
            <w:vAlign w:val="bottom"/>
          </w:tcPr>
          <w:p w14:paraId="57220B80">
            <w:pPr>
              <w:rPr>
                <w:szCs w:val="21"/>
              </w:rPr>
            </w:pPr>
            <w:r>
              <w:rPr>
                <w:rFonts w:hint="eastAsia"/>
              </w:rPr>
              <w:t>序号</w:t>
            </w:r>
          </w:p>
        </w:tc>
        <w:tc>
          <w:tcPr>
            <w:tcW w:w="8413" w:type="dxa"/>
            <w:tcBorders>
              <w:top w:val="single" w:color="auto" w:sz="4" w:space="0"/>
              <w:left w:val="nil"/>
              <w:bottom w:val="single" w:color="auto" w:sz="4" w:space="0"/>
              <w:right w:val="single" w:color="auto" w:sz="4" w:space="0"/>
            </w:tcBorders>
            <w:shd w:val="clear" w:color="000000" w:fill="auto"/>
            <w:vAlign w:val="center"/>
          </w:tcPr>
          <w:p w14:paraId="555A4D03">
            <w:r>
              <w:rPr>
                <w:rFonts w:hint="eastAsia"/>
              </w:rPr>
              <w:t>技术要求</w:t>
            </w:r>
          </w:p>
        </w:tc>
      </w:tr>
      <w:tr w14:paraId="34E8FDB6">
        <w:tblPrEx>
          <w:tblCellMar>
            <w:top w:w="0" w:type="dxa"/>
            <w:left w:w="108" w:type="dxa"/>
            <w:bottom w:w="0" w:type="dxa"/>
            <w:right w:w="108" w:type="dxa"/>
          </w:tblCellMar>
        </w:tblPrEx>
        <w:trPr>
          <w:trHeight w:val="391" w:hRule="atLeast"/>
          <w:jc w:val="center"/>
        </w:trPr>
        <w:tc>
          <w:tcPr>
            <w:tcW w:w="728" w:type="dxa"/>
            <w:tcBorders>
              <w:top w:val="nil"/>
              <w:left w:val="single" w:color="auto" w:sz="4" w:space="0"/>
              <w:bottom w:val="single" w:color="auto" w:sz="4" w:space="0"/>
              <w:right w:val="single" w:color="auto" w:sz="4" w:space="0"/>
            </w:tcBorders>
            <w:shd w:val="clear" w:color="auto" w:fill="auto"/>
            <w:vAlign w:val="center"/>
          </w:tcPr>
          <w:p w14:paraId="0838C26A">
            <w:r>
              <w:rPr>
                <w:rFonts w:hint="eastAsia"/>
              </w:rPr>
              <w:t>1</w:t>
            </w:r>
          </w:p>
        </w:tc>
        <w:tc>
          <w:tcPr>
            <w:tcW w:w="8413" w:type="dxa"/>
            <w:tcBorders>
              <w:top w:val="nil"/>
              <w:left w:val="nil"/>
              <w:bottom w:val="single" w:color="auto" w:sz="4" w:space="0"/>
              <w:right w:val="single" w:color="auto" w:sz="4" w:space="0"/>
            </w:tcBorders>
            <w:shd w:val="clear" w:color="auto" w:fill="auto"/>
            <w:vAlign w:val="center"/>
          </w:tcPr>
          <w:p w14:paraId="4749BED5">
            <w:r>
              <w:rPr>
                <w:rFonts w:hint="eastAsia"/>
              </w:rPr>
              <w:t>对医院已部署签名验签系统进行升级，集成部署在签名验签系统内。</w:t>
            </w:r>
          </w:p>
        </w:tc>
      </w:tr>
      <w:tr w14:paraId="220F5EC3">
        <w:tblPrEx>
          <w:tblCellMar>
            <w:top w:w="0" w:type="dxa"/>
            <w:left w:w="108" w:type="dxa"/>
            <w:bottom w:w="0" w:type="dxa"/>
            <w:right w:w="108" w:type="dxa"/>
          </w:tblCellMar>
        </w:tblPrEx>
        <w:trPr>
          <w:trHeight w:val="285" w:hRule="atLeast"/>
          <w:jc w:val="center"/>
        </w:trPr>
        <w:tc>
          <w:tcPr>
            <w:tcW w:w="728" w:type="dxa"/>
            <w:tcBorders>
              <w:top w:val="nil"/>
              <w:left w:val="single" w:color="auto" w:sz="4" w:space="0"/>
              <w:bottom w:val="single" w:color="auto" w:sz="4" w:space="0"/>
              <w:right w:val="single" w:color="auto" w:sz="4" w:space="0"/>
            </w:tcBorders>
            <w:shd w:val="clear" w:color="auto" w:fill="auto"/>
            <w:vAlign w:val="center"/>
          </w:tcPr>
          <w:p w14:paraId="7FF755C2">
            <w:r>
              <w:rPr>
                <w:rFonts w:hint="eastAsia"/>
              </w:rPr>
              <w:t>2</w:t>
            </w:r>
          </w:p>
        </w:tc>
        <w:tc>
          <w:tcPr>
            <w:tcW w:w="8413" w:type="dxa"/>
            <w:tcBorders>
              <w:top w:val="nil"/>
              <w:left w:val="nil"/>
              <w:bottom w:val="single" w:color="auto" w:sz="4" w:space="0"/>
              <w:right w:val="single" w:color="auto" w:sz="4" w:space="0"/>
            </w:tcBorders>
            <w:shd w:val="clear" w:color="auto" w:fill="auto"/>
            <w:vAlign w:val="center"/>
          </w:tcPr>
          <w:p w14:paraId="4C3FD968">
            <w:r>
              <w:rPr>
                <w:rFonts w:hint="eastAsia"/>
              </w:rPr>
              <w:t>支持SM3-HMAC算法，以满足业务系统数据完整性保护需求中密码应用对SM3-HMAC算法使用需求。</w:t>
            </w:r>
          </w:p>
        </w:tc>
      </w:tr>
      <w:tr w14:paraId="0DBB2D77">
        <w:tblPrEx>
          <w:tblCellMar>
            <w:top w:w="0" w:type="dxa"/>
            <w:left w:w="108" w:type="dxa"/>
            <w:bottom w:w="0" w:type="dxa"/>
            <w:right w:w="108" w:type="dxa"/>
          </w:tblCellMar>
        </w:tblPrEx>
        <w:trPr>
          <w:trHeight w:val="285" w:hRule="atLeast"/>
          <w:jc w:val="center"/>
        </w:trPr>
        <w:tc>
          <w:tcPr>
            <w:tcW w:w="728" w:type="dxa"/>
            <w:tcBorders>
              <w:top w:val="nil"/>
              <w:left w:val="single" w:color="auto" w:sz="4" w:space="0"/>
              <w:bottom w:val="single" w:color="auto" w:sz="4" w:space="0"/>
              <w:right w:val="single" w:color="auto" w:sz="4" w:space="0"/>
            </w:tcBorders>
            <w:shd w:val="clear" w:color="auto" w:fill="auto"/>
            <w:vAlign w:val="center"/>
          </w:tcPr>
          <w:p w14:paraId="195023B4">
            <w:r>
              <w:rPr>
                <w:rFonts w:hint="eastAsia"/>
              </w:rPr>
              <w:t>3</w:t>
            </w:r>
          </w:p>
        </w:tc>
        <w:tc>
          <w:tcPr>
            <w:tcW w:w="8413" w:type="dxa"/>
            <w:tcBorders>
              <w:top w:val="nil"/>
              <w:left w:val="nil"/>
              <w:bottom w:val="single" w:color="auto" w:sz="4" w:space="0"/>
              <w:right w:val="single" w:color="auto" w:sz="4" w:space="0"/>
            </w:tcBorders>
            <w:shd w:val="clear" w:color="auto" w:fill="auto"/>
            <w:vAlign w:val="center"/>
          </w:tcPr>
          <w:p w14:paraId="1FA3D319">
            <w:r>
              <w:rPr>
                <w:rFonts w:hint="eastAsia"/>
              </w:rPr>
              <w:t>支持步骤流程：1.应用系统服务节后增加MAC字段；2.要求尾部关联系统调用接口时传输MAC值；3.应用系统接口接收数据后有限计算比对MAC一致后再继续后续业务流程，否则认为改请求的数据部完整而拒绝处理。</w:t>
            </w:r>
          </w:p>
        </w:tc>
      </w:tr>
      <w:tr w14:paraId="025ACFBD">
        <w:tblPrEx>
          <w:tblCellMar>
            <w:top w:w="0" w:type="dxa"/>
            <w:left w:w="108" w:type="dxa"/>
            <w:bottom w:w="0" w:type="dxa"/>
            <w:right w:w="108" w:type="dxa"/>
          </w:tblCellMar>
        </w:tblPrEx>
        <w:trPr>
          <w:trHeight w:val="90" w:hRule="atLeast"/>
          <w:jc w:val="center"/>
        </w:trPr>
        <w:tc>
          <w:tcPr>
            <w:tcW w:w="728" w:type="dxa"/>
            <w:tcBorders>
              <w:top w:val="nil"/>
              <w:left w:val="single" w:color="auto" w:sz="4" w:space="0"/>
              <w:bottom w:val="single" w:color="auto" w:sz="4" w:space="0"/>
              <w:right w:val="single" w:color="auto" w:sz="4" w:space="0"/>
            </w:tcBorders>
            <w:shd w:val="clear" w:color="auto" w:fill="auto"/>
            <w:vAlign w:val="center"/>
          </w:tcPr>
          <w:p w14:paraId="26E60622">
            <w:r>
              <w:rPr>
                <w:rFonts w:hint="eastAsia"/>
              </w:rPr>
              <w:t>4</w:t>
            </w:r>
          </w:p>
        </w:tc>
        <w:tc>
          <w:tcPr>
            <w:tcW w:w="8413" w:type="dxa"/>
            <w:tcBorders>
              <w:top w:val="nil"/>
              <w:left w:val="nil"/>
              <w:bottom w:val="single" w:color="auto" w:sz="4" w:space="0"/>
              <w:right w:val="single" w:color="auto" w:sz="4" w:space="0"/>
            </w:tcBorders>
            <w:shd w:val="clear" w:color="auto" w:fill="auto"/>
            <w:vAlign w:val="center"/>
          </w:tcPr>
          <w:p w14:paraId="51307055">
            <w:r>
              <w:rPr>
                <w:rFonts w:hint="eastAsia"/>
              </w:rPr>
              <w:t>集成接口：/Hmac/sign</w:t>
            </w:r>
          </w:p>
        </w:tc>
      </w:tr>
      <w:tr w14:paraId="34FC2809">
        <w:tblPrEx>
          <w:tblCellMar>
            <w:top w:w="0" w:type="dxa"/>
            <w:left w:w="108" w:type="dxa"/>
            <w:bottom w:w="0" w:type="dxa"/>
            <w:right w:w="108" w:type="dxa"/>
          </w:tblCellMar>
        </w:tblPrEx>
        <w:trPr>
          <w:trHeight w:val="419" w:hRule="atLeast"/>
          <w:jc w:val="center"/>
        </w:trPr>
        <w:tc>
          <w:tcPr>
            <w:tcW w:w="728" w:type="dxa"/>
            <w:tcBorders>
              <w:top w:val="nil"/>
              <w:left w:val="single" w:color="auto" w:sz="4" w:space="0"/>
              <w:bottom w:val="single" w:color="auto" w:sz="4" w:space="0"/>
              <w:right w:val="single" w:color="auto" w:sz="4" w:space="0"/>
            </w:tcBorders>
            <w:shd w:val="clear" w:color="auto" w:fill="auto"/>
            <w:vAlign w:val="center"/>
          </w:tcPr>
          <w:p w14:paraId="70305541">
            <w:r>
              <w:rPr>
                <w:rFonts w:hint="eastAsia"/>
              </w:rPr>
              <w:t>5</w:t>
            </w:r>
          </w:p>
        </w:tc>
        <w:tc>
          <w:tcPr>
            <w:tcW w:w="8413" w:type="dxa"/>
            <w:tcBorders>
              <w:top w:val="nil"/>
              <w:left w:val="nil"/>
              <w:bottom w:val="single" w:color="auto" w:sz="4" w:space="0"/>
              <w:right w:val="single" w:color="auto" w:sz="4" w:space="0"/>
            </w:tcBorders>
            <w:shd w:val="clear" w:color="auto" w:fill="auto"/>
            <w:vAlign w:val="center"/>
          </w:tcPr>
          <w:p w14:paraId="10BA912D">
            <w:r>
              <w:rPr>
                <w:rFonts w:hint="eastAsia"/>
              </w:rPr>
              <w:t>提供HMAC-SM3算法完整性保护模块接口说明。</w:t>
            </w:r>
          </w:p>
        </w:tc>
      </w:tr>
      <w:tr w14:paraId="433A31C3">
        <w:tblPrEx>
          <w:tblCellMar>
            <w:top w:w="0" w:type="dxa"/>
            <w:left w:w="108" w:type="dxa"/>
            <w:bottom w:w="0" w:type="dxa"/>
            <w:right w:w="108" w:type="dxa"/>
          </w:tblCellMar>
        </w:tblPrEx>
        <w:trPr>
          <w:trHeight w:val="462" w:hRule="atLeast"/>
          <w:jc w:val="center"/>
        </w:trPr>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36840A69">
            <w:pPr>
              <w:rPr>
                <w:rFonts w:ascii="宋体" w:hAnsi="宋体"/>
              </w:rPr>
            </w:pPr>
            <w:r>
              <w:rPr>
                <w:rFonts w:hint="eastAsia"/>
              </w:rPr>
              <w:t>6</w:t>
            </w:r>
          </w:p>
        </w:tc>
        <w:tc>
          <w:tcPr>
            <w:tcW w:w="8413" w:type="dxa"/>
            <w:tcBorders>
              <w:top w:val="single" w:color="auto" w:sz="4" w:space="0"/>
              <w:left w:val="nil"/>
              <w:bottom w:val="single" w:color="auto" w:sz="4" w:space="0"/>
              <w:right w:val="single" w:color="auto" w:sz="4" w:space="0"/>
            </w:tcBorders>
            <w:shd w:val="clear" w:color="auto" w:fill="auto"/>
            <w:vAlign w:val="center"/>
          </w:tcPr>
          <w:p w14:paraId="16FC2188">
            <w:pPr>
              <w:rPr>
                <w:rFonts w:ascii="宋体" w:hAnsi="宋体"/>
              </w:rPr>
            </w:pPr>
            <w:r>
              <w:rPr>
                <w:rFonts w:ascii="宋体" w:hAnsi="宋体" w:cs="宋体"/>
                <w:color w:val="000000"/>
                <w:spacing w:val="7"/>
                <w:sz w:val="24"/>
              </w:rPr>
              <w:t>▲</w:t>
            </w:r>
            <w:r>
              <w:rPr>
                <w:rFonts w:hint="eastAsia"/>
              </w:rPr>
              <w:t>兼容院内已部署签名验签服务器（详见1.2第2项利旧产品清单）。（提供兼容承诺函）</w:t>
            </w:r>
          </w:p>
        </w:tc>
      </w:tr>
    </w:tbl>
    <w:p w14:paraId="7736EA08"/>
    <w:p w14:paraId="71C72750">
      <w:pPr>
        <w:pStyle w:val="4"/>
      </w:pPr>
      <w:r>
        <w:rPr>
          <w:rFonts w:hint="eastAsia"/>
        </w:rPr>
        <w:t>个人身份数字证书</w:t>
      </w:r>
    </w:p>
    <w:tbl>
      <w:tblPr>
        <w:tblStyle w:val="23"/>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7926"/>
      </w:tblGrid>
      <w:tr w14:paraId="700A0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 w:type="dxa"/>
            <w:vAlign w:val="center"/>
          </w:tcPr>
          <w:p w14:paraId="12B084C8">
            <w:pPr>
              <w:rPr>
                <w:rFonts w:ascii="仿宋" w:hAnsi="仿宋" w:eastAsia="仿宋"/>
                <w:b/>
              </w:rPr>
            </w:pPr>
            <w:r>
              <w:rPr>
                <w:rFonts w:hint="eastAsia"/>
              </w:rPr>
              <w:t>序号</w:t>
            </w:r>
          </w:p>
        </w:tc>
        <w:tc>
          <w:tcPr>
            <w:tcW w:w="7926" w:type="dxa"/>
          </w:tcPr>
          <w:p w14:paraId="33DE0BF1">
            <w:pPr>
              <w:rPr>
                <w:rFonts w:ascii="仿宋" w:hAnsi="仿宋" w:eastAsia="仿宋"/>
              </w:rPr>
            </w:pPr>
            <w:r>
              <w:rPr>
                <w:rFonts w:hint="eastAsia"/>
              </w:rPr>
              <w:t>功能指标要求</w:t>
            </w:r>
          </w:p>
        </w:tc>
      </w:tr>
      <w:tr w14:paraId="321A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 w:type="dxa"/>
            <w:vAlign w:val="center"/>
          </w:tcPr>
          <w:p w14:paraId="4DF4DF37">
            <w:r>
              <w:rPr>
                <w:rFonts w:hint="eastAsia"/>
              </w:rPr>
              <w:t>1</w:t>
            </w:r>
          </w:p>
        </w:tc>
        <w:tc>
          <w:tcPr>
            <w:tcW w:w="7926" w:type="dxa"/>
          </w:tcPr>
          <w:p w14:paraId="63CD98D3">
            <w:pPr>
              <w:rPr>
                <w:b/>
                <w:bCs/>
              </w:rPr>
            </w:pPr>
            <w:r>
              <w:rPr>
                <w:rFonts w:hint="eastAsia"/>
              </w:rPr>
              <w:t>个人身份数字证书符合《上海市数字证书使用管理办法》，签发证书的CA机构为上海市电子政务电子认证服务机构。</w:t>
            </w:r>
          </w:p>
        </w:tc>
      </w:tr>
      <w:tr w14:paraId="207BC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 w:type="dxa"/>
            <w:vAlign w:val="center"/>
          </w:tcPr>
          <w:p w14:paraId="66EBA034">
            <w:r>
              <w:rPr>
                <w:rFonts w:hint="eastAsia"/>
              </w:rPr>
              <w:t>2</w:t>
            </w:r>
          </w:p>
        </w:tc>
        <w:tc>
          <w:tcPr>
            <w:tcW w:w="7926" w:type="dxa"/>
          </w:tcPr>
          <w:p w14:paraId="59018480">
            <w:r>
              <w:rPr>
                <w:rFonts w:hint="eastAsia"/>
              </w:rPr>
              <w:t>要求能实现第三方CA的本地发放和管理，要求能实现数字证书的申请、审核、发放、作废、更新等业务功能，并能提供批量证书信息录入方便管理员进行证书制作，发放。</w:t>
            </w:r>
          </w:p>
        </w:tc>
      </w:tr>
      <w:tr w14:paraId="27E68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1" w:type="dxa"/>
            <w:shd w:val="clear" w:color="auto" w:fill="auto"/>
            <w:vAlign w:val="center"/>
          </w:tcPr>
          <w:p w14:paraId="4C4B0C67">
            <w:r>
              <w:rPr>
                <w:rFonts w:hint="eastAsia"/>
              </w:rPr>
              <w:t>3</w:t>
            </w:r>
          </w:p>
        </w:tc>
        <w:tc>
          <w:tcPr>
            <w:tcW w:w="7926" w:type="dxa"/>
          </w:tcPr>
          <w:p w14:paraId="736460FD">
            <w:r>
              <w:rPr>
                <w:rFonts w:hint="eastAsia"/>
              </w:rPr>
              <w:t>与医院HIS、LIS、PACS、EMR等业务系统已使用数字证书为同一根证书，可兼容互认。</w:t>
            </w:r>
          </w:p>
        </w:tc>
      </w:tr>
      <w:tr w14:paraId="4FAD5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871" w:type="dxa"/>
            <w:shd w:val="clear" w:color="auto" w:fill="auto"/>
            <w:vAlign w:val="center"/>
          </w:tcPr>
          <w:p w14:paraId="4AFA9E2E">
            <w:r>
              <w:rPr>
                <w:rFonts w:hint="eastAsia"/>
              </w:rPr>
              <w:t>5</w:t>
            </w:r>
          </w:p>
        </w:tc>
        <w:tc>
          <w:tcPr>
            <w:tcW w:w="7926" w:type="dxa"/>
            <w:shd w:val="clear" w:color="auto" w:fill="FFFFFF"/>
          </w:tcPr>
          <w:p w14:paraId="0891BC70">
            <w:r>
              <w:rPr>
                <w:rFonts w:hint="eastAsia"/>
              </w:rPr>
              <w:t>要求证书应用能实现跨浏览器支持，能支持现有主流浏览器。</w:t>
            </w:r>
          </w:p>
        </w:tc>
      </w:tr>
      <w:tr w14:paraId="07A2A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 w:type="dxa"/>
            <w:shd w:val="clear" w:color="auto" w:fill="auto"/>
            <w:vAlign w:val="center"/>
          </w:tcPr>
          <w:p w14:paraId="6191DD8C">
            <w:r>
              <w:rPr>
                <w:rFonts w:hint="eastAsia"/>
              </w:rPr>
              <w:t>6</w:t>
            </w:r>
          </w:p>
        </w:tc>
        <w:tc>
          <w:tcPr>
            <w:tcW w:w="7926" w:type="dxa"/>
            <w:shd w:val="clear" w:color="auto" w:fill="FFFFFF"/>
          </w:tcPr>
          <w:p w14:paraId="2BD10542">
            <w:r>
              <w:rPr>
                <w:rFonts w:hint="eastAsia"/>
              </w:rPr>
              <w:t>符合卫生部《卫生系统电子认证服务规范（试行）》，符合卫生部《卫生系统数字证书格式规范（试行）》</w:t>
            </w:r>
          </w:p>
        </w:tc>
      </w:tr>
      <w:tr w14:paraId="1B881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 w:type="dxa"/>
            <w:shd w:val="clear" w:color="auto" w:fill="auto"/>
            <w:vAlign w:val="center"/>
          </w:tcPr>
          <w:p w14:paraId="7AE3563D">
            <w:r>
              <w:rPr>
                <w:rFonts w:hint="eastAsia"/>
              </w:rPr>
              <w:t>7</w:t>
            </w:r>
          </w:p>
        </w:tc>
        <w:tc>
          <w:tcPr>
            <w:tcW w:w="7926" w:type="dxa"/>
            <w:shd w:val="clear" w:color="auto" w:fill="FFFFFF"/>
          </w:tcPr>
          <w:p w14:paraId="24383FAD">
            <w:r>
              <w:rPr>
                <w:rFonts w:hint="eastAsia"/>
              </w:rPr>
              <w:t>证书格式标准遵循</w:t>
            </w:r>
            <w:r>
              <w:t>X</w:t>
            </w:r>
            <w:r>
              <w:rPr>
                <w:rFonts w:hint="eastAsia"/>
              </w:rPr>
              <w:t>509</w:t>
            </w:r>
            <w:r>
              <w:t xml:space="preserve"> </w:t>
            </w:r>
            <w:r>
              <w:rPr>
                <w:rFonts w:hint="eastAsia"/>
              </w:rPr>
              <w:t>v3标准</w:t>
            </w:r>
          </w:p>
        </w:tc>
      </w:tr>
      <w:tr w14:paraId="31F6F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 w:type="dxa"/>
            <w:shd w:val="clear" w:color="auto" w:fill="auto"/>
            <w:vAlign w:val="center"/>
          </w:tcPr>
          <w:p w14:paraId="4242411D">
            <w:r>
              <w:rPr>
                <w:rFonts w:hint="eastAsia"/>
              </w:rPr>
              <w:t>8</w:t>
            </w:r>
          </w:p>
        </w:tc>
        <w:tc>
          <w:tcPr>
            <w:tcW w:w="7926" w:type="dxa"/>
            <w:shd w:val="clear" w:color="auto" w:fill="FFFFFF"/>
          </w:tcPr>
          <w:p w14:paraId="19A7B4E6">
            <w:r>
              <w:rPr>
                <w:rFonts w:hint="eastAsia"/>
              </w:rPr>
              <w:t>支持存放介质：智能USBKey、蓝牙KEY、 SDKEY、及移动端终端文件证书安全存储。</w:t>
            </w:r>
          </w:p>
        </w:tc>
      </w:tr>
      <w:tr w14:paraId="6B2D1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 w:type="dxa"/>
            <w:vAlign w:val="center"/>
          </w:tcPr>
          <w:p w14:paraId="5EF4ABBF">
            <w:r>
              <w:rPr>
                <w:rFonts w:hint="eastAsia"/>
              </w:rPr>
              <w:t>9</w:t>
            </w:r>
          </w:p>
        </w:tc>
        <w:tc>
          <w:tcPr>
            <w:tcW w:w="7926" w:type="dxa"/>
            <w:shd w:val="clear" w:color="auto" w:fill="FFFFFF"/>
          </w:tcPr>
          <w:p w14:paraId="22592DD8">
            <w:r>
              <w:rPr>
                <w:rFonts w:hint="eastAsia"/>
              </w:rPr>
              <w:t>支持自定义证书扩展域管理。</w:t>
            </w:r>
          </w:p>
        </w:tc>
      </w:tr>
    </w:tbl>
    <w:p w14:paraId="33144C18"/>
    <w:p w14:paraId="2D7CEFE1">
      <w:pPr>
        <w:pStyle w:val="4"/>
      </w:pPr>
      <w:r>
        <w:rPr>
          <w:rFonts w:hint="eastAsia"/>
        </w:rPr>
        <w:t>S</w:t>
      </w:r>
      <w:r>
        <w:t>SL</w:t>
      </w:r>
      <w:r>
        <w:rPr>
          <w:rFonts w:hint="eastAsia"/>
        </w:rPr>
        <w:t>数字证书</w:t>
      </w:r>
    </w:p>
    <w:tbl>
      <w:tblPr>
        <w:tblStyle w:val="23"/>
        <w:tblW w:w="5275" w:type="pct"/>
        <w:jc w:val="center"/>
        <w:tblLayout w:type="autofit"/>
        <w:tblCellMar>
          <w:top w:w="0" w:type="dxa"/>
          <w:left w:w="108" w:type="dxa"/>
          <w:bottom w:w="0" w:type="dxa"/>
          <w:right w:w="108" w:type="dxa"/>
        </w:tblCellMar>
      </w:tblPr>
      <w:tblGrid>
        <w:gridCol w:w="726"/>
        <w:gridCol w:w="8265"/>
      </w:tblGrid>
      <w:tr w14:paraId="5083F7E9">
        <w:tblPrEx>
          <w:tblCellMar>
            <w:top w:w="0" w:type="dxa"/>
            <w:left w:w="108" w:type="dxa"/>
            <w:bottom w:w="0" w:type="dxa"/>
            <w:right w:w="108" w:type="dxa"/>
          </w:tblCellMar>
        </w:tblPrEx>
        <w:trPr>
          <w:trHeight w:val="285" w:hRule="atLeast"/>
          <w:jc w:val="center"/>
        </w:trPr>
        <w:tc>
          <w:tcPr>
            <w:tcW w:w="404" w:type="pct"/>
            <w:tcBorders>
              <w:top w:val="single" w:color="auto" w:sz="4" w:space="0"/>
              <w:left w:val="single" w:color="auto" w:sz="4" w:space="0"/>
              <w:bottom w:val="single" w:color="auto" w:sz="4" w:space="0"/>
              <w:right w:val="single" w:color="auto" w:sz="4" w:space="0"/>
            </w:tcBorders>
            <w:shd w:val="clear" w:color="auto" w:fill="auto"/>
            <w:vAlign w:val="bottom"/>
          </w:tcPr>
          <w:p w14:paraId="10F559AD">
            <w:r>
              <w:rPr>
                <w:rFonts w:hint="eastAsia"/>
              </w:rPr>
              <w:t>序号</w:t>
            </w:r>
          </w:p>
        </w:tc>
        <w:tc>
          <w:tcPr>
            <w:tcW w:w="4595" w:type="pct"/>
            <w:tcBorders>
              <w:top w:val="single" w:color="auto" w:sz="4" w:space="0"/>
              <w:left w:val="nil"/>
              <w:bottom w:val="single" w:color="auto" w:sz="4" w:space="0"/>
              <w:right w:val="single" w:color="auto" w:sz="4" w:space="0"/>
            </w:tcBorders>
            <w:shd w:val="clear" w:color="auto" w:fill="auto"/>
            <w:vAlign w:val="center"/>
          </w:tcPr>
          <w:p w14:paraId="64593225">
            <w:r>
              <w:rPr>
                <w:rFonts w:hint="eastAsia"/>
              </w:rPr>
              <w:t>功能参数要求</w:t>
            </w:r>
          </w:p>
        </w:tc>
      </w:tr>
      <w:tr w14:paraId="2C0C2038">
        <w:tblPrEx>
          <w:tblCellMar>
            <w:top w:w="0" w:type="dxa"/>
            <w:left w:w="108" w:type="dxa"/>
            <w:bottom w:w="0" w:type="dxa"/>
            <w:right w:w="108" w:type="dxa"/>
          </w:tblCellMar>
        </w:tblPrEx>
        <w:trPr>
          <w:trHeight w:val="285" w:hRule="atLeast"/>
          <w:jc w:val="center"/>
        </w:trPr>
        <w:tc>
          <w:tcPr>
            <w:tcW w:w="404" w:type="pct"/>
            <w:tcBorders>
              <w:top w:val="single" w:color="auto" w:sz="4" w:space="0"/>
              <w:left w:val="single" w:color="auto" w:sz="4" w:space="0"/>
              <w:bottom w:val="single" w:color="auto" w:sz="4" w:space="0"/>
              <w:right w:val="single" w:color="auto" w:sz="4" w:space="0"/>
            </w:tcBorders>
            <w:shd w:val="clear" w:color="auto" w:fill="auto"/>
            <w:vAlign w:val="center"/>
          </w:tcPr>
          <w:p w14:paraId="39B58E56">
            <w:r>
              <w:rPr>
                <w:rFonts w:hint="eastAsia"/>
              </w:rPr>
              <w:t>1</w:t>
            </w:r>
          </w:p>
        </w:tc>
        <w:tc>
          <w:tcPr>
            <w:tcW w:w="4595" w:type="pct"/>
            <w:tcBorders>
              <w:top w:val="single" w:color="auto" w:sz="4" w:space="0"/>
              <w:left w:val="nil"/>
              <w:bottom w:val="single" w:color="auto" w:sz="4" w:space="0"/>
              <w:right w:val="single" w:color="auto" w:sz="4" w:space="0"/>
            </w:tcBorders>
            <w:shd w:val="clear" w:color="auto" w:fill="auto"/>
            <w:vAlign w:val="center"/>
          </w:tcPr>
          <w:p w14:paraId="58EDB03A">
            <w:pPr>
              <w:rPr>
                <w:rFonts w:ascii="Calibri" w:hAnsi="Calibri" w:eastAsia="等线"/>
              </w:rPr>
            </w:pPr>
            <w:r>
              <w:rPr>
                <w:rFonts w:hint="eastAsia"/>
              </w:rPr>
              <w:t>确保网络服务在部署SSL证书后，可启用https协议，保证网络通讯的安全（防止数据在传输过程中被窃听、篡改和仿冒）和服务端身份有效识别。</w:t>
            </w:r>
          </w:p>
        </w:tc>
      </w:tr>
      <w:tr w14:paraId="1667AF5D">
        <w:tblPrEx>
          <w:tblCellMar>
            <w:top w:w="0" w:type="dxa"/>
            <w:left w:w="108" w:type="dxa"/>
            <w:bottom w:w="0" w:type="dxa"/>
            <w:right w:w="108" w:type="dxa"/>
          </w:tblCellMar>
        </w:tblPrEx>
        <w:trPr>
          <w:trHeight w:val="570" w:hRule="atLeast"/>
          <w:jc w:val="center"/>
        </w:trPr>
        <w:tc>
          <w:tcPr>
            <w:tcW w:w="404" w:type="pct"/>
            <w:tcBorders>
              <w:top w:val="nil"/>
              <w:left w:val="single" w:color="auto" w:sz="4" w:space="0"/>
              <w:bottom w:val="single" w:color="auto" w:sz="4" w:space="0"/>
              <w:right w:val="single" w:color="auto" w:sz="4" w:space="0"/>
            </w:tcBorders>
            <w:shd w:val="clear" w:color="auto" w:fill="auto"/>
            <w:vAlign w:val="center"/>
          </w:tcPr>
          <w:p w14:paraId="76635F1C">
            <w:r>
              <w:rPr>
                <w:rFonts w:hint="eastAsia"/>
              </w:rPr>
              <w:t>2</w:t>
            </w:r>
          </w:p>
        </w:tc>
        <w:tc>
          <w:tcPr>
            <w:tcW w:w="4595" w:type="pct"/>
            <w:tcBorders>
              <w:top w:val="nil"/>
              <w:left w:val="nil"/>
              <w:bottom w:val="single" w:color="auto" w:sz="4" w:space="0"/>
              <w:right w:val="single" w:color="auto" w:sz="4" w:space="0"/>
            </w:tcBorders>
            <w:shd w:val="clear" w:color="auto" w:fill="auto"/>
            <w:vAlign w:val="center"/>
          </w:tcPr>
          <w:p w14:paraId="04ABB198">
            <w:pPr>
              <w:rPr>
                <w:rFonts w:ascii="Calibri" w:hAnsi="Calibri" w:eastAsia="等线"/>
              </w:rPr>
            </w:pPr>
            <w:r>
              <w:rPr>
                <w:rFonts w:hint="eastAsia"/>
              </w:rPr>
              <w:t>证书兼容性及安全性要求：RSA算法兼容目前主流的浏览器包括Firefox、Android、IOS、java、Windows等，要求证书为国产自主品牌（提供商标注册证），具备自主管理、审核、签发证书的能力，审核数据不能出境，（提供签发界面截图）。以上两点必须同时具备。</w:t>
            </w:r>
          </w:p>
        </w:tc>
      </w:tr>
      <w:tr w14:paraId="62BA33FE">
        <w:tblPrEx>
          <w:tblCellMar>
            <w:top w:w="0" w:type="dxa"/>
            <w:left w:w="108" w:type="dxa"/>
            <w:bottom w:w="0" w:type="dxa"/>
            <w:right w:w="108" w:type="dxa"/>
          </w:tblCellMar>
        </w:tblPrEx>
        <w:trPr>
          <w:trHeight w:val="285" w:hRule="atLeast"/>
          <w:jc w:val="center"/>
        </w:trPr>
        <w:tc>
          <w:tcPr>
            <w:tcW w:w="404" w:type="pct"/>
            <w:tcBorders>
              <w:top w:val="nil"/>
              <w:left w:val="single" w:color="auto" w:sz="4" w:space="0"/>
              <w:bottom w:val="single" w:color="auto" w:sz="4" w:space="0"/>
              <w:right w:val="single" w:color="auto" w:sz="4" w:space="0"/>
            </w:tcBorders>
            <w:shd w:val="clear" w:color="auto" w:fill="auto"/>
            <w:vAlign w:val="center"/>
          </w:tcPr>
          <w:p w14:paraId="1A6D16EA">
            <w:r>
              <w:rPr>
                <w:rFonts w:hint="eastAsia"/>
              </w:rPr>
              <w:t>3</w:t>
            </w:r>
          </w:p>
        </w:tc>
        <w:tc>
          <w:tcPr>
            <w:tcW w:w="4595" w:type="pct"/>
            <w:tcBorders>
              <w:top w:val="nil"/>
              <w:left w:val="nil"/>
              <w:bottom w:val="single" w:color="auto" w:sz="4" w:space="0"/>
              <w:right w:val="single" w:color="auto" w:sz="4" w:space="0"/>
            </w:tcBorders>
            <w:shd w:val="clear" w:color="auto" w:fill="auto"/>
            <w:vAlign w:val="center"/>
          </w:tcPr>
          <w:p w14:paraId="4636E751">
            <w:pPr>
              <w:rPr>
                <w:rFonts w:ascii="Calibri" w:hAnsi="Calibri" w:eastAsia="等线"/>
              </w:rPr>
            </w:pPr>
            <w:r>
              <w:rPr>
                <w:rFonts w:hint="eastAsia"/>
              </w:rPr>
              <w:t>SM2算法数字证书兼容360安全浏览器、奇安信可信浏览器、海泰安全浏览器、赢达信安全浏览器。（提供兼容性证明文件）</w:t>
            </w:r>
          </w:p>
        </w:tc>
      </w:tr>
      <w:tr w14:paraId="32D02199">
        <w:tblPrEx>
          <w:tblCellMar>
            <w:top w:w="0" w:type="dxa"/>
            <w:left w:w="108" w:type="dxa"/>
            <w:bottom w:w="0" w:type="dxa"/>
            <w:right w:w="108" w:type="dxa"/>
          </w:tblCellMar>
        </w:tblPrEx>
        <w:trPr>
          <w:trHeight w:val="285" w:hRule="atLeast"/>
          <w:jc w:val="center"/>
        </w:trPr>
        <w:tc>
          <w:tcPr>
            <w:tcW w:w="404" w:type="pct"/>
            <w:tcBorders>
              <w:top w:val="nil"/>
              <w:left w:val="single" w:color="auto" w:sz="4" w:space="0"/>
              <w:bottom w:val="single" w:color="auto" w:sz="4" w:space="0"/>
              <w:right w:val="single" w:color="auto" w:sz="4" w:space="0"/>
            </w:tcBorders>
            <w:shd w:val="clear" w:color="auto" w:fill="auto"/>
            <w:vAlign w:val="center"/>
          </w:tcPr>
          <w:p w14:paraId="18E38B95">
            <w:r>
              <w:rPr>
                <w:rFonts w:hint="eastAsia"/>
              </w:rPr>
              <w:t>4</w:t>
            </w:r>
          </w:p>
        </w:tc>
        <w:tc>
          <w:tcPr>
            <w:tcW w:w="4595" w:type="pct"/>
            <w:tcBorders>
              <w:top w:val="nil"/>
              <w:left w:val="nil"/>
              <w:bottom w:val="single" w:color="auto" w:sz="4" w:space="0"/>
              <w:right w:val="single" w:color="auto" w:sz="4" w:space="0"/>
            </w:tcBorders>
            <w:shd w:val="clear" w:color="auto" w:fill="auto"/>
            <w:vAlign w:val="center"/>
          </w:tcPr>
          <w:p w14:paraId="0524247C">
            <w:r>
              <w:rPr>
                <w:rFonts w:hint="eastAsia"/>
              </w:rPr>
              <w:t>符合国内、国际双标准，并支持国际RSA、国密SM2密码算法。客户信息和审核数据不出境、严格保护，全网信任。(提供证明及说明材料）</w:t>
            </w:r>
          </w:p>
        </w:tc>
      </w:tr>
      <w:tr w14:paraId="7E733C09">
        <w:tblPrEx>
          <w:tblCellMar>
            <w:top w:w="0" w:type="dxa"/>
            <w:left w:w="108" w:type="dxa"/>
            <w:bottom w:w="0" w:type="dxa"/>
            <w:right w:w="108" w:type="dxa"/>
          </w:tblCellMar>
        </w:tblPrEx>
        <w:trPr>
          <w:trHeight w:val="548" w:hRule="atLeast"/>
          <w:jc w:val="center"/>
        </w:trPr>
        <w:tc>
          <w:tcPr>
            <w:tcW w:w="404" w:type="pct"/>
            <w:tcBorders>
              <w:top w:val="nil"/>
              <w:left w:val="single" w:color="auto" w:sz="4" w:space="0"/>
              <w:bottom w:val="single" w:color="auto" w:sz="4" w:space="0"/>
              <w:right w:val="single" w:color="auto" w:sz="4" w:space="0"/>
            </w:tcBorders>
            <w:shd w:val="clear" w:color="auto" w:fill="auto"/>
            <w:vAlign w:val="center"/>
          </w:tcPr>
          <w:p w14:paraId="0EDB7356">
            <w:r>
              <w:rPr>
                <w:rFonts w:hint="eastAsia"/>
              </w:rPr>
              <w:t>5</w:t>
            </w:r>
          </w:p>
        </w:tc>
        <w:tc>
          <w:tcPr>
            <w:tcW w:w="4595" w:type="pct"/>
            <w:tcBorders>
              <w:top w:val="nil"/>
              <w:left w:val="nil"/>
              <w:bottom w:val="single" w:color="auto" w:sz="4" w:space="0"/>
              <w:right w:val="single" w:color="auto" w:sz="4" w:space="0"/>
            </w:tcBorders>
            <w:shd w:val="clear" w:color="auto" w:fill="auto"/>
            <w:vAlign w:val="center"/>
          </w:tcPr>
          <w:p w14:paraId="111DBD59">
            <w:r>
              <w:rPr>
                <w:rFonts w:hint="eastAsia"/>
              </w:rPr>
              <w:t>提供SSL证书申请、审核、签发、安装、备份、故障处理的全程一对一VIP人工服务。</w:t>
            </w:r>
          </w:p>
        </w:tc>
      </w:tr>
      <w:tr w14:paraId="4B4506F8">
        <w:tblPrEx>
          <w:tblCellMar>
            <w:top w:w="0" w:type="dxa"/>
            <w:left w:w="108" w:type="dxa"/>
            <w:bottom w:w="0" w:type="dxa"/>
            <w:right w:w="108" w:type="dxa"/>
          </w:tblCellMar>
        </w:tblPrEx>
        <w:trPr>
          <w:trHeight w:val="285" w:hRule="atLeast"/>
          <w:jc w:val="center"/>
        </w:trPr>
        <w:tc>
          <w:tcPr>
            <w:tcW w:w="404" w:type="pct"/>
            <w:tcBorders>
              <w:top w:val="nil"/>
              <w:left w:val="single" w:color="auto" w:sz="4" w:space="0"/>
              <w:bottom w:val="single" w:color="auto" w:sz="4" w:space="0"/>
              <w:right w:val="single" w:color="auto" w:sz="4" w:space="0"/>
            </w:tcBorders>
            <w:shd w:val="clear" w:color="auto" w:fill="auto"/>
            <w:vAlign w:val="center"/>
          </w:tcPr>
          <w:p w14:paraId="772554FB">
            <w:r>
              <w:rPr>
                <w:rFonts w:hint="eastAsia"/>
              </w:rPr>
              <w:t>6</w:t>
            </w:r>
          </w:p>
        </w:tc>
        <w:tc>
          <w:tcPr>
            <w:tcW w:w="4595" w:type="pct"/>
            <w:tcBorders>
              <w:top w:val="nil"/>
              <w:left w:val="nil"/>
              <w:bottom w:val="single" w:color="auto" w:sz="4" w:space="0"/>
              <w:right w:val="single" w:color="auto" w:sz="4" w:space="0"/>
            </w:tcBorders>
            <w:shd w:val="clear" w:color="auto" w:fill="auto"/>
            <w:vAlign w:val="center"/>
          </w:tcPr>
          <w:p w14:paraId="54743543">
            <w:r>
              <w:rPr>
                <w:rFonts w:hint="eastAsia"/>
              </w:rPr>
              <w:t>签发SSL证书的关键信息基础设施均应在国内有机房、数据库支持，保证整体证书签发业务可用性需大于99.95%。</w:t>
            </w:r>
          </w:p>
        </w:tc>
      </w:tr>
      <w:tr w14:paraId="59EAF4C6">
        <w:tblPrEx>
          <w:tblCellMar>
            <w:top w:w="0" w:type="dxa"/>
            <w:left w:w="108" w:type="dxa"/>
            <w:bottom w:w="0" w:type="dxa"/>
            <w:right w:w="108" w:type="dxa"/>
          </w:tblCellMar>
        </w:tblPrEx>
        <w:trPr>
          <w:trHeight w:val="570" w:hRule="atLeast"/>
          <w:jc w:val="center"/>
        </w:trPr>
        <w:tc>
          <w:tcPr>
            <w:tcW w:w="404" w:type="pct"/>
            <w:tcBorders>
              <w:top w:val="nil"/>
              <w:left w:val="single" w:color="auto" w:sz="4" w:space="0"/>
              <w:bottom w:val="single" w:color="auto" w:sz="4" w:space="0"/>
              <w:right w:val="single" w:color="auto" w:sz="4" w:space="0"/>
            </w:tcBorders>
            <w:shd w:val="clear" w:color="auto" w:fill="auto"/>
            <w:vAlign w:val="center"/>
          </w:tcPr>
          <w:p w14:paraId="2A055A7A">
            <w:r>
              <w:rPr>
                <w:rFonts w:hint="eastAsia"/>
              </w:rPr>
              <w:t>7</w:t>
            </w:r>
          </w:p>
        </w:tc>
        <w:tc>
          <w:tcPr>
            <w:tcW w:w="4595" w:type="pct"/>
            <w:tcBorders>
              <w:top w:val="nil"/>
              <w:left w:val="nil"/>
              <w:bottom w:val="single" w:color="auto" w:sz="4" w:space="0"/>
              <w:right w:val="single" w:color="auto" w:sz="4" w:space="0"/>
            </w:tcBorders>
            <w:shd w:val="clear" w:color="auto" w:fill="auto"/>
            <w:vAlign w:val="center"/>
          </w:tcPr>
          <w:p w14:paraId="09DE2536">
            <w:r>
              <w:rPr>
                <w:rFonts w:hint="eastAsia"/>
              </w:rPr>
              <w:t>SSL证书后台有OCSP\CRL不间断服务，支持国内的OCSP\CRL查询，服务均受国内网络优化，可用性需大于99.99%。</w:t>
            </w:r>
          </w:p>
        </w:tc>
      </w:tr>
    </w:tbl>
    <w:p w14:paraId="71A132F7"/>
    <w:p w14:paraId="2B0BBD0E">
      <w:pPr>
        <w:pStyle w:val="4"/>
      </w:pPr>
      <w:r>
        <w:rPr>
          <w:rFonts w:hint="eastAsia"/>
        </w:rPr>
        <w:t>安全认证网关</w:t>
      </w:r>
    </w:p>
    <w:tbl>
      <w:tblPr>
        <w:tblStyle w:val="23"/>
        <w:tblW w:w="5275" w:type="pct"/>
        <w:jc w:val="center"/>
        <w:tblLayout w:type="autofit"/>
        <w:tblCellMar>
          <w:top w:w="0" w:type="dxa"/>
          <w:left w:w="108" w:type="dxa"/>
          <w:bottom w:w="0" w:type="dxa"/>
          <w:right w:w="108" w:type="dxa"/>
        </w:tblCellMar>
      </w:tblPr>
      <w:tblGrid>
        <w:gridCol w:w="739"/>
        <w:gridCol w:w="8252"/>
      </w:tblGrid>
      <w:tr w14:paraId="18C31882">
        <w:tblPrEx>
          <w:tblCellMar>
            <w:top w:w="0" w:type="dxa"/>
            <w:left w:w="108" w:type="dxa"/>
            <w:bottom w:w="0" w:type="dxa"/>
            <w:right w:w="108" w:type="dxa"/>
          </w:tblCellMar>
        </w:tblPrEx>
        <w:trPr>
          <w:trHeight w:val="285" w:hRule="atLeast"/>
          <w:jc w:val="center"/>
        </w:trPr>
        <w:tc>
          <w:tcPr>
            <w:tcW w:w="739" w:type="dxa"/>
            <w:tcBorders>
              <w:top w:val="single" w:color="auto" w:sz="4" w:space="0"/>
              <w:left w:val="single" w:color="auto" w:sz="4" w:space="0"/>
              <w:bottom w:val="single" w:color="auto" w:sz="4" w:space="0"/>
              <w:right w:val="single" w:color="auto" w:sz="4" w:space="0"/>
            </w:tcBorders>
            <w:shd w:val="clear" w:color="auto" w:fill="auto"/>
            <w:vAlign w:val="bottom"/>
          </w:tcPr>
          <w:p w14:paraId="3FA1CCA5">
            <w:pPr>
              <w:rPr>
                <w:rFonts w:ascii="等线" w:hAnsi="等线" w:eastAsia="等线" w:cs="宋体"/>
              </w:rPr>
            </w:pPr>
            <w:r>
              <w:rPr>
                <w:rFonts w:hint="eastAsia"/>
              </w:rPr>
              <w:t>序号</w:t>
            </w:r>
          </w:p>
        </w:tc>
        <w:tc>
          <w:tcPr>
            <w:tcW w:w="8253" w:type="dxa"/>
            <w:tcBorders>
              <w:top w:val="single" w:color="auto" w:sz="4" w:space="0"/>
              <w:left w:val="nil"/>
              <w:bottom w:val="single" w:color="auto" w:sz="4" w:space="0"/>
              <w:right w:val="single" w:color="auto" w:sz="4" w:space="0"/>
            </w:tcBorders>
            <w:shd w:val="clear" w:color="auto" w:fill="auto"/>
            <w:vAlign w:val="center"/>
          </w:tcPr>
          <w:p w14:paraId="743C61B0">
            <w:pPr>
              <w:rPr>
                <w:rFonts w:ascii="Calibri" w:hAnsi="Calibri" w:eastAsia="等线" w:cs="Calibri"/>
              </w:rPr>
            </w:pPr>
            <w:r>
              <w:rPr>
                <w:rFonts w:hint="eastAsia"/>
              </w:rPr>
              <w:t>功能参数要求</w:t>
            </w:r>
          </w:p>
        </w:tc>
      </w:tr>
      <w:tr w14:paraId="516EAC11">
        <w:tblPrEx>
          <w:tblCellMar>
            <w:top w:w="0" w:type="dxa"/>
            <w:left w:w="108" w:type="dxa"/>
            <w:bottom w:w="0" w:type="dxa"/>
            <w:right w:w="108" w:type="dxa"/>
          </w:tblCellMar>
        </w:tblPrEx>
        <w:trPr>
          <w:trHeight w:val="285" w:hRule="atLeast"/>
          <w:jc w:val="center"/>
        </w:trPr>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14:paraId="030A6898">
            <w:r>
              <w:rPr>
                <w:rFonts w:hint="eastAsia"/>
              </w:rPr>
              <w:t>1</w:t>
            </w:r>
          </w:p>
        </w:tc>
        <w:tc>
          <w:tcPr>
            <w:tcW w:w="8253" w:type="dxa"/>
            <w:tcBorders>
              <w:top w:val="single" w:color="auto" w:sz="4" w:space="0"/>
              <w:left w:val="nil"/>
              <w:bottom w:val="single" w:color="auto" w:sz="4" w:space="0"/>
              <w:right w:val="single" w:color="auto" w:sz="4" w:space="0"/>
            </w:tcBorders>
            <w:shd w:val="clear" w:color="auto" w:fill="auto"/>
            <w:vAlign w:val="center"/>
          </w:tcPr>
          <w:p w14:paraId="78FAAD01">
            <w:pPr>
              <w:rPr>
                <w:rFonts w:ascii="Calibri" w:hAnsi="Calibri"/>
              </w:rPr>
            </w:pPr>
            <w:r>
              <w:rPr>
                <w:rFonts w:hint="eastAsia"/>
              </w:rPr>
              <w:t>采用</w:t>
            </w:r>
            <w:r>
              <w:t>SM2、SM3、SM4等国产密码算法，实现网络传输双向身份鉴别，通过建立基于国密算法的加密通道，</w:t>
            </w:r>
            <w:r>
              <w:rPr>
                <w:rFonts w:hint="eastAsia"/>
              </w:rPr>
              <w:t>终端用户数字证书身份验证支持当前的移动终端手机数字证书验证方式。</w:t>
            </w:r>
          </w:p>
        </w:tc>
      </w:tr>
      <w:tr w14:paraId="49F2A346">
        <w:tblPrEx>
          <w:tblCellMar>
            <w:top w:w="0" w:type="dxa"/>
            <w:left w:w="108" w:type="dxa"/>
            <w:bottom w:w="0" w:type="dxa"/>
            <w:right w:w="108" w:type="dxa"/>
          </w:tblCellMar>
        </w:tblPrEx>
        <w:trPr>
          <w:trHeight w:val="285" w:hRule="atLeast"/>
          <w:jc w:val="center"/>
        </w:trPr>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14:paraId="39DB9CDB">
            <w:r>
              <w:t>2</w:t>
            </w:r>
          </w:p>
        </w:tc>
        <w:tc>
          <w:tcPr>
            <w:tcW w:w="8253" w:type="dxa"/>
            <w:tcBorders>
              <w:top w:val="single" w:color="auto" w:sz="4" w:space="0"/>
              <w:left w:val="nil"/>
              <w:bottom w:val="single" w:color="auto" w:sz="4" w:space="0"/>
              <w:right w:val="single" w:color="auto" w:sz="4" w:space="0"/>
            </w:tcBorders>
            <w:shd w:val="clear" w:color="auto" w:fill="auto"/>
            <w:vAlign w:val="center"/>
          </w:tcPr>
          <w:p w14:paraId="11D3155F">
            <w:r>
              <w:rPr>
                <w:rFonts w:hint="eastAsia"/>
              </w:rPr>
              <w:t>具有证书及校验文件管理模块，主要实现证书的导入及管理，负责</w:t>
            </w:r>
            <w:r>
              <w:rPr>
                <w:rFonts w:ascii="Calibri" w:hAnsi="Calibri" w:eastAsia="等线"/>
              </w:rPr>
              <w:t>CRL</w:t>
            </w:r>
            <w:r>
              <w:rPr>
                <w:rFonts w:hint="eastAsia"/>
              </w:rPr>
              <w:t>校验和证书链校验的配置管理。</w:t>
            </w:r>
          </w:p>
        </w:tc>
      </w:tr>
      <w:tr w14:paraId="62BF6F79">
        <w:tblPrEx>
          <w:tblCellMar>
            <w:top w:w="0" w:type="dxa"/>
            <w:left w:w="108" w:type="dxa"/>
            <w:bottom w:w="0" w:type="dxa"/>
            <w:right w:w="108" w:type="dxa"/>
          </w:tblCellMar>
        </w:tblPrEx>
        <w:trPr>
          <w:trHeight w:val="570"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44B725F1">
            <w:r>
              <w:t>3</w:t>
            </w:r>
          </w:p>
        </w:tc>
        <w:tc>
          <w:tcPr>
            <w:tcW w:w="8253" w:type="dxa"/>
            <w:tcBorders>
              <w:top w:val="nil"/>
              <w:left w:val="nil"/>
              <w:bottom w:val="single" w:color="auto" w:sz="4" w:space="0"/>
              <w:right w:val="single" w:color="auto" w:sz="4" w:space="0"/>
            </w:tcBorders>
            <w:shd w:val="clear" w:color="auto" w:fill="auto"/>
            <w:vAlign w:val="center"/>
          </w:tcPr>
          <w:p w14:paraId="2384BD56">
            <w:pPr>
              <w:rPr>
                <w:rFonts w:ascii="Calibri" w:hAnsi="Calibri" w:eastAsia="等线"/>
              </w:rPr>
            </w:pPr>
            <w:r>
              <w:rPr>
                <w:rFonts w:hint="eastAsia"/>
              </w:rPr>
              <w:t>具有隧道管理和代理配置模块，主要包含隧道添加和管理配置功能（包括隧道证书选择、客户端校验、加密协议及算法等配置），代理配置文件生成功能（支持</w:t>
            </w:r>
            <w:r>
              <w:rPr>
                <w:rFonts w:ascii="Calibri" w:hAnsi="Calibri" w:eastAsia="等线"/>
              </w:rPr>
              <w:t>ssh/sftp/telnet</w:t>
            </w:r>
            <w:r>
              <w:rPr>
                <w:rFonts w:hint="eastAsia"/>
              </w:rPr>
              <w:t>配置），链路启停相关操作等业务功能。（提供产品功能截图）</w:t>
            </w:r>
          </w:p>
        </w:tc>
      </w:tr>
      <w:tr w14:paraId="2FA643B5">
        <w:tblPrEx>
          <w:tblCellMar>
            <w:top w:w="0" w:type="dxa"/>
            <w:left w:w="108" w:type="dxa"/>
            <w:bottom w:w="0" w:type="dxa"/>
            <w:right w:w="108" w:type="dxa"/>
          </w:tblCellMar>
        </w:tblPrEx>
        <w:trPr>
          <w:trHeight w:val="285"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2880B6A1">
            <w:r>
              <w:t>4</w:t>
            </w:r>
          </w:p>
        </w:tc>
        <w:tc>
          <w:tcPr>
            <w:tcW w:w="8253" w:type="dxa"/>
            <w:tcBorders>
              <w:top w:val="nil"/>
              <w:left w:val="nil"/>
              <w:bottom w:val="single" w:color="auto" w:sz="4" w:space="0"/>
              <w:right w:val="single" w:color="auto" w:sz="4" w:space="0"/>
            </w:tcBorders>
            <w:shd w:val="clear" w:color="auto" w:fill="auto"/>
            <w:vAlign w:val="center"/>
          </w:tcPr>
          <w:p w14:paraId="2ADEFA3B">
            <w:pPr>
              <w:rPr>
                <w:rFonts w:ascii="Calibri" w:hAnsi="Calibri" w:eastAsia="等线"/>
              </w:rPr>
            </w:pPr>
            <w:r>
              <w:rPr>
                <w:rFonts w:hint="eastAsia"/>
              </w:rPr>
              <w:t>具有日志管理审计模块，主要面向用户提供管理员登录和操作日志的查询、审计以及用户访问日志记录等功能。</w:t>
            </w:r>
          </w:p>
        </w:tc>
      </w:tr>
      <w:tr w14:paraId="3A73E181">
        <w:tblPrEx>
          <w:tblCellMar>
            <w:top w:w="0" w:type="dxa"/>
            <w:left w:w="108" w:type="dxa"/>
            <w:bottom w:w="0" w:type="dxa"/>
            <w:right w:w="108" w:type="dxa"/>
          </w:tblCellMar>
        </w:tblPrEx>
        <w:trPr>
          <w:trHeight w:val="285"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25039990">
            <w:r>
              <w:t>5</w:t>
            </w:r>
          </w:p>
        </w:tc>
        <w:tc>
          <w:tcPr>
            <w:tcW w:w="8253" w:type="dxa"/>
            <w:tcBorders>
              <w:top w:val="nil"/>
              <w:left w:val="nil"/>
              <w:bottom w:val="single" w:color="auto" w:sz="4" w:space="0"/>
              <w:right w:val="single" w:color="auto" w:sz="4" w:space="0"/>
            </w:tcBorders>
            <w:shd w:val="clear" w:color="auto" w:fill="auto"/>
            <w:vAlign w:val="center"/>
          </w:tcPr>
          <w:p w14:paraId="3114086A">
            <w:pPr>
              <w:rPr>
                <w:rFonts w:ascii="Calibri" w:hAnsi="Calibri" w:eastAsia="等线"/>
              </w:rPr>
            </w:pPr>
            <w:r>
              <w:rPr>
                <w:rFonts w:hint="eastAsia"/>
              </w:rPr>
              <w:t>具有系统相关模块，主要是对系统资源、内存使用、流量网速的监控以及管理员的管理等。</w:t>
            </w:r>
          </w:p>
        </w:tc>
      </w:tr>
      <w:tr w14:paraId="5E13C6A7">
        <w:tblPrEx>
          <w:tblCellMar>
            <w:top w:w="0" w:type="dxa"/>
            <w:left w:w="108" w:type="dxa"/>
            <w:bottom w:w="0" w:type="dxa"/>
            <w:right w:w="108" w:type="dxa"/>
          </w:tblCellMar>
        </w:tblPrEx>
        <w:trPr>
          <w:trHeight w:val="548"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096715E0">
            <w:r>
              <w:t>6</w:t>
            </w:r>
          </w:p>
        </w:tc>
        <w:tc>
          <w:tcPr>
            <w:tcW w:w="8253" w:type="dxa"/>
            <w:tcBorders>
              <w:top w:val="nil"/>
              <w:left w:val="nil"/>
              <w:bottom w:val="single" w:color="auto" w:sz="4" w:space="0"/>
              <w:right w:val="single" w:color="auto" w:sz="4" w:space="0"/>
            </w:tcBorders>
            <w:shd w:val="clear" w:color="auto" w:fill="auto"/>
            <w:vAlign w:val="center"/>
          </w:tcPr>
          <w:p w14:paraId="4D6E042C">
            <w:pPr>
              <w:rPr>
                <w:rFonts w:ascii="Calibri" w:hAnsi="Calibri" w:eastAsia="等线"/>
              </w:rPr>
            </w:pPr>
            <w:r>
              <w:rPr>
                <w:rFonts w:hint="eastAsia"/>
              </w:rPr>
              <w:t>链路加密证书管理功能：系统可实现链路加密证书的管理功能，支持</w:t>
            </w:r>
            <w:r>
              <w:rPr>
                <w:rFonts w:ascii="Calibri" w:hAnsi="Calibri" w:eastAsia="等线"/>
              </w:rPr>
              <w:t>RSA</w:t>
            </w:r>
            <w:r>
              <w:rPr>
                <w:rFonts w:hint="eastAsia"/>
              </w:rPr>
              <w:t>和</w:t>
            </w:r>
            <w:r>
              <w:rPr>
                <w:rFonts w:ascii="Calibri" w:hAnsi="Calibri" w:eastAsia="等线"/>
              </w:rPr>
              <w:t>SM2</w:t>
            </w:r>
            <w:r>
              <w:rPr>
                <w:rFonts w:hint="eastAsia"/>
              </w:rPr>
              <w:t>证书的外部直接导入和内部生成文件用户自签导入。</w:t>
            </w:r>
          </w:p>
        </w:tc>
      </w:tr>
      <w:tr w14:paraId="0C6DF33E">
        <w:tblPrEx>
          <w:tblCellMar>
            <w:top w:w="0" w:type="dxa"/>
            <w:left w:w="108" w:type="dxa"/>
            <w:bottom w:w="0" w:type="dxa"/>
            <w:right w:w="108" w:type="dxa"/>
          </w:tblCellMar>
        </w:tblPrEx>
        <w:trPr>
          <w:trHeight w:val="285"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3844344E">
            <w:r>
              <w:t>7</w:t>
            </w:r>
          </w:p>
        </w:tc>
        <w:tc>
          <w:tcPr>
            <w:tcW w:w="8253" w:type="dxa"/>
            <w:tcBorders>
              <w:top w:val="nil"/>
              <w:left w:val="nil"/>
              <w:bottom w:val="single" w:color="auto" w:sz="4" w:space="0"/>
              <w:right w:val="single" w:color="auto" w:sz="4" w:space="0"/>
            </w:tcBorders>
            <w:shd w:val="clear" w:color="auto" w:fill="auto"/>
            <w:vAlign w:val="center"/>
          </w:tcPr>
          <w:p w14:paraId="79104933">
            <w:pPr>
              <w:rPr>
                <w:rFonts w:ascii="Calibri" w:hAnsi="Calibri" w:eastAsia="等线"/>
              </w:rPr>
            </w:pPr>
            <w:r>
              <w:rPr>
                <w:rFonts w:ascii="Calibri" w:hAnsi="Calibri" w:eastAsia="等线"/>
              </w:rPr>
              <w:t>CRL</w:t>
            </w:r>
            <w:r>
              <w:rPr>
                <w:rFonts w:hint="eastAsia"/>
              </w:rPr>
              <w:t>和证书链配置功能：支持对客户端证书、服务端证书吊销列表</w:t>
            </w:r>
            <w:r>
              <w:rPr>
                <w:rFonts w:ascii="Calibri" w:hAnsi="Calibri" w:eastAsia="等线"/>
              </w:rPr>
              <w:t>CRL</w:t>
            </w:r>
            <w:r>
              <w:rPr>
                <w:rFonts w:hint="eastAsia"/>
              </w:rPr>
              <w:t>和校验证书链的导入和管理。</w:t>
            </w:r>
          </w:p>
        </w:tc>
      </w:tr>
      <w:tr w14:paraId="19034EAF">
        <w:tblPrEx>
          <w:tblCellMar>
            <w:top w:w="0" w:type="dxa"/>
            <w:left w:w="108" w:type="dxa"/>
            <w:bottom w:w="0" w:type="dxa"/>
            <w:right w:w="108" w:type="dxa"/>
          </w:tblCellMar>
        </w:tblPrEx>
        <w:trPr>
          <w:trHeight w:val="570"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6A7B734F">
            <w:r>
              <w:t>8</w:t>
            </w:r>
          </w:p>
        </w:tc>
        <w:tc>
          <w:tcPr>
            <w:tcW w:w="8253" w:type="dxa"/>
            <w:tcBorders>
              <w:top w:val="nil"/>
              <w:left w:val="nil"/>
              <w:bottom w:val="single" w:color="auto" w:sz="4" w:space="0"/>
              <w:right w:val="single" w:color="auto" w:sz="4" w:space="0"/>
            </w:tcBorders>
            <w:shd w:val="clear" w:color="auto" w:fill="auto"/>
            <w:vAlign w:val="center"/>
          </w:tcPr>
          <w:p w14:paraId="66C5A3E2">
            <w:r>
              <w:rPr>
                <w:rFonts w:hint="eastAsia"/>
              </w:rPr>
              <w:t>代理配置功能：系统提供代理配置页面，可实现根据页面填写的配置生成对应链路的四层和七层代理配置文件，通过访问链路配置监听的代理路径地址访问目的地址的功能，支持对代理地址的轮询、</w:t>
            </w:r>
            <w:r>
              <w:t>ip_hash</w:t>
            </w:r>
            <w:r>
              <w:rPr>
                <w:rFonts w:hint="eastAsia"/>
              </w:rPr>
              <w:t>负载配置。（提供产品功能截图）</w:t>
            </w:r>
          </w:p>
        </w:tc>
      </w:tr>
      <w:tr w14:paraId="43F1E539">
        <w:tblPrEx>
          <w:tblCellMar>
            <w:top w:w="0" w:type="dxa"/>
            <w:left w:w="108" w:type="dxa"/>
            <w:bottom w:w="0" w:type="dxa"/>
            <w:right w:w="108" w:type="dxa"/>
          </w:tblCellMar>
        </w:tblPrEx>
        <w:trPr>
          <w:trHeight w:val="285"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02366F23">
            <w:r>
              <w:t>9</w:t>
            </w:r>
          </w:p>
        </w:tc>
        <w:tc>
          <w:tcPr>
            <w:tcW w:w="8253" w:type="dxa"/>
            <w:tcBorders>
              <w:top w:val="nil"/>
              <w:left w:val="nil"/>
              <w:bottom w:val="single" w:color="auto" w:sz="4" w:space="0"/>
              <w:right w:val="single" w:color="auto" w:sz="4" w:space="0"/>
            </w:tcBorders>
            <w:shd w:val="clear" w:color="auto" w:fill="auto"/>
            <w:vAlign w:val="center"/>
          </w:tcPr>
          <w:p w14:paraId="4A176116">
            <w:pPr>
              <w:rPr>
                <w:rFonts w:ascii="Calibri" w:hAnsi="Calibri" w:eastAsia="等线"/>
              </w:rPr>
            </w:pPr>
            <w:r>
              <w:rPr>
                <w:rFonts w:hint="eastAsia"/>
              </w:rPr>
              <w:t>链路操作功能：能提供通过管理页面操作链路的功能，包括启用、停用、重启访问链路以及配置文件的格式化。</w:t>
            </w:r>
          </w:p>
        </w:tc>
      </w:tr>
      <w:tr w14:paraId="2D20691F">
        <w:tblPrEx>
          <w:tblCellMar>
            <w:top w:w="0" w:type="dxa"/>
            <w:left w:w="108" w:type="dxa"/>
            <w:bottom w:w="0" w:type="dxa"/>
            <w:right w:w="108" w:type="dxa"/>
          </w:tblCellMar>
        </w:tblPrEx>
        <w:trPr>
          <w:trHeight w:val="833"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3801E532">
            <w:r>
              <w:t>10</w:t>
            </w:r>
          </w:p>
        </w:tc>
        <w:tc>
          <w:tcPr>
            <w:tcW w:w="8253" w:type="dxa"/>
            <w:tcBorders>
              <w:top w:val="nil"/>
              <w:left w:val="nil"/>
              <w:bottom w:val="single" w:color="auto" w:sz="4" w:space="0"/>
              <w:right w:val="single" w:color="auto" w:sz="4" w:space="0"/>
            </w:tcBorders>
            <w:shd w:val="clear" w:color="auto" w:fill="auto"/>
            <w:vAlign w:val="center"/>
          </w:tcPr>
          <w:p w14:paraId="48E1CF25">
            <w:pPr>
              <w:rPr>
                <w:rFonts w:ascii="Calibri" w:hAnsi="Calibri" w:eastAsia="等线"/>
              </w:rPr>
            </w:pPr>
            <w:r>
              <w:rPr>
                <w:rFonts w:hint="eastAsia"/>
              </w:rPr>
              <w:t>隧道管理功能：提供隧道管理添加、展示的界面和功能。可通过添加隧道，整合转发链路中对应的吊销列表</w:t>
            </w:r>
            <w:r>
              <w:rPr>
                <w:rFonts w:ascii="Calibri" w:hAnsi="Calibri" w:eastAsia="等线"/>
              </w:rPr>
              <w:t>CRL</w:t>
            </w:r>
            <w:r>
              <w:rPr>
                <w:rFonts w:hint="eastAsia"/>
              </w:rPr>
              <w:t>、证书链校验、加密证书、加密算法、加密协议、转发代理等配置。生成的隧道链路支持在标准的</w:t>
            </w:r>
            <w:r>
              <w:rPr>
                <w:rFonts w:ascii="Calibri" w:hAnsi="Calibri" w:eastAsia="等线"/>
              </w:rPr>
              <w:t>SSL/TLS</w:t>
            </w:r>
            <w:r>
              <w:rPr>
                <w:rFonts w:hint="eastAsia"/>
              </w:rPr>
              <w:t>协议下实现数据加密传输。（提供产品功能截图）</w:t>
            </w:r>
          </w:p>
        </w:tc>
      </w:tr>
      <w:tr w14:paraId="067089C2">
        <w:tblPrEx>
          <w:tblCellMar>
            <w:top w:w="0" w:type="dxa"/>
            <w:left w:w="108" w:type="dxa"/>
            <w:bottom w:w="0" w:type="dxa"/>
            <w:right w:w="108" w:type="dxa"/>
          </w:tblCellMar>
        </w:tblPrEx>
        <w:trPr>
          <w:trHeight w:val="548"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5DCAF435">
            <w:r>
              <w:t>11</w:t>
            </w:r>
          </w:p>
        </w:tc>
        <w:tc>
          <w:tcPr>
            <w:tcW w:w="8253" w:type="dxa"/>
            <w:tcBorders>
              <w:top w:val="nil"/>
              <w:left w:val="nil"/>
              <w:bottom w:val="single" w:color="auto" w:sz="4" w:space="0"/>
              <w:right w:val="single" w:color="auto" w:sz="4" w:space="0"/>
            </w:tcBorders>
            <w:shd w:val="clear" w:color="auto" w:fill="auto"/>
            <w:vAlign w:val="center"/>
          </w:tcPr>
          <w:p w14:paraId="1958FA22">
            <w:pPr>
              <w:rPr>
                <w:rFonts w:ascii="Calibri" w:hAnsi="Calibri" w:eastAsia="等线"/>
              </w:rPr>
            </w:pPr>
            <w:r>
              <w:rPr>
                <w:rFonts w:hint="eastAsia"/>
              </w:rPr>
              <w:t>系统监控功能：能提供实时显示服务器系统资源使用量和访问流量的面板，主要展示</w:t>
            </w:r>
            <w:r>
              <w:rPr>
                <w:rFonts w:ascii="Calibri" w:hAnsi="Calibri" w:eastAsia="等线"/>
              </w:rPr>
              <w:t>CPU</w:t>
            </w:r>
            <w:r>
              <w:rPr>
                <w:rFonts w:hint="eastAsia"/>
              </w:rPr>
              <w:t>使用率、磁盘空间状态以及实时的上传、下载流量秒速和总流量数据等。</w:t>
            </w:r>
          </w:p>
        </w:tc>
      </w:tr>
      <w:tr w14:paraId="3BB1B333">
        <w:tblPrEx>
          <w:tblCellMar>
            <w:top w:w="0" w:type="dxa"/>
            <w:left w:w="108" w:type="dxa"/>
            <w:bottom w:w="0" w:type="dxa"/>
            <w:right w:w="108" w:type="dxa"/>
          </w:tblCellMar>
        </w:tblPrEx>
        <w:trPr>
          <w:trHeight w:val="548"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1F44CD7E">
            <w:r>
              <w:t>12</w:t>
            </w:r>
          </w:p>
        </w:tc>
        <w:tc>
          <w:tcPr>
            <w:tcW w:w="8253" w:type="dxa"/>
            <w:tcBorders>
              <w:top w:val="nil"/>
              <w:left w:val="nil"/>
              <w:bottom w:val="single" w:color="auto" w:sz="4" w:space="0"/>
              <w:right w:val="single" w:color="auto" w:sz="4" w:space="0"/>
            </w:tcBorders>
            <w:shd w:val="clear" w:color="auto" w:fill="auto"/>
            <w:vAlign w:val="center"/>
          </w:tcPr>
          <w:p w14:paraId="79348419">
            <w:pPr>
              <w:rPr>
                <w:rFonts w:ascii="Calibri" w:hAnsi="Calibri" w:eastAsia="等线"/>
              </w:rPr>
            </w:pPr>
            <w:r>
              <w:rPr>
                <w:rFonts w:hint="eastAsia"/>
              </w:rPr>
              <w:t>日志管理功能：提供详尽的管理员日志和访问日志管理功能。管理员日志能记录系统管理员所有的业务操作日志，包括系统登录、配置修改、服务操作等记录。访问日志能记录具体用户访问对应资源时的相关信息。</w:t>
            </w:r>
          </w:p>
        </w:tc>
      </w:tr>
      <w:tr w14:paraId="55EB4548">
        <w:tblPrEx>
          <w:tblCellMar>
            <w:top w:w="0" w:type="dxa"/>
            <w:left w:w="108" w:type="dxa"/>
            <w:bottom w:w="0" w:type="dxa"/>
            <w:right w:w="108" w:type="dxa"/>
          </w:tblCellMar>
        </w:tblPrEx>
        <w:trPr>
          <w:trHeight w:val="285"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2B7E2ADD">
            <w:r>
              <w:rPr>
                <w:rFonts w:hint="eastAsia"/>
              </w:rPr>
              <w:t>1</w:t>
            </w:r>
            <w:r>
              <w:t>3</w:t>
            </w:r>
          </w:p>
        </w:tc>
        <w:tc>
          <w:tcPr>
            <w:tcW w:w="8253" w:type="dxa"/>
            <w:tcBorders>
              <w:top w:val="nil"/>
              <w:left w:val="nil"/>
              <w:bottom w:val="single" w:color="auto" w:sz="4" w:space="0"/>
              <w:right w:val="single" w:color="auto" w:sz="4" w:space="0"/>
            </w:tcBorders>
            <w:shd w:val="clear" w:color="auto" w:fill="auto"/>
            <w:vAlign w:val="center"/>
          </w:tcPr>
          <w:p w14:paraId="52511E7F">
            <w:pPr>
              <w:rPr>
                <w:rFonts w:ascii="Calibri" w:hAnsi="Calibri" w:eastAsia="等线"/>
              </w:rPr>
            </w:pPr>
            <w:r>
              <w:rPr>
                <w:rFonts w:hint="eastAsia"/>
              </w:rPr>
              <w:t>日志审计功能：能提供管理员操作日志的验证审计，保证日志记录的可靠性。</w:t>
            </w:r>
          </w:p>
        </w:tc>
      </w:tr>
      <w:tr w14:paraId="46EC0689">
        <w:tblPrEx>
          <w:tblCellMar>
            <w:top w:w="0" w:type="dxa"/>
            <w:left w:w="108" w:type="dxa"/>
            <w:bottom w:w="0" w:type="dxa"/>
            <w:right w:w="108" w:type="dxa"/>
          </w:tblCellMar>
        </w:tblPrEx>
        <w:trPr>
          <w:trHeight w:val="548"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03BD8FD2">
            <w:r>
              <w:rPr>
                <w:rFonts w:hint="eastAsia"/>
              </w:rPr>
              <w:t>1</w:t>
            </w:r>
            <w:r>
              <w:t>4</w:t>
            </w:r>
          </w:p>
        </w:tc>
        <w:tc>
          <w:tcPr>
            <w:tcW w:w="8253" w:type="dxa"/>
            <w:tcBorders>
              <w:top w:val="nil"/>
              <w:left w:val="nil"/>
              <w:bottom w:val="single" w:color="auto" w:sz="4" w:space="0"/>
              <w:right w:val="single" w:color="auto" w:sz="4" w:space="0"/>
            </w:tcBorders>
            <w:shd w:val="clear" w:color="auto" w:fill="auto"/>
            <w:vAlign w:val="center"/>
          </w:tcPr>
          <w:p w14:paraId="004B9F78">
            <w:pPr>
              <w:rPr>
                <w:rFonts w:ascii="Calibri" w:hAnsi="Calibri" w:eastAsia="等线"/>
              </w:rPr>
            </w:pPr>
            <w:r>
              <w:rPr>
                <w:rFonts w:hint="eastAsia"/>
              </w:rPr>
              <w:t>具备完善的三级管理员权限配置体系和管理审计分离管理体系。支持系统初始化人员管理、管理员管理、操作员管理等分级管理配置，支持系统和业务管理与审计分离管理原则。</w:t>
            </w:r>
          </w:p>
        </w:tc>
      </w:tr>
      <w:tr w14:paraId="0C2D6797">
        <w:tblPrEx>
          <w:tblCellMar>
            <w:top w:w="0" w:type="dxa"/>
            <w:left w:w="108" w:type="dxa"/>
            <w:bottom w:w="0" w:type="dxa"/>
            <w:right w:w="108" w:type="dxa"/>
          </w:tblCellMar>
        </w:tblPrEx>
        <w:trPr>
          <w:trHeight w:val="548"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10367C96">
            <w:r>
              <w:rPr>
                <w:rFonts w:hint="eastAsia"/>
              </w:rPr>
              <w:t>1</w:t>
            </w:r>
            <w:r>
              <w:t>5</w:t>
            </w:r>
          </w:p>
        </w:tc>
        <w:tc>
          <w:tcPr>
            <w:tcW w:w="8253" w:type="dxa"/>
            <w:tcBorders>
              <w:top w:val="nil"/>
              <w:left w:val="nil"/>
              <w:bottom w:val="single" w:color="auto" w:sz="4" w:space="0"/>
              <w:right w:val="single" w:color="auto" w:sz="4" w:space="0"/>
            </w:tcBorders>
            <w:shd w:val="clear" w:color="auto" w:fill="auto"/>
            <w:vAlign w:val="center"/>
          </w:tcPr>
          <w:p w14:paraId="6C0D6C8D">
            <w:pPr>
              <w:rPr>
                <w:rFonts w:ascii="Calibri" w:hAnsi="Calibri" w:eastAsia="等线"/>
              </w:rPr>
            </w:pPr>
            <w:r>
              <w:rPr>
                <w:rFonts w:hint="eastAsia"/>
              </w:rPr>
              <w:t>具备数据和配置备份恢复功能：提供数据备份、恢复功能，为管理员提供基于</w:t>
            </w:r>
            <w:r>
              <w:rPr>
                <w:rFonts w:ascii="Calibri" w:hAnsi="Calibri" w:eastAsia="等线"/>
              </w:rPr>
              <w:t>web</w:t>
            </w:r>
            <w:r>
              <w:rPr>
                <w:rFonts w:hint="eastAsia"/>
              </w:rPr>
              <w:t>页面的操作界面实现数据备份、恢复，降低系统维护复杂度。</w:t>
            </w:r>
          </w:p>
        </w:tc>
      </w:tr>
      <w:tr w14:paraId="7BB2B1B2">
        <w:tblPrEx>
          <w:tblCellMar>
            <w:top w:w="0" w:type="dxa"/>
            <w:left w:w="108" w:type="dxa"/>
            <w:bottom w:w="0" w:type="dxa"/>
            <w:right w:w="108" w:type="dxa"/>
          </w:tblCellMar>
        </w:tblPrEx>
        <w:trPr>
          <w:trHeight w:val="285"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4A7E57A0">
            <w:r>
              <w:rPr>
                <w:rFonts w:hint="eastAsia"/>
              </w:rPr>
              <w:t>1</w:t>
            </w:r>
            <w:r>
              <w:t>6</w:t>
            </w:r>
          </w:p>
        </w:tc>
        <w:tc>
          <w:tcPr>
            <w:tcW w:w="8253" w:type="dxa"/>
            <w:tcBorders>
              <w:top w:val="nil"/>
              <w:left w:val="nil"/>
              <w:bottom w:val="single" w:color="auto" w:sz="4" w:space="0"/>
              <w:right w:val="single" w:color="auto" w:sz="4" w:space="0"/>
            </w:tcBorders>
            <w:shd w:val="clear" w:color="auto" w:fill="auto"/>
            <w:vAlign w:val="center"/>
          </w:tcPr>
          <w:p w14:paraId="4AD70DC9">
            <w:pPr>
              <w:rPr>
                <w:rFonts w:ascii="Calibri" w:hAnsi="Calibri" w:eastAsia="等线"/>
              </w:rPr>
            </w:pPr>
            <w:r>
              <w:rPr>
                <w:rFonts w:hint="eastAsia"/>
              </w:rPr>
              <w:t>提供基于</w:t>
            </w:r>
            <w:r>
              <w:rPr>
                <w:rFonts w:ascii="Calibri" w:hAnsi="Calibri" w:eastAsia="等线"/>
              </w:rPr>
              <w:t>web</w:t>
            </w:r>
            <w:r>
              <w:rPr>
                <w:rFonts w:hint="eastAsia"/>
              </w:rPr>
              <w:t>页面操作方式的系统升级和版本更新功能</w:t>
            </w:r>
          </w:p>
        </w:tc>
      </w:tr>
      <w:tr w14:paraId="09F7BEF7">
        <w:tblPrEx>
          <w:tblCellMar>
            <w:top w:w="0" w:type="dxa"/>
            <w:left w:w="108" w:type="dxa"/>
            <w:bottom w:w="0" w:type="dxa"/>
            <w:right w:w="108" w:type="dxa"/>
          </w:tblCellMar>
        </w:tblPrEx>
        <w:trPr>
          <w:trHeight w:val="285"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229F313B">
            <w:r>
              <w:rPr>
                <w:rFonts w:hint="eastAsia"/>
              </w:rPr>
              <w:t>1</w:t>
            </w:r>
            <w:r>
              <w:t>7</w:t>
            </w:r>
          </w:p>
        </w:tc>
        <w:tc>
          <w:tcPr>
            <w:tcW w:w="8253" w:type="dxa"/>
            <w:tcBorders>
              <w:top w:val="nil"/>
              <w:left w:val="nil"/>
              <w:bottom w:val="single" w:color="auto" w:sz="4" w:space="0"/>
              <w:right w:val="single" w:color="auto" w:sz="4" w:space="0"/>
            </w:tcBorders>
            <w:shd w:val="clear" w:color="auto" w:fill="auto"/>
            <w:vAlign w:val="center"/>
          </w:tcPr>
          <w:p w14:paraId="528D3A7E">
            <w:r>
              <w:rPr>
                <w:rFonts w:hint="eastAsia"/>
              </w:rPr>
              <w:t>性能参数：</w:t>
            </w:r>
          </w:p>
          <w:p w14:paraId="5B02BF17">
            <w:r>
              <w:rPr>
                <w:rFonts w:hint="eastAsia"/>
              </w:rPr>
              <w:t>最大并发连接  SM4-SM3不小于30000 次连接</w:t>
            </w:r>
          </w:p>
          <w:p w14:paraId="3C14FFD2">
            <w:r>
              <w:rPr>
                <w:rFonts w:hint="eastAsia"/>
              </w:rPr>
              <w:t>吞吐率 SM4-SM3 不小于  800 Mbps/秒</w:t>
            </w:r>
          </w:p>
          <w:p w14:paraId="4A06FDF7">
            <w:pPr>
              <w:rPr>
                <w:rFonts w:ascii="Calibri" w:hAnsi="Calibri" w:eastAsia="等线"/>
              </w:rPr>
            </w:pPr>
            <w:r>
              <w:rPr>
                <w:rFonts w:hint="eastAsia"/>
              </w:rPr>
              <w:t>新建连接数 SM4-SM3不小于1000次连接/秒</w:t>
            </w:r>
          </w:p>
        </w:tc>
      </w:tr>
      <w:tr w14:paraId="2157898C">
        <w:tblPrEx>
          <w:tblCellMar>
            <w:top w:w="0" w:type="dxa"/>
            <w:left w:w="108" w:type="dxa"/>
            <w:bottom w:w="0" w:type="dxa"/>
            <w:right w:w="108" w:type="dxa"/>
          </w:tblCellMar>
        </w:tblPrEx>
        <w:trPr>
          <w:trHeight w:val="285"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08D5131E">
            <w:r>
              <w:rPr>
                <w:rFonts w:hint="eastAsia"/>
              </w:rPr>
              <w:t>1</w:t>
            </w:r>
            <w:r>
              <w:t>8</w:t>
            </w:r>
          </w:p>
        </w:tc>
        <w:tc>
          <w:tcPr>
            <w:tcW w:w="8253" w:type="dxa"/>
            <w:tcBorders>
              <w:top w:val="nil"/>
              <w:left w:val="nil"/>
              <w:bottom w:val="single" w:color="auto" w:sz="4" w:space="0"/>
              <w:right w:val="single" w:color="auto" w:sz="4" w:space="0"/>
            </w:tcBorders>
            <w:shd w:val="clear" w:color="auto" w:fill="auto"/>
            <w:vAlign w:val="center"/>
          </w:tcPr>
          <w:p w14:paraId="32C1B2A9">
            <w:r>
              <w:rPr>
                <w:rFonts w:hint="eastAsia"/>
              </w:rPr>
              <w:t>国产化硬件：CPU、内存、主板、冗余双电源、密码卡等核心部件均采用国产化硬件。</w:t>
            </w:r>
          </w:p>
          <w:p w14:paraId="66AC9BA1">
            <w:r>
              <w:rPr>
                <w:rFonts w:hint="eastAsia"/>
              </w:rPr>
              <w:t>≥1块双端口万兆网卡及配套光模块和光纤跳线。</w:t>
            </w:r>
          </w:p>
        </w:tc>
      </w:tr>
      <w:tr w14:paraId="3667F87E">
        <w:tblPrEx>
          <w:tblCellMar>
            <w:top w:w="0" w:type="dxa"/>
            <w:left w:w="108" w:type="dxa"/>
            <w:bottom w:w="0" w:type="dxa"/>
            <w:right w:w="108" w:type="dxa"/>
          </w:tblCellMar>
        </w:tblPrEx>
        <w:trPr>
          <w:trHeight w:val="285" w:hRule="atLeast"/>
          <w:jc w:val="center"/>
        </w:trPr>
        <w:tc>
          <w:tcPr>
            <w:tcW w:w="739" w:type="dxa"/>
            <w:tcBorders>
              <w:top w:val="nil"/>
              <w:left w:val="single" w:color="auto" w:sz="4" w:space="0"/>
              <w:bottom w:val="single" w:color="auto" w:sz="4" w:space="0"/>
              <w:right w:val="single" w:color="auto" w:sz="4" w:space="0"/>
            </w:tcBorders>
            <w:shd w:val="clear" w:color="auto" w:fill="auto"/>
            <w:vAlign w:val="bottom"/>
          </w:tcPr>
          <w:p w14:paraId="59D174CB">
            <w:r>
              <w:rPr>
                <w:rFonts w:hint="eastAsia"/>
              </w:rPr>
              <w:t>序号</w:t>
            </w:r>
          </w:p>
        </w:tc>
        <w:tc>
          <w:tcPr>
            <w:tcW w:w="8253" w:type="dxa"/>
            <w:tcBorders>
              <w:top w:val="nil"/>
              <w:left w:val="nil"/>
              <w:bottom w:val="single" w:color="auto" w:sz="4" w:space="0"/>
              <w:right w:val="single" w:color="auto" w:sz="4" w:space="0"/>
            </w:tcBorders>
            <w:shd w:val="clear" w:color="auto" w:fill="auto"/>
            <w:vAlign w:val="center"/>
          </w:tcPr>
          <w:p w14:paraId="7F25EA7B">
            <w:r>
              <w:rPr>
                <w:rFonts w:hint="eastAsia"/>
              </w:rPr>
              <w:t>资质要求</w:t>
            </w:r>
          </w:p>
        </w:tc>
      </w:tr>
      <w:tr w14:paraId="40D2872B">
        <w:tblPrEx>
          <w:tblCellMar>
            <w:top w:w="0" w:type="dxa"/>
            <w:left w:w="108" w:type="dxa"/>
            <w:bottom w:w="0" w:type="dxa"/>
            <w:right w:w="108" w:type="dxa"/>
          </w:tblCellMar>
        </w:tblPrEx>
        <w:trPr>
          <w:trHeight w:val="285"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52A68977">
            <w:r>
              <w:rPr>
                <w:rFonts w:hint="eastAsia"/>
              </w:rPr>
              <w:t>1</w:t>
            </w:r>
          </w:p>
        </w:tc>
        <w:tc>
          <w:tcPr>
            <w:tcW w:w="8253" w:type="dxa"/>
            <w:tcBorders>
              <w:top w:val="nil"/>
              <w:left w:val="nil"/>
              <w:bottom w:val="single" w:color="auto" w:sz="4" w:space="0"/>
              <w:right w:val="single" w:color="auto" w:sz="4" w:space="0"/>
            </w:tcBorders>
            <w:shd w:val="clear" w:color="auto" w:fill="auto"/>
            <w:vAlign w:val="center"/>
          </w:tcPr>
          <w:p w14:paraId="24B1A0D2">
            <w:pPr>
              <w:rPr>
                <w:rFonts w:cs="Calibri"/>
              </w:rPr>
            </w:pPr>
            <w:r>
              <w:rPr>
                <w:rFonts w:hint="eastAsia"/>
              </w:rPr>
              <w:t>安全认证网关具备国家密码管理局商用密码检测中心颁发的《商用密码产品认证证书》，（提供证书复印件）。</w:t>
            </w:r>
          </w:p>
        </w:tc>
      </w:tr>
      <w:tr w14:paraId="2D1F5D2D">
        <w:tblPrEx>
          <w:tblCellMar>
            <w:top w:w="0" w:type="dxa"/>
            <w:left w:w="108" w:type="dxa"/>
            <w:bottom w:w="0" w:type="dxa"/>
            <w:right w:w="108" w:type="dxa"/>
          </w:tblCellMar>
        </w:tblPrEx>
        <w:trPr>
          <w:trHeight w:val="285"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273110DA">
            <w:r>
              <w:rPr>
                <w:rFonts w:hint="eastAsia"/>
              </w:rPr>
              <w:t>2</w:t>
            </w:r>
          </w:p>
        </w:tc>
        <w:tc>
          <w:tcPr>
            <w:tcW w:w="8253" w:type="dxa"/>
            <w:tcBorders>
              <w:top w:val="nil"/>
              <w:left w:val="nil"/>
              <w:bottom w:val="single" w:color="auto" w:sz="4" w:space="0"/>
              <w:right w:val="single" w:color="auto" w:sz="4" w:space="0"/>
            </w:tcBorders>
            <w:shd w:val="clear" w:color="auto" w:fill="auto"/>
            <w:vAlign w:val="center"/>
          </w:tcPr>
          <w:p w14:paraId="424BB643">
            <w:pPr>
              <w:rPr>
                <w:rFonts w:cs="Calibri"/>
              </w:rPr>
            </w:pPr>
            <w:r>
              <w:rPr>
                <w:rFonts w:hint="eastAsia"/>
              </w:rPr>
              <w:t>安全认证网关具备公安部计算机信息系统安全产品质量监督检测中心颁发的《网络安全专用产品安全检测证书》（提供证书复印件）。</w:t>
            </w:r>
          </w:p>
        </w:tc>
      </w:tr>
      <w:tr w14:paraId="2C4A2A20">
        <w:tblPrEx>
          <w:tblCellMar>
            <w:top w:w="0" w:type="dxa"/>
            <w:left w:w="108" w:type="dxa"/>
            <w:bottom w:w="0" w:type="dxa"/>
            <w:right w:w="108" w:type="dxa"/>
          </w:tblCellMar>
        </w:tblPrEx>
        <w:trPr>
          <w:trHeight w:val="534" w:hRule="atLeast"/>
          <w:jc w:val="center"/>
        </w:trPr>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14:paraId="4CA70F86">
            <w:r>
              <w:rPr>
                <w:rFonts w:hint="eastAsia"/>
              </w:rPr>
              <w:t>3</w:t>
            </w:r>
          </w:p>
        </w:tc>
        <w:tc>
          <w:tcPr>
            <w:tcW w:w="8253" w:type="dxa"/>
            <w:tcBorders>
              <w:top w:val="single" w:color="auto" w:sz="4" w:space="0"/>
              <w:left w:val="nil"/>
              <w:bottom w:val="single" w:color="auto" w:sz="4" w:space="0"/>
              <w:right w:val="single" w:color="auto" w:sz="4" w:space="0"/>
            </w:tcBorders>
            <w:shd w:val="clear" w:color="auto" w:fill="auto"/>
            <w:vAlign w:val="center"/>
          </w:tcPr>
          <w:p w14:paraId="2A941ED2">
            <w:pPr>
              <w:rPr>
                <w:rFonts w:cs="Calibri"/>
              </w:rPr>
            </w:pPr>
            <w:r>
              <w:rPr>
                <w:rFonts w:hint="eastAsia"/>
              </w:rPr>
              <w:t>安全认证网关具备国家网络与信息系统安全产品质量检验检测中心颁发的《信息技术产品安全测试证书》（提供证书复印件）</w:t>
            </w:r>
          </w:p>
        </w:tc>
      </w:tr>
    </w:tbl>
    <w:p w14:paraId="4307EDE1"/>
    <w:p w14:paraId="3A436EF0">
      <w:pPr>
        <w:pStyle w:val="4"/>
      </w:pPr>
      <w:r>
        <w:rPr>
          <w:rFonts w:hint="eastAsia"/>
        </w:rPr>
        <w:t>服务器密码机</w:t>
      </w:r>
    </w:p>
    <w:tbl>
      <w:tblPr>
        <w:tblStyle w:val="23"/>
        <w:tblW w:w="5289" w:type="pct"/>
        <w:jc w:val="center"/>
        <w:tblLayout w:type="autofit"/>
        <w:tblCellMar>
          <w:top w:w="0" w:type="dxa"/>
          <w:left w:w="108" w:type="dxa"/>
          <w:bottom w:w="0" w:type="dxa"/>
          <w:right w:w="108" w:type="dxa"/>
        </w:tblCellMar>
      </w:tblPr>
      <w:tblGrid>
        <w:gridCol w:w="738"/>
        <w:gridCol w:w="8277"/>
      </w:tblGrid>
      <w:tr w14:paraId="69C915DC">
        <w:tblPrEx>
          <w:tblCellMar>
            <w:top w:w="0" w:type="dxa"/>
            <w:left w:w="108" w:type="dxa"/>
            <w:bottom w:w="0" w:type="dxa"/>
            <w:right w:w="108" w:type="dxa"/>
          </w:tblCellMar>
        </w:tblPrEx>
        <w:trPr>
          <w:trHeight w:val="278"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vAlign w:val="bottom"/>
          </w:tcPr>
          <w:p w14:paraId="3E2ADF78">
            <w:pPr>
              <w:rPr>
                <w:rFonts w:ascii="宋体" w:hAnsi="宋体" w:cs="宋体"/>
                <w:szCs w:val="21"/>
              </w:rPr>
            </w:pPr>
            <w:r>
              <w:rPr>
                <w:rFonts w:hint="eastAsia"/>
              </w:rPr>
              <w:t>序号</w:t>
            </w:r>
          </w:p>
        </w:tc>
        <w:tc>
          <w:tcPr>
            <w:tcW w:w="8289" w:type="dxa"/>
            <w:tcBorders>
              <w:top w:val="single" w:color="auto" w:sz="4" w:space="0"/>
              <w:left w:val="nil"/>
              <w:bottom w:val="single" w:color="auto" w:sz="4" w:space="0"/>
              <w:right w:val="single" w:color="auto" w:sz="4" w:space="0"/>
            </w:tcBorders>
            <w:shd w:val="clear" w:color="auto" w:fill="auto"/>
            <w:vAlign w:val="center"/>
          </w:tcPr>
          <w:p w14:paraId="371E7177">
            <w:pPr>
              <w:rPr>
                <w:rFonts w:ascii="宋体" w:hAnsi="宋体" w:cs="宋体"/>
              </w:rPr>
            </w:pPr>
            <w:r>
              <w:rPr>
                <w:rFonts w:hint="eastAsia"/>
              </w:rPr>
              <w:t>功能参数要求</w:t>
            </w:r>
          </w:p>
        </w:tc>
      </w:tr>
      <w:tr w14:paraId="06E6836A">
        <w:tblPrEx>
          <w:tblCellMar>
            <w:top w:w="0" w:type="dxa"/>
            <w:left w:w="108" w:type="dxa"/>
            <w:bottom w:w="0" w:type="dxa"/>
            <w:right w:w="108" w:type="dxa"/>
          </w:tblCellMar>
        </w:tblPrEx>
        <w:trPr>
          <w:trHeight w:val="525" w:hRule="atLeast"/>
          <w:jc w:val="center"/>
        </w:trPr>
        <w:tc>
          <w:tcPr>
            <w:tcW w:w="727" w:type="dxa"/>
            <w:tcBorders>
              <w:top w:val="nil"/>
              <w:left w:val="single" w:color="auto" w:sz="4" w:space="0"/>
              <w:bottom w:val="single" w:color="auto" w:sz="4" w:space="0"/>
              <w:right w:val="single" w:color="auto" w:sz="4" w:space="0"/>
            </w:tcBorders>
            <w:shd w:val="clear" w:color="auto" w:fill="auto"/>
            <w:vAlign w:val="center"/>
          </w:tcPr>
          <w:p w14:paraId="540DDA55">
            <w:pPr>
              <w:rPr>
                <w:rFonts w:ascii="宋体" w:hAnsi="宋体"/>
                <w:szCs w:val="21"/>
              </w:rPr>
            </w:pPr>
            <w:r>
              <w:rPr>
                <w:rFonts w:hint="eastAsia"/>
              </w:rPr>
              <w:t>1</w:t>
            </w:r>
          </w:p>
        </w:tc>
        <w:tc>
          <w:tcPr>
            <w:tcW w:w="8289" w:type="dxa"/>
            <w:tcBorders>
              <w:top w:val="nil"/>
              <w:left w:val="nil"/>
              <w:bottom w:val="single" w:color="auto" w:sz="4" w:space="0"/>
              <w:right w:val="single" w:color="auto" w:sz="4" w:space="0"/>
            </w:tcBorders>
            <w:shd w:val="clear" w:color="auto" w:fill="auto"/>
            <w:vAlign w:val="center"/>
          </w:tcPr>
          <w:p w14:paraId="0503A612">
            <w:r>
              <w:rPr>
                <w:rFonts w:hint="eastAsia"/>
              </w:rPr>
              <w:t>支持算法：支持 SM2 国密标准非对称算法；RSA 国际标准非对称算法；支持 SM1、SM4、SM7、ZUC 等国密标准对称算法；DES/3DES、AES 等国际标准对称算法；支持 SM3 国密标准杂凑算法；SHA</w:t>
            </w:r>
            <w:r>
              <w:t>256</w:t>
            </w:r>
            <w:r>
              <w:rPr>
                <w:rFonts w:hint="eastAsia"/>
              </w:rPr>
              <w:t>/SHA2 等国际标准杂凑算法。</w:t>
            </w:r>
          </w:p>
        </w:tc>
      </w:tr>
      <w:tr w14:paraId="24A0176D">
        <w:tblPrEx>
          <w:tblCellMar>
            <w:top w:w="0" w:type="dxa"/>
            <w:left w:w="108" w:type="dxa"/>
            <w:bottom w:w="0" w:type="dxa"/>
            <w:right w:w="108" w:type="dxa"/>
          </w:tblCellMar>
        </w:tblPrEx>
        <w:trPr>
          <w:trHeight w:val="278" w:hRule="atLeast"/>
          <w:jc w:val="center"/>
        </w:trPr>
        <w:tc>
          <w:tcPr>
            <w:tcW w:w="727" w:type="dxa"/>
            <w:tcBorders>
              <w:top w:val="nil"/>
              <w:left w:val="single" w:color="auto" w:sz="4" w:space="0"/>
              <w:bottom w:val="single" w:color="auto" w:sz="4" w:space="0"/>
              <w:right w:val="single" w:color="auto" w:sz="4" w:space="0"/>
            </w:tcBorders>
            <w:shd w:val="clear" w:color="auto" w:fill="auto"/>
            <w:vAlign w:val="center"/>
          </w:tcPr>
          <w:p w14:paraId="7589BFD1">
            <w:pPr>
              <w:rPr>
                <w:rFonts w:ascii="宋体" w:hAnsi="宋体"/>
                <w:szCs w:val="21"/>
              </w:rPr>
            </w:pPr>
            <w:r>
              <w:t>2</w:t>
            </w:r>
          </w:p>
        </w:tc>
        <w:tc>
          <w:tcPr>
            <w:tcW w:w="8289" w:type="dxa"/>
            <w:tcBorders>
              <w:top w:val="nil"/>
              <w:left w:val="nil"/>
              <w:bottom w:val="single" w:color="auto" w:sz="4" w:space="0"/>
              <w:right w:val="single" w:color="auto" w:sz="4" w:space="0"/>
            </w:tcBorders>
            <w:shd w:val="clear" w:color="auto" w:fill="auto"/>
            <w:vAlign w:val="center"/>
          </w:tcPr>
          <w:p w14:paraId="4CB4824C">
            <w:r>
              <w:rPr>
                <w:rFonts w:hint="eastAsia"/>
              </w:rPr>
              <w:t>采用由国家密码管理局批准使用的双物理噪声源生成随机数。</w:t>
            </w:r>
          </w:p>
        </w:tc>
      </w:tr>
      <w:tr w14:paraId="4AD1F769">
        <w:tblPrEx>
          <w:tblCellMar>
            <w:top w:w="0" w:type="dxa"/>
            <w:left w:w="108" w:type="dxa"/>
            <w:bottom w:w="0" w:type="dxa"/>
            <w:right w:w="108" w:type="dxa"/>
          </w:tblCellMar>
        </w:tblPrEx>
        <w:trPr>
          <w:trHeight w:val="278" w:hRule="atLeast"/>
          <w:jc w:val="center"/>
        </w:trPr>
        <w:tc>
          <w:tcPr>
            <w:tcW w:w="727" w:type="dxa"/>
            <w:tcBorders>
              <w:top w:val="nil"/>
              <w:left w:val="single" w:color="auto" w:sz="4" w:space="0"/>
              <w:bottom w:val="single" w:color="auto" w:sz="4" w:space="0"/>
              <w:right w:val="single" w:color="auto" w:sz="4" w:space="0"/>
            </w:tcBorders>
            <w:shd w:val="clear" w:color="auto" w:fill="auto"/>
            <w:vAlign w:val="center"/>
          </w:tcPr>
          <w:p w14:paraId="21DCC16D">
            <w:pPr>
              <w:rPr>
                <w:rFonts w:ascii="宋体" w:hAnsi="宋体"/>
                <w:szCs w:val="21"/>
              </w:rPr>
            </w:pPr>
            <w:r>
              <w:t>3</w:t>
            </w:r>
          </w:p>
        </w:tc>
        <w:tc>
          <w:tcPr>
            <w:tcW w:w="8289" w:type="dxa"/>
            <w:tcBorders>
              <w:top w:val="nil"/>
              <w:left w:val="nil"/>
              <w:bottom w:val="single" w:color="auto" w:sz="4" w:space="0"/>
              <w:right w:val="single" w:color="auto" w:sz="4" w:space="0"/>
            </w:tcBorders>
            <w:shd w:val="clear" w:color="auto" w:fill="auto"/>
            <w:vAlign w:val="center"/>
          </w:tcPr>
          <w:p w14:paraId="37CF183D">
            <w:r>
              <w:rPr>
                <w:rFonts w:hint="eastAsia"/>
              </w:rPr>
              <w:t>国产化硬件：CPU、内存、主板、冗余双电源、密码卡等核心部件均采用国产化硬件。</w:t>
            </w:r>
          </w:p>
          <w:p w14:paraId="03200981">
            <w:r>
              <w:rPr>
                <w:rFonts w:hint="eastAsia"/>
              </w:rPr>
              <w:t>≥1块双端口万兆网卡及配套光模块和光纤跳线。</w:t>
            </w:r>
          </w:p>
        </w:tc>
      </w:tr>
      <w:tr w14:paraId="5E04F26C">
        <w:tblPrEx>
          <w:tblCellMar>
            <w:top w:w="0" w:type="dxa"/>
            <w:left w:w="108" w:type="dxa"/>
            <w:bottom w:w="0" w:type="dxa"/>
            <w:right w:w="108" w:type="dxa"/>
          </w:tblCellMar>
        </w:tblPrEx>
        <w:trPr>
          <w:trHeight w:val="278" w:hRule="atLeast"/>
          <w:jc w:val="center"/>
        </w:trPr>
        <w:tc>
          <w:tcPr>
            <w:tcW w:w="727" w:type="dxa"/>
            <w:tcBorders>
              <w:top w:val="nil"/>
              <w:left w:val="single" w:color="auto" w:sz="4" w:space="0"/>
              <w:bottom w:val="single" w:color="auto" w:sz="4" w:space="0"/>
              <w:right w:val="single" w:color="auto" w:sz="4" w:space="0"/>
            </w:tcBorders>
            <w:shd w:val="clear" w:color="auto" w:fill="auto"/>
            <w:vAlign w:val="center"/>
          </w:tcPr>
          <w:p w14:paraId="3DFDE572">
            <w:pPr>
              <w:rPr>
                <w:rFonts w:ascii="宋体" w:hAnsi="宋体"/>
                <w:szCs w:val="21"/>
              </w:rPr>
            </w:pPr>
            <w:r>
              <w:t>4</w:t>
            </w:r>
          </w:p>
        </w:tc>
        <w:tc>
          <w:tcPr>
            <w:tcW w:w="8289" w:type="dxa"/>
            <w:tcBorders>
              <w:top w:val="nil"/>
              <w:left w:val="nil"/>
              <w:bottom w:val="single" w:color="auto" w:sz="4" w:space="0"/>
              <w:right w:val="single" w:color="auto" w:sz="4" w:space="0"/>
            </w:tcBorders>
            <w:shd w:val="clear" w:color="auto" w:fill="auto"/>
            <w:vAlign w:val="center"/>
          </w:tcPr>
          <w:p w14:paraId="4211ABFA">
            <w:r>
              <w:rPr>
                <w:rFonts w:hint="eastAsia"/>
              </w:rPr>
              <w:t>安全合规：符合《GM/T0028-2014 密码模块安全技术要求》安全二级要求。</w:t>
            </w:r>
          </w:p>
        </w:tc>
      </w:tr>
      <w:tr w14:paraId="15AD2895">
        <w:tblPrEx>
          <w:tblCellMar>
            <w:top w:w="0" w:type="dxa"/>
            <w:left w:w="108" w:type="dxa"/>
            <w:bottom w:w="0" w:type="dxa"/>
            <w:right w:w="108" w:type="dxa"/>
          </w:tblCellMar>
        </w:tblPrEx>
        <w:trPr>
          <w:trHeight w:val="90" w:hRule="atLeast"/>
          <w:jc w:val="center"/>
        </w:trPr>
        <w:tc>
          <w:tcPr>
            <w:tcW w:w="727" w:type="dxa"/>
            <w:tcBorders>
              <w:top w:val="nil"/>
              <w:left w:val="single" w:color="auto" w:sz="4" w:space="0"/>
              <w:bottom w:val="single" w:color="auto" w:sz="4" w:space="0"/>
              <w:right w:val="single" w:color="auto" w:sz="4" w:space="0"/>
            </w:tcBorders>
            <w:shd w:val="clear" w:color="auto" w:fill="auto"/>
            <w:vAlign w:val="center"/>
          </w:tcPr>
          <w:p w14:paraId="48152C19">
            <w:pPr>
              <w:rPr>
                <w:rFonts w:ascii="宋体" w:hAnsi="宋体"/>
                <w:szCs w:val="21"/>
              </w:rPr>
            </w:pPr>
            <w:r>
              <w:t>5</w:t>
            </w:r>
          </w:p>
        </w:tc>
        <w:tc>
          <w:tcPr>
            <w:tcW w:w="8289" w:type="dxa"/>
            <w:tcBorders>
              <w:top w:val="nil"/>
              <w:left w:val="nil"/>
              <w:bottom w:val="single" w:color="auto" w:sz="4" w:space="0"/>
              <w:right w:val="single" w:color="auto" w:sz="4" w:space="0"/>
            </w:tcBorders>
            <w:shd w:val="clear" w:color="auto" w:fill="auto"/>
            <w:vAlign w:val="center"/>
          </w:tcPr>
          <w:p w14:paraId="7F767AA3">
            <w:r>
              <w:rPr>
                <w:rFonts w:hint="eastAsia"/>
              </w:rPr>
              <w:t>支持基于RSA/ECC密码算法的数字信封功能，并支持由内部密钥保护到外部密钥保护的数字信封转换功能。</w:t>
            </w:r>
          </w:p>
        </w:tc>
      </w:tr>
      <w:tr w14:paraId="7AE578AD">
        <w:tblPrEx>
          <w:tblCellMar>
            <w:top w:w="0" w:type="dxa"/>
            <w:left w:w="108" w:type="dxa"/>
            <w:bottom w:w="0" w:type="dxa"/>
            <w:right w:w="108" w:type="dxa"/>
          </w:tblCellMar>
        </w:tblPrEx>
        <w:trPr>
          <w:trHeight w:val="525" w:hRule="atLeast"/>
          <w:jc w:val="center"/>
        </w:trPr>
        <w:tc>
          <w:tcPr>
            <w:tcW w:w="727" w:type="dxa"/>
            <w:tcBorders>
              <w:top w:val="nil"/>
              <w:left w:val="single" w:color="auto" w:sz="4" w:space="0"/>
              <w:bottom w:val="single" w:color="auto" w:sz="4" w:space="0"/>
              <w:right w:val="single" w:color="auto" w:sz="4" w:space="0"/>
            </w:tcBorders>
            <w:shd w:val="clear" w:color="auto" w:fill="auto"/>
            <w:vAlign w:val="center"/>
          </w:tcPr>
          <w:p w14:paraId="3FB47FBC">
            <w:pPr>
              <w:rPr>
                <w:rFonts w:ascii="宋体" w:hAnsi="宋体"/>
                <w:szCs w:val="21"/>
              </w:rPr>
            </w:pPr>
            <w:r>
              <w:t>6</w:t>
            </w:r>
          </w:p>
        </w:tc>
        <w:tc>
          <w:tcPr>
            <w:tcW w:w="8289" w:type="dxa"/>
            <w:tcBorders>
              <w:top w:val="nil"/>
              <w:left w:val="nil"/>
              <w:bottom w:val="single" w:color="auto" w:sz="4" w:space="0"/>
              <w:right w:val="single" w:color="auto" w:sz="4" w:space="0"/>
            </w:tcBorders>
            <w:shd w:val="clear" w:color="auto" w:fill="auto"/>
            <w:vAlign w:val="center"/>
          </w:tcPr>
          <w:p w14:paraId="6333C0E5">
            <w:r>
              <w:rPr>
                <w:rFonts w:hint="eastAsia"/>
              </w:rPr>
              <w:t>采用由国家密码管理局批准使用的双物理噪声源生成随机数，可生成各类对称密钥（SM1、SM4、AES等）和非对称密钥（SM2、RSA 2048/4096等）。</w:t>
            </w:r>
          </w:p>
        </w:tc>
      </w:tr>
      <w:tr w14:paraId="2F870BD8">
        <w:tblPrEx>
          <w:tblCellMar>
            <w:top w:w="0" w:type="dxa"/>
            <w:left w:w="108" w:type="dxa"/>
            <w:bottom w:w="0" w:type="dxa"/>
            <w:right w:w="108" w:type="dxa"/>
          </w:tblCellMar>
        </w:tblPrEx>
        <w:trPr>
          <w:trHeight w:val="278" w:hRule="atLeast"/>
          <w:jc w:val="center"/>
        </w:trPr>
        <w:tc>
          <w:tcPr>
            <w:tcW w:w="727" w:type="dxa"/>
            <w:tcBorders>
              <w:top w:val="nil"/>
              <w:left w:val="single" w:color="auto" w:sz="4" w:space="0"/>
              <w:bottom w:val="single" w:color="auto" w:sz="4" w:space="0"/>
              <w:right w:val="single" w:color="auto" w:sz="4" w:space="0"/>
            </w:tcBorders>
            <w:shd w:val="clear" w:color="auto" w:fill="auto"/>
            <w:vAlign w:val="center"/>
          </w:tcPr>
          <w:p w14:paraId="14A4D800">
            <w:pPr>
              <w:rPr>
                <w:rFonts w:ascii="宋体" w:hAnsi="宋体"/>
                <w:szCs w:val="21"/>
              </w:rPr>
            </w:pPr>
            <w:r>
              <w:t>7</w:t>
            </w:r>
          </w:p>
        </w:tc>
        <w:tc>
          <w:tcPr>
            <w:tcW w:w="8289" w:type="dxa"/>
            <w:tcBorders>
              <w:top w:val="nil"/>
              <w:left w:val="nil"/>
              <w:bottom w:val="single" w:color="auto" w:sz="4" w:space="0"/>
              <w:right w:val="single" w:color="auto" w:sz="4" w:space="0"/>
            </w:tcBorders>
            <w:shd w:val="clear" w:color="auto" w:fill="auto"/>
            <w:vAlign w:val="center"/>
          </w:tcPr>
          <w:p w14:paraId="4F3D7EBA">
            <w:r>
              <w:rPr>
                <w:rFonts w:hint="eastAsia"/>
              </w:rPr>
              <w:t>设备内部支持对称密钥和非对称密钥的安全存储。密码机的内部密钥都位于内置的加密硬件中，且必须与授权管理员的USBKey进行密码运算，才能够提供服务</w:t>
            </w:r>
          </w:p>
        </w:tc>
      </w:tr>
      <w:tr w14:paraId="05FE5D8F">
        <w:tblPrEx>
          <w:tblCellMar>
            <w:top w:w="0" w:type="dxa"/>
            <w:left w:w="108" w:type="dxa"/>
            <w:bottom w:w="0" w:type="dxa"/>
            <w:right w:w="108" w:type="dxa"/>
          </w:tblCellMar>
        </w:tblPrEx>
        <w:trPr>
          <w:trHeight w:val="278" w:hRule="atLeast"/>
          <w:jc w:val="center"/>
        </w:trPr>
        <w:tc>
          <w:tcPr>
            <w:tcW w:w="727" w:type="dxa"/>
            <w:tcBorders>
              <w:top w:val="nil"/>
              <w:left w:val="single" w:color="auto" w:sz="4" w:space="0"/>
              <w:bottom w:val="single" w:color="auto" w:sz="4" w:space="0"/>
              <w:right w:val="single" w:color="auto" w:sz="4" w:space="0"/>
            </w:tcBorders>
            <w:shd w:val="clear" w:color="auto" w:fill="auto"/>
            <w:vAlign w:val="center"/>
          </w:tcPr>
          <w:p w14:paraId="45106709">
            <w:pPr>
              <w:rPr>
                <w:rFonts w:ascii="宋体" w:hAnsi="宋体"/>
                <w:szCs w:val="21"/>
              </w:rPr>
            </w:pPr>
            <w:r>
              <w:t>8</w:t>
            </w:r>
          </w:p>
        </w:tc>
        <w:tc>
          <w:tcPr>
            <w:tcW w:w="8289" w:type="dxa"/>
            <w:tcBorders>
              <w:top w:val="nil"/>
              <w:left w:val="nil"/>
              <w:bottom w:val="single" w:color="auto" w:sz="4" w:space="0"/>
              <w:right w:val="single" w:color="auto" w:sz="4" w:space="0"/>
            </w:tcBorders>
            <w:shd w:val="clear" w:color="auto" w:fill="auto"/>
            <w:vAlign w:val="center"/>
          </w:tcPr>
          <w:p w14:paraId="4784A9DB">
            <w:r>
              <w:rPr>
                <w:rFonts w:hint="eastAsia"/>
              </w:rPr>
              <w:t>支持通过管理界面删除指定的对称或非对称业务密钥，也支持销毁全部业务密钥。支持通过物理开关对设备内全部密钥进行销毁。具有防暴力拆盖密钥自毁机制，销毁后通过任何技术均无法恢复。</w:t>
            </w:r>
          </w:p>
        </w:tc>
      </w:tr>
      <w:tr w14:paraId="008B341E">
        <w:tblPrEx>
          <w:tblCellMar>
            <w:top w:w="0" w:type="dxa"/>
            <w:left w:w="108" w:type="dxa"/>
            <w:bottom w:w="0" w:type="dxa"/>
            <w:right w:w="108" w:type="dxa"/>
          </w:tblCellMar>
        </w:tblPrEx>
        <w:trPr>
          <w:trHeight w:val="278" w:hRule="atLeast"/>
          <w:jc w:val="center"/>
        </w:trPr>
        <w:tc>
          <w:tcPr>
            <w:tcW w:w="727" w:type="dxa"/>
            <w:tcBorders>
              <w:top w:val="nil"/>
              <w:left w:val="single" w:color="auto" w:sz="4" w:space="0"/>
              <w:bottom w:val="single" w:color="auto" w:sz="4" w:space="0"/>
              <w:right w:val="single" w:color="auto" w:sz="4" w:space="0"/>
            </w:tcBorders>
            <w:shd w:val="clear" w:color="auto" w:fill="auto"/>
            <w:vAlign w:val="center"/>
          </w:tcPr>
          <w:p w14:paraId="11264770">
            <w:pPr>
              <w:rPr>
                <w:rFonts w:ascii="宋体" w:hAnsi="宋体"/>
                <w:szCs w:val="21"/>
              </w:rPr>
            </w:pPr>
            <w:r>
              <w:t>9</w:t>
            </w:r>
          </w:p>
        </w:tc>
        <w:tc>
          <w:tcPr>
            <w:tcW w:w="8289" w:type="dxa"/>
            <w:tcBorders>
              <w:top w:val="nil"/>
              <w:left w:val="nil"/>
              <w:bottom w:val="single" w:color="auto" w:sz="4" w:space="0"/>
              <w:right w:val="single" w:color="auto" w:sz="4" w:space="0"/>
            </w:tcBorders>
            <w:shd w:val="clear" w:color="auto" w:fill="auto"/>
            <w:vAlign w:val="center"/>
          </w:tcPr>
          <w:p w14:paraId="5995BDCC">
            <w:r>
              <w:rPr>
                <w:rFonts w:hint="eastAsia"/>
              </w:rPr>
              <w:t>采用基于密钥分割的方式备份密钥和安全数据，保障备份数据的安全性。采取高强度的密钥分割算法，只有满足最少数量的管理员才能进行恢复操作，备份密钥可恢复到相同型号的其它加密机设备中。</w:t>
            </w:r>
          </w:p>
        </w:tc>
      </w:tr>
      <w:tr w14:paraId="3D4C6B26">
        <w:tblPrEx>
          <w:tblCellMar>
            <w:top w:w="0" w:type="dxa"/>
            <w:left w:w="108" w:type="dxa"/>
            <w:bottom w:w="0" w:type="dxa"/>
            <w:right w:w="108" w:type="dxa"/>
          </w:tblCellMar>
        </w:tblPrEx>
        <w:trPr>
          <w:trHeight w:val="525" w:hRule="atLeast"/>
          <w:jc w:val="center"/>
        </w:trPr>
        <w:tc>
          <w:tcPr>
            <w:tcW w:w="727" w:type="dxa"/>
            <w:tcBorders>
              <w:top w:val="nil"/>
              <w:left w:val="single" w:color="auto" w:sz="4" w:space="0"/>
              <w:bottom w:val="single" w:color="auto" w:sz="4" w:space="0"/>
              <w:right w:val="single" w:color="auto" w:sz="4" w:space="0"/>
            </w:tcBorders>
            <w:shd w:val="clear" w:color="auto" w:fill="auto"/>
            <w:vAlign w:val="center"/>
          </w:tcPr>
          <w:p w14:paraId="2FB20E36">
            <w:pPr>
              <w:rPr>
                <w:rFonts w:ascii="宋体" w:hAnsi="宋体"/>
                <w:szCs w:val="21"/>
              </w:rPr>
            </w:pPr>
            <w:r>
              <w:t>10</w:t>
            </w:r>
          </w:p>
        </w:tc>
        <w:tc>
          <w:tcPr>
            <w:tcW w:w="8289" w:type="dxa"/>
            <w:tcBorders>
              <w:top w:val="nil"/>
              <w:left w:val="nil"/>
              <w:bottom w:val="single" w:color="auto" w:sz="4" w:space="0"/>
              <w:right w:val="single" w:color="auto" w:sz="4" w:space="0"/>
            </w:tcBorders>
            <w:shd w:val="clear" w:color="auto" w:fill="auto"/>
            <w:vAlign w:val="center"/>
          </w:tcPr>
          <w:p w14:paraId="4C14C6C7">
            <w:r>
              <w:rPr>
                <w:rFonts w:hint="eastAsia"/>
              </w:rPr>
              <w:t>支持多级密钥保护模式，可根据使用单位的安全性和性能扩展需求，选择不同的密钥管理体系。</w:t>
            </w:r>
          </w:p>
        </w:tc>
      </w:tr>
      <w:tr w14:paraId="22DCFE11">
        <w:tblPrEx>
          <w:tblCellMar>
            <w:top w:w="0" w:type="dxa"/>
            <w:left w:w="108" w:type="dxa"/>
            <w:bottom w:w="0" w:type="dxa"/>
            <w:right w:w="108" w:type="dxa"/>
          </w:tblCellMar>
        </w:tblPrEx>
        <w:trPr>
          <w:trHeight w:val="525" w:hRule="atLeast"/>
          <w:jc w:val="center"/>
        </w:trPr>
        <w:tc>
          <w:tcPr>
            <w:tcW w:w="727" w:type="dxa"/>
            <w:tcBorders>
              <w:top w:val="nil"/>
              <w:left w:val="single" w:color="auto" w:sz="4" w:space="0"/>
              <w:bottom w:val="single" w:color="auto" w:sz="4" w:space="0"/>
              <w:right w:val="single" w:color="auto" w:sz="4" w:space="0"/>
            </w:tcBorders>
            <w:shd w:val="clear" w:color="auto" w:fill="auto"/>
            <w:vAlign w:val="center"/>
          </w:tcPr>
          <w:p w14:paraId="5164FD2A">
            <w:pPr>
              <w:rPr>
                <w:rFonts w:ascii="宋体" w:hAnsi="宋体"/>
                <w:szCs w:val="21"/>
              </w:rPr>
            </w:pPr>
            <w:r>
              <w:t>11</w:t>
            </w:r>
          </w:p>
        </w:tc>
        <w:tc>
          <w:tcPr>
            <w:tcW w:w="8289" w:type="dxa"/>
            <w:tcBorders>
              <w:top w:val="nil"/>
              <w:left w:val="nil"/>
              <w:bottom w:val="single" w:color="auto" w:sz="4" w:space="0"/>
              <w:right w:val="single" w:color="auto" w:sz="4" w:space="0"/>
            </w:tcBorders>
            <w:shd w:val="clear" w:color="auto" w:fill="auto"/>
            <w:vAlign w:val="center"/>
          </w:tcPr>
          <w:p w14:paraId="0A7F8B61">
            <w:r>
              <w:rPr>
                <w:rFonts w:hint="eastAsia"/>
              </w:rPr>
              <w:t>提供符合《GM/T 0018-2012 密码设备应用接口规范》的标准化接口，接口支持C、Java等主流编程语言。</w:t>
            </w:r>
          </w:p>
        </w:tc>
      </w:tr>
      <w:tr w14:paraId="0B4CCE91">
        <w:tblPrEx>
          <w:tblCellMar>
            <w:top w:w="0" w:type="dxa"/>
            <w:left w:w="108" w:type="dxa"/>
            <w:bottom w:w="0" w:type="dxa"/>
            <w:right w:w="108" w:type="dxa"/>
          </w:tblCellMar>
        </w:tblPrEx>
        <w:trPr>
          <w:trHeight w:val="278" w:hRule="atLeast"/>
          <w:jc w:val="center"/>
        </w:trPr>
        <w:tc>
          <w:tcPr>
            <w:tcW w:w="727" w:type="dxa"/>
            <w:tcBorders>
              <w:top w:val="nil"/>
              <w:left w:val="single" w:color="auto" w:sz="4" w:space="0"/>
              <w:bottom w:val="single" w:color="auto" w:sz="4" w:space="0"/>
              <w:right w:val="single" w:color="auto" w:sz="4" w:space="0"/>
            </w:tcBorders>
            <w:shd w:val="clear" w:color="auto" w:fill="auto"/>
            <w:vAlign w:val="center"/>
          </w:tcPr>
          <w:p w14:paraId="5AE57CB4">
            <w:pPr>
              <w:rPr>
                <w:rFonts w:ascii="宋体" w:hAnsi="宋体"/>
                <w:szCs w:val="21"/>
              </w:rPr>
            </w:pPr>
            <w:r>
              <w:t>12</w:t>
            </w:r>
          </w:p>
        </w:tc>
        <w:tc>
          <w:tcPr>
            <w:tcW w:w="8289" w:type="dxa"/>
            <w:tcBorders>
              <w:top w:val="nil"/>
              <w:left w:val="nil"/>
              <w:bottom w:val="single" w:color="auto" w:sz="4" w:space="0"/>
              <w:right w:val="single" w:color="auto" w:sz="4" w:space="0"/>
            </w:tcBorders>
            <w:shd w:val="clear" w:color="auto" w:fill="auto"/>
            <w:vAlign w:val="center"/>
          </w:tcPr>
          <w:p w14:paraId="74E70A84">
            <w:r>
              <w:rPr>
                <w:rFonts w:hint="eastAsia"/>
              </w:rPr>
              <w:t>支持多进程、多线程调用密码服务接口。</w:t>
            </w:r>
          </w:p>
        </w:tc>
      </w:tr>
      <w:tr w14:paraId="273940D0">
        <w:tblPrEx>
          <w:tblCellMar>
            <w:top w:w="0" w:type="dxa"/>
            <w:left w:w="108" w:type="dxa"/>
            <w:bottom w:w="0" w:type="dxa"/>
            <w:right w:w="108" w:type="dxa"/>
          </w:tblCellMar>
        </w:tblPrEx>
        <w:trPr>
          <w:trHeight w:val="278" w:hRule="atLeast"/>
          <w:jc w:val="center"/>
        </w:trPr>
        <w:tc>
          <w:tcPr>
            <w:tcW w:w="727" w:type="dxa"/>
            <w:tcBorders>
              <w:top w:val="nil"/>
              <w:left w:val="single" w:color="auto" w:sz="4" w:space="0"/>
              <w:bottom w:val="single" w:color="auto" w:sz="4" w:space="0"/>
              <w:right w:val="single" w:color="auto" w:sz="4" w:space="0"/>
            </w:tcBorders>
            <w:shd w:val="clear" w:color="auto" w:fill="auto"/>
            <w:vAlign w:val="center"/>
          </w:tcPr>
          <w:p w14:paraId="57974B35">
            <w:pPr>
              <w:rPr>
                <w:rFonts w:ascii="宋体" w:hAnsi="宋体"/>
                <w:szCs w:val="21"/>
              </w:rPr>
            </w:pPr>
            <w:r>
              <w:rPr>
                <w:rFonts w:hint="eastAsia"/>
              </w:rPr>
              <w:t>1</w:t>
            </w:r>
            <w:r>
              <w:t>3</w:t>
            </w:r>
          </w:p>
        </w:tc>
        <w:tc>
          <w:tcPr>
            <w:tcW w:w="8289" w:type="dxa"/>
            <w:tcBorders>
              <w:top w:val="nil"/>
              <w:left w:val="nil"/>
              <w:bottom w:val="single" w:color="auto" w:sz="4" w:space="0"/>
              <w:right w:val="single" w:color="auto" w:sz="4" w:space="0"/>
            </w:tcBorders>
            <w:shd w:val="clear" w:color="auto" w:fill="auto"/>
            <w:vAlign w:val="center"/>
          </w:tcPr>
          <w:p w14:paraId="6DB2B56E">
            <w:r>
              <w:rPr>
                <w:rFonts w:hint="eastAsia"/>
              </w:rPr>
              <w:t>管理用户采用三权分立的模式，保障设备的安全访问，划分为系统管理员、安全管理员、审计管理员、系统操作员员四种类型。管理员和操作员身份通过USBKEY进行双因子认证。</w:t>
            </w:r>
          </w:p>
        </w:tc>
      </w:tr>
      <w:tr w14:paraId="5ED4B45F">
        <w:tblPrEx>
          <w:tblCellMar>
            <w:top w:w="0" w:type="dxa"/>
            <w:left w:w="108" w:type="dxa"/>
            <w:bottom w:w="0" w:type="dxa"/>
            <w:right w:w="108" w:type="dxa"/>
          </w:tblCellMar>
        </w:tblPrEx>
        <w:trPr>
          <w:trHeight w:val="278" w:hRule="atLeast"/>
          <w:jc w:val="center"/>
        </w:trPr>
        <w:tc>
          <w:tcPr>
            <w:tcW w:w="727" w:type="dxa"/>
            <w:tcBorders>
              <w:top w:val="nil"/>
              <w:left w:val="single" w:color="auto" w:sz="4" w:space="0"/>
              <w:bottom w:val="single" w:color="auto" w:sz="4" w:space="0"/>
              <w:right w:val="single" w:color="auto" w:sz="4" w:space="0"/>
            </w:tcBorders>
            <w:shd w:val="clear" w:color="auto" w:fill="auto"/>
            <w:vAlign w:val="center"/>
          </w:tcPr>
          <w:p w14:paraId="03170914">
            <w:pPr>
              <w:rPr>
                <w:rFonts w:ascii="宋体" w:hAnsi="宋体"/>
                <w:szCs w:val="21"/>
              </w:rPr>
            </w:pPr>
            <w:r>
              <w:rPr>
                <w:rFonts w:hint="eastAsia"/>
              </w:rPr>
              <w:t>1</w:t>
            </w:r>
            <w:r>
              <w:t>4</w:t>
            </w:r>
          </w:p>
        </w:tc>
        <w:tc>
          <w:tcPr>
            <w:tcW w:w="8289" w:type="dxa"/>
            <w:tcBorders>
              <w:top w:val="nil"/>
              <w:left w:val="nil"/>
              <w:bottom w:val="single" w:color="auto" w:sz="4" w:space="0"/>
              <w:right w:val="single" w:color="auto" w:sz="4" w:space="0"/>
            </w:tcBorders>
            <w:shd w:val="clear" w:color="auto" w:fill="auto"/>
            <w:vAlign w:val="center"/>
          </w:tcPr>
          <w:p w14:paraId="2093BEAC">
            <w:r>
              <w:rPr>
                <w:rFonts w:hint="eastAsia"/>
              </w:rPr>
              <w:t>支持断链修复功能，支持多机并行及负载均衡。</w:t>
            </w:r>
          </w:p>
        </w:tc>
      </w:tr>
      <w:tr w14:paraId="66E182E5">
        <w:tblPrEx>
          <w:tblCellMar>
            <w:top w:w="0" w:type="dxa"/>
            <w:left w:w="108" w:type="dxa"/>
            <w:bottom w:w="0" w:type="dxa"/>
            <w:right w:w="108" w:type="dxa"/>
          </w:tblCellMar>
        </w:tblPrEx>
        <w:trPr>
          <w:trHeight w:val="525" w:hRule="atLeast"/>
          <w:jc w:val="center"/>
        </w:trPr>
        <w:tc>
          <w:tcPr>
            <w:tcW w:w="727" w:type="dxa"/>
            <w:tcBorders>
              <w:top w:val="nil"/>
              <w:left w:val="single" w:color="auto" w:sz="4" w:space="0"/>
              <w:bottom w:val="single" w:color="auto" w:sz="4" w:space="0"/>
              <w:right w:val="single" w:color="auto" w:sz="4" w:space="0"/>
            </w:tcBorders>
            <w:shd w:val="clear" w:color="auto" w:fill="auto"/>
            <w:vAlign w:val="center"/>
          </w:tcPr>
          <w:p w14:paraId="495B8394">
            <w:pPr>
              <w:rPr>
                <w:rFonts w:ascii="宋体" w:hAnsi="宋体"/>
                <w:szCs w:val="21"/>
              </w:rPr>
            </w:pPr>
            <w:r>
              <w:rPr>
                <w:rFonts w:hint="eastAsia"/>
              </w:rPr>
              <w:t>1</w:t>
            </w:r>
            <w:r>
              <w:t>5</w:t>
            </w:r>
          </w:p>
        </w:tc>
        <w:tc>
          <w:tcPr>
            <w:tcW w:w="8289" w:type="dxa"/>
            <w:tcBorders>
              <w:top w:val="nil"/>
              <w:left w:val="nil"/>
              <w:bottom w:val="single" w:color="auto" w:sz="4" w:space="0"/>
              <w:right w:val="single" w:color="auto" w:sz="4" w:space="0"/>
            </w:tcBorders>
            <w:shd w:val="clear" w:color="auto" w:fill="auto"/>
            <w:vAlign w:val="center"/>
          </w:tcPr>
          <w:p w14:paraId="62391A08">
            <w:r>
              <w:rPr>
                <w:rFonts w:hint="eastAsia"/>
              </w:rPr>
              <w:t>对称密码运算：密码机可提供基于 SM1、SM4、SM7、DES/3DES、AES 等算法的加解密功能，算法模式支持ECB/CBC/OFB/CFB/CTR/XTS/GCM/CCM 等。</w:t>
            </w:r>
          </w:p>
        </w:tc>
      </w:tr>
      <w:tr w14:paraId="20D8401A">
        <w:tblPrEx>
          <w:tblCellMar>
            <w:top w:w="0" w:type="dxa"/>
            <w:left w:w="108" w:type="dxa"/>
            <w:bottom w:w="0" w:type="dxa"/>
            <w:right w:w="108" w:type="dxa"/>
          </w:tblCellMar>
        </w:tblPrEx>
        <w:trPr>
          <w:trHeight w:val="278" w:hRule="atLeast"/>
          <w:jc w:val="center"/>
        </w:trPr>
        <w:tc>
          <w:tcPr>
            <w:tcW w:w="727" w:type="dxa"/>
            <w:tcBorders>
              <w:top w:val="nil"/>
              <w:left w:val="single" w:color="auto" w:sz="4" w:space="0"/>
              <w:bottom w:val="single" w:color="auto" w:sz="4" w:space="0"/>
              <w:right w:val="single" w:color="auto" w:sz="4" w:space="0"/>
            </w:tcBorders>
            <w:shd w:val="clear" w:color="auto" w:fill="auto"/>
            <w:vAlign w:val="center"/>
          </w:tcPr>
          <w:p w14:paraId="2E08061C">
            <w:pPr>
              <w:rPr>
                <w:rFonts w:ascii="宋体" w:hAnsi="宋体"/>
                <w:szCs w:val="21"/>
              </w:rPr>
            </w:pPr>
            <w:r>
              <w:rPr>
                <w:rFonts w:hint="eastAsia"/>
              </w:rPr>
              <w:t>1</w:t>
            </w:r>
            <w:r>
              <w:t>6</w:t>
            </w:r>
          </w:p>
        </w:tc>
        <w:tc>
          <w:tcPr>
            <w:tcW w:w="8289" w:type="dxa"/>
            <w:tcBorders>
              <w:top w:val="nil"/>
              <w:left w:val="nil"/>
              <w:bottom w:val="single" w:color="auto" w:sz="4" w:space="0"/>
              <w:right w:val="single" w:color="auto" w:sz="4" w:space="0"/>
            </w:tcBorders>
            <w:shd w:val="clear" w:color="auto" w:fill="auto"/>
            <w:vAlign w:val="center"/>
          </w:tcPr>
          <w:p w14:paraId="323340E1">
            <w:r>
              <w:rPr>
                <w:rFonts w:hint="eastAsia"/>
              </w:rPr>
              <w:t>支持断链修复功能，支持多机并行及负载均衡。</w:t>
            </w:r>
          </w:p>
        </w:tc>
      </w:tr>
      <w:tr w14:paraId="2785402F">
        <w:tblPrEx>
          <w:tblCellMar>
            <w:top w:w="0" w:type="dxa"/>
            <w:left w:w="108" w:type="dxa"/>
            <w:bottom w:w="0" w:type="dxa"/>
            <w:right w:w="108" w:type="dxa"/>
          </w:tblCellMar>
        </w:tblPrEx>
        <w:trPr>
          <w:trHeight w:val="278" w:hRule="atLeast"/>
          <w:jc w:val="center"/>
        </w:trPr>
        <w:tc>
          <w:tcPr>
            <w:tcW w:w="727" w:type="dxa"/>
            <w:tcBorders>
              <w:top w:val="nil"/>
              <w:left w:val="single" w:color="auto" w:sz="4" w:space="0"/>
              <w:bottom w:val="single" w:color="auto" w:sz="4" w:space="0"/>
              <w:right w:val="single" w:color="auto" w:sz="4" w:space="0"/>
            </w:tcBorders>
            <w:shd w:val="clear" w:color="auto" w:fill="auto"/>
            <w:vAlign w:val="center"/>
          </w:tcPr>
          <w:p w14:paraId="17E5EF60">
            <w:pPr>
              <w:rPr>
                <w:rFonts w:ascii="宋体" w:hAnsi="宋体"/>
                <w:szCs w:val="21"/>
              </w:rPr>
            </w:pPr>
            <w:r>
              <w:rPr>
                <w:rFonts w:hint="eastAsia"/>
              </w:rPr>
              <w:t>1</w:t>
            </w:r>
            <w:r>
              <w:t>7</w:t>
            </w:r>
          </w:p>
        </w:tc>
        <w:tc>
          <w:tcPr>
            <w:tcW w:w="8289" w:type="dxa"/>
            <w:tcBorders>
              <w:top w:val="nil"/>
              <w:left w:val="nil"/>
              <w:bottom w:val="single" w:color="auto" w:sz="4" w:space="0"/>
              <w:right w:val="single" w:color="auto" w:sz="4" w:space="0"/>
            </w:tcBorders>
            <w:shd w:val="clear" w:color="auto" w:fill="auto"/>
            <w:vAlign w:val="center"/>
          </w:tcPr>
          <w:p w14:paraId="060F9C9C">
            <w:r>
              <w:rPr>
                <w:rFonts w:hint="eastAsia"/>
              </w:rPr>
              <w:t>支持密钥管理功能：支持提供各类型密钥的生成、删除、查看、备份和恢复等功能。</w:t>
            </w:r>
          </w:p>
        </w:tc>
      </w:tr>
      <w:tr w14:paraId="0C08073E">
        <w:tblPrEx>
          <w:tblCellMar>
            <w:top w:w="0" w:type="dxa"/>
            <w:left w:w="108" w:type="dxa"/>
            <w:bottom w:w="0" w:type="dxa"/>
            <w:right w:w="108" w:type="dxa"/>
          </w:tblCellMar>
        </w:tblPrEx>
        <w:trPr>
          <w:trHeight w:val="278" w:hRule="atLeast"/>
          <w:jc w:val="center"/>
        </w:trPr>
        <w:tc>
          <w:tcPr>
            <w:tcW w:w="727" w:type="dxa"/>
            <w:tcBorders>
              <w:top w:val="nil"/>
              <w:left w:val="single" w:color="auto" w:sz="4" w:space="0"/>
              <w:bottom w:val="single" w:color="auto" w:sz="4" w:space="0"/>
              <w:right w:val="single" w:color="auto" w:sz="4" w:space="0"/>
            </w:tcBorders>
            <w:shd w:val="clear" w:color="auto" w:fill="auto"/>
            <w:vAlign w:val="center"/>
          </w:tcPr>
          <w:p w14:paraId="1DF59A99">
            <w:pPr>
              <w:rPr>
                <w:rFonts w:ascii="宋体" w:hAnsi="宋体"/>
                <w:szCs w:val="21"/>
              </w:rPr>
            </w:pPr>
            <w:r>
              <w:rPr>
                <w:rFonts w:hint="eastAsia"/>
              </w:rPr>
              <w:t>1</w:t>
            </w:r>
            <w:r>
              <w:t>8</w:t>
            </w:r>
          </w:p>
        </w:tc>
        <w:tc>
          <w:tcPr>
            <w:tcW w:w="8289" w:type="dxa"/>
            <w:tcBorders>
              <w:top w:val="nil"/>
              <w:left w:val="nil"/>
              <w:bottom w:val="single" w:color="auto" w:sz="4" w:space="0"/>
              <w:right w:val="single" w:color="auto" w:sz="4" w:space="0"/>
            </w:tcBorders>
            <w:shd w:val="clear" w:color="auto" w:fill="auto"/>
            <w:vAlign w:val="center"/>
          </w:tcPr>
          <w:p w14:paraId="003F5458">
            <w:r>
              <w:rPr>
                <w:rFonts w:hint="eastAsia"/>
              </w:rPr>
              <w:t>标准接口：密码机提供 GM/T 0018、JCE、PKCS#11 等国密、国际标准规范接口。</w:t>
            </w:r>
          </w:p>
        </w:tc>
      </w:tr>
      <w:tr w14:paraId="65C7948B">
        <w:tblPrEx>
          <w:tblCellMar>
            <w:top w:w="0" w:type="dxa"/>
            <w:left w:w="108" w:type="dxa"/>
            <w:bottom w:w="0" w:type="dxa"/>
            <w:right w:w="108" w:type="dxa"/>
          </w:tblCellMar>
        </w:tblPrEx>
        <w:trPr>
          <w:trHeight w:val="278" w:hRule="atLeast"/>
          <w:jc w:val="center"/>
        </w:trPr>
        <w:tc>
          <w:tcPr>
            <w:tcW w:w="727" w:type="dxa"/>
            <w:tcBorders>
              <w:top w:val="nil"/>
              <w:left w:val="single" w:color="auto" w:sz="4" w:space="0"/>
              <w:bottom w:val="single" w:color="auto" w:sz="4" w:space="0"/>
              <w:right w:val="single" w:color="auto" w:sz="4" w:space="0"/>
            </w:tcBorders>
            <w:shd w:val="clear" w:color="auto" w:fill="auto"/>
            <w:vAlign w:val="center"/>
          </w:tcPr>
          <w:p w14:paraId="78B05763">
            <w:pPr>
              <w:rPr>
                <w:rFonts w:ascii="宋体" w:hAnsi="宋体"/>
                <w:szCs w:val="21"/>
              </w:rPr>
            </w:pPr>
            <w:r>
              <w:rPr>
                <w:rFonts w:hint="eastAsia"/>
              </w:rPr>
              <w:t>19</w:t>
            </w:r>
          </w:p>
        </w:tc>
        <w:tc>
          <w:tcPr>
            <w:tcW w:w="8289" w:type="dxa"/>
            <w:tcBorders>
              <w:top w:val="nil"/>
              <w:left w:val="nil"/>
              <w:bottom w:val="single" w:color="auto" w:sz="4" w:space="0"/>
              <w:right w:val="single" w:color="auto" w:sz="4" w:space="0"/>
            </w:tcBorders>
            <w:shd w:val="clear" w:color="auto" w:fill="auto"/>
            <w:vAlign w:val="center"/>
          </w:tcPr>
          <w:p w14:paraId="0D574DD7">
            <w:r>
              <w:rPr>
                <w:rFonts w:hint="eastAsia"/>
              </w:rPr>
              <w:t>网络协议：支持 IPV4/IPV6 双栈协议。</w:t>
            </w:r>
          </w:p>
        </w:tc>
      </w:tr>
      <w:tr w14:paraId="36A92A84">
        <w:tblPrEx>
          <w:tblCellMar>
            <w:top w:w="0" w:type="dxa"/>
            <w:left w:w="108" w:type="dxa"/>
            <w:bottom w:w="0" w:type="dxa"/>
            <w:right w:w="108" w:type="dxa"/>
          </w:tblCellMar>
        </w:tblPrEx>
        <w:trPr>
          <w:trHeight w:val="278" w:hRule="atLeast"/>
          <w:jc w:val="center"/>
        </w:trPr>
        <w:tc>
          <w:tcPr>
            <w:tcW w:w="727" w:type="dxa"/>
            <w:tcBorders>
              <w:top w:val="nil"/>
              <w:left w:val="single" w:color="auto" w:sz="4" w:space="0"/>
              <w:bottom w:val="single" w:color="auto" w:sz="4" w:space="0"/>
              <w:right w:val="single" w:color="auto" w:sz="4" w:space="0"/>
            </w:tcBorders>
            <w:shd w:val="clear" w:color="auto" w:fill="auto"/>
            <w:vAlign w:val="center"/>
          </w:tcPr>
          <w:p w14:paraId="7589E4EE">
            <w:pPr>
              <w:rPr>
                <w:rFonts w:ascii="宋体" w:hAnsi="宋体"/>
                <w:szCs w:val="21"/>
              </w:rPr>
            </w:pPr>
            <w:r>
              <w:t>2</w:t>
            </w:r>
            <w:r>
              <w:rPr>
                <w:rFonts w:hint="eastAsia"/>
              </w:rPr>
              <w:t>0</w:t>
            </w:r>
          </w:p>
        </w:tc>
        <w:tc>
          <w:tcPr>
            <w:tcW w:w="8289" w:type="dxa"/>
            <w:tcBorders>
              <w:top w:val="nil"/>
              <w:left w:val="nil"/>
              <w:bottom w:val="single" w:color="auto" w:sz="4" w:space="0"/>
              <w:right w:val="single" w:color="auto" w:sz="4" w:space="0"/>
            </w:tcBorders>
            <w:shd w:val="clear" w:color="auto" w:fill="auto"/>
            <w:vAlign w:val="bottom"/>
          </w:tcPr>
          <w:p w14:paraId="3E1DF79F">
            <w:r>
              <w:rPr>
                <w:rFonts w:hint="eastAsia"/>
              </w:rPr>
              <w:t>系统运行平均故障间隔时间(MTBF)：≥30000小时。</w:t>
            </w:r>
          </w:p>
        </w:tc>
      </w:tr>
      <w:tr w14:paraId="29512A1A">
        <w:tblPrEx>
          <w:tblCellMar>
            <w:top w:w="0" w:type="dxa"/>
            <w:left w:w="108" w:type="dxa"/>
            <w:bottom w:w="0" w:type="dxa"/>
            <w:right w:w="108" w:type="dxa"/>
          </w:tblCellMar>
        </w:tblPrEx>
        <w:trPr>
          <w:trHeight w:val="1258"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14:paraId="7CB0EDA4">
            <w:pPr>
              <w:rPr>
                <w:rFonts w:ascii="宋体" w:hAnsi="宋体"/>
                <w:szCs w:val="21"/>
              </w:rPr>
            </w:pPr>
            <w:r>
              <w:rPr>
                <w:rFonts w:hint="eastAsia"/>
              </w:rPr>
              <w:t>21</w:t>
            </w:r>
          </w:p>
        </w:tc>
        <w:tc>
          <w:tcPr>
            <w:tcW w:w="8289" w:type="dxa"/>
            <w:tcBorders>
              <w:top w:val="single" w:color="auto" w:sz="4" w:space="0"/>
              <w:left w:val="nil"/>
              <w:bottom w:val="single" w:color="auto" w:sz="4" w:space="0"/>
              <w:right w:val="single" w:color="auto" w:sz="4" w:space="0"/>
            </w:tcBorders>
            <w:shd w:val="clear" w:color="auto" w:fill="auto"/>
            <w:vAlign w:val="bottom"/>
          </w:tcPr>
          <w:p w14:paraId="0941FC58">
            <w:r>
              <w:rPr>
                <w:rFonts w:hint="eastAsia"/>
              </w:rPr>
              <w:t>2048位RSA签名/验签≥15000/30000次/秒；SM2签名/验签≥200000/100000次/秒；SM2加密/解密≥50000/50000次/秒；SM1算法加解密≥1Gbps；SM4算法加解密≥1Gbps；SM3杂凑算法≥1Gbps；随机数生成≥1Gbps。</w:t>
            </w:r>
          </w:p>
        </w:tc>
      </w:tr>
      <w:tr w14:paraId="0BA79158">
        <w:tblPrEx>
          <w:tblCellMar>
            <w:top w:w="0" w:type="dxa"/>
            <w:left w:w="108" w:type="dxa"/>
            <w:bottom w:w="0" w:type="dxa"/>
            <w:right w:w="108" w:type="dxa"/>
          </w:tblCellMar>
        </w:tblPrEx>
        <w:trPr>
          <w:trHeight w:val="278" w:hRule="atLeast"/>
          <w:jc w:val="center"/>
        </w:trPr>
        <w:tc>
          <w:tcPr>
            <w:tcW w:w="727" w:type="dxa"/>
            <w:tcBorders>
              <w:top w:val="nil"/>
              <w:left w:val="single" w:color="auto" w:sz="4" w:space="0"/>
              <w:bottom w:val="single" w:color="auto" w:sz="4" w:space="0"/>
              <w:right w:val="single" w:color="auto" w:sz="4" w:space="0"/>
            </w:tcBorders>
            <w:shd w:val="clear" w:color="auto" w:fill="auto"/>
            <w:vAlign w:val="bottom"/>
          </w:tcPr>
          <w:p w14:paraId="3B9BCFE2">
            <w:pPr>
              <w:ind w:firstLine="0"/>
              <w:rPr>
                <w:rFonts w:ascii="宋体" w:hAnsi="宋体" w:cs="宋体"/>
                <w:szCs w:val="21"/>
              </w:rPr>
            </w:pPr>
            <w:r>
              <w:rPr>
                <w:rFonts w:hint="eastAsia"/>
              </w:rPr>
              <w:t>序号</w:t>
            </w:r>
          </w:p>
        </w:tc>
        <w:tc>
          <w:tcPr>
            <w:tcW w:w="8289" w:type="dxa"/>
            <w:tcBorders>
              <w:top w:val="single" w:color="auto" w:sz="4" w:space="0"/>
              <w:left w:val="nil"/>
              <w:bottom w:val="single" w:color="auto" w:sz="4" w:space="0"/>
              <w:right w:val="single" w:color="auto" w:sz="4" w:space="0"/>
            </w:tcBorders>
            <w:shd w:val="clear" w:color="auto" w:fill="auto"/>
            <w:vAlign w:val="center"/>
          </w:tcPr>
          <w:p w14:paraId="3D40D566">
            <w:pPr>
              <w:rPr>
                <w:rFonts w:ascii="宋体" w:hAnsi="宋体" w:cs="宋体"/>
              </w:rPr>
            </w:pPr>
            <w:r>
              <w:rPr>
                <w:rFonts w:hint="eastAsia"/>
              </w:rPr>
              <w:t>资质要求</w:t>
            </w:r>
          </w:p>
        </w:tc>
      </w:tr>
      <w:tr w14:paraId="1AC6417B">
        <w:tblPrEx>
          <w:tblCellMar>
            <w:top w:w="0" w:type="dxa"/>
            <w:left w:w="108" w:type="dxa"/>
            <w:bottom w:w="0" w:type="dxa"/>
            <w:right w:w="108" w:type="dxa"/>
          </w:tblCellMar>
        </w:tblPrEx>
        <w:trPr>
          <w:trHeight w:val="278" w:hRule="atLeast"/>
          <w:jc w:val="center"/>
        </w:trPr>
        <w:tc>
          <w:tcPr>
            <w:tcW w:w="727" w:type="dxa"/>
            <w:tcBorders>
              <w:top w:val="nil"/>
              <w:left w:val="single" w:color="auto" w:sz="4" w:space="0"/>
              <w:bottom w:val="single" w:color="auto" w:sz="4" w:space="0"/>
              <w:right w:val="single" w:color="auto" w:sz="4" w:space="0"/>
            </w:tcBorders>
            <w:shd w:val="clear" w:color="auto" w:fill="auto"/>
            <w:vAlign w:val="center"/>
          </w:tcPr>
          <w:p w14:paraId="1B32FEBA">
            <w:r>
              <w:rPr>
                <w:rFonts w:hint="eastAsia"/>
              </w:rPr>
              <w:t>1</w:t>
            </w:r>
          </w:p>
        </w:tc>
        <w:tc>
          <w:tcPr>
            <w:tcW w:w="8289" w:type="dxa"/>
            <w:tcBorders>
              <w:top w:val="nil"/>
              <w:left w:val="nil"/>
              <w:bottom w:val="single" w:color="auto" w:sz="4" w:space="0"/>
              <w:right w:val="single" w:color="auto" w:sz="4" w:space="0"/>
            </w:tcBorders>
            <w:shd w:val="clear" w:color="auto" w:fill="auto"/>
            <w:vAlign w:val="center"/>
          </w:tcPr>
          <w:p w14:paraId="2DFF83C0">
            <w:r>
              <w:rPr>
                <w:rFonts w:hint="eastAsia"/>
              </w:rPr>
              <w:t>服务器密码机具备国家密码管理局商用密码检测中心颁发的《商用密码产品认证证书》（提供证书扫描件）。</w:t>
            </w:r>
          </w:p>
        </w:tc>
      </w:tr>
    </w:tbl>
    <w:p w14:paraId="5AC538FC"/>
    <w:p w14:paraId="61C320E4">
      <w:pPr>
        <w:pStyle w:val="4"/>
      </w:pPr>
      <w:r>
        <w:rPr>
          <w:rFonts w:hint="eastAsia"/>
        </w:rPr>
        <w:t>数据库密码机</w:t>
      </w:r>
    </w:p>
    <w:p w14:paraId="292F423F">
      <w:pPr>
        <w:rPr>
          <w:lang w:val="zh-CN"/>
        </w:rPr>
      </w:pPr>
    </w:p>
    <w:tbl>
      <w:tblPr>
        <w:tblStyle w:val="23"/>
        <w:tblW w:w="5302" w:type="pct"/>
        <w:tblInd w:w="0" w:type="dxa"/>
        <w:tblLayout w:type="autofit"/>
        <w:tblCellMar>
          <w:top w:w="0" w:type="dxa"/>
          <w:left w:w="108" w:type="dxa"/>
          <w:bottom w:w="0" w:type="dxa"/>
          <w:right w:w="108" w:type="dxa"/>
        </w:tblCellMar>
      </w:tblPr>
      <w:tblGrid>
        <w:gridCol w:w="756"/>
        <w:gridCol w:w="8281"/>
      </w:tblGrid>
      <w:tr w14:paraId="15AC18E9">
        <w:tblPrEx>
          <w:tblCellMar>
            <w:top w:w="0" w:type="dxa"/>
            <w:left w:w="108" w:type="dxa"/>
            <w:bottom w:w="0" w:type="dxa"/>
            <w:right w:w="108" w:type="dxa"/>
          </w:tblCellMar>
        </w:tblPrEx>
        <w:trPr>
          <w:trHeight w:val="285" w:hRule="atLeast"/>
        </w:trPr>
        <w:tc>
          <w:tcPr>
            <w:tcW w:w="718" w:type="dxa"/>
            <w:tcBorders>
              <w:top w:val="single" w:color="auto" w:sz="4" w:space="0"/>
              <w:left w:val="single" w:color="auto" w:sz="4" w:space="0"/>
              <w:bottom w:val="single" w:color="auto" w:sz="4" w:space="0"/>
              <w:right w:val="single" w:color="auto" w:sz="4" w:space="0"/>
            </w:tcBorders>
            <w:shd w:val="clear" w:color="000000" w:fill="auto"/>
            <w:vAlign w:val="bottom"/>
          </w:tcPr>
          <w:p w14:paraId="0AA1C4CC">
            <w:pPr>
              <w:rPr>
                <w:rFonts w:ascii="宋体" w:hAnsi="宋体" w:cs="宋体"/>
                <w:szCs w:val="21"/>
              </w:rPr>
            </w:pPr>
            <w:r>
              <w:rPr>
                <w:rFonts w:hint="eastAsia"/>
              </w:rPr>
              <w:t>序号</w:t>
            </w:r>
          </w:p>
        </w:tc>
        <w:tc>
          <w:tcPr>
            <w:tcW w:w="8079" w:type="dxa"/>
            <w:tcBorders>
              <w:top w:val="single" w:color="auto" w:sz="4" w:space="0"/>
              <w:left w:val="nil"/>
              <w:bottom w:val="single" w:color="auto" w:sz="4" w:space="0"/>
              <w:right w:val="single" w:color="auto" w:sz="4" w:space="0"/>
            </w:tcBorders>
            <w:shd w:val="clear" w:color="000000" w:fill="auto"/>
            <w:vAlign w:val="center"/>
          </w:tcPr>
          <w:p w14:paraId="7B03F456">
            <w:pPr>
              <w:rPr>
                <w:rFonts w:ascii="宋体" w:hAnsi="宋体" w:cs="宋体"/>
              </w:rPr>
            </w:pPr>
            <w:r>
              <w:rPr>
                <w:rFonts w:hint="eastAsia"/>
              </w:rPr>
              <w:t>功能参数要求</w:t>
            </w:r>
          </w:p>
        </w:tc>
      </w:tr>
      <w:tr w14:paraId="581EFFB5">
        <w:tblPrEx>
          <w:tblCellMar>
            <w:top w:w="0" w:type="dxa"/>
            <w:left w:w="108" w:type="dxa"/>
            <w:bottom w:w="0" w:type="dxa"/>
            <w:right w:w="108" w:type="dxa"/>
          </w:tblCellMar>
        </w:tblPrEx>
        <w:trPr>
          <w:trHeight w:val="285" w:hRule="atLeast"/>
        </w:trPr>
        <w:tc>
          <w:tcPr>
            <w:tcW w:w="718" w:type="dxa"/>
            <w:tcBorders>
              <w:top w:val="nil"/>
              <w:left w:val="single" w:color="auto" w:sz="4" w:space="0"/>
              <w:bottom w:val="single" w:color="auto" w:sz="4" w:space="0"/>
              <w:right w:val="single" w:color="auto" w:sz="4" w:space="0"/>
            </w:tcBorders>
            <w:vAlign w:val="center"/>
          </w:tcPr>
          <w:p w14:paraId="38F0E9EC">
            <w:r>
              <w:rPr>
                <w:rFonts w:hint="eastAsia"/>
              </w:rPr>
              <w:t>1</w:t>
            </w:r>
          </w:p>
        </w:tc>
        <w:tc>
          <w:tcPr>
            <w:tcW w:w="8079" w:type="dxa"/>
            <w:tcBorders>
              <w:top w:val="nil"/>
              <w:left w:val="nil"/>
              <w:bottom w:val="single" w:color="auto" w:sz="4" w:space="0"/>
              <w:right w:val="single" w:color="auto" w:sz="4" w:space="0"/>
            </w:tcBorders>
            <w:vAlign w:val="center"/>
          </w:tcPr>
          <w:p w14:paraId="51F312C6">
            <w:r>
              <w:rPr>
                <w:rFonts w:hint="eastAsia"/>
              </w:rPr>
              <w:t>支持国密算法SM4对称密码算法，支持国密算法SM3摘要算法。</w:t>
            </w:r>
          </w:p>
        </w:tc>
      </w:tr>
      <w:tr w14:paraId="65F9A6E0">
        <w:tblPrEx>
          <w:tblCellMar>
            <w:top w:w="0" w:type="dxa"/>
            <w:left w:w="108" w:type="dxa"/>
            <w:bottom w:w="0" w:type="dxa"/>
            <w:right w:w="108" w:type="dxa"/>
          </w:tblCellMar>
        </w:tblPrEx>
        <w:trPr>
          <w:trHeight w:val="285" w:hRule="atLeast"/>
        </w:trPr>
        <w:tc>
          <w:tcPr>
            <w:tcW w:w="718" w:type="dxa"/>
            <w:tcBorders>
              <w:top w:val="nil"/>
              <w:left w:val="single" w:color="auto" w:sz="4" w:space="0"/>
              <w:bottom w:val="single" w:color="auto" w:sz="4" w:space="0"/>
              <w:right w:val="single" w:color="auto" w:sz="4" w:space="0"/>
            </w:tcBorders>
            <w:vAlign w:val="center"/>
          </w:tcPr>
          <w:p w14:paraId="5EEEA0D9">
            <w:r>
              <w:rPr>
                <w:rFonts w:hint="eastAsia"/>
              </w:rPr>
              <w:t>2</w:t>
            </w:r>
          </w:p>
        </w:tc>
        <w:tc>
          <w:tcPr>
            <w:tcW w:w="8079" w:type="dxa"/>
            <w:tcBorders>
              <w:top w:val="nil"/>
              <w:left w:val="nil"/>
              <w:bottom w:val="single" w:color="auto" w:sz="4" w:space="0"/>
              <w:right w:val="single" w:color="auto" w:sz="4" w:space="0"/>
            </w:tcBorders>
            <w:vAlign w:val="center"/>
          </w:tcPr>
          <w:p w14:paraId="2BD301D2">
            <w:r>
              <w:rPr>
                <w:rFonts w:hint="eastAsia"/>
              </w:rPr>
              <w:t>支持Oracle、MySQL、SQL Server、达梦、人大金仓、OpenGauss等主流数据库透明加密。</w:t>
            </w:r>
          </w:p>
        </w:tc>
      </w:tr>
      <w:tr w14:paraId="3DB9EB39">
        <w:tblPrEx>
          <w:tblCellMar>
            <w:top w:w="0" w:type="dxa"/>
            <w:left w:w="108" w:type="dxa"/>
            <w:bottom w:w="0" w:type="dxa"/>
            <w:right w:w="108" w:type="dxa"/>
          </w:tblCellMar>
        </w:tblPrEx>
        <w:trPr>
          <w:trHeight w:val="285" w:hRule="atLeast"/>
        </w:trPr>
        <w:tc>
          <w:tcPr>
            <w:tcW w:w="718" w:type="dxa"/>
            <w:tcBorders>
              <w:top w:val="nil"/>
              <w:left w:val="single" w:color="auto" w:sz="4" w:space="0"/>
              <w:bottom w:val="single" w:color="auto" w:sz="4" w:space="0"/>
              <w:right w:val="single" w:color="auto" w:sz="4" w:space="0"/>
            </w:tcBorders>
            <w:vAlign w:val="center"/>
          </w:tcPr>
          <w:p w14:paraId="0368AA43">
            <w:r>
              <w:rPr>
                <w:rFonts w:hint="eastAsia"/>
              </w:rPr>
              <w:t>3</w:t>
            </w:r>
          </w:p>
        </w:tc>
        <w:tc>
          <w:tcPr>
            <w:tcW w:w="8079" w:type="dxa"/>
            <w:tcBorders>
              <w:top w:val="nil"/>
              <w:left w:val="nil"/>
              <w:bottom w:val="single" w:color="auto" w:sz="4" w:space="0"/>
              <w:right w:val="single" w:color="auto" w:sz="4" w:space="0"/>
            </w:tcBorders>
            <w:vAlign w:val="center"/>
          </w:tcPr>
          <w:p w14:paraId="60E65348">
            <w:r>
              <w:rPr>
                <w:rFonts w:hint="eastAsia"/>
              </w:rPr>
              <w:t>支持独立于数据库的细粒度权限控制，支持对库、表甚至列的操作权限控制，防止高权限用户或非法用户越权访问敏感数据。（需提供产品功能截图）。</w:t>
            </w:r>
          </w:p>
        </w:tc>
      </w:tr>
      <w:tr w14:paraId="2ABCF945">
        <w:tblPrEx>
          <w:tblCellMar>
            <w:top w:w="0" w:type="dxa"/>
            <w:left w:w="108" w:type="dxa"/>
            <w:bottom w:w="0" w:type="dxa"/>
            <w:right w:w="108" w:type="dxa"/>
          </w:tblCellMar>
        </w:tblPrEx>
        <w:trPr>
          <w:trHeight w:val="285" w:hRule="atLeast"/>
        </w:trPr>
        <w:tc>
          <w:tcPr>
            <w:tcW w:w="718" w:type="dxa"/>
            <w:tcBorders>
              <w:top w:val="nil"/>
              <w:left w:val="single" w:color="auto" w:sz="4" w:space="0"/>
              <w:bottom w:val="single" w:color="auto" w:sz="4" w:space="0"/>
              <w:right w:val="single" w:color="auto" w:sz="4" w:space="0"/>
            </w:tcBorders>
            <w:vAlign w:val="center"/>
          </w:tcPr>
          <w:p w14:paraId="775E0F1A">
            <w:r>
              <w:rPr>
                <w:rFonts w:hint="eastAsia"/>
              </w:rPr>
              <w:t>4</w:t>
            </w:r>
          </w:p>
        </w:tc>
        <w:tc>
          <w:tcPr>
            <w:tcW w:w="8079" w:type="dxa"/>
            <w:tcBorders>
              <w:top w:val="nil"/>
              <w:left w:val="nil"/>
              <w:bottom w:val="single" w:color="auto" w:sz="4" w:space="0"/>
              <w:right w:val="single" w:color="auto" w:sz="4" w:space="0"/>
            </w:tcBorders>
            <w:vAlign w:val="center"/>
          </w:tcPr>
          <w:p w14:paraId="2A7C37F7">
            <w:r>
              <w:rPr>
                <w:rFonts w:hint="eastAsia"/>
              </w:rPr>
              <w:t>支持应用无需改动代码即可实现对敏感数据的完整性保护。</w:t>
            </w:r>
          </w:p>
        </w:tc>
      </w:tr>
      <w:tr w14:paraId="7584071B">
        <w:tblPrEx>
          <w:tblCellMar>
            <w:top w:w="0" w:type="dxa"/>
            <w:left w:w="108" w:type="dxa"/>
            <w:bottom w:w="0" w:type="dxa"/>
            <w:right w:w="108" w:type="dxa"/>
          </w:tblCellMar>
        </w:tblPrEx>
        <w:trPr>
          <w:trHeight w:val="285" w:hRule="atLeast"/>
        </w:trPr>
        <w:tc>
          <w:tcPr>
            <w:tcW w:w="718" w:type="dxa"/>
            <w:tcBorders>
              <w:top w:val="nil"/>
              <w:left w:val="single" w:color="auto" w:sz="4" w:space="0"/>
              <w:bottom w:val="single" w:color="auto" w:sz="4" w:space="0"/>
              <w:right w:val="single" w:color="auto" w:sz="4" w:space="0"/>
            </w:tcBorders>
            <w:vAlign w:val="center"/>
          </w:tcPr>
          <w:p w14:paraId="31DFA426">
            <w:r>
              <w:rPr>
                <w:rFonts w:hint="eastAsia"/>
              </w:rPr>
              <w:t>5</w:t>
            </w:r>
          </w:p>
        </w:tc>
        <w:tc>
          <w:tcPr>
            <w:tcW w:w="8079" w:type="dxa"/>
            <w:tcBorders>
              <w:top w:val="nil"/>
              <w:left w:val="nil"/>
              <w:bottom w:val="single" w:color="auto" w:sz="4" w:space="0"/>
              <w:right w:val="single" w:color="auto" w:sz="4" w:space="0"/>
            </w:tcBorders>
            <w:vAlign w:val="center"/>
          </w:tcPr>
          <w:p w14:paraId="0843520E">
            <w:r>
              <w:rPr>
                <w:rFonts w:hint="eastAsia"/>
              </w:rPr>
              <w:t>支持数据库动态脱敏。</w:t>
            </w:r>
          </w:p>
        </w:tc>
      </w:tr>
      <w:tr w14:paraId="13FC0AC7">
        <w:tblPrEx>
          <w:tblCellMar>
            <w:top w:w="0" w:type="dxa"/>
            <w:left w:w="108" w:type="dxa"/>
            <w:bottom w:w="0" w:type="dxa"/>
            <w:right w:w="108" w:type="dxa"/>
          </w:tblCellMar>
        </w:tblPrEx>
        <w:trPr>
          <w:trHeight w:val="285" w:hRule="atLeast"/>
        </w:trPr>
        <w:tc>
          <w:tcPr>
            <w:tcW w:w="718" w:type="dxa"/>
            <w:tcBorders>
              <w:top w:val="nil"/>
              <w:left w:val="single" w:color="auto" w:sz="4" w:space="0"/>
              <w:bottom w:val="single" w:color="auto" w:sz="4" w:space="0"/>
              <w:right w:val="single" w:color="auto" w:sz="4" w:space="0"/>
            </w:tcBorders>
            <w:vAlign w:val="center"/>
          </w:tcPr>
          <w:p w14:paraId="46C07A68">
            <w:r>
              <w:rPr>
                <w:rFonts w:hint="eastAsia"/>
              </w:rPr>
              <w:t>6</w:t>
            </w:r>
          </w:p>
        </w:tc>
        <w:tc>
          <w:tcPr>
            <w:tcW w:w="8079" w:type="dxa"/>
            <w:tcBorders>
              <w:top w:val="nil"/>
              <w:left w:val="nil"/>
              <w:bottom w:val="single" w:color="auto" w:sz="4" w:space="0"/>
              <w:right w:val="single" w:color="auto" w:sz="4" w:space="0"/>
            </w:tcBorders>
            <w:vAlign w:val="center"/>
          </w:tcPr>
          <w:p w14:paraId="283EA3F8">
            <w:r>
              <w:rPr>
                <w:rFonts w:hint="eastAsia"/>
              </w:rPr>
              <w:t>支持使用三方密钥管理系统中的密钥保护数据库数据安全。</w:t>
            </w:r>
          </w:p>
        </w:tc>
      </w:tr>
      <w:tr w14:paraId="25606D07">
        <w:tblPrEx>
          <w:tblCellMar>
            <w:top w:w="0" w:type="dxa"/>
            <w:left w:w="108" w:type="dxa"/>
            <w:bottom w:w="0" w:type="dxa"/>
            <w:right w:w="108" w:type="dxa"/>
          </w:tblCellMar>
        </w:tblPrEx>
        <w:trPr>
          <w:trHeight w:val="285" w:hRule="atLeast"/>
        </w:trPr>
        <w:tc>
          <w:tcPr>
            <w:tcW w:w="718" w:type="dxa"/>
            <w:tcBorders>
              <w:top w:val="nil"/>
              <w:left w:val="single" w:color="auto" w:sz="4" w:space="0"/>
              <w:bottom w:val="single" w:color="auto" w:sz="4" w:space="0"/>
              <w:right w:val="single" w:color="auto" w:sz="4" w:space="0"/>
            </w:tcBorders>
            <w:vAlign w:val="center"/>
          </w:tcPr>
          <w:p w14:paraId="5849E3C5">
            <w:r>
              <w:rPr>
                <w:rFonts w:hint="eastAsia"/>
              </w:rPr>
              <w:t>7</w:t>
            </w:r>
          </w:p>
        </w:tc>
        <w:tc>
          <w:tcPr>
            <w:tcW w:w="8079" w:type="dxa"/>
            <w:tcBorders>
              <w:top w:val="nil"/>
              <w:left w:val="nil"/>
              <w:bottom w:val="single" w:color="auto" w:sz="4" w:space="0"/>
              <w:right w:val="single" w:color="auto" w:sz="4" w:space="0"/>
            </w:tcBorders>
            <w:vAlign w:val="center"/>
          </w:tcPr>
          <w:p w14:paraId="00D19D5D">
            <w:r>
              <w:rPr>
                <w:rFonts w:hint="eastAsia"/>
              </w:rPr>
              <w:t>支持网关模式通过网络接入，应用简单修改数据库IP 即可接入数据库加密机。</w:t>
            </w:r>
          </w:p>
        </w:tc>
      </w:tr>
      <w:tr w14:paraId="18F531E9">
        <w:tblPrEx>
          <w:tblCellMar>
            <w:top w:w="0" w:type="dxa"/>
            <w:left w:w="108" w:type="dxa"/>
            <w:bottom w:w="0" w:type="dxa"/>
            <w:right w:w="108" w:type="dxa"/>
          </w:tblCellMar>
        </w:tblPrEx>
        <w:trPr>
          <w:trHeight w:val="285" w:hRule="atLeast"/>
        </w:trPr>
        <w:tc>
          <w:tcPr>
            <w:tcW w:w="718" w:type="dxa"/>
            <w:tcBorders>
              <w:top w:val="nil"/>
              <w:left w:val="single" w:color="auto" w:sz="4" w:space="0"/>
              <w:bottom w:val="single" w:color="auto" w:sz="4" w:space="0"/>
              <w:right w:val="single" w:color="auto" w:sz="4" w:space="0"/>
            </w:tcBorders>
            <w:vAlign w:val="center"/>
          </w:tcPr>
          <w:p w14:paraId="22C7C46C">
            <w:r>
              <w:rPr>
                <w:rFonts w:hint="eastAsia"/>
              </w:rPr>
              <w:t>8</w:t>
            </w:r>
          </w:p>
        </w:tc>
        <w:tc>
          <w:tcPr>
            <w:tcW w:w="8079" w:type="dxa"/>
            <w:tcBorders>
              <w:top w:val="nil"/>
              <w:left w:val="nil"/>
              <w:bottom w:val="single" w:color="auto" w:sz="4" w:space="0"/>
              <w:right w:val="single" w:color="auto" w:sz="4" w:space="0"/>
            </w:tcBorders>
            <w:vAlign w:val="center"/>
          </w:tcPr>
          <w:p w14:paraId="6F1C4FB4">
            <w:r>
              <w:rPr>
                <w:rFonts w:hint="eastAsia"/>
              </w:rPr>
              <w:t>支持内置敏感数据识别规则，用户也可以根据业务需要，增加自定义敏感数据识别规则。（需提供产品功能截图）。</w:t>
            </w:r>
          </w:p>
        </w:tc>
      </w:tr>
      <w:tr w14:paraId="57AE2789">
        <w:tblPrEx>
          <w:tblCellMar>
            <w:top w:w="0" w:type="dxa"/>
            <w:left w:w="108" w:type="dxa"/>
            <w:bottom w:w="0" w:type="dxa"/>
            <w:right w:w="108" w:type="dxa"/>
          </w:tblCellMar>
        </w:tblPrEx>
        <w:trPr>
          <w:trHeight w:val="285" w:hRule="atLeast"/>
        </w:trPr>
        <w:tc>
          <w:tcPr>
            <w:tcW w:w="718" w:type="dxa"/>
            <w:tcBorders>
              <w:top w:val="nil"/>
              <w:left w:val="single" w:color="auto" w:sz="4" w:space="0"/>
              <w:bottom w:val="single" w:color="auto" w:sz="4" w:space="0"/>
              <w:right w:val="single" w:color="auto" w:sz="4" w:space="0"/>
            </w:tcBorders>
            <w:vAlign w:val="center"/>
          </w:tcPr>
          <w:p w14:paraId="788172E0">
            <w:r>
              <w:rPr>
                <w:rFonts w:hint="eastAsia"/>
              </w:rPr>
              <w:t>9</w:t>
            </w:r>
          </w:p>
        </w:tc>
        <w:tc>
          <w:tcPr>
            <w:tcW w:w="8079" w:type="dxa"/>
            <w:tcBorders>
              <w:top w:val="nil"/>
              <w:left w:val="nil"/>
              <w:bottom w:val="single" w:color="auto" w:sz="4" w:space="0"/>
              <w:right w:val="single" w:color="auto" w:sz="4" w:space="0"/>
            </w:tcBorders>
            <w:vAlign w:val="center"/>
          </w:tcPr>
          <w:p w14:paraId="044967CC">
            <w:r>
              <w:rPr>
                <w:rFonts w:hint="eastAsia"/>
              </w:rPr>
              <w:t>支持应用零改造集成（可提供截图证明）。</w:t>
            </w:r>
          </w:p>
        </w:tc>
      </w:tr>
      <w:tr w14:paraId="28015571">
        <w:tblPrEx>
          <w:tblCellMar>
            <w:top w:w="0" w:type="dxa"/>
            <w:left w:w="108" w:type="dxa"/>
            <w:bottom w:w="0" w:type="dxa"/>
            <w:right w:w="108" w:type="dxa"/>
          </w:tblCellMar>
        </w:tblPrEx>
        <w:trPr>
          <w:trHeight w:val="285" w:hRule="atLeast"/>
        </w:trPr>
        <w:tc>
          <w:tcPr>
            <w:tcW w:w="718" w:type="dxa"/>
            <w:tcBorders>
              <w:top w:val="nil"/>
              <w:left w:val="single" w:color="auto" w:sz="4" w:space="0"/>
              <w:bottom w:val="single" w:color="auto" w:sz="4" w:space="0"/>
              <w:right w:val="single" w:color="auto" w:sz="4" w:space="0"/>
            </w:tcBorders>
            <w:vAlign w:val="center"/>
          </w:tcPr>
          <w:p w14:paraId="6A01F0B6">
            <w:r>
              <w:rPr>
                <w:rFonts w:hint="eastAsia"/>
              </w:rPr>
              <w:t>10</w:t>
            </w:r>
          </w:p>
        </w:tc>
        <w:tc>
          <w:tcPr>
            <w:tcW w:w="8079" w:type="dxa"/>
            <w:tcBorders>
              <w:top w:val="nil"/>
              <w:left w:val="nil"/>
              <w:bottom w:val="single" w:color="auto" w:sz="4" w:space="0"/>
              <w:right w:val="single" w:color="auto" w:sz="4" w:space="0"/>
            </w:tcBorders>
            <w:vAlign w:val="center"/>
          </w:tcPr>
          <w:p w14:paraId="61609D39">
            <w:r>
              <w:rPr>
                <w:rFonts w:hint="eastAsia"/>
              </w:rPr>
              <w:t>单节点支持配置多个不同的存储设备，支持为不同应用分配独立的存储设备。</w:t>
            </w:r>
          </w:p>
        </w:tc>
      </w:tr>
      <w:tr w14:paraId="67A97C87">
        <w:tblPrEx>
          <w:tblCellMar>
            <w:top w:w="0" w:type="dxa"/>
            <w:left w:w="108" w:type="dxa"/>
            <w:bottom w:w="0" w:type="dxa"/>
            <w:right w:w="108" w:type="dxa"/>
          </w:tblCellMar>
        </w:tblPrEx>
        <w:trPr>
          <w:trHeight w:val="285" w:hRule="atLeast"/>
        </w:trPr>
        <w:tc>
          <w:tcPr>
            <w:tcW w:w="718" w:type="dxa"/>
            <w:tcBorders>
              <w:top w:val="nil"/>
              <w:left w:val="single" w:color="auto" w:sz="4" w:space="0"/>
              <w:bottom w:val="single" w:color="auto" w:sz="4" w:space="0"/>
              <w:right w:val="single" w:color="auto" w:sz="4" w:space="0"/>
            </w:tcBorders>
            <w:vAlign w:val="center"/>
          </w:tcPr>
          <w:p w14:paraId="7E30DAE8">
            <w:r>
              <w:rPr>
                <w:rFonts w:hint="eastAsia"/>
              </w:rPr>
              <w:t>11</w:t>
            </w:r>
          </w:p>
        </w:tc>
        <w:tc>
          <w:tcPr>
            <w:tcW w:w="8079" w:type="dxa"/>
            <w:tcBorders>
              <w:top w:val="nil"/>
              <w:left w:val="nil"/>
              <w:bottom w:val="single" w:color="auto" w:sz="4" w:space="0"/>
              <w:right w:val="single" w:color="auto" w:sz="4" w:space="0"/>
            </w:tcBorders>
            <w:vAlign w:val="center"/>
          </w:tcPr>
          <w:p w14:paraId="42D7351A">
            <w:r>
              <w:rPr>
                <w:rFonts w:hint="eastAsia"/>
              </w:rPr>
              <w:t>支持国产主流CPU、操作系统、数据库、中间件兼容互认证；提供证明兼容互认证材料。</w:t>
            </w:r>
          </w:p>
        </w:tc>
      </w:tr>
      <w:tr w14:paraId="53D3228B">
        <w:tblPrEx>
          <w:tblCellMar>
            <w:top w:w="0" w:type="dxa"/>
            <w:left w:w="108" w:type="dxa"/>
            <w:bottom w:w="0" w:type="dxa"/>
            <w:right w:w="108" w:type="dxa"/>
          </w:tblCellMar>
        </w:tblPrEx>
        <w:trPr>
          <w:trHeight w:val="285" w:hRule="atLeast"/>
        </w:trPr>
        <w:tc>
          <w:tcPr>
            <w:tcW w:w="718" w:type="dxa"/>
            <w:tcBorders>
              <w:top w:val="nil"/>
              <w:left w:val="single" w:color="auto" w:sz="4" w:space="0"/>
              <w:bottom w:val="single" w:color="auto" w:sz="4" w:space="0"/>
              <w:right w:val="single" w:color="auto" w:sz="4" w:space="0"/>
            </w:tcBorders>
            <w:vAlign w:val="center"/>
          </w:tcPr>
          <w:p w14:paraId="6A98DF4B">
            <w:r>
              <w:rPr>
                <w:rFonts w:hint="eastAsia"/>
              </w:rPr>
              <w:t>12</w:t>
            </w:r>
          </w:p>
        </w:tc>
        <w:tc>
          <w:tcPr>
            <w:tcW w:w="8079" w:type="dxa"/>
            <w:tcBorders>
              <w:top w:val="nil"/>
              <w:left w:val="nil"/>
              <w:bottom w:val="single" w:color="auto" w:sz="4" w:space="0"/>
              <w:right w:val="single" w:color="auto" w:sz="4" w:space="0"/>
            </w:tcBorders>
            <w:vAlign w:val="center"/>
          </w:tcPr>
          <w:p w14:paraId="66842449">
            <w:r>
              <w:rPr>
                <w:rFonts w:hint="eastAsia"/>
              </w:rPr>
              <w:t>支持加密网关部署的数据库加密模式。</w:t>
            </w:r>
          </w:p>
        </w:tc>
      </w:tr>
      <w:tr w14:paraId="3D594B15">
        <w:tblPrEx>
          <w:tblCellMar>
            <w:top w:w="0" w:type="dxa"/>
            <w:left w:w="108" w:type="dxa"/>
            <w:bottom w:w="0" w:type="dxa"/>
            <w:right w:w="108" w:type="dxa"/>
          </w:tblCellMar>
        </w:tblPrEx>
        <w:trPr>
          <w:trHeight w:val="285" w:hRule="atLeast"/>
        </w:trPr>
        <w:tc>
          <w:tcPr>
            <w:tcW w:w="718" w:type="dxa"/>
            <w:tcBorders>
              <w:top w:val="nil"/>
              <w:left w:val="single" w:color="auto" w:sz="4" w:space="0"/>
              <w:bottom w:val="single" w:color="auto" w:sz="4" w:space="0"/>
              <w:right w:val="single" w:color="auto" w:sz="4" w:space="0"/>
            </w:tcBorders>
            <w:vAlign w:val="center"/>
          </w:tcPr>
          <w:p w14:paraId="22B7D344">
            <w:r>
              <w:rPr>
                <w:rFonts w:hint="eastAsia"/>
              </w:rPr>
              <w:t>13</w:t>
            </w:r>
          </w:p>
        </w:tc>
        <w:tc>
          <w:tcPr>
            <w:tcW w:w="8079" w:type="dxa"/>
            <w:tcBorders>
              <w:top w:val="nil"/>
              <w:left w:val="nil"/>
              <w:bottom w:val="single" w:color="auto" w:sz="4" w:space="0"/>
              <w:right w:val="single" w:color="auto" w:sz="4" w:space="0"/>
            </w:tcBorders>
            <w:vAlign w:val="center"/>
          </w:tcPr>
          <w:p w14:paraId="53DA1442">
            <w:r>
              <w:rPr>
                <w:rFonts w:hint="eastAsia"/>
              </w:rPr>
              <w:t>加密和完整性保护对应用无影响，应用无需改造代码即可实现加密和完整性保护。</w:t>
            </w:r>
          </w:p>
        </w:tc>
      </w:tr>
      <w:tr w14:paraId="75992CC6">
        <w:tblPrEx>
          <w:tblCellMar>
            <w:top w:w="0" w:type="dxa"/>
            <w:left w:w="108" w:type="dxa"/>
            <w:bottom w:w="0" w:type="dxa"/>
            <w:right w:w="108" w:type="dxa"/>
          </w:tblCellMar>
        </w:tblPrEx>
        <w:trPr>
          <w:trHeight w:val="285" w:hRule="atLeast"/>
        </w:trPr>
        <w:tc>
          <w:tcPr>
            <w:tcW w:w="718" w:type="dxa"/>
            <w:tcBorders>
              <w:top w:val="nil"/>
              <w:left w:val="single" w:color="auto" w:sz="4" w:space="0"/>
              <w:bottom w:val="single" w:color="auto" w:sz="4" w:space="0"/>
              <w:right w:val="single" w:color="auto" w:sz="4" w:space="0"/>
            </w:tcBorders>
            <w:vAlign w:val="center"/>
          </w:tcPr>
          <w:p w14:paraId="7D87062E">
            <w:r>
              <w:rPr>
                <w:rFonts w:hint="eastAsia"/>
              </w:rPr>
              <w:t>14</w:t>
            </w:r>
          </w:p>
        </w:tc>
        <w:tc>
          <w:tcPr>
            <w:tcW w:w="8079" w:type="dxa"/>
            <w:tcBorders>
              <w:top w:val="nil"/>
              <w:left w:val="nil"/>
              <w:bottom w:val="single" w:color="auto" w:sz="4" w:space="0"/>
              <w:right w:val="single" w:color="auto" w:sz="4" w:space="0"/>
            </w:tcBorders>
            <w:vAlign w:val="center"/>
          </w:tcPr>
          <w:p w14:paraId="13B035C0">
            <w:r>
              <w:rPr>
                <w:rFonts w:hint="eastAsia"/>
              </w:rPr>
              <w:t>支持本地密钥管理和连接第三方密钥管理系统两种密钥管理模式。</w:t>
            </w:r>
          </w:p>
        </w:tc>
      </w:tr>
      <w:tr w14:paraId="21B6F729">
        <w:tblPrEx>
          <w:tblCellMar>
            <w:top w:w="0" w:type="dxa"/>
            <w:left w:w="108" w:type="dxa"/>
            <w:bottom w:w="0" w:type="dxa"/>
            <w:right w:w="108" w:type="dxa"/>
          </w:tblCellMar>
        </w:tblPrEx>
        <w:trPr>
          <w:trHeight w:val="855" w:hRule="atLeast"/>
        </w:trPr>
        <w:tc>
          <w:tcPr>
            <w:tcW w:w="718" w:type="dxa"/>
            <w:tcBorders>
              <w:top w:val="nil"/>
              <w:left w:val="single" w:color="auto" w:sz="4" w:space="0"/>
              <w:bottom w:val="single" w:color="auto" w:sz="4" w:space="0"/>
              <w:right w:val="single" w:color="auto" w:sz="4" w:space="0"/>
            </w:tcBorders>
            <w:vAlign w:val="center"/>
          </w:tcPr>
          <w:p w14:paraId="1FEB09DF">
            <w:r>
              <w:rPr>
                <w:rFonts w:hint="eastAsia"/>
              </w:rPr>
              <w:t>15</w:t>
            </w:r>
          </w:p>
        </w:tc>
        <w:tc>
          <w:tcPr>
            <w:tcW w:w="8079" w:type="dxa"/>
            <w:tcBorders>
              <w:top w:val="nil"/>
              <w:left w:val="nil"/>
              <w:bottom w:val="single" w:color="auto" w:sz="4" w:space="0"/>
              <w:right w:val="single" w:color="auto" w:sz="4" w:space="0"/>
            </w:tcBorders>
            <w:vAlign w:val="center"/>
          </w:tcPr>
          <w:p w14:paraId="579AA2D9">
            <w:r>
              <w:rPr>
                <w:rFonts w:hint="eastAsia"/>
              </w:rPr>
              <w:t>本地密钥管理，密钥生成时采用由内部的密码卡的物理噪声源芯片生成的随机数，密钥生成后由加密卡中的保护密钥加密后存储。提供密码卡商用密码产品认证证书，为保障密码芯片、密码卡安全性推荐与设备厂商为同一家。</w:t>
            </w:r>
          </w:p>
        </w:tc>
      </w:tr>
      <w:tr w14:paraId="5447FEBE">
        <w:tblPrEx>
          <w:tblCellMar>
            <w:top w:w="0" w:type="dxa"/>
            <w:left w:w="108" w:type="dxa"/>
            <w:bottom w:w="0" w:type="dxa"/>
            <w:right w:w="108" w:type="dxa"/>
          </w:tblCellMar>
        </w:tblPrEx>
        <w:trPr>
          <w:trHeight w:val="285" w:hRule="atLeast"/>
        </w:trPr>
        <w:tc>
          <w:tcPr>
            <w:tcW w:w="718" w:type="dxa"/>
            <w:tcBorders>
              <w:top w:val="nil"/>
              <w:left w:val="single" w:color="auto" w:sz="4" w:space="0"/>
              <w:bottom w:val="single" w:color="auto" w:sz="4" w:space="0"/>
              <w:right w:val="single" w:color="auto" w:sz="4" w:space="0"/>
            </w:tcBorders>
            <w:vAlign w:val="center"/>
          </w:tcPr>
          <w:p w14:paraId="1FBA1F5A">
            <w:r>
              <w:rPr>
                <w:rFonts w:hint="eastAsia"/>
              </w:rPr>
              <w:t>16</w:t>
            </w:r>
          </w:p>
        </w:tc>
        <w:tc>
          <w:tcPr>
            <w:tcW w:w="8079" w:type="dxa"/>
            <w:tcBorders>
              <w:top w:val="nil"/>
              <w:left w:val="nil"/>
              <w:bottom w:val="single" w:color="auto" w:sz="4" w:space="0"/>
              <w:right w:val="single" w:color="auto" w:sz="4" w:space="0"/>
            </w:tcBorders>
            <w:vAlign w:val="center"/>
          </w:tcPr>
          <w:p w14:paraId="500FD24B">
            <w:r>
              <w:rPr>
                <w:rFonts w:hint="eastAsia"/>
              </w:rPr>
              <w:t>本地密钥管理，支持密钥安全管理，通过管理控制台集中管理所有加密密钥。</w:t>
            </w:r>
          </w:p>
        </w:tc>
      </w:tr>
      <w:tr w14:paraId="6FD4FFBF">
        <w:tblPrEx>
          <w:tblCellMar>
            <w:top w:w="0" w:type="dxa"/>
            <w:left w:w="108" w:type="dxa"/>
            <w:bottom w:w="0" w:type="dxa"/>
            <w:right w:w="108" w:type="dxa"/>
          </w:tblCellMar>
        </w:tblPrEx>
        <w:trPr>
          <w:trHeight w:val="285" w:hRule="atLeast"/>
        </w:trPr>
        <w:tc>
          <w:tcPr>
            <w:tcW w:w="718" w:type="dxa"/>
            <w:tcBorders>
              <w:top w:val="nil"/>
              <w:left w:val="single" w:color="auto" w:sz="4" w:space="0"/>
              <w:bottom w:val="single" w:color="auto" w:sz="4" w:space="0"/>
              <w:right w:val="single" w:color="auto" w:sz="4" w:space="0"/>
            </w:tcBorders>
            <w:vAlign w:val="center"/>
          </w:tcPr>
          <w:p w14:paraId="5393D0D8">
            <w:r>
              <w:rPr>
                <w:rFonts w:hint="eastAsia"/>
              </w:rPr>
              <w:t>17</w:t>
            </w:r>
          </w:p>
        </w:tc>
        <w:tc>
          <w:tcPr>
            <w:tcW w:w="8079" w:type="dxa"/>
            <w:tcBorders>
              <w:top w:val="nil"/>
              <w:left w:val="nil"/>
              <w:bottom w:val="single" w:color="auto" w:sz="4" w:space="0"/>
              <w:right w:val="single" w:color="auto" w:sz="4" w:space="0"/>
            </w:tcBorders>
            <w:vAlign w:val="center"/>
          </w:tcPr>
          <w:p w14:paraId="29C611A2">
            <w:r>
              <w:rPr>
                <w:rFonts w:hint="eastAsia"/>
              </w:rPr>
              <w:t>支持连接密钥管理系统，由密钥管理系统进行密钥生命周期管理。</w:t>
            </w:r>
          </w:p>
        </w:tc>
      </w:tr>
      <w:tr w14:paraId="75C7CB95">
        <w:tblPrEx>
          <w:tblCellMar>
            <w:top w:w="0" w:type="dxa"/>
            <w:left w:w="108" w:type="dxa"/>
            <w:bottom w:w="0" w:type="dxa"/>
            <w:right w:w="108" w:type="dxa"/>
          </w:tblCellMar>
        </w:tblPrEx>
        <w:trPr>
          <w:trHeight w:val="570" w:hRule="atLeast"/>
        </w:trPr>
        <w:tc>
          <w:tcPr>
            <w:tcW w:w="718" w:type="dxa"/>
            <w:tcBorders>
              <w:top w:val="nil"/>
              <w:left w:val="single" w:color="auto" w:sz="4" w:space="0"/>
              <w:bottom w:val="single" w:color="auto" w:sz="4" w:space="0"/>
              <w:right w:val="single" w:color="auto" w:sz="4" w:space="0"/>
            </w:tcBorders>
            <w:vAlign w:val="center"/>
          </w:tcPr>
          <w:p w14:paraId="4A1D96F4">
            <w:r>
              <w:rPr>
                <w:rFonts w:hint="eastAsia"/>
              </w:rPr>
              <w:t>18</w:t>
            </w:r>
          </w:p>
        </w:tc>
        <w:tc>
          <w:tcPr>
            <w:tcW w:w="8079" w:type="dxa"/>
            <w:tcBorders>
              <w:top w:val="nil"/>
              <w:left w:val="nil"/>
              <w:bottom w:val="single" w:color="auto" w:sz="4" w:space="0"/>
              <w:right w:val="single" w:color="auto" w:sz="4" w:space="0"/>
            </w:tcBorders>
            <w:vAlign w:val="center"/>
          </w:tcPr>
          <w:p w14:paraId="6301E0AC">
            <w:r>
              <w:rPr>
                <w:rFonts w:hint="eastAsia"/>
              </w:rPr>
              <w:t>支持对密钥及系统配置等重要数据的备份/恢复机制，系统管理员可方便的在管理控制台完成系统备份操作，可下载到本地进行妥善保存。</w:t>
            </w:r>
          </w:p>
        </w:tc>
      </w:tr>
      <w:tr w14:paraId="385EF31D">
        <w:tblPrEx>
          <w:tblCellMar>
            <w:top w:w="0" w:type="dxa"/>
            <w:left w:w="108" w:type="dxa"/>
            <w:bottom w:w="0" w:type="dxa"/>
            <w:right w:w="108" w:type="dxa"/>
          </w:tblCellMar>
        </w:tblPrEx>
        <w:trPr>
          <w:trHeight w:val="285" w:hRule="atLeast"/>
        </w:trPr>
        <w:tc>
          <w:tcPr>
            <w:tcW w:w="718" w:type="dxa"/>
            <w:tcBorders>
              <w:top w:val="nil"/>
              <w:left w:val="single" w:color="auto" w:sz="4" w:space="0"/>
              <w:bottom w:val="single" w:color="auto" w:sz="4" w:space="0"/>
              <w:right w:val="single" w:color="auto" w:sz="4" w:space="0"/>
            </w:tcBorders>
            <w:vAlign w:val="center"/>
          </w:tcPr>
          <w:p w14:paraId="3F76A715">
            <w:r>
              <w:rPr>
                <w:rFonts w:hint="eastAsia"/>
              </w:rPr>
              <w:t>19</w:t>
            </w:r>
          </w:p>
        </w:tc>
        <w:tc>
          <w:tcPr>
            <w:tcW w:w="8079" w:type="dxa"/>
            <w:tcBorders>
              <w:top w:val="nil"/>
              <w:left w:val="nil"/>
              <w:bottom w:val="single" w:color="auto" w:sz="4" w:space="0"/>
              <w:right w:val="single" w:color="auto" w:sz="4" w:space="0"/>
            </w:tcBorders>
            <w:vAlign w:val="center"/>
          </w:tcPr>
          <w:p w14:paraId="7D02ED20">
            <w:r>
              <w:rPr>
                <w:rFonts w:hint="eastAsia"/>
              </w:rPr>
              <w:t>支持基于HTTPS实现远程管理和配置</w:t>
            </w:r>
          </w:p>
        </w:tc>
      </w:tr>
      <w:tr w14:paraId="681374D9">
        <w:tblPrEx>
          <w:tblCellMar>
            <w:top w:w="0" w:type="dxa"/>
            <w:left w:w="108" w:type="dxa"/>
            <w:bottom w:w="0" w:type="dxa"/>
            <w:right w:w="108" w:type="dxa"/>
          </w:tblCellMar>
        </w:tblPrEx>
        <w:trPr>
          <w:trHeight w:val="285" w:hRule="atLeast"/>
        </w:trPr>
        <w:tc>
          <w:tcPr>
            <w:tcW w:w="718" w:type="dxa"/>
            <w:tcBorders>
              <w:top w:val="nil"/>
              <w:left w:val="single" w:color="auto" w:sz="4" w:space="0"/>
              <w:bottom w:val="single" w:color="auto" w:sz="4" w:space="0"/>
              <w:right w:val="single" w:color="auto" w:sz="4" w:space="0"/>
            </w:tcBorders>
            <w:vAlign w:val="center"/>
          </w:tcPr>
          <w:p w14:paraId="112BAE4F">
            <w:r>
              <w:rPr>
                <w:rFonts w:hint="eastAsia"/>
              </w:rPr>
              <w:t>20</w:t>
            </w:r>
          </w:p>
        </w:tc>
        <w:tc>
          <w:tcPr>
            <w:tcW w:w="8079" w:type="dxa"/>
            <w:tcBorders>
              <w:top w:val="nil"/>
              <w:left w:val="nil"/>
              <w:bottom w:val="single" w:color="auto" w:sz="4" w:space="0"/>
              <w:right w:val="single" w:color="auto" w:sz="4" w:space="0"/>
            </w:tcBorders>
            <w:vAlign w:val="center"/>
          </w:tcPr>
          <w:p w14:paraId="3BAA58AB">
            <w:r>
              <w:rPr>
                <w:rFonts w:hint="eastAsia"/>
              </w:rPr>
              <w:t>支持高可用配置，通过配置数据集群和 keepalived 集群，实现灾备功能。（需提供产品功能截图）。</w:t>
            </w:r>
          </w:p>
        </w:tc>
      </w:tr>
      <w:tr w14:paraId="03BD20E4">
        <w:tblPrEx>
          <w:tblCellMar>
            <w:top w:w="0" w:type="dxa"/>
            <w:left w:w="108" w:type="dxa"/>
            <w:bottom w:w="0" w:type="dxa"/>
            <w:right w:w="108" w:type="dxa"/>
          </w:tblCellMar>
        </w:tblPrEx>
        <w:trPr>
          <w:trHeight w:val="285" w:hRule="atLeast"/>
        </w:trPr>
        <w:tc>
          <w:tcPr>
            <w:tcW w:w="718" w:type="dxa"/>
            <w:tcBorders>
              <w:top w:val="nil"/>
              <w:left w:val="single" w:color="auto" w:sz="4" w:space="0"/>
              <w:bottom w:val="single" w:color="auto" w:sz="4" w:space="0"/>
              <w:right w:val="single" w:color="auto" w:sz="4" w:space="0"/>
            </w:tcBorders>
            <w:vAlign w:val="center"/>
          </w:tcPr>
          <w:p w14:paraId="39AD9068">
            <w:r>
              <w:rPr>
                <w:rFonts w:hint="eastAsia"/>
              </w:rPr>
              <w:t>21</w:t>
            </w:r>
          </w:p>
        </w:tc>
        <w:tc>
          <w:tcPr>
            <w:tcW w:w="8079" w:type="dxa"/>
            <w:tcBorders>
              <w:top w:val="nil"/>
              <w:left w:val="nil"/>
              <w:bottom w:val="single" w:color="auto" w:sz="4" w:space="0"/>
              <w:right w:val="single" w:color="auto" w:sz="4" w:space="0"/>
            </w:tcBorders>
            <w:vAlign w:val="center"/>
          </w:tcPr>
          <w:p w14:paraId="60AD0E48">
            <w:r>
              <w:rPr>
                <w:rFonts w:hint="eastAsia"/>
              </w:rPr>
              <w:t>支持系统用户管理，支持根据三权分立原则划分用户角色及权限，包括管理员、审计员、操作员。</w:t>
            </w:r>
          </w:p>
        </w:tc>
      </w:tr>
      <w:tr w14:paraId="77801033">
        <w:tblPrEx>
          <w:tblCellMar>
            <w:top w:w="0" w:type="dxa"/>
            <w:left w:w="108" w:type="dxa"/>
            <w:bottom w:w="0" w:type="dxa"/>
            <w:right w:w="108" w:type="dxa"/>
          </w:tblCellMar>
        </w:tblPrEx>
        <w:trPr>
          <w:trHeight w:val="285" w:hRule="atLeast"/>
        </w:trPr>
        <w:tc>
          <w:tcPr>
            <w:tcW w:w="718" w:type="dxa"/>
            <w:tcBorders>
              <w:top w:val="nil"/>
              <w:left w:val="single" w:color="auto" w:sz="4" w:space="0"/>
              <w:bottom w:val="single" w:color="auto" w:sz="4" w:space="0"/>
              <w:right w:val="single" w:color="auto" w:sz="4" w:space="0"/>
            </w:tcBorders>
            <w:vAlign w:val="center"/>
          </w:tcPr>
          <w:p w14:paraId="1898F1E3">
            <w:r>
              <w:rPr>
                <w:rFonts w:hint="eastAsia"/>
              </w:rPr>
              <w:t>22</w:t>
            </w:r>
          </w:p>
        </w:tc>
        <w:tc>
          <w:tcPr>
            <w:tcW w:w="8079" w:type="dxa"/>
            <w:tcBorders>
              <w:top w:val="nil"/>
              <w:left w:val="nil"/>
              <w:bottom w:val="single" w:color="auto" w:sz="4" w:space="0"/>
              <w:right w:val="single" w:color="auto" w:sz="4" w:space="0"/>
            </w:tcBorders>
            <w:vAlign w:val="center"/>
          </w:tcPr>
          <w:p w14:paraId="066E248F">
            <w:r>
              <w:rPr>
                <w:rFonts w:hint="eastAsia"/>
              </w:rPr>
              <w:t>支持所有的关键操作均记录日志，可对系统中所有的日志进行查询和审计。</w:t>
            </w:r>
          </w:p>
        </w:tc>
      </w:tr>
      <w:tr w14:paraId="68B49764">
        <w:tblPrEx>
          <w:tblCellMar>
            <w:top w:w="0" w:type="dxa"/>
            <w:left w:w="108" w:type="dxa"/>
            <w:bottom w:w="0" w:type="dxa"/>
            <w:right w:w="108" w:type="dxa"/>
          </w:tblCellMar>
        </w:tblPrEx>
        <w:trPr>
          <w:trHeight w:val="285" w:hRule="atLeast"/>
        </w:trPr>
        <w:tc>
          <w:tcPr>
            <w:tcW w:w="718" w:type="dxa"/>
            <w:tcBorders>
              <w:top w:val="nil"/>
              <w:left w:val="single" w:color="auto" w:sz="4" w:space="0"/>
              <w:bottom w:val="single" w:color="auto" w:sz="4" w:space="0"/>
              <w:right w:val="single" w:color="auto" w:sz="4" w:space="0"/>
            </w:tcBorders>
            <w:vAlign w:val="center"/>
          </w:tcPr>
          <w:p w14:paraId="0B68230E">
            <w:r>
              <w:rPr>
                <w:rFonts w:hint="eastAsia"/>
              </w:rPr>
              <w:t>23</w:t>
            </w:r>
          </w:p>
        </w:tc>
        <w:tc>
          <w:tcPr>
            <w:tcW w:w="8079" w:type="dxa"/>
            <w:tcBorders>
              <w:top w:val="nil"/>
              <w:left w:val="nil"/>
              <w:bottom w:val="single" w:color="auto" w:sz="4" w:space="0"/>
              <w:right w:val="single" w:color="auto" w:sz="4" w:space="0"/>
            </w:tcBorders>
            <w:vAlign w:val="center"/>
          </w:tcPr>
          <w:p w14:paraId="1CB64476">
            <w:r>
              <w:rPr>
                <w:rFonts w:hint="eastAsia"/>
              </w:rPr>
              <w:t>支持配置系统网络、系统时间等系统配置。</w:t>
            </w:r>
          </w:p>
        </w:tc>
      </w:tr>
      <w:tr w14:paraId="56F1B51D">
        <w:tblPrEx>
          <w:tblCellMar>
            <w:top w:w="0" w:type="dxa"/>
            <w:left w:w="108" w:type="dxa"/>
            <w:bottom w:w="0" w:type="dxa"/>
            <w:right w:w="108" w:type="dxa"/>
          </w:tblCellMar>
        </w:tblPrEx>
        <w:trPr>
          <w:trHeight w:val="285" w:hRule="atLeast"/>
        </w:trPr>
        <w:tc>
          <w:tcPr>
            <w:tcW w:w="718" w:type="dxa"/>
            <w:tcBorders>
              <w:top w:val="nil"/>
              <w:left w:val="single" w:color="auto" w:sz="4" w:space="0"/>
              <w:bottom w:val="single" w:color="auto" w:sz="4" w:space="0"/>
              <w:right w:val="single" w:color="auto" w:sz="4" w:space="0"/>
            </w:tcBorders>
            <w:vAlign w:val="center"/>
          </w:tcPr>
          <w:p w14:paraId="15EFD678">
            <w:r>
              <w:rPr>
                <w:rFonts w:hint="eastAsia"/>
              </w:rPr>
              <w:t>24</w:t>
            </w:r>
          </w:p>
        </w:tc>
        <w:tc>
          <w:tcPr>
            <w:tcW w:w="8079" w:type="dxa"/>
            <w:tcBorders>
              <w:top w:val="nil"/>
              <w:left w:val="nil"/>
              <w:bottom w:val="single" w:color="auto" w:sz="4" w:space="0"/>
              <w:right w:val="single" w:color="auto" w:sz="4" w:space="0"/>
            </w:tcBorders>
            <w:vAlign w:val="center"/>
          </w:tcPr>
          <w:p w14:paraId="59253641">
            <w:r>
              <w:rPr>
                <w:rFonts w:hint="eastAsia"/>
              </w:rPr>
              <w:t>数据库加密表实时查询速率≥52000 条/秒。</w:t>
            </w:r>
          </w:p>
        </w:tc>
      </w:tr>
      <w:tr w14:paraId="53B29F01">
        <w:tblPrEx>
          <w:tblCellMar>
            <w:top w:w="0" w:type="dxa"/>
            <w:left w:w="108" w:type="dxa"/>
            <w:bottom w:w="0" w:type="dxa"/>
            <w:right w:w="108" w:type="dxa"/>
          </w:tblCellMar>
        </w:tblPrEx>
        <w:trPr>
          <w:trHeight w:val="285" w:hRule="atLeast"/>
        </w:trPr>
        <w:tc>
          <w:tcPr>
            <w:tcW w:w="718" w:type="dxa"/>
            <w:tcBorders>
              <w:top w:val="nil"/>
              <w:left w:val="single" w:color="auto" w:sz="4" w:space="0"/>
              <w:bottom w:val="single" w:color="auto" w:sz="4" w:space="0"/>
              <w:right w:val="single" w:color="auto" w:sz="4" w:space="0"/>
            </w:tcBorders>
            <w:vAlign w:val="center"/>
          </w:tcPr>
          <w:p w14:paraId="4978D53E">
            <w:r>
              <w:rPr>
                <w:rFonts w:hint="eastAsia"/>
              </w:rPr>
              <w:t>25</w:t>
            </w:r>
          </w:p>
        </w:tc>
        <w:tc>
          <w:tcPr>
            <w:tcW w:w="8079" w:type="dxa"/>
            <w:tcBorders>
              <w:top w:val="nil"/>
              <w:left w:val="nil"/>
              <w:bottom w:val="single" w:color="auto" w:sz="4" w:space="0"/>
              <w:right w:val="single" w:color="auto" w:sz="4" w:space="0"/>
            </w:tcBorders>
            <w:vAlign w:val="center"/>
          </w:tcPr>
          <w:p w14:paraId="266ABD58">
            <w:r>
              <w:rPr>
                <w:rFonts w:hint="eastAsia"/>
              </w:rPr>
              <w:t>数据库加密表实时插入速率≥26000 条/秒。</w:t>
            </w:r>
          </w:p>
        </w:tc>
      </w:tr>
      <w:tr w14:paraId="03E12D7E">
        <w:tblPrEx>
          <w:tblCellMar>
            <w:top w:w="0" w:type="dxa"/>
            <w:left w:w="108" w:type="dxa"/>
            <w:bottom w:w="0" w:type="dxa"/>
            <w:right w:w="108" w:type="dxa"/>
          </w:tblCellMar>
        </w:tblPrEx>
        <w:trPr>
          <w:trHeight w:val="285" w:hRule="atLeast"/>
        </w:trPr>
        <w:tc>
          <w:tcPr>
            <w:tcW w:w="718" w:type="dxa"/>
            <w:tcBorders>
              <w:top w:val="nil"/>
              <w:left w:val="single" w:color="auto" w:sz="4" w:space="0"/>
              <w:bottom w:val="single" w:color="auto" w:sz="4" w:space="0"/>
              <w:right w:val="single" w:color="auto" w:sz="4" w:space="0"/>
            </w:tcBorders>
            <w:vAlign w:val="center"/>
          </w:tcPr>
          <w:p w14:paraId="116B30EE">
            <w:r>
              <w:rPr>
                <w:rFonts w:hint="eastAsia"/>
              </w:rPr>
              <w:t>26</w:t>
            </w:r>
          </w:p>
        </w:tc>
        <w:tc>
          <w:tcPr>
            <w:tcW w:w="8079" w:type="dxa"/>
            <w:tcBorders>
              <w:top w:val="nil"/>
              <w:left w:val="nil"/>
              <w:bottom w:val="single" w:color="auto" w:sz="4" w:space="0"/>
              <w:right w:val="single" w:color="auto" w:sz="4" w:space="0"/>
            </w:tcBorders>
            <w:vAlign w:val="center"/>
          </w:tcPr>
          <w:p w14:paraId="1F1FEE62">
            <w:r>
              <w:rPr>
                <w:rFonts w:hint="eastAsia"/>
              </w:rPr>
              <w:t>数据库加密表实时更新速率≥25000 条/秒。</w:t>
            </w:r>
          </w:p>
        </w:tc>
      </w:tr>
      <w:tr w14:paraId="13C337A7">
        <w:tblPrEx>
          <w:tblCellMar>
            <w:top w:w="0" w:type="dxa"/>
            <w:left w:w="108" w:type="dxa"/>
            <w:bottom w:w="0" w:type="dxa"/>
            <w:right w:w="108" w:type="dxa"/>
          </w:tblCellMar>
        </w:tblPrEx>
        <w:trPr>
          <w:trHeight w:val="285" w:hRule="atLeast"/>
        </w:trPr>
        <w:tc>
          <w:tcPr>
            <w:tcW w:w="718" w:type="dxa"/>
            <w:tcBorders>
              <w:top w:val="nil"/>
              <w:left w:val="single" w:color="auto" w:sz="4" w:space="0"/>
              <w:bottom w:val="single" w:color="auto" w:sz="4" w:space="0"/>
              <w:right w:val="single" w:color="auto" w:sz="4" w:space="0"/>
            </w:tcBorders>
            <w:vAlign w:val="center"/>
          </w:tcPr>
          <w:p w14:paraId="39C39B83">
            <w:r>
              <w:rPr>
                <w:rFonts w:hint="eastAsia"/>
              </w:rPr>
              <w:t>27</w:t>
            </w:r>
          </w:p>
        </w:tc>
        <w:tc>
          <w:tcPr>
            <w:tcW w:w="8079" w:type="dxa"/>
            <w:tcBorders>
              <w:top w:val="nil"/>
              <w:left w:val="nil"/>
              <w:bottom w:val="single" w:color="auto" w:sz="4" w:space="0"/>
              <w:right w:val="single" w:color="auto" w:sz="4" w:space="0"/>
            </w:tcBorders>
            <w:vAlign w:val="center"/>
          </w:tcPr>
          <w:p w14:paraId="0D62292E">
            <w:r>
              <w:rPr>
                <w:rFonts w:hint="eastAsia"/>
              </w:rPr>
              <w:t>2U机架式，CPU、内存、密码卡等核心部件均采用国产化硬件；标准冗余电源；网络接口≥2*千兆电口；≥2*万兆光口及配套光模块和光纤跳线； 内存≥32G。</w:t>
            </w:r>
          </w:p>
        </w:tc>
      </w:tr>
      <w:tr w14:paraId="0C2AB36B">
        <w:tblPrEx>
          <w:tblCellMar>
            <w:top w:w="0" w:type="dxa"/>
            <w:left w:w="108" w:type="dxa"/>
            <w:bottom w:w="0" w:type="dxa"/>
            <w:right w:w="108" w:type="dxa"/>
          </w:tblCellMar>
        </w:tblPrEx>
        <w:trPr>
          <w:trHeight w:val="285" w:hRule="atLeast"/>
        </w:trPr>
        <w:tc>
          <w:tcPr>
            <w:tcW w:w="718" w:type="dxa"/>
            <w:tcBorders>
              <w:top w:val="single" w:color="auto" w:sz="4" w:space="0"/>
              <w:left w:val="single" w:color="auto" w:sz="4" w:space="0"/>
              <w:bottom w:val="single" w:color="auto" w:sz="4" w:space="0"/>
              <w:right w:val="single" w:color="auto" w:sz="4" w:space="0"/>
            </w:tcBorders>
            <w:vAlign w:val="bottom"/>
          </w:tcPr>
          <w:p w14:paraId="58989868">
            <w:pPr>
              <w:ind w:firstLine="0"/>
              <w:rPr>
                <w:rFonts w:ascii="宋体" w:hAnsi="宋体" w:cs="宋体"/>
                <w:szCs w:val="21"/>
              </w:rPr>
            </w:pPr>
            <w:r>
              <w:rPr>
                <w:rFonts w:hint="eastAsia"/>
              </w:rPr>
              <w:t>序号</w:t>
            </w:r>
          </w:p>
        </w:tc>
        <w:tc>
          <w:tcPr>
            <w:tcW w:w="8079" w:type="dxa"/>
            <w:tcBorders>
              <w:top w:val="single" w:color="auto" w:sz="4" w:space="0"/>
              <w:left w:val="nil"/>
              <w:bottom w:val="single" w:color="auto" w:sz="4" w:space="0"/>
              <w:right w:val="single" w:color="auto" w:sz="4" w:space="0"/>
            </w:tcBorders>
            <w:vAlign w:val="center"/>
          </w:tcPr>
          <w:p w14:paraId="36B99912">
            <w:pPr>
              <w:rPr>
                <w:rFonts w:ascii="宋体" w:hAnsi="宋体" w:cs="宋体"/>
              </w:rPr>
            </w:pPr>
            <w:r>
              <w:rPr>
                <w:rFonts w:hint="eastAsia"/>
              </w:rPr>
              <w:t>资质要求</w:t>
            </w:r>
          </w:p>
        </w:tc>
      </w:tr>
      <w:tr w14:paraId="4F2D1933">
        <w:tblPrEx>
          <w:tblCellMar>
            <w:top w:w="0" w:type="dxa"/>
            <w:left w:w="108" w:type="dxa"/>
            <w:bottom w:w="0" w:type="dxa"/>
            <w:right w:w="108" w:type="dxa"/>
          </w:tblCellMar>
        </w:tblPrEx>
        <w:trPr>
          <w:trHeight w:val="90" w:hRule="atLeast"/>
        </w:trPr>
        <w:tc>
          <w:tcPr>
            <w:tcW w:w="718" w:type="dxa"/>
            <w:tcBorders>
              <w:top w:val="single" w:color="auto" w:sz="4" w:space="0"/>
              <w:left w:val="single" w:color="auto" w:sz="4" w:space="0"/>
              <w:bottom w:val="single" w:color="auto" w:sz="4" w:space="0"/>
              <w:right w:val="single" w:color="auto" w:sz="4" w:space="0"/>
            </w:tcBorders>
            <w:vAlign w:val="center"/>
          </w:tcPr>
          <w:p w14:paraId="159F5D87">
            <w:r>
              <w:rPr>
                <w:rFonts w:hint="eastAsia"/>
              </w:rPr>
              <w:t>1</w:t>
            </w:r>
          </w:p>
        </w:tc>
        <w:tc>
          <w:tcPr>
            <w:tcW w:w="8079" w:type="dxa"/>
            <w:tcBorders>
              <w:top w:val="single" w:color="auto" w:sz="4" w:space="0"/>
              <w:left w:val="nil"/>
              <w:bottom w:val="single" w:color="auto" w:sz="4" w:space="0"/>
              <w:right w:val="single" w:color="auto" w:sz="4" w:space="0"/>
            </w:tcBorders>
            <w:vAlign w:val="center"/>
          </w:tcPr>
          <w:p w14:paraId="0B7D07E3">
            <w:r>
              <w:rPr>
                <w:rFonts w:hint="eastAsia"/>
              </w:rPr>
              <w:t>数据库密码机具备国家密码管理局商用密码检测中心颁发的《商用密码产品认证证书》（提供证书扫描件）</w:t>
            </w:r>
          </w:p>
        </w:tc>
      </w:tr>
    </w:tbl>
    <w:p w14:paraId="573DF207">
      <w:pPr>
        <w:rPr>
          <w:lang w:val="zh-CN"/>
        </w:rPr>
      </w:pPr>
    </w:p>
    <w:p w14:paraId="5F7C9700">
      <w:pPr>
        <w:rPr>
          <w:lang w:val="zh-CN"/>
        </w:rPr>
      </w:pPr>
    </w:p>
    <w:p w14:paraId="1953C45F"/>
    <w:p w14:paraId="4BBBED02">
      <w:pPr>
        <w:pStyle w:val="4"/>
      </w:pPr>
      <w:r>
        <w:rPr>
          <w:rFonts w:hint="eastAsia"/>
        </w:rPr>
        <w:t>统一认证系统</w:t>
      </w:r>
    </w:p>
    <w:tbl>
      <w:tblPr>
        <w:tblStyle w:val="23"/>
        <w:tblW w:w="9091"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8240"/>
      </w:tblGrid>
      <w:tr w14:paraId="03BBB5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vAlign w:val="center"/>
          </w:tcPr>
          <w:p w14:paraId="2802920A">
            <w:r>
              <w:rPr>
                <w:rFonts w:hint="eastAsia"/>
              </w:rPr>
              <w:t>序号</w:t>
            </w:r>
          </w:p>
        </w:tc>
        <w:tc>
          <w:tcPr>
            <w:tcW w:w="8240" w:type="dxa"/>
            <w:tcBorders>
              <w:top w:val="single" w:color="000000" w:sz="4" w:space="0"/>
              <w:left w:val="nil"/>
              <w:bottom w:val="single" w:color="000000" w:sz="4" w:space="0"/>
              <w:right w:val="single" w:color="000000" w:sz="4" w:space="0"/>
            </w:tcBorders>
            <w:vAlign w:val="center"/>
          </w:tcPr>
          <w:p w14:paraId="60D06A8B">
            <w:r>
              <w:rPr>
                <w:rFonts w:hint="eastAsia"/>
              </w:rPr>
              <w:t>技术要求</w:t>
            </w:r>
          </w:p>
        </w:tc>
      </w:tr>
      <w:tr w14:paraId="4B0F78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67" w:hRule="atLeast"/>
          <w:jc w:val="center"/>
        </w:trPr>
        <w:tc>
          <w:tcPr>
            <w:tcW w:w="851" w:type="dxa"/>
            <w:tcBorders>
              <w:top w:val="nil"/>
              <w:left w:val="single" w:color="000000" w:sz="4" w:space="0"/>
              <w:bottom w:val="single" w:color="auto" w:sz="4" w:space="0"/>
              <w:right w:val="single" w:color="000000" w:sz="4" w:space="0"/>
            </w:tcBorders>
            <w:vAlign w:val="center"/>
          </w:tcPr>
          <w:p w14:paraId="71C20B31">
            <w:r>
              <w:rPr>
                <w:rFonts w:hint="eastAsia"/>
              </w:rPr>
              <w:t>1</w:t>
            </w:r>
          </w:p>
        </w:tc>
        <w:tc>
          <w:tcPr>
            <w:tcW w:w="8240" w:type="dxa"/>
            <w:tcBorders>
              <w:top w:val="nil"/>
              <w:left w:val="nil"/>
              <w:bottom w:val="single" w:color="auto" w:sz="4" w:space="0"/>
              <w:right w:val="single" w:color="000000" w:sz="4" w:space="0"/>
            </w:tcBorders>
            <w:vAlign w:val="center"/>
          </w:tcPr>
          <w:p w14:paraId="2022A014">
            <w:r>
              <w:rPr>
                <w:rFonts w:hint="eastAsia"/>
              </w:rPr>
              <w:t>支持需要使用多因素认证服务的用户信息管理功能，用户信息至少包括用户名称、用户唯一标识、证件类型、证件号、手机号等基本信息配置管理。敏感信息加密保存，隐藏关键字段显示。</w:t>
            </w:r>
          </w:p>
        </w:tc>
      </w:tr>
      <w:tr w14:paraId="495272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51" w:type="dxa"/>
            <w:tcBorders>
              <w:top w:val="single" w:color="auto" w:sz="4" w:space="0"/>
              <w:left w:val="single" w:color="000000" w:sz="4" w:space="0"/>
              <w:bottom w:val="single" w:color="auto" w:sz="4" w:space="0"/>
              <w:right w:val="single" w:color="000000" w:sz="4" w:space="0"/>
            </w:tcBorders>
            <w:vAlign w:val="center"/>
          </w:tcPr>
          <w:p w14:paraId="1EBD18B6">
            <w:r>
              <w:rPr>
                <w:rFonts w:hint="eastAsia"/>
              </w:rPr>
              <w:t>2</w:t>
            </w:r>
          </w:p>
        </w:tc>
        <w:tc>
          <w:tcPr>
            <w:tcW w:w="8240" w:type="dxa"/>
            <w:tcBorders>
              <w:top w:val="single" w:color="auto" w:sz="4" w:space="0"/>
              <w:left w:val="nil"/>
              <w:bottom w:val="single" w:color="auto" w:sz="4" w:space="0"/>
              <w:right w:val="single" w:color="000000" w:sz="4" w:space="0"/>
            </w:tcBorders>
            <w:vAlign w:val="center"/>
          </w:tcPr>
          <w:p w14:paraId="1D84F3A0">
            <w:r>
              <w:rPr>
                <w:rFonts w:hint="eastAsia"/>
              </w:rPr>
              <w:t>支持用户分组管理，能够针对不同的用户类型进行分组管理后，可以通过分组进行统一授权。</w:t>
            </w:r>
          </w:p>
        </w:tc>
      </w:tr>
      <w:tr w14:paraId="26ED62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51" w:type="dxa"/>
            <w:tcBorders>
              <w:top w:val="single" w:color="auto" w:sz="4" w:space="0"/>
              <w:left w:val="single" w:color="000000" w:sz="4" w:space="0"/>
              <w:bottom w:val="single" w:color="auto" w:sz="4" w:space="0"/>
              <w:right w:val="single" w:color="000000" w:sz="4" w:space="0"/>
            </w:tcBorders>
            <w:vAlign w:val="center"/>
          </w:tcPr>
          <w:p w14:paraId="13A7CC6A">
            <w:r>
              <w:rPr>
                <w:rFonts w:hint="eastAsia"/>
              </w:rPr>
              <w:t>3</w:t>
            </w:r>
          </w:p>
        </w:tc>
        <w:tc>
          <w:tcPr>
            <w:tcW w:w="8240" w:type="dxa"/>
            <w:tcBorders>
              <w:top w:val="single" w:color="auto" w:sz="4" w:space="0"/>
              <w:left w:val="nil"/>
              <w:bottom w:val="single" w:color="auto" w:sz="4" w:space="0"/>
              <w:right w:val="single" w:color="000000" w:sz="4" w:space="0"/>
            </w:tcBorders>
            <w:vAlign w:val="center"/>
          </w:tcPr>
          <w:p w14:paraId="0362C247">
            <w:r>
              <w:rPr>
                <w:rFonts w:hint="eastAsia"/>
              </w:rPr>
              <w:t>支持终端设备、服务器设备等数字资产管理，至少包括资产名称、资产IP地址、资产操作系统、操作系统版本、资产类型等基本信息配置管理，支持通过接口同步方式、或者客户端采集终端信息自动注册方式实现资产信息的采集。</w:t>
            </w:r>
          </w:p>
        </w:tc>
      </w:tr>
      <w:tr w14:paraId="7607E3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51" w:type="dxa"/>
            <w:tcBorders>
              <w:top w:val="single" w:color="auto" w:sz="4" w:space="0"/>
              <w:left w:val="single" w:color="000000" w:sz="4" w:space="0"/>
              <w:bottom w:val="single" w:color="auto" w:sz="4" w:space="0"/>
              <w:right w:val="single" w:color="000000" w:sz="4" w:space="0"/>
            </w:tcBorders>
            <w:vAlign w:val="center"/>
          </w:tcPr>
          <w:p w14:paraId="141AC625">
            <w:r>
              <w:rPr>
                <w:rFonts w:hint="eastAsia"/>
              </w:rPr>
              <w:t>4</w:t>
            </w:r>
          </w:p>
        </w:tc>
        <w:tc>
          <w:tcPr>
            <w:tcW w:w="8240" w:type="dxa"/>
            <w:tcBorders>
              <w:top w:val="single" w:color="auto" w:sz="4" w:space="0"/>
              <w:left w:val="nil"/>
              <w:bottom w:val="single" w:color="auto" w:sz="4" w:space="0"/>
              <w:right w:val="single" w:color="000000" w:sz="4" w:space="0"/>
            </w:tcBorders>
            <w:vAlign w:val="center"/>
          </w:tcPr>
          <w:p w14:paraId="4DDA79A9">
            <w:r>
              <w:rPr>
                <w:rFonts w:hint="eastAsia"/>
              </w:rPr>
              <w:t>支持同一类型资产的分组管理，可以针对资产组的统一授权访问管理。</w:t>
            </w:r>
          </w:p>
        </w:tc>
      </w:tr>
      <w:tr w14:paraId="61C47F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51" w:type="dxa"/>
            <w:tcBorders>
              <w:top w:val="single" w:color="auto" w:sz="4" w:space="0"/>
              <w:left w:val="single" w:color="000000" w:sz="4" w:space="0"/>
              <w:bottom w:val="single" w:color="auto" w:sz="4" w:space="0"/>
              <w:right w:val="single" w:color="000000" w:sz="4" w:space="0"/>
            </w:tcBorders>
            <w:vAlign w:val="center"/>
          </w:tcPr>
          <w:p w14:paraId="6E2FC59D">
            <w:r>
              <w:rPr>
                <w:rFonts w:hint="eastAsia"/>
              </w:rPr>
              <w:t>5</w:t>
            </w:r>
          </w:p>
        </w:tc>
        <w:tc>
          <w:tcPr>
            <w:tcW w:w="8240" w:type="dxa"/>
            <w:tcBorders>
              <w:top w:val="single" w:color="auto" w:sz="4" w:space="0"/>
              <w:left w:val="nil"/>
              <w:bottom w:val="single" w:color="auto" w:sz="4" w:space="0"/>
              <w:right w:val="single" w:color="000000" w:sz="4" w:space="0"/>
            </w:tcBorders>
            <w:vAlign w:val="center"/>
          </w:tcPr>
          <w:p w14:paraId="2FF51B46">
            <w:r>
              <w:rPr>
                <w:rFonts w:hint="eastAsia"/>
              </w:rPr>
              <w:t>支持基于用户或用户组访问资产或者资产组的访问控制权限管理，授权配置至少包括设置授权有效期，用户或用户组，资产或资产组等基本信息</w:t>
            </w:r>
          </w:p>
        </w:tc>
      </w:tr>
      <w:tr w14:paraId="0D9805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51" w:type="dxa"/>
            <w:tcBorders>
              <w:top w:val="single" w:color="auto" w:sz="4" w:space="0"/>
              <w:left w:val="single" w:color="000000" w:sz="4" w:space="0"/>
              <w:bottom w:val="single" w:color="auto" w:sz="4" w:space="0"/>
              <w:right w:val="single" w:color="000000" w:sz="4" w:space="0"/>
            </w:tcBorders>
            <w:vAlign w:val="center"/>
          </w:tcPr>
          <w:p w14:paraId="47DF734C">
            <w:r>
              <w:rPr>
                <w:rFonts w:hint="eastAsia"/>
              </w:rPr>
              <w:t>6</w:t>
            </w:r>
          </w:p>
        </w:tc>
        <w:tc>
          <w:tcPr>
            <w:tcW w:w="8240" w:type="dxa"/>
            <w:tcBorders>
              <w:top w:val="single" w:color="auto" w:sz="4" w:space="0"/>
              <w:left w:val="nil"/>
              <w:bottom w:val="single" w:color="auto" w:sz="4" w:space="0"/>
              <w:right w:val="single" w:color="000000" w:sz="4" w:space="0"/>
            </w:tcBorders>
            <w:vAlign w:val="center"/>
          </w:tcPr>
          <w:p w14:paraId="4D2B806A">
            <w:pPr>
              <w:rPr>
                <w:rFonts w:cs="Calibri"/>
              </w:rPr>
            </w:pPr>
            <w:r>
              <w:rPr>
                <w:rFonts w:ascii="宋体" w:hAnsi="宋体" w:cs="宋体"/>
                <w:color w:val="000000"/>
                <w:spacing w:val="7"/>
                <w:sz w:val="24"/>
              </w:rPr>
              <w:t>▲</w:t>
            </w:r>
            <w:r>
              <w:rPr>
                <w:rFonts w:hint="eastAsia"/>
              </w:rPr>
              <w:t>多因素认证客户端插件信息监控和管理功能：能够实时监控资产安装的多因素认证客户端的认证访问状态、关键配置信息的更改情况、认证连接和访问情况的监控和功能功能，支持配置策略采用数据完整性保护技术处理后的配置下发同步。</w:t>
            </w:r>
            <w:r>
              <w:rPr>
                <w:rFonts w:hint="eastAsia" w:cs="Calibri"/>
              </w:rPr>
              <w:t>（提供产品功能截图）</w:t>
            </w:r>
          </w:p>
          <w:p w14:paraId="6CEF0EB6">
            <w:r>
              <w:rPr>
                <w:rFonts w:hint="eastAsia"/>
              </w:rPr>
              <w:t>支持通过在本地直接进行各类算法（SHA256、国密算法SM3）的摘要计算，签名，验签，对称加密，非对称加密等计算，实现本地文件、数据、程序的完整性保护。</w:t>
            </w:r>
          </w:p>
        </w:tc>
      </w:tr>
      <w:tr w14:paraId="54CF8F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51" w:type="dxa"/>
            <w:tcBorders>
              <w:top w:val="single" w:color="auto" w:sz="4" w:space="0"/>
              <w:left w:val="single" w:color="000000" w:sz="4" w:space="0"/>
              <w:bottom w:val="single" w:color="auto" w:sz="4" w:space="0"/>
              <w:right w:val="single" w:color="000000" w:sz="4" w:space="0"/>
            </w:tcBorders>
            <w:vAlign w:val="center"/>
          </w:tcPr>
          <w:p w14:paraId="049FE980">
            <w:r>
              <w:rPr>
                <w:rFonts w:hint="eastAsia"/>
              </w:rPr>
              <w:t>7</w:t>
            </w:r>
          </w:p>
        </w:tc>
        <w:tc>
          <w:tcPr>
            <w:tcW w:w="8240" w:type="dxa"/>
            <w:tcBorders>
              <w:top w:val="single" w:color="auto" w:sz="4" w:space="0"/>
              <w:left w:val="nil"/>
              <w:bottom w:val="single" w:color="auto" w:sz="4" w:space="0"/>
              <w:right w:val="single" w:color="000000" w:sz="4" w:space="0"/>
            </w:tcBorders>
            <w:vAlign w:val="center"/>
          </w:tcPr>
          <w:p w14:paraId="7446FFF5">
            <w:r>
              <w:rPr>
                <w:rFonts w:hint="eastAsia"/>
              </w:rPr>
              <w:t>多因素认证客户端插件工作状态监控，至少包括是否处于在线或者离线状态、是否有效或者失效状态等。</w:t>
            </w:r>
          </w:p>
        </w:tc>
      </w:tr>
      <w:tr w14:paraId="4CE3E3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51" w:type="dxa"/>
            <w:tcBorders>
              <w:top w:val="single" w:color="auto" w:sz="4" w:space="0"/>
              <w:left w:val="single" w:color="000000" w:sz="4" w:space="0"/>
              <w:bottom w:val="single" w:color="auto" w:sz="4" w:space="0"/>
              <w:right w:val="single" w:color="000000" w:sz="4" w:space="0"/>
            </w:tcBorders>
            <w:vAlign w:val="center"/>
          </w:tcPr>
          <w:p w14:paraId="5BD7619F">
            <w:r>
              <w:rPr>
                <w:rFonts w:hint="eastAsia"/>
              </w:rPr>
              <w:t>8</w:t>
            </w:r>
          </w:p>
        </w:tc>
        <w:tc>
          <w:tcPr>
            <w:tcW w:w="8240" w:type="dxa"/>
            <w:tcBorders>
              <w:top w:val="single" w:color="auto" w:sz="4" w:space="0"/>
              <w:left w:val="nil"/>
              <w:bottom w:val="single" w:color="auto" w:sz="4" w:space="0"/>
              <w:right w:val="single" w:color="000000" w:sz="4" w:space="0"/>
            </w:tcBorders>
            <w:vAlign w:val="center"/>
          </w:tcPr>
          <w:p w14:paraId="7B901616">
            <w:r>
              <w:rPr>
                <w:rFonts w:hint="eastAsia"/>
              </w:rPr>
              <w:t>支持资产数字证书申请管理功能，至少能够查询统计资产名称、资产IP、对应的设备证书序列号、证书状态、证书起始时间、证书结束时间、证书操作（申请、更新、注销等）信息</w:t>
            </w:r>
          </w:p>
        </w:tc>
      </w:tr>
      <w:tr w14:paraId="59BDE8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51" w:type="dxa"/>
            <w:tcBorders>
              <w:top w:val="single" w:color="auto" w:sz="4" w:space="0"/>
              <w:left w:val="single" w:color="000000" w:sz="4" w:space="0"/>
              <w:bottom w:val="single" w:color="auto" w:sz="4" w:space="0"/>
              <w:right w:val="single" w:color="000000" w:sz="4" w:space="0"/>
            </w:tcBorders>
            <w:vAlign w:val="center"/>
          </w:tcPr>
          <w:p w14:paraId="17B55DF7">
            <w:r>
              <w:rPr>
                <w:rFonts w:hint="eastAsia"/>
              </w:rPr>
              <w:t>9</w:t>
            </w:r>
          </w:p>
        </w:tc>
        <w:tc>
          <w:tcPr>
            <w:tcW w:w="8240" w:type="dxa"/>
            <w:tcBorders>
              <w:top w:val="single" w:color="auto" w:sz="4" w:space="0"/>
              <w:left w:val="nil"/>
              <w:bottom w:val="single" w:color="auto" w:sz="4" w:space="0"/>
              <w:right w:val="single" w:color="000000" w:sz="4" w:space="0"/>
            </w:tcBorders>
            <w:vAlign w:val="center"/>
          </w:tcPr>
          <w:p w14:paraId="5EFF89ED">
            <w:r>
              <w:rPr>
                <w:rFonts w:hint="eastAsia"/>
              </w:rPr>
              <w:t>详细的认证安全策略配置管理和监控，至少包括安全策略名称、安全策略标识、安全策略类型、策略响应措施、策略优先级、违规次数配置、违规时长、封禁时长等基本需求配置功能。</w:t>
            </w:r>
          </w:p>
        </w:tc>
      </w:tr>
      <w:tr w14:paraId="36B145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1" w:type="dxa"/>
            <w:tcBorders>
              <w:top w:val="single" w:color="auto" w:sz="4" w:space="0"/>
              <w:left w:val="single" w:color="000000" w:sz="4" w:space="0"/>
              <w:bottom w:val="single" w:color="auto" w:sz="4" w:space="0"/>
              <w:right w:val="single" w:color="000000" w:sz="4" w:space="0"/>
            </w:tcBorders>
            <w:vAlign w:val="center"/>
          </w:tcPr>
          <w:p w14:paraId="601184C8">
            <w:r>
              <w:rPr>
                <w:rFonts w:hint="eastAsia"/>
              </w:rPr>
              <w:t>10</w:t>
            </w:r>
          </w:p>
        </w:tc>
        <w:tc>
          <w:tcPr>
            <w:tcW w:w="8240" w:type="dxa"/>
            <w:tcBorders>
              <w:top w:val="single" w:color="auto" w:sz="4" w:space="0"/>
              <w:left w:val="nil"/>
              <w:bottom w:val="single" w:color="auto" w:sz="4" w:space="0"/>
              <w:right w:val="single" w:color="000000" w:sz="4" w:space="0"/>
            </w:tcBorders>
            <w:vAlign w:val="center"/>
          </w:tcPr>
          <w:p w14:paraId="7238F974">
            <w:r>
              <w:rPr>
                <w:rFonts w:hint="eastAsia"/>
              </w:rPr>
              <w:t>详细的认证日志记录，用于事后审计，至少包括认证记录、数字证书申请记录、服务器配置操作记录和异常认证记录等基本日志记录要求。</w:t>
            </w:r>
          </w:p>
        </w:tc>
      </w:tr>
      <w:tr w14:paraId="792035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51" w:type="dxa"/>
            <w:tcBorders>
              <w:top w:val="single" w:color="auto" w:sz="4" w:space="0"/>
              <w:left w:val="single" w:color="000000" w:sz="4" w:space="0"/>
              <w:bottom w:val="single" w:color="auto" w:sz="4" w:space="0"/>
              <w:right w:val="single" w:color="000000" w:sz="4" w:space="0"/>
            </w:tcBorders>
            <w:vAlign w:val="center"/>
          </w:tcPr>
          <w:p w14:paraId="65E68072">
            <w:r>
              <w:rPr>
                <w:rFonts w:hint="eastAsia"/>
              </w:rPr>
              <w:t>11</w:t>
            </w:r>
          </w:p>
        </w:tc>
        <w:tc>
          <w:tcPr>
            <w:tcW w:w="8240" w:type="dxa"/>
            <w:tcBorders>
              <w:top w:val="single" w:color="auto" w:sz="4" w:space="0"/>
              <w:left w:val="nil"/>
              <w:bottom w:val="single" w:color="auto" w:sz="4" w:space="0"/>
              <w:right w:val="single" w:color="000000" w:sz="4" w:space="0"/>
            </w:tcBorders>
            <w:vAlign w:val="center"/>
          </w:tcPr>
          <w:p w14:paraId="2B72901A">
            <w:r>
              <w:rPr>
                <w:rFonts w:hint="eastAsia"/>
              </w:rPr>
              <w:t>认证日志至少需要记录资产名称、资产IP地址、用户访问账户、用户访问认证方式、认证访问结果，如果认证失败，失败原因描述、认证访问时间等基本审计信息。</w:t>
            </w:r>
          </w:p>
        </w:tc>
      </w:tr>
      <w:tr w14:paraId="6C1615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51" w:type="dxa"/>
            <w:tcBorders>
              <w:top w:val="single" w:color="auto" w:sz="4" w:space="0"/>
              <w:left w:val="single" w:color="000000" w:sz="4" w:space="0"/>
              <w:bottom w:val="single" w:color="auto" w:sz="4" w:space="0"/>
              <w:right w:val="single" w:color="000000" w:sz="4" w:space="0"/>
            </w:tcBorders>
            <w:vAlign w:val="center"/>
          </w:tcPr>
          <w:p w14:paraId="2D9966ED">
            <w:r>
              <w:rPr>
                <w:rFonts w:hint="eastAsia"/>
              </w:rPr>
              <w:t>12</w:t>
            </w:r>
          </w:p>
        </w:tc>
        <w:tc>
          <w:tcPr>
            <w:tcW w:w="8240" w:type="dxa"/>
            <w:tcBorders>
              <w:top w:val="single" w:color="auto" w:sz="4" w:space="0"/>
              <w:left w:val="nil"/>
              <w:bottom w:val="single" w:color="auto" w:sz="4" w:space="0"/>
              <w:right w:val="single" w:color="000000" w:sz="4" w:space="0"/>
            </w:tcBorders>
            <w:vAlign w:val="center"/>
          </w:tcPr>
          <w:p w14:paraId="5DC061C5">
            <w:r>
              <w:rPr>
                <w:rFonts w:hint="eastAsia"/>
              </w:rPr>
              <w:t>数字证书日志至少需要记录资产名称、资产IP地址、证书申请类型、数字证书序列号、数字证书申请时间、申请结果、如果失败，失败原因描述、</w:t>
            </w:r>
          </w:p>
        </w:tc>
      </w:tr>
      <w:tr w14:paraId="1CDE6D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51" w:type="dxa"/>
            <w:tcBorders>
              <w:top w:val="single" w:color="auto" w:sz="4" w:space="0"/>
              <w:left w:val="single" w:color="000000" w:sz="4" w:space="0"/>
              <w:bottom w:val="single" w:color="auto" w:sz="4" w:space="0"/>
              <w:right w:val="single" w:color="000000" w:sz="4" w:space="0"/>
            </w:tcBorders>
            <w:vAlign w:val="center"/>
          </w:tcPr>
          <w:p w14:paraId="1D5007F0">
            <w:r>
              <w:rPr>
                <w:rFonts w:hint="eastAsia"/>
              </w:rPr>
              <w:t>13</w:t>
            </w:r>
          </w:p>
        </w:tc>
        <w:tc>
          <w:tcPr>
            <w:tcW w:w="8240" w:type="dxa"/>
            <w:tcBorders>
              <w:top w:val="single" w:color="auto" w:sz="4" w:space="0"/>
              <w:left w:val="nil"/>
              <w:bottom w:val="single" w:color="auto" w:sz="4" w:space="0"/>
              <w:right w:val="single" w:color="000000" w:sz="4" w:space="0"/>
            </w:tcBorders>
            <w:vAlign w:val="center"/>
          </w:tcPr>
          <w:p w14:paraId="1AB97DED">
            <w:r>
              <w:rPr>
                <w:rFonts w:hint="eastAsia"/>
              </w:rPr>
              <w:t>操作日志和审计功能主要是针对登录访问多因素认证系统的管理用户，进行平台配置管理日志信息记录和审计功能，至少包括管理账户、操作类型（增加、删除、修改）、操作功能、操作资产对象的IP地址、操作状态、操作时间等进行查询管理，支持针对每条记录进行单独审计操作和审计管理。</w:t>
            </w:r>
            <w:r>
              <w:rPr>
                <w:rFonts w:hint="eastAsia" w:cs="Calibri"/>
              </w:rPr>
              <w:t>（提供产品功能截图）</w:t>
            </w:r>
          </w:p>
        </w:tc>
      </w:tr>
      <w:tr w14:paraId="15EACB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51" w:type="dxa"/>
            <w:tcBorders>
              <w:top w:val="single" w:color="auto" w:sz="4" w:space="0"/>
              <w:left w:val="single" w:color="000000" w:sz="4" w:space="0"/>
              <w:bottom w:val="single" w:color="auto" w:sz="4" w:space="0"/>
              <w:right w:val="single" w:color="000000" w:sz="4" w:space="0"/>
            </w:tcBorders>
            <w:vAlign w:val="center"/>
          </w:tcPr>
          <w:p w14:paraId="3DD75695">
            <w:r>
              <w:rPr>
                <w:rFonts w:hint="eastAsia"/>
              </w:rPr>
              <w:t>14</w:t>
            </w:r>
          </w:p>
        </w:tc>
        <w:tc>
          <w:tcPr>
            <w:tcW w:w="8240" w:type="dxa"/>
            <w:tcBorders>
              <w:top w:val="single" w:color="auto" w:sz="4" w:space="0"/>
              <w:left w:val="nil"/>
              <w:bottom w:val="single" w:color="auto" w:sz="4" w:space="0"/>
              <w:right w:val="single" w:color="000000" w:sz="4" w:space="0"/>
            </w:tcBorders>
            <w:vAlign w:val="center"/>
          </w:tcPr>
          <w:p w14:paraId="384DD212">
            <w:r>
              <w:rPr>
                <w:rFonts w:hint="eastAsia"/>
              </w:rPr>
              <w:t>异常认证记录主要针对违规账户、违规IP地址对于资产IP地址发起的违法安全策略的访问请求，进行统一的记录，作为对平台发起认证攻击的记录和预警。</w:t>
            </w:r>
          </w:p>
        </w:tc>
      </w:tr>
      <w:tr w14:paraId="0D5393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51" w:type="dxa"/>
            <w:tcBorders>
              <w:top w:val="single" w:color="auto" w:sz="4" w:space="0"/>
              <w:left w:val="single" w:color="000000" w:sz="4" w:space="0"/>
              <w:bottom w:val="single" w:color="auto" w:sz="4" w:space="0"/>
              <w:right w:val="single" w:color="000000" w:sz="4" w:space="0"/>
            </w:tcBorders>
            <w:vAlign w:val="center"/>
          </w:tcPr>
          <w:p w14:paraId="6559BA8F">
            <w:r>
              <w:rPr>
                <w:rFonts w:hint="eastAsia"/>
              </w:rPr>
              <w:t>15</w:t>
            </w:r>
          </w:p>
        </w:tc>
        <w:tc>
          <w:tcPr>
            <w:tcW w:w="8240" w:type="dxa"/>
            <w:tcBorders>
              <w:top w:val="single" w:color="auto" w:sz="4" w:space="0"/>
              <w:left w:val="nil"/>
              <w:bottom w:val="single" w:color="auto" w:sz="4" w:space="0"/>
              <w:right w:val="single" w:color="000000" w:sz="4" w:space="0"/>
            </w:tcBorders>
            <w:vAlign w:val="center"/>
          </w:tcPr>
          <w:p w14:paraId="3B14D7EF">
            <w:pPr>
              <w:rPr>
                <w:rFonts w:cs="Calibri"/>
              </w:rPr>
            </w:pPr>
            <w:r>
              <w:rPr>
                <w:rFonts w:ascii="宋体" w:hAnsi="宋体" w:cs="宋体"/>
                <w:color w:val="000000"/>
                <w:spacing w:val="7"/>
                <w:sz w:val="24"/>
              </w:rPr>
              <w:t>▲</w:t>
            </w:r>
            <w:r>
              <w:rPr>
                <w:rFonts w:hint="eastAsia"/>
              </w:rPr>
              <w:t>CA认证源配置管理和对接：能够支持CA机构的配置和CA服务的对接，至少包括CA机构的名称、CA机构接口地址、与CA机构通讯数字证书配置，配置完成后，可以直接通过接口调用，为多因素认证体系提供数字证书管理和应用服务。</w:t>
            </w:r>
            <w:r>
              <w:rPr>
                <w:rFonts w:hint="eastAsia" w:cs="Calibri"/>
              </w:rPr>
              <w:t>（提供产品功能截图）</w:t>
            </w:r>
          </w:p>
          <w:p w14:paraId="2231F29F">
            <w:r>
              <w:rPr>
                <w:rFonts w:hint="eastAsia"/>
              </w:rPr>
              <w:t>需要支持对接上海市卫生健康行业市区两级电子认证平台的证书接口，实现符合卫生行业格式的数字证书发放使用。</w:t>
            </w:r>
          </w:p>
        </w:tc>
      </w:tr>
      <w:tr w14:paraId="0C061A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51" w:type="dxa"/>
            <w:tcBorders>
              <w:top w:val="single" w:color="auto" w:sz="4" w:space="0"/>
              <w:left w:val="single" w:color="000000" w:sz="4" w:space="0"/>
              <w:bottom w:val="single" w:color="auto" w:sz="4" w:space="0"/>
              <w:right w:val="single" w:color="000000" w:sz="4" w:space="0"/>
            </w:tcBorders>
            <w:vAlign w:val="center"/>
          </w:tcPr>
          <w:p w14:paraId="014D0D21">
            <w:r>
              <w:rPr>
                <w:rFonts w:hint="eastAsia"/>
              </w:rPr>
              <w:t>16</w:t>
            </w:r>
          </w:p>
        </w:tc>
        <w:tc>
          <w:tcPr>
            <w:tcW w:w="8240" w:type="dxa"/>
            <w:tcBorders>
              <w:top w:val="single" w:color="auto" w:sz="4" w:space="0"/>
              <w:left w:val="nil"/>
              <w:bottom w:val="single" w:color="auto" w:sz="4" w:space="0"/>
              <w:right w:val="single" w:color="000000" w:sz="4" w:space="0"/>
            </w:tcBorders>
            <w:vAlign w:val="center"/>
          </w:tcPr>
          <w:p w14:paraId="0A345414">
            <w:r>
              <w:rPr>
                <w:rFonts w:hint="eastAsia"/>
              </w:rPr>
              <w:t>支持将用户登录访问windows操作系统、linux操作系统的认证请求推送或者扫码方式通过手机数字证书进行统一证书认证后实现合法登录访问。</w:t>
            </w:r>
          </w:p>
        </w:tc>
      </w:tr>
      <w:tr w14:paraId="3D35FD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51" w:type="dxa"/>
            <w:tcBorders>
              <w:top w:val="single" w:color="auto" w:sz="4" w:space="0"/>
              <w:left w:val="single" w:color="000000" w:sz="4" w:space="0"/>
              <w:bottom w:val="single" w:color="auto" w:sz="4" w:space="0"/>
              <w:right w:val="single" w:color="000000" w:sz="4" w:space="0"/>
            </w:tcBorders>
            <w:vAlign w:val="center"/>
          </w:tcPr>
          <w:p w14:paraId="20C1AF1D">
            <w:r>
              <w:rPr>
                <w:rFonts w:hint="eastAsia"/>
              </w:rPr>
              <w:t>17</w:t>
            </w:r>
          </w:p>
        </w:tc>
        <w:tc>
          <w:tcPr>
            <w:tcW w:w="8240" w:type="dxa"/>
            <w:tcBorders>
              <w:top w:val="single" w:color="auto" w:sz="4" w:space="0"/>
              <w:left w:val="nil"/>
              <w:bottom w:val="single" w:color="auto" w:sz="4" w:space="0"/>
              <w:right w:val="single" w:color="000000" w:sz="4" w:space="0"/>
            </w:tcBorders>
            <w:vAlign w:val="center"/>
          </w:tcPr>
          <w:p w14:paraId="4EC17BA8">
            <w:r>
              <w:rPr>
                <w:rFonts w:hint="eastAsia"/>
              </w:rPr>
              <w:t>多因素认证客户端和服务端通讯均采用国密数字证书进行双向身份认证和国密算法加密传输通讯，关键敏感配置信息采用国密算法进行完整性保护和验证。</w:t>
            </w:r>
          </w:p>
        </w:tc>
      </w:tr>
      <w:tr w14:paraId="554CFB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51" w:type="dxa"/>
            <w:tcBorders>
              <w:top w:val="single" w:color="auto" w:sz="4" w:space="0"/>
              <w:left w:val="single" w:color="000000" w:sz="4" w:space="0"/>
              <w:bottom w:val="single" w:color="auto" w:sz="4" w:space="0"/>
              <w:right w:val="single" w:color="000000" w:sz="4" w:space="0"/>
            </w:tcBorders>
            <w:vAlign w:val="center"/>
          </w:tcPr>
          <w:p w14:paraId="43733542">
            <w:r>
              <w:rPr>
                <w:rFonts w:hint="eastAsia"/>
              </w:rPr>
              <w:t>1</w:t>
            </w:r>
            <w:r>
              <w:t>8</w:t>
            </w:r>
          </w:p>
        </w:tc>
        <w:tc>
          <w:tcPr>
            <w:tcW w:w="8240" w:type="dxa"/>
            <w:tcBorders>
              <w:top w:val="single" w:color="auto" w:sz="4" w:space="0"/>
              <w:left w:val="nil"/>
              <w:bottom w:val="single" w:color="auto" w:sz="4" w:space="0"/>
              <w:right w:val="single" w:color="000000" w:sz="4" w:space="0"/>
            </w:tcBorders>
            <w:vAlign w:val="center"/>
          </w:tcPr>
          <w:p w14:paraId="16F5E251">
            <w:r>
              <w:rPr>
                <w:rFonts w:hint="eastAsia"/>
              </w:rPr>
              <w:t>国产化硬件：CPU、内存、主板、冗余双电源、密码卡等核心部件均采用国产化硬件。</w:t>
            </w:r>
          </w:p>
          <w:p w14:paraId="3DC3CD53">
            <w:r>
              <w:rPr>
                <w:rFonts w:hint="eastAsia"/>
              </w:rPr>
              <w:t>≥1块双端口万兆网卡及配套光模块和光纤跳线。</w:t>
            </w:r>
          </w:p>
        </w:tc>
      </w:tr>
      <w:tr w14:paraId="7A798F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51" w:type="dxa"/>
            <w:tcBorders>
              <w:top w:val="single" w:color="auto" w:sz="4" w:space="0"/>
              <w:left w:val="single" w:color="000000" w:sz="4" w:space="0"/>
              <w:bottom w:val="single" w:color="auto" w:sz="4" w:space="0"/>
              <w:right w:val="single" w:color="000000" w:sz="4" w:space="0"/>
            </w:tcBorders>
            <w:vAlign w:val="center"/>
          </w:tcPr>
          <w:p w14:paraId="1E76CE4A">
            <w:r>
              <w:rPr>
                <w:rFonts w:hint="eastAsia"/>
              </w:rPr>
              <w:t>序号</w:t>
            </w:r>
          </w:p>
        </w:tc>
        <w:tc>
          <w:tcPr>
            <w:tcW w:w="8240" w:type="dxa"/>
            <w:tcBorders>
              <w:top w:val="single" w:color="auto" w:sz="4" w:space="0"/>
              <w:left w:val="nil"/>
              <w:bottom w:val="single" w:color="auto" w:sz="4" w:space="0"/>
              <w:right w:val="single" w:color="000000" w:sz="4" w:space="0"/>
            </w:tcBorders>
            <w:vAlign w:val="center"/>
          </w:tcPr>
          <w:p w14:paraId="50D31F60">
            <w:r>
              <w:rPr>
                <w:rFonts w:hint="eastAsia"/>
              </w:rPr>
              <w:t>产品资质要求</w:t>
            </w:r>
          </w:p>
        </w:tc>
      </w:tr>
      <w:tr w14:paraId="4303C4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851" w:type="dxa"/>
            <w:tcBorders>
              <w:top w:val="single" w:color="auto" w:sz="4" w:space="0"/>
              <w:left w:val="single" w:color="000000" w:sz="4" w:space="0"/>
              <w:bottom w:val="nil"/>
              <w:right w:val="single" w:color="000000" w:sz="4" w:space="0"/>
            </w:tcBorders>
            <w:vAlign w:val="center"/>
          </w:tcPr>
          <w:p w14:paraId="24F26C15">
            <w:r>
              <w:rPr>
                <w:rFonts w:hint="eastAsia"/>
              </w:rPr>
              <w:t>1</w:t>
            </w:r>
          </w:p>
        </w:tc>
        <w:tc>
          <w:tcPr>
            <w:tcW w:w="8240" w:type="dxa"/>
            <w:tcBorders>
              <w:top w:val="single" w:color="auto" w:sz="4" w:space="0"/>
              <w:left w:val="nil"/>
              <w:bottom w:val="nil"/>
              <w:right w:val="single" w:color="000000" w:sz="4" w:space="0"/>
            </w:tcBorders>
            <w:vAlign w:val="center"/>
          </w:tcPr>
          <w:p w14:paraId="4975C65A">
            <w:r>
              <w:rPr>
                <w:rFonts w:hint="eastAsia"/>
              </w:rPr>
              <w:t>统一认证系统具备国家密码管理局商用密码检测中心颁发的商用密码产品认证证书（提供证书复印件）</w:t>
            </w:r>
          </w:p>
        </w:tc>
      </w:tr>
      <w:tr w14:paraId="3A97AB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851" w:type="dxa"/>
            <w:tcBorders>
              <w:top w:val="single" w:color="auto" w:sz="4" w:space="0"/>
              <w:left w:val="single" w:color="000000" w:sz="4" w:space="0"/>
              <w:bottom w:val="nil"/>
              <w:right w:val="single" w:color="000000" w:sz="4" w:space="0"/>
            </w:tcBorders>
            <w:vAlign w:val="center"/>
          </w:tcPr>
          <w:p w14:paraId="5FDD3074">
            <w:pPr>
              <w:rPr>
                <w:rFonts w:ascii="宋体" w:hAnsi="宋体"/>
              </w:rPr>
            </w:pPr>
            <w:r>
              <w:rPr>
                <w:rFonts w:hint="eastAsia"/>
              </w:rPr>
              <w:t>2</w:t>
            </w:r>
          </w:p>
        </w:tc>
        <w:tc>
          <w:tcPr>
            <w:tcW w:w="8240" w:type="dxa"/>
            <w:tcBorders>
              <w:top w:val="single" w:color="auto" w:sz="4" w:space="0"/>
              <w:left w:val="nil"/>
              <w:bottom w:val="nil"/>
              <w:right w:val="single" w:color="000000" w:sz="4" w:space="0"/>
            </w:tcBorders>
            <w:vAlign w:val="center"/>
          </w:tcPr>
          <w:p w14:paraId="123BDD90">
            <w:r>
              <w:rPr>
                <w:rFonts w:hint="eastAsia"/>
              </w:rPr>
              <w:t>统一认证系统具备公安部计算机信息系统安全产品质量监督检测中心颁发的《网络安全专用产品安全检测证书》（提供证书复印件）</w:t>
            </w:r>
          </w:p>
        </w:tc>
      </w:tr>
      <w:tr w14:paraId="3C242F1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34"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4B211DA">
            <w:r>
              <w:rPr>
                <w:rFonts w:hint="eastAsia"/>
              </w:rPr>
              <w:t>3</w:t>
            </w:r>
          </w:p>
        </w:tc>
        <w:tc>
          <w:tcPr>
            <w:tcW w:w="8240" w:type="dxa"/>
            <w:tcBorders>
              <w:top w:val="single" w:color="auto" w:sz="4" w:space="0"/>
              <w:left w:val="nil"/>
              <w:bottom w:val="single" w:color="auto" w:sz="4" w:space="0"/>
              <w:right w:val="single" w:color="auto" w:sz="4" w:space="0"/>
            </w:tcBorders>
            <w:shd w:val="clear" w:color="auto" w:fill="auto"/>
            <w:vAlign w:val="center"/>
          </w:tcPr>
          <w:p w14:paraId="6AEAB9EB">
            <w:r>
              <w:rPr>
                <w:rFonts w:hint="eastAsia"/>
              </w:rPr>
              <w:t>统一认证系统具备国家网络与信息系统安全产品质量检验检测中心颁发的《信息技术产品安全测试证书》（提供证书复印件）</w:t>
            </w:r>
          </w:p>
        </w:tc>
      </w:tr>
    </w:tbl>
    <w:p w14:paraId="50AFBA07"/>
    <w:p w14:paraId="267AED66">
      <w:pPr>
        <w:pStyle w:val="4"/>
      </w:pPr>
      <w:r>
        <w:rPr>
          <w:rFonts w:hint="eastAsia"/>
        </w:rPr>
        <w:t>文件加密网关</w:t>
      </w:r>
    </w:p>
    <w:tbl>
      <w:tblPr>
        <w:tblStyle w:val="23"/>
        <w:tblW w:w="9091"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33"/>
        <w:gridCol w:w="8358"/>
      </w:tblGrid>
      <w:tr w14:paraId="14B256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vAlign w:val="center"/>
          </w:tcPr>
          <w:p w14:paraId="340F8D81">
            <w:r>
              <w:rPr>
                <w:rFonts w:hint="eastAsia"/>
              </w:rPr>
              <w:t>序号</w:t>
            </w:r>
          </w:p>
        </w:tc>
        <w:tc>
          <w:tcPr>
            <w:tcW w:w="8358" w:type="dxa"/>
            <w:tcBorders>
              <w:top w:val="single" w:color="000000" w:sz="4" w:space="0"/>
              <w:left w:val="nil"/>
              <w:bottom w:val="single" w:color="000000" w:sz="4" w:space="0"/>
              <w:right w:val="single" w:color="000000" w:sz="4" w:space="0"/>
            </w:tcBorders>
            <w:vAlign w:val="center"/>
          </w:tcPr>
          <w:p w14:paraId="27E8E80C">
            <w:r>
              <w:rPr>
                <w:rFonts w:hint="eastAsia"/>
              </w:rPr>
              <w:t>参数要求</w:t>
            </w:r>
          </w:p>
        </w:tc>
      </w:tr>
      <w:tr w14:paraId="4120A7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67" w:hRule="atLeast"/>
          <w:jc w:val="center"/>
        </w:trPr>
        <w:tc>
          <w:tcPr>
            <w:tcW w:w="733" w:type="dxa"/>
            <w:tcBorders>
              <w:top w:val="nil"/>
              <w:left w:val="single" w:color="000000" w:sz="4" w:space="0"/>
              <w:bottom w:val="single" w:color="auto" w:sz="4" w:space="0"/>
              <w:right w:val="single" w:color="000000" w:sz="4" w:space="0"/>
            </w:tcBorders>
            <w:vAlign w:val="center"/>
          </w:tcPr>
          <w:p w14:paraId="48C39BE5">
            <w:r>
              <w:rPr>
                <w:rFonts w:hint="eastAsia"/>
              </w:rPr>
              <w:t>1</w:t>
            </w:r>
          </w:p>
        </w:tc>
        <w:tc>
          <w:tcPr>
            <w:tcW w:w="8358" w:type="dxa"/>
            <w:tcBorders>
              <w:top w:val="nil"/>
              <w:left w:val="nil"/>
              <w:bottom w:val="single" w:color="auto" w:sz="4" w:space="0"/>
              <w:right w:val="single" w:color="000000" w:sz="4" w:space="0"/>
            </w:tcBorders>
            <w:vAlign w:val="center"/>
          </w:tcPr>
          <w:p w14:paraId="5B5C4AE7">
            <w:r>
              <w:rPr>
                <w:rFonts w:hint="eastAsia"/>
              </w:rPr>
              <w:t>支持基于SM2/SM3/SM4算法的国密SSL通道与文件系统密码模块客户端通信。</w:t>
            </w:r>
          </w:p>
        </w:tc>
      </w:tr>
      <w:tr w14:paraId="2834D5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33" w:type="dxa"/>
            <w:tcBorders>
              <w:top w:val="nil"/>
              <w:left w:val="single" w:color="000000" w:sz="4" w:space="0"/>
              <w:bottom w:val="single" w:color="auto" w:sz="4" w:space="0"/>
              <w:right w:val="single" w:color="000000" w:sz="4" w:space="0"/>
            </w:tcBorders>
            <w:shd w:val="clear" w:color="auto" w:fill="auto"/>
            <w:vAlign w:val="center"/>
          </w:tcPr>
          <w:p w14:paraId="2C329D8E">
            <w:r>
              <w:rPr>
                <w:rFonts w:hint="eastAsia"/>
              </w:rPr>
              <w:t>2</w:t>
            </w:r>
          </w:p>
        </w:tc>
        <w:tc>
          <w:tcPr>
            <w:tcW w:w="8358" w:type="dxa"/>
            <w:tcBorders>
              <w:top w:val="nil"/>
              <w:left w:val="nil"/>
              <w:bottom w:val="single" w:color="auto" w:sz="4" w:space="0"/>
              <w:right w:val="single" w:color="000000" w:sz="4" w:space="0"/>
            </w:tcBorders>
            <w:vAlign w:val="center"/>
          </w:tcPr>
          <w:p w14:paraId="2C0F8428">
            <w:r>
              <w:rPr>
                <w:rFonts w:hint="eastAsia"/>
              </w:rPr>
              <w:t>支持可视化客户端集中管理功能。</w:t>
            </w:r>
          </w:p>
        </w:tc>
      </w:tr>
      <w:tr w14:paraId="4853B2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33" w:type="dxa"/>
            <w:tcBorders>
              <w:top w:val="single" w:color="auto" w:sz="4" w:space="0"/>
              <w:left w:val="single" w:color="000000" w:sz="4" w:space="0"/>
              <w:bottom w:val="single" w:color="auto" w:sz="4" w:space="0"/>
              <w:right w:val="single" w:color="000000" w:sz="4" w:space="0"/>
            </w:tcBorders>
            <w:shd w:val="clear" w:color="auto" w:fill="auto"/>
            <w:vAlign w:val="center"/>
          </w:tcPr>
          <w:p w14:paraId="34556D34">
            <w:r>
              <w:rPr>
                <w:rFonts w:hint="eastAsia"/>
              </w:rPr>
              <w:t>3</w:t>
            </w:r>
          </w:p>
        </w:tc>
        <w:tc>
          <w:tcPr>
            <w:tcW w:w="8358" w:type="dxa"/>
            <w:tcBorders>
              <w:top w:val="single" w:color="auto" w:sz="4" w:space="0"/>
              <w:left w:val="nil"/>
              <w:bottom w:val="single" w:color="auto" w:sz="4" w:space="0"/>
              <w:right w:val="single" w:color="000000" w:sz="4" w:space="0"/>
            </w:tcBorders>
            <w:vAlign w:val="center"/>
          </w:tcPr>
          <w:p w14:paraId="36CE954F">
            <w:r>
              <w:rPr>
                <w:rFonts w:hint="eastAsia"/>
                <w:lang w:bidi="ar"/>
              </w:rPr>
              <w:t>支持查看所有已部署的免改造机密性保障模块和免改造完整性保障模块运行情况。</w:t>
            </w:r>
          </w:p>
        </w:tc>
      </w:tr>
      <w:tr w14:paraId="452685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33" w:type="dxa"/>
            <w:tcBorders>
              <w:top w:val="single" w:color="auto" w:sz="4" w:space="0"/>
              <w:left w:val="single" w:color="000000" w:sz="4" w:space="0"/>
              <w:bottom w:val="single" w:color="auto" w:sz="4" w:space="0"/>
              <w:right w:val="single" w:color="000000" w:sz="4" w:space="0"/>
            </w:tcBorders>
            <w:shd w:val="clear" w:color="auto" w:fill="auto"/>
            <w:vAlign w:val="center"/>
          </w:tcPr>
          <w:p w14:paraId="00A35412">
            <w:r>
              <w:rPr>
                <w:rFonts w:hint="eastAsia"/>
              </w:rPr>
              <w:t>4</w:t>
            </w:r>
          </w:p>
        </w:tc>
        <w:tc>
          <w:tcPr>
            <w:tcW w:w="8358" w:type="dxa"/>
            <w:tcBorders>
              <w:top w:val="single" w:color="auto" w:sz="4" w:space="0"/>
              <w:left w:val="nil"/>
              <w:bottom w:val="single" w:color="auto" w:sz="4" w:space="0"/>
              <w:right w:val="single" w:color="000000" w:sz="4" w:space="0"/>
            </w:tcBorders>
            <w:vAlign w:val="center"/>
          </w:tcPr>
          <w:p w14:paraId="39D30BC8">
            <w:r>
              <w:rPr>
                <w:rFonts w:hint="eastAsia"/>
              </w:rPr>
              <w:t>支持管理账号分权，安全策略管理及安全审计功能。</w:t>
            </w:r>
          </w:p>
        </w:tc>
      </w:tr>
      <w:tr w14:paraId="12ED9A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3" w:type="dxa"/>
            <w:tcBorders>
              <w:top w:val="single" w:color="auto" w:sz="4" w:space="0"/>
              <w:left w:val="single" w:color="000000" w:sz="4" w:space="0"/>
              <w:bottom w:val="single" w:color="auto" w:sz="4" w:space="0"/>
              <w:right w:val="single" w:color="000000" w:sz="4" w:space="0"/>
            </w:tcBorders>
            <w:shd w:val="clear" w:color="auto" w:fill="auto"/>
            <w:vAlign w:val="center"/>
          </w:tcPr>
          <w:p w14:paraId="47518FBD">
            <w:r>
              <w:rPr>
                <w:rFonts w:hint="eastAsia"/>
              </w:rPr>
              <w:t>5</w:t>
            </w:r>
          </w:p>
        </w:tc>
        <w:tc>
          <w:tcPr>
            <w:tcW w:w="8358" w:type="dxa"/>
            <w:tcBorders>
              <w:top w:val="single" w:color="auto" w:sz="4" w:space="0"/>
              <w:left w:val="nil"/>
              <w:bottom w:val="single" w:color="auto" w:sz="4" w:space="0"/>
              <w:right w:val="single" w:color="000000" w:sz="4" w:space="0"/>
            </w:tcBorders>
            <w:vAlign w:val="center"/>
          </w:tcPr>
          <w:p w14:paraId="349D5C76">
            <w:r>
              <w:rPr>
                <w:rFonts w:hint="eastAsia"/>
              </w:rPr>
              <w:t>支持客户端日志记录、告警信息的归集、查询、统计功能。</w:t>
            </w:r>
          </w:p>
        </w:tc>
      </w:tr>
      <w:tr w14:paraId="238AD2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33" w:type="dxa"/>
            <w:tcBorders>
              <w:top w:val="single" w:color="auto" w:sz="4" w:space="0"/>
              <w:left w:val="single" w:color="000000" w:sz="4" w:space="0"/>
              <w:bottom w:val="single" w:color="auto" w:sz="4" w:space="0"/>
              <w:right w:val="single" w:color="000000" w:sz="4" w:space="0"/>
            </w:tcBorders>
            <w:shd w:val="clear" w:color="auto" w:fill="auto"/>
            <w:vAlign w:val="center"/>
          </w:tcPr>
          <w:p w14:paraId="738C2150">
            <w:r>
              <w:rPr>
                <w:rFonts w:hint="eastAsia"/>
              </w:rPr>
              <w:t>6</w:t>
            </w:r>
          </w:p>
        </w:tc>
        <w:tc>
          <w:tcPr>
            <w:tcW w:w="8358" w:type="dxa"/>
            <w:tcBorders>
              <w:top w:val="single" w:color="auto" w:sz="4" w:space="0"/>
              <w:left w:val="nil"/>
              <w:bottom w:val="single" w:color="auto" w:sz="4" w:space="0"/>
              <w:right w:val="single" w:color="000000" w:sz="4" w:space="0"/>
            </w:tcBorders>
            <w:vAlign w:val="center"/>
          </w:tcPr>
          <w:p w14:paraId="76A8D89F">
            <w:r>
              <w:rPr>
                <w:rFonts w:hint="eastAsia"/>
                <w:lang w:bidi="ar"/>
              </w:rPr>
              <w:t>支持在线自定义配置机密性保护对象、自定义配置完整性保护对象。</w:t>
            </w:r>
          </w:p>
        </w:tc>
      </w:tr>
      <w:tr w14:paraId="271583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33" w:type="dxa"/>
            <w:tcBorders>
              <w:top w:val="single" w:color="auto" w:sz="4" w:space="0"/>
              <w:left w:val="single" w:color="000000" w:sz="4" w:space="0"/>
              <w:bottom w:val="single" w:color="auto" w:sz="4" w:space="0"/>
              <w:right w:val="single" w:color="000000" w:sz="4" w:space="0"/>
            </w:tcBorders>
            <w:shd w:val="clear" w:color="auto" w:fill="auto"/>
            <w:vAlign w:val="center"/>
          </w:tcPr>
          <w:p w14:paraId="433C73D7">
            <w:r>
              <w:rPr>
                <w:rFonts w:hint="eastAsia"/>
              </w:rPr>
              <w:t>7</w:t>
            </w:r>
          </w:p>
        </w:tc>
        <w:tc>
          <w:tcPr>
            <w:tcW w:w="8358" w:type="dxa"/>
            <w:tcBorders>
              <w:top w:val="single" w:color="auto" w:sz="4" w:space="0"/>
              <w:left w:val="nil"/>
              <w:bottom w:val="single" w:color="auto" w:sz="4" w:space="0"/>
              <w:right w:val="single" w:color="000000" w:sz="4" w:space="0"/>
            </w:tcBorders>
            <w:vAlign w:val="center"/>
          </w:tcPr>
          <w:p w14:paraId="4F32D696">
            <w:r>
              <w:rPr>
                <w:rFonts w:hint="eastAsia"/>
              </w:rPr>
              <w:t>支持物理机/虚拟机部署。</w:t>
            </w:r>
          </w:p>
        </w:tc>
      </w:tr>
      <w:tr w14:paraId="7E9CAE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33" w:type="dxa"/>
            <w:tcBorders>
              <w:top w:val="single" w:color="auto" w:sz="4" w:space="0"/>
              <w:left w:val="single" w:color="000000" w:sz="4" w:space="0"/>
              <w:bottom w:val="single" w:color="auto" w:sz="4" w:space="0"/>
              <w:right w:val="single" w:color="000000" w:sz="4" w:space="0"/>
            </w:tcBorders>
            <w:shd w:val="clear" w:color="auto" w:fill="auto"/>
            <w:vAlign w:val="center"/>
          </w:tcPr>
          <w:p w14:paraId="03FB2DB7">
            <w:r>
              <w:rPr>
                <w:rFonts w:hint="eastAsia"/>
              </w:rPr>
              <w:t>8</w:t>
            </w:r>
          </w:p>
        </w:tc>
        <w:tc>
          <w:tcPr>
            <w:tcW w:w="8358" w:type="dxa"/>
            <w:tcBorders>
              <w:top w:val="single" w:color="auto" w:sz="4" w:space="0"/>
              <w:left w:val="nil"/>
              <w:bottom w:val="single" w:color="auto" w:sz="4" w:space="0"/>
              <w:right w:val="single" w:color="000000" w:sz="4" w:space="0"/>
            </w:tcBorders>
            <w:vAlign w:val="center"/>
          </w:tcPr>
          <w:p w14:paraId="260B18E0">
            <w:r>
              <w:rPr>
                <w:rFonts w:hint="eastAsia"/>
                <w:lang w:bidi="ar"/>
              </w:rPr>
              <w:t>支持在国产芯片和操作系统上安装部署。</w:t>
            </w:r>
          </w:p>
        </w:tc>
      </w:tr>
      <w:tr w14:paraId="11569D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33" w:type="dxa"/>
            <w:tcBorders>
              <w:top w:val="single" w:color="auto" w:sz="4" w:space="0"/>
              <w:left w:val="single" w:color="000000" w:sz="4" w:space="0"/>
              <w:bottom w:val="single" w:color="auto" w:sz="4" w:space="0"/>
              <w:right w:val="single" w:color="000000" w:sz="4" w:space="0"/>
            </w:tcBorders>
            <w:shd w:val="clear" w:color="auto" w:fill="auto"/>
            <w:vAlign w:val="center"/>
          </w:tcPr>
          <w:p w14:paraId="45291A44">
            <w:r>
              <w:rPr>
                <w:rFonts w:hint="eastAsia"/>
              </w:rPr>
              <w:t>9</w:t>
            </w:r>
          </w:p>
        </w:tc>
        <w:tc>
          <w:tcPr>
            <w:tcW w:w="8358" w:type="dxa"/>
            <w:tcBorders>
              <w:top w:val="single" w:color="auto" w:sz="4" w:space="0"/>
              <w:left w:val="nil"/>
              <w:bottom w:val="single" w:color="auto" w:sz="4" w:space="0"/>
              <w:right w:val="single" w:color="000000" w:sz="4" w:space="0"/>
            </w:tcBorders>
            <w:vAlign w:val="center"/>
          </w:tcPr>
          <w:p w14:paraId="7F896B25">
            <w:r>
              <w:rPr>
                <w:rFonts w:hint="eastAsia"/>
              </w:rPr>
              <w:t>单台文件系统密码模块服务端可以支持</w:t>
            </w:r>
            <w:r>
              <w:t>200台</w:t>
            </w:r>
            <w:r>
              <w:rPr>
                <w:rFonts w:hint="eastAsia"/>
              </w:rPr>
              <w:t>文件系统密码模块客户端。</w:t>
            </w:r>
          </w:p>
        </w:tc>
      </w:tr>
      <w:tr w14:paraId="677BA8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33" w:type="dxa"/>
            <w:tcBorders>
              <w:top w:val="single" w:color="auto" w:sz="4" w:space="0"/>
              <w:left w:val="single" w:color="000000" w:sz="4" w:space="0"/>
              <w:bottom w:val="single" w:color="auto" w:sz="4" w:space="0"/>
              <w:right w:val="single" w:color="000000" w:sz="4" w:space="0"/>
            </w:tcBorders>
            <w:shd w:val="clear" w:color="auto" w:fill="auto"/>
            <w:vAlign w:val="center"/>
          </w:tcPr>
          <w:p w14:paraId="5DE77EED">
            <w:pPr>
              <w:ind w:firstLine="0"/>
            </w:pPr>
            <w:r>
              <w:rPr>
                <w:rFonts w:hint="eastAsia"/>
              </w:rPr>
              <w:t>10</w:t>
            </w:r>
          </w:p>
        </w:tc>
        <w:tc>
          <w:tcPr>
            <w:tcW w:w="8358" w:type="dxa"/>
            <w:tcBorders>
              <w:top w:val="single" w:color="auto" w:sz="4" w:space="0"/>
              <w:left w:val="nil"/>
              <w:bottom w:val="single" w:color="auto" w:sz="4" w:space="0"/>
              <w:right w:val="single" w:color="000000" w:sz="4" w:space="0"/>
            </w:tcBorders>
            <w:vAlign w:val="center"/>
          </w:tcPr>
          <w:p w14:paraId="68C6458A">
            <w:r>
              <w:rPr>
                <w:rFonts w:hint="eastAsia"/>
                <w:lang w:bidi="ar"/>
              </w:rPr>
              <w:t>能完成操作系统内置式本地加解密，无需对外发送业务数据。</w:t>
            </w:r>
          </w:p>
        </w:tc>
      </w:tr>
      <w:tr w14:paraId="64EFD1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33" w:type="dxa"/>
            <w:tcBorders>
              <w:top w:val="single" w:color="auto" w:sz="4" w:space="0"/>
              <w:left w:val="single" w:color="000000" w:sz="4" w:space="0"/>
              <w:bottom w:val="single" w:color="auto" w:sz="4" w:space="0"/>
              <w:right w:val="single" w:color="000000" w:sz="4" w:space="0"/>
            </w:tcBorders>
            <w:shd w:val="clear" w:color="auto" w:fill="auto"/>
            <w:vAlign w:val="center"/>
          </w:tcPr>
          <w:p w14:paraId="62BD0A2F">
            <w:pPr>
              <w:ind w:firstLine="0"/>
            </w:pPr>
            <w:r>
              <w:rPr>
                <w:rFonts w:hint="eastAsia"/>
              </w:rPr>
              <w:t>11</w:t>
            </w:r>
          </w:p>
        </w:tc>
        <w:tc>
          <w:tcPr>
            <w:tcW w:w="8358" w:type="dxa"/>
            <w:tcBorders>
              <w:top w:val="single" w:color="auto" w:sz="4" w:space="0"/>
              <w:left w:val="nil"/>
              <w:bottom w:val="single" w:color="auto" w:sz="4" w:space="0"/>
              <w:right w:val="single" w:color="000000" w:sz="4" w:space="0"/>
            </w:tcBorders>
            <w:vAlign w:val="center"/>
          </w:tcPr>
          <w:p w14:paraId="78D013A5">
            <w:r>
              <w:rPr>
                <w:rFonts w:hint="eastAsia"/>
                <w:lang w:bidi="ar"/>
              </w:rPr>
              <w:t>支持应用系统免改造实现数据存储加密，不存在也不需要加解密接口开发和适配环节。不改变现有网络架构，不改变现有存储架构。</w:t>
            </w:r>
          </w:p>
        </w:tc>
      </w:tr>
      <w:tr w14:paraId="3EA6CF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33" w:type="dxa"/>
            <w:tcBorders>
              <w:top w:val="single" w:color="auto" w:sz="4" w:space="0"/>
              <w:left w:val="single" w:color="000000" w:sz="4" w:space="0"/>
              <w:bottom w:val="single" w:color="auto" w:sz="4" w:space="0"/>
              <w:right w:val="single" w:color="000000" w:sz="4" w:space="0"/>
            </w:tcBorders>
            <w:shd w:val="clear" w:color="auto" w:fill="auto"/>
            <w:vAlign w:val="center"/>
          </w:tcPr>
          <w:p w14:paraId="78E679DA">
            <w:pPr>
              <w:ind w:firstLine="0"/>
            </w:pPr>
            <w:r>
              <w:rPr>
                <w:rFonts w:hint="eastAsia"/>
              </w:rPr>
              <w:t>12</w:t>
            </w:r>
          </w:p>
        </w:tc>
        <w:tc>
          <w:tcPr>
            <w:tcW w:w="8358" w:type="dxa"/>
            <w:tcBorders>
              <w:top w:val="single" w:color="auto" w:sz="4" w:space="0"/>
              <w:left w:val="nil"/>
              <w:bottom w:val="single" w:color="auto" w:sz="4" w:space="0"/>
              <w:right w:val="single" w:color="000000" w:sz="4" w:space="0"/>
            </w:tcBorders>
            <w:vAlign w:val="center"/>
          </w:tcPr>
          <w:p w14:paraId="204CC79A">
            <w:r>
              <w:rPr>
                <w:rFonts w:hint="eastAsia"/>
                <w:lang w:bidi="ar"/>
              </w:rPr>
              <w:t>支持对文件数据进行基于SM4算法的加密存储，并且对数据存储机密性保护进行集中管理。</w:t>
            </w:r>
          </w:p>
        </w:tc>
      </w:tr>
      <w:tr w14:paraId="4C7A26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33" w:type="dxa"/>
            <w:tcBorders>
              <w:top w:val="single" w:color="auto" w:sz="4" w:space="0"/>
              <w:left w:val="single" w:color="000000" w:sz="4" w:space="0"/>
              <w:bottom w:val="single" w:color="auto" w:sz="4" w:space="0"/>
              <w:right w:val="single" w:color="000000" w:sz="4" w:space="0"/>
            </w:tcBorders>
            <w:shd w:val="clear" w:color="auto" w:fill="auto"/>
            <w:vAlign w:val="center"/>
          </w:tcPr>
          <w:p w14:paraId="3B52842A">
            <w:pPr>
              <w:ind w:firstLine="0"/>
            </w:pPr>
            <w:r>
              <w:rPr>
                <w:rFonts w:hint="eastAsia"/>
              </w:rPr>
              <w:t>13</w:t>
            </w:r>
          </w:p>
        </w:tc>
        <w:tc>
          <w:tcPr>
            <w:tcW w:w="8358" w:type="dxa"/>
            <w:tcBorders>
              <w:top w:val="single" w:color="auto" w:sz="4" w:space="0"/>
              <w:left w:val="nil"/>
              <w:bottom w:val="single" w:color="auto" w:sz="4" w:space="0"/>
              <w:right w:val="single" w:color="000000" w:sz="4" w:space="0"/>
            </w:tcBorders>
            <w:vAlign w:val="center"/>
          </w:tcPr>
          <w:p w14:paraId="0DD25201">
            <w:r>
              <w:rPr>
                <w:rFonts w:hint="eastAsia"/>
              </w:rPr>
              <w:t>支持物理机/虚拟机部署。</w:t>
            </w:r>
          </w:p>
        </w:tc>
      </w:tr>
      <w:tr w14:paraId="640DA7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733" w:type="dxa"/>
            <w:tcBorders>
              <w:top w:val="single" w:color="auto" w:sz="4" w:space="0"/>
              <w:left w:val="single" w:color="000000" w:sz="4" w:space="0"/>
              <w:bottom w:val="single" w:color="auto" w:sz="4" w:space="0"/>
              <w:right w:val="single" w:color="000000" w:sz="4" w:space="0"/>
            </w:tcBorders>
            <w:shd w:val="clear" w:color="auto" w:fill="auto"/>
            <w:vAlign w:val="center"/>
          </w:tcPr>
          <w:p w14:paraId="39615C5C">
            <w:pPr>
              <w:ind w:firstLine="0"/>
            </w:pPr>
            <w:r>
              <w:rPr>
                <w:rFonts w:hint="eastAsia"/>
              </w:rPr>
              <w:t>14</w:t>
            </w:r>
          </w:p>
        </w:tc>
        <w:tc>
          <w:tcPr>
            <w:tcW w:w="8358" w:type="dxa"/>
            <w:tcBorders>
              <w:top w:val="single" w:color="auto" w:sz="4" w:space="0"/>
              <w:left w:val="nil"/>
              <w:bottom w:val="single" w:color="auto" w:sz="4" w:space="0"/>
              <w:right w:val="single" w:color="000000" w:sz="4" w:space="0"/>
            </w:tcBorders>
            <w:vAlign w:val="center"/>
          </w:tcPr>
          <w:p w14:paraId="19A8A2A3">
            <w:r>
              <w:rPr>
                <w:rFonts w:hint="eastAsia"/>
              </w:rPr>
              <w:t>支持windows/linux及国产操作系统。</w:t>
            </w:r>
          </w:p>
        </w:tc>
      </w:tr>
      <w:tr w14:paraId="5AF65F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33" w:type="dxa"/>
            <w:tcBorders>
              <w:top w:val="single" w:color="auto" w:sz="4" w:space="0"/>
              <w:left w:val="single" w:color="000000" w:sz="4" w:space="0"/>
              <w:bottom w:val="single" w:color="auto" w:sz="4" w:space="0"/>
              <w:right w:val="single" w:color="000000" w:sz="4" w:space="0"/>
            </w:tcBorders>
            <w:shd w:val="clear" w:color="auto" w:fill="auto"/>
            <w:vAlign w:val="center"/>
          </w:tcPr>
          <w:p w14:paraId="510EF4EC">
            <w:pPr>
              <w:ind w:firstLine="0"/>
            </w:pPr>
            <w:r>
              <w:rPr>
                <w:rFonts w:hint="eastAsia"/>
              </w:rPr>
              <w:t>15</w:t>
            </w:r>
          </w:p>
        </w:tc>
        <w:tc>
          <w:tcPr>
            <w:tcW w:w="8358" w:type="dxa"/>
            <w:tcBorders>
              <w:top w:val="single" w:color="auto" w:sz="4" w:space="0"/>
              <w:left w:val="nil"/>
              <w:bottom w:val="single" w:color="auto" w:sz="4" w:space="0"/>
              <w:right w:val="single" w:color="000000" w:sz="4" w:space="0"/>
            </w:tcBorders>
            <w:vAlign w:val="center"/>
          </w:tcPr>
          <w:p w14:paraId="5BBDD152">
            <w:r>
              <w:rPr>
                <w:rFonts w:hint="eastAsia"/>
              </w:rPr>
              <w:t>嵌入操作系统内核，具备防杀进程、防卸载功能。</w:t>
            </w:r>
          </w:p>
        </w:tc>
      </w:tr>
      <w:tr w14:paraId="70922F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33" w:type="dxa"/>
            <w:tcBorders>
              <w:top w:val="single" w:color="auto" w:sz="4" w:space="0"/>
              <w:left w:val="single" w:color="000000" w:sz="4" w:space="0"/>
              <w:bottom w:val="single" w:color="auto" w:sz="4" w:space="0"/>
              <w:right w:val="single" w:color="000000" w:sz="4" w:space="0"/>
            </w:tcBorders>
            <w:shd w:val="clear" w:color="auto" w:fill="auto"/>
            <w:vAlign w:val="center"/>
          </w:tcPr>
          <w:p w14:paraId="305C1FC4">
            <w:pPr>
              <w:ind w:firstLine="0"/>
            </w:pPr>
            <w:r>
              <w:rPr>
                <w:rFonts w:hint="eastAsia"/>
              </w:rPr>
              <w:t>16</w:t>
            </w:r>
          </w:p>
        </w:tc>
        <w:tc>
          <w:tcPr>
            <w:tcW w:w="8358" w:type="dxa"/>
            <w:tcBorders>
              <w:top w:val="single" w:color="auto" w:sz="4" w:space="0"/>
              <w:left w:val="nil"/>
              <w:bottom w:val="single" w:color="auto" w:sz="4" w:space="0"/>
              <w:right w:val="single" w:color="000000" w:sz="4" w:space="0"/>
            </w:tcBorders>
            <w:vAlign w:val="center"/>
          </w:tcPr>
          <w:p w14:paraId="2EA6C8D0">
            <w:r>
              <w:rPr>
                <w:rFonts w:hint="eastAsia"/>
                <w:lang w:bidi="ar"/>
              </w:rPr>
              <w:t>支持从服务端配置指定客户端所在服务器的指定数据库数据目录进行全库加密</w:t>
            </w:r>
            <w:r>
              <w:t>。</w:t>
            </w:r>
          </w:p>
        </w:tc>
      </w:tr>
      <w:tr w14:paraId="6704EF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33" w:type="dxa"/>
            <w:tcBorders>
              <w:top w:val="single" w:color="auto" w:sz="4" w:space="0"/>
              <w:left w:val="single" w:color="000000" w:sz="4" w:space="0"/>
              <w:bottom w:val="single" w:color="auto" w:sz="4" w:space="0"/>
              <w:right w:val="single" w:color="000000" w:sz="4" w:space="0"/>
            </w:tcBorders>
            <w:vAlign w:val="center"/>
          </w:tcPr>
          <w:p w14:paraId="195F9FE9">
            <w:pPr>
              <w:ind w:firstLine="0"/>
            </w:pPr>
            <w:r>
              <w:rPr>
                <w:rFonts w:hint="eastAsia"/>
              </w:rPr>
              <w:t>17</w:t>
            </w:r>
          </w:p>
        </w:tc>
        <w:tc>
          <w:tcPr>
            <w:tcW w:w="8358" w:type="dxa"/>
            <w:tcBorders>
              <w:top w:val="single" w:color="auto" w:sz="4" w:space="0"/>
              <w:left w:val="nil"/>
              <w:bottom w:val="single" w:color="auto" w:sz="4" w:space="0"/>
              <w:right w:val="single" w:color="000000" w:sz="4" w:space="0"/>
            </w:tcBorders>
            <w:vAlign w:val="center"/>
          </w:tcPr>
          <w:p w14:paraId="14A76282">
            <w:r>
              <w:rPr>
                <w:rFonts w:hint="eastAsia"/>
                <w:lang w:bidi="ar"/>
              </w:rPr>
              <w:t>支持基于操作系统内核层的文件加解密，从而全面适用结构化/半结构化/非结构化数据类型。</w:t>
            </w:r>
          </w:p>
        </w:tc>
      </w:tr>
      <w:tr w14:paraId="21C11A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33" w:type="dxa"/>
            <w:tcBorders>
              <w:top w:val="single" w:color="auto" w:sz="4" w:space="0"/>
              <w:left w:val="single" w:color="000000" w:sz="4" w:space="0"/>
              <w:bottom w:val="single" w:color="auto" w:sz="4" w:space="0"/>
              <w:right w:val="single" w:color="000000" w:sz="4" w:space="0"/>
            </w:tcBorders>
            <w:vAlign w:val="center"/>
          </w:tcPr>
          <w:p w14:paraId="616360A5">
            <w:pPr>
              <w:ind w:firstLine="0"/>
            </w:pPr>
            <w:r>
              <w:rPr>
                <w:rFonts w:hint="eastAsia"/>
              </w:rPr>
              <w:t>18</w:t>
            </w:r>
          </w:p>
        </w:tc>
        <w:tc>
          <w:tcPr>
            <w:tcW w:w="8358" w:type="dxa"/>
            <w:tcBorders>
              <w:top w:val="single" w:color="auto" w:sz="4" w:space="0"/>
              <w:left w:val="nil"/>
              <w:bottom w:val="single" w:color="auto" w:sz="4" w:space="0"/>
              <w:right w:val="single" w:color="000000" w:sz="4" w:space="0"/>
            </w:tcBorders>
            <w:vAlign w:val="center"/>
          </w:tcPr>
          <w:p w14:paraId="5B27B343">
            <w:r>
              <w:rPr>
                <w:rFonts w:hint="eastAsia"/>
                <w:lang w:bidi="ar"/>
              </w:rPr>
              <w:t>支持全面的透明加解密，不影响数据库检索功能，不影响数据库模糊查询功能，不影响数据库存储过程功能，不影响NFS远程数据挂载功能，不影响Docker容器数据持久化功能，不影响大数据架构HDFS分布式存储的数据组织及检索功能。</w:t>
            </w:r>
          </w:p>
        </w:tc>
      </w:tr>
      <w:tr w14:paraId="11A3FC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33" w:type="dxa"/>
            <w:tcBorders>
              <w:top w:val="single" w:color="auto" w:sz="4" w:space="0"/>
              <w:left w:val="single" w:color="000000" w:sz="4" w:space="0"/>
              <w:bottom w:val="single" w:color="auto" w:sz="4" w:space="0"/>
              <w:right w:val="single" w:color="000000" w:sz="4" w:space="0"/>
            </w:tcBorders>
            <w:vAlign w:val="center"/>
          </w:tcPr>
          <w:p w14:paraId="6536F03A">
            <w:pPr>
              <w:ind w:firstLine="0"/>
            </w:pPr>
            <w:r>
              <w:rPr>
                <w:rFonts w:hint="eastAsia"/>
              </w:rPr>
              <w:t>19</w:t>
            </w:r>
          </w:p>
        </w:tc>
        <w:tc>
          <w:tcPr>
            <w:tcW w:w="8358" w:type="dxa"/>
            <w:tcBorders>
              <w:top w:val="single" w:color="auto" w:sz="4" w:space="0"/>
              <w:left w:val="nil"/>
              <w:bottom w:val="single" w:color="auto" w:sz="4" w:space="0"/>
              <w:right w:val="single" w:color="000000" w:sz="4" w:space="0"/>
            </w:tcBorders>
            <w:vAlign w:val="center"/>
          </w:tcPr>
          <w:p w14:paraId="20B84BBC">
            <w:r>
              <w:rPr>
                <w:rFonts w:hint="eastAsia"/>
                <w:lang w:bidi="ar"/>
              </w:rPr>
              <w:t>支持一文一密，显著降低数据泄露风险。</w:t>
            </w:r>
          </w:p>
        </w:tc>
      </w:tr>
      <w:tr w14:paraId="4BBD36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33" w:type="dxa"/>
            <w:tcBorders>
              <w:top w:val="single" w:color="auto" w:sz="4" w:space="0"/>
              <w:left w:val="single" w:color="000000" w:sz="4" w:space="0"/>
              <w:bottom w:val="single" w:color="auto" w:sz="4" w:space="0"/>
              <w:right w:val="single" w:color="000000" w:sz="4" w:space="0"/>
            </w:tcBorders>
            <w:vAlign w:val="center"/>
          </w:tcPr>
          <w:p w14:paraId="6DFEB217">
            <w:pPr>
              <w:ind w:firstLine="0"/>
            </w:pPr>
            <w:r>
              <w:rPr>
                <w:rFonts w:hint="eastAsia"/>
              </w:rPr>
              <w:t>20</w:t>
            </w:r>
          </w:p>
        </w:tc>
        <w:tc>
          <w:tcPr>
            <w:tcW w:w="8358" w:type="dxa"/>
            <w:tcBorders>
              <w:top w:val="single" w:color="auto" w:sz="4" w:space="0"/>
              <w:left w:val="nil"/>
              <w:bottom w:val="single" w:color="auto" w:sz="4" w:space="0"/>
              <w:right w:val="single" w:color="000000" w:sz="4" w:space="0"/>
            </w:tcBorders>
            <w:vAlign w:val="center"/>
          </w:tcPr>
          <w:p w14:paraId="2F541AC8">
            <w:r>
              <w:rPr>
                <w:rFonts w:hint="eastAsia"/>
                <w:lang w:bidi="ar"/>
              </w:rPr>
              <w:t>加解密性能不低于1Gbps。</w:t>
            </w:r>
          </w:p>
        </w:tc>
      </w:tr>
      <w:tr w14:paraId="27C1F2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33" w:type="dxa"/>
            <w:tcBorders>
              <w:top w:val="single" w:color="auto" w:sz="4" w:space="0"/>
              <w:left w:val="single" w:color="000000" w:sz="4" w:space="0"/>
              <w:bottom w:val="single" w:color="auto" w:sz="4" w:space="0"/>
              <w:right w:val="single" w:color="000000" w:sz="4" w:space="0"/>
            </w:tcBorders>
            <w:vAlign w:val="center"/>
          </w:tcPr>
          <w:p w14:paraId="685EA17C">
            <w:pPr>
              <w:ind w:firstLine="0"/>
            </w:pPr>
            <w:r>
              <w:rPr>
                <w:rFonts w:hint="eastAsia"/>
              </w:rPr>
              <w:t>21</w:t>
            </w:r>
          </w:p>
        </w:tc>
        <w:tc>
          <w:tcPr>
            <w:tcW w:w="8358" w:type="dxa"/>
            <w:tcBorders>
              <w:top w:val="single" w:color="auto" w:sz="4" w:space="0"/>
              <w:left w:val="nil"/>
              <w:bottom w:val="single" w:color="auto" w:sz="4" w:space="0"/>
              <w:right w:val="single" w:color="000000" w:sz="4" w:space="0"/>
            </w:tcBorders>
            <w:vAlign w:val="center"/>
          </w:tcPr>
          <w:p w14:paraId="6790A156">
            <w:r>
              <w:rPr>
                <w:rFonts w:hint="eastAsia"/>
              </w:rPr>
              <w:t>具备可靠的的密钥全生命周期管理功能。</w:t>
            </w:r>
          </w:p>
        </w:tc>
      </w:tr>
      <w:tr w14:paraId="2E57D5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33" w:type="dxa"/>
            <w:tcBorders>
              <w:top w:val="single" w:color="auto" w:sz="4" w:space="0"/>
              <w:left w:val="single" w:color="000000" w:sz="4" w:space="0"/>
              <w:bottom w:val="single" w:color="auto" w:sz="4" w:space="0"/>
              <w:right w:val="single" w:color="000000" w:sz="4" w:space="0"/>
            </w:tcBorders>
            <w:vAlign w:val="center"/>
          </w:tcPr>
          <w:p w14:paraId="668EDAA4">
            <w:pPr>
              <w:ind w:firstLine="0"/>
            </w:pPr>
            <w:r>
              <w:rPr>
                <w:rFonts w:hint="eastAsia"/>
              </w:rPr>
              <w:t>2</w:t>
            </w:r>
            <w:r>
              <w:t>2</w:t>
            </w:r>
          </w:p>
        </w:tc>
        <w:tc>
          <w:tcPr>
            <w:tcW w:w="8358" w:type="dxa"/>
            <w:tcBorders>
              <w:top w:val="single" w:color="auto" w:sz="4" w:space="0"/>
              <w:left w:val="nil"/>
              <w:bottom w:val="single" w:color="auto" w:sz="4" w:space="0"/>
              <w:right w:val="single" w:color="000000" w:sz="4" w:space="0"/>
            </w:tcBorders>
            <w:vAlign w:val="center"/>
          </w:tcPr>
          <w:p w14:paraId="4F4DCF67">
            <w:r>
              <w:rPr>
                <w:rFonts w:hint="eastAsia"/>
              </w:rPr>
              <w:t>国产化硬件：CPU、内存、主板、冗余双电源、密码卡等核心部件均采用国产化硬件。</w:t>
            </w:r>
          </w:p>
          <w:p w14:paraId="0204F53D">
            <w:r>
              <w:rPr>
                <w:rFonts w:hint="eastAsia"/>
              </w:rPr>
              <w:t>≥1块双端口万兆网卡及配套光模块和光纤跳线。</w:t>
            </w:r>
          </w:p>
        </w:tc>
      </w:tr>
      <w:tr w14:paraId="211ED6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33" w:type="dxa"/>
            <w:tcBorders>
              <w:top w:val="single" w:color="auto" w:sz="4" w:space="0"/>
              <w:left w:val="single" w:color="000000" w:sz="4" w:space="0"/>
              <w:bottom w:val="single" w:color="auto" w:sz="4" w:space="0"/>
              <w:right w:val="single" w:color="000000" w:sz="4" w:space="0"/>
            </w:tcBorders>
            <w:shd w:val="clear" w:color="auto" w:fill="auto"/>
            <w:vAlign w:val="bottom"/>
          </w:tcPr>
          <w:p w14:paraId="469E0875">
            <w:pPr>
              <w:ind w:firstLine="0"/>
              <w:rPr>
                <w:rFonts w:ascii="宋体" w:hAnsi="宋体" w:cs="宋体"/>
                <w:szCs w:val="21"/>
              </w:rPr>
            </w:pPr>
            <w:r>
              <w:rPr>
                <w:rFonts w:hint="eastAsia"/>
              </w:rPr>
              <w:t>序号</w:t>
            </w:r>
          </w:p>
        </w:tc>
        <w:tc>
          <w:tcPr>
            <w:tcW w:w="8358" w:type="dxa"/>
            <w:tcBorders>
              <w:top w:val="single" w:color="auto" w:sz="4" w:space="0"/>
              <w:left w:val="nil"/>
              <w:bottom w:val="single" w:color="auto" w:sz="4" w:space="0"/>
              <w:right w:val="single" w:color="000000" w:sz="4" w:space="0"/>
            </w:tcBorders>
            <w:shd w:val="clear" w:color="auto" w:fill="auto"/>
            <w:vAlign w:val="center"/>
          </w:tcPr>
          <w:p w14:paraId="636DBA20">
            <w:pPr>
              <w:rPr>
                <w:rFonts w:ascii="宋体" w:hAnsi="宋体" w:cs="宋体"/>
              </w:rPr>
            </w:pPr>
            <w:r>
              <w:rPr>
                <w:rFonts w:hint="eastAsia"/>
              </w:rPr>
              <w:t>资质要求</w:t>
            </w:r>
          </w:p>
        </w:tc>
      </w:tr>
      <w:tr w14:paraId="53A241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733" w:type="dxa"/>
            <w:tcBorders>
              <w:top w:val="single" w:color="auto" w:sz="4" w:space="0"/>
              <w:left w:val="single" w:color="000000" w:sz="4" w:space="0"/>
              <w:bottom w:val="nil"/>
              <w:right w:val="single" w:color="000000" w:sz="4" w:space="0"/>
            </w:tcBorders>
            <w:vAlign w:val="center"/>
          </w:tcPr>
          <w:p w14:paraId="0F568120">
            <w:r>
              <w:rPr>
                <w:rFonts w:hint="eastAsia"/>
              </w:rPr>
              <w:t>1</w:t>
            </w:r>
          </w:p>
        </w:tc>
        <w:tc>
          <w:tcPr>
            <w:tcW w:w="8358" w:type="dxa"/>
            <w:tcBorders>
              <w:top w:val="single" w:color="auto" w:sz="4" w:space="0"/>
              <w:left w:val="nil"/>
              <w:bottom w:val="nil"/>
              <w:right w:val="single" w:color="000000" w:sz="4" w:space="0"/>
            </w:tcBorders>
            <w:vAlign w:val="center"/>
          </w:tcPr>
          <w:p w14:paraId="22F598B6">
            <w:r>
              <w:rPr>
                <w:rFonts w:hint="eastAsia"/>
              </w:rPr>
              <w:t>具备国家密码管理局商用密码检测中心颁发的商用密码产品认证证书</w:t>
            </w:r>
          </w:p>
        </w:tc>
      </w:tr>
    </w:tbl>
    <w:p w14:paraId="109CDD16"/>
    <w:p w14:paraId="6C608989">
      <w:pPr>
        <w:pStyle w:val="4"/>
      </w:pPr>
      <w:r>
        <w:rPr>
          <w:rFonts w:hint="eastAsia"/>
        </w:rPr>
        <w:t>密码服务管理平台</w:t>
      </w:r>
    </w:p>
    <w:tbl>
      <w:tblPr>
        <w:tblStyle w:val="23"/>
        <w:tblW w:w="9050" w:type="dxa"/>
        <w:jc w:val="center"/>
        <w:tblLayout w:type="autofit"/>
        <w:tblCellMar>
          <w:top w:w="0" w:type="dxa"/>
          <w:left w:w="108" w:type="dxa"/>
          <w:bottom w:w="0" w:type="dxa"/>
          <w:right w:w="108" w:type="dxa"/>
        </w:tblCellMar>
      </w:tblPr>
      <w:tblGrid>
        <w:gridCol w:w="739"/>
        <w:gridCol w:w="8311"/>
      </w:tblGrid>
      <w:tr w14:paraId="07F7AF2C">
        <w:tblPrEx>
          <w:tblCellMar>
            <w:top w:w="0" w:type="dxa"/>
            <w:left w:w="108" w:type="dxa"/>
            <w:bottom w:w="0" w:type="dxa"/>
            <w:right w:w="108" w:type="dxa"/>
          </w:tblCellMar>
        </w:tblPrEx>
        <w:trPr>
          <w:trHeight w:val="390" w:hRule="atLeast"/>
          <w:jc w:val="center"/>
        </w:trPr>
        <w:tc>
          <w:tcPr>
            <w:tcW w:w="739" w:type="dxa"/>
            <w:tcBorders>
              <w:top w:val="single" w:color="auto" w:sz="4" w:space="0"/>
              <w:left w:val="single" w:color="auto" w:sz="4" w:space="0"/>
              <w:bottom w:val="single" w:color="auto" w:sz="4" w:space="0"/>
              <w:right w:val="single" w:color="auto" w:sz="4" w:space="0"/>
            </w:tcBorders>
            <w:shd w:val="clear" w:color="auto" w:fill="auto"/>
            <w:vAlign w:val="bottom"/>
          </w:tcPr>
          <w:p w14:paraId="159BCF9E">
            <w:pPr>
              <w:rPr>
                <w:rFonts w:ascii="宋体" w:hAnsi="宋体" w:cs="宋体"/>
                <w:szCs w:val="21"/>
              </w:rPr>
            </w:pPr>
            <w:bookmarkStart w:id="8" w:name="OLE_LINK1"/>
            <w:r>
              <w:rPr>
                <w:rFonts w:hint="eastAsia"/>
              </w:rPr>
              <w:t>序号</w:t>
            </w:r>
          </w:p>
        </w:tc>
        <w:tc>
          <w:tcPr>
            <w:tcW w:w="8311" w:type="dxa"/>
            <w:tcBorders>
              <w:top w:val="single" w:color="auto" w:sz="4" w:space="0"/>
              <w:left w:val="nil"/>
              <w:bottom w:val="single" w:color="auto" w:sz="4" w:space="0"/>
              <w:right w:val="single" w:color="auto" w:sz="4" w:space="0"/>
            </w:tcBorders>
            <w:shd w:val="clear" w:color="auto" w:fill="auto"/>
            <w:vAlign w:val="center"/>
          </w:tcPr>
          <w:p w14:paraId="54BED48F">
            <w:pPr>
              <w:rPr>
                <w:rFonts w:ascii="宋体" w:hAnsi="宋体" w:cs="宋体"/>
              </w:rPr>
            </w:pPr>
            <w:r>
              <w:rPr>
                <w:rFonts w:hint="eastAsia"/>
              </w:rPr>
              <w:t>功能参数要求</w:t>
            </w:r>
          </w:p>
        </w:tc>
      </w:tr>
      <w:tr w14:paraId="1DBAB93A">
        <w:tblPrEx>
          <w:tblCellMar>
            <w:top w:w="0" w:type="dxa"/>
            <w:left w:w="108" w:type="dxa"/>
            <w:bottom w:w="0" w:type="dxa"/>
            <w:right w:w="108" w:type="dxa"/>
          </w:tblCellMar>
        </w:tblPrEx>
        <w:trPr>
          <w:trHeight w:val="390" w:hRule="atLeast"/>
          <w:jc w:val="center"/>
        </w:trPr>
        <w:tc>
          <w:tcPr>
            <w:tcW w:w="739" w:type="dxa"/>
            <w:tcBorders>
              <w:top w:val="single" w:color="auto" w:sz="4" w:space="0"/>
              <w:left w:val="single" w:color="auto" w:sz="4" w:space="0"/>
              <w:bottom w:val="single" w:color="auto" w:sz="4" w:space="0"/>
              <w:right w:val="single" w:color="auto" w:sz="4" w:space="0"/>
            </w:tcBorders>
            <w:shd w:val="clear" w:color="auto" w:fill="auto"/>
            <w:vAlign w:val="bottom"/>
          </w:tcPr>
          <w:p w14:paraId="55AE9CD1">
            <w:pPr>
              <w:rPr>
                <w:rFonts w:asciiTheme="minorEastAsia" w:hAnsiTheme="minorEastAsia" w:eastAsiaTheme="minorEastAsia" w:cstheme="minorEastAsia"/>
                <w:sz w:val="22"/>
              </w:rPr>
            </w:pPr>
            <w:r>
              <w:rPr>
                <w:rFonts w:hint="eastAsia"/>
              </w:rPr>
              <w:t>1</w:t>
            </w:r>
          </w:p>
        </w:tc>
        <w:tc>
          <w:tcPr>
            <w:tcW w:w="8311" w:type="dxa"/>
            <w:tcBorders>
              <w:top w:val="single" w:color="auto" w:sz="4" w:space="0"/>
              <w:left w:val="nil"/>
              <w:bottom w:val="single" w:color="auto" w:sz="4" w:space="0"/>
              <w:right w:val="single" w:color="auto" w:sz="4" w:space="0"/>
            </w:tcBorders>
            <w:shd w:val="clear" w:color="auto" w:fill="auto"/>
            <w:vAlign w:val="center"/>
          </w:tcPr>
          <w:p w14:paraId="11939D91">
            <w:pPr>
              <w:rPr>
                <w:rFonts w:asciiTheme="minorEastAsia" w:hAnsiTheme="minorEastAsia" w:eastAsiaTheme="minorEastAsia" w:cstheme="minorEastAsia"/>
                <w:b/>
                <w:bCs/>
              </w:rPr>
            </w:pPr>
            <w:r>
              <w:rPr>
                <w:rFonts w:hint="eastAsia"/>
              </w:rPr>
              <w:t>满足以下全部功能并支持全院业务系统密码应用安全性评估服务和管理需求。</w:t>
            </w:r>
          </w:p>
        </w:tc>
      </w:tr>
      <w:tr w14:paraId="070D13C5">
        <w:tblPrEx>
          <w:tblCellMar>
            <w:top w:w="0" w:type="dxa"/>
            <w:left w:w="108" w:type="dxa"/>
            <w:bottom w:w="0" w:type="dxa"/>
            <w:right w:w="108" w:type="dxa"/>
          </w:tblCellMar>
        </w:tblPrEx>
        <w:trPr>
          <w:trHeight w:val="390" w:hRule="atLeast"/>
          <w:jc w:val="center"/>
        </w:trPr>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14:paraId="2E8999E5">
            <w:pPr>
              <w:rPr>
                <w:rFonts w:asciiTheme="minorEastAsia" w:hAnsiTheme="minorEastAsia" w:eastAsiaTheme="minorEastAsia" w:cstheme="minorEastAsia"/>
                <w:sz w:val="22"/>
              </w:rPr>
            </w:pPr>
            <w:r>
              <w:rPr>
                <w:rFonts w:hint="eastAsia"/>
              </w:rPr>
              <w:t>2</w:t>
            </w:r>
          </w:p>
        </w:tc>
        <w:tc>
          <w:tcPr>
            <w:tcW w:w="8311" w:type="dxa"/>
            <w:tcBorders>
              <w:top w:val="single" w:color="auto" w:sz="4" w:space="0"/>
              <w:left w:val="nil"/>
              <w:bottom w:val="single" w:color="auto" w:sz="4" w:space="0"/>
              <w:right w:val="single" w:color="auto" w:sz="4" w:space="0"/>
            </w:tcBorders>
            <w:shd w:val="clear" w:color="auto" w:fill="auto"/>
            <w:vAlign w:val="center"/>
          </w:tcPr>
          <w:p w14:paraId="22FFE6E8">
            <w:r>
              <w:rPr>
                <w:rFonts w:hint="eastAsia"/>
              </w:rPr>
              <w:t>提供认证策略管理：用户首次接入认证的策略配置；访问策略配置：配置用户访问资源的策略，用户客户端策略配置；信任评估：实时评估用户访问行为，形成决策信息；策略联动：接入外部安全大脑，形成决策信息。</w:t>
            </w:r>
          </w:p>
        </w:tc>
      </w:tr>
      <w:tr w14:paraId="33E2B4DE">
        <w:tblPrEx>
          <w:tblCellMar>
            <w:top w:w="0" w:type="dxa"/>
            <w:left w:w="108" w:type="dxa"/>
            <w:bottom w:w="0" w:type="dxa"/>
            <w:right w:w="108" w:type="dxa"/>
          </w:tblCellMar>
        </w:tblPrEx>
        <w:trPr>
          <w:trHeight w:val="390" w:hRule="atLeast"/>
          <w:jc w:val="center"/>
        </w:trPr>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14:paraId="4D8D698E">
            <w:pPr>
              <w:rPr>
                <w:rFonts w:asciiTheme="minorEastAsia" w:hAnsiTheme="minorEastAsia" w:eastAsiaTheme="minorEastAsia" w:cstheme="minorEastAsia"/>
                <w:sz w:val="22"/>
              </w:rPr>
            </w:pPr>
            <w:r>
              <w:rPr>
                <w:rFonts w:hint="eastAsia"/>
              </w:rPr>
              <w:t>3</w:t>
            </w:r>
          </w:p>
        </w:tc>
        <w:tc>
          <w:tcPr>
            <w:tcW w:w="8311" w:type="dxa"/>
            <w:tcBorders>
              <w:top w:val="single" w:color="auto" w:sz="4" w:space="0"/>
              <w:left w:val="nil"/>
              <w:bottom w:val="single" w:color="auto" w:sz="4" w:space="0"/>
              <w:right w:val="single" w:color="auto" w:sz="4" w:space="0"/>
            </w:tcBorders>
            <w:shd w:val="clear" w:color="auto" w:fill="auto"/>
            <w:vAlign w:val="center"/>
          </w:tcPr>
          <w:p w14:paraId="2D5F6BD1">
            <w:r>
              <w:rPr>
                <w:rFonts w:hint="eastAsia"/>
              </w:rPr>
              <w:t>提供动态访问控制：基于上下文信息，对用户访问动作进行权限判定；挑战认证：用户访问敏感资源时，发起挑战认证；服务隐身：隐藏应用系统的对外端口，对外只提供传输网关和认证服务；单包敲门：利用SPA技术，打开服务隐藏端口，完成认证接入；传输加密：使用GM SSL协议，加密通讯数据；网络管控：根据网络访问规则，限制用户终端应用的网络接入能力。</w:t>
            </w:r>
          </w:p>
        </w:tc>
      </w:tr>
      <w:tr w14:paraId="496E59CA">
        <w:tblPrEx>
          <w:tblCellMar>
            <w:top w:w="0" w:type="dxa"/>
            <w:left w:w="108" w:type="dxa"/>
            <w:bottom w:w="0" w:type="dxa"/>
            <w:right w:w="108" w:type="dxa"/>
          </w:tblCellMar>
        </w:tblPrEx>
        <w:trPr>
          <w:trHeight w:val="390" w:hRule="atLeast"/>
          <w:jc w:val="center"/>
        </w:trPr>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14:paraId="05C3B04E">
            <w:pPr>
              <w:rPr>
                <w:rFonts w:asciiTheme="minorEastAsia" w:hAnsiTheme="minorEastAsia" w:eastAsiaTheme="minorEastAsia" w:cstheme="minorEastAsia"/>
                <w:sz w:val="22"/>
              </w:rPr>
            </w:pPr>
            <w:r>
              <w:rPr>
                <w:rFonts w:hint="eastAsia"/>
              </w:rPr>
              <w:t>4</w:t>
            </w:r>
          </w:p>
        </w:tc>
        <w:tc>
          <w:tcPr>
            <w:tcW w:w="8311" w:type="dxa"/>
            <w:tcBorders>
              <w:top w:val="single" w:color="auto" w:sz="4" w:space="0"/>
              <w:left w:val="nil"/>
              <w:bottom w:val="single" w:color="auto" w:sz="4" w:space="0"/>
              <w:right w:val="single" w:color="auto" w:sz="4" w:space="0"/>
            </w:tcBorders>
            <w:shd w:val="clear" w:color="auto" w:fill="auto"/>
            <w:vAlign w:val="center"/>
          </w:tcPr>
          <w:p w14:paraId="7677F414">
            <w:r>
              <w:rPr>
                <w:rFonts w:hint="eastAsia"/>
              </w:rPr>
              <w:t>支持算法自适应：根据客户端协议自动适配不同的算法证书；协议自适应：根据客户端协议自动选择不同的加密算法；用户认证：通过双向认证协议认证用户身份；多站点证书：可配置多个站点证书，不同的服务使用不同的站点证书。</w:t>
            </w:r>
          </w:p>
        </w:tc>
      </w:tr>
      <w:tr w14:paraId="7D1ADADB">
        <w:tblPrEx>
          <w:tblCellMar>
            <w:top w:w="0" w:type="dxa"/>
            <w:left w:w="108" w:type="dxa"/>
            <w:bottom w:w="0" w:type="dxa"/>
            <w:right w:w="108" w:type="dxa"/>
          </w:tblCellMar>
        </w:tblPrEx>
        <w:trPr>
          <w:trHeight w:val="390" w:hRule="atLeast"/>
          <w:jc w:val="center"/>
        </w:trPr>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14:paraId="20BB6B76">
            <w:pPr>
              <w:rPr>
                <w:rFonts w:asciiTheme="minorEastAsia" w:hAnsiTheme="minorEastAsia" w:eastAsiaTheme="minorEastAsia" w:cstheme="minorEastAsia"/>
                <w:sz w:val="22"/>
              </w:rPr>
            </w:pPr>
            <w:r>
              <w:rPr>
                <w:rFonts w:hint="eastAsia"/>
              </w:rPr>
              <w:t>5</w:t>
            </w:r>
          </w:p>
        </w:tc>
        <w:tc>
          <w:tcPr>
            <w:tcW w:w="8311" w:type="dxa"/>
            <w:tcBorders>
              <w:top w:val="single" w:color="auto" w:sz="4" w:space="0"/>
              <w:left w:val="nil"/>
              <w:bottom w:val="single" w:color="auto" w:sz="4" w:space="0"/>
              <w:right w:val="single" w:color="auto" w:sz="4" w:space="0"/>
            </w:tcBorders>
            <w:shd w:val="clear" w:color="auto" w:fill="auto"/>
            <w:vAlign w:val="center"/>
          </w:tcPr>
          <w:p w14:paraId="649BBB63">
            <w:r>
              <w:rPr>
                <w:rFonts w:hint="eastAsia"/>
              </w:rPr>
              <w:t>支持动态路由：不重启服务的情况下，使修改的API路由规则的实时生效；服务治理：根据代理服务的健康状态，动态转发请求；负载均衡：每个代理服务可配置多个实例，自动实现负载均衡；熔断限流：根据实时访问流量，自动限制访问频率，降低服务压力；认证鉴权：实现代理服务的统一鉴权。</w:t>
            </w:r>
          </w:p>
        </w:tc>
      </w:tr>
      <w:tr w14:paraId="649DC673">
        <w:tblPrEx>
          <w:tblCellMar>
            <w:top w:w="0" w:type="dxa"/>
            <w:left w:w="108" w:type="dxa"/>
            <w:bottom w:w="0" w:type="dxa"/>
            <w:right w:w="108" w:type="dxa"/>
          </w:tblCellMar>
        </w:tblPrEx>
        <w:trPr>
          <w:trHeight w:val="90" w:hRule="atLeast"/>
          <w:jc w:val="center"/>
        </w:trPr>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14:paraId="6647A936">
            <w:pPr>
              <w:rPr>
                <w:rFonts w:asciiTheme="minorEastAsia" w:hAnsiTheme="minorEastAsia" w:eastAsiaTheme="minorEastAsia" w:cstheme="minorEastAsia"/>
                <w:sz w:val="22"/>
              </w:rPr>
            </w:pPr>
            <w:r>
              <w:rPr>
                <w:rFonts w:hint="eastAsia"/>
              </w:rPr>
              <w:t>6</w:t>
            </w:r>
          </w:p>
        </w:tc>
        <w:tc>
          <w:tcPr>
            <w:tcW w:w="8311" w:type="dxa"/>
            <w:tcBorders>
              <w:top w:val="single" w:color="auto" w:sz="4" w:space="0"/>
              <w:left w:val="nil"/>
              <w:bottom w:val="single" w:color="auto" w:sz="4" w:space="0"/>
              <w:right w:val="single" w:color="auto" w:sz="4" w:space="0"/>
            </w:tcBorders>
            <w:shd w:val="clear" w:color="auto" w:fill="auto"/>
            <w:vAlign w:val="center"/>
          </w:tcPr>
          <w:p w14:paraId="3E17C4D9">
            <w:r>
              <w:rPr>
                <w:rFonts w:hint="eastAsia"/>
              </w:rPr>
              <w:t>支持接口画像功能：以图表的形式展示某个接口的性能指标、调用频率等；服务画像：以图表的形式展示某个服务的性能指标、调用频率等</w:t>
            </w:r>
          </w:p>
        </w:tc>
      </w:tr>
      <w:tr w14:paraId="41868B08">
        <w:tblPrEx>
          <w:tblCellMar>
            <w:top w:w="0" w:type="dxa"/>
            <w:left w:w="108" w:type="dxa"/>
            <w:bottom w:w="0" w:type="dxa"/>
            <w:right w:w="108" w:type="dxa"/>
          </w:tblCellMar>
        </w:tblPrEx>
        <w:trPr>
          <w:trHeight w:val="90" w:hRule="atLeast"/>
          <w:jc w:val="center"/>
        </w:trPr>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14:paraId="6AEA3565">
            <w:pPr>
              <w:rPr>
                <w:rFonts w:asciiTheme="minorEastAsia" w:hAnsiTheme="minorEastAsia" w:eastAsiaTheme="minorEastAsia" w:cstheme="minorEastAsia"/>
                <w:sz w:val="22"/>
              </w:rPr>
            </w:pPr>
            <w:r>
              <w:rPr>
                <w:rFonts w:hint="eastAsia"/>
              </w:rPr>
              <w:t>7</w:t>
            </w:r>
          </w:p>
        </w:tc>
        <w:tc>
          <w:tcPr>
            <w:tcW w:w="8311" w:type="dxa"/>
            <w:tcBorders>
              <w:top w:val="single" w:color="auto" w:sz="4" w:space="0"/>
              <w:left w:val="nil"/>
              <w:bottom w:val="single" w:color="auto" w:sz="4" w:space="0"/>
              <w:right w:val="single" w:color="auto" w:sz="4" w:space="0"/>
            </w:tcBorders>
            <w:shd w:val="clear" w:color="auto" w:fill="auto"/>
            <w:vAlign w:val="center"/>
          </w:tcPr>
          <w:p w14:paraId="0B914B0E">
            <w:r>
              <w:rPr>
                <w:rFonts w:hint="eastAsia"/>
              </w:rPr>
              <w:t>提供仿真测试环境为方便应用系统的加载测试、密码设备的调整测试、专项密码应用的定制开发测试、以及平台本身的升级维护测试等需要。</w:t>
            </w:r>
          </w:p>
        </w:tc>
      </w:tr>
      <w:tr w14:paraId="4DF52BCD">
        <w:tblPrEx>
          <w:tblCellMar>
            <w:top w:w="0" w:type="dxa"/>
            <w:left w:w="108" w:type="dxa"/>
            <w:bottom w:w="0" w:type="dxa"/>
            <w:right w:w="108" w:type="dxa"/>
          </w:tblCellMar>
        </w:tblPrEx>
        <w:trPr>
          <w:trHeight w:val="90" w:hRule="atLeast"/>
          <w:jc w:val="center"/>
        </w:trPr>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14:paraId="3A605DDF">
            <w:pPr>
              <w:rPr>
                <w:rFonts w:asciiTheme="minorEastAsia" w:hAnsiTheme="minorEastAsia" w:eastAsiaTheme="minorEastAsia" w:cstheme="minorEastAsia"/>
                <w:sz w:val="22"/>
              </w:rPr>
            </w:pPr>
            <w:r>
              <w:rPr>
                <w:rFonts w:hint="eastAsia"/>
              </w:rPr>
              <w:t>8</w:t>
            </w:r>
          </w:p>
        </w:tc>
        <w:tc>
          <w:tcPr>
            <w:tcW w:w="8311" w:type="dxa"/>
            <w:tcBorders>
              <w:top w:val="single" w:color="auto" w:sz="4" w:space="0"/>
              <w:left w:val="nil"/>
              <w:bottom w:val="single" w:color="auto" w:sz="4" w:space="0"/>
              <w:right w:val="single" w:color="auto" w:sz="4" w:space="0"/>
            </w:tcBorders>
            <w:shd w:val="clear" w:color="auto" w:fill="auto"/>
            <w:vAlign w:val="center"/>
          </w:tcPr>
          <w:p w14:paraId="27ACAE40">
            <w:r>
              <w:rPr>
                <w:rFonts w:hint="eastAsia"/>
              </w:rPr>
              <w:t>提供开发者指南统一提供开放的一体化开发仿真环境和开发指南。</w:t>
            </w:r>
          </w:p>
        </w:tc>
      </w:tr>
      <w:tr w14:paraId="09F36DD2">
        <w:tblPrEx>
          <w:tblCellMar>
            <w:top w:w="0" w:type="dxa"/>
            <w:left w:w="108" w:type="dxa"/>
            <w:bottom w:w="0" w:type="dxa"/>
            <w:right w:w="108" w:type="dxa"/>
          </w:tblCellMar>
        </w:tblPrEx>
        <w:trPr>
          <w:trHeight w:val="90" w:hRule="atLeast"/>
          <w:jc w:val="center"/>
        </w:trPr>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14:paraId="2CB44A08">
            <w:pPr>
              <w:rPr>
                <w:rFonts w:asciiTheme="minorEastAsia" w:hAnsiTheme="minorEastAsia" w:eastAsiaTheme="minorEastAsia" w:cstheme="minorEastAsia"/>
                <w:sz w:val="22"/>
              </w:rPr>
            </w:pPr>
            <w:r>
              <w:rPr>
                <w:rFonts w:hint="eastAsia"/>
              </w:rPr>
              <w:t>9</w:t>
            </w:r>
          </w:p>
        </w:tc>
        <w:tc>
          <w:tcPr>
            <w:tcW w:w="8311" w:type="dxa"/>
            <w:tcBorders>
              <w:top w:val="single" w:color="auto" w:sz="4" w:space="0"/>
              <w:left w:val="nil"/>
              <w:bottom w:val="single" w:color="auto" w:sz="4" w:space="0"/>
              <w:right w:val="single" w:color="auto" w:sz="4" w:space="0"/>
            </w:tcBorders>
            <w:shd w:val="clear" w:color="auto" w:fill="auto"/>
            <w:vAlign w:val="center"/>
          </w:tcPr>
          <w:p w14:paraId="5CAD02AC">
            <w:r>
              <w:rPr>
                <w:rFonts w:hint="eastAsia"/>
              </w:rPr>
              <w:t>配套基于密码安全认证的零信任客户端，支持Windows版、Linux版、Android版、IOS版。</w:t>
            </w:r>
          </w:p>
        </w:tc>
      </w:tr>
      <w:tr w14:paraId="0005FCFA">
        <w:tblPrEx>
          <w:tblCellMar>
            <w:top w:w="0" w:type="dxa"/>
            <w:left w:w="108" w:type="dxa"/>
            <w:bottom w:w="0" w:type="dxa"/>
            <w:right w:w="108" w:type="dxa"/>
          </w:tblCellMar>
        </w:tblPrEx>
        <w:trPr>
          <w:trHeight w:val="390"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1DA6D1C3">
            <w:r>
              <w:rPr>
                <w:rFonts w:hint="eastAsia"/>
              </w:rPr>
              <w:t>10</w:t>
            </w:r>
          </w:p>
        </w:tc>
        <w:tc>
          <w:tcPr>
            <w:tcW w:w="8311" w:type="dxa"/>
            <w:tcBorders>
              <w:top w:val="nil"/>
              <w:left w:val="nil"/>
              <w:bottom w:val="single" w:color="auto" w:sz="4" w:space="0"/>
              <w:right w:val="single" w:color="auto" w:sz="4" w:space="0"/>
            </w:tcBorders>
            <w:shd w:val="clear" w:color="auto" w:fill="auto"/>
            <w:vAlign w:val="center"/>
          </w:tcPr>
          <w:p w14:paraId="6A052A94">
            <w:r>
              <w:rPr>
                <w:rFonts w:hint="eastAsia"/>
              </w:rPr>
              <w:t>提供密码评分数据展示：能够查看所有业务系统的评分结果，每个测评单元得分情况，并按照评测结果给出相应的整改意见。</w:t>
            </w:r>
            <w:r>
              <w:rPr>
                <w:rFonts w:hint="eastAsia" w:cs="Calibri"/>
                <w:color w:val="000000"/>
              </w:rPr>
              <w:t>（提供产品功能截图）</w:t>
            </w:r>
          </w:p>
        </w:tc>
      </w:tr>
      <w:tr w14:paraId="7A6FAA3D">
        <w:tblPrEx>
          <w:tblCellMar>
            <w:top w:w="0" w:type="dxa"/>
            <w:left w:w="108" w:type="dxa"/>
            <w:bottom w:w="0" w:type="dxa"/>
            <w:right w:w="108" w:type="dxa"/>
          </w:tblCellMar>
        </w:tblPrEx>
        <w:trPr>
          <w:trHeight w:val="390"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1DE132F8">
            <w:r>
              <w:rPr>
                <w:rFonts w:hint="eastAsia"/>
              </w:rPr>
              <w:t>11</w:t>
            </w:r>
          </w:p>
        </w:tc>
        <w:tc>
          <w:tcPr>
            <w:tcW w:w="8311" w:type="dxa"/>
            <w:tcBorders>
              <w:top w:val="nil"/>
              <w:left w:val="nil"/>
              <w:bottom w:val="single" w:color="auto" w:sz="4" w:space="0"/>
              <w:right w:val="single" w:color="auto" w:sz="4" w:space="0"/>
            </w:tcBorders>
            <w:shd w:val="clear" w:color="auto" w:fill="auto"/>
            <w:vAlign w:val="center"/>
          </w:tcPr>
          <w:p w14:paraId="41BA77CF">
            <w:r>
              <w:rPr>
                <w:rFonts w:hint="eastAsia"/>
              </w:rPr>
              <w:t>提供监控大屏展示：实时展示平台用户、设备、业务、评估结果等业务数据。</w:t>
            </w:r>
          </w:p>
        </w:tc>
      </w:tr>
      <w:tr w14:paraId="40DF584D">
        <w:tblPrEx>
          <w:tblCellMar>
            <w:top w:w="0" w:type="dxa"/>
            <w:left w:w="108" w:type="dxa"/>
            <w:bottom w:w="0" w:type="dxa"/>
            <w:right w:w="108" w:type="dxa"/>
          </w:tblCellMar>
        </w:tblPrEx>
        <w:trPr>
          <w:trHeight w:val="390"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22379A8E">
            <w:r>
              <w:rPr>
                <w:rFonts w:hint="eastAsia"/>
              </w:rPr>
              <w:t>12</w:t>
            </w:r>
          </w:p>
        </w:tc>
        <w:tc>
          <w:tcPr>
            <w:tcW w:w="8311" w:type="dxa"/>
            <w:tcBorders>
              <w:top w:val="nil"/>
              <w:left w:val="nil"/>
              <w:bottom w:val="single" w:color="auto" w:sz="4" w:space="0"/>
              <w:right w:val="single" w:color="auto" w:sz="4" w:space="0"/>
            </w:tcBorders>
            <w:shd w:val="clear" w:color="auto" w:fill="auto"/>
            <w:vAlign w:val="center"/>
          </w:tcPr>
          <w:p w14:paraId="4CFECADD">
            <w:r>
              <w:rPr>
                <w:rFonts w:ascii="宋体" w:hAnsi="宋体" w:cs="宋体"/>
                <w:color w:val="000000"/>
                <w:spacing w:val="7"/>
                <w:sz w:val="24"/>
              </w:rPr>
              <w:t>▲</w:t>
            </w:r>
            <w:r>
              <w:rPr>
                <w:rFonts w:hint="eastAsia"/>
              </w:rPr>
              <w:t>提供设备网络拓扑图，能够根据设备数据，实时构建网络拓扑图，能够查看数据流向，查看设备监控状态，硬件基本信息、设备基本信息等。</w:t>
            </w:r>
            <w:r>
              <w:rPr>
                <w:rFonts w:hint="eastAsia" w:cs="Calibri"/>
              </w:rPr>
              <w:t>（提供产品功能截图）</w:t>
            </w:r>
          </w:p>
        </w:tc>
      </w:tr>
      <w:tr w14:paraId="5720FCD6">
        <w:tblPrEx>
          <w:tblCellMar>
            <w:top w:w="0" w:type="dxa"/>
            <w:left w:w="108" w:type="dxa"/>
            <w:bottom w:w="0" w:type="dxa"/>
            <w:right w:w="108" w:type="dxa"/>
          </w:tblCellMar>
        </w:tblPrEx>
        <w:trPr>
          <w:trHeight w:val="390"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01C45DDB">
            <w:r>
              <w:rPr>
                <w:rFonts w:hint="eastAsia"/>
              </w:rPr>
              <w:t>13</w:t>
            </w:r>
          </w:p>
        </w:tc>
        <w:tc>
          <w:tcPr>
            <w:tcW w:w="8311" w:type="dxa"/>
            <w:tcBorders>
              <w:top w:val="nil"/>
              <w:left w:val="nil"/>
              <w:bottom w:val="single" w:color="auto" w:sz="4" w:space="0"/>
              <w:right w:val="single" w:color="auto" w:sz="4" w:space="0"/>
            </w:tcBorders>
            <w:shd w:val="clear" w:color="auto" w:fill="auto"/>
            <w:vAlign w:val="center"/>
          </w:tcPr>
          <w:p w14:paraId="418774BD">
            <w:r>
              <w:rPr>
                <w:rFonts w:hint="eastAsia"/>
              </w:rPr>
              <w:t>提供密码设备管理，提供对设备数据增、删、改、查属性；提供按照产品方向，产品类型、硬件类型分类管理设备</w:t>
            </w:r>
          </w:p>
        </w:tc>
      </w:tr>
      <w:tr w14:paraId="10ACEA0C">
        <w:tblPrEx>
          <w:tblCellMar>
            <w:top w:w="0" w:type="dxa"/>
            <w:left w:w="108" w:type="dxa"/>
            <w:bottom w:w="0" w:type="dxa"/>
            <w:right w:w="108" w:type="dxa"/>
          </w:tblCellMar>
        </w:tblPrEx>
        <w:trPr>
          <w:trHeight w:val="390"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3DE83056">
            <w:r>
              <w:rPr>
                <w:rFonts w:hint="eastAsia"/>
              </w:rPr>
              <w:t>14</w:t>
            </w:r>
          </w:p>
        </w:tc>
        <w:tc>
          <w:tcPr>
            <w:tcW w:w="8311" w:type="dxa"/>
            <w:tcBorders>
              <w:top w:val="nil"/>
              <w:left w:val="nil"/>
              <w:bottom w:val="single" w:color="auto" w:sz="4" w:space="0"/>
              <w:right w:val="single" w:color="auto" w:sz="4" w:space="0"/>
            </w:tcBorders>
            <w:shd w:val="clear" w:color="auto" w:fill="auto"/>
            <w:vAlign w:val="center"/>
          </w:tcPr>
          <w:p w14:paraId="3F9D3C80">
            <w:r>
              <w:rPr>
                <w:rFonts w:hint="eastAsia"/>
              </w:rPr>
              <w:t>提供密码设备监控，能够实时监控设备CPU、内存、Sys Load、网络、磁盘等数据，并以图表的形式展示出来；提供监控密码设备主机情况，状态异常时，主动下线。提供产品功能截图。</w:t>
            </w:r>
          </w:p>
        </w:tc>
      </w:tr>
      <w:tr w14:paraId="15BB70CE">
        <w:tblPrEx>
          <w:tblCellMar>
            <w:top w:w="0" w:type="dxa"/>
            <w:left w:w="108" w:type="dxa"/>
            <w:bottom w:w="0" w:type="dxa"/>
            <w:right w:w="108" w:type="dxa"/>
          </w:tblCellMar>
        </w:tblPrEx>
        <w:trPr>
          <w:trHeight w:val="390"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2F1B119F">
            <w:r>
              <w:rPr>
                <w:rFonts w:hint="eastAsia"/>
              </w:rPr>
              <w:t>15</w:t>
            </w:r>
          </w:p>
        </w:tc>
        <w:tc>
          <w:tcPr>
            <w:tcW w:w="8311" w:type="dxa"/>
            <w:tcBorders>
              <w:top w:val="nil"/>
              <w:left w:val="nil"/>
              <w:bottom w:val="single" w:color="auto" w:sz="4" w:space="0"/>
              <w:right w:val="single" w:color="auto" w:sz="4" w:space="0"/>
            </w:tcBorders>
            <w:shd w:val="clear" w:color="auto" w:fill="auto"/>
            <w:vAlign w:val="center"/>
          </w:tcPr>
          <w:p w14:paraId="3CAAEA16">
            <w:r>
              <w:rPr>
                <w:rFonts w:hint="eastAsia"/>
              </w:rPr>
              <w:t>提供密码服务管理，提供对服务数据增、删、改、查属性、状态管理、与接口关联等；</w:t>
            </w:r>
          </w:p>
        </w:tc>
      </w:tr>
      <w:tr w14:paraId="6E675C4F">
        <w:tblPrEx>
          <w:tblCellMar>
            <w:top w:w="0" w:type="dxa"/>
            <w:left w:w="108" w:type="dxa"/>
            <w:bottom w:w="0" w:type="dxa"/>
            <w:right w:w="108" w:type="dxa"/>
          </w:tblCellMar>
        </w:tblPrEx>
        <w:trPr>
          <w:trHeight w:val="390"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65ED0E13">
            <w:r>
              <w:rPr>
                <w:rFonts w:hint="eastAsia"/>
              </w:rPr>
              <w:t>16</w:t>
            </w:r>
          </w:p>
        </w:tc>
        <w:tc>
          <w:tcPr>
            <w:tcW w:w="8311" w:type="dxa"/>
            <w:tcBorders>
              <w:top w:val="nil"/>
              <w:left w:val="nil"/>
              <w:bottom w:val="single" w:color="auto" w:sz="4" w:space="0"/>
              <w:right w:val="single" w:color="auto" w:sz="4" w:space="0"/>
            </w:tcBorders>
            <w:shd w:val="clear" w:color="auto" w:fill="auto"/>
            <w:vAlign w:val="center"/>
          </w:tcPr>
          <w:p w14:paraId="5974BEF7">
            <w:r>
              <w:rPr>
                <w:rFonts w:hint="eastAsia"/>
              </w:rPr>
              <w:t>提供密码服务关联密码设备，能够实现不同设备间的负载均衡，也可根据权重配置负载方式，提供在不停机的情况下，实时添加负载设备，实现动态扩容</w:t>
            </w:r>
          </w:p>
        </w:tc>
      </w:tr>
      <w:tr w14:paraId="3B74C052">
        <w:tblPrEx>
          <w:tblCellMar>
            <w:top w:w="0" w:type="dxa"/>
            <w:left w:w="108" w:type="dxa"/>
            <w:bottom w:w="0" w:type="dxa"/>
            <w:right w:w="108" w:type="dxa"/>
          </w:tblCellMar>
        </w:tblPrEx>
        <w:trPr>
          <w:trHeight w:val="390"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36FCFFEA">
            <w:r>
              <w:rPr>
                <w:rFonts w:hint="eastAsia"/>
              </w:rPr>
              <w:t>17</w:t>
            </w:r>
          </w:p>
        </w:tc>
        <w:tc>
          <w:tcPr>
            <w:tcW w:w="8311" w:type="dxa"/>
            <w:tcBorders>
              <w:top w:val="nil"/>
              <w:left w:val="nil"/>
              <w:bottom w:val="single" w:color="auto" w:sz="4" w:space="0"/>
              <w:right w:val="single" w:color="auto" w:sz="4" w:space="0"/>
            </w:tcBorders>
            <w:shd w:val="clear" w:color="auto" w:fill="auto"/>
            <w:vAlign w:val="center"/>
          </w:tcPr>
          <w:p w14:paraId="48C93570">
            <w:r>
              <w:rPr>
                <w:rFonts w:ascii="宋体" w:hAnsi="宋体" w:cs="宋体"/>
                <w:color w:val="000000"/>
                <w:spacing w:val="7"/>
                <w:sz w:val="24"/>
              </w:rPr>
              <w:t>▲</w:t>
            </w:r>
            <w:r>
              <w:rPr>
                <w:rFonts w:hint="eastAsia"/>
              </w:rPr>
              <w:t>提供密码服务动态路由，能够在后台灵活配置服务监听路径，代理路径，灵活实现服务的动态路由。</w:t>
            </w:r>
            <w:r>
              <w:rPr>
                <w:rFonts w:hint="eastAsia" w:cs="Calibri"/>
              </w:rPr>
              <w:t>（提供产品功能截图）</w:t>
            </w:r>
            <w:r>
              <w:rPr>
                <w:rFonts w:hint="eastAsia"/>
              </w:rPr>
              <w:t>。</w:t>
            </w:r>
          </w:p>
        </w:tc>
      </w:tr>
      <w:tr w14:paraId="5D967206">
        <w:tblPrEx>
          <w:tblCellMar>
            <w:top w:w="0" w:type="dxa"/>
            <w:left w:w="108" w:type="dxa"/>
            <w:bottom w:w="0" w:type="dxa"/>
            <w:right w:w="108" w:type="dxa"/>
          </w:tblCellMar>
        </w:tblPrEx>
        <w:trPr>
          <w:trHeight w:val="390"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2036211A">
            <w:r>
              <w:rPr>
                <w:rFonts w:hint="eastAsia"/>
              </w:rPr>
              <w:t>18</w:t>
            </w:r>
          </w:p>
        </w:tc>
        <w:tc>
          <w:tcPr>
            <w:tcW w:w="8311" w:type="dxa"/>
            <w:tcBorders>
              <w:top w:val="nil"/>
              <w:left w:val="nil"/>
              <w:bottom w:val="single" w:color="auto" w:sz="4" w:space="0"/>
              <w:right w:val="single" w:color="auto" w:sz="4" w:space="0"/>
            </w:tcBorders>
            <w:shd w:val="clear" w:color="auto" w:fill="auto"/>
            <w:vAlign w:val="center"/>
          </w:tcPr>
          <w:p w14:paraId="1ABAA483">
            <w:r>
              <w:rPr>
                <w:rFonts w:hint="eastAsia"/>
              </w:rPr>
              <w:t>提供密码服务的远程部署，能够在管理平台上传部署包，实现服务的远程部署</w:t>
            </w:r>
          </w:p>
        </w:tc>
      </w:tr>
      <w:tr w14:paraId="0E1E5373">
        <w:tblPrEx>
          <w:tblCellMar>
            <w:top w:w="0" w:type="dxa"/>
            <w:left w:w="108" w:type="dxa"/>
            <w:bottom w:w="0" w:type="dxa"/>
            <w:right w:w="108" w:type="dxa"/>
          </w:tblCellMar>
        </w:tblPrEx>
        <w:trPr>
          <w:trHeight w:val="390"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78F2C8DC">
            <w:r>
              <w:rPr>
                <w:rFonts w:hint="eastAsia"/>
              </w:rPr>
              <w:t>19</w:t>
            </w:r>
          </w:p>
        </w:tc>
        <w:tc>
          <w:tcPr>
            <w:tcW w:w="8311" w:type="dxa"/>
            <w:tcBorders>
              <w:top w:val="nil"/>
              <w:left w:val="nil"/>
              <w:bottom w:val="single" w:color="auto" w:sz="4" w:space="0"/>
              <w:right w:val="single" w:color="auto" w:sz="4" w:space="0"/>
            </w:tcBorders>
            <w:shd w:val="clear" w:color="auto" w:fill="auto"/>
            <w:vAlign w:val="center"/>
          </w:tcPr>
          <w:p w14:paraId="6A1E3646">
            <w:r>
              <w:rPr>
                <w:rFonts w:hint="eastAsia"/>
              </w:rPr>
              <w:t>提供密码接口管理，提供对服务数据增、删、改、查属性、状态管理、与密码服务关联等</w:t>
            </w:r>
          </w:p>
        </w:tc>
      </w:tr>
      <w:tr w14:paraId="75211D50">
        <w:tblPrEx>
          <w:tblCellMar>
            <w:top w:w="0" w:type="dxa"/>
            <w:left w:w="108" w:type="dxa"/>
            <w:bottom w:w="0" w:type="dxa"/>
            <w:right w:w="108" w:type="dxa"/>
          </w:tblCellMar>
        </w:tblPrEx>
        <w:trPr>
          <w:trHeight w:val="390"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3AA1B57E">
            <w:r>
              <w:rPr>
                <w:rFonts w:hint="eastAsia"/>
              </w:rPr>
              <w:t>20</w:t>
            </w:r>
          </w:p>
        </w:tc>
        <w:tc>
          <w:tcPr>
            <w:tcW w:w="8311" w:type="dxa"/>
            <w:tcBorders>
              <w:top w:val="nil"/>
              <w:left w:val="nil"/>
              <w:bottom w:val="single" w:color="auto" w:sz="4" w:space="0"/>
              <w:right w:val="single" w:color="auto" w:sz="4" w:space="0"/>
            </w:tcBorders>
            <w:shd w:val="clear" w:color="auto" w:fill="auto"/>
            <w:vAlign w:val="center"/>
          </w:tcPr>
          <w:p w14:paraId="4B694FEB">
            <w:r>
              <w:rPr>
                <w:rFonts w:hint="eastAsia"/>
              </w:rPr>
              <w:t>提供密码接口画像，能够查看某个密码接口的调用情况，按照时间维度的调用曲线，调用耗时统计、调用结果统计等。</w:t>
            </w:r>
            <w:r>
              <w:rPr>
                <w:rFonts w:hint="eastAsia" w:cs="Calibri"/>
              </w:rPr>
              <w:t>（提供产品功能截图）</w:t>
            </w:r>
          </w:p>
        </w:tc>
      </w:tr>
      <w:tr w14:paraId="11A5D2FF">
        <w:tblPrEx>
          <w:tblCellMar>
            <w:top w:w="0" w:type="dxa"/>
            <w:left w:w="108" w:type="dxa"/>
            <w:bottom w:w="0" w:type="dxa"/>
            <w:right w:w="108" w:type="dxa"/>
          </w:tblCellMar>
        </w:tblPrEx>
        <w:trPr>
          <w:trHeight w:val="390"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5DE0B104">
            <w:r>
              <w:rPr>
                <w:rFonts w:hint="eastAsia"/>
              </w:rPr>
              <w:t>21</w:t>
            </w:r>
          </w:p>
        </w:tc>
        <w:tc>
          <w:tcPr>
            <w:tcW w:w="8311" w:type="dxa"/>
            <w:tcBorders>
              <w:top w:val="nil"/>
              <w:left w:val="nil"/>
              <w:bottom w:val="single" w:color="auto" w:sz="4" w:space="0"/>
              <w:right w:val="single" w:color="auto" w:sz="4" w:space="0"/>
            </w:tcBorders>
            <w:shd w:val="clear" w:color="auto" w:fill="auto"/>
            <w:vAlign w:val="center"/>
          </w:tcPr>
          <w:p w14:paraId="193C13F4">
            <w:r>
              <w:rPr>
                <w:rFonts w:hint="eastAsia"/>
              </w:rPr>
              <w:t>提供服务分组管理，提供按照业务用途，服务类型将密码服务、密码接口灵活分组，便于权限管理。</w:t>
            </w:r>
            <w:r>
              <w:rPr>
                <w:rFonts w:hint="eastAsia" w:cs="Calibri"/>
              </w:rPr>
              <w:t>（提供产品功能截图）</w:t>
            </w:r>
          </w:p>
        </w:tc>
      </w:tr>
      <w:tr w14:paraId="28BDE5C5">
        <w:tblPrEx>
          <w:tblCellMar>
            <w:top w:w="0" w:type="dxa"/>
            <w:left w:w="108" w:type="dxa"/>
            <w:bottom w:w="0" w:type="dxa"/>
            <w:right w:w="108" w:type="dxa"/>
          </w:tblCellMar>
        </w:tblPrEx>
        <w:trPr>
          <w:trHeight w:val="390" w:hRule="atLeast"/>
          <w:jc w:val="center"/>
        </w:trPr>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14:paraId="5DD01408">
            <w:r>
              <w:rPr>
                <w:rFonts w:hint="eastAsia"/>
              </w:rPr>
              <w:t>22</w:t>
            </w:r>
          </w:p>
        </w:tc>
        <w:tc>
          <w:tcPr>
            <w:tcW w:w="8311" w:type="dxa"/>
            <w:tcBorders>
              <w:top w:val="single" w:color="auto" w:sz="4" w:space="0"/>
              <w:left w:val="nil"/>
              <w:bottom w:val="single" w:color="auto" w:sz="4" w:space="0"/>
              <w:right w:val="single" w:color="auto" w:sz="4" w:space="0"/>
            </w:tcBorders>
            <w:shd w:val="clear" w:color="auto" w:fill="auto"/>
            <w:vAlign w:val="center"/>
          </w:tcPr>
          <w:p w14:paraId="12905FD2">
            <w:r>
              <w:rPr>
                <w:rFonts w:hint="eastAsia"/>
              </w:rPr>
              <w:t>提供访问策略管理，能够按照IP黑白名单、访问频率（秒、分、小时、天多个细粒度）、访问时间、请求体大小、服务组等多个维度管控业务系统调用密码服务，实现灵活的访问控制配置。</w:t>
            </w:r>
            <w:r>
              <w:rPr>
                <w:rFonts w:hint="eastAsia" w:cs="Calibri"/>
              </w:rPr>
              <w:t>（提供产品功能截图）</w:t>
            </w:r>
          </w:p>
        </w:tc>
      </w:tr>
      <w:tr w14:paraId="63E6C956">
        <w:tblPrEx>
          <w:tblCellMar>
            <w:top w:w="0" w:type="dxa"/>
            <w:left w:w="108" w:type="dxa"/>
            <w:bottom w:w="0" w:type="dxa"/>
            <w:right w:w="108" w:type="dxa"/>
          </w:tblCellMar>
        </w:tblPrEx>
        <w:trPr>
          <w:trHeight w:val="390"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115FF03E">
            <w:r>
              <w:rPr>
                <w:rFonts w:hint="eastAsia"/>
              </w:rPr>
              <w:t>23</w:t>
            </w:r>
          </w:p>
        </w:tc>
        <w:tc>
          <w:tcPr>
            <w:tcW w:w="8311" w:type="dxa"/>
            <w:tcBorders>
              <w:top w:val="nil"/>
              <w:left w:val="nil"/>
              <w:bottom w:val="single" w:color="auto" w:sz="4" w:space="0"/>
              <w:right w:val="single" w:color="auto" w:sz="4" w:space="0"/>
            </w:tcBorders>
            <w:shd w:val="clear" w:color="auto" w:fill="auto"/>
            <w:vAlign w:val="center"/>
          </w:tcPr>
          <w:p w14:paraId="28BA50F4">
            <w:r>
              <w:rPr>
                <w:rFonts w:hint="eastAsia"/>
              </w:rPr>
              <w:t>提供用户统一管理，提供按照机构、唯一标识、姓名、手机号、证件号、认证状态、用户状态查询用户数据；提供配置分类字段；</w:t>
            </w:r>
          </w:p>
        </w:tc>
      </w:tr>
      <w:tr w14:paraId="24370046">
        <w:tblPrEx>
          <w:tblCellMar>
            <w:top w:w="0" w:type="dxa"/>
            <w:left w:w="108" w:type="dxa"/>
            <w:bottom w:w="0" w:type="dxa"/>
            <w:right w:w="108" w:type="dxa"/>
          </w:tblCellMar>
        </w:tblPrEx>
        <w:trPr>
          <w:trHeight w:val="390"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5AA9A367">
            <w:r>
              <w:rPr>
                <w:rFonts w:hint="eastAsia"/>
              </w:rPr>
              <w:t>24</w:t>
            </w:r>
          </w:p>
        </w:tc>
        <w:tc>
          <w:tcPr>
            <w:tcW w:w="8311" w:type="dxa"/>
            <w:tcBorders>
              <w:top w:val="nil"/>
              <w:left w:val="nil"/>
              <w:bottom w:val="single" w:color="auto" w:sz="4" w:space="0"/>
              <w:right w:val="single" w:color="auto" w:sz="4" w:space="0"/>
            </w:tcBorders>
            <w:shd w:val="clear" w:color="auto" w:fill="auto"/>
            <w:vAlign w:val="center"/>
          </w:tcPr>
          <w:p w14:paraId="0D3E59F4">
            <w:r>
              <w:rPr>
                <w:rFonts w:hint="eastAsia"/>
              </w:rPr>
              <w:t>提供用户同步，能够通过配置，将密码设备中的所有用户数据同步到平台，统一管理，密码设备中的用户数据修改时，平台的用户数据会同步修改</w:t>
            </w:r>
          </w:p>
        </w:tc>
      </w:tr>
      <w:tr w14:paraId="2E941957">
        <w:tblPrEx>
          <w:tblCellMar>
            <w:top w:w="0" w:type="dxa"/>
            <w:left w:w="108" w:type="dxa"/>
            <w:bottom w:w="0" w:type="dxa"/>
            <w:right w:w="108" w:type="dxa"/>
          </w:tblCellMar>
        </w:tblPrEx>
        <w:trPr>
          <w:trHeight w:val="390"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6AFB693A">
            <w:r>
              <w:rPr>
                <w:rFonts w:hint="eastAsia"/>
              </w:rPr>
              <w:t>25</w:t>
            </w:r>
          </w:p>
        </w:tc>
        <w:tc>
          <w:tcPr>
            <w:tcW w:w="8311" w:type="dxa"/>
            <w:tcBorders>
              <w:top w:val="nil"/>
              <w:left w:val="nil"/>
              <w:bottom w:val="single" w:color="auto" w:sz="4" w:space="0"/>
              <w:right w:val="single" w:color="auto" w:sz="4" w:space="0"/>
            </w:tcBorders>
            <w:shd w:val="clear" w:color="auto" w:fill="auto"/>
            <w:vAlign w:val="center"/>
          </w:tcPr>
          <w:p w14:paraId="5E153989">
            <w:r>
              <w:rPr>
                <w:rFonts w:hint="eastAsia"/>
              </w:rPr>
              <w:t>提供业务系统管理，提供对业务系统数据增、删、改、查属性、状态管理、关联访问策略等</w:t>
            </w:r>
          </w:p>
        </w:tc>
      </w:tr>
      <w:tr w14:paraId="30CD1644">
        <w:tblPrEx>
          <w:tblCellMar>
            <w:top w:w="0" w:type="dxa"/>
            <w:left w:w="108" w:type="dxa"/>
            <w:bottom w:w="0" w:type="dxa"/>
            <w:right w:w="108" w:type="dxa"/>
          </w:tblCellMar>
        </w:tblPrEx>
        <w:trPr>
          <w:trHeight w:val="390"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108F7083">
            <w:r>
              <w:rPr>
                <w:rFonts w:hint="eastAsia"/>
              </w:rPr>
              <w:t>26</w:t>
            </w:r>
          </w:p>
        </w:tc>
        <w:tc>
          <w:tcPr>
            <w:tcW w:w="8311" w:type="dxa"/>
            <w:tcBorders>
              <w:top w:val="nil"/>
              <w:left w:val="nil"/>
              <w:bottom w:val="single" w:color="auto" w:sz="4" w:space="0"/>
              <w:right w:val="single" w:color="auto" w:sz="4" w:space="0"/>
            </w:tcBorders>
            <w:shd w:val="clear" w:color="auto" w:fill="auto"/>
            <w:vAlign w:val="center"/>
          </w:tcPr>
          <w:p w14:paraId="66E8528E">
            <w:r>
              <w:rPr>
                <w:rFonts w:hint="eastAsia"/>
              </w:rPr>
              <w:t>提供多种鉴权方式，能够为不同的业务系统配置不同的鉴权方式，鉴权方式包括账号密码，数据签名，HMAC签名等</w:t>
            </w:r>
          </w:p>
        </w:tc>
      </w:tr>
      <w:tr w14:paraId="6226B46A">
        <w:tblPrEx>
          <w:tblCellMar>
            <w:top w:w="0" w:type="dxa"/>
            <w:left w:w="108" w:type="dxa"/>
            <w:bottom w:w="0" w:type="dxa"/>
            <w:right w:w="108" w:type="dxa"/>
          </w:tblCellMar>
        </w:tblPrEx>
        <w:trPr>
          <w:trHeight w:val="390"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0D9CD81D">
            <w:r>
              <w:rPr>
                <w:rFonts w:hint="eastAsia"/>
              </w:rPr>
              <w:t>27</w:t>
            </w:r>
          </w:p>
        </w:tc>
        <w:tc>
          <w:tcPr>
            <w:tcW w:w="8311" w:type="dxa"/>
            <w:tcBorders>
              <w:top w:val="nil"/>
              <w:left w:val="nil"/>
              <w:bottom w:val="single" w:color="auto" w:sz="4" w:space="0"/>
              <w:right w:val="single" w:color="auto" w:sz="4" w:space="0"/>
            </w:tcBorders>
            <w:shd w:val="clear" w:color="auto" w:fill="auto"/>
            <w:vAlign w:val="center"/>
          </w:tcPr>
          <w:p w14:paraId="45FF7306">
            <w:r>
              <w:rPr>
                <w:rFonts w:hint="eastAsia"/>
              </w:rPr>
              <w:t>提供证书统一管理，提供按照机构，证书算法、证书类型，证书状态等条件查询证书数据，提供配置分类字段；</w:t>
            </w:r>
          </w:p>
        </w:tc>
      </w:tr>
      <w:tr w14:paraId="5DE0FAC8">
        <w:tblPrEx>
          <w:tblCellMar>
            <w:top w:w="0" w:type="dxa"/>
            <w:left w:w="108" w:type="dxa"/>
            <w:bottom w:w="0" w:type="dxa"/>
            <w:right w:w="108" w:type="dxa"/>
          </w:tblCellMar>
        </w:tblPrEx>
        <w:trPr>
          <w:trHeight w:val="390"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2552DBE3">
            <w:r>
              <w:rPr>
                <w:rFonts w:hint="eastAsia"/>
              </w:rPr>
              <w:t>28</w:t>
            </w:r>
          </w:p>
        </w:tc>
        <w:tc>
          <w:tcPr>
            <w:tcW w:w="8311" w:type="dxa"/>
            <w:tcBorders>
              <w:top w:val="nil"/>
              <w:left w:val="nil"/>
              <w:bottom w:val="single" w:color="auto" w:sz="4" w:space="0"/>
              <w:right w:val="single" w:color="auto" w:sz="4" w:space="0"/>
            </w:tcBorders>
            <w:shd w:val="clear" w:color="auto" w:fill="auto"/>
            <w:vAlign w:val="center"/>
          </w:tcPr>
          <w:p w14:paraId="24AF6927">
            <w:r>
              <w:rPr>
                <w:rFonts w:hint="eastAsia"/>
              </w:rPr>
              <w:t>提供证书同步，能够通过配置，将密码设备中的所有证书数据同步到平台，统一管理，密码设备中的证书数据修改时，平台的证书数据会同步修改。</w:t>
            </w:r>
            <w:r>
              <w:rPr>
                <w:rFonts w:hint="eastAsia" w:cs="Calibri"/>
              </w:rPr>
              <w:t>（提供产品功能截图）</w:t>
            </w:r>
          </w:p>
        </w:tc>
      </w:tr>
      <w:tr w14:paraId="5ECD18A2">
        <w:tblPrEx>
          <w:tblCellMar>
            <w:top w:w="0" w:type="dxa"/>
            <w:left w:w="108" w:type="dxa"/>
            <w:bottom w:w="0" w:type="dxa"/>
            <w:right w:w="108" w:type="dxa"/>
          </w:tblCellMar>
        </w:tblPrEx>
        <w:trPr>
          <w:trHeight w:val="390"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5219E0CF">
            <w:r>
              <w:rPr>
                <w:rFonts w:hint="eastAsia"/>
              </w:rPr>
              <w:t>29</w:t>
            </w:r>
          </w:p>
        </w:tc>
        <w:tc>
          <w:tcPr>
            <w:tcW w:w="8311" w:type="dxa"/>
            <w:tcBorders>
              <w:top w:val="nil"/>
              <w:left w:val="nil"/>
              <w:bottom w:val="single" w:color="auto" w:sz="4" w:space="0"/>
              <w:right w:val="single" w:color="auto" w:sz="4" w:space="0"/>
            </w:tcBorders>
            <w:shd w:val="clear" w:color="auto" w:fill="auto"/>
            <w:vAlign w:val="center"/>
          </w:tcPr>
          <w:p w14:paraId="42BC4A8B">
            <w:r>
              <w:rPr>
                <w:rFonts w:hint="eastAsia"/>
              </w:rPr>
              <w:t>提供业务调用异常管理，提供以列表的形式展示异常数据，可查看单条异常数据的详情，调用时间、失败原因等</w:t>
            </w:r>
          </w:p>
        </w:tc>
      </w:tr>
      <w:tr w14:paraId="78C7391D">
        <w:tblPrEx>
          <w:tblCellMar>
            <w:top w:w="0" w:type="dxa"/>
            <w:left w:w="108" w:type="dxa"/>
            <w:bottom w:w="0" w:type="dxa"/>
            <w:right w:w="108" w:type="dxa"/>
          </w:tblCellMar>
        </w:tblPrEx>
        <w:trPr>
          <w:trHeight w:val="390"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3BB6E2AB">
            <w:r>
              <w:rPr>
                <w:rFonts w:hint="eastAsia"/>
              </w:rPr>
              <w:t>30</w:t>
            </w:r>
          </w:p>
        </w:tc>
        <w:tc>
          <w:tcPr>
            <w:tcW w:w="8311" w:type="dxa"/>
            <w:tcBorders>
              <w:top w:val="nil"/>
              <w:left w:val="nil"/>
              <w:bottom w:val="single" w:color="auto" w:sz="4" w:space="0"/>
              <w:right w:val="single" w:color="auto" w:sz="4" w:space="0"/>
            </w:tcBorders>
            <w:shd w:val="clear" w:color="auto" w:fill="auto"/>
            <w:vAlign w:val="center"/>
          </w:tcPr>
          <w:p w14:paraId="7BA4AC6C">
            <w:r>
              <w:rPr>
                <w:rFonts w:hint="eastAsia"/>
              </w:rPr>
              <w:t>提供业务调用异常统计，提供以业务系统、调用时间、异常分类、异常占比不同维度展示业务调用的异常情况，能够以饼图、折线图、水波图，柱形图等不同形式展现</w:t>
            </w:r>
          </w:p>
        </w:tc>
      </w:tr>
      <w:tr w14:paraId="3438ACC7">
        <w:tblPrEx>
          <w:tblCellMar>
            <w:top w:w="0" w:type="dxa"/>
            <w:left w:w="108" w:type="dxa"/>
            <w:bottom w:w="0" w:type="dxa"/>
            <w:right w:w="108" w:type="dxa"/>
          </w:tblCellMar>
        </w:tblPrEx>
        <w:trPr>
          <w:trHeight w:val="390"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5B3FBB6B">
            <w:r>
              <w:rPr>
                <w:rFonts w:hint="eastAsia"/>
              </w:rPr>
              <w:t>31</w:t>
            </w:r>
          </w:p>
        </w:tc>
        <w:tc>
          <w:tcPr>
            <w:tcW w:w="8311" w:type="dxa"/>
            <w:tcBorders>
              <w:top w:val="nil"/>
              <w:left w:val="nil"/>
              <w:bottom w:val="single" w:color="auto" w:sz="4" w:space="0"/>
              <w:right w:val="single" w:color="auto" w:sz="4" w:space="0"/>
            </w:tcBorders>
            <w:shd w:val="clear" w:color="auto" w:fill="auto"/>
            <w:vAlign w:val="center"/>
          </w:tcPr>
          <w:p w14:paraId="1C098883">
            <w:r>
              <w:rPr>
                <w:rFonts w:hint="eastAsia"/>
              </w:rPr>
              <w:t>提供平台操作日志审计，提供基于操作模块、操作人、输入IP、操作内容关键词、时间周期等查询日志。</w:t>
            </w:r>
          </w:p>
        </w:tc>
      </w:tr>
      <w:tr w14:paraId="0FBDF0C1">
        <w:tblPrEx>
          <w:tblCellMar>
            <w:top w:w="0" w:type="dxa"/>
            <w:left w:w="108" w:type="dxa"/>
            <w:bottom w:w="0" w:type="dxa"/>
            <w:right w:w="108" w:type="dxa"/>
          </w:tblCellMar>
        </w:tblPrEx>
        <w:trPr>
          <w:trHeight w:val="390"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6BB7B20E">
            <w:r>
              <w:rPr>
                <w:rFonts w:hint="eastAsia"/>
              </w:rPr>
              <w:t>32</w:t>
            </w:r>
          </w:p>
        </w:tc>
        <w:tc>
          <w:tcPr>
            <w:tcW w:w="8311" w:type="dxa"/>
            <w:tcBorders>
              <w:top w:val="nil"/>
              <w:left w:val="nil"/>
              <w:bottom w:val="single" w:color="auto" w:sz="4" w:space="0"/>
              <w:right w:val="single" w:color="auto" w:sz="4" w:space="0"/>
            </w:tcBorders>
            <w:shd w:val="clear" w:color="auto" w:fill="auto"/>
            <w:vAlign w:val="center"/>
          </w:tcPr>
          <w:p w14:paraId="2FD7628C">
            <w:r>
              <w:rPr>
                <w:rFonts w:hint="eastAsia"/>
              </w:rPr>
              <w:t>提供平台登录日志审计，可直观地查询某个账户的登录、退出日志。</w:t>
            </w:r>
          </w:p>
        </w:tc>
      </w:tr>
      <w:tr w14:paraId="04DA81C0">
        <w:tblPrEx>
          <w:tblCellMar>
            <w:top w:w="0" w:type="dxa"/>
            <w:left w:w="108" w:type="dxa"/>
            <w:bottom w:w="0" w:type="dxa"/>
            <w:right w:w="108" w:type="dxa"/>
          </w:tblCellMar>
        </w:tblPrEx>
        <w:trPr>
          <w:trHeight w:val="390"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1009A956">
            <w:r>
              <w:rPr>
                <w:rFonts w:hint="eastAsia"/>
              </w:rPr>
              <w:t>33</w:t>
            </w:r>
          </w:p>
        </w:tc>
        <w:tc>
          <w:tcPr>
            <w:tcW w:w="8311" w:type="dxa"/>
            <w:tcBorders>
              <w:top w:val="nil"/>
              <w:left w:val="nil"/>
              <w:bottom w:val="single" w:color="auto" w:sz="4" w:space="0"/>
              <w:right w:val="single" w:color="auto" w:sz="4" w:space="0"/>
            </w:tcBorders>
            <w:shd w:val="clear" w:color="auto" w:fill="auto"/>
            <w:vAlign w:val="center"/>
          </w:tcPr>
          <w:p w14:paraId="5E749559">
            <w:r>
              <w:rPr>
                <w:rFonts w:hint="eastAsia"/>
              </w:rPr>
              <w:t>提供业务系统调用日志管理，提供以机构、业务系统、业务序列号、服务名称、接口名称、操作结果，调用时间等条件查询日志</w:t>
            </w:r>
          </w:p>
        </w:tc>
      </w:tr>
      <w:tr w14:paraId="4EB053AC">
        <w:tblPrEx>
          <w:tblCellMar>
            <w:top w:w="0" w:type="dxa"/>
            <w:left w:w="108" w:type="dxa"/>
            <w:bottom w:w="0" w:type="dxa"/>
            <w:right w:w="108" w:type="dxa"/>
          </w:tblCellMar>
        </w:tblPrEx>
        <w:trPr>
          <w:trHeight w:val="390"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3E12F006">
            <w:r>
              <w:rPr>
                <w:rFonts w:hint="eastAsia"/>
              </w:rPr>
              <w:t>34</w:t>
            </w:r>
          </w:p>
        </w:tc>
        <w:tc>
          <w:tcPr>
            <w:tcW w:w="8311" w:type="dxa"/>
            <w:tcBorders>
              <w:top w:val="nil"/>
              <w:left w:val="nil"/>
              <w:bottom w:val="single" w:color="auto" w:sz="4" w:space="0"/>
              <w:right w:val="single" w:color="auto" w:sz="4" w:space="0"/>
            </w:tcBorders>
            <w:shd w:val="clear" w:color="auto" w:fill="auto"/>
            <w:vAlign w:val="center"/>
          </w:tcPr>
          <w:p w14:paraId="3149A2F4">
            <w:r>
              <w:rPr>
                <w:rFonts w:hint="eastAsia"/>
              </w:rPr>
              <w:t>提供证书数据统计，能够按日期统计，并展示证书数量折线统计图、分类柱状图、状态饼状图以及算法占比图；</w:t>
            </w:r>
          </w:p>
        </w:tc>
      </w:tr>
      <w:tr w14:paraId="024C1ED5">
        <w:tblPrEx>
          <w:tblCellMar>
            <w:top w:w="0" w:type="dxa"/>
            <w:left w:w="108" w:type="dxa"/>
            <w:bottom w:w="0" w:type="dxa"/>
            <w:right w:w="108" w:type="dxa"/>
          </w:tblCellMar>
        </w:tblPrEx>
        <w:trPr>
          <w:trHeight w:val="390"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28844922">
            <w:r>
              <w:rPr>
                <w:rFonts w:hint="eastAsia"/>
              </w:rPr>
              <w:t>35</w:t>
            </w:r>
          </w:p>
        </w:tc>
        <w:tc>
          <w:tcPr>
            <w:tcW w:w="8311" w:type="dxa"/>
            <w:tcBorders>
              <w:top w:val="nil"/>
              <w:left w:val="nil"/>
              <w:bottom w:val="single" w:color="auto" w:sz="4" w:space="0"/>
              <w:right w:val="single" w:color="auto" w:sz="4" w:space="0"/>
            </w:tcBorders>
            <w:shd w:val="clear" w:color="auto" w:fill="auto"/>
            <w:vAlign w:val="center"/>
          </w:tcPr>
          <w:p w14:paraId="64BE484B">
            <w:r>
              <w:rPr>
                <w:rFonts w:hint="eastAsia"/>
              </w:rPr>
              <w:t>提供用户数据统计，能够按日期统计，并展示用户数量折线统计图、状态饼状图以及认证状态占比图；</w:t>
            </w:r>
          </w:p>
        </w:tc>
      </w:tr>
      <w:tr w14:paraId="608DB31C">
        <w:tblPrEx>
          <w:tblCellMar>
            <w:top w:w="0" w:type="dxa"/>
            <w:left w:w="108" w:type="dxa"/>
            <w:bottom w:w="0" w:type="dxa"/>
            <w:right w:w="108" w:type="dxa"/>
          </w:tblCellMar>
        </w:tblPrEx>
        <w:trPr>
          <w:trHeight w:val="390"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6B98D2F4">
            <w:r>
              <w:rPr>
                <w:rFonts w:hint="eastAsia"/>
              </w:rPr>
              <w:t>36</w:t>
            </w:r>
          </w:p>
        </w:tc>
        <w:tc>
          <w:tcPr>
            <w:tcW w:w="8311" w:type="dxa"/>
            <w:tcBorders>
              <w:top w:val="nil"/>
              <w:left w:val="nil"/>
              <w:bottom w:val="single" w:color="auto" w:sz="4" w:space="0"/>
              <w:right w:val="single" w:color="auto" w:sz="4" w:space="0"/>
            </w:tcBorders>
            <w:shd w:val="clear" w:color="auto" w:fill="auto"/>
            <w:vAlign w:val="center"/>
          </w:tcPr>
          <w:p w14:paraId="186D2902">
            <w:r>
              <w:rPr>
                <w:rFonts w:hint="eastAsia"/>
              </w:rPr>
              <w:t>提供业务数据统计，能够按日期统计，并展示业务折线统计图、服务柱状图、应用调用饼状图以及调用耗时1ms内占比图。</w:t>
            </w:r>
          </w:p>
        </w:tc>
      </w:tr>
      <w:tr w14:paraId="330F66DF">
        <w:tblPrEx>
          <w:tblCellMar>
            <w:top w:w="0" w:type="dxa"/>
            <w:left w:w="108" w:type="dxa"/>
            <w:bottom w:w="0" w:type="dxa"/>
            <w:right w:w="108" w:type="dxa"/>
          </w:tblCellMar>
        </w:tblPrEx>
        <w:trPr>
          <w:trHeight w:val="390"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24F75ECB">
            <w:r>
              <w:rPr>
                <w:rFonts w:hint="eastAsia"/>
              </w:rPr>
              <w:t>37</w:t>
            </w:r>
          </w:p>
        </w:tc>
        <w:tc>
          <w:tcPr>
            <w:tcW w:w="8311" w:type="dxa"/>
            <w:tcBorders>
              <w:top w:val="nil"/>
              <w:left w:val="nil"/>
              <w:bottom w:val="single" w:color="auto" w:sz="4" w:space="0"/>
              <w:right w:val="single" w:color="auto" w:sz="4" w:space="0"/>
            </w:tcBorders>
            <w:shd w:val="clear" w:color="auto" w:fill="auto"/>
            <w:vAlign w:val="center"/>
          </w:tcPr>
          <w:p w14:paraId="34AFC4C4">
            <w:r>
              <w:rPr>
                <w:rFonts w:ascii="宋体" w:hAnsi="宋体" w:cs="宋体"/>
                <w:color w:val="000000"/>
                <w:spacing w:val="7"/>
                <w:sz w:val="24"/>
              </w:rPr>
              <w:t>▲</w:t>
            </w:r>
            <w:r>
              <w:rPr>
                <w:rFonts w:hint="eastAsia"/>
              </w:rPr>
              <w:t>提供密码自评功能，能够以问卷的形式，对业务系统进行预评估，形成评估结果，自动提出修改意见。</w:t>
            </w:r>
            <w:r>
              <w:rPr>
                <w:rFonts w:hint="eastAsia" w:cs="Calibri"/>
              </w:rPr>
              <w:t>（提供产品功能截图）</w:t>
            </w:r>
          </w:p>
        </w:tc>
      </w:tr>
      <w:tr w14:paraId="1A64DA7F">
        <w:tblPrEx>
          <w:tblCellMar>
            <w:top w:w="0" w:type="dxa"/>
            <w:left w:w="108" w:type="dxa"/>
            <w:bottom w:w="0" w:type="dxa"/>
            <w:right w:w="108" w:type="dxa"/>
          </w:tblCellMar>
        </w:tblPrEx>
        <w:trPr>
          <w:trHeight w:val="390"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2B0D5A96">
            <w:r>
              <w:rPr>
                <w:rFonts w:hint="eastAsia"/>
              </w:rPr>
              <w:t>38</w:t>
            </w:r>
          </w:p>
        </w:tc>
        <w:tc>
          <w:tcPr>
            <w:tcW w:w="8311" w:type="dxa"/>
            <w:tcBorders>
              <w:top w:val="nil"/>
              <w:left w:val="nil"/>
              <w:bottom w:val="single" w:color="auto" w:sz="4" w:space="0"/>
              <w:right w:val="single" w:color="auto" w:sz="4" w:space="0"/>
            </w:tcBorders>
            <w:shd w:val="clear" w:color="auto" w:fill="auto"/>
            <w:vAlign w:val="center"/>
          </w:tcPr>
          <w:p w14:paraId="2BE31BDC">
            <w:r>
              <w:rPr>
                <w:rFonts w:ascii="宋体" w:hAnsi="宋体" w:cs="宋体"/>
                <w:color w:val="000000"/>
                <w:spacing w:val="7"/>
                <w:sz w:val="24"/>
              </w:rPr>
              <w:t>▲</w:t>
            </w:r>
            <w:r>
              <w:rPr>
                <w:rFonts w:hint="eastAsia"/>
              </w:rPr>
              <w:t>提供密码自测工具，能够以页面的形式提供密码自测工具，包括验证PDF有效性、验证数据签名有效性，验证证书有效性等。</w:t>
            </w:r>
            <w:r>
              <w:rPr>
                <w:rFonts w:hint="eastAsia" w:cs="Calibri"/>
              </w:rPr>
              <w:t>（提供产品功能截图）</w:t>
            </w:r>
          </w:p>
        </w:tc>
      </w:tr>
      <w:tr w14:paraId="779E76C1">
        <w:tblPrEx>
          <w:tblCellMar>
            <w:top w:w="0" w:type="dxa"/>
            <w:left w:w="108" w:type="dxa"/>
            <w:bottom w:w="0" w:type="dxa"/>
            <w:right w:w="108" w:type="dxa"/>
          </w:tblCellMar>
        </w:tblPrEx>
        <w:trPr>
          <w:trHeight w:val="390"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2ABE5319">
            <w:r>
              <w:rPr>
                <w:rFonts w:hint="eastAsia"/>
              </w:rPr>
              <w:t>39</w:t>
            </w:r>
          </w:p>
        </w:tc>
        <w:tc>
          <w:tcPr>
            <w:tcW w:w="8311" w:type="dxa"/>
            <w:tcBorders>
              <w:top w:val="nil"/>
              <w:left w:val="nil"/>
              <w:bottom w:val="single" w:color="auto" w:sz="4" w:space="0"/>
              <w:right w:val="single" w:color="auto" w:sz="4" w:space="0"/>
            </w:tcBorders>
            <w:shd w:val="clear" w:color="auto" w:fill="auto"/>
            <w:vAlign w:val="center"/>
          </w:tcPr>
          <w:p w14:paraId="4275C902">
            <w:r>
              <w:rPr>
                <w:rFonts w:hint="eastAsia"/>
              </w:rPr>
              <w:t>提供机构管理，提供对机构数据数据增、删、改、查属性、状态管理；</w:t>
            </w:r>
          </w:p>
        </w:tc>
      </w:tr>
      <w:tr w14:paraId="303E3693">
        <w:tblPrEx>
          <w:tblCellMar>
            <w:top w:w="0" w:type="dxa"/>
            <w:left w:w="108" w:type="dxa"/>
            <w:bottom w:w="0" w:type="dxa"/>
            <w:right w:w="108" w:type="dxa"/>
          </w:tblCellMar>
        </w:tblPrEx>
        <w:trPr>
          <w:trHeight w:val="390"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7069820A">
            <w:r>
              <w:rPr>
                <w:rFonts w:hint="eastAsia"/>
              </w:rPr>
              <w:t>40</w:t>
            </w:r>
          </w:p>
        </w:tc>
        <w:tc>
          <w:tcPr>
            <w:tcW w:w="8311" w:type="dxa"/>
            <w:tcBorders>
              <w:top w:val="nil"/>
              <w:left w:val="nil"/>
              <w:bottom w:val="single" w:color="auto" w:sz="4" w:space="0"/>
              <w:right w:val="single" w:color="auto" w:sz="4" w:space="0"/>
            </w:tcBorders>
            <w:shd w:val="clear" w:color="auto" w:fill="auto"/>
            <w:vAlign w:val="center"/>
          </w:tcPr>
          <w:p w14:paraId="7F8F1DE3">
            <w:r>
              <w:rPr>
                <w:rFonts w:hint="eastAsia"/>
              </w:rPr>
              <w:t>提供数据分权分域管理，能够以机构的维度的所有的业务数据进行逻辑隔离。</w:t>
            </w:r>
            <w:r>
              <w:rPr>
                <w:rFonts w:hint="eastAsia" w:cs="Calibri"/>
              </w:rPr>
              <w:t>（提供产品功能截图）</w:t>
            </w:r>
          </w:p>
        </w:tc>
      </w:tr>
      <w:tr w14:paraId="44D9D7C9">
        <w:tblPrEx>
          <w:tblCellMar>
            <w:top w:w="0" w:type="dxa"/>
            <w:left w:w="108" w:type="dxa"/>
            <w:bottom w:w="0" w:type="dxa"/>
            <w:right w:w="108" w:type="dxa"/>
          </w:tblCellMar>
        </w:tblPrEx>
        <w:trPr>
          <w:trHeight w:val="390"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3108BFA6">
            <w:r>
              <w:rPr>
                <w:rFonts w:hint="eastAsia"/>
              </w:rPr>
              <w:t>41</w:t>
            </w:r>
          </w:p>
        </w:tc>
        <w:tc>
          <w:tcPr>
            <w:tcW w:w="8311" w:type="dxa"/>
            <w:tcBorders>
              <w:top w:val="nil"/>
              <w:left w:val="nil"/>
              <w:bottom w:val="single" w:color="auto" w:sz="4" w:space="0"/>
              <w:right w:val="single" w:color="auto" w:sz="4" w:space="0"/>
            </w:tcBorders>
            <w:shd w:val="clear" w:color="auto" w:fill="auto"/>
            <w:vAlign w:val="center"/>
          </w:tcPr>
          <w:p w14:paraId="69DED452">
            <w:r>
              <w:rPr>
                <w:rFonts w:hint="eastAsia"/>
              </w:rPr>
              <w:t>提供管理员权限管理，能够按照不同的角色给管理员分配权限，提供动态修改角色的权限，实现灵活的权限配置</w:t>
            </w:r>
          </w:p>
        </w:tc>
      </w:tr>
      <w:tr w14:paraId="3F71A278">
        <w:tblPrEx>
          <w:tblCellMar>
            <w:top w:w="0" w:type="dxa"/>
            <w:left w:w="108" w:type="dxa"/>
            <w:bottom w:w="0" w:type="dxa"/>
            <w:right w:w="108" w:type="dxa"/>
          </w:tblCellMar>
        </w:tblPrEx>
        <w:trPr>
          <w:trHeight w:val="390"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63ACDB6E">
            <w:r>
              <w:rPr>
                <w:rFonts w:hint="eastAsia"/>
              </w:rPr>
              <w:t>42</w:t>
            </w:r>
          </w:p>
        </w:tc>
        <w:tc>
          <w:tcPr>
            <w:tcW w:w="8311" w:type="dxa"/>
            <w:tcBorders>
              <w:top w:val="nil"/>
              <w:left w:val="nil"/>
              <w:bottom w:val="single" w:color="auto" w:sz="4" w:space="0"/>
              <w:right w:val="single" w:color="auto" w:sz="4" w:space="0"/>
            </w:tcBorders>
            <w:shd w:val="clear" w:color="auto" w:fill="auto"/>
            <w:vAlign w:val="center"/>
          </w:tcPr>
          <w:p w14:paraId="1F7410D0">
            <w:r>
              <w:rPr>
                <w:rFonts w:hint="eastAsia"/>
              </w:rPr>
              <w:t>提供平台菜单配置，能够在管理后台动态配置平台菜单目录，修改菜单顺序，菜单名称，状态等。提供产品功能截图。</w:t>
            </w:r>
          </w:p>
        </w:tc>
      </w:tr>
      <w:tr w14:paraId="410A044C">
        <w:tblPrEx>
          <w:tblCellMar>
            <w:top w:w="0" w:type="dxa"/>
            <w:left w:w="108" w:type="dxa"/>
            <w:bottom w:w="0" w:type="dxa"/>
            <w:right w:w="108" w:type="dxa"/>
          </w:tblCellMar>
        </w:tblPrEx>
        <w:trPr>
          <w:trHeight w:val="390"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130A4A44">
            <w:r>
              <w:rPr>
                <w:rFonts w:hint="eastAsia"/>
              </w:rPr>
              <w:t>43</w:t>
            </w:r>
          </w:p>
        </w:tc>
        <w:tc>
          <w:tcPr>
            <w:tcW w:w="8311" w:type="dxa"/>
            <w:tcBorders>
              <w:top w:val="nil"/>
              <w:left w:val="nil"/>
              <w:bottom w:val="single" w:color="auto" w:sz="4" w:space="0"/>
              <w:right w:val="single" w:color="auto" w:sz="4" w:space="0"/>
            </w:tcBorders>
            <w:shd w:val="clear" w:color="auto" w:fill="auto"/>
            <w:vAlign w:val="center"/>
          </w:tcPr>
          <w:p w14:paraId="58DE05A8">
            <w:r>
              <w:rPr>
                <w:rFonts w:hint="eastAsia"/>
              </w:rPr>
              <w:t>提供告警配置，提供设置监控阈值、监控信息发送方式以及监控信息接收人；可分别设置CPU、内存、磁盘的告警值；提供钉钉、邮箱通知；提供记录告警日志。提供产品功能截图。</w:t>
            </w:r>
          </w:p>
        </w:tc>
      </w:tr>
      <w:tr w14:paraId="0C93AB7F">
        <w:tblPrEx>
          <w:tblCellMar>
            <w:top w:w="0" w:type="dxa"/>
            <w:left w:w="108" w:type="dxa"/>
            <w:bottom w:w="0" w:type="dxa"/>
            <w:right w:w="108" w:type="dxa"/>
          </w:tblCellMar>
        </w:tblPrEx>
        <w:trPr>
          <w:trHeight w:val="390"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4F0638E3">
            <w:r>
              <w:rPr>
                <w:rFonts w:hint="eastAsia"/>
              </w:rPr>
              <w:t>44</w:t>
            </w:r>
          </w:p>
        </w:tc>
        <w:tc>
          <w:tcPr>
            <w:tcW w:w="8311" w:type="dxa"/>
            <w:tcBorders>
              <w:top w:val="nil"/>
              <w:left w:val="nil"/>
              <w:bottom w:val="single" w:color="auto" w:sz="4" w:space="0"/>
              <w:right w:val="single" w:color="auto" w:sz="4" w:space="0"/>
            </w:tcBorders>
            <w:shd w:val="clear" w:color="auto" w:fill="auto"/>
            <w:vAlign w:val="center"/>
          </w:tcPr>
          <w:p w14:paraId="1CAF6164">
            <w:r>
              <w:rPr>
                <w:rFonts w:hint="eastAsia"/>
              </w:rPr>
              <w:t>提供巡检报告管理，提供在管理后台统一管理运维巡检报告，也可通过配置实现自动生成巡检报告。</w:t>
            </w:r>
            <w:r>
              <w:rPr>
                <w:rFonts w:hint="eastAsia" w:cs="Calibri"/>
              </w:rPr>
              <w:t>（提供产品功能截图）</w:t>
            </w:r>
          </w:p>
        </w:tc>
      </w:tr>
      <w:tr w14:paraId="0C786456">
        <w:tblPrEx>
          <w:tblCellMar>
            <w:top w:w="0" w:type="dxa"/>
            <w:left w:w="108" w:type="dxa"/>
            <w:bottom w:w="0" w:type="dxa"/>
            <w:right w:w="108" w:type="dxa"/>
          </w:tblCellMar>
        </w:tblPrEx>
        <w:trPr>
          <w:trHeight w:val="390"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3934BDC5">
            <w:r>
              <w:rPr>
                <w:rFonts w:hint="eastAsia"/>
              </w:rPr>
              <w:t>45</w:t>
            </w:r>
          </w:p>
        </w:tc>
        <w:tc>
          <w:tcPr>
            <w:tcW w:w="8311" w:type="dxa"/>
            <w:tcBorders>
              <w:top w:val="nil"/>
              <w:left w:val="nil"/>
              <w:bottom w:val="single" w:color="auto" w:sz="4" w:space="0"/>
              <w:right w:val="single" w:color="auto" w:sz="4" w:space="0"/>
            </w:tcBorders>
            <w:shd w:val="clear" w:color="auto" w:fill="auto"/>
            <w:vAlign w:val="center"/>
          </w:tcPr>
          <w:p w14:paraId="446D68CF">
            <w:r>
              <w:rPr>
                <w:rFonts w:hint="eastAsia"/>
              </w:rPr>
              <w:t>提供统一服务管理，所有密码服务由平台API网关对外统一发布，业务系统只调用网关一个地址</w:t>
            </w:r>
          </w:p>
        </w:tc>
      </w:tr>
      <w:tr w14:paraId="104ED878">
        <w:tblPrEx>
          <w:tblCellMar>
            <w:top w:w="0" w:type="dxa"/>
            <w:left w:w="108" w:type="dxa"/>
            <w:bottom w:w="0" w:type="dxa"/>
            <w:right w:w="108" w:type="dxa"/>
          </w:tblCellMar>
        </w:tblPrEx>
        <w:trPr>
          <w:trHeight w:val="390"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79A7E0EE">
            <w:r>
              <w:rPr>
                <w:rFonts w:hint="eastAsia"/>
              </w:rPr>
              <w:t>46</w:t>
            </w:r>
          </w:p>
        </w:tc>
        <w:tc>
          <w:tcPr>
            <w:tcW w:w="8311" w:type="dxa"/>
            <w:tcBorders>
              <w:top w:val="nil"/>
              <w:left w:val="nil"/>
              <w:bottom w:val="single" w:color="auto" w:sz="4" w:space="0"/>
              <w:right w:val="single" w:color="auto" w:sz="4" w:space="0"/>
            </w:tcBorders>
            <w:shd w:val="clear" w:color="auto" w:fill="auto"/>
            <w:vAlign w:val="center"/>
          </w:tcPr>
          <w:p w14:paraId="7B9CDB65">
            <w:r>
              <w:rPr>
                <w:rFonts w:hint="eastAsia"/>
              </w:rPr>
              <w:t>提供统一服务鉴权，所有业务接口由平台API网关统一鉴权</w:t>
            </w:r>
          </w:p>
        </w:tc>
      </w:tr>
      <w:tr w14:paraId="316A282E">
        <w:tblPrEx>
          <w:tblCellMar>
            <w:top w:w="0" w:type="dxa"/>
            <w:left w:w="108" w:type="dxa"/>
            <w:bottom w:w="0" w:type="dxa"/>
            <w:right w:w="108" w:type="dxa"/>
          </w:tblCellMar>
        </w:tblPrEx>
        <w:trPr>
          <w:trHeight w:val="390"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7688017A">
            <w:r>
              <w:rPr>
                <w:rFonts w:hint="eastAsia"/>
              </w:rPr>
              <w:t>47</w:t>
            </w:r>
          </w:p>
        </w:tc>
        <w:tc>
          <w:tcPr>
            <w:tcW w:w="8311" w:type="dxa"/>
            <w:tcBorders>
              <w:top w:val="nil"/>
              <w:left w:val="nil"/>
              <w:bottom w:val="single" w:color="auto" w:sz="4" w:space="0"/>
              <w:right w:val="single" w:color="auto" w:sz="4" w:space="0"/>
            </w:tcBorders>
            <w:shd w:val="clear" w:color="auto" w:fill="auto"/>
            <w:vAlign w:val="center"/>
          </w:tcPr>
          <w:p w14:paraId="2D07203F">
            <w:r>
              <w:rPr>
                <w:rFonts w:hint="eastAsia"/>
              </w:rPr>
              <w:t>提供统一配置管理，在平台可集中管理所有密码设备的系统配置</w:t>
            </w:r>
          </w:p>
        </w:tc>
      </w:tr>
      <w:tr w14:paraId="625E5F07">
        <w:tblPrEx>
          <w:tblCellMar>
            <w:top w:w="0" w:type="dxa"/>
            <w:left w:w="108" w:type="dxa"/>
            <w:bottom w:w="0" w:type="dxa"/>
            <w:right w:w="108" w:type="dxa"/>
          </w:tblCellMar>
        </w:tblPrEx>
        <w:trPr>
          <w:trHeight w:val="390"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655B323E">
            <w:r>
              <w:rPr>
                <w:rFonts w:hint="eastAsia"/>
              </w:rPr>
              <w:t>48</w:t>
            </w:r>
          </w:p>
        </w:tc>
        <w:tc>
          <w:tcPr>
            <w:tcW w:w="8311" w:type="dxa"/>
            <w:tcBorders>
              <w:top w:val="nil"/>
              <w:left w:val="nil"/>
              <w:bottom w:val="single" w:color="auto" w:sz="4" w:space="0"/>
              <w:right w:val="single" w:color="auto" w:sz="4" w:space="0"/>
            </w:tcBorders>
            <w:shd w:val="clear" w:color="auto" w:fill="auto"/>
            <w:vAlign w:val="center"/>
          </w:tcPr>
          <w:p w14:paraId="4C83CB34">
            <w:r>
              <w:rPr>
                <w:rFonts w:hint="eastAsia"/>
              </w:rPr>
              <w:t>提供统一业务监控，在平台可集中查看所有密码设备的业务调用情况，可基于服务、接口的维度查看</w:t>
            </w:r>
          </w:p>
        </w:tc>
      </w:tr>
      <w:tr w14:paraId="422E93CC">
        <w:tblPrEx>
          <w:tblCellMar>
            <w:top w:w="0" w:type="dxa"/>
            <w:left w:w="108" w:type="dxa"/>
            <w:bottom w:w="0" w:type="dxa"/>
            <w:right w:w="108" w:type="dxa"/>
          </w:tblCellMar>
        </w:tblPrEx>
        <w:trPr>
          <w:trHeight w:val="390"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26A364F2">
            <w:r>
              <w:rPr>
                <w:rFonts w:hint="eastAsia"/>
              </w:rPr>
              <w:t>49</w:t>
            </w:r>
          </w:p>
        </w:tc>
        <w:tc>
          <w:tcPr>
            <w:tcW w:w="8311" w:type="dxa"/>
            <w:tcBorders>
              <w:top w:val="nil"/>
              <w:left w:val="nil"/>
              <w:bottom w:val="single" w:color="auto" w:sz="4" w:space="0"/>
              <w:right w:val="single" w:color="auto" w:sz="4" w:space="0"/>
            </w:tcBorders>
            <w:shd w:val="clear" w:color="auto" w:fill="auto"/>
            <w:vAlign w:val="center"/>
          </w:tcPr>
          <w:p w14:paraId="78A3D3C1">
            <w:r>
              <w:rPr>
                <w:rFonts w:hint="eastAsia"/>
              </w:rPr>
              <w:t>提供统一设备监控，在平台中可集中查看所有密码设备的主机情况、实时监控设备运行数据。提供产品功能截图。</w:t>
            </w:r>
          </w:p>
        </w:tc>
      </w:tr>
      <w:tr w14:paraId="454D6E12">
        <w:tblPrEx>
          <w:tblCellMar>
            <w:top w:w="0" w:type="dxa"/>
            <w:left w:w="108" w:type="dxa"/>
            <w:bottom w:w="0" w:type="dxa"/>
            <w:right w:w="108" w:type="dxa"/>
          </w:tblCellMar>
        </w:tblPrEx>
        <w:trPr>
          <w:trHeight w:val="390"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1A03E805">
            <w:r>
              <w:rPr>
                <w:rFonts w:hint="eastAsia"/>
              </w:rPr>
              <w:t>50</w:t>
            </w:r>
          </w:p>
        </w:tc>
        <w:tc>
          <w:tcPr>
            <w:tcW w:w="8311" w:type="dxa"/>
            <w:tcBorders>
              <w:top w:val="nil"/>
              <w:left w:val="nil"/>
              <w:bottom w:val="single" w:color="auto" w:sz="4" w:space="0"/>
              <w:right w:val="single" w:color="auto" w:sz="4" w:space="0"/>
            </w:tcBorders>
            <w:shd w:val="clear" w:color="auto" w:fill="auto"/>
            <w:vAlign w:val="center"/>
          </w:tcPr>
          <w:p w14:paraId="4AE7BD92">
            <w:r>
              <w:rPr>
                <w:rFonts w:hint="eastAsia"/>
              </w:rPr>
              <w:t>提供统一认证功能，具备高度可配置性和可扩展性，能够适应不同业务系统的统一认证需求；提供多种认证协议，如OAuth2.0、JWT、CAS等；</w:t>
            </w:r>
          </w:p>
        </w:tc>
      </w:tr>
      <w:tr w14:paraId="5A4EB9A5">
        <w:tblPrEx>
          <w:tblCellMar>
            <w:top w:w="0" w:type="dxa"/>
            <w:left w:w="108" w:type="dxa"/>
            <w:bottom w:w="0" w:type="dxa"/>
            <w:right w:w="108" w:type="dxa"/>
          </w:tblCellMar>
        </w:tblPrEx>
        <w:trPr>
          <w:trHeight w:val="390"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1DB4FC9E">
            <w:r>
              <w:rPr>
                <w:rFonts w:hint="eastAsia"/>
              </w:rPr>
              <w:t>51</w:t>
            </w:r>
          </w:p>
        </w:tc>
        <w:tc>
          <w:tcPr>
            <w:tcW w:w="8311" w:type="dxa"/>
            <w:tcBorders>
              <w:top w:val="nil"/>
              <w:left w:val="nil"/>
              <w:bottom w:val="single" w:color="auto" w:sz="4" w:space="0"/>
              <w:right w:val="single" w:color="auto" w:sz="4" w:space="0"/>
            </w:tcBorders>
            <w:shd w:val="clear" w:color="auto" w:fill="auto"/>
            <w:vAlign w:val="center"/>
          </w:tcPr>
          <w:p w14:paraId="4F8A084B">
            <w:r>
              <w:rPr>
                <w:rFonts w:hint="eastAsia"/>
              </w:rPr>
              <w:t>支持微服务架构，并支持虚拟机、容器化部署。</w:t>
            </w:r>
          </w:p>
        </w:tc>
      </w:tr>
      <w:tr w14:paraId="1EA26995">
        <w:tblPrEx>
          <w:tblCellMar>
            <w:top w:w="0" w:type="dxa"/>
            <w:left w:w="108" w:type="dxa"/>
            <w:bottom w:w="0" w:type="dxa"/>
            <w:right w:w="108" w:type="dxa"/>
          </w:tblCellMar>
        </w:tblPrEx>
        <w:trPr>
          <w:trHeight w:val="390"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587025BB">
            <w:r>
              <w:rPr>
                <w:rFonts w:hint="eastAsia"/>
              </w:rPr>
              <w:t>52</w:t>
            </w:r>
          </w:p>
        </w:tc>
        <w:tc>
          <w:tcPr>
            <w:tcW w:w="8311" w:type="dxa"/>
            <w:tcBorders>
              <w:top w:val="nil"/>
              <w:left w:val="nil"/>
              <w:bottom w:val="single" w:color="auto" w:sz="4" w:space="0"/>
              <w:right w:val="single" w:color="auto" w:sz="4" w:space="0"/>
            </w:tcBorders>
            <w:shd w:val="clear" w:color="auto" w:fill="auto"/>
            <w:vAlign w:val="center"/>
          </w:tcPr>
          <w:p w14:paraId="109A65F7">
            <w:r>
              <w:rPr>
                <w:rFonts w:hint="eastAsia"/>
              </w:rPr>
              <w:t>支持分布式架构、水平扩展和负载均衡，以满足高并发认证请求的需求。</w:t>
            </w:r>
          </w:p>
        </w:tc>
      </w:tr>
      <w:tr w14:paraId="0DA20855">
        <w:tblPrEx>
          <w:tblCellMar>
            <w:top w:w="0" w:type="dxa"/>
            <w:left w:w="108" w:type="dxa"/>
            <w:bottom w:w="0" w:type="dxa"/>
            <w:right w:w="108" w:type="dxa"/>
          </w:tblCellMar>
        </w:tblPrEx>
        <w:trPr>
          <w:trHeight w:val="390"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74E8BD5B">
            <w:r>
              <w:rPr>
                <w:rFonts w:hint="eastAsia"/>
              </w:rPr>
              <w:t>53</w:t>
            </w:r>
          </w:p>
        </w:tc>
        <w:tc>
          <w:tcPr>
            <w:tcW w:w="8311" w:type="dxa"/>
            <w:tcBorders>
              <w:top w:val="nil"/>
              <w:left w:val="nil"/>
              <w:bottom w:val="single" w:color="auto" w:sz="4" w:space="0"/>
              <w:right w:val="single" w:color="auto" w:sz="4" w:space="0"/>
            </w:tcBorders>
            <w:shd w:val="clear" w:color="auto" w:fill="auto"/>
            <w:vAlign w:val="center"/>
          </w:tcPr>
          <w:p w14:paraId="532B0DB1">
            <w:r>
              <w:rPr>
                <w:rFonts w:hint="eastAsia"/>
              </w:rPr>
              <w:t>具备高可靠性和容错性，能够在硬件或软件故障的情况下保持系统稳定运行</w:t>
            </w:r>
          </w:p>
        </w:tc>
      </w:tr>
      <w:tr w14:paraId="6DE3A08A">
        <w:tblPrEx>
          <w:tblCellMar>
            <w:top w:w="0" w:type="dxa"/>
            <w:left w:w="108" w:type="dxa"/>
            <w:bottom w:w="0" w:type="dxa"/>
            <w:right w:w="108" w:type="dxa"/>
          </w:tblCellMar>
        </w:tblPrEx>
        <w:trPr>
          <w:trHeight w:val="390"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5D88B71C">
            <w:r>
              <w:rPr>
                <w:rFonts w:hint="eastAsia"/>
              </w:rPr>
              <w:t>54</w:t>
            </w:r>
          </w:p>
        </w:tc>
        <w:tc>
          <w:tcPr>
            <w:tcW w:w="8311" w:type="dxa"/>
            <w:tcBorders>
              <w:top w:val="nil"/>
              <w:left w:val="nil"/>
              <w:bottom w:val="single" w:color="auto" w:sz="4" w:space="0"/>
              <w:right w:val="single" w:color="auto" w:sz="4" w:space="0"/>
            </w:tcBorders>
            <w:shd w:val="clear" w:color="auto" w:fill="auto"/>
            <w:vAlign w:val="center"/>
          </w:tcPr>
          <w:p w14:paraId="563F3620">
            <w:r>
              <w:rPr>
                <w:rFonts w:hint="eastAsia"/>
              </w:rPr>
              <w:t>具备数据安全保护机制，包括密码存储、传输和使用过程中的加密和防护措施</w:t>
            </w:r>
          </w:p>
        </w:tc>
      </w:tr>
      <w:tr w14:paraId="264A18FB">
        <w:tblPrEx>
          <w:tblCellMar>
            <w:top w:w="0" w:type="dxa"/>
            <w:left w:w="108" w:type="dxa"/>
            <w:bottom w:w="0" w:type="dxa"/>
            <w:right w:w="108" w:type="dxa"/>
          </w:tblCellMar>
        </w:tblPrEx>
        <w:trPr>
          <w:trHeight w:val="390"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5C4ACF9B">
            <w:r>
              <w:rPr>
                <w:rFonts w:hint="eastAsia"/>
              </w:rPr>
              <w:t>55</w:t>
            </w:r>
          </w:p>
        </w:tc>
        <w:tc>
          <w:tcPr>
            <w:tcW w:w="8311" w:type="dxa"/>
            <w:tcBorders>
              <w:top w:val="nil"/>
              <w:left w:val="nil"/>
              <w:bottom w:val="single" w:color="auto" w:sz="4" w:space="0"/>
              <w:right w:val="single" w:color="auto" w:sz="4" w:space="0"/>
            </w:tcBorders>
            <w:shd w:val="clear" w:color="auto" w:fill="auto"/>
            <w:vAlign w:val="center"/>
          </w:tcPr>
          <w:p w14:paraId="1BF4270F">
            <w:r>
              <w:rPr>
                <w:rFonts w:hint="eastAsia"/>
              </w:rPr>
              <w:t>具备完善的开发文档、示例代码和SDK，以简化集成和定制开发过程</w:t>
            </w:r>
          </w:p>
        </w:tc>
      </w:tr>
      <w:tr w14:paraId="75846C41">
        <w:tblPrEx>
          <w:tblCellMar>
            <w:top w:w="0" w:type="dxa"/>
            <w:left w:w="108" w:type="dxa"/>
            <w:bottom w:w="0" w:type="dxa"/>
            <w:right w:w="108" w:type="dxa"/>
          </w:tblCellMar>
        </w:tblPrEx>
        <w:trPr>
          <w:trHeight w:val="390"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34F6257A">
            <w:r>
              <w:rPr>
                <w:rFonts w:hint="eastAsia"/>
              </w:rPr>
              <w:t>56</w:t>
            </w:r>
          </w:p>
        </w:tc>
        <w:tc>
          <w:tcPr>
            <w:tcW w:w="8311" w:type="dxa"/>
            <w:tcBorders>
              <w:top w:val="nil"/>
              <w:left w:val="nil"/>
              <w:bottom w:val="single" w:color="auto" w:sz="4" w:space="0"/>
              <w:right w:val="single" w:color="auto" w:sz="4" w:space="0"/>
            </w:tcBorders>
            <w:shd w:val="clear" w:color="auto" w:fill="auto"/>
            <w:vAlign w:val="center"/>
          </w:tcPr>
          <w:p w14:paraId="2EC9F127">
            <w:r>
              <w:rPr>
                <w:rFonts w:hint="eastAsia"/>
              </w:rPr>
              <w:t>符合《GMT 0050-2016 密码设备管理 设备管理技术规范》要求，支持与医院已部署数字证书认证系统、签名验签服务器、时间戳服务器、电子签章系统、移动智能终端签名验签系统以及本次采购的服务器密码机、安全认证网关、数据库加密机、文件加密网关、统一认证系统等密码产品进行对接，实现现有设备的服务加载、状态监控、配置同步功能，能够通过安全通道协议，实现与密码设备的安全通信，提供对密码设备资源进行统一管理和监控。</w:t>
            </w:r>
          </w:p>
        </w:tc>
      </w:tr>
      <w:tr w14:paraId="0328F0D7">
        <w:tblPrEx>
          <w:tblCellMar>
            <w:top w:w="0" w:type="dxa"/>
            <w:left w:w="108" w:type="dxa"/>
            <w:bottom w:w="0" w:type="dxa"/>
            <w:right w:w="108" w:type="dxa"/>
          </w:tblCellMar>
        </w:tblPrEx>
        <w:trPr>
          <w:trHeight w:val="390"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14:paraId="4A7D6CE0">
            <w:r>
              <w:rPr>
                <w:rFonts w:hint="eastAsia"/>
              </w:rPr>
              <w:t>5</w:t>
            </w:r>
            <w:r>
              <w:t>7</w:t>
            </w:r>
          </w:p>
        </w:tc>
        <w:tc>
          <w:tcPr>
            <w:tcW w:w="8311" w:type="dxa"/>
            <w:tcBorders>
              <w:top w:val="nil"/>
              <w:left w:val="nil"/>
              <w:bottom w:val="single" w:color="auto" w:sz="4" w:space="0"/>
              <w:right w:val="single" w:color="auto" w:sz="4" w:space="0"/>
            </w:tcBorders>
            <w:shd w:val="clear" w:color="auto" w:fill="auto"/>
            <w:vAlign w:val="center"/>
          </w:tcPr>
          <w:p w14:paraId="2D1B8D1F">
            <w:r>
              <w:rPr>
                <w:rFonts w:hint="eastAsia"/>
              </w:rPr>
              <w:t>国产化硬件：CPU、内存、主板、冗余双电源、密码卡等核心部件均采用国产化硬件。</w:t>
            </w:r>
          </w:p>
          <w:p w14:paraId="7D042579">
            <w:r>
              <w:rPr>
                <w:rFonts w:hint="eastAsia"/>
              </w:rPr>
              <w:t>≥1块双端口万兆网卡及配套光模块和光纤跳线。</w:t>
            </w:r>
          </w:p>
        </w:tc>
      </w:tr>
      <w:tr w14:paraId="05BCF225">
        <w:tblPrEx>
          <w:tblCellMar>
            <w:top w:w="0" w:type="dxa"/>
            <w:left w:w="108" w:type="dxa"/>
            <w:bottom w:w="0" w:type="dxa"/>
            <w:right w:w="108" w:type="dxa"/>
          </w:tblCellMar>
        </w:tblPrEx>
        <w:trPr>
          <w:trHeight w:val="390" w:hRule="atLeast"/>
          <w:jc w:val="center"/>
        </w:trPr>
        <w:tc>
          <w:tcPr>
            <w:tcW w:w="739" w:type="dxa"/>
            <w:tcBorders>
              <w:top w:val="single" w:color="auto" w:sz="4" w:space="0"/>
              <w:left w:val="single" w:color="auto" w:sz="4" w:space="0"/>
              <w:bottom w:val="single" w:color="auto" w:sz="4" w:space="0"/>
              <w:right w:val="single" w:color="auto" w:sz="4" w:space="0"/>
            </w:tcBorders>
            <w:shd w:val="clear" w:color="auto" w:fill="auto"/>
            <w:vAlign w:val="bottom"/>
          </w:tcPr>
          <w:p w14:paraId="48FDE2E5">
            <w:pPr>
              <w:ind w:firstLine="0"/>
              <w:rPr>
                <w:rFonts w:ascii="宋体" w:hAnsi="宋体" w:cs="宋体"/>
                <w:szCs w:val="21"/>
              </w:rPr>
            </w:pPr>
            <w:r>
              <w:rPr>
                <w:rFonts w:hint="eastAsia"/>
              </w:rPr>
              <w:t>序号</w:t>
            </w:r>
          </w:p>
        </w:tc>
        <w:tc>
          <w:tcPr>
            <w:tcW w:w="8311" w:type="dxa"/>
            <w:tcBorders>
              <w:top w:val="single" w:color="auto" w:sz="4" w:space="0"/>
              <w:left w:val="nil"/>
              <w:bottom w:val="single" w:color="auto" w:sz="4" w:space="0"/>
              <w:right w:val="single" w:color="auto" w:sz="4" w:space="0"/>
            </w:tcBorders>
            <w:shd w:val="clear" w:color="auto" w:fill="auto"/>
            <w:vAlign w:val="center"/>
          </w:tcPr>
          <w:p w14:paraId="1076CAD6">
            <w:pPr>
              <w:rPr>
                <w:rFonts w:ascii="宋体" w:hAnsi="宋体"/>
              </w:rPr>
            </w:pPr>
            <w:r>
              <w:rPr>
                <w:rFonts w:hint="eastAsia"/>
              </w:rPr>
              <w:t>资质要求</w:t>
            </w:r>
          </w:p>
        </w:tc>
      </w:tr>
      <w:tr w14:paraId="2D9F37CB">
        <w:tblPrEx>
          <w:tblCellMar>
            <w:top w:w="0" w:type="dxa"/>
            <w:left w:w="108" w:type="dxa"/>
            <w:bottom w:w="0" w:type="dxa"/>
            <w:right w:w="108" w:type="dxa"/>
          </w:tblCellMar>
        </w:tblPrEx>
        <w:trPr>
          <w:trHeight w:val="390" w:hRule="atLeast"/>
          <w:jc w:val="center"/>
        </w:trPr>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14:paraId="12516AEA">
            <w:r>
              <w:rPr>
                <w:rFonts w:hint="eastAsia"/>
              </w:rPr>
              <w:t>1</w:t>
            </w:r>
          </w:p>
        </w:tc>
        <w:tc>
          <w:tcPr>
            <w:tcW w:w="8311" w:type="dxa"/>
            <w:tcBorders>
              <w:top w:val="single" w:color="auto" w:sz="4" w:space="0"/>
              <w:left w:val="nil"/>
              <w:bottom w:val="single" w:color="auto" w:sz="4" w:space="0"/>
              <w:right w:val="single" w:color="auto" w:sz="4" w:space="0"/>
            </w:tcBorders>
            <w:shd w:val="clear" w:color="auto" w:fill="auto"/>
            <w:vAlign w:val="center"/>
          </w:tcPr>
          <w:p w14:paraId="141DF8CE">
            <w:pPr>
              <w:rPr>
                <w:rFonts w:asciiTheme="minorEastAsia" w:hAnsiTheme="minorEastAsia" w:eastAsiaTheme="minorEastAsia" w:cstheme="minorEastAsia"/>
                <w:b/>
                <w:bCs/>
              </w:rPr>
            </w:pPr>
            <w:r>
              <w:rPr>
                <w:rFonts w:hint="eastAsia"/>
              </w:rPr>
              <w:t>密码服务管理平台具备国家密码管理局商用密码检测中心颁发的《商用密码产品认证证书》（提供证书复印件）</w:t>
            </w:r>
          </w:p>
        </w:tc>
      </w:tr>
      <w:tr w14:paraId="4C07FBAD">
        <w:tblPrEx>
          <w:tblCellMar>
            <w:top w:w="0" w:type="dxa"/>
            <w:left w:w="108" w:type="dxa"/>
            <w:bottom w:w="0" w:type="dxa"/>
            <w:right w:w="108" w:type="dxa"/>
          </w:tblCellMar>
        </w:tblPrEx>
        <w:trPr>
          <w:trHeight w:val="390" w:hRule="atLeast"/>
          <w:jc w:val="center"/>
        </w:trPr>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14:paraId="6CD2C48A">
            <w:r>
              <w:rPr>
                <w:rFonts w:hint="eastAsia"/>
              </w:rPr>
              <w:t>2</w:t>
            </w:r>
          </w:p>
        </w:tc>
        <w:tc>
          <w:tcPr>
            <w:tcW w:w="8311" w:type="dxa"/>
            <w:tcBorders>
              <w:top w:val="single" w:color="auto" w:sz="4" w:space="0"/>
              <w:left w:val="nil"/>
              <w:bottom w:val="single" w:color="auto" w:sz="4" w:space="0"/>
              <w:right w:val="single" w:color="auto" w:sz="4" w:space="0"/>
            </w:tcBorders>
            <w:shd w:val="clear" w:color="auto" w:fill="auto"/>
            <w:vAlign w:val="center"/>
          </w:tcPr>
          <w:p w14:paraId="3960D266">
            <w:r>
              <w:rPr>
                <w:rFonts w:hint="eastAsia"/>
              </w:rPr>
              <w:t>密码服务管理平台支持信</w:t>
            </w:r>
            <w:r>
              <w:rPr>
                <w:rFonts w:hint="eastAsia"/>
                <w:lang w:val="en-US" w:eastAsia="zh-CN"/>
              </w:rPr>
              <w:t xml:space="preserve"> </w:t>
            </w:r>
            <w:r>
              <w:rPr>
                <w:rFonts w:hint="eastAsia"/>
              </w:rPr>
              <w:t>创环境部署，须通过上海信</w:t>
            </w:r>
            <w:r>
              <w:rPr>
                <w:rFonts w:hint="eastAsia"/>
                <w:lang w:val="en-US" w:eastAsia="zh-CN"/>
              </w:rPr>
              <w:t xml:space="preserve"> </w:t>
            </w:r>
            <w:r>
              <w:rPr>
                <w:rFonts w:hint="eastAsia"/>
              </w:rPr>
              <w:t>创公共服务平台适配，具备上海软协信</w:t>
            </w:r>
            <w:r>
              <w:rPr>
                <w:rFonts w:hint="eastAsia"/>
                <w:lang w:val="en-US" w:eastAsia="zh-CN"/>
              </w:rPr>
              <w:t xml:space="preserve"> </w:t>
            </w:r>
            <w:r>
              <w:rPr>
                <w:rFonts w:hint="eastAsia"/>
              </w:rPr>
              <w:t>创工委会颁发的《信</w:t>
            </w:r>
            <w:r>
              <w:rPr>
                <w:rFonts w:hint="eastAsia"/>
                <w:lang w:val="en-US" w:eastAsia="zh-CN"/>
              </w:rPr>
              <w:t xml:space="preserve"> </w:t>
            </w:r>
            <w:r>
              <w:rPr>
                <w:rFonts w:hint="eastAsia"/>
              </w:rPr>
              <w:t>创产品评估证书》。</w:t>
            </w:r>
          </w:p>
        </w:tc>
      </w:tr>
      <w:bookmarkEnd w:id="8"/>
    </w:tbl>
    <w:p w14:paraId="37C2338E"/>
    <w:p w14:paraId="2F60C5EF">
      <w:pPr>
        <w:pStyle w:val="4"/>
      </w:pPr>
      <w:r>
        <w:rPr>
          <w:rFonts w:hint="eastAsia"/>
        </w:rPr>
        <w:t>密码应用服务</w:t>
      </w:r>
    </w:p>
    <w:tbl>
      <w:tblPr>
        <w:tblStyle w:val="23"/>
        <w:tblW w:w="53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8402"/>
      </w:tblGrid>
      <w:tr w14:paraId="052A8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727" w:type="dxa"/>
            <w:shd w:val="clear" w:color="auto" w:fill="auto"/>
            <w:vAlign w:val="bottom"/>
          </w:tcPr>
          <w:p w14:paraId="490F3A93">
            <w:pPr>
              <w:rPr>
                <w:szCs w:val="21"/>
              </w:rPr>
            </w:pPr>
            <w:r>
              <w:rPr>
                <w:rFonts w:hint="eastAsia"/>
              </w:rPr>
              <w:t>序号</w:t>
            </w:r>
          </w:p>
        </w:tc>
        <w:tc>
          <w:tcPr>
            <w:tcW w:w="8402" w:type="dxa"/>
            <w:shd w:val="clear" w:color="auto" w:fill="auto"/>
            <w:vAlign w:val="center"/>
          </w:tcPr>
          <w:p w14:paraId="24AC37D8">
            <w:r>
              <w:rPr>
                <w:rFonts w:hint="eastAsia"/>
              </w:rPr>
              <w:t>功能参数要求</w:t>
            </w:r>
          </w:p>
        </w:tc>
      </w:tr>
      <w:tr w14:paraId="20765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27" w:type="dxa"/>
            <w:shd w:val="clear" w:color="auto" w:fill="auto"/>
            <w:vAlign w:val="center"/>
          </w:tcPr>
          <w:p w14:paraId="050F31CA">
            <w:pPr>
              <w:rPr>
                <w:rFonts w:ascii="宋体" w:hAnsi="宋体"/>
                <w:szCs w:val="21"/>
              </w:rPr>
            </w:pPr>
            <w:r>
              <w:rPr>
                <w:rFonts w:hint="eastAsia"/>
              </w:rPr>
              <w:t>1</w:t>
            </w:r>
          </w:p>
        </w:tc>
        <w:tc>
          <w:tcPr>
            <w:tcW w:w="8402" w:type="dxa"/>
            <w:shd w:val="clear" w:color="auto" w:fill="auto"/>
            <w:vAlign w:val="center"/>
          </w:tcPr>
          <w:p w14:paraId="6598C803">
            <w:pPr>
              <w:rPr>
                <w:szCs w:val="21"/>
              </w:rPr>
            </w:pPr>
            <w:r>
              <w:rPr>
                <w:rFonts w:hint="eastAsia"/>
                <w:lang w:bidi="ar"/>
              </w:rPr>
              <w:t>参考相关国标、行标、行业主管单位下发的指导文件，协助用户确定测评系统边界，并明确定级标准与测评定级。</w:t>
            </w:r>
          </w:p>
        </w:tc>
      </w:tr>
      <w:tr w14:paraId="482C7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727" w:type="dxa"/>
            <w:shd w:val="clear" w:color="auto" w:fill="auto"/>
            <w:vAlign w:val="center"/>
          </w:tcPr>
          <w:p w14:paraId="20A6C11F">
            <w:pPr>
              <w:rPr>
                <w:rFonts w:ascii="宋体" w:hAnsi="宋体"/>
                <w:szCs w:val="21"/>
              </w:rPr>
            </w:pPr>
            <w:r>
              <w:t>2</w:t>
            </w:r>
          </w:p>
        </w:tc>
        <w:tc>
          <w:tcPr>
            <w:tcW w:w="8402" w:type="dxa"/>
            <w:shd w:val="clear" w:color="auto" w:fill="auto"/>
            <w:vAlign w:val="center"/>
          </w:tcPr>
          <w:p w14:paraId="4383DD9C">
            <w:pPr>
              <w:rPr>
                <w:szCs w:val="21"/>
              </w:rPr>
            </w:pPr>
            <w:r>
              <w:rPr>
                <w:rFonts w:hint="eastAsia"/>
                <w:lang w:bidi="ar"/>
              </w:rPr>
              <w:t>以《GM/T39786-2021 信息系统密码应用基本要求》、《信息系统密码应用基本要求》等相关标准文件，通过工具扫描和人工核查等安全测试方法，对被测系统进行安全风险评估、排查，对信息系统进行密码应用的差距分析。结合测评标准提供差距分析报告与整改实施建议。</w:t>
            </w:r>
          </w:p>
        </w:tc>
      </w:tr>
      <w:tr w14:paraId="6A94E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727" w:type="dxa"/>
            <w:shd w:val="clear" w:color="auto" w:fill="auto"/>
            <w:vAlign w:val="center"/>
          </w:tcPr>
          <w:p w14:paraId="7F0D2D0F">
            <w:pPr>
              <w:rPr>
                <w:rFonts w:ascii="宋体" w:hAnsi="宋体"/>
                <w:szCs w:val="21"/>
              </w:rPr>
            </w:pPr>
            <w:r>
              <w:t>3</w:t>
            </w:r>
          </w:p>
        </w:tc>
        <w:tc>
          <w:tcPr>
            <w:tcW w:w="8402" w:type="dxa"/>
            <w:shd w:val="clear" w:color="auto" w:fill="auto"/>
            <w:vAlign w:val="center"/>
          </w:tcPr>
          <w:p w14:paraId="11830531">
            <w:pPr>
              <w:rPr>
                <w:szCs w:val="21"/>
              </w:rPr>
            </w:pPr>
            <w:r>
              <w:rPr>
                <w:rFonts w:hint="eastAsia"/>
                <w:lang w:bidi="ar"/>
              </w:rPr>
              <w:t>以《GM/T39786-2021 信息系统密码应用基本要求》、《信息系统密码应用基本要求》等相关标准文件，结合行业特性要求、监管单位要求和密码安全业务需求进行系统方案设计与撰写。</w:t>
            </w:r>
          </w:p>
        </w:tc>
      </w:tr>
      <w:tr w14:paraId="79E4B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727" w:type="dxa"/>
            <w:shd w:val="clear" w:color="auto" w:fill="auto"/>
            <w:vAlign w:val="center"/>
          </w:tcPr>
          <w:p w14:paraId="4BDFC1B9">
            <w:pPr>
              <w:rPr>
                <w:rFonts w:ascii="宋体" w:hAnsi="宋体"/>
                <w:szCs w:val="21"/>
              </w:rPr>
            </w:pPr>
            <w:r>
              <w:t>4</w:t>
            </w:r>
          </w:p>
        </w:tc>
        <w:tc>
          <w:tcPr>
            <w:tcW w:w="8402" w:type="dxa"/>
            <w:shd w:val="clear" w:color="auto" w:fill="auto"/>
            <w:vAlign w:val="center"/>
          </w:tcPr>
          <w:p w14:paraId="31577237">
            <w:pPr>
              <w:rPr>
                <w:szCs w:val="21"/>
              </w:rPr>
            </w:pPr>
            <w:r>
              <w:rPr>
                <w:rFonts w:hint="eastAsia"/>
                <w:lang w:bidi="ar"/>
              </w:rPr>
              <w:t>协助密测检测机构，对《信息系统密码应用解决方案》进行专家评审或机构评审，并依据评审结论，对方案进行修订，完成方案最终评审。</w:t>
            </w:r>
          </w:p>
        </w:tc>
      </w:tr>
      <w:tr w14:paraId="600B0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727" w:type="dxa"/>
            <w:shd w:val="clear" w:color="auto" w:fill="auto"/>
            <w:vAlign w:val="center"/>
          </w:tcPr>
          <w:p w14:paraId="0C3C1BDC">
            <w:pPr>
              <w:rPr>
                <w:rFonts w:ascii="宋体" w:hAnsi="宋体"/>
                <w:szCs w:val="21"/>
              </w:rPr>
            </w:pPr>
            <w:r>
              <w:t>5</w:t>
            </w:r>
          </w:p>
        </w:tc>
        <w:tc>
          <w:tcPr>
            <w:tcW w:w="8402" w:type="dxa"/>
            <w:shd w:val="clear" w:color="auto" w:fill="auto"/>
            <w:vAlign w:val="center"/>
          </w:tcPr>
          <w:p w14:paraId="5067AD30">
            <w:pPr>
              <w:rPr>
                <w:szCs w:val="21"/>
              </w:rPr>
            </w:pPr>
            <w:r>
              <w:rPr>
                <w:rFonts w:hint="eastAsia"/>
                <w:lang w:bidi="ar"/>
              </w:rPr>
              <w:t>以《GM/T39786-2021 信息系统密码应用基本要求》、《信息系统密码应用基本要求》等相关标准文件，结合《信息系统密码应用解决方案》及密测标准，梳理整改要点和实施改造指南，辅助集成商进行系统对接及改造，并提供咨询服务。</w:t>
            </w:r>
          </w:p>
        </w:tc>
      </w:tr>
      <w:tr w14:paraId="7B5EA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27" w:type="dxa"/>
            <w:shd w:val="clear" w:color="auto" w:fill="auto"/>
            <w:vAlign w:val="center"/>
          </w:tcPr>
          <w:p w14:paraId="35388435">
            <w:pPr>
              <w:rPr>
                <w:rFonts w:ascii="宋体" w:hAnsi="宋体"/>
                <w:szCs w:val="21"/>
              </w:rPr>
            </w:pPr>
            <w:r>
              <w:t>6</w:t>
            </w:r>
          </w:p>
        </w:tc>
        <w:tc>
          <w:tcPr>
            <w:tcW w:w="8402" w:type="dxa"/>
            <w:shd w:val="clear" w:color="auto" w:fill="auto"/>
            <w:vAlign w:val="center"/>
          </w:tcPr>
          <w:p w14:paraId="4BEFB4AD">
            <w:pPr>
              <w:rPr>
                <w:szCs w:val="21"/>
              </w:rPr>
            </w:pPr>
            <w:r>
              <w:rPr>
                <w:rFonts w:hint="eastAsia"/>
                <w:lang w:bidi="ar"/>
              </w:rPr>
              <w:t>辅助用户完成密测测评全流程资料准备，配合用户与测评机构完成系统现场测评的人员访谈、文档查阅、技术核查与测评配合等工作，配合用户通过密测，获取密测报告。</w:t>
            </w:r>
          </w:p>
        </w:tc>
      </w:tr>
      <w:tr w14:paraId="70F61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27" w:type="dxa"/>
            <w:shd w:val="clear" w:color="auto" w:fill="auto"/>
            <w:vAlign w:val="center"/>
          </w:tcPr>
          <w:p w14:paraId="67BF26BB">
            <w:r>
              <w:rPr>
                <w:rFonts w:hint="eastAsia"/>
              </w:rPr>
              <w:t>7</w:t>
            </w:r>
          </w:p>
        </w:tc>
        <w:tc>
          <w:tcPr>
            <w:tcW w:w="8402" w:type="dxa"/>
            <w:shd w:val="clear" w:color="auto" w:fill="auto"/>
            <w:vAlign w:val="center"/>
          </w:tcPr>
          <w:p w14:paraId="5169B40C">
            <w:pPr>
              <w:rPr>
                <w:lang w:bidi="ar"/>
              </w:rPr>
            </w:pPr>
            <w:r>
              <w:rPr>
                <w:rFonts w:hint="eastAsia"/>
                <w:lang w:bidi="ar"/>
              </w:rPr>
              <w:t>承诺协助用户开展现有密码体系利旧改造</w:t>
            </w:r>
          </w:p>
        </w:tc>
      </w:tr>
      <w:tr w14:paraId="54D7D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27" w:type="dxa"/>
            <w:shd w:val="clear" w:color="auto" w:fill="auto"/>
            <w:vAlign w:val="center"/>
          </w:tcPr>
          <w:p w14:paraId="4D667318">
            <w:r>
              <w:rPr>
                <w:rFonts w:hint="eastAsia"/>
              </w:rPr>
              <w:t>8</w:t>
            </w:r>
          </w:p>
        </w:tc>
        <w:tc>
          <w:tcPr>
            <w:tcW w:w="8402" w:type="dxa"/>
            <w:shd w:val="clear" w:color="auto" w:fill="auto"/>
            <w:vAlign w:val="center"/>
          </w:tcPr>
          <w:p w14:paraId="26B140CF">
            <w:pPr>
              <w:rPr>
                <w:lang w:bidi="ar"/>
              </w:rPr>
            </w:pPr>
            <w:r>
              <w:rPr>
                <w:rFonts w:hint="eastAsia"/>
                <w:lang w:bidi="ar"/>
              </w:rPr>
              <w:t>具备相关产品备品备件能力，具备7</w:t>
            </w:r>
            <w:r>
              <w:rPr>
                <w:lang w:bidi="ar"/>
              </w:rPr>
              <w:t>*24</w:t>
            </w:r>
            <w:r>
              <w:rPr>
                <w:rFonts w:hint="eastAsia"/>
                <w:lang w:bidi="ar"/>
              </w:rPr>
              <w:t>小时报障热线，隔日提供备件能力</w:t>
            </w:r>
          </w:p>
        </w:tc>
      </w:tr>
    </w:tbl>
    <w:p w14:paraId="6FCEF41F"/>
    <w:p w14:paraId="7E16771C">
      <w:pPr>
        <w:pStyle w:val="3"/>
      </w:pPr>
      <w:r>
        <w:rPr>
          <w:rFonts w:hint="eastAsia"/>
        </w:rPr>
        <w:t>维保期及服务要求</w:t>
      </w:r>
    </w:p>
    <w:p w14:paraId="78A32002">
      <w:pPr>
        <w:pStyle w:val="52"/>
        <w:numPr>
          <w:ilvl w:val="0"/>
          <w:numId w:val="6"/>
        </w:numPr>
        <w:ind w:firstLineChars="0"/>
      </w:pPr>
      <w:r>
        <w:rPr>
          <w:rFonts w:hint="eastAsia"/>
        </w:rPr>
        <w:t>维保期：项目验收合格之日起</w:t>
      </w:r>
      <w:r>
        <w:t>36</w:t>
      </w:r>
      <w:r>
        <w:rPr>
          <w:rFonts w:hint="eastAsia"/>
        </w:rPr>
        <w:t>个月。</w:t>
      </w:r>
    </w:p>
    <w:p w14:paraId="54970111">
      <w:pPr>
        <w:pStyle w:val="52"/>
        <w:numPr>
          <w:ilvl w:val="0"/>
          <w:numId w:val="6"/>
        </w:numPr>
        <w:ind w:firstLineChars="0"/>
      </w:pPr>
      <w:r>
        <w:rPr>
          <w:rFonts w:hint="eastAsia"/>
        </w:rPr>
        <w:t>指定至少</w:t>
      </w:r>
      <w:r>
        <w:t>1</w:t>
      </w:r>
      <w:r>
        <w:rPr>
          <w:rFonts w:hint="eastAsia"/>
        </w:rPr>
        <w:t>名售后技术工程师，1名资深研发工程师长期为医院提供技术支持服务，充分确保项目成功实施的各种项目资源协调。</w:t>
      </w:r>
    </w:p>
    <w:p w14:paraId="149DBEDB">
      <w:pPr>
        <w:pStyle w:val="52"/>
        <w:numPr>
          <w:ilvl w:val="0"/>
          <w:numId w:val="6"/>
        </w:numPr>
        <w:ind w:firstLineChars="0"/>
      </w:pPr>
      <w:r>
        <w:rPr>
          <w:rFonts w:hint="eastAsia"/>
        </w:rPr>
        <w:t>维保期内派专职专业工程师负责服务跟踪，每半年对系统巡检一次，保证系统在最优化的状态下稳定运行。</w:t>
      </w:r>
    </w:p>
    <w:p w14:paraId="6E656E70">
      <w:pPr>
        <w:pStyle w:val="52"/>
        <w:numPr>
          <w:ilvl w:val="0"/>
          <w:numId w:val="6"/>
        </w:numPr>
        <w:ind w:firstLineChars="0"/>
      </w:pPr>
      <w:r>
        <w:rPr>
          <w:rFonts w:hint="eastAsia"/>
        </w:rPr>
        <w:t>维保期内出现影响用户业务的故障时，根据故障等级，提出相应的故障解决方案；</w:t>
      </w:r>
    </w:p>
    <w:p w14:paraId="462170DB">
      <w:pPr>
        <w:pStyle w:val="52"/>
        <w:numPr>
          <w:ilvl w:val="0"/>
          <w:numId w:val="6"/>
        </w:numPr>
        <w:ind w:firstLineChars="0"/>
      </w:pPr>
      <w:r>
        <w:rPr>
          <w:rFonts w:hint="eastAsia"/>
        </w:rPr>
        <w:t>维保期内对应用软件提供免费升级服务、免费提供安装部署、初始化配置系统服务；保证维保期后，院方新增应用系统时，提供免费软件对接等技术服务；</w:t>
      </w:r>
    </w:p>
    <w:p w14:paraId="32F0E374">
      <w:pPr>
        <w:pStyle w:val="52"/>
        <w:numPr>
          <w:ilvl w:val="0"/>
          <w:numId w:val="6"/>
        </w:numPr>
        <w:ind w:firstLineChars="0"/>
      </w:pPr>
      <w:r>
        <w:rPr>
          <w:rFonts w:hint="eastAsia"/>
        </w:rPr>
        <w:t>根据院方实际工作需要进行修改并满足工作要求，并维护期内，保证维保范围内功能模块满足客户化需求。</w:t>
      </w:r>
    </w:p>
    <w:p w14:paraId="67763560">
      <w:pPr>
        <w:pStyle w:val="52"/>
        <w:numPr>
          <w:ilvl w:val="0"/>
          <w:numId w:val="6"/>
        </w:numPr>
        <w:ind w:firstLineChars="0"/>
      </w:pPr>
      <w:r>
        <w:rPr>
          <w:rFonts w:hint="eastAsia"/>
        </w:rPr>
        <w:t>保证免费按时完成因上级部门政策要求调整、业务管理模式改变、医院信息化测评要求等而进行业务应用系统的升级和维护；</w:t>
      </w:r>
    </w:p>
    <w:p w14:paraId="24A6D5D0">
      <w:pPr>
        <w:pStyle w:val="52"/>
        <w:numPr>
          <w:ilvl w:val="0"/>
          <w:numId w:val="6"/>
        </w:numPr>
        <w:ind w:firstLineChars="0"/>
      </w:pPr>
      <w:r>
        <w:rPr>
          <w:rFonts w:hint="eastAsia"/>
        </w:rPr>
        <w:t>提供7*24小时电话、网络技术支持服务，遇到系统故障1</w:t>
      </w:r>
      <w:r>
        <w:t>5</w:t>
      </w:r>
      <w:r>
        <w:rPr>
          <w:rFonts w:hint="eastAsia"/>
        </w:rPr>
        <w:t>分钟内响应，能够2小时内远程解决，远程无法解决的4小时内到达现场服务直至问题妥善解决。</w:t>
      </w:r>
    </w:p>
    <w:p w14:paraId="1DD9C7C6">
      <w:pPr>
        <w:pStyle w:val="52"/>
        <w:numPr>
          <w:ilvl w:val="0"/>
          <w:numId w:val="6"/>
        </w:numPr>
        <w:ind w:firstLineChars="0"/>
      </w:pPr>
      <w:r>
        <w:rPr>
          <w:rFonts w:hint="eastAsia"/>
        </w:rPr>
        <w:t>如医院遇系统调整、机房搬迁、重大活动等需要现场保障的，需派技术工程师前往现场保障，直至保障任务结束；</w:t>
      </w:r>
    </w:p>
    <w:p w14:paraId="3AE9B10D">
      <w:pPr>
        <w:pStyle w:val="52"/>
      </w:pPr>
    </w:p>
    <w:p w14:paraId="554791F6">
      <w:pPr>
        <w:pStyle w:val="52"/>
      </w:pPr>
      <w:r>
        <w:rPr>
          <w:rFonts w:hint="eastAsia"/>
        </w:rPr>
        <w:t>1</w:t>
      </w:r>
      <w:r>
        <w:t>0.</w:t>
      </w:r>
      <w:r>
        <w:rPr>
          <w:rFonts w:hint="eastAsia"/>
        </w:rPr>
        <w:t>进度要求：</w:t>
      </w:r>
    </w:p>
    <w:p w14:paraId="5FEA614C">
      <w:pPr>
        <w:pStyle w:val="52"/>
      </w:pPr>
    </w:p>
    <w:p w14:paraId="553F846C">
      <w:bookmarkStart w:id="9" w:name="_Toc18218"/>
      <w:r>
        <w:t>本项目实施周期为</w:t>
      </w:r>
      <w:r>
        <w:rPr>
          <w:rFonts w:hint="eastAsia"/>
        </w:rPr>
        <w:t>6</w:t>
      </w:r>
      <w:r>
        <w:t>个月。</w:t>
      </w:r>
    </w:p>
    <w:p w14:paraId="6677FB67">
      <w:r>
        <w:t>1）项目总体进度及阶段性节点如下：</w:t>
      </w:r>
    </w:p>
    <w:p w14:paraId="2EF9AEAF">
      <w:r>
        <w:rPr>
          <w:rFonts w:hint="eastAsia"/>
        </w:rPr>
        <w:t>（1）第1个月，完成密码应用方案设计，并通过评估；</w:t>
      </w:r>
    </w:p>
    <w:p w14:paraId="5DF1E65A">
      <w:r>
        <w:rPr>
          <w:rFonts w:hint="eastAsia"/>
        </w:rPr>
        <w:t>（2）第2个月至第4个月，完成密码应用新建；</w:t>
      </w:r>
    </w:p>
    <w:p w14:paraId="052B8520">
      <w:r>
        <w:rPr>
          <w:rFonts w:hint="eastAsia"/>
        </w:rPr>
        <w:t>（</w:t>
      </w:r>
      <w:r>
        <w:t>3</w:t>
      </w:r>
      <w:r>
        <w:rPr>
          <w:rFonts w:hint="eastAsia"/>
        </w:rPr>
        <w:t>）第5个月至第6个月，完成系统运行效率、使用效果的后评价工作，并通过项目验收。</w:t>
      </w:r>
    </w:p>
    <w:p w14:paraId="712B6246">
      <w:r>
        <w:rPr>
          <w:rFonts w:hint="eastAsia"/>
        </w:rPr>
        <w:t>2</w:t>
      </w:r>
      <w:r>
        <w:t>）</w:t>
      </w:r>
      <w:r>
        <w:rPr>
          <w:rFonts w:hint="eastAsia"/>
        </w:rPr>
        <w:t>详细计划如下：</w:t>
      </w:r>
    </w:p>
    <w:tbl>
      <w:tblPr>
        <w:tblStyle w:val="23"/>
        <w:tblW w:w="8978" w:type="dxa"/>
        <w:tblInd w:w="-5" w:type="dxa"/>
        <w:tblLayout w:type="autofit"/>
        <w:tblCellMar>
          <w:top w:w="0" w:type="dxa"/>
          <w:left w:w="108" w:type="dxa"/>
          <w:bottom w:w="0" w:type="dxa"/>
          <w:right w:w="108" w:type="dxa"/>
        </w:tblCellMar>
      </w:tblPr>
      <w:tblGrid>
        <w:gridCol w:w="1212"/>
        <w:gridCol w:w="1212"/>
        <w:gridCol w:w="3457"/>
        <w:gridCol w:w="1212"/>
        <w:gridCol w:w="1885"/>
      </w:tblGrid>
      <w:tr w14:paraId="2F0A963E">
        <w:tblPrEx>
          <w:tblCellMar>
            <w:top w:w="0" w:type="dxa"/>
            <w:left w:w="108" w:type="dxa"/>
            <w:bottom w:w="0" w:type="dxa"/>
            <w:right w:w="108" w:type="dxa"/>
          </w:tblCellMar>
        </w:tblPrEx>
        <w:trPr>
          <w:trHeight w:val="263" w:hRule="atLeast"/>
          <w:tblHeader/>
        </w:trPr>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14:paraId="14E6C8D2">
            <w:r>
              <w:rPr>
                <w:rFonts w:hint="eastAsia"/>
              </w:rPr>
              <w:t>阶段</w:t>
            </w:r>
          </w:p>
        </w:tc>
        <w:tc>
          <w:tcPr>
            <w:tcW w:w="1212" w:type="dxa"/>
            <w:tcBorders>
              <w:top w:val="single" w:color="auto" w:sz="4" w:space="0"/>
              <w:left w:val="nil"/>
              <w:bottom w:val="single" w:color="auto" w:sz="4" w:space="0"/>
              <w:right w:val="single" w:color="auto" w:sz="4" w:space="0"/>
            </w:tcBorders>
            <w:shd w:val="clear" w:color="auto" w:fill="auto"/>
            <w:vAlign w:val="center"/>
          </w:tcPr>
          <w:p w14:paraId="3A845939">
            <w:r>
              <w:rPr>
                <w:rFonts w:hint="eastAsia"/>
              </w:rPr>
              <w:t>时间节点</w:t>
            </w:r>
          </w:p>
        </w:tc>
        <w:tc>
          <w:tcPr>
            <w:tcW w:w="3457" w:type="dxa"/>
            <w:tcBorders>
              <w:top w:val="single" w:color="auto" w:sz="4" w:space="0"/>
              <w:left w:val="nil"/>
              <w:bottom w:val="single" w:color="auto" w:sz="4" w:space="0"/>
              <w:right w:val="single" w:color="auto" w:sz="4" w:space="0"/>
            </w:tcBorders>
            <w:shd w:val="clear" w:color="auto" w:fill="auto"/>
            <w:vAlign w:val="center"/>
          </w:tcPr>
          <w:p w14:paraId="75008657">
            <w:r>
              <w:rPr>
                <w:rFonts w:hint="eastAsia"/>
              </w:rPr>
              <w:t>工作内容</w:t>
            </w:r>
          </w:p>
        </w:tc>
        <w:tc>
          <w:tcPr>
            <w:tcW w:w="1212" w:type="dxa"/>
            <w:tcBorders>
              <w:top w:val="single" w:color="auto" w:sz="4" w:space="0"/>
              <w:left w:val="nil"/>
              <w:bottom w:val="single" w:color="auto" w:sz="4" w:space="0"/>
              <w:right w:val="single" w:color="auto" w:sz="4" w:space="0"/>
            </w:tcBorders>
            <w:shd w:val="clear" w:color="auto" w:fill="auto"/>
            <w:vAlign w:val="center"/>
          </w:tcPr>
          <w:p w14:paraId="64ACA4EA">
            <w:r>
              <w:rPr>
                <w:rFonts w:hint="eastAsia"/>
              </w:rPr>
              <w:t>实施主体</w:t>
            </w:r>
          </w:p>
        </w:tc>
        <w:tc>
          <w:tcPr>
            <w:tcW w:w="1885" w:type="dxa"/>
            <w:tcBorders>
              <w:top w:val="single" w:color="auto" w:sz="4" w:space="0"/>
              <w:left w:val="nil"/>
              <w:bottom w:val="single" w:color="auto" w:sz="4" w:space="0"/>
              <w:right w:val="single" w:color="auto" w:sz="4" w:space="0"/>
            </w:tcBorders>
            <w:shd w:val="clear" w:color="auto" w:fill="auto"/>
            <w:vAlign w:val="center"/>
          </w:tcPr>
          <w:p w14:paraId="737DBE63">
            <w:r>
              <w:rPr>
                <w:rFonts w:hint="eastAsia"/>
              </w:rPr>
              <w:t>阶段性节点</w:t>
            </w:r>
          </w:p>
        </w:tc>
      </w:tr>
      <w:tr w14:paraId="5DE069CA">
        <w:tblPrEx>
          <w:tblCellMar>
            <w:top w:w="0" w:type="dxa"/>
            <w:left w:w="108" w:type="dxa"/>
            <w:bottom w:w="0" w:type="dxa"/>
            <w:right w:w="108" w:type="dxa"/>
          </w:tblCellMar>
        </w:tblPrEx>
        <w:trPr>
          <w:trHeight w:val="498" w:hRule="atLeast"/>
        </w:trPr>
        <w:tc>
          <w:tcPr>
            <w:tcW w:w="1212" w:type="dxa"/>
            <w:vMerge w:val="restart"/>
            <w:tcBorders>
              <w:top w:val="nil"/>
              <w:left w:val="single" w:color="auto" w:sz="4" w:space="0"/>
              <w:bottom w:val="single" w:color="auto" w:sz="4" w:space="0"/>
              <w:right w:val="single" w:color="auto" w:sz="4" w:space="0"/>
            </w:tcBorders>
            <w:shd w:val="clear" w:color="auto" w:fill="auto"/>
            <w:vAlign w:val="center"/>
          </w:tcPr>
          <w:p w14:paraId="669F6881">
            <w:r>
              <w:rPr>
                <w:rFonts w:hint="eastAsia"/>
              </w:rPr>
              <w:t>商用密码平台一期建设方案设计</w:t>
            </w:r>
          </w:p>
        </w:tc>
        <w:tc>
          <w:tcPr>
            <w:tcW w:w="1212" w:type="dxa"/>
            <w:vMerge w:val="restart"/>
            <w:tcBorders>
              <w:top w:val="nil"/>
              <w:left w:val="single" w:color="auto" w:sz="4" w:space="0"/>
              <w:bottom w:val="single" w:color="auto" w:sz="4" w:space="0"/>
              <w:right w:val="single" w:color="auto" w:sz="4" w:space="0"/>
            </w:tcBorders>
            <w:shd w:val="clear" w:color="auto" w:fill="auto"/>
            <w:vAlign w:val="center"/>
          </w:tcPr>
          <w:p w14:paraId="2352607E">
            <w:r>
              <w:rPr>
                <w:rFonts w:hint="eastAsia"/>
              </w:rPr>
              <w:t>第</w:t>
            </w:r>
            <w:r>
              <w:t>1</w:t>
            </w:r>
            <w:r>
              <w:rPr>
                <w:rFonts w:hint="eastAsia"/>
              </w:rPr>
              <w:t>个月</w:t>
            </w:r>
          </w:p>
        </w:tc>
        <w:tc>
          <w:tcPr>
            <w:tcW w:w="3457" w:type="dxa"/>
            <w:tcBorders>
              <w:top w:val="nil"/>
              <w:left w:val="nil"/>
              <w:bottom w:val="single" w:color="auto" w:sz="4" w:space="0"/>
              <w:right w:val="single" w:color="auto" w:sz="4" w:space="0"/>
            </w:tcBorders>
            <w:shd w:val="clear" w:color="auto" w:fill="auto"/>
            <w:vAlign w:val="center"/>
          </w:tcPr>
          <w:p w14:paraId="08A76E4F">
            <w:r>
              <w:rPr>
                <w:rFonts w:hint="eastAsia"/>
              </w:rPr>
              <w:t>密码应用方案沟通研讨，确定改造内容和范围。</w:t>
            </w:r>
          </w:p>
        </w:tc>
        <w:tc>
          <w:tcPr>
            <w:tcW w:w="1212" w:type="dxa"/>
            <w:vMerge w:val="restart"/>
            <w:tcBorders>
              <w:top w:val="nil"/>
              <w:left w:val="single" w:color="auto" w:sz="4" w:space="0"/>
              <w:bottom w:val="single" w:color="auto" w:sz="4" w:space="0"/>
              <w:right w:val="single" w:color="auto" w:sz="4" w:space="0"/>
            </w:tcBorders>
            <w:shd w:val="clear" w:color="auto" w:fill="auto"/>
            <w:vAlign w:val="center"/>
          </w:tcPr>
          <w:p w14:paraId="7D70A281">
            <w:r>
              <w:rPr>
                <w:rFonts w:hint="eastAsia"/>
              </w:rPr>
              <w:t>系统建设单位</w:t>
            </w:r>
          </w:p>
        </w:tc>
        <w:tc>
          <w:tcPr>
            <w:tcW w:w="1885" w:type="dxa"/>
            <w:vMerge w:val="restart"/>
            <w:tcBorders>
              <w:top w:val="nil"/>
              <w:left w:val="single" w:color="auto" w:sz="4" w:space="0"/>
              <w:bottom w:val="single" w:color="auto" w:sz="4" w:space="0"/>
              <w:right w:val="single" w:color="auto" w:sz="4" w:space="0"/>
            </w:tcBorders>
            <w:shd w:val="clear" w:color="auto" w:fill="auto"/>
            <w:vAlign w:val="center"/>
          </w:tcPr>
          <w:p w14:paraId="527BE8DB">
            <w:r>
              <w:rPr>
                <w:rFonts w:hint="eastAsia"/>
              </w:rPr>
              <w:t>　</w:t>
            </w:r>
          </w:p>
        </w:tc>
      </w:tr>
      <w:tr w14:paraId="6A614F23">
        <w:tblPrEx>
          <w:tblCellMar>
            <w:top w:w="0" w:type="dxa"/>
            <w:left w:w="108" w:type="dxa"/>
            <w:bottom w:w="0" w:type="dxa"/>
            <w:right w:w="108" w:type="dxa"/>
          </w:tblCellMar>
        </w:tblPrEx>
        <w:trPr>
          <w:trHeight w:val="747" w:hRule="atLeast"/>
        </w:trPr>
        <w:tc>
          <w:tcPr>
            <w:tcW w:w="1212" w:type="dxa"/>
            <w:vMerge w:val="continue"/>
            <w:tcBorders>
              <w:top w:val="nil"/>
              <w:left w:val="single" w:color="auto" w:sz="4" w:space="0"/>
              <w:bottom w:val="single" w:color="auto" w:sz="4" w:space="0"/>
              <w:right w:val="single" w:color="auto" w:sz="4" w:space="0"/>
            </w:tcBorders>
            <w:vAlign w:val="center"/>
          </w:tcPr>
          <w:p w14:paraId="7EDC8538"/>
        </w:tc>
        <w:tc>
          <w:tcPr>
            <w:tcW w:w="1212" w:type="dxa"/>
            <w:vMerge w:val="continue"/>
            <w:tcBorders>
              <w:top w:val="nil"/>
              <w:left w:val="single" w:color="auto" w:sz="4" w:space="0"/>
              <w:bottom w:val="single" w:color="auto" w:sz="4" w:space="0"/>
              <w:right w:val="single" w:color="auto" w:sz="4" w:space="0"/>
            </w:tcBorders>
            <w:vAlign w:val="center"/>
          </w:tcPr>
          <w:p w14:paraId="63C4BDEA"/>
        </w:tc>
        <w:tc>
          <w:tcPr>
            <w:tcW w:w="3457" w:type="dxa"/>
            <w:tcBorders>
              <w:top w:val="nil"/>
              <w:left w:val="nil"/>
              <w:bottom w:val="single" w:color="auto" w:sz="4" w:space="0"/>
              <w:right w:val="single" w:color="auto" w:sz="4" w:space="0"/>
            </w:tcBorders>
            <w:shd w:val="clear" w:color="auto" w:fill="auto"/>
            <w:vAlign w:val="center"/>
          </w:tcPr>
          <w:p w14:paraId="415C2F1A">
            <w:r>
              <w:rPr>
                <w:rFonts w:hint="eastAsia"/>
              </w:rPr>
              <w:t>开展密码应用方案设计，确定项目总体整体架构，明确项目实施周期和关键时间节点。</w:t>
            </w:r>
          </w:p>
        </w:tc>
        <w:tc>
          <w:tcPr>
            <w:tcW w:w="1212" w:type="dxa"/>
            <w:vMerge w:val="continue"/>
            <w:tcBorders>
              <w:top w:val="nil"/>
              <w:left w:val="single" w:color="auto" w:sz="4" w:space="0"/>
              <w:bottom w:val="single" w:color="auto" w:sz="4" w:space="0"/>
              <w:right w:val="single" w:color="auto" w:sz="4" w:space="0"/>
            </w:tcBorders>
            <w:vAlign w:val="center"/>
          </w:tcPr>
          <w:p w14:paraId="4670D44D"/>
        </w:tc>
        <w:tc>
          <w:tcPr>
            <w:tcW w:w="1885" w:type="dxa"/>
            <w:vMerge w:val="continue"/>
            <w:tcBorders>
              <w:top w:val="nil"/>
              <w:left w:val="single" w:color="auto" w:sz="4" w:space="0"/>
              <w:bottom w:val="single" w:color="auto" w:sz="4" w:space="0"/>
              <w:right w:val="single" w:color="auto" w:sz="4" w:space="0"/>
            </w:tcBorders>
            <w:vAlign w:val="center"/>
          </w:tcPr>
          <w:p w14:paraId="46C83667"/>
        </w:tc>
      </w:tr>
      <w:tr w14:paraId="55AEAAEA">
        <w:tblPrEx>
          <w:tblCellMar>
            <w:top w:w="0" w:type="dxa"/>
            <w:left w:w="108" w:type="dxa"/>
            <w:bottom w:w="0" w:type="dxa"/>
            <w:right w:w="108" w:type="dxa"/>
          </w:tblCellMar>
        </w:tblPrEx>
        <w:trPr>
          <w:trHeight w:val="1246" w:hRule="atLeast"/>
        </w:trPr>
        <w:tc>
          <w:tcPr>
            <w:tcW w:w="1212" w:type="dxa"/>
            <w:vMerge w:val="continue"/>
            <w:tcBorders>
              <w:top w:val="nil"/>
              <w:left w:val="single" w:color="auto" w:sz="4" w:space="0"/>
              <w:bottom w:val="single" w:color="auto" w:sz="4" w:space="0"/>
              <w:right w:val="single" w:color="auto" w:sz="4" w:space="0"/>
            </w:tcBorders>
            <w:vAlign w:val="center"/>
          </w:tcPr>
          <w:p w14:paraId="260071B3"/>
        </w:tc>
        <w:tc>
          <w:tcPr>
            <w:tcW w:w="1212" w:type="dxa"/>
            <w:vMerge w:val="continue"/>
            <w:tcBorders>
              <w:top w:val="nil"/>
              <w:left w:val="single" w:color="auto" w:sz="4" w:space="0"/>
              <w:bottom w:val="single" w:color="auto" w:sz="4" w:space="0"/>
              <w:right w:val="single" w:color="auto" w:sz="4" w:space="0"/>
            </w:tcBorders>
            <w:vAlign w:val="center"/>
          </w:tcPr>
          <w:p w14:paraId="5FA1E160"/>
        </w:tc>
        <w:tc>
          <w:tcPr>
            <w:tcW w:w="3457" w:type="dxa"/>
            <w:tcBorders>
              <w:top w:val="nil"/>
              <w:left w:val="nil"/>
              <w:bottom w:val="single" w:color="auto" w:sz="4" w:space="0"/>
              <w:right w:val="single" w:color="auto" w:sz="4" w:space="0"/>
            </w:tcBorders>
            <w:shd w:val="clear" w:color="auto" w:fill="auto"/>
            <w:vAlign w:val="center"/>
          </w:tcPr>
          <w:p w14:paraId="3ADB23D8">
            <w:r>
              <w:rPr>
                <w:rFonts w:hint="eastAsia"/>
              </w:rPr>
              <w:t>开展详细的密码应用方案编制，完成系统现状分析、密码应用需求分析、技术方案、安全管理方案和实施保障方案等内容的编制。</w:t>
            </w:r>
          </w:p>
        </w:tc>
        <w:tc>
          <w:tcPr>
            <w:tcW w:w="1212" w:type="dxa"/>
            <w:vMerge w:val="continue"/>
            <w:tcBorders>
              <w:top w:val="nil"/>
              <w:left w:val="single" w:color="auto" w:sz="4" w:space="0"/>
              <w:bottom w:val="single" w:color="auto" w:sz="4" w:space="0"/>
              <w:right w:val="single" w:color="auto" w:sz="4" w:space="0"/>
            </w:tcBorders>
            <w:vAlign w:val="center"/>
          </w:tcPr>
          <w:p w14:paraId="4898D358"/>
        </w:tc>
        <w:tc>
          <w:tcPr>
            <w:tcW w:w="1885" w:type="dxa"/>
            <w:vMerge w:val="continue"/>
            <w:tcBorders>
              <w:top w:val="nil"/>
              <w:left w:val="single" w:color="auto" w:sz="4" w:space="0"/>
              <w:bottom w:val="single" w:color="auto" w:sz="4" w:space="0"/>
              <w:right w:val="single" w:color="auto" w:sz="4" w:space="0"/>
            </w:tcBorders>
            <w:vAlign w:val="center"/>
          </w:tcPr>
          <w:p w14:paraId="0F6796F8"/>
        </w:tc>
      </w:tr>
      <w:tr w14:paraId="45DEE1C2">
        <w:tblPrEx>
          <w:tblCellMar>
            <w:top w:w="0" w:type="dxa"/>
            <w:left w:w="108" w:type="dxa"/>
            <w:bottom w:w="0" w:type="dxa"/>
            <w:right w:w="108" w:type="dxa"/>
          </w:tblCellMar>
        </w:tblPrEx>
        <w:trPr>
          <w:trHeight w:val="498" w:hRule="atLeast"/>
        </w:trPr>
        <w:tc>
          <w:tcPr>
            <w:tcW w:w="1212" w:type="dxa"/>
            <w:vMerge w:val="continue"/>
            <w:tcBorders>
              <w:top w:val="nil"/>
              <w:left w:val="single" w:color="auto" w:sz="4" w:space="0"/>
              <w:bottom w:val="single" w:color="auto" w:sz="4" w:space="0"/>
              <w:right w:val="single" w:color="auto" w:sz="4" w:space="0"/>
            </w:tcBorders>
            <w:vAlign w:val="center"/>
          </w:tcPr>
          <w:p w14:paraId="4CE29035"/>
        </w:tc>
        <w:tc>
          <w:tcPr>
            <w:tcW w:w="1212" w:type="dxa"/>
            <w:vMerge w:val="continue"/>
            <w:tcBorders>
              <w:top w:val="nil"/>
              <w:left w:val="single" w:color="auto" w:sz="4" w:space="0"/>
              <w:bottom w:val="single" w:color="auto" w:sz="4" w:space="0"/>
              <w:right w:val="single" w:color="auto" w:sz="4" w:space="0"/>
            </w:tcBorders>
            <w:vAlign w:val="center"/>
          </w:tcPr>
          <w:p w14:paraId="56FA40F7"/>
        </w:tc>
        <w:tc>
          <w:tcPr>
            <w:tcW w:w="3457" w:type="dxa"/>
            <w:tcBorders>
              <w:top w:val="nil"/>
              <w:left w:val="nil"/>
              <w:bottom w:val="single" w:color="auto" w:sz="4" w:space="0"/>
              <w:right w:val="single" w:color="auto" w:sz="4" w:space="0"/>
            </w:tcBorders>
            <w:shd w:val="clear" w:color="auto" w:fill="auto"/>
            <w:vAlign w:val="center"/>
          </w:tcPr>
          <w:p w14:paraId="1834BD30">
            <w:r>
              <w:rPr>
                <w:rFonts w:hint="eastAsia"/>
              </w:rPr>
              <w:t>根据密码应用的场景及方案设计内容。</w:t>
            </w:r>
          </w:p>
        </w:tc>
        <w:tc>
          <w:tcPr>
            <w:tcW w:w="1212" w:type="dxa"/>
            <w:vMerge w:val="continue"/>
            <w:tcBorders>
              <w:top w:val="nil"/>
              <w:left w:val="single" w:color="auto" w:sz="4" w:space="0"/>
              <w:bottom w:val="single" w:color="auto" w:sz="4" w:space="0"/>
              <w:right w:val="single" w:color="auto" w:sz="4" w:space="0"/>
            </w:tcBorders>
            <w:vAlign w:val="center"/>
          </w:tcPr>
          <w:p w14:paraId="018F1515"/>
        </w:tc>
        <w:tc>
          <w:tcPr>
            <w:tcW w:w="1885" w:type="dxa"/>
            <w:vMerge w:val="continue"/>
            <w:tcBorders>
              <w:top w:val="nil"/>
              <w:left w:val="single" w:color="auto" w:sz="4" w:space="0"/>
              <w:bottom w:val="single" w:color="auto" w:sz="4" w:space="0"/>
              <w:right w:val="single" w:color="auto" w:sz="4" w:space="0"/>
            </w:tcBorders>
            <w:vAlign w:val="center"/>
          </w:tcPr>
          <w:p w14:paraId="21E5DADC"/>
        </w:tc>
      </w:tr>
      <w:tr w14:paraId="7BF3B247">
        <w:tblPrEx>
          <w:tblCellMar>
            <w:top w:w="0" w:type="dxa"/>
            <w:left w:w="108" w:type="dxa"/>
            <w:bottom w:w="0" w:type="dxa"/>
            <w:right w:w="108" w:type="dxa"/>
          </w:tblCellMar>
        </w:tblPrEx>
        <w:trPr>
          <w:trHeight w:val="263" w:hRule="atLeast"/>
        </w:trPr>
        <w:tc>
          <w:tcPr>
            <w:tcW w:w="1212" w:type="dxa"/>
            <w:vMerge w:val="continue"/>
            <w:tcBorders>
              <w:top w:val="nil"/>
              <w:left w:val="single" w:color="auto" w:sz="4" w:space="0"/>
              <w:bottom w:val="single" w:color="auto" w:sz="4" w:space="0"/>
              <w:right w:val="single" w:color="auto" w:sz="4" w:space="0"/>
            </w:tcBorders>
            <w:vAlign w:val="center"/>
          </w:tcPr>
          <w:p w14:paraId="6FBB14E8"/>
        </w:tc>
        <w:tc>
          <w:tcPr>
            <w:tcW w:w="1212" w:type="dxa"/>
            <w:vMerge w:val="continue"/>
            <w:tcBorders>
              <w:top w:val="nil"/>
              <w:left w:val="single" w:color="auto" w:sz="4" w:space="0"/>
              <w:bottom w:val="single" w:color="auto" w:sz="4" w:space="0"/>
              <w:right w:val="single" w:color="auto" w:sz="4" w:space="0"/>
            </w:tcBorders>
            <w:vAlign w:val="center"/>
          </w:tcPr>
          <w:p w14:paraId="72E079FF"/>
        </w:tc>
        <w:tc>
          <w:tcPr>
            <w:tcW w:w="3457" w:type="dxa"/>
            <w:tcBorders>
              <w:top w:val="nil"/>
              <w:left w:val="nil"/>
              <w:bottom w:val="single" w:color="auto" w:sz="4" w:space="0"/>
              <w:right w:val="single" w:color="auto" w:sz="4" w:space="0"/>
            </w:tcBorders>
            <w:shd w:val="clear" w:color="auto" w:fill="auto"/>
            <w:vAlign w:val="center"/>
          </w:tcPr>
          <w:p w14:paraId="52822E6B">
            <w:r>
              <w:rPr>
                <w:rFonts w:hint="eastAsia"/>
              </w:rPr>
              <w:t>对方案进行评估。</w:t>
            </w:r>
          </w:p>
        </w:tc>
        <w:tc>
          <w:tcPr>
            <w:tcW w:w="1212" w:type="dxa"/>
            <w:tcBorders>
              <w:top w:val="nil"/>
              <w:left w:val="nil"/>
              <w:bottom w:val="single" w:color="auto" w:sz="4" w:space="0"/>
              <w:right w:val="single" w:color="auto" w:sz="4" w:space="0"/>
            </w:tcBorders>
            <w:shd w:val="clear" w:color="auto" w:fill="auto"/>
            <w:vAlign w:val="center"/>
          </w:tcPr>
          <w:p w14:paraId="641EAD09">
            <w:r>
              <w:rPr>
                <w:rFonts w:hint="eastAsia"/>
              </w:rPr>
              <w:t>密评机构</w:t>
            </w:r>
          </w:p>
        </w:tc>
        <w:tc>
          <w:tcPr>
            <w:tcW w:w="1885" w:type="dxa"/>
            <w:tcBorders>
              <w:top w:val="nil"/>
              <w:left w:val="nil"/>
              <w:bottom w:val="single" w:color="auto" w:sz="4" w:space="0"/>
              <w:right w:val="single" w:color="auto" w:sz="4" w:space="0"/>
            </w:tcBorders>
            <w:shd w:val="clear" w:color="auto" w:fill="auto"/>
            <w:vAlign w:val="center"/>
          </w:tcPr>
          <w:p w14:paraId="10D14B7F">
            <w:r>
              <w:rPr>
                <w:rFonts w:hint="eastAsia"/>
              </w:rPr>
              <w:t>密码应用方案通过评估</w:t>
            </w:r>
          </w:p>
        </w:tc>
      </w:tr>
      <w:tr w14:paraId="653724D6">
        <w:tblPrEx>
          <w:tblCellMar>
            <w:top w:w="0" w:type="dxa"/>
            <w:left w:w="108" w:type="dxa"/>
            <w:bottom w:w="0" w:type="dxa"/>
            <w:right w:w="108" w:type="dxa"/>
          </w:tblCellMar>
        </w:tblPrEx>
        <w:trPr>
          <w:trHeight w:val="1246" w:hRule="atLeast"/>
        </w:trPr>
        <w:tc>
          <w:tcPr>
            <w:tcW w:w="1212" w:type="dxa"/>
            <w:vMerge w:val="restart"/>
            <w:tcBorders>
              <w:top w:val="nil"/>
              <w:left w:val="single" w:color="auto" w:sz="4" w:space="0"/>
              <w:bottom w:val="single" w:color="auto" w:sz="4" w:space="0"/>
              <w:right w:val="single" w:color="auto" w:sz="4" w:space="0"/>
            </w:tcBorders>
            <w:shd w:val="clear" w:color="auto" w:fill="auto"/>
            <w:vAlign w:val="center"/>
          </w:tcPr>
          <w:p w14:paraId="76CADA48">
            <w:r>
              <w:rPr>
                <w:rFonts w:hint="eastAsia"/>
              </w:rPr>
              <w:t>选择集成商密码应用建设</w:t>
            </w:r>
          </w:p>
        </w:tc>
        <w:tc>
          <w:tcPr>
            <w:tcW w:w="1212" w:type="dxa"/>
            <w:vMerge w:val="restart"/>
            <w:tcBorders>
              <w:top w:val="nil"/>
              <w:left w:val="single" w:color="auto" w:sz="4" w:space="0"/>
              <w:bottom w:val="single" w:color="auto" w:sz="4" w:space="0"/>
              <w:right w:val="single" w:color="auto" w:sz="4" w:space="0"/>
            </w:tcBorders>
            <w:shd w:val="clear" w:color="auto" w:fill="auto"/>
            <w:vAlign w:val="center"/>
          </w:tcPr>
          <w:p w14:paraId="0CCCC089">
            <w:r>
              <w:rPr>
                <w:rFonts w:hint="eastAsia"/>
              </w:rPr>
              <w:t>第</w:t>
            </w:r>
            <w:r>
              <w:t>2</w:t>
            </w:r>
            <w:r>
              <w:rPr>
                <w:rFonts w:hint="eastAsia"/>
              </w:rPr>
              <w:t>个月</w:t>
            </w:r>
            <w:r>
              <w:t>-</w:t>
            </w:r>
            <w:r>
              <w:rPr>
                <w:rFonts w:hint="eastAsia"/>
              </w:rPr>
              <w:t>第</w:t>
            </w:r>
            <w:r>
              <w:t>4</w:t>
            </w:r>
            <w:r>
              <w:rPr>
                <w:rFonts w:hint="eastAsia"/>
              </w:rPr>
              <w:t>个月</w:t>
            </w:r>
          </w:p>
        </w:tc>
        <w:tc>
          <w:tcPr>
            <w:tcW w:w="3457" w:type="dxa"/>
            <w:tcBorders>
              <w:top w:val="nil"/>
              <w:left w:val="nil"/>
              <w:bottom w:val="single" w:color="auto" w:sz="4" w:space="0"/>
              <w:right w:val="single" w:color="auto" w:sz="4" w:space="0"/>
            </w:tcBorders>
            <w:shd w:val="clear" w:color="auto" w:fill="auto"/>
            <w:vAlign w:val="center"/>
          </w:tcPr>
          <w:p w14:paraId="5D922CB7">
            <w:r>
              <w:rPr>
                <w:rFonts w:hint="eastAsia"/>
              </w:rPr>
              <w:t>选择集成商，负责系统的商用密码平台一期建设</w:t>
            </w:r>
          </w:p>
        </w:tc>
        <w:tc>
          <w:tcPr>
            <w:tcW w:w="1212" w:type="dxa"/>
            <w:tcBorders>
              <w:top w:val="nil"/>
              <w:left w:val="nil"/>
              <w:bottom w:val="single" w:color="auto" w:sz="4" w:space="0"/>
              <w:right w:val="single" w:color="auto" w:sz="4" w:space="0"/>
            </w:tcBorders>
            <w:shd w:val="clear" w:color="auto" w:fill="auto"/>
            <w:vAlign w:val="center"/>
          </w:tcPr>
          <w:p w14:paraId="50ADCA4D">
            <w:r>
              <w:rPr>
                <w:rFonts w:hint="eastAsia"/>
              </w:rPr>
              <w:t>系统建设单位系统建设单位、系统集成商</w:t>
            </w:r>
          </w:p>
        </w:tc>
        <w:tc>
          <w:tcPr>
            <w:tcW w:w="1885" w:type="dxa"/>
            <w:tcBorders>
              <w:top w:val="nil"/>
              <w:left w:val="nil"/>
              <w:bottom w:val="single" w:color="auto" w:sz="4" w:space="0"/>
              <w:right w:val="single" w:color="auto" w:sz="4" w:space="0"/>
            </w:tcBorders>
            <w:shd w:val="clear" w:color="auto" w:fill="auto"/>
            <w:vAlign w:val="center"/>
          </w:tcPr>
          <w:p w14:paraId="6FEF8597">
            <w:r>
              <w:rPr>
                <w:rFonts w:hint="eastAsia"/>
              </w:rPr>
              <w:t>选择密码应用新建集成商完成本项目密码保障体系中的技术体系建设</w:t>
            </w:r>
          </w:p>
        </w:tc>
      </w:tr>
      <w:tr w14:paraId="3EA69836">
        <w:tblPrEx>
          <w:tblCellMar>
            <w:top w:w="0" w:type="dxa"/>
            <w:left w:w="108" w:type="dxa"/>
            <w:bottom w:w="0" w:type="dxa"/>
            <w:right w:w="108" w:type="dxa"/>
          </w:tblCellMar>
        </w:tblPrEx>
        <w:trPr>
          <w:trHeight w:val="747" w:hRule="atLeast"/>
        </w:trPr>
        <w:tc>
          <w:tcPr>
            <w:tcW w:w="1212" w:type="dxa"/>
            <w:vMerge w:val="continue"/>
            <w:tcBorders>
              <w:top w:val="nil"/>
              <w:left w:val="single" w:color="auto" w:sz="4" w:space="0"/>
              <w:bottom w:val="single" w:color="auto" w:sz="4" w:space="0"/>
              <w:right w:val="single" w:color="auto" w:sz="4" w:space="0"/>
            </w:tcBorders>
            <w:vAlign w:val="center"/>
          </w:tcPr>
          <w:p w14:paraId="70CF243D"/>
        </w:tc>
        <w:tc>
          <w:tcPr>
            <w:tcW w:w="1212" w:type="dxa"/>
            <w:vMerge w:val="continue"/>
            <w:tcBorders>
              <w:top w:val="nil"/>
              <w:left w:val="single" w:color="auto" w:sz="4" w:space="0"/>
              <w:bottom w:val="single" w:color="auto" w:sz="4" w:space="0"/>
              <w:right w:val="single" w:color="auto" w:sz="4" w:space="0"/>
            </w:tcBorders>
            <w:vAlign w:val="center"/>
          </w:tcPr>
          <w:p w14:paraId="35D0F6AA"/>
        </w:tc>
        <w:tc>
          <w:tcPr>
            <w:tcW w:w="3457" w:type="dxa"/>
            <w:tcBorders>
              <w:top w:val="nil"/>
              <w:left w:val="nil"/>
              <w:bottom w:val="single" w:color="auto" w:sz="4" w:space="0"/>
              <w:right w:val="single" w:color="auto" w:sz="4" w:space="0"/>
            </w:tcBorders>
            <w:shd w:val="clear" w:color="auto" w:fill="auto"/>
            <w:vAlign w:val="center"/>
          </w:tcPr>
          <w:p w14:paraId="1E4FED32">
            <w:r>
              <w:rPr>
                <w:rFonts w:hint="eastAsia"/>
              </w:rPr>
              <w:t>根据密码应用技术方案中的密码服务清单，使用对应的密码资源。</w:t>
            </w:r>
          </w:p>
        </w:tc>
        <w:tc>
          <w:tcPr>
            <w:tcW w:w="1212" w:type="dxa"/>
            <w:vMerge w:val="restart"/>
            <w:tcBorders>
              <w:top w:val="nil"/>
              <w:left w:val="single" w:color="auto" w:sz="4" w:space="0"/>
              <w:bottom w:val="single" w:color="000000" w:sz="4" w:space="0"/>
              <w:right w:val="single" w:color="auto" w:sz="4" w:space="0"/>
            </w:tcBorders>
            <w:shd w:val="clear" w:color="auto" w:fill="auto"/>
            <w:vAlign w:val="center"/>
          </w:tcPr>
          <w:p w14:paraId="1C5A79F2">
            <w:r>
              <w:rPr>
                <w:rFonts w:hint="eastAsia"/>
              </w:rPr>
              <w:t>系统建设单位</w:t>
            </w:r>
          </w:p>
        </w:tc>
        <w:tc>
          <w:tcPr>
            <w:tcW w:w="1885" w:type="dxa"/>
            <w:vMerge w:val="restart"/>
            <w:tcBorders>
              <w:top w:val="nil"/>
              <w:left w:val="single" w:color="auto" w:sz="4" w:space="0"/>
              <w:bottom w:val="single" w:color="auto" w:sz="4" w:space="0"/>
              <w:right w:val="single" w:color="auto" w:sz="4" w:space="0"/>
            </w:tcBorders>
            <w:shd w:val="clear" w:color="auto" w:fill="auto"/>
            <w:vAlign w:val="center"/>
          </w:tcPr>
          <w:p w14:paraId="49E2345B">
            <w:r>
              <w:rPr>
                <w:rFonts w:hint="eastAsia"/>
              </w:rPr>
              <w:t>完成本项目密码保障体系中的管理体系设计</w:t>
            </w:r>
          </w:p>
        </w:tc>
      </w:tr>
      <w:tr w14:paraId="2CA629B0">
        <w:tblPrEx>
          <w:tblCellMar>
            <w:top w:w="0" w:type="dxa"/>
            <w:left w:w="108" w:type="dxa"/>
            <w:bottom w:w="0" w:type="dxa"/>
            <w:right w:w="108" w:type="dxa"/>
          </w:tblCellMar>
        </w:tblPrEx>
        <w:trPr>
          <w:trHeight w:val="747" w:hRule="atLeast"/>
        </w:trPr>
        <w:tc>
          <w:tcPr>
            <w:tcW w:w="1212" w:type="dxa"/>
            <w:vMerge w:val="continue"/>
            <w:tcBorders>
              <w:top w:val="nil"/>
              <w:left w:val="single" w:color="auto" w:sz="4" w:space="0"/>
              <w:bottom w:val="single" w:color="auto" w:sz="4" w:space="0"/>
              <w:right w:val="single" w:color="auto" w:sz="4" w:space="0"/>
            </w:tcBorders>
            <w:vAlign w:val="center"/>
          </w:tcPr>
          <w:p w14:paraId="7C63E0DC"/>
        </w:tc>
        <w:tc>
          <w:tcPr>
            <w:tcW w:w="1212" w:type="dxa"/>
            <w:vMerge w:val="continue"/>
            <w:tcBorders>
              <w:top w:val="nil"/>
              <w:left w:val="single" w:color="auto" w:sz="4" w:space="0"/>
              <w:bottom w:val="single" w:color="auto" w:sz="4" w:space="0"/>
              <w:right w:val="single" w:color="auto" w:sz="4" w:space="0"/>
            </w:tcBorders>
            <w:vAlign w:val="center"/>
          </w:tcPr>
          <w:p w14:paraId="3A258DF1"/>
        </w:tc>
        <w:tc>
          <w:tcPr>
            <w:tcW w:w="3457" w:type="dxa"/>
            <w:tcBorders>
              <w:top w:val="nil"/>
              <w:left w:val="nil"/>
              <w:bottom w:val="single" w:color="auto" w:sz="4" w:space="0"/>
              <w:right w:val="single" w:color="auto" w:sz="4" w:space="0"/>
            </w:tcBorders>
            <w:shd w:val="clear" w:color="auto" w:fill="auto"/>
            <w:vAlign w:val="center"/>
          </w:tcPr>
          <w:p w14:paraId="0A37B080">
            <w:r>
              <w:rPr>
                <w:rFonts w:hint="eastAsia"/>
              </w:rPr>
              <w:t>根据密码应用技术方案，复用系统所在的云机房电子门禁系统、视频监控系统。</w:t>
            </w:r>
          </w:p>
        </w:tc>
        <w:tc>
          <w:tcPr>
            <w:tcW w:w="1212" w:type="dxa"/>
            <w:vMerge w:val="continue"/>
            <w:tcBorders>
              <w:top w:val="nil"/>
              <w:left w:val="single" w:color="auto" w:sz="4" w:space="0"/>
              <w:bottom w:val="single" w:color="000000" w:sz="4" w:space="0"/>
              <w:right w:val="single" w:color="auto" w:sz="4" w:space="0"/>
            </w:tcBorders>
            <w:vAlign w:val="center"/>
          </w:tcPr>
          <w:p w14:paraId="3525DC1F"/>
        </w:tc>
        <w:tc>
          <w:tcPr>
            <w:tcW w:w="1885" w:type="dxa"/>
            <w:vMerge w:val="continue"/>
            <w:tcBorders>
              <w:top w:val="nil"/>
              <w:left w:val="single" w:color="auto" w:sz="4" w:space="0"/>
              <w:bottom w:val="single" w:color="auto" w:sz="4" w:space="0"/>
              <w:right w:val="single" w:color="auto" w:sz="4" w:space="0"/>
            </w:tcBorders>
            <w:vAlign w:val="center"/>
          </w:tcPr>
          <w:p w14:paraId="4DCE5BB4"/>
        </w:tc>
      </w:tr>
      <w:tr w14:paraId="2C23FEA3">
        <w:tblPrEx>
          <w:tblCellMar>
            <w:top w:w="0" w:type="dxa"/>
            <w:left w:w="108" w:type="dxa"/>
            <w:bottom w:w="0" w:type="dxa"/>
            <w:right w:w="108" w:type="dxa"/>
          </w:tblCellMar>
        </w:tblPrEx>
        <w:trPr>
          <w:trHeight w:val="1246" w:hRule="atLeast"/>
        </w:trPr>
        <w:tc>
          <w:tcPr>
            <w:tcW w:w="1212" w:type="dxa"/>
            <w:vMerge w:val="continue"/>
            <w:tcBorders>
              <w:top w:val="nil"/>
              <w:left w:val="single" w:color="auto" w:sz="4" w:space="0"/>
              <w:bottom w:val="single" w:color="auto" w:sz="4" w:space="0"/>
              <w:right w:val="single" w:color="auto" w:sz="4" w:space="0"/>
            </w:tcBorders>
            <w:vAlign w:val="center"/>
          </w:tcPr>
          <w:p w14:paraId="786D926A"/>
        </w:tc>
        <w:tc>
          <w:tcPr>
            <w:tcW w:w="1212" w:type="dxa"/>
            <w:vMerge w:val="continue"/>
            <w:tcBorders>
              <w:top w:val="nil"/>
              <w:left w:val="single" w:color="auto" w:sz="4" w:space="0"/>
              <w:bottom w:val="single" w:color="auto" w:sz="4" w:space="0"/>
              <w:right w:val="single" w:color="auto" w:sz="4" w:space="0"/>
            </w:tcBorders>
            <w:vAlign w:val="center"/>
          </w:tcPr>
          <w:p w14:paraId="5113B47A"/>
        </w:tc>
        <w:tc>
          <w:tcPr>
            <w:tcW w:w="3457" w:type="dxa"/>
            <w:tcBorders>
              <w:top w:val="nil"/>
              <w:left w:val="nil"/>
              <w:bottom w:val="single" w:color="auto" w:sz="4" w:space="0"/>
              <w:right w:val="single" w:color="auto" w:sz="4" w:space="0"/>
            </w:tcBorders>
            <w:shd w:val="clear" w:color="auto" w:fill="auto"/>
            <w:vAlign w:val="center"/>
          </w:tcPr>
          <w:p w14:paraId="042B1041">
            <w:r>
              <w:rPr>
                <w:rFonts w:hint="eastAsia"/>
              </w:rPr>
              <w:t>根据密码应用技术方案，对系统网络和通信层面的身份鉴别、网络传输通道、集中管理通道等方面的安全需求进行商用密码平台一期建设。</w:t>
            </w:r>
          </w:p>
        </w:tc>
        <w:tc>
          <w:tcPr>
            <w:tcW w:w="1212" w:type="dxa"/>
            <w:vMerge w:val="continue"/>
            <w:tcBorders>
              <w:top w:val="nil"/>
              <w:left w:val="single" w:color="auto" w:sz="4" w:space="0"/>
              <w:bottom w:val="single" w:color="000000" w:sz="4" w:space="0"/>
              <w:right w:val="single" w:color="auto" w:sz="4" w:space="0"/>
            </w:tcBorders>
            <w:vAlign w:val="center"/>
          </w:tcPr>
          <w:p w14:paraId="5CFBE075"/>
        </w:tc>
        <w:tc>
          <w:tcPr>
            <w:tcW w:w="1885" w:type="dxa"/>
            <w:vMerge w:val="continue"/>
            <w:tcBorders>
              <w:top w:val="nil"/>
              <w:left w:val="single" w:color="auto" w:sz="4" w:space="0"/>
              <w:bottom w:val="single" w:color="auto" w:sz="4" w:space="0"/>
              <w:right w:val="single" w:color="auto" w:sz="4" w:space="0"/>
            </w:tcBorders>
            <w:vAlign w:val="center"/>
          </w:tcPr>
          <w:p w14:paraId="1EFB2B5B"/>
        </w:tc>
      </w:tr>
      <w:tr w14:paraId="48268C78">
        <w:tblPrEx>
          <w:tblCellMar>
            <w:top w:w="0" w:type="dxa"/>
            <w:left w:w="108" w:type="dxa"/>
            <w:bottom w:w="0" w:type="dxa"/>
            <w:right w:w="108" w:type="dxa"/>
          </w:tblCellMar>
        </w:tblPrEx>
        <w:trPr>
          <w:trHeight w:val="1495" w:hRule="atLeast"/>
        </w:trPr>
        <w:tc>
          <w:tcPr>
            <w:tcW w:w="1212" w:type="dxa"/>
            <w:vMerge w:val="continue"/>
            <w:tcBorders>
              <w:top w:val="nil"/>
              <w:left w:val="single" w:color="auto" w:sz="4" w:space="0"/>
              <w:bottom w:val="single" w:color="auto" w:sz="4" w:space="0"/>
              <w:right w:val="single" w:color="auto" w:sz="4" w:space="0"/>
            </w:tcBorders>
            <w:vAlign w:val="center"/>
          </w:tcPr>
          <w:p w14:paraId="02E01C7A"/>
        </w:tc>
        <w:tc>
          <w:tcPr>
            <w:tcW w:w="1212" w:type="dxa"/>
            <w:vMerge w:val="continue"/>
            <w:tcBorders>
              <w:top w:val="nil"/>
              <w:left w:val="single" w:color="auto" w:sz="4" w:space="0"/>
              <w:bottom w:val="single" w:color="auto" w:sz="4" w:space="0"/>
              <w:right w:val="single" w:color="auto" w:sz="4" w:space="0"/>
            </w:tcBorders>
            <w:vAlign w:val="center"/>
          </w:tcPr>
          <w:p w14:paraId="7FC93948"/>
        </w:tc>
        <w:tc>
          <w:tcPr>
            <w:tcW w:w="3457" w:type="dxa"/>
            <w:tcBorders>
              <w:top w:val="nil"/>
              <w:left w:val="nil"/>
              <w:bottom w:val="single" w:color="auto" w:sz="4" w:space="0"/>
              <w:right w:val="single" w:color="auto" w:sz="4" w:space="0"/>
            </w:tcBorders>
            <w:shd w:val="clear" w:color="auto" w:fill="auto"/>
            <w:vAlign w:val="center"/>
          </w:tcPr>
          <w:p w14:paraId="3B503AD5">
            <w:r>
              <w:rPr>
                <w:rFonts w:hint="eastAsia"/>
              </w:rPr>
              <w:t>根据密码应用技术方案，对系统设备和计算层面的管理员登录身份鉴别、远程管理身份鉴别信息传输、访问控制信息、重要应用程序、日志记录等方面的安全需求进行商用密码平台一期建设。</w:t>
            </w:r>
          </w:p>
        </w:tc>
        <w:tc>
          <w:tcPr>
            <w:tcW w:w="1212" w:type="dxa"/>
            <w:vMerge w:val="continue"/>
            <w:tcBorders>
              <w:top w:val="nil"/>
              <w:left w:val="single" w:color="auto" w:sz="4" w:space="0"/>
              <w:bottom w:val="single" w:color="000000" w:sz="4" w:space="0"/>
              <w:right w:val="single" w:color="auto" w:sz="4" w:space="0"/>
            </w:tcBorders>
            <w:vAlign w:val="center"/>
          </w:tcPr>
          <w:p w14:paraId="424C8D38"/>
        </w:tc>
        <w:tc>
          <w:tcPr>
            <w:tcW w:w="1885" w:type="dxa"/>
            <w:vMerge w:val="continue"/>
            <w:tcBorders>
              <w:top w:val="nil"/>
              <w:left w:val="single" w:color="auto" w:sz="4" w:space="0"/>
              <w:bottom w:val="single" w:color="auto" w:sz="4" w:space="0"/>
              <w:right w:val="single" w:color="auto" w:sz="4" w:space="0"/>
            </w:tcBorders>
            <w:vAlign w:val="center"/>
          </w:tcPr>
          <w:p w14:paraId="3E0A0BA2"/>
        </w:tc>
      </w:tr>
      <w:tr w14:paraId="4B607E4B">
        <w:tblPrEx>
          <w:tblCellMar>
            <w:top w:w="0" w:type="dxa"/>
            <w:left w:w="108" w:type="dxa"/>
            <w:bottom w:w="0" w:type="dxa"/>
            <w:right w:w="108" w:type="dxa"/>
          </w:tblCellMar>
        </w:tblPrEx>
        <w:trPr>
          <w:trHeight w:val="1246" w:hRule="atLeast"/>
        </w:trPr>
        <w:tc>
          <w:tcPr>
            <w:tcW w:w="1212" w:type="dxa"/>
            <w:vMerge w:val="continue"/>
            <w:tcBorders>
              <w:top w:val="nil"/>
              <w:left w:val="single" w:color="auto" w:sz="4" w:space="0"/>
              <w:bottom w:val="single" w:color="auto" w:sz="4" w:space="0"/>
              <w:right w:val="single" w:color="auto" w:sz="4" w:space="0"/>
            </w:tcBorders>
            <w:vAlign w:val="center"/>
          </w:tcPr>
          <w:p w14:paraId="171674C4"/>
        </w:tc>
        <w:tc>
          <w:tcPr>
            <w:tcW w:w="1212" w:type="dxa"/>
            <w:vMerge w:val="continue"/>
            <w:tcBorders>
              <w:top w:val="nil"/>
              <w:left w:val="single" w:color="auto" w:sz="4" w:space="0"/>
              <w:bottom w:val="single" w:color="auto" w:sz="4" w:space="0"/>
              <w:right w:val="single" w:color="auto" w:sz="4" w:space="0"/>
            </w:tcBorders>
            <w:vAlign w:val="center"/>
          </w:tcPr>
          <w:p w14:paraId="51FAC162"/>
        </w:tc>
        <w:tc>
          <w:tcPr>
            <w:tcW w:w="3457" w:type="dxa"/>
            <w:tcBorders>
              <w:top w:val="nil"/>
              <w:left w:val="nil"/>
              <w:bottom w:val="single" w:color="auto" w:sz="4" w:space="0"/>
              <w:right w:val="single" w:color="auto" w:sz="4" w:space="0"/>
            </w:tcBorders>
            <w:shd w:val="clear" w:color="auto" w:fill="auto"/>
            <w:vAlign w:val="center"/>
          </w:tcPr>
          <w:p w14:paraId="6C4D73AD">
            <w:r>
              <w:rPr>
                <w:rFonts w:hint="eastAsia"/>
              </w:rPr>
              <w:t>根据密码应用技术方案，对系统应用和数据层面的访问用户身份鉴别数据、医疗数据、业务日志数据等方面的安全需求进行商用密码平台一期建设。</w:t>
            </w:r>
          </w:p>
        </w:tc>
        <w:tc>
          <w:tcPr>
            <w:tcW w:w="1212" w:type="dxa"/>
            <w:vMerge w:val="continue"/>
            <w:tcBorders>
              <w:top w:val="nil"/>
              <w:left w:val="single" w:color="auto" w:sz="4" w:space="0"/>
              <w:bottom w:val="single" w:color="000000" w:sz="4" w:space="0"/>
              <w:right w:val="single" w:color="auto" w:sz="4" w:space="0"/>
            </w:tcBorders>
            <w:vAlign w:val="center"/>
          </w:tcPr>
          <w:p w14:paraId="3DE73CCE"/>
        </w:tc>
        <w:tc>
          <w:tcPr>
            <w:tcW w:w="1885" w:type="dxa"/>
            <w:vMerge w:val="continue"/>
            <w:tcBorders>
              <w:top w:val="nil"/>
              <w:left w:val="single" w:color="auto" w:sz="4" w:space="0"/>
              <w:bottom w:val="single" w:color="auto" w:sz="4" w:space="0"/>
              <w:right w:val="single" w:color="auto" w:sz="4" w:space="0"/>
            </w:tcBorders>
            <w:vAlign w:val="center"/>
          </w:tcPr>
          <w:p w14:paraId="16091963"/>
        </w:tc>
      </w:tr>
      <w:tr w14:paraId="54FC920C">
        <w:tblPrEx>
          <w:tblCellMar>
            <w:top w:w="0" w:type="dxa"/>
            <w:left w:w="108" w:type="dxa"/>
            <w:bottom w:w="0" w:type="dxa"/>
            <w:right w:w="108" w:type="dxa"/>
          </w:tblCellMar>
        </w:tblPrEx>
        <w:trPr>
          <w:trHeight w:val="997" w:hRule="atLeast"/>
        </w:trPr>
        <w:tc>
          <w:tcPr>
            <w:tcW w:w="1212" w:type="dxa"/>
            <w:vMerge w:val="continue"/>
            <w:tcBorders>
              <w:top w:val="nil"/>
              <w:left w:val="single" w:color="auto" w:sz="4" w:space="0"/>
              <w:bottom w:val="single" w:color="auto" w:sz="4" w:space="0"/>
              <w:right w:val="single" w:color="auto" w:sz="4" w:space="0"/>
            </w:tcBorders>
            <w:vAlign w:val="center"/>
          </w:tcPr>
          <w:p w14:paraId="2A812831"/>
        </w:tc>
        <w:tc>
          <w:tcPr>
            <w:tcW w:w="1212" w:type="dxa"/>
            <w:vMerge w:val="continue"/>
            <w:tcBorders>
              <w:top w:val="nil"/>
              <w:left w:val="single" w:color="auto" w:sz="4" w:space="0"/>
              <w:bottom w:val="single" w:color="auto" w:sz="4" w:space="0"/>
              <w:right w:val="single" w:color="auto" w:sz="4" w:space="0"/>
            </w:tcBorders>
            <w:vAlign w:val="center"/>
          </w:tcPr>
          <w:p w14:paraId="1CCDE412"/>
        </w:tc>
        <w:tc>
          <w:tcPr>
            <w:tcW w:w="3457" w:type="dxa"/>
            <w:tcBorders>
              <w:top w:val="nil"/>
              <w:left w:val="nil"/>
              <w:bottom w:val="single" w:color="auto" w:sz="4" w:space="0"/>
              <w:right w:val="single" w:color="auto" w:sz="4" w:space="0"/>
            </w:tcBorders>
            <w:shd w:val="clear" w:color="auto" w:fill="auto"/>
            <w:vAlign w:val="center"/>
          </w:tcPr>
          <w:p w14:paraId="7A0B8AA4">
            <w:r>
              <w:rPr>
                <w:rFonts w:hint="eastAsia"/>
              </w:rPr>
              <w:t>根据安全管理方案，设计密码安全管理制度、人员管理、设备管理、应急处置等方面的管理体系。</w:t>
            </w:r>
          </w:p>
        </w:tc>
        <w:tc>
          <w:tcPr>
            <w:tcW w:w="1212" w:type="dxa"/>
            <w:vMerge w:val="continue"/>
            <w:tcBorders>
              <w:top w:val="nil"/>
              <w:left w:val="single" w:color="auto" w:sz="4" w:space="0"/>
              <w:bottom w:val="single" w:color="000000" w:sz="4" w:space="0"/>
              <w:right w:val="single" w:color="auto" w:sz="4" w:space="0"/>
            </w:tcBorders>
            <w:vAlign w:val="center"/>
          </w:tcPr>
          <w:p w14:paraId="07D1AE24"/>
        </w:tc>
        <w:tc>
          <w:tcPr>
            <w:tcW w:w="1885" w:type="dxa"/>
            <w:vMerge w:val="continue"/>
            <w:tcBorders>
              <w:top w:val="nil"/>
              <w:left w:val="single" w:color="auto" w:sz="4" w:space="0"/>
              <w:bottom w:val="single" w:color="auto" w:sz="4" w:space="0"/>
              <w:right w:val="single" w:color="auto" w:sz="4" w:space="0"/>
            </w:tcBorders>
            <w:vAlign w:val="center"/>
          </w:tcPr>
          <w:p w14:paraId="536BA5AD"/>
        </w:tc>
      </w:tr>
      <w:tr w14:paraId="4000450E">
        <w:tblPrEx>
          <w:tblCellMar>
            <w:top w:w="0" w:type="dxa"/>
            <w:left w:w="108" w:type="dxa"/>
            <w:bottom w:w="0" w:type="dxa"/>
            <w:right w:w="108" w:type="dxa"/>
          </w:tblCellMar>
        </w:tblPrEx>
        <w:trPr>
          <w:trHeight w:val="997" w:hRule="atLeast"/>
        </w:trPr>
        <w:tc>
          <w:tcPr>
            <w:tcW w:w="1212" w:type="dxa"/>
            <w:tcBorders>
              <w:top w:val="nil"/>
              <w:left w:val="single" w:color="auto" w:sz="4" w:space="0"/>
              <w:bottom w:val="single" w:color="auto" w:sz="4" w:space="0"/>
              <w:right w:val="single" w:color="auto" w:sz="4" w:space="0"/>
            </w:tcBorders>
            <w:shd w:val="clear" w:color="auto" w:fill="auto"/>
            <w:vAlign w:val="center"/>
          </w:tcPr>
          <w:p w14:paraId="4BD95258">
            <w:r>
              <w:rPr>
                <w:rFonts w:hint="eastAsia"/>
              </w:rPr>
              <w:t>试运行</w:t>
            </w:r>
          </w:p>
        </w:tc>
        <w:tc>
          <w:tcPr>
            <w:tcW w:w="1212" w:type="dxa"/>
            <w:tcBorders>
              <w:top w:val="nil"/>
              <w:left w:val="nil"/>
              <w:bottom w:val="single" w:color="auto" w:sz="4" w:space="0"/>
              <w:right w:val="single" w:color="auto" w:sz="4" w:space="0"/>
            </w:tcBorders>
            <w:shd w:val="clear" w:color="auto" w:fill="auto"/>
            <w:vAlign w:val="center"/>
          </w:tcPr>
          <w:p w14:paraId="6EC8625B">
            <w:pPr>
              <w:ind w:firstLine="0"/>
            </w:pPr>
            <w:r>
              <w:rPr>
                <w:rFonts w:hint="eastAsia"/>
              </w:rPr>
              <w:t>第5个月</w:t>
            </w:r>
          </w:p>
        </w:tc>
        <w:tc>
          <w:tcPr>
            <w:tcW w:w="3457" w:type="dxa"/>
            <w:tcBorders>
              <w:top w:val="nil"/>
              <w:left w:val="nil"/>
              <w:bottom w:val="single" w:color="auto" w:sz="4" w:space="0"/>
              <w:right w:val="single" w:color="auto" w:sz="4" w:space="0"/>
            </w:tcBorders>
            <w:shd w:val="clear" w:color="auto" w:fill="auto"/>
            <w:vAlign w:val="center"/>
          </w:tcPr>
          <w:p w14:paraId="1BCCBA31">
            <w:r>
              <w:rPr>
                <w:rFonts w:hint="eastAsia"/>
              </w:rPr>
              <w:t>开展系统试运行、收集试运行期间的性能，效率、安全状态等数据，根据试运行情况做进一步评估和优化。</w:t>
            </w:r>
          </w:p>
        </w:tc>
        <w:tc>
          <w:tcPr>
            <w:tcW w:w="1212" w:type="dxa"/>
            <w:tcBorders>
              <w:top w:val="nil"/>
              <w:left w:val="nil"/>
              <w:bottom w:val="single" w:color="auto" w:sz="4" w:space="0"/>
              <w:right w:val="single" w:color="auto" w:sz="4" w:space="0"/>
            </w:tcBorders>
            <w:shd w:val="clear" w:color="auto" w:fill="auto"/>
            <w:vAlign w:val="center"/>
          </w:tcPr>
          <w:p w14:paraId="66395E1D">
            <w:r>
              <w:rPr>
                <w:rFonts w:hint="eastAsia"/>
              </w:rPr>
              <w:t>系统建设单位</w:t>
            </w:r>
          </w:p>
        </w:tc>
        <w:tc>
          <w:tcPr>
            <w:tcW w:w="1885" w:type="dxa"/>
            <w:tcBorders>
              <w:top w:val="nil"/>
              <w:left w:val="nil"/>
              <w:bottom w:val="single" w:color="auto" w:sz="4" w:space="0"/>
              <w:right w:val="single" w:color="auto" w:sz="4" w:space="0"/>
            </w:tcBorders>
            <w:shd w:val="clear" w:color="auto" w:fill="auto"/>
            <w:vAlign w:val="center"/>
          </w:tcPr>
          <w:p w14:paraId="3E2988CE">
            <w:r>
              <w:rPr>
                <w:rFonts w:hint="eastAsia"/>
              </w:rPr>
              <w:t>开始试运行</w:t>
            </w:r>
          </w:p>
        </w:tc>
      </w:tr>
      <w:tr w14:paraId="0E803D11">
        <w:tblPrEx>
          <w:tblCellMar>
            <w:top w:w="0" w:type="dxa"/>
            <w:left w:w="108" w:type="dxa"/>
            <w:bottom w:w="0" w:type="dxa"/>
            <w:right w:w="108" w:type="dxa"/>
          </w:tblCellMar>
        </w:tblPrEx>
        <w:trPr>
          <w:trHeight w:val="747" w:hRule="atLeast"/>
        </w:trPr>
        <w:tc>
          <w:tcPr>
            <w:tcW w:w="1212" w:type="dxa"/>
            <w:tcBorders>
              <w:top w:val="nil"/>
              <w:left w:val="single" w:color="auto" w:sz="4" w:space="0"/>
              <w:bottom w:val="single" w:color="auto" w:sz="4" w:space="0"/>
              <w:right w:val="single" w:color="auto" w:sz="4" w:space="0"/>
            </w:tcBorders>
            <w:shd w:val="clear" w:color="auto" w:fill="auto"/>
            <w:vAlign w:val="center"/>
          </w:tcPr>
          <w:p w14:paraId="57A9F689">
            <w:pPr>
              <w:ind w:firstLine="0"/>
            </w:pPr>
            <w:r>
              <w:rPr>
                <w:rFonts w:hint="eastAsia"/>
              </w:rPr>
              <w:t>项目验收</w:t>
            </w:r>
          </w:p>
        </w:tc>
        <w:tc>
          <w:tcPr>
            <w:tcW w:w="1212" w:type="dxa"/>
            <w:tcBorders>
              <w:top w:val="nil"/>
              <w:left w:val="nil"/>
              <w:bottom w:val="single" w:color="auto" w:sz="4" w:space="0"/>
              <w:right w:val="single" w:color="auto" w:sz="4" w:space="0"/>
            </w:tcBorders>
            <w:shd w:val="clear" w:color="auto" w:fill="auto"/>
            <w:vAlign w:val="center"/>
          </w:tcPr>
          <w:p w14:paraId="4D143C8C">
            <w:pPr>
              <w:ind w:firstLine="0"/>
            </w:pPr>
            <w:r>
              <w:rPr>
                <w:rFonts w:hint="eastAsia"/>
              </w:rPr>
              <w:t>第</w:t>
            </w:r>
            <w:r>
              <w:t>6</w:t>
            </w:r>
            <w:r>
              <w:rPr>
                <w:rFonts w:hint="eastAsia"/>
              </w:rPr>
              <w:t>个月</w:t>
            </w:r>
          </w:p>
        </w:tc>
        <w:tc>
          <w:tcPr>
            <w:tcW w:w="3457" w:type="dxa"/>
            <w:tcBorders>
              <w:top w:val="nil"/>
              <w:left w:val="nil"/>
              <w:bottom w:val="single" w:color="auto" w:sz="4" w:space="0"/>
              <w:right w:val="single" w:color="auto" w:sz="4" w:space="0"/>
            </w:tcBorders>
            <w:shd w:val="clear" w:color="auto" w:fill="auto"/>
            <w:vAlign w:val="center"/>
          </w:tcPr>
          <w:p w14:paraId="3B45E528">
            <w:r>
              <w:rPr>
                <w:rFonts w:hint="eastAsia"/>
              </w:rPr>
              <w:t>完成系统运行效率、使用效果的后评价工作，根据评价结果进行项目验收。</w:t>
            </w:r>
          </w:p>
        </w:tc>
        <w:tc>
          <w:tcPr>
            <w:tcW w:w="1212" w:type="dxa"/>
            <w:tcBorders>
              <w:top w:val="nil"/>
              <w:left w:val="nil"/>
              <w:bottom w:val="single" w:color="auto" w:sz="4" w:space="0"/>
              <w:right w:val="single" w:color="auto" w:sz="4" w:space="0"/>
            </w:tcBorders>
            <w:shd w:val="clear" w:color="auto" w:fill="auto"/>
            <w:vAlign w:val="center"/>
          </w:tcPr>
          <w:p w14:paraId="5E425C95">
            <w:r>
              <w:rPr>
                <w:rFonts w:hint="eastAsia"/>
              </w:rPr>
              <w:t>系统建设单位</w:t>
            </w:r>
          </w:p>
        </w:tc>
        <w:tc>
          <w:tcPr>
            <w:tcW w:w="1885" w:type="dxa"/>
            <w:tcBorders>
              <w:top w:val="nil"/>
              <w:left w:val="nil"/>
              <w:bottom w:val="single" w:color="auto" w:sz="4" w:space="0"/>
              <w:right w:val="single" w:color="auto" w:sz="4" w:space="0"/>
            </w:tcBorders>
            <w:shd w:val="clear" w:color="auto" w:fill="auto"/>
            <w:vAlign w:val="center"/>
          </w:tcPr>
          <w:p w14:paraId="628A5B1A">
            <w:r>
              <w:rPr>
                <w:rFonts w:hint="eastAsia"/>
              </w:rPr>
              <w:t>通过项目验收</w:t>
            </w:r>
          </w:p>
        </w:tc>
      </w:tr>
    </w:tbl>
    <w:p w14:paraId="668A6DE6">
      <w:pPr>
        <w:pStyle w:val="52"/>
      </w:pPr>
    </w:p>
    <w:p w14:paraId="777DB911">
      <w:pPr>
        <w:pStyle w:val="52"/>
      </w:pPr>
      <w:r>
        <w:rPr>
          <w:rFonts w:hint="eastAsia"/>
        </w:rPr>
        <w:t>1</w:t>
      </w:r>
      <w:r>
        <w:t>1.</w:t>
      </w:r>
      <w:r>
        <w:rPr>
          <w:rFonts w:hint="eastAsia"/>
        </w:rPr>
        <w:t>团队要求：</w:t>
      </w:r>
    </w:p>
    <w:bookmarkEnd w:id="9"/>
    <w:p w14:paraId="3E9BE2A1">
      <w:pPr>
        <w:pStyle w:val="52"/>
      </w:pPr>
    </w:p>
    <w:p w14:paraId="19C40688">
      <w:r>
        <w:rPr>
          <w:rFonts w:hint="eastAsia"/>
        </w:rPr>
        <w:t>1）组织和人员保障</w:t>
      </w:r>
    </w:p>
    <w:p w14:paraId="7B8F0B4A">
      <w:r>
        <w:rPr>
          <w:rFonts w:hint="eastAsia"/>
        </w:rPr>
        <w:t>我单位将该项目作为重点任务，在项目组织上本着“统一领导、健全组织、合理分工、密切协作”的原则，明确项目组织形式，设置项目组织架构，按照职责分工开展工作，为顺利实施商用密码平台一期建设项目，高质量、高效率完成商用密码平台一期建设提供组织保障。</w:t>
      </w:r>
    </w:p>
    <w:p w14:paraId="65076B03">
      <w:r>
        <w:rPr>
          <w:rFonts w:hint="eastAsia"/>
        </w:rPr>
        <w:t>项目组织形式见下图，各组工作实行组长负责制。</w:t>
      </w:r>
    </w:p>
    <w:p w14:paraId="0FEFDF84">
      <w:pPr>
        <w:rPr>
          <w:sz w:val="24"/>
        </w:rPr>
      </w:pPr>
      <w:r>
        <w:object>
          <v:shape id="_x0000_i1025" o:spt="75" type="#_x0000_t75" style="height:164.1pt;width:196.75pt;" o:ole="t" filled="f" o:preferrelative="t" stroked="f" coordsize="21600,21600">
            <v:path/>
            <v:fill on="f" focussize="0,0"/>
            <v:stroke on="f" joinstyle="miter"/>
            <v:imagedata r:id="rId6" o:title=""/>
            <o:lock v:ext="edit" aspectratio="t"/>
            <w10:wrap type="none"/>
            <w10:anchorlock/>
          </v:shape>
          <o:OLEObject Type="Embed" ProgID="Visio.Drawing.15" ShapeID="_x0000_i1025" DrawAspect="Content" ObjectID="_1468075725" r:id="rId5">
            <o:LockedField>false</o:LockedField>
          </o:OLEObject>
        </w:object>
      </w:r>
    </w:p>
    <w:p w14:paraId="748E90A2">
      <w:r>
        <w:rPr>
          <w:rFonts w:hint="eastAsia"/>
        </w:rPr>
        <w:t>各组人员组成及工作职责如下表所示。</w:t>
      </w:r>
    </w:p>
    <w:tbl>
      <w:tblPr>
        <w:tblStyle w:val="23"/>
        <w:tblW w:w="906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75"/>
        <w:gridCol w:w="1606"/>
        <w:gridCol w:w="6683"/>
      </w:tblGrid>
      <w:tr w14:paraId="6A2D5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3" w:hRule="atLeast"/>
          <w:jc w:val="center"/>
        </w:trPr>
        <w:tc>
          <w:tcPr>
            <w:tcW w:w="775" w:type="dxa"/>
            <w:vAlign w:val="center"/>
          </w:tcPr>
          <w:p w14:paraId="280E281A">
            <w:pPr>
              <w:rPr>
                <w:lang w:val="zh-CN" w:bidi="zh-CN"/>
              </w:rPr>
            </w:pPr>
            <w:r>
              <w:rPr>
                <w:rFonts w:hint="eastAsia"/>
                <w:lang w:val="zh-CN" w:bidi="zh-CN"/>
              </w:rPr>
              <w:t>序号</w:t>
            </w:r>
          </w:p>
        </w:tc>
        <w:tc>
          <w:tcPr>
            <w:tcW w:w="1606" w:type="dxa"/>
            <w:vAlign w:val="center"/>
          </w:tcPr>
          <w:p w14:paraId="53845E8E">
            <w:pPr>
              <w:rPr>
                <w:lang w:val="zh-CN" w:bidi="zh-CN"/>
              </w:rPr>
            </w:pPr>
            <w:r>
              <w:rPr>
                <w:rFonts w:hint="eastAsia"/>
                <w:lang w:val="zh-CN" w:bidi="zh-CN"/>
              </w:rPr>
              <w:t>名</w:t>
            </w:r>
            <w:r>
              <w:rPr>
                <w:lang w:val="zh-CN" w:bidi="zh-CN"/>
              </w:rPr>
              <w:t xml:space="preserve"> </w:t>
            </w:r>
            <w:r>
              <w:rPr>
                <w:rFonts w:hint="eastAsia"/>
                <w:lang w:val="zh-CN" w:bidi="zh-CN"/>
              </w:rPr>
              <w:t>称</w:t>
            </w:r>
          </w:p>
        </w:tc>
        <w:tc>
          <w:tcPr>
            <w:tcW w:w="6683" w:type="dxa"/>
            <w:vAlign w:val="center"/>
          </w:tcPr>
          <w:p w14:paraId="15BA143B">
            <w:pPr>
              <w:rPr>
                <w:lang w:val="zh-CN" w:bidi="zh-CN"/>
              </w:rPr>
            </w:pPr>
            <w:r>
              <w:rPr>
                <w:rFonts w:hint="eastAsia"/>
                <w:lang w:val="zh-CN" w:bidi="zh-CN"/>
              </w:rPr>
              <w:t>工作职责</w:t>
            </w:r>
          </w:p>
        </w:tc>
      </w:tr>
      <w:tr w14:paraId="40673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3" w:hRule="atLeast"/>
          <w:jc w:val="center"/>
        </w:trPr>
        <w:tc>
          <w:tcPr>
            <w:tcW w:w="775" w:type="dxa"/>
            <w:vAlign w:val="center"/>
          </w:tcPr>
          <w:p w14:paraId="73FBD069">
            <w:pPr>
              <w:rPr>
                <w:lang w:val="zh-CN" w:bidi="zh-CN"/>
              </w:rPr>
            </w:pPr>
            <w:r>
              <w:rPr>
                <w:lang w:val="zh-CN" w:bidi="zh-CN"/>
              </w:rPr>
              <w:t>1</w:t>
            </w:r>
          </w:p>
        </w:tc>
        <w:tc>
          <w:tcPr>
            <w:tcW w:w="1606" w:type="dxa"/>
            <w:vAlign w:val="center"/>
          </w:tcPr>
          <w:p w14:paraId="48F07BD1">
            <w:pPr>
              <w:rPr>
                <w:lang w:val="zh-CN" w:bidi="zh-CN"/>
              </w:rPr>
            </w:pPr>
            <w:r>
              <w:rPr>
                <w:rFonts w:hint="eastAsia"/>
                <w:lang w:val="zh-CN" w:bidi="zh-CN"/>
              </w:rPr>
              <w:t>项目负责人</w:t>
            </w:r>
          </w:p>
        </w:tc>
        <w:tc>
          <w:tcPr>
            <w:tcW w:w="6683" w:type="dxa"/>
            <w:vAlign w:val="center"/>
          </w:tcPr>
          <w:p w14:paraId="4306793D">
            <w:pPr>
              <w:rPr>
                <w:lang w:val="zh-CN" w:bidi="zh-CN"/>
              </w:rPr>
            </w:pPr>
            <w:r>
              <w:rPr>
                <w:rFonts w:hint="eastAsia"/>
                <w:lang w:val="zh-CN" w:bidi="zh-CN"/>
              </w:rPr>
              <w:t>总体负责项目的技术、组织和财务等方面工作，宏观把握项目改造内容和建设目标。</w:t>
            </w:r>
          </w:p>
        </w:tc>
      </w:tr>
      <w:tr w14:paraId="1B35F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3" w:hRule="atLeast"/>
          <w:jc w:val="center"/>
        </w:trPr>
        <w:tc>
          <w:tcPr>
            <w:tcW w:w="775" w:type="dxa"/>
            <w:vAlign w:val="center"/>
          </w:tcPr>
          <w:p w14:paraId="261285B0">
            <w:pPr>
              <w:rPr>
                <w:lang w:val="zh-CN" w:bidi="zh-CN"/>
              </w:rPr>
            </w:pPr>
            <w:r>
              <w:rPr>
                <w:lang w:val="zh-CN" w:bidi="zh-CN"/>
              </w:rPr>
              <w:t>2</w:t>
            </w:r>
          </w:p>
        </w:tc>
        <w:tc>
          <w:tcPr>
            <w:tcW w:w="1606" w:type="dxa"/>
            <w:vAlign w:val="center"/>
          </w:tcPr>
          <w:p w14:paraId="465AC7D9">
            <w:pPr>
              <w:rPr>
                <w:lang w:val="zh-CN" w:bidi="zh-CN"/>
              </w:rPr>
            </w:pPr>
            <w:r>
              <w:rPr>
                <w:rFonts w:hint="eastAsia"/>
                <w:lang w:val="zh-CN" w:bidi="zh-CN"/>
              </w:rPr>
              <w:t>项目技术组</w:t>
            </w:r>
          </w:p>
        </w:tc>
        <w:tc>
          <w:tcPr>
            <w:tcW w:w="6683" w:type="dxa"/>
            <w:vAlign w:val="center"/>
          </w:tcPr>
          <w:p w14:paraId="32345B89">
            <w:pPr>
              <w:rPr>
                <w:lang w:val="zh-CN" w:bidi="zh-CN"/>
              </w:rPr>
            </w:pPr>
            <w:r>
              <w:rPr>
                <w:rFonts w:hint="eastAsia"/>
                <w:lang w:val="zh-CN" w:bidi="zh-CN"/>
              </w:rPr>
              <w:t>由项目负责人及项目骨干组成，负责项目总体管理、各部分工作协调、项目进展情况和项目完成情况的监督检查、项目改造后的质量把关。</w:t>
            </w:r>
          </w:p>
        </w:tc>
      </w:tr>
      <w:tr w14:paraId="763AF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3" w:hRule="atLeast"/>
          <w:jc w:val="center"/>
        </w:trPr>
        <w:tc>
          <w:tcPr>
            <w:tcW w:w="775" w:type="dxa"/>
            <w:vAlign w:val="center"/>
          </w:tcPr>
          <w:p w14:paraId="7273E20D">
            <w:pPr>
              <w:rPr>
                <w:lang w:val="zh-CN" w:bidi="zh-CN"/>
              </w:rPr>
            </w:pPr>
            <w:r>
              <w:rPr>
                <w:lang w:val="zh-CN" w:bidi="zh-CN"/>
              </w:rPr>
              <w:t>3</w:t>
            </w:r>
          </w:p>
        </w:tc>
        <w:tc>
          <w:tcPr>
            <w:tcW w:w="1606" w:type="dxa"/>
            <w:vAlign w:val="center"/>
          </w:tcPr>
          <w:p w14:paraId="74005FEA">
            <w:pPr>
              <w:rPr>
                <w:lang w:val="zh-CN" w:bidi="zh-CN"/>
              </w:rPr>
            </w:pPr>
            <w:r>
              <w:rPr>
                <w:rFonts w:hint="eastAsia"/>
                <w:lang w:val="zh-CN" w:bidi="zh-CN"/>
              </w:rPr>
              <w:t>项目财务组</w:t>
            </w:r>
          </w:p>
        </w:tc>
        <w:tc>
          <w:tcPr>
            <w:tcW w:w="6683" w:type="dxa"/>
            <w:vAlign w:val="center"/>
          </w:tcPr>
          <w:p w14:paraId="4443A037">
            <w:pPr>
              <w:rPr>
                <w:lang w:val="zh-CN" w:bidi="zh-CN"/>
              </w:rPr>
            </w:pPr>
            <w:r>
              <w:rPr>
                <w:rFonts w:hint="eastAsia"/>
                <w:lang w:val="zh-CN" w:bidi="zh-CN"/>
              </w:rPr>
              <w:t>由我单位财务部门负责人和骨干组成，负责项目执行过程中的经费管理。</w:t>
            </w:r>
          </w:p>
        </w:tc>
      </w:tr>
      <w:tr w14:paraId="449BC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3" w:hRule="atLeast"/>
          <w:jc w:val="center"/>
        </w:trPr>
        <w:tc>
          <w:tcPr>
            <w:tcW w:w="775" w:type="dxa"/>
            <w:vAlign w:val="center"/>
          </w:tcPr>
          <w:p w14:paraId="2CA7B7F7">
            <w:pPr>
              <w:rPr>
                <w:lang w:val="zh-CN" w:bidi="zh-CN"/>
              </w:rPr>
            </w:pPr>
            <w:r>
              <w:rPr>
                <w:lang w:val="zh-CN" w:bidi="zh-CN"/>
              </w:rPr>
              <w:t>4</w:t>
            </w:r>
          </w:p>
        </w:tc>
        <w:tc>
          <w:tcPr>
            <w:tcW w:w="1606" w:type="dxa"/>
            <w:vAlign w:val="center"/>
          </w:tcPr>
          <w:p w14:paraId="4A112991">
            <w:pPr>
              <w:rPr>
                <w:lang w:val="zh-CN" w:bidi="zh-CN"/>
              </w:rPr>
            </w:pPr>
            <w:r>
              <w:rPr>
                <w:rFonts w:hint="eastAsia"/>
                <w:lang w:val="zh-CN" w:bidi="zh-CN"/>
              </w:rPr>
              <w:t>质量保障组</w:t>
            </w:r>
          </w:p>
        </w:tc>
        <w:tc>
          <w:tcPr>
            <w:tcW w:w="6683" w:type="dxa"/>
            <w:vAlign w:val="center"/>
          </w:tcPr>
          <w:p w14:paraId="5FDBB5D7">
            <w:pPr>
              <w:rPr>
                <w:lang w:val="zh-CN" w:bidi="zh-CN"/>
              </w:rPr>
            </w:pPr>
            <w:r>
              <w:rPr>
                <w:rFonts w:hint="eastAsia"/>
                <w:lang w:val="zh-CN" w:bidi="zh-CN"/>
              </w:rPr>
              <w:t>负责按照本项目制定的质量保障措施，落实质量监督和管理。</w:t>
            </w:r>
          </w:p>
        </w:tc>
      </w:tr>
    </w:tbl>
    <w:p w14:paraId="23374C5C">
      <w:pPr>
        <w:rPr>
          <w:highlight w:val="cyan"/>
        </w:rPr>
      </w:pPr>
    </w:p>
    <w:p w14:paraId="25E0E4F9">
      <w:pPr>
        <w:pStyle w:val="48"/>
        <w:numPr>
          <w:ilvl w:val="0"/>
          <w:numId w:val="7"/>
        </w:numPr>
      </w:pPr>
      <w:bookmarkStart w:id="10" w:name="_Toc18884"/>
      <w:bookmarkStart w:id="11" w:name="_Toc9826"/>
      <w:bookmarkStart w:id="12" w:name="_Toc26409"/>
      <w:bookmarkStart w:id="13" w:name="_Toc24586"/>
      <w:bookmarkStart w:id="14" w:name="_Toc2635"/>
      <w:bookmarkStart w:id="15" w:name="_Toc7102"/>
      <w:bookmarkStart w:id="16" w:name="_Toc19485"/>
      <w:bookmarkStart w:id="17" w:name="_Toc16987"/>
      <w:bookmarkStart w:id="18" w:name="_Toc19118"/>
      <w:bookmarkStart w:id="19" w:name="_Toc2216"/>
      <w:bookmarkStart w:id="20" w:name="_Toc10959"/>
      <w:bookmarkStart w:id="21" w:name="_Toc180480739"/>
      <w:bookmarkStart w:id="22" w:name="_Toc32490"/>
      <w:bookmarkStart w:id="23" w:name="_Toc4178"/>
      <w:bookmarkStart w:id="24" w:name="_Toc31974"/>
      <w:bookmarkStart w:id="25" w:name="_Toc18140"/>
      <w:bookmarkStart w:id="26" w:name="_Toc12766"/>
      <w:bookmarkStart w:id="27" w:name="_Toc2894"/>
      <w:bookmarkStart w:id="28" w:name="_Toc16655"/>
      <w:bookmarkStart w:id="29" w:name="_Toc6632"/>
      <w:r>
        <w:rPr>
          <w:rFonts w:hint="eastAsia"/>
        </w:rPr>
        <w:t>经费保障</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518855B5">
      <w:pPr>
        <w:rPr>
          <w:rFonts w:ascii="宋体" w:hAnsi="宋体"/>
          <w:szCs w:val="24"/>
          <w:highlight w:val="cyan"/>
        </w:rPr>
      </w:pPr>
      <w:r>
        <w:rPr>
          <w:rFonts w:hint="eastAsia"/>
        </w:rPr>
        <w:t>本项目执行过程中，将严格按照单位资金使用管理办法，进行经费使用，确保经费使用合规。</w:t>
      </w:r>
    </w:p>
    <w:p w14:paraId="0C0220B4">
      <w:pPr>
        <w:pStyle w:val="48"/>
        <w:numPr>
          <w:ilvl w:val="0"/>
          <w:numId w:val="7"/>
        </w:numPr>
      </w:pPr>
      <w:bookmarkStart w:id="30" w:name="_Toc20577"/>
      <w:bookmarkStart w:id="31" w:name="_Toc1232"/>
      <w:bookmarkStart w:id="32" w:name="_Toc25239"/>
      <w:bookmarkStart w:id="33" w:name="_Toc18495"/>
      <w:bookmarkStart w:id="34" w:name="_Toc21059"/>
      <w:bookmarkStart w:id="35" w:name="_Toc26492"/>
      <w:bookmarkStart w:id="36" w:name="_Toc26609"/>
      <w:bookmarkStart w:id="37" w:name="_Toc180480740"/>
      <w:bookmarkStart w:id="38" w:name="_Toc469"/>
      <w:bookmarkStart w:id="39" w:name="_Toc31931"/>
      <w:bookmarkStart w:id="40" w:name="_Toc2238"/>
      <w:bookmarkStart w:id="41" w:name="_Toc27293"/>
      <w:bookmarkStart w:id="42" w:name="_Toc15821"/>
      <w:bookmarkStart w:id="43" w:name="_Toc3011"/>
      <w:bookmarkStart w:id="44" w:name="_Toc2034"/>
      <w:bookmarkStart w:id="45" w:name="_Toc15604"/>
      <w:bookmarkStart w:id="46" w:name="_Toc11278"/>
      <w:bookmarkStart w:id="47" w:name="_Toc28438"/>
      <w:bookmarkStart w:id="48" w:name="_Toc6820"/>
      <w:bookmarkStart w:id="49" w:name="_Toc456"/>
      <w:r>
        <w:rPr>
          <w:rFonts w:hint="eastAsia"/>
        </w:rPr>
        <w:t>质量保障</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3C68DFDD">
      <w:r>
        <w:rPr>
          <w:rFonts w:hint="eastAsia"/>
        </w:rPr>
        <w:t>在项目建设实施过程中，通过组织项目定期会议，保障实施工作按计划进行；同时对于项目实施过程中出现的偏差或问题，及时沟通协调，必要时通过项目技术组向项目负责人进行汇报，并形成相应的决策意见和修订方案。</w:t>
      </w:r>
    </w:p>
    <w:p w14:paraId="2CDCBF83">
      <w:bookmarkStart w:id="50" w:name="_Toc22489"/>
      <w:r>
        <w:rPr>
          <w:rFonts w:hint="eastAsia"/>
        </w:rPr>
        <w:t>1、项目例会制度</w:t>
      </w:r>
      <w:bookmarkEnd w:id="50"/>
    </w:p>
    <w:p w14:paraId="7C677BF4">
      <w:r>
        <w:rPr>
          <w:rFonts w:hint="eastAsia"/>
        </w:rPr>
        <w:t>项目通过定期例会和不定期会议来跟踪项目进度，反馈和讨论项目实施过程中的问题，对项目技术方案进行评审，对计划完成情况进行总结和说明，同时对后续计划进行确认。在遇到技术障碍或方案涉及重大变更时，通过不定期会议，由项目技术组或质量保障组讨论决策，针对出现的变更或重大问题进行及时修正，并制定相应的措施和方案。</w:t>
      </w:r>
    </w:p>
    <w:p w14:paraId="4B248650">
      <w:bookmarkStart w:id="51" w:name="_Toc6643"/>
      <w:r>
        <w:rPr>
          <w:rFonts w:hint="eastAsia"/>
        </w:rPr>
        <w:t>2、项目周报机制</w:t>
      </w:r>
      <w:bookmarkEnd w:id="51"/>
    </w:p>
    <w:p w14:paraId="0CD5FE25">
      <w:r>
        <w:rPr>
          <w:rFonts w:hint="eastAsia"/>
        </w:rPr>
        <w:t>由项目技术组制定项目进展周报机制，每周五提交本周的项目进展、阶段成果、遗留问题和下周计划，质量保障组对项目进度进行统筹跟踪，协调相关人员和资源，保障项目如期完成。</w:t>
      </w:r>
    </w:p>
    <w:p w14:paraId="0C8DF5C7">
      <w:bookmarkStart w:id="52" w:name="_Toc32398"/>
      <w:r>
        <w:rPr>
          <w:rFonts w:hint="eastAsia"/>
        </w:rPr>
        <w:t>3、风险管理机制</w:t>
      </w:r>
      <w:bookmarkEnd w:id="52"/>
    </w:p>
    <w:p w14:paraId="40AA1500">
      <w:r>
        <w:rPr>
          <w:rFonts w:hint="eastAsia" w:cs="仿宋"/>
        </w:rPr>
        <w:t>项目在实施过程</w:t>
      </w:r>
      <w:r>
        <w:rPr>
          <w:rFonts w:hint="eastAsia"/>
        </w:rPr>
        <w:t>中，建立完善的风险管理机制，包括项目风险的识别、评估和管理，从资金、成本控制、采购合规、技术、人才、管理等多个方面进行风险管控，包括确定风险发生时的备选方案、资金、设备和人员等；定期检查和评估风险消减措施是否有效；定期进行风险排查；制定风险应对的启动机制等措施。</w:t>
      </w:r>
    </w:p>
    <w:p w14:paraId="705A02D9">
      <w:pPr>
        <w:pStyle w:val="48"/>
        <w:numPr>
          <w:ilvl w:val="0"/>
          <w:numId w:val="7"/>
        </w:numPr>
      </w:pPr>
      <w:bookmarkStart w:id="53" w:name="_Toc19268"/>
      <w:bookmarkStart w:id="54" w:name="_Toc29276"/>
      <w:bookmarkStart w:id="55" w:name="_Toc7039"/>
      <w:bookmarkStart w:id="56" w:name="_Toc30646"/>
      <w:bookmarkStart w:id="57" w:name="_Toc23552"/>
      <w:bookmarkStart w:id="58" w:name="_Toc421"/>
      <w:bookmarkStart w:id="59" w:name="_Toc2080"/>
      <w:bookmarkStart w:id="60" w:name="_Toc24530"/>
      <w:bookmarkStart w:id="61" w:name="_Toc180480741"/>
      <w:bookmarkStart w:id="62" w:name="_Toc7875"/>
      <w:bookmarkStart w:id="63" w:name="_Toc3581"/>
      <w:bookmarkStart w:id="64" w:name="_Toc16988"/>
      <w:bookmarkStart w:id="65" w:name="_Toc28275"/>
      <w:bookmarkStart w:id="66" w:name="_Toc17663"/>
      <w:bookmarkStart w:id="67" w:name="_Toc19307"/>
      <w:bookmarkStart w:id="68" w:name="_Toc23297"/>
      <w:bookmarkStart w:id="69" w:name="_Toc29362"/>
      <w:bookmarkStart w:id="70" w:name="_Toc18026"/>
      <w:bookmarkStart w:id="71" w:name="_Toc7237"/>
      <w:bookmarkStart w:id="72" w:name="_Toc19751"/>
      <w:r>
        <w:rPr>
          <w:rFonts w:hint="eastAsia"/>
        </w:rPr>
        <w:t>监督检查</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6FF2D8A7">
      <w:r>
        <w:rPr>
          <w:rFonts w:hint="eastAsia"/>
        </w:rPr>
        <w:t>监督检查是保证项目实施各阶段的活动顺利开展的重要措施，拟通过如下几类活动开展监督检查工作：</w:t>
      </w:r>
    </w:p>
    <w:p w14:paraId="3716D013">
      <w:r>
        <w:rPr>
          <w:rFonts w:hint="eastAsia"/>
        </w:rPr>
        <w:t>阶段评审：在系统实施过程中，定期地或阶段性地对系统和文档进行评审。在本项目中拟进行以下三次评审：第一次评审方案合理性、确认验收方法；第二次评审方案的实施计划，实施步骤、测试方法，试运行方案等，并对第一次评审结果复核；第三次评审功能和综合检查。阶段评审要组织专门的评审小组，评审小组原则上由实施小组成员、用户项目管理小组成员、我公司代表等构成。</w:t>
      </w:r>
    </w:p>
    <w:p w14:paraId="37D03047">
      <w:r>
        <w:rPr>
          <w:rFonts w:hint="eastAsia"/>
        </w:rPr>
        <w:t>日常检查：在本项目实施过程中，督促各子系统填写项目进展报告，即各个设备调试进展报告、软件安装部署阶段进度表、项目完成情况表等三张表格。项目管理人员可以通过项目进展报告发现有关项目实施过程中的问题</w:t>
      </w:r>
    </w:p>
    <w:p w14:paraId="78918C3E">
      <w:r>
        <w:rPr>
          <w:rFonts w:hint="eastAsia"/>
        </w:rPr>
        <w:t>5）其他</w:t>
      </w:r>
    </w:p>
    <w:p w14:paraId="7BB12A52">
      <w:r>
        <w:rPr>
          <w:rFonts w:hint="eastAsia"/>
        </w:rPr>
        <w:t>项目负责人具有注册信息安全专业人员CISP资质（或同等）资质优先考虑。</w:t>
      </w:r>
    </w:p>
    <w:p w14:paraId="306EA0C5">
      <w:r>
        <w:rPr>
          <w:rFonts w:hint="eastAsia"/>
        </w:rPr>
        <w:t>12.其他要求</w:t>
      </w:r>
    </w:p>
    <w:p w14:paraId="18EC66E8">
      <w:r>
        <w:rPr>
          <w:rFonts w:hint="eastAsia"/>
        </w:rPr>
        <w:t>1）投标人具有近三年类似项目业绩的优先考虑；</w:t>
      </w:r>
      <w:bookmarkStart w:id="73" w:name="_GoBack"/>
      <w:bookmarkEnd w:id="73"/>
    </w:p>
    <w:p w14:paraId="70F945BF">
      <w:r>
        <w:rPr>
          <w:rFonts w:hint="eastAsia"/>
        </w:rPr>
        <w:t>2）投标人具有ISO27001信息安全体系认证证书、CS信息系统建设和服务能力评价等级证书、ITSS信息技术服务标准符合性证书证书的优先考虑。</w:t>
      </w:r>
    </w:p>
    <w:p w14:paraId="175D8C12">
      <w:r>
        <w:rPr>
          <w:rFonts w:hint="eastAsia"/>
        </w:rPr>
        <w:t>3）</w:t>
      </w:r>
      <w:r>
        <w:rPr>
          <w:rFonts w:hint="eastAsia" w:ascii="Calibri" w:hAnsi="Calibri"/>
        </w:rPr>
        <w:t>投标人需提供的密码应用安全解决方案设计包括：密码应用技术框架设计、密码服务支撑体系设计、物理和环境安全设计、网络和通讯安全设计、设备和计算安全设计、应用和数据安全设计、密评高风险项控制设计、密钥管理安全设计、以安全管理方案设计及安全与合规性分析。</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auto"/>
    <w:pitch w:val="default"/>
    <w:sig w:usb0="00000001" w:usb1="08000000" w:usb2="00000000" w:usb3="00000000" w:csb0="00040000" w:csb1="00000000"/>
  </w:font>
  <w:font w:name="Tahoma">
    <w:altName w:val="noto sans thai"/>
    <w:panose1 w:val="020B0604030504040204"/>
    <w:charset w:val="00"/>
    <w:family w:val="swiss"/>
    <w:pitch w:val="default"/>
    <w:sig w:usb0="00000000" w:usb1="00000000" w:usb2="00000029" w:usb3="00000000" w:csb0="000101FF" w:csb1="00000000"/>
  </w:font>
  <w:font w:name="noto sans thai">
    <w:panose1 w:val="020B0502040504020204"/>
    <w:charset w:val="00"/>
    <w:family w:val="auto"/>
    <w:pitch w:val="default"/>
    <w:sig w:usb0="81000063" w:usb1="00002000" w:usb2="00000000" w:usb3="00000000" w:csb0="00010000" w:csb1="00000000"/>
  </w:font>
  <w:font w:name="华文细黑">
    <w:altName w:val="汉仪中等线简"/>
    <w:panose1 w:val="02010600040101010101"/>
    <w:charset w:val="86"/>
    <w:family w:val="auto"/>
    <w:pitch w:val="default"/>
    <w:sig w:usb0="00000000" w:usb1="00000000" w:usb2="00000010" w:usb3="00000000" w:csb0="0004009F" w:csb1="00000000"/>
  </w:font>
  <w:font w:name="汉仪中等线简">
    <w:panose1 w:val="02010600000101010101"/>
    <w:charset w:val="86"/>
    <w:family w:val="auto"/>
    <w:pitch w:val="default"/>
    <w:sig w:usb0="00000001" w:usb1="080E0800" w:usb2="00000002" w:usb3="00000000" w:csb0="00040000" w:csb1="00000000"/>
  </w:font>
  <w:font w:name="仿宋_GB2312">
    <w:panose1 w:val="02010609030101010101"/>
    <w:charset w:val="86"/>
    <w:family w:val="auto"/>
    <w:pitch w:val="default"/>
    <w:sig w:usb0="00000001" w:usb1="080E0000" w:usb2="00000000" w:usb3="00000000" w:csb0="00040000" w:csb1="00000000"/>
  </w:font>
  <w:font w:name="等线 Light">
    <w:altName w:val="汉仪中圆B5"/>
    <w:panose1 w:val="02010600030101010101"/>
    <w:charset w:val="86"/>
    <w:family w:val="auto"/>
    <w:pitch w:val="default"/>
    <w:sig w:usb0="00000000" w:usb1="00000000" w:usb2="00000016" w:usb3="00000000" w:csb0="0004000F" w:csb1="00000000"/>
  </w:font>
  <w:font w:name="汉仪中圆B5">
    <w:panose1 w:val="02010600000101010101"/>
    <w:charset w:val="88"/>
    <w:family w:val="auto"/>
    <w:pitch w:val="default"/>
    <w:sig w:usb0="00000001" w:usb1="080E0800" w:usb2="00000002" w:usb3="00000000" w:csb0="00100000" w:csb1="00000000"/>
  </w:font>
  <w:font w:name="仿宋">
    <w:altName w:val="仿宋_GB2312"/>
    <w:panose1 w:val="02010609060101010101"/>
    <w:charset w:val="86"/>
    <w:family w:val="modern"/>
    <w:pitch w:val="default"/>
    <w:sig w:usb0="00000000" w:usb1="00000000" w:usb2="00000016" w:usb3="00000000" w:csb0="00040001"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D9A51">
    <w:pPr>
      <w:pStyle w:val="16"/>
    </w:pPr>
    <w:r>
      <w:fldChar w:fldCharType="begin"/>
    </w:r>
    <w:r>
      <w:instrText xml:space="preserve">PAGE   \* MERGEFORMAT</w:instrText>
    </w:r>
    <w:r>
      <w:fldChar w:fldCharType="separate"/>
    </w:r>
    <w:r>
      <w:rPr>
        <w:lang w:val="zh-CN"/>
      </w:rPr>
      <w:t>12</w:t>
    </w:r>
    <w:r>
      <w:fldChar w:fldCharType="end"/>
    </w:r>
  </w:p>
  <w:p w14:paraId="5D9E00CB">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F67B79"/>
    <w:multiLevelType w:val="multilevel"/>
    <w:tmpl w:val="13F67B79"/>
    <w:lvl w:ilvl="0" w:tentative="0">
      <w:start w:val="2"/>
      <w:numFmt w:val="decimal"/>
      <w:lvlText w:val="%1）"/>
      <w:lvlJc w:val="left"/>
      <w:pPr>
        <w:ind w:left="1001" w:hanging="720"/>
      </w:pPr>
      <w:rPr>
        <w:rFonts w:hint="default"/>
      </w:rPr>
    </w:lvl>
    <w:lvl w:ilvl="1" w:tentative="0">
      <w:start w:val="1"/>
      <w:numFmt w:val="lowerLetter"/>
      <w:lvlText w:val="%2)"/>
      <w:lvlJc w:val="left"/>
      <w:pPr>
        <w:ind w:left="1121" w:hanging="420"/>
      </w:pPr>
    </w:lvl>
    <w:lvl w:ilvl="2" w:tentative="0">
      <w:start w:val="1"/>
      <w:numFmt w:val="lowerRoman"/>
      <w:lvlText w:val="%3."/>
      <w:lvlJc w:val="right"/>
      <w:pPr>
        <w:ind w:left="1541" w:hanging="420"/>
      </w:pPr>
    </w:lvl>
    <w:lvl w:ilvl="3" w:tentative="0">
      <w:start w:val="1"/>
      <w:numFmt w:val="decimal"/>
      <w:lvlText w:val="%4."/>
      <w:lvlJc w:val="left"/>
      <w:pPr>
        <w:ind w:left="1961" w:hanging="420"/>
      </w:pPr>
    </w:lvl>
    <w:lvl w:ilvl="4" w:tentative="0">
      <w:start w:val="1"/>
      <w:numFmt w:val="lowerLetter"/>
      <w:lvlText w:val="%5)"/>
      <w:lvlJc w:val="left"/>
      <w:pPr>
        <w:ind w:left="2381" w:hanging="420"/>
      </w:pPr>
    </w:lvl>
    <w:lvl w:ilvl="5" w:tentative="0">
      <w:start w:val="1"/>
      <w:numFmt w:val="lowerRoman"/>
      <w:lvlText w:val="%6."/>
      <w:lvlJc w:val="right"/>
      <w:pPr>
        <w:ind w:left="2801" w:hanging="420"/>
      </w:pPr>
    </w:lvl>
    <w:lvl w:ilvl="6" w:tentative="0">
      <w:start w:val="1"/>
      <w:numFmt w:val="decimal"/>
      <w:lvlText w:val="%7."/>
      <w:lvlJc w:val="left"/>
      <w:pPr>
        <w:ind w:left="3221" w:hanging="420"/>
      </w:pPr>
    </w:lvl>
    <w:lvl w:ilvl="7" w:tentative="0">
      <w:start w:val="1"/>
      <w:numFmt w:val="lowerLetter"/>
      <w:lvlText w:val="%8)"/>
      <w:lvlJc w:val="left"/>
      <w:pPr>
        <w:ind w:left="3641" w:hanging="420"/>
      </w:pPr>
    </w:lvl>
    <w:lvl w:ilvl="8" w:tentative="0">
      <w:start w:val="1"/>
      <w:numFmt w:val="lowerRoman"/>
      <w:lvlText w:val="%9."/>
      <w:lvlJc w:val="right"/>
      <w:pPr>
        <w:ind w:left="4061" w:hanging="420"/>
      </w:pPr>
    </w:lvl>
  </w:abstractNum>
  <w:abstractNum w:abstractNumId="1">
    <w:nsid w:val="3095135E"/>
    <w:multiLevelType w:val="multilevel"/>
    <w:tmpl w:val="3095135E"/>
    <w:lvl w:ilvl="0" w:tentative="0">
      <w:start w:val="5"/>
      <w:numFmt w:val="decimal"/>
      <w:lvlText w:val="%1"/>
      <w:lvlJc w:val="left"/>
      <w:pPr>
        <w:ind w:left="600" w:hanging="600"/>
      </w:pPr>
      <w:rPr>
        <w:rFonts w:hint="default"/>
      </w:rPr>
    </w:lvl>
    <w:lvl w:ilvl="1" w:tentative="0">
      <w:start w:val="3"/>
      <w:numFmt w:val="decimal"/>
      <w:lvlText w:val="%1.%2"/>
      <w:lvlJc w:val="left"/>
      <w:pPr>
        <w:ind w:left="810" w:hanging="600"/>
      </w:pPr>
      <w:rPr>
        <w:rFonts w:hint="default"/>
      </w:rPr>
    </w:lvl>
    <w:lvl w:ilvl="2" w:tentative="0">
      <w:start w:val="3"/>
      <w:numFmt w:val="decimal"/>
      <w:pStyle w:val="48"/>
      <w:lvlText w:val="%1.%2.%3"/>
      <w:lvlJc w:val="left"/>
      <w:pPr>
        <w:ind w:left="1140" w:hanging="720"/>
      </w:pPr>
      <w:rPr>
        <w:rFonts w:hint="default"/>
      </w:rPr>
    </w:lvl>
    <w:lvl w:ilvl="3" w:tentative="0">
      <w:start w:val="1"/>
      <w:numFmt w:val="decimal"/>
      <w:lvlText w:val="%1.%2.%3.%4"/>
      <w:lvlJc w:val="left"/>
      <w:pPr>
        <w:ind w:left="1710" w:hanging="1080"/>
      </w:pPr>
      <w:rPr>
        <w:rFonts w:hint="default"/>
      </w:rPr>
    </w:lvl>
    <w:lvl w:ilvl="4" w:tentative="0">
      <w:start w:val="1"/>
      <w:numFmt w:val="decimal"/>
      <w:lvlText w:val="%1.%2.%3.%4.%5"/>
      <w:lvlJc w:val="left"/>
      <w:pPr>
        <w:ind w:left="1920" w:hanging="1080"/>
      </w:pPr>
      <w:rPr>
        <w:rFonts w:hint="default"/>
      </w:rPr>
    </w:lvl>
    <w:lvl w:ilvl="5" w:tentative="0">
      <w:start w:val="1"/>
      <w:numFmt w:val="decimal"/>
      <w:lvlText w:val="%1.%2.%3.%4.%5.%6"/>
      <w:lvlJc w:val="left"/>
      <w:pPr>
        <w:ind w:left="2490" w:hanging="1440"/>
      </w:pPr>
      <w:rPr>
        <w:rFonts w:hint="default"/>
      </w:rPr>
    </w:lvl>
    <w:lvl w:ilvl="6" w:tentative="0">
      <w:start w:val="1"/>
      <w:numFmt w:val="decimal"/>
      <w:lvlText w:val="%1.%2.%3.%4.%5.%6.%7"/>
      <w:lvlJc w:val="left"/>
      <w:pPr>
        <w:ind w:left="3060" w:hanging="1800"/>
      </w:pPr>
      <w:rPr>
        <w:rFonts w:hint="default"/>
      </w:rPr>
    </w:lvl>
    <w:lvl w:ilvl="7" w:tentative="0">
      <w:start w:val="1"/>
      <w:numFmt w:val="decimal"/>
      <w:lvlText w:val="%1.%2.%3.%4.%5.%6.%7.%8"/>
      <w:lvlJc w:val="left"/>
      <w:pPr>
        <w:ind w:left="3270" w:hanging="1800"/>
      </w:pPr>
      <w:rPr>
        <w:rFonts w:hint="default"/>
      </w:rPr>
    </w:lvl>
    <w:lvl w:ilvl="8" w:tentative="0">
      <w:start w:val="1"/>
      <w:numFmt w:val="decimal"/>
      <w:lvlText w:val="%1.%2.%3.%4.%5.%6.%7.%8.%9"/>
      <w:lvlJc w:val="left"/>
      <w:pPr>
        <w:ind w:left="3840" w:hanging="2160"/>
      </w:pPr>
      <w:rPr>
        <w:rFonts w:hint="default"/>
      </w:rPr>
    </w:lvl>
  </w:abstractNum>
  <w:abstractNum w:abstractNumId="2">
    <w:nsid w:val="5DEA35C0"/>
    <w:multiLevelType w:val="multilevel"/>
    <w:tmpl w:val="5DEA35C0"/>
    <w:lvl w:ilvl="0" w:tentative="0">
      <w:start w:val="1"/>
      <w:numFmt w:val="chineseCountingThousand"/>
      <w:pStyle w:val="2"/>
      <w:lvlText w:val="%1、"/>
      <w:lvlJc w:val="left"/>
      <w:pPr>
        <w:ind w:left="1004" w:hanging="72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3">
    <w:nsid w:val="653744CF"/>
    <w:multiLevelType w:val="multilevel"/>
    <w:tmpl w:val="653744CF"/>
    <w:lvl w:ilvl="0" w:tentative="0">
      <w:start w:val="1"/>
      <w:numFmt w:val="decimal"/>
      <w:lvlText w:val="%1、"/>
      <w:lvlJc w:val="left"/>
      <w:pPr>
        <w:ind w:left="1004" w:hanging="72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4">
    <w:nsid w:val="698427CF"/>
    <w:multiLevelType w:val="multilevel"/>
    <w:tmpl w:val="698427CF"/>
    <w:lvl w:ilvl="0" w:tentative="0">
      <w:start w:val="1"/>
      <w:numFmt w:val="decimal"/>
      <w:lvlText w:val="%1"/>
      <w:lvlJc w:val="left"/>
      <w:pPr>
        <w:ind w:left="432" w:hanging="432"/>
      </w:pPr>
      <w:rPr>
        <w:rFonts w:hint="eastAsia"/>
      </w:rPr>
    </w:lvl>
    <w:lvl w:ilvl="1" w:tentative="0">
      <w:start w:val="1"/>
      <w:numFmt w:val="decimal"/>
      <w:pStyle w:val="3"/>
      <w:lvlText w:val="%1.%2"/>
      <w:lvlJc w:val="left"/>
      <w:pPr>
        <w:ind w:left="576" w:hanging="576"/>
      </w:pPr>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4" w:tentative="0">
      <w:start w:val="1"/>
      <w:numFmt w:val="decimal"/>
      <w:pStyle w:val="6"/>
      <w:lvlText w:val="%1.%2.%3.%4.%5"/>
      <w:lvlJc w:val="left"/>
      <w:pPr>
        <w:ind w:left="1008" w:hanging="1008"/>
      </w:pPr>
      <w:rPr>
        <w:rFonts w:hint="eastAsia"/>
        <w:sz w:val="24"/>
        <w:szCs w:val="24"/>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5">
    <w:nsid w:val="70413BE2"/>
    <w:multiLevelType w:val="multilevel"/>
    <w:tmpl w:val="70413BE2"/>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83E5269"/>
    <w:multiLevelType w:val="singleLevel"/>
    <w:tmpl w:val="783E5269"/>
    <w:lvl w:ilvl="0" w:tentative="0">
      <w:start w:val="1"/>
      <w:numFmt w:val="decimal"/>
      <w:lvlText w:val="%1."/>
      <w:lvlJc w:val="left"/>
      <w:pPr>
        <w:ind w:left="425" w:hanging="425"/>
      </w:pPr>
      <w:rPr>
        <w:rFonts w:hint="default"/>
      </w:rPr>
    </w:lvl>
  </w:abstractNum>
  <w:num w:numId="1">
    <w:abstractNumId w:val="3"/>
  </w:num>
  <w:num w:numId="2">
    <w:abstractNumId w:val="2"/>
  </w:num>
  <w:num w:numId="3">
    <w:abstractNumId w:val="4"/>
  </w:num>
  <w:num w:numId="4">
    <w:abstractNumId w:val="1"/>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AB3839"/>
    <w:rsid w:val="00013E26"/>
    <w:rsid w:val="0003221E"/>
    <w:rsid w:val="000362A1"/>
    <w:rsid w:val="00037FC6"/>
    <w:rsid w:val="00050D1E"/>
    <w:rsid w:val="00050DD8"/>
    <w:rsid w:val="00064AFD"/>
    <w:rsid w:val="00067619"/>
    <w:rsid w:val="0007414F"/>
    <w:rsid w:val="000774E2"/>
    <w:rsid w:val="0008458D"/>
    <w:rsid w:val="000A3ADE"/>
    <w:rsid w:val="000C7A2F"/>
    <w:rsid w:val="000D5A2F"/>
    <w:rsid w:val="000D70CB"/>
    <w:rsid w:val="000E4D5E"/>
    <w:rsid w:val="000F7290"/>
    <w:rsid w:val="001151FB"/>
    <w:rsid w:val="00151563"/>
    <w:rsid w:val="00177192"/>
    <w:rsid w:val="001840A7"/>
    <w:rsid w:val="00187B6C"/>
    <w:rsid w:val="001916A8"/>
    <w:rsid w:val="001B0D62"/>
    <w:rsid w:val="001B2649"/>
    <w:rsid w:val="001B37E3"/>
    <w:rsid w:val="001B55A1"/>
    <w:rsid w:val="001F0AF6"/>
    <w:rsid w:val="001F2B75"/>
    <w:rsid w:val="001F5973"/>
    <w:rsid w:val="00204341"/>
    <w:rsid w:val="0021047E"/>
    <w:rsid w:val="002177F6"/>
    <w:rsid w:val="002369A1"/>
    <w:rsid w:val="00237BB5"/>
    <w:rsid w:val="002440BE"/>
    <w:rsid w:val="00265130"/>
    <w:rsid w:val="002767BD"/>
    <w:rsid w:val="00291986"/>
    <w:rsid w:val="002A556B"/>
    <w:rsid w:val="002B28D7"/>
    <w:rsid w:val="002C146D"/>
    <w:rsid w:val="002C4DF6"/>
    <w:rsid w:val="002C70AC"/>
    <w:rsid w:val="002F37D8"/>
    <w:rsid w:val="00300E6E"/>
    <w:rsid w:val="00305DCE"/>
    <w:rsid w:val="00312472"/>
    <w:rsid w:val="0031486C"/>
    <w:rsid w:val="00331143"/>
    <w:rsid w:val="00341939"/>
    <w:rsid w:val="00347C7C"/>
    <w:rsid w:val="003525DC"/>
    <w:rsid w:val="003927E3"/>
    <w:rsid w:val="003B57A4"/>
    <w:rsid w:val="003C56D1"/>
    <w:rsid w:val="003C6CF8"/>
    <w:rsid w:val="003E29ED"/>
    <w:rsid w:val="003F180B"/>
    <w:rsid w:val="004105AC"/>
    <w:rsid w:val="00447657"/>
    <w:rsid w:val="00454CE3"/>
    <w:rsid w:val="00460903"/>
    <w:rsid w:val="0048593C"/>
    <w:rsid w:val="0048646C"/>
    <w:rsid w:val="004924BD"/>
    <w:rsid w:val="0049252D"/>
    <w:rsid w:val="00495034"/>
    <w:rsid w:val="004B54DA"/>
    <w:rsid w:val="004C2127"/>
    <w:rsid w:val="004D751D"/>
    <w:rsid w:val="004E560B"/>
    <w:rsid w:val="005233F0"/>
    <w:rsid w:val="00531610"/>
    <w:rsid w:val="00561C06"/>
    <w:rsid w:val="00576BAA"/>
    <w:rsid w:val="00583228"/>
    <w:rsid w:val="00592174"/>
    <w:rsid w:val="005A5E3B"/>
    <w:rsid w:val="005A6DCD"/>
    <w:rsid w:val="005C0276"/>
    <w:rsid w:val="005E03F7"/>
    <w:rsid w:val="005F55DF"/>
    <w:rsid w:val="00604583"/>
    <w:rsid w:val="00611CE4"/>
    <w:rsid w:val="00613046"/>
    <w:rsid w:val="00625312"/>
    <w:rsid w:val="00630FF2"/>
    <w:rsid w:val="00636639"/>
    <w:rsid w:val="0066207D"/>
    <w:rsid w:val="00665581"/>
    <w:rsid w:val="00674077"/>
    <w:rsid w:val="006C5263"/>
    <w:rsid w:val="006D0579"/>
    <w:rsid w:val="006D2116"/>
    <w:rsid w:val="006E667A"/>
    <w:rsid w:val="006E7469"/>
    <w:rsid w:val="006F5E15"/>
    <w:rsid w:val="006F6FA3"/>
    <w:rsid w:val="00742419"/>
    <w:rsid w:val="00747C8D"/>
    <w:rsid w:val="0075162C"/>
    <w:rsid w:val="00757E14"/>
    <w:rsid w:val="007603A9"/>
    <w:rsid w:val="00762F3B"/>
    <w:rsid w:val="00766F6B"/>
    <w:rsid w:val="00785B43"/>
    <w:rsid w:val="00786B23"/>
    <w:rsid w:val="0079712E"/>
    <w:rsid w:val="007A4388"/>
    <w:rsid w:val="007B6ED1"/>
    <w:rsid w:val="007C42D8"/>
    <w:rsid w:val="007D29BB"/>
    <w:rsid w:val="007E6C59"/>
    <w:rsid w:val="007F05F0"/>
    <w:rsid w:val="007F1327"/>
    <w:rsid w:val="007F5A4F"/>
    <w:rsid w:val="007F7A74"/>
    <w:rsid w:val="008169B2"/>
    <w:rsid w:val="00827FCA"/>
    <w:rsid w:val="00840A7C"/>
    <w:rsid w:val="008410A9"/>
    <w:rsid w:val="00847AEB"/>
    <w:rsid w:val="0085703B"/>
    <w:rsid w:val="008641B6"/>
    <w:rsid w:val="00865A7D"/>
    <w:rsid w:val="008763E4"/>
    <w:rsid w:val="00883454"/>
    <w:rsid w:val="008A27D1"/>
    <w:rsid w:val="008D5D63"/>
    <w:rsid w:val="008D75F6"/>
    <w:rsid w:val="008F45F5"/>
    <w:rsid w:val="008F7AA1"/>
    <w:rsid w:val="0092329E"/>
    <w:rsid w:val="00924049"/>
    <w:rsid w:val="009367B4"/>
    <w:rsid w:val="00955C03"/>
    <w:rsid w:val="00956A60"/>
    <w:rsid w:val="0097083F"/>
    <w:rsid w:val="0099746B"/>
    <w:rsid w:val="009B092C"/>
    <w:rsid w:val="009F542A"/>
    <w:rsid w:val="00A11E7B"/>
    <w:rsid w:val="00A13FAE"/>
    <w:rsid w:val="00A2300A"/>
    <w:rsid w:val="00A40CA0"/>
    <w:rsid w:val="00A433A2"/>
    <w:rsid w:val="00A53316"/>
    <w:rsid w:val="00A82F55"/>
    <w:rsid w:val="00A91ECC"/>
    <w:rsid w:val="00A92A4B"/>
    <w:rsid w:val="00AB19B8"/>
    <w:rsid w:val="00AB2C2E"/>
    <w:rsid w:val="00AB3839"/>
    <w:rsid w:val="00AD121C"/>
    <w:rsid w:val="00AD3F2D"/>
    <w:rsid w:val="00AE2397"/>
    <w:rsid w:val="00AE263B"/>
    <w:rsid w:val="00AE3D4A"/>
    <w:rsid w:val="00AE5689"/>
    <w:rsid w:val="00AF0CA9"/>
    <w:rsid w:val="00AF597E"/>
    <w:rsid w:val="00B00AB2"/>
    <w:rsid w:val="00B01044"/>
    <w:rsid w:val="00B052AE"/>
    <w:rsid w:val="00B162B2"/>
    <w:rsid w:val="00B2033A"/>
    <w:rsid w:val="00B3528D"/>
    <w:rsid w:val="00B3769F"/>
    <w:rsid w:val="00B510BD"/>
    <w:rsid w:val="00B52484"/>
    <w:rsid w:val="00B6077B"/>
    <w:rsid w:val="00B9114A"/>
    <w:rsid w:val="00B92940"/>
    <w:rsid w:val="00BE445E"/>
    <w:rsid w:val="00BE505E"/>
    <w:rsid w:val="00BF3323"/>
    <w:rsid w:val="00C146E8"/>
    <w:rsid w:val="00C23509"/>
    <w:rsid w:val="00C267C6"/>
    <w:rsid w:val="00C30C49"/>
    <w:rsid w:val="00C40681"/>
    <w:rsid w:val="00C418E1"/>
    <w:rsid w:val="00C41E43"/>
    <w:rsid w:val="00C468E1"/>
    <w:rsid w:val="00C5604C"/>
    <w:rsid w:val="00C63AAF"/>
    <w:rsid w:val="00C72F57"/>
    <w:rsid w:val="00C75922"/>
    <w:rsid w:val="00C7743A"/>
    <w:rsid w:val="00C826C5"/>
    <w:rsid w:val="00C9537F"/>
    <w:rsid w:val="00C9683E"/>
    <w:rsid w:val="00CA42C3"/>
    <w:rsid w:val="00CA5F98"/>
    <w:rsid w:val="00CC2CFB"/>
    <w:rsid w:val="00CC6A0E"/>
    <w:rsid w:val="00CD1027"/>
    <w:rsid w:val="00CF320B"/>
    <w:rsid w:val="00CF4EDA"/>
    <w:rsid w:val="00D0014E"/>
    <w:rsid w:val="00D00845"/>
    <w:rsid w:val="00D0614F"/>
    <w:rsid w:val="00D118B7"/>
    <w:rsid w:val="00D160E3"/>
    <w:rsid w:val="00D73633"/>
    <w:rsid w:val="00D81E11"/>
    <w:rsid w:val="00D86064"/>
    <w:rsid w:val="00DA70CB"/>
    <w:rsid w:val="00DB10DD"/>
    <w:rsid w:val="00DB30DC"/>
    <w:rsid w:val="00DC3C86"/>
    <w:rsid w:val="00DD5EBE"/>
    <w:rsid w:val="00DD721D"/>
    <w:rsid w:val="00DE00E8"/>
    <w:rsid w:val="00DE4437"/>
    <w:rsid w:val="00E22DA9"/>
    <w:rsid w:val="00E3329B"/>
    <w:rsid w:val="00E43895"/>
    <w:rsid w:val="00E62E17"/>
    <w:rsid w:val="00EB2350"/>
    <w:rsid w:val="00EB2D3A"/>
    <w:rsid w:val="00EB6B6C"/>
    <w:rsid w:val="00EC10D8"/>
    <w:rsid w:val="00EC316E"/>
    <w:rsid w:val="00EF6932"/>
    <w:rsid w:val="00EF7F49"/>
    <w:rsid w:val="00F04873"/>
    <w:rsid w:val="00F103C0"/>
    <w:rsid w:val="00F10D71"/>
    <w:rsid w:val="00F12A98"/>
    <w:rsid w:val="00F21401"/>
    <w:rsid w:val="00F276B5"/>
    <w:rsid w:val="00F27FAB"/>
    <w:rsid w:val="00F30DB4"/>
    <w:rsid w:val="00F341F3"/>
    <w:rsid w:val="00F35524"/>
    <w:rsid w:val="00F44BD5"/>
    <w:rsid w:val="00F44DF7"/>
    <w:rsid w:val="00F57CDA"/>
    <w:rsid w:val="00F70370"/>
    <w:rsid w:val="00FA545E"/>
    <w:rsid w:val="00FA6C91"/>
    <w:rsid w:val="00FB49A5"/>
    <w:rsid w:val="00FE308C"/>
    <w:rsid w:val="08087A77"/>
    <w:rsid w:val="0A475705"/>
    <w:rsid w:val="0B5459A6"/>
    <w:rsid w:val="0D7F11F9"/>
    <w:rsid w:val="0FA7463C"/>
    <w:rsid w:val="0FBA11EE"/>
    <w:rsid w:val="122B1DDC"/>
    <w:rsid w:val="1A3675D1"/>
    <w:rsid w:val="2D646865"/>
    <w:rsid w:val="2F540065"/>
    <w:rsid w:val="2FAF7B4B"/>
    <w:rsid w:val="2FEF4C12"/>
    <w:rsid w:val="37E93BC8"/>
    <w:rsid w:val="3E4763CB"/>
    <w:rsid w:val="3EE527F9"/>
    <w:rsid w:val="3FF70321"/>
    <w:rsid w:val="40C0027B"/>
    <w:rsid w:val="523519FF"/>
    <w:rsid w:val="57CFDC64"/>
    <w:rsid w:val="62374EE0"/>
    <w:rsid w:val="63C528BC"/>
    <w:rsid w:val="66DD81CB"/>
    <w:rsid w:val="680D5F23"/>
    <w:rsid w:val="6B375D75"/>
    <w:rsid w:val="6BBC2FEC"/>
    <w:rsid w:val="7FF9BF61"/>
    <w:rsid w:val="DBFBC7DE"/>
    <w:rsid w:val="E7F1D784"/>
    <w:rsid w:val="EEA76904"/>
    <w:rsid w:val="EFBEC9C7"/>
    <w:rsid w:val="F6EEBCC2"/>
    <w:rsid w:val="FBFF18CB"/>
    <w:rsid w:val="FEF17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qFormat="1" w:uiPriority="39"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254"/>
      <w:jc w:val="both"/>
      <w:pPrChange w:id="0" w:author="eric" w:date="2025-08-26T15:37:00Z">
        <w:pPr>
          <w:widowControl w:val="0"/>
          <w:jc w:val="both"/>
        </w:pPr>
      </w:pPrChange>
    </w:pPr>
    <w:rPr>
      <w:rFonts w:ascii="Times New Roman" w:hAnsi="Times New Roman" w:eastAsia="宋体" w:cs="Times New Roman"/>
      <w:kern w:val="2"/>
      <w:sz w:val="21"/>
      <w:lang w:val="en-US" w:eastAsia="zh-CN" w:bidi="ar-SA"/>
      <w:rPrChange w:id="1" w:author="eric" w:date="2025-08-26T15:37:00Z">
        <w:rPr>
          <w:rFonts w:eastAsia="宋体"/>
          <w:kern w:val="2"/>
          <w:sz w:val="21"/>
          <w:lang w:val="en-US" w:eastAsia="zh-CN" w:bidi="ar-SA"/>
        </w:rPr>
      </w:rPrChange>
    </w:rPr>
  </w:style>
  <w:style w:type="paragraph" w:styleId="2">
    <w:name w:val="heading 1"/>
    <w:basedOn w:val="1"/>
    <w:link w:val="33"/>
    <w:autoRedefine/>
    <w:qFormat/>
    <w:uiPriority w:val="9"/>
    <w:pPr>
      <w:keepNext/>
      <w:keepLines/>
      <w:numPr>
        <w:ilvl w:val="0"/>
        <w:numId w:val="2"/>
      </w:numPr>
      <w:spacing w:line="360" w:lineRule="auto"/>
      <w:ind w:firstLine="301"/>
      <w:jc w:val="left"/>
      <w:outlineLvl w:val="0"/>
      <w:pPrChange w:id="2" w:author="eric [2]" w:date="2025-08-18T20:54:00Z">
        <w:pPr>
          <w:keepNext/>
          <w:keepLines/>
          <w:widowControl w:val="0"/>
          <w:numPr>
            <w:numId w:val="1"/>
          </w:numPr>
          <w:spacing w:line="360" w:lineRule="auto"/>
          <w:ind w:left="1004" w:hanging="720"/>
          <w:jc w:val="both"/>
          <w:outlineLvl w:val="0"/>
        </w:pPr>
      </w:pPrChange>
    </w:pPr>
    <w:rPr>
      <w:rFonts w:ascii="宋体" w:hAnsi="宋体"/>
      <w:b/>
      <w:bCs/>
      <w:kern w:val="44"/>
      <w:sz w:val="30"/>
      <w:szCs w:val="24"/>
      <w:lang w:val="zh-CN"/>
      <w:rPrChange w:id="3" w:author="eric [2]" w:date="2025-08-18T20:54:00Z">
        <w:rPr>
          <w:rFonts w:ascii="宋体" w:hAnsi="宋体" w:eastAsia="宋体"/>
          <w:b/>
          <w:bCs/>
          <w:kern w:val="44"/>
          <w:sz w:val="30"/>
          <w:szCs w:val="24"/>
          <w:lang w:val="zh-CN" w:eastAsia="zh-CN" w:bidi="ar-SA"/>
        </w:rPr>
      </w:rPrChange>
    </w:rPr>
  </w:style>
  <w:style w:type="paragraph" w:styleId="3">
    <w:name w:val="heading 2"/>
    <w:basedOn w:val="1"/>
    <w:next w:val="1"/>
    <w:link w:val="35"/>
    <w:autoRedefine/>
    <w:qFormat/>
    <w:uiPriority w:val="0"/>
    <w:pPr>
      <w:keepNext/>
      <w:keepLines/>
      <w:numPr>
        <w:ilvl w:val="1"/>
        <w:numId w:val="3"/>
      </w:numPr>
      <w:spacing w:before="260" w:after="260" w:line="416" w:lineRule="auto"/>
      <w:outlineLvl w:val="1"/>
    </w:pPr>
    <w:rPr>
      <w:rFonts w:ascii="Cambria" w:hAnsi="Cambria"/>
      <w:b/>
      <w:bCs/>
      <w:kern w:val="0"/>
      <w:sz w:val="28"/>
      <w:szCs w:val="32"/>
      <w:lang w:val="zh-CN"/>
    </w:rPr>
  </w:style>
  <w:style w:type="paragraph" w:styleId="4">
    <w:name w:val="heading 3"/>
    <w:basedOn w:val="1"/>
    <w:next w:val="1"/>
    <w:link w:val="36"/>
    <w:autoRedefine/>
    <w:qFormat/>
    <w:uiPriority w:val="0"/>
    <w:pPr>
      <w:keepNext/>
      <w:keepLines/>
      <w:numPr>
        <w:ilvl w:val="2"/>
        <w:numId w:val="3"/>
      </w:numPr>
      <w:spacing w:before="120" w:after="120"/>
      <w:outlineLvl w:val="2"/>
    </w:pPr>
    <w:rPr>
      <w:b/>
      <w:bCs/>
      <w:szCs w:val="32"/>
      <w:lang w:val="zh-CN"/>
    </w:rPr>
  </w:style>
  <w:style w:type="paragraph" w:styleId="5">
    <w:name w:val="heading 4"/>
    <w:basedOn w:val="1"/>
    <w:next w:val="1"/>
    <w:link w:val="37"/>
    <w:autoRedefine/>
    <w:qFormat/>
    <w:uiPriority w:val="0"/>
    <w:pPr>
      <w:keepNext/>
      <w:keepLines/>
      <w:numPr>
        <w:ilvl w:val="3"/>
        <w:numId w:val="3"/>
      </w:numPr>
      <w:spacing w:before="280" w:after="290" w:line="376" w:lineRule="auto"/>
      <w:ind w:left="0" w:firstLine="0"/>
      <w:outlineLvl w:val="3"/>
    </w:pPr>
    <w:rPr>
      <w:rFonts w:ascii="Arial" w:hAnsi="Arial" w:eastAsia="黑体"/>
      <w:b/>
      <w:bCs/>
      <w:sz w:val="28"/>
      <w:szCs w:val="28"/>
      <w:lang w:val="zh-CN"/>
    </w:rPr>
  </w:style>
  <w:style w:type="paragraph" w:styleId="6">
    <w:name w:val="heading 5"/>
    <w:basedOn w:val="1"/>
    <w:next w:val="1"/>
    <w:link w:val="38"/>
    <w:autoRedefine/>
    <w:qFormat/>
    <w:uiPriority w:val="0"/>
    <w:pPr>
      <w:keepNext/>
      <w:keepLines/>
      <w:numPr>
        <w:ilvl w:val="4"/>
        <w:numId w:val="3"/>
      </w:numPr>
      <w:adjustRightInd w:val="0"/>
      <w:spacing w:before="280" w:after="290" w:line="376" w:lineRule="atLeast"/>
      <w:ind w:left="0" w:firstLine="0"/>
      <w:jc w:val="left"/>
      <w:textAlignment w:val="baseline"/>
      <w:outlineLvl w:val="4"/>
    </w:pPr>
    <w:rPr>
      <w:b/>
      <w:kern w:val="0"/>
      <w:sz w:val="28"/>
      <w:lang w:val="zh-CN"/>
    </w:rPr>
  </w:style>
  <w:style w:type="paragraph" w:styleId="7">
    <w:name w:val="heading 6"/>
    <w:basedOn w:val="1"/>
    <w:next w:val="1"/>
    <w:link w:val="39"/>
    <w:autoRedefine/>
    <w:qFormat/>
    <w:uiPriority w:val="0"/>
    <w:pPr>
      <w:keepNext/>
      <w:keepLines/>
      <w:numPr>
        <w:ilvl w:val="5"/>
        <w:numId w:val="3"/>
      </w:numPr>
      <w:adjustRightInd w:val="0"/>
      <w:spacing w:before="240" w:after="64" w:line="320" w:lineRule="atLeast"/>
      <w:ind w:left="0" w:firstLine="0"/>
      <w:jc w:val="left"/>
      <w:textAlignment w:val="baseline"/>
      <w:outlineLvl w:val="5"/>
    </w:pPr>
    <w:rPr>
      <w:rFonts w:ascii="Arial" w:hAnsi="Arial" w:eastAsia="黑体"/>
      <w:b/>
      <w:kern w:val="0"/>
      <w:sz w:val="24"/>
      <w:lang w:val="zh-CN"/>
    </w:rPr>
  </w:style>
  <w:style w:type="paragraph" w:styleId="8">
    <w:name w:val="heading 7"/>
    <w:basedOn w:val="1"/>
    <w:next w:val="1"/>
    <w:link w:val="40"/>
    <w:autoRedefine/>
    <w:qFormat/>
    <w:uiPriority w:val="0"/>
    <w:pPr>
      <w:keepNext/>
      <w:keepLines/>
      <w:numPr>
        <w:ilvl w:val="6"/>
        <w:numId w:val="3"/>
      </w:numPr>
      <w:adjustRightInd w:val="0"/>
      <w:spacing w:before="240" w:after="64" w:line="320" w:lineRule="atLeast"/>
      <w:ind w:left="0" w:firstLine="0"/>
      <w:jc w:val="left"/>
      <w:textAlignment w:val="baseline"/>
      <w:outlineLvl w:val="6"/>
    </w:pPr>
    <w:rPr>
      <w:b/>
      <w:kern w:val="0"/>
      <w:sz w:val="24"/>
      <w:lang w:val="zh-CN"/>
    </w:rPr>
  </w:style>
  <w:style w:type="paragraph" w:styleId="9">
    <w:name w:val="heading 8"/>
    <w:basedOn w:val="1"/>
    <w:next w:val="1"/>
    <w:link w:val="41"/>
    <w:autoRedefine/>
    <w:qFormat/>
    <w:uiPriority w:val="0"/>
    <w:pPr>
      <w:keepNext/>
      <w:keepLines/>
      <w:numPr>
        <w:ilvl w:val="7"/>
        <w:numId w:val="3"/>
      </w:numPr>
      <w:adjustRightInd w:val="0"/>
      <w:spacing w:before="240" w:after="64" w:line="320" w:lineRule="atLeast"/>
      <w:ind w:left="0" w:firstLine="0"/>
      <w:jc w:val="left"/>
      <w:textAlignment w:val="baseline"/>
      <w:outlineLvl w:val="7"/>
    </w:pPr>
    <w:rPr>
      <w:rFonts w:ascii="Arial" w:hAnsi="Arial" w:eastAsia="黑体"/>
      <w:kern w:val="0"/>
      <w:sz w:val="24"/>
      <w:lang w:val="zh-CN"/>
    </w:rPr>
  </w:style>
  <w:style w:type="paragraph" w:styleId="10">
    <w:name w:val="heading 9"/>
    <w:basedOn w:val="1"/>
    <w:next w:val="1"/>
    <w:link w:val="42"/>
    <w:autoRedefine/>
    <w:qFormat/>
    <w:uiPriority w:val="0"/>
    <w:pPr>
      <w:keepNext/>
      <w:keepLines/>
      <w:numPr>
        <w:ilvl w:val="8"/>
        <w:numId w:val="3"/>
      </w:numPr>
      <w:adjustRightInd w:val="0"/>
      <w:spacing w:before="240" w:after="64" w:line="320" w:lineRule="atLeast"/>
      <w:ind w:left="0" w:firstLine="0"/>
      <w:jc w:val="left"/>
      <w:textAlignment w:val="baseline"/>
      <w:outlineLvl w:val="8"/>
    </w:pPr>
    <w:rPr>
      <w:rFonts w:ascii="Arial" w:hAnsi="Arial" w:eastAsia="黑体"/>
      <w:kern w:val="0"/>
      <w:sz w:val="24"/>
      <w:lang w:val="zh-CN"/>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autoRedefine/>
    <w:qFormat/>
    <w:uiPriority w:val="0"/>
    <w:pPr>
      <w:spacing w:line="360" w:lineRule="auto"/>
      <w:ind w:firstLine="420" w:firstLineChars="200"/>
    </w:pPr>
    <w:rPr>
      <w:rFonts w:ascii="Tahoma" w:hAnsi="Tahoma" w:eastAsia="Tahoma"/>
      <w:b/>
      <w:sz w:val="24"/>
    </w:rPr>
  </w:style>
  <w:style w:type="paragraph" w:styleId="12">
    <w:name w:val="annotation text"/>
    <w:basedOn w:val="1"/>
    <w:link w:val="53"/>
    <w:unhideWhenUsed/>
    <w:qFormat/>
    <w:uiPriority w:val="99"/>
    <w:pPr>
      <w:jc w:val="left"/>
    </w:pPr>
  </w:style>
  <w:style w:type="paragraph" w:styleId="13">
    <w:name w:val="Body Text"/>
    <w:basedOn w:val="1"/>
    <w:link w:val="46"/>
    <w:autoRedefine/>
    <w:semiHidden/>
    <w:unhideWhenUsed/>
    <w:qFormat/>
    <w:uiPriority w:val="99"/>
    <w:pPr>
      <w:spacing w:after="120"/>
    </w:pPr>
  </w:style>
  <w:style w:type="paragraph" w:styleId="14">
    <w:name w:val="Plain Text"/>
    <w:basedOn w:val="1"/>
    <w:link w:val="34"/>
    <w:autoRedefine/>
    <w:qFormat/>
    <w:uiPriority w:val="0"/>
    <w:rPr>
      <w:rFonts w:ascii="宋体" w:hAnsi="Courier New"/>
    </w:rPr>
  </w:style>
  <w:style w:type="paragraph" w:styleId="15">
    <w:name w:val="Balloon Text"/>
    <w:basedOn w:val="1"/>
    <w:link w:val="55"/>
    <w:semiHidden/>
    <w:unhideWhenUsed/>
    <w:qFormat/>
    <w:uiPriority w:val="99"/>
    <w:rPr>
      <w:sz w:val="18"/>
      <w:szCs w:val="18"/>
    </w:rPr>
  </w:style>
  <w:style w:type="paragraph" w:styleId="16">
    <w:name w:val="footer"/>
    <w:basedOn w:val="1"/>
    <w:link w:val="31"/>
    <w:autoRedefine/>
    <w:unhideWhenUsed/>
    <w:qFormat/>
    <w:uiPriority w:val="99"/>
    <w:pPr>
      <w:tabs>
        <w:tab w:val="center" w:pos="4153"/>
        <w:tab w:val="right" w:pos="8306"/>
      </w:tabs>
      <w:snapToGrid w:val="0"/>
      <w:jc w:val="left"/>
    </w:pPr>
    <w:rPr>
      <w:sz w:val="18"/>
      <w:szCs w:val="18"/>
    </w:rPr>
  </w:style>
  <w:style w:type="paragraph" w:styleId="17">
    <w:name w:val="header"/>
    <w:basedOn w:val="1"/>
    <w:link w:val="30"/>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rPr>
      <w:szCs w:val="24"/>
    </w:rPr>
  </w:style>
  <w:style w:type="paragraph" w:styleId="19">
    <w:name w:val="toc 6"/>
    <w:basedOn w:val="1"/>
    <w:next w:val="1"/>
    <w:autoRedefine/>
    <w:unhideWhenUsed/>
    <w:qFormat/>
    <w:uiPriority w:val="39"/>
    <w:pPr>
      <w:ind w:left="2100" w:leftChars="1000"/>
    </w:pPr>
  </w:style>
  <w:style w:type="paragraph" w:styleId="20">
    <w:name w:val="toc 2"/>
    <w:basedOn w:val="1"/>
    <w:next w:val="1"/>
    <w:autoRedefine/>
    <w:unhideWhenUsed/>
    <w:qFormat/>
    <w:uiPriority w:val="39"/>
    <w:pPr>
      <w:ind w:left="420" w:leftChars="200"/>
    </w:pPr>
    <w:rPr>
      <w:szCs w:val="24"/>
    </w:rPr>
  </w:style>
  <w:style w:type="paragraph" w:styleId="21">
    <w:name w:val="annotation subject"/>
    <w:basedOn w:val="12"/>
    <w:next w:val="12"/>
    <w:link w:val="54"/>
    <w:semiHidden/>
    <w:unhideWhenUsed/>
    <w:qFormat/>
    <w:uiPriority w:val="99"/>
    <w:rPr>
      <w:b/>
      <w:bCs/>
    </w:rPr>
  </w:style>
  <w:style w:type="paragraph" w:styleId="22">
    <w:name w:val="Body Text First Indent"/>
    <w:basedOn w:val="13"/>
    <w:link w:val="47"/>
    <w:autoRedefine/>
    <w:qFormat/>
    <w:uiPriority w:val="0"/>
    <w:pPr>
      <w:ind w:firstLine="420"/>
    </w:pPr>
  </w:style>
  <w:style w:type="table" w:styleId="24">
    <w:name w:val="Table Grid"/>
    <w:basedOn w:val="2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Hyperlink"/>
    <w:autoRedefine/>
    <w:unhideWhenUsed/>
    <w:qFormat/>
    <w:uiPriority w:val="99"/>
    <w:rPr>
      <w:color w:val="0563C1"/>
      <w:u w:val="single"/>
    </w:rPr>
  </w:style>
  <w:style w:type="character" w:styleId="28">
    <w:name w:val="annotation reference"/>
    <w:basedOn w:val="25"/>
    <w:semiHidden/>
    <w:unhideWhenUsed/>
    <w:qFormat/>
    <w:uiPriority w:val="99"/>
    <w:rPr>
      <w:sz w:val="21"/>
      <w:szCs w:val="21"/>
    </w:rPr>
  </w:style>
  <w:style w:type="paragraph" w:customStyle="1" w:styleId="29">
    <w:name w:val="正文（文本）"/>
    <w:next w:val="19"/>
    <w:autoRedefine/>
    <w:qFormat/>
    <w:uiPriority w:val="0"/>
    <w:pPr>
      <w:widowControl w:val="0"/>
      <w:snapToGrid w:val="0"/>
      <w:spacing w:beforeLines="20" w:line="360" w:lineRule="auto"/>
      <w:jc w:val="center"/>
    </w:pPr>
    <w:rPr>
      <w:rFonts w:ascii="Calibri" w:hAnsi="宋体" w:eastAsia="宋体" w:cs="Times New Roman"/>
      <w:kern w:val="2"/>
      <w:sz w:val="28"/>
      <w:szCs w:val="28"/>
      <w:lang w:val="en-US" w:eastAsia="zh-CN" w:bidi="ar-SA"/>
    </w:rPr>
  </w:style>
  <w:style w:type="character" w:customStyle="1" w:styleId="30">
    <w:name w:val="页眉 字符"/>
    <w:basedOn w:val="25"/>
    <w:link w:val="17"/>
    <w:autoRedefine/>
    <w:qFormat/>
    <w:uiPriority w:val="99"/>
    <w:rPr>
      <w:sz w:val="18"/>
      <w:szCs w:val="18"/>
    </w:rPr>
  </w:style>
  <w:style w:type="character" w:customStyle="1" w:styleId="31">
    <w:name w:val="页脚 字符"/>
    <w:basedOn w:val="25"/>
    <w:link w:val="16"/>
    <w:autoRedefine/>
    <w:qFormat/>
    <w:uiPriority w:val="99"/>
    <w:rPr>
      <w:sz w:val="18"/>
      <w:szCs w:val="18"/>
    </w:rPr>
  </w:style>
  <w:style w:type="paragraph" w:customStyle="1" w:styleId="32">
    <w:name w:val="方案正文"/>
    <w:basedOn w:val="1"/>
    <w:link w:val="43"/>
    <w:autoRedefine/>
    <w:qFormat/>
    <w:uiPriority w:val="0"/>
    <w:pPr>
      <w:spacing w:before="120" w:line="360" w:lineRule="auto"/>
      <w:ind w:firstLine="425" w:firstLineChars="177"/>
    </w:pPr>
    <w:rPr>
      <w:rFonts w:ascii="华文细黑" w:hAnsi="华文细黑" w:eastAsia="华文细黑"/>
      <w:kern w:val="0"/>
      <w:sz w:val="24"/>
      <w:szCs w:val="24"/>
    </w:rPr>
  </w:style>
  <w:style w:type="character" w:customStyle="1" w:styleId="33">
    <w:name w:val="标题 1 字符"/>
    <w:basedOn w:val="25"/>
    <w:link w:val="2"/>
    <w:autoRedefine/>
    <w:qFormat/>
    <w:uiPriority w:val="9"/>
    <w:rPr>
      <w:rFonts w:ascii="宋体" w:hAnsi="宋体"/>
      <w:b/>
      <w:bCs/>
      <w:kern w:val="44"/>
      <w:sz w:val="30"/>
      <w:szCs w:val="24"/>
      <w:lang w:val="zh-CN"/>
    </w:rPr>
  </w:style>
  <w:style w:type="character" w:customStyle="1" w:styleId="34">
    <w:name w:val="纯文本 字符"/>
    <w:basedOn w:val="25"/>
    <w:link w:val="14"/>
    <w:autoRedefine/>
    <w:qFormat/>
    <w:uiPriority w:val="0"/>
    <w:rPr>
      <w:rFonts w:ascii="宋体" w:hAnsi="Courier New" w:eastAsia="宋体" w:cs="Times New Roman"/>
      <w:szCs w:val="20"/>
    </w:rPr>
  </w:style>
  <w:style w:type="character" w:customStyle="1" w:styleId="35">
    <w:name w:val="标题 2 字符"/>
    <w:basedOn w:val="25"/>
    <w:link w:val="3"/>
    <w:autoRedefine/>
    <w:qFormat/>
    <w:uiPriority w:val="0"/>
    <w:rPr>
      <w:rFonts w:ascii="Cambria" w:hAnsi="Cambria"/>
      <w:b/>
      <w:bCs/>
      <w:sz w:val="28"/>
      <w:szCs w:val="32"/>
      <w:lang w:val="zh-CN"/>
    </w:rPr>
  </w:style>
  <w:style w:type="character" w:customStyle="1" w:styleId="36">
    <w:name w:val="标题 3 字符"/>
    <w:basedOn w:val="25"/>
    <w:link w:val="4"/>
    <w:autoRedefine/>
    <w:qFormat/>
    <w:uiPriority w:val="0"/>
    <w:rPr>
      <w:rFonts w:ascii="Times New Roman" w:hAnsi="Times New Roman" w:eastAsia="宋体" w:cs="Times New Roman"/>
      <w:b/>
      <w:bCs/>
      <w:szCs w:val="32"/>
      <w:lang w:val="zh-CN"/>
    </w:rPr>
  </w:style>
  <w:style w:type="character" w:customStyle="1" w:styleId="37">
    <w:name w:val="标题 4 字符"/>
    <w:basedOn w:val="25"/>
    <w:link w:val="5"/>
    <w:autoRedefine/>
    <w:qFormat/>
    <w:uiPriority w:val="0"/>
    <w:rPr>
      <w:rFonts w:ascii="Arial" w:hAnsi="Arial" w:eastAsia="黑体" w:cs="Times New Roman"/>
      <w:b/>
      <w:bCs/>
      <w:sz w:val="28"/>
      <w:szCs w:val="28"/>
      <w:lang w:val="zh-CN"/>
    </w:rPr>
  </w:style>
  <w:style w:type="character" w:customStyle="1" w:styleId="38">
    <w:name w:val="标题 5 字符"/>
    <w:basedOn w:val="25"/>
    <w:link w:val="6"/>
    <w:autoRedefine/>
    <w:qFormat/>
    <w:uiPriority w:val="0"/>
    <w:rPr>
      <w:rFonts w:ascii="Times New Roman" w:hAnsi="Times New Roman" w:eastAsia="宋体" w:cs="Times New Roman"/>
      <w:b/>
      <w:kern w:val="0"/>
      <w:sz w:val="28"/>
      <w:szCs w:val="20"/>
      <w:lang w:val="zh-CN"/>
    </w:rPr>
  </w:style>
  <w:style w:type="character" w:customStyle="1" w:styleId="39">
    <w:name w:val="标题 6 字符"/>
    <w:basedOn w:val="25"/>
    <w:link w:val="7"/>
    <w:autoRedefine/>
    <w:qFormat/>
    <w:uiPriority w:val="0"/>
    <w:rPr>
      <w:rFonts w:ascii="Arial" w:hAnsi="Arial" w:eastAsia="黑体" w:cs="Times New Roman"/>
      <w:b/>
      <w:kern w:val="0"/>
      <w:sz w:val="24"/>
      <w:szCs w:val="20"/>
      <w:lang w:val="zh-CN"/>
    </w:rPr>
  </w:style>
  <w:style w:type="character" w:customStyle="1" w:styleId="40">
    <w:name w:val="标题 7 字符"/>
    <w:basedOn w:val="25"/>
    <w:link w:val="8"/>
    <w:autoRedefine/>
    <w:qFormat/>
    <w:uiPriority w:val="0"/>
    <w:rPr>
      <w:rFonts w:ascii="Times New Roman" w:hAnsi="Times New Roman" w:eastAsia="宋体" w:cs="Times New Roman"/>
      <w:b/>
      <w:kern w:val="0"/>
      <w:sz w:val="24"/>
      <w:szCs w:val="20"/>
      <w:lang w:val="zh-CN"/>
    </w:rPr>
  </w:style>
  <w:style w:type="character" w:customStyle="1" w:styleId="41">
    <w:name w:val="标题 8 字符"/>
    <w:basedOn w:val="25"/>
    <w:link w:val="9"/>
    <w:autoRedefine/>
    <w:qFormat/>
    <w:uiPriority w:val="0"/>
    <w:rPr>
      <w:rFonts w:ascii="Arial" w:hAnsi="Arial" w:eastAsia="黑体" w:cs="Times New Roman"/>
      <w:kern w:val="0"/>
      <w:sz w:val="24"/>
      <w:szCs w:val="20"/>
      <w:lang w:val="zh-CN"/>
    </w:rPr>
  </w:style>
  <w:style w:type="character" w:customStyle="1" w:styleId="42">
    <w:name w:val="标题 9 字符"/>
    <w:basedOn w:val="25"/>
    <w:link w:val="10"/>
    <w:autoRedefine/>
    <w:qFormat/>
    <w:uiPriority w:val="0"/>
    <w:rPr>
      <w:rFonts w:ascii="Arial" w:hAnsi="Arial" w:eastAsia="黑体" w:cs="Times New Roman"/>
      <w:kern w:val="0"/>
      <w:sz w:val="24"/>
      <w:szCs w:val="20"/>
      <w:lang w:val="zh-CN"/>
    </w:rPr>
  </w:style>
  <w:style w:type="character" w:customStyle="1" w:styleId="43">
    <w:name w:val="方案正文 Char"/>
    <w:link w:val="32"/>
    <w:autoRedefine/>
    <w:qFormat/>
    <w:uiPriority w:val="0"/>
    <w:rPr>
      <w:rFonts w:ascii="华文细黑" w:hAnsi="华文细黑" w:eastAsia="华文细黑" w:cs="Times New Roman"/>
      <w:kern w:val="0"/>
      <w:sz w:val="24"/>
      <w:szCs w:val="24"/>
    </w:rPr>
  </w:style>
  <w:style w:type="paragraph" w:customStyle="1" w:styleId="44">
    <w:name w:val="文档正文"/>
    <w:basedOn w:val="1"/>
    <w:autoRedefine/>
    <w:qFormat/>
    <w:uiPriority w:val="0"/>
    <w:pPr>
      <w:adjustRightInd w:val="0"/>
      <w:spacing w:line="480" w:lineRule="atLeast"/>
      <w:ind w:firstLine="567"/>
      <w:textAlignment w:val="baseline"/>
    </w:pPr>
    <w:rPr>
      <w:rFonts w:ascii="仿宋_GB2312" w:eastAsia="仿宋_GB2312"/>
      <w:kern w:val="0"/>
      <w:sz w:val="28"/>
    </w:rPr>
  </w:style>
  <w:style w:type="character" w:customStyle="1" w:styleId="45">
    <w:name w:val="ca-5"/>
    <w:basedOn w:val="25"/>
    <w:autoRedefine/>
    <w:qFormat/>
    <w:uiPriority w:val="0"/>
  </w:style>
  <w:style w:type="character" w:customStyle="1" w:styleId="46">
    <w:name w:val="正文文本 字符"/>
    <w:basedOn w:val="25"/>
    <w:link w:val="13"/>
    <w:autoRedefine/>
    <w:semiHidden/>
    <w:qFormat/>
    <w:uiPriority w:val="99"/>
    <w:rPr>
      <w:rFonts w:ascii="Times New Roman" w:hAnsi="Times New Roman" w:eastAsia="宋体" w:cs="Times New Roman"/>
      <w:szCs w:val="20"/>
    </w:rPr>
  </w:style>
  <w:style w:type="character" w:customStyle="1" w:styleId="47">
    <w:name w:val="正文文本首行缩进 字符"/>
    <w:basedOn w:val="46"/>
    <w:link w:val="22"/>
    <w:autoRedefine/>
    <w:qFormat/>
    <w:uiPriority w:val="0"/>
    <w:rPr>
      <w:rFonts w:ascii="Times New Roman" w:hAnsi="Times New Roman" w:eastAsia="宋体" w:cs="Times New Roman"/>
      <w:szCs w:val="20"/>
    </w:rPr>
  </w:style>
  <w:style w:type="paragraph" w:styleId="48">
    <w:name w:val="List Paragraph"/>
    <w:basedOn w:val="1"/>
    <w:autoRedefine/>
    <w:qFormat/>
    <w:uiPriority w:val="34"/>
    <w:pPr>
      <w:numPr>
        <w:ilvl w:val="2"/>
        <w:numId w:val="4"/>
      </w:numPr>
      <w:autoSpaceDE w:val="0"/>
      <w:autoSpaceDN w:val="0"/>
      <w:adjustRightInd w:val="0"/>
      <w:spacing w:line="312" w:lineRule="auto"/>
      <w:ind w:left="426" w:hanging="6"/>
    </w:pPr>
  </w:style>
  <w:style w:type="character" w:customStyle="1" w:styleId="49">
    <w:name w:val="封面二"/>
    <w:autoRedefine/>
    <w:qFormat/>
    <w:uiPriority w:val="0"/>
    <w:rPr>
      <w:rFonts w:ascii="黑体" w:hAnsi="黑体" w:eastAsia="黑体"/>
      <w:sz w:val="52"/>
    </w:rPr>
  </w:style>
  <w:style w:type="paragraph" w:customStyle="1" w:styleId="50">
    <w:name w:val="TOC 标题1"/>
    <w:basedOn w:val="2"/>
    <w:next w:val="1"/>
    <w:autoRedefine/>
    <w:unhideWhenUsed/>
    <w:qFormat/>
    <w:uiPriority w:val="39"/>
    <w:pPr>
      <w:widowControl/>
      <w:numPr>
        <w:numId w:val="0"/>
      </w:numPr>
      <w:spacing w:before="240" w:line="259" w:lineRule="auto"/>
      <w:outlineLvl w:val="9"/>
    </w:pPr>
    <w:rPr>
      <w:rFonts w:ascii="等线 Light" w:hAnsi="等线 Light" w:eastAsia="等线 Light"/>
      <w:b w:val="0"/>
      <w:bCs w:val="0"/>
      <w:color w:val="2F5496"/>
      <w:kern w:val="0"/>
      <w:sz w:val="32"/>
      <w:szCs w:val="32"/>
      <w:lang w:val="en-US"/>
    </w:rPr>
  </w:style>
  <w:style w:type="paragraph" w:customStyle="1" w:styleId="51">
    <w:name w:val="Table Paragraph"/>
    <w:basedOn w:val="1"/>
    <w:autoRedefine/>
    <w:qFormat/>
    <w:uiPriority w:val="1"/>
    <w:rPr>
      <w:rFonts w:asciiTheme="minorHAnsi" w:hAnsiTheme="minorHAnsi" w:eastAsiaTheme="minorEastAsia" w:cstheme="minorBidi"/>
      <w:szCs w:val="24"/>
    </w:rPr>
  </w:style>
  <w:style w:type="paragraph" w:customStyle="1" w:styleId="52">
    <w:name w:val="列表段落1"/>
    <w:basedOn w:val="1"/>
    <w:autoRedefine/>
    <w:qFormat/>
    <w:uiPriority w:val="34"/>
    <w:pPr>
      <w:ind w:firstLine="420" w:firstLineChars="200"/>
    </w:pPr>
  </w:style>
  <w:style w:type="character" w:customStyle="1" w:styleId="53">
    <w:name w:val="批注文字 字符"/>
    <w:basedOn w:val="25"/>
    <w:link w:val="12"/>
    <w:qFormat/>
    <w:uiPriority w:val="99"/>
    <w:rPr>
      <w:kern w:val="2"/>
      <w:sz w:val="21"/>
    </w:rPr>
  </w:style>
  <w:style w:type="character" w:customStyle="1" w:styleId="54">
    <w:name w:val="批注主题 字符"/>
    <w:basedOn w:val="53"/>
    <w:link w:val="21"/>
    <w:semiHidden/>
    <w:qFormat/>
    <w:uiPriority w:val="99"/>
    <w:rPr>
      <w:b/>
      <w:bCs/>
      <w:kern w:val="2"/>
      <w:sz w:val="21"/>
    </w:rPr>
  </w:style>
  <w:style w:type="character" w:customStyle="1" w:styleId="55">
    <w:name w:val="批注框文本 字符"/>
    <w:basedOn w:val="25"/>
    <w:link w:val="15"/>
    <w:semiHidden/>
    <w:qFormat/>
    <w:uiPriority w:val="99"/>
    <w:rPr>
      <w:kern w:val="2"/>
      <w:sz w:val="18"/>
      <w:szCs w:val="18"/>
    </w:rPr>
  </w:style>
  <w:style w:type="paragraph" w:customStyle="1" w:styleId="56">
    <w:name w:val="修订1"/>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package" Target="embeddings/Microsoft_Visio___1.vsdx"/><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2901</Words>
  <Characters>16536</Characters>
  <Lines>137</Lines>
  <Paragraphs>38</Paragraphs>
  <TotalTime>16</TotalTime>
  <ScaleCrop>false</ScaleCrop>
  <LinksUpToDate>false</LinksUpToDate>
  <CharactersWithSpaces>19399</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2025-05-30T09:18:00Z</dcterms:created>
  <dc:creator>李亮亮</dc:creator>
  <cp:lastModifiedBy>张姝雅</cp:lastModifiedBy>
  <dcterms:modified xsi:type="dcterms:W3CDTF">2025-11-04T14:17:52Z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3EA7DE44DB781BC88695096979C045C2_43</vt:lpwstr>
  </property>
  <property fmtid="{D5CDD505-2E9C-101B-9397-08002B2CF9AE}" pid="4" name="KSOTemplateDocerSaveRecord">
    <vt:lpwstr>eyJoZGlkIjoiYzdkM2VkZmU0NzkyODIxNWEyYWVmZDY0MTY0YjJlNzQiLCJ1c2VySWQiOiIzMDYzODQxMyJ9</vt:lpwstr>
  </property>
</Properties>
</file>