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center"/>
        <w:rPr>
          <w:rFonts w:ascii="Times New Roman" w:hAnsi="Times New Roman" w:eastAsia="方正小标宋_GBK"/>
          <w:sz w:val="44"/>
          <w:szCs w:val="36"/>
          <w:highlight w:val="none"/>
        </w:rPr>
      </w:pPr>
    </w:p>
    <w:p>
      <w:pPr>
        <w:spacing w:before="240"/>
        <w:jc w:val="center"/>
        <w:rPr>
          <w:rFonts w:ascii="Times New Roman" w:hAnsi="Times New Roman" w:eastAsia="方正小标宋_GBK"/>
          <w:sz w:val="44"/>
          <w:szCs w:val="36"/>
          <w:highlight w:val="none"/>
        </w:rPr>
      </w:pPr>
    </w:p>
    <w:p>
      <w:pPr>
        <w:spacing w:before="240"/>
        <w:jc w:val="center"/>
        <w:rPr>
          <w:rFonts w:ascii="Times New Roman" w:hAnsi="Times New Roman" w:eastAsia="方正小标宋_GBK"/>
          <w:sz w:val="44"/>
          <w:szCs w:val="36"/>
          <w:highlight w:val="none"/>
        </w:rPr>
      </w:pPr>
    </w:p>
    <w:p>
      <w:pPr>
        <w:spacing w:before="240"/>
        <w:jc w:val="center"/>
        <w:rPr>
          <w:rFonts w:ascii="Times New Roman" w:hAnsi="Times New Roman" w:eastAsia="方正小标宋_GBK"/>
          <w:sz w:val="44"/>
          <w:szCs w:val="36"/>
          <w:highlight w:val="none"/>
        </w:rPr>
      </w:pPr>
    </w:p>
    <w:p>
      <w:pPr>
        <w:spacing w:before="240"/>
        <w:jc w:val="center"/>
        <w:rPr>
          <w:rFonts w:ascii="Times New Roman" w:hAnsi="Times New Roman" w:eastAsia="方正小标宋_GBK"/>
          <w:sz w:val="44"/>
          <w:szCs w:val="36"/>
          <w:highlight w:val="none"/>
        </w:rPr>
      </w:pPr>
    </w:p>
    <w:p>
      <w:pPr>
        <w:spacing w:before="240"/>
        <w:jc w:val="center"/>
        <w:rPr>
          <w:rFonts w:ascii="方正小标宋简体" w:hAnsi="Times New Roman" w:eastAsia="方正小标宋简体"/>
          <w:sz w:val="48"/>
          <w:szCs w:val="44"/>
          <w:highlight w:val="none"/>
        </w:rPr>
      </w:pPr>
      <w:r>
        <w:rPr>
          <w:rFonts w:hint="eastAsia" w:ascii="方正小标宋简体" w:hAnsi="Times New Roman" w:eastAsia="方正小标宋简体"/>
          <w:sz w:val="48"/>
          <w:szCs w:val="44"/>
          <w:highlight w:val="none"/>
          <w:lang w:eastAsia="zh-CN"/>
        </w:rPr>
        <w:t>“</w:t>
      </w:r>
      <w:r>
        <w:rPr>
          <w:rFonts w:hint="eastAsia" w:ascii="方正小标宋简体" w:hAnsi="Times New Roman" w:eastAsia="方正小标宋简体"/>
          <w:sz w:val="48"/>
          <w:szCs w:val="44"/>
          <w:highlight w:val="none"/>
        </w:rPr>
        <w:t>一网通办</w:t>
      </w:r>
      <w:r>
        <w:rPr>
          <w:rFonts w:hint="eastAsia" w:ascii="方正小标宋简体" w:hAnsi="Times New Roman" w:eastAsia="方正小标宋简体"/>
          <w:sz w:val="48"/>
          <w:szCs w:val="44"/>
          <w:highlight w:val="none"/>
          <w:lang w:eastAsia="zh-CN"/>
        </w:rPr>
        <w:t>”</w:t>
      </w:r>
      <w:r>
        <w:rPr>
          <w:rFonts w:hint="eastAsia" w:ascii="方正小标宋简体" w:hAnsi="Times New Roman" w:eastAsia="方正小标宋简体"/>
          <w:sz w:val="48"/>
          <w:szCs w:val="44"/>
          <w:highlight w:val="none"/>
        </w:rPr>
        <w:t>运营服务项目</w:t>
      </w:r>
    </w:p>
    <w:p>
      <w:pPr>
        <w:spacing w:before="240"/>
        <w:jc w:val="center"/>
        <w:rPr>
          <w:rFonts w:ascii="方正小标宋简体" w:hAnsi="Times New Roman" w:eastAsia="方正小标宋简体"/>
          <w:sz w:val="48"/>
          <w:szCs w:val="44"/>
          <w:highlight w:val="none"/>
        </w:rPr>
      </w:pPr>
      <w:r>
        <w:rPr>
          <w:rFonts w:hint="eastAsia" w:ascii="方正小标宋简体" w:hAnsi="Times New Roman" w:eastAsia="方正小标宋简体"/>
          <w:sz w:val="48"/>
          <w:szCs w:val="44"/>
          <w:highlight w:val="none"/>
        </w:rPr>
        <w:t>采购需求</w:t>
      </w:r>
    </w:p>
    <w:p>
      <w:pPr>
        <w:rPr>
          <w:rFonts w:ascii="Times New Roman" w:hAnsi="Times New Roman"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jc w:val="center"/>
        <w:rPr>
          <w:rFonts w:ascii="Times New Roman" w:hAnsi="黑体" w:eastAsia="黑体"/>
          <w:sz w:val="32"/>
          <w:szCs w:val="32"/>
          <w:highlight w:val="none"/>
        </w:rPr>
      </w:pPr>
    </w:p>
    <w:p>
      <w:pPr>
        <w:widowControl/>
        <w:spacing w:line="360" w:lineRule="auto"/>
        <w:jc w:val="center"/>
        <w:rPr>
          <w:rFonts w:ascii="Times New Roman" w:hAnsi="黑体" w:eastAsia="黑体"/>
          <w:sz w:val="32"/>
          <w:szCs w:val="32"/>
          <w:highlight w:val="none"/>
        </w:rPr>
      </w:pPr>
      <w:r>
        <w:rPr>
          <w:rFonts w:hint="eastAsia" w:ascii="Times New Roman" w:hAnsi="黑体" w:eastAsia="黑体"/>
          <w:sz w:val="32"/>
          <w:szCs w:val="32"/>
          <w:highlight w:val="none"/>
        </w:rPr>
        <w:t>上海市大数据中心</w:t>
      </w:r>
    </w:p>
    <w:p>
      <w:pPr>
        <w:widowControl/>
        <w:spacing w:line="360" w:lineRule="auto"/>
        <w:jc w:val="center"/>
        <w:rPr>
          <w:rFonts w:ascii="Times New Roman" w:hAnsi="黑体" w:eastAsia="黑体"/>
          <w:sz w:val="32"/>
          <w:szCs w:val="32"/>
          <w:highlight w:val="none"/>
        </w:rPr>
        <w:sectPr>
          <w:footerReference r:id="rId3" w:type="default"/>
          <w:pgSz w:w="11906" w:h="16838"/>
          <w:pgMar w:top="1440" w:right="1797" w:bottom="1440" w:left="1797" w:header="851" w:footer="992" w:gutter="0"/>
          <w:cols w:space="425" w:num="1"/>
          <w:docGrid w:linePitch="312" w:charSpace="0"/>
        </w:sectPr>
      </w:pPr>
      <w:r>
        <w:rPr>
          <w:rFonts w:hint="eastAsia" w:ascii="Times New Roman" w:hAnsi="黑体" w:eastAsia="黑体"/>
          <w:sz w:val="32"/>
          <w:szCs w:val="32"/>
          <w:highlight w:val="none"/>
        </w:rPr>
        <w:t>2025年</w:t>
      </w:r>
      <w:r>
        <w:rPr>
          <w:rFonts w:hint="eastAsia" w:ascii="Times New Roman" w:hAnsi="黑体" w:eastAsia="黑体"/>
          <w:sz w:val="32"/>
          <w:szCs w:val="32"/>
          <w:highlight w:val="none"/>
          <w:lang w:val="en-US" w:eastAsia="zh-CN"/>
        </w:rPr>
        <w:t>10</w:t>
      </w:r>
      <w:r>
        <w:rPr>
          <w:rFonts w:hint="eastAsia" w:ascii="Times New Roman" w:hAnsi="黑体" w:eastAsia="黑体"/>
          <w:sz w:val="32"/>
          <w:szCs w:val="32"/>
          <w:highlight w:val="none"/>
        </w:rPr>
        <w:t>月</w:t>
      </w:r>
    </w:p>
    <w:p>
      <w:pPr>
        <w:widowControl/>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为深入贯彻党中央、国务院关于网络强国、数字中国的重要思想，切实落实进一步优化政务服务提升行政效能推动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高效办成一件事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的决策部署，按照上海市委、市政府关于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工作的有关总体工作要求，加快</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人工智能+政务服务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改革，优化惠企政策全流程服务，稳步有序推进</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改革深化向纵深发展，持续提升</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智慧好办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服务水平，不断完善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全方位服务体系，促进政务服务标准化、规范化、便利化服务水平不断提升，积极助力城市数字化转型，更好服务上海经济社会高质量发展。通过</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运营服务项目的开展，有力支撑各项重点工作保质保量、平稳有序推进，保障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平台持续高速优化迭代升级。为保障项目采购工作顺利实施，制定本项目采购需求。</w:t>
      </w:r>
    </w:p>
    <w:p>
      <w:pPr>
        <w:widowControl/>
        <w:spacing w:line="360" w:lineRule="auto"/>
        <w:ind w:firstLine="640" w:firstLineChars="200"/>
        <w:jc w:val="left"/>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一、项目采购单位</w:t>
      </w:r>
    </w:p>
    <w:p>
      <w:pPr>
        <w:widowControl/>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本项目采购单位为上海市大数据中心，负责本市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平台的建设、管理和运营工作，负责研究制订</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政务服务相关技术标准规范，推进本市数字政府建设、城市数字化转型、政务信息系统整合及数据共享等工作。</w:t>
      </w:r>
    </w:p>
    <w:p>
      <w:pPr>
        <w:widowControl/>
        <w:spacing w:line="360" w:lineRule="auto"/>
        <w:ind w:firstLine="640" w:firstLineChars="200"/>
        <w:jc w:val="left"/>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二、项目背景概况</w:t>
      </w:r>
    </w:p>
    <w:p>
      <w:pPr>
        <w:widowControl/>
        <w:spacing w:line="360" w:lineRule="auto"/>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全流程一体化在线政务服务平台作为上海数字政府体系中一个非常重要的数字化基础平台底座，自2018年上线以来，</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在服务内容、平台功能、用户体验等各方面不断优化升级，持续提升服务能级和服务水平。在服务渠道方面，着力打造了</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总门户PC端、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随申办市民云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移动端、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随申办企业云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移动端以及</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自助终端等多渠道同质同源服务，形成了线上线下联动融合的全方位服务体系。在服务模式方面，创新推出了</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一类事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一次办、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一业一证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等集成式服务，推出了</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免申即享</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推送提醒</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等主动化服务，推出了</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码上办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便捷化服务。在服务内容方面，立足用户视角，坚持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人民城市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的重要指导思想以及</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以用户为中心</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的服务理念，围绕个人全生命周期以及法人全发展周期，聚焦医疗健康、交通出行、社会保障、证件办理、注册登记、纳税缴费等各个重点高频领域，持续推出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智慧好办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在线政务服务，不断提高企业群众满意度与获得感。为切实贯彻落实国家以及本市有关</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高效办成一件事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以及数字政府建设的相关工作要求，更好顺应今后数字政府建设的发展趋势以及规划部署，更好满足企业群众日益增长的线上线下政务服务办事需求，通过推进本项目运营工作常态化、规范化、高质量开展，为不断深化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改革以及切实落实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高效办成一件事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工作要求提供重要支撑，有力推动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平台服务能级不断提升、服务体验持续优化、服务能力不断夯实，有力推动本市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智慧好办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服务品牌不断打响，积极助力本市一流营商环境持续优化，有力支撑上海数字政府建设与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人工智能+政务服务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改革，更好服务上海经济社会高质量发展。</w:t>
      </w:r>
    </w:p>
    <w:p>
      <w:pPr>
        <w:widowControl/>
        <w:spacing w:line="360" w:lineRule="auto"/>
        <w:ind w:firstLine="640" w:firstLineChars="200"/>
        <w:jc w:val="left"/>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三、项目运营目标</w:t>
      </w:r>
    </w:p>
    <w:p>
      <w:pPr>
        <w:widowControl/>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坚持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以用户为中心、以需求为导向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的服务理念，对标最高标准和最好水平，持续夯实服务能力与服务基础，不断提升服务水平与服务体验，推动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工作迈上更高台阶、取得更好实效、实现更大突破。以</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高效办成一件事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为主要目标，以</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个性、精准、人感</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为服务标准，着力打造</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智慧精准</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公平可及</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的在线政务服务，提供符合上海卓越城市定位的一流政务服务，依托数智赋能与新技术加持，不断深化本市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改革，加快打造可感、可及、可预期的惠企政策服务，不断深化集成办、免申办、承诺办、跨域办等服务模式创新，提高政务服务标准化、规范化、便利化水平，加强线上线下服务渠道建设，优化个性精准服务体验，持续推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平台各项服务内容和功能快速优化迭代，优化惠企政策全流程服务，推动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服务范围不断拓展、服务内容不断丰富、服务能力不断夯实、服务体验不断优化、服务模式不断创新、服务生态不断完善、服务品牌不断打响、服务口碑不断提高，着力提升</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个性化、精准化、主动化、智能化、便捷化服务水平，切实提高企业群众与基层用户的满意度和获得感。</w:t>
      </w:r>
    </w:p>
    <w:p>
      <w:pPr>
        <w:widowControl/>
        <w:spacing w:line="360" w:lineRule="auto"/>
        <w:ind w:firstLine="640" w:firstLineChars="200"/>
        <w:jc w:val="left"/>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四、项目基本信息</w:t>
      </w:r>
    </w:p>
    <w:p>
      <w:pPr>
        <w:widowControl/>
        <w:spacing w:line="360" w:lineRule="auto"/>
        <w:ind w:firstLine="643" w:firstLineChars="200"/>
        <w:jc w:val="left"/>
        <w:outlineLvl w:val="0"/>
        <w:rPr>
          <w:rFonts w:ascii="Times New Roman" w:hAnsi="Times New Roman" w:eastAsia="仿宋_GB2312" w:cs="Times New Roman"/>
          <w:sz w:val="32"/>
          <w:szCs w:val="32"/>
          <w:highlight w:val="none"/>
        </w:rPr>
      </w:pPr>
      <w:r>
        <w:rPr>
          <w:rFonts w:hint="eastAsia" w:ascii="楷体_GB2312" w:hAnsi="Times New Roman" w:eastAsia="楷体_GB2312" w:cs="Times New Roman"/>
          <w:b/>
          <w:sz w:val="32"/>
          <w:szCs w:val="32"/>
          <w:highlight w:val="none"/>
        </w:rPr>
        <w:t>服务地点</w:t>
      </w:r>
      <w:r>
        <w:rPr>
          <w:rFonts w:hint="eastAsia" w:ascii="楷体_GB2312" w:hAnsi="Times New Roman" w:eastAsia="楷体_GB2312" w:cs="Times New Roman"/>
          <w:b/>
          <w:sz w:val="32"/>
          <w:szCs w:val="32"/>
          <w:highlight w:val="none"/>
          <w:lang w:eastAsia="zh-CN"/>
        </w:rPr>
        <w:t>：</w:t>
      </w:r>
      <w:r>
        <w:rPr>
          <w:rFonts w:ascii="Times New Roman" w:hAnsi="Times New Roman" w:eastAsia="仿宋_GB2312" w:cs="Times New Roman"/>
          <w:sz w:val="32"/>
          <w:szCs w:val="32"/>
          <w:highlight w:val="none"/>
        </w:rPr>
        <w:t>本项目服务地点为上海市大数据中心。</w:t>
      </w:r>
    </w:p>
    <w:p>
      <w:pPr>
        <w:widowControl/>
        <w:spacing w:line="360" w:lineRule="auto"/>
        <w:ind w:firstLine="640" w:firstLineChars="200"/>
        <w:jc w:val="left"/>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五、运营工作内容</w:t>
      </w:r>
    </w:p>
    <w:p>
      <w:pPr>
        <w:widowControl/>
        <w:spacing w:line="360" w:lineRule="auto"/>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本项目为运营服务项目，运营服务工作内容具体包括</w:t>
      </w:r>
      <w:r>
        <w:rPr>
          <w:rFonts w:ascii="Times New Roman" w:hAnsi="Times New Roman" w:eastAsia="楷体_GB2312"/>
          <w:b/>
          <w:sz w:val="32"/>
          <w:szCs w:val="32"/>
          <w:highlight w:val="none"/>
        </w:rPr>
        <w:t>服务内容接入</w:t>
      </w:r>
      <w:r>
        <w:rPr>
          <w:rFonts w:ascii="Times New Roman" w:hAnsi="Times New Roman" w:eastAsia="仿宋_GB2312"/>
          <w:sz w:val="32"/>
          <w:szCs w:val="32"/>
          <w:highlight w:val="none"/>
        </w:rPr>
        <w:t>、</w:t>
      </w:r>
      <w:r>
        <w:rPr>
          <w:rFonts w:ascii="Times New Roman" w:hAnsi="Times New Roman" w:eastAsia="楷体_GB2312"/>
          <w:b/>
          <w:sz w:val="32"/>
          <w:szCs w:val="32"/>
          <w:highlight w:val="none"/>
        </w:rPr>
        <w:t>服务能力支撑</w:t>
      </w:r>
      <w:r>
        <w:rPr>
          <w:rFonts w:ascii="Times New Roman" w:hAnsi="Times New Roman" w:eastAsia="仿宋_GB2312"/>
          <w:sz w:val="32"/>
          <w:szCs w:val="32"/>
          <w:highlight w:val="none"/>
        </w:rPr>
        <w:t>和</w:t>
      </w:r>
      <w:r>
        <w:rPr>
          <w:rFonts w:ascii="Times New Roman" w:hAnsi="Times New Roman" w:eastAsia="楷体_GB2312"/>
          <w:b/>
          <w:sz w:val="32"/>
          <w:szCs w:val="32"/>
          <w:highlight w:val="none"/>
        </w:rPr>
        <w:t>其他服务保障</w:t>
      </w:r>
      <w:r>
        <w:rPr>
          <w:rFonts w:ascii="Times New Roman" w:hAnsi="Times New Roman" w:eastAsia="仿宋_GB2312"/>
          <w:sz w:val="32"/>
          <w:szCs w:val="32"/>
          <w:highlight w:val="none"/>
        </w:rPr>
        <w:t>等三部分。其中，</w:t>
      </w:r>
      <w:r>
        <w:rPr>
          <w:rFonts w:ascii="Times New Roman" w:hAnsi="Times New Roman" w:eastAsia="楷体_GB2312"/>
          <w:b/>
          <w:sz w:val="32"/>
          <w:szCs w:val="32"/>
          <w:highlight w:val="none"/>
        </w:rPr>
        <w:t>服务内容接入</w:t>
      </w:r>
      <w:r>
        <w:rPr>
          <w:rFonts w:ascii="Times New Roman" w:hAnsi="Times New Roman" w:eastAsia="仿宋_GB2312"/>
          <w:sz w:val="32"/>
          <w:szCs w:val="32"/>
          <w:highlight w:val="none"/>
        </w:rPr>
        <w:t>部分运营服务工作内容具体包括单部门事项接入（PC端、移动端、自助终端）、跨省通办事项接入（PC端、移动端、自助终端）、国家政务服务平台事项接入（PC端、移动端）、个性化档案专属服务接入（PC端、移动端）、</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一件事</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业务流程再造及跨部门跨层级跨区域协同应用接入（PC端、移动端）、精选主题专栏专版专区专题频道版块接入（PC端、移动端）等。</w:t>
      </w:r>
      <w:r>
        <w:rPr>
          <w:rFonts w:ascii="Times New Roman" w:hAnsi="Times New Roman" w:eastAsia="楷体_GB2312"/>
          <w:b/>
          <w:sz w:val="32"/>
          <w:szCs w:val="32"/>
          <w:highlight w:val="none"/>
        </w:rPr>
        <w:t>服务能力支撑</w:t>
      </w:r>
      <w:r>
        <w:rPr>
          <w:rFonts w:ascii="Times New Roman" w:hAnsi="Times New Roman" w:eastAsia="仿宋_GB2312"/>
          <w:sz w:val="32"/>
          <w:szCs w:val="32"/>
          <w:highlight w:val="none"/>
        </w:rPr>
        <w:t>部分运营服务工作内容具体包括</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AI+一网通办</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服务模型建模（精准化、主动化、智能化服务）、</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城市码</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随申码）应用场景拓展及能力支撑、统一用户体系（身份认证）对接及能力支撑、统一检索平台对接及能力支撑、政策及免申即享消息推送对接及能力支撑、电子证照库对接及能力支撑、统一服务中台对接及事项办理能力支撑、统一预约平台（政务服务地图）对接及能力支撑、统一知识库对接及能力支撑、统一支付平台对接及能力支撑、统一物流平台对接及能力支撑等。</w:t>
      </w:r>
      <w:r>
        <w:rPr>
          <w:rFonts w:ascii="Times New Roman" w:hAnsi="Times New Roman" w:eastAsia="楷体_GB2312"/>
          <w:b/>
          <w:sz w:val="32"/>
          <w:szCs w:val="32"/>
          <w:highlight w:val="none"/>
        </w:rPr>
        <w:t>其他服务保障</w:t>
      </w:r>
      <w:r>
        <w:rPr>
          <w:rFonts w:ascii="Times New Roman" w:hAnsi="Times New Roman" w:eastAsia="仿宋_GB2312"/>
          <w:sz w:val="32"/>
          <w:szCs w:val="32"/>
          <w:highlight w:val="none"/>
        </w:rPr>
        <w:t>部分运营服务工作内容具体包括</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中国上海</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门户网站运营（综合业务服务、英文版运营）、</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随申码</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（亲属码）人工审核、</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在线客服技术支持、</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服务能力决策分析、</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用户体验设计、</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政务服务</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好差评</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审核分析、</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事项库与办件库（主题申报库）保障、</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平台运行保障、安全服务保障、安全等保测评、安全审计分析、短信提醒等。</w:t>
      </w:r>
    </w:p>
    <w:p>
      <w:pPr>
        <w:widowControl/>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供应商</w:t>
      </w:r>
      <w:r>
        <w:rPr>
          <w:rFonts w:ascii="Times New Roman" w:hAnsi="Times New Roman" w:eastAsia="仿宋_GB2312" w:cs="Times New Roman"/>
          <w:sz w:val="32"/>
          <w:szCs w:val="32"/>
          <w:highlight w:val="none"/>
        </w:rPr>
        <w:t>应根据项目采购单位要求，在理解并落实相关运营工作要求和制度规范的基础上，组织服务团队，强化人员配置，加强需求响应，做好日常保障。同时，应按照项目采购单位的各项运营工作需求，细化需求内容，形成实施方案，提供技术支撑，守住安全底线，统筹实施相关运营工作任务，并在提供服务期间做好进度控制、质量控制与成本控制，在运营服务实施的全过程中做好项目、人员、安全等各方面的运营管理工作。</w:t>
      </w:r>
      <w:r>
        <w:rPr>
          <w:rFonts w:ascii="Times New Roman" w:hAnsi="Times New Roman" w:eastAsia="黑体" w:cs="Times New Roman"/>
          <w:sz w:val="32"/>
          <w:szCs w:val="32"/>
          <w:highlight w:val="none"/>
        </w:rPr>
        <w:t>供应商应承诺按照项目采购单位要求的运营服务预估工作量制定相关运营服务计划与运营方案，并承诺保质、保量、高效、按时完成各项运营服务工作任务（实际应完成运营服务工作量以采购单位具体要求为准），积极配合项目采购单位做好质检验收、绩效评价、审量结算等相关运营项目的全流程管理工作。</w:t>
      </w:r>
      <w:r>
        <w:rPr>
          <w:rFonts w:ascii="Times New Roman" w:hAnsi="Times New Roman" w:eastAsia="仿宋_GB2312" w:cs="Times New Roman"/>
          <w:sz w:val="32"/>
          <w:szCs w:val="32"/>
          <w:highlight w:val="none"/>
        </w:rPr>
        <w:t>供应商应按照项目有关管理办法、实施细则及运营规范等文件要求，依托项目的全流程精细化管理系统规范开展各项运营服务工作。项目有关管理办法、实施细则及运营规范等文件将根据实际运营工作情况定期更新，如有冲突，则参照最新版本予以实施。</w:t>
      </w:r>
    </w:p>
    <w:p>
      <w:pPr>
        <w:widowControl/>
        <w:spacing w:line="360" w:lineRule="auto"/>
        <w:ind w:firstLine="643" w:firstLineChars="200"/>
        <w:jc w:val="left"/>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（一）服务内容接入</w:t>
      </w:r>
    </w:p>
    <w:p>
      <w:pPr>
        <w:widowControl/>
        <w:spacing w:line="360" w:lineRule="auto"/>
        <w:ind w:firstLine="643" w:firstLineChars="200"/>
        <w:jc w:val="left"/>
        <w:outlineLvl w:val="2"/>
        <w:rPr>
          <w:rFonts w:ascii="Times New Roman" w:hAnsi="Times New Roman" w:eastAsia="仿宋_GB2312" w:cs="Times New Roman"/>
          <w:b/>
          <w:bCs/>
          <w:sz w:val="32"/>
          <w:szCs w:val="32"/>
          <w:highlight w:val="none"/>
        </w:rPr>
      </w:pPr>
      <w:bookmarkStart w:id="0" w:name="_Toc36021208"/>
      <w:r>
        <w:rPr>
          <w:rFonts w:ascii="Times New Roman" w:hAnsi="Times New Roman" w:eastAsia="仿宋_GB2312" w:cs="Times New Roman"/>
          <w:b/>
          <w:bCs/>
          <w:sz w:val="32"/>
          <w:szCs w:val="32"/>
          <w:highlight w:val="none"/>
        </w:rPr>
        <w:t>1</w:t>
      </w:r>
      <w:bookmarkEnd w:id="0"/>
      <w:r>
        <w:rPr>
          <w:rFonts w:ascii="Times New Roman" w:hAnsi="Times New Roman" w:eastAsia="仿宋_GB2312" w:cs="Times New Roman"/>
          <w:b/>
          <w:bCs/>
          <w:sz w:val="32"/>
          <w:szCs w:val="32"/>
          <w:highlight w:val="none"/>
        </w:rPr>
        <w:t>）单部门事项接入</w:t>
      </w:r>
    </w:p>
    <w:p>
      <w:pPr>
        <w:widowControl/>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平台PC端、移动端、自助终端的单部门事项接入相关运营服务工作（包含新增接入及优化迭代等内容）。</w:t>
      </w:r>
      <w:r>
        <w:rPr>
          <w:rFonts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相关工作要求，按照统一的对接技术标准规范，将各单位的单部门政务服务事项接入</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平台PC端总门户、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移动端、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自助终端等面向需求侧的线上服务渠道以及</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统一受理平台等面向供给侧的线下服务渠道，实现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进一网、能通办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。同时，</w:t>
      </w:r>
      <w:r>
        <w:rPr>
          <w:rFonts w:ascii="Times New Roman" w:hAnsi="Times New Roman" w:eastAsia="仿宋_GB2312" w:cs="Times New Roman"/>
          <w:bCs/>
          <w:sz w:val="32"/>
          <w:szCs w:val="32"/>
          <w:highlight w:val="none"/>
        </w:rPr>
        <w:t>结合</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智慧好办520高频事项</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相关效能评估评价指标，以</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智慧</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与</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好办</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为导向，</w:t>
      </w:r>
      <w:r>
        <w:rPr>
          <w:rFonts w:ascii="Times New Roman" w:hAnsi="Times New Roman" w:eastAsia="仿宋_GB2312" w:cs="Times New Roman"/>
          <w:sz w:val="32"/>
          <w:szCs w:val="32"/>
          <w:highlight w:val="none"/>
        </w:rPr>
        <w:t>通过智能导引、数据共享、信息预填、证照调用、材料免交、材料预审、在线帮办、消息提醒等各种方式，不断优化用户在线办事服务体验，提高操作使用便捷程度，提升在线办事服务能级，着力打造</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智慧好办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精品服务（包含</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快办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免申办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承诺办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不见面办理</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等各类创新办理模式），持续推动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网办比率和全程网办比率持续提高，实现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政务服务从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能办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智办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转变</w:t>
      </w:r>
      <w:r>
        <w:rPr>
          <w:rFonts w:ascii="Times New Roman" w:hAnsi="Times New Roman" w:eastAsia="仿宋_GB2312" w:cs="Times New Roman"/>
          <w:bCs/>
          <w:sz w:val="32"/>
          <w:szCs w:val="32"/>
          <w:highlight w:val="none"/>
        </w:rPr>
        <w:t>。</w:t>
      </w:r>
    </w:p>
    <w:p>
      <w:pPr>
        <w:widowControl/>
        <w:spacing w:line="360" w:lineRule="auto"/>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运营服务工作内容包括但不限于单部门事项目录及办事指南和实施清单要素梳理、单部门事项业务及技术需求分析、单部门事项产品技术实施方案编制、单部门事项前端服务页面展现设计、单部门事项后端接口调用能力开发、单部门事项全流程对接联调实施、办件库对接办件质量校验、单部门事项上线前功能测试验证、单部门事项上线前安全测试验证、单部门事项上线前体验走查验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统一应用服务池（应用中心）纳管配置部署、单部门事项发布上线配置等。</w:t>
      </w:r>
    </w:p>
    <w:p>
      <w:pPr>
        <w:widowControl/>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括但不限于需求函/变更函（优化迭代）、功能设计文档（含需求分析、原型设计、接口设计）、业务数据质量检测确认单（按事项类型所需）、走查确认单（仅针对新增接入的事项）、功能和性能测试报告、安全测试报告、上线记录或截图、联调与上线确认单（由需求单位及实施方等共同确认）、复杂度说明等。</w:t>
      </w:r>
    </w:p>
    <w:p>
      <w:pPr>
        <w:widowControl/>
        <w:spacing w:line="360" w:lineRule="auto"/>
        <w:ind w:firstLine="643" w:firstLineChars="200"/>
        <w:jc w:val="left"/>
        <w:outlineLvl w:val="2"/>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2）跨省通办事项接入</w:t>
      </w:r>
    </w:p>
    <w:p>
      <w:pPr>
        <w:widowControl/>
        <w:spacing w:line="360" w:lineRule="auto"/>
        <w:ind w:firstLine="643"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平台PC端、移动端、自助终端的跨省通办事项接入相关运营服务工作（包含新增接入及优化迭代等内容）。</w:t>
      </w:r>
      <w:r>
        <w:rPr>
          <w:rFonts w:ascii="Times New Roman" w:hAnsi="Times New Roman" w:eastAsia="仿宋_GB2312" w:cs="Times New Roman"/>
          <w:sz w:val="32"/>
          <w:szCs w:val="32"/>
          <w:highlight w:val="none"/>
        </w:rPr>
        <w:t>根据国家以及长三角</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相关工作要求，基于国家政务服务平台统一能力支撑，按照统一的业务标准和技术规范，打通本市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平台与各省级地市级政务服务平台，实现网络、系统、业务、数据等各方面的互联互通，在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平台PC端总门户、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移动端、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自助终端等各服务渠道实现跨省通办政务服务事项的统一接入，依托长三角</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专窗、远程虚拟窗口以及长三角数据共享交换平台等系统平台的基础支撑能力，不断创新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跨域办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服务模式，强化线上线下服务能级与服务体验，深化应用场景拓展、业务高效协同、数据共享复用以及政银双向合作等各方面，为企业群众提供线上线下、高效便捷的跨省通办政务服务，做到让</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数据多跑路、群众少跑腿</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，切实推动政务服务跨省通办、全国通办。</w:t>
      </w:r>
    </w:p>
    <w:p>
      <w:pPr>
        <w:widowControl/>
        <w:spacing w:line="360" w:lineRule="auto"/>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跨省通办事项目录及实施清单和办事指南要素梳理、跨省通办事项业务及技术需求分析、跨省通办事项产品技术实施方案编制、跨省通办事项前端服务页面展现设计、跨省通办事项后端接口调用能力开发、跨省通办事项全流程对接联调实施、跨省通办事项上线前功能测试验证、跨省通办事项上线前安全测试验证、跨省通办事项上线前体验走查验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统一应用服务池（应用中心）纳管配置部署、跨省通办事项发布上线配置等。</w:t>
      </w:r>
    </w:p>
    <w:p>
      <w:pPr>
        <w:widowControl/>
        <w:spacing w:line="360" w:lineRule="auto"/>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括但不限于需求函/变更函（优化迭代）、功能设计文档（含需求分析、原型设计、接口设计）、走查确认单（仅针对新增接入的事项）、功能和性能测试报告、安全测试报告、上线记录或截图、联调与上线确认单（由需求单位及实施方等共同确认）、复杂度说明等。</w:t>
      </w:r>
    </w:p>
    <w:p>
      <w:pPr>
        <w:widowControl/>
        <w:spacing w:line="360" w:lineRule="auto"/>
        <w:ind w:firstLine="643" w:firstLineChars="200"/>
        <w:jc w:val="left"/>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3）国家政务服务平台事项接入</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要求按照采购单位需求完成国家政务服务平台PC端、移动端的事项接入相关运营服务工作（包含新增接入及优化迭代等内容）。</w:t>
      </w:r>
      <w:r>
        <w:rPr>
          <w:rFonts w:ascii="Times New Roman" w:hAnsi="Times New Roman" w:eastAsia="仿宋_GB2312" w:cs="Times New Roman"/>
          <w:sz w:val="32"/>
          <w:szCs w:val="32"/>
          <w:highlight w:val="none"/>
        </w:rPr>
        <w:t>根据国家政务服务平台对接工作要求，统一以</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页面开发+接口注册</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方式接入国家政务服务平台PC端及移动端，完成后端事项服务接口以及前端服务页面研发，并在国家政务服务平台提供的统一容器环境下进行接口注册以及应用部署，同时，在国家政务服务平台提供的统一容器环境下完成前后端整体联调测试以及服务上架运行。</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国家政务服务平台事项对接业务及需求分析、国家政务服务平台事项产品技术实施方案编制、国家政务服务平台事项前端服务页面展现设计、国家政务服务平台事项后端接口开发及注册、国家政务服务平台事项前后端全流程对接联调实施、国家政务服务平台事项上线前功能测试验证、国家政务服务平台事项上线前安全测试验证、国家政务服务平台事项上线前体验走查验证、国家政务服务平台事项上线申请提交及上线后验证等。</w:t>
      </w:r>
    </w:p>
    <w:p>
      <w:pPr>
        <w:spacing w:line="360" w:lineRule="auto"/>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验收及绩效评价相关交付物材料要求：包括但不限于需求函/变更函（优化迭代）、功能设计文档（含需求分析、原型设计、接口设计）、走查确认单（仅针对新增接入的事项）、第三方出具的功能和性能测试报告、安全测试报告、上线记录或截图、上线确认单、复杂度说明等。</w:t>
      </w:r>
    </w:p>
    <w:p>
      <w:pPr>
        <w:spacing w:line="360" w:lineRule="auto"/>
        <w:ind w:firstLine="643" w:firstLineChars="200"/>
        <w:outlineLvl w:val="2"/>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4</w:t>
      </w:r>
      <w:r>
        <w:rPr>
          <w:rFonts w:ascii="Times New Roman" w:hAnsi="Times New Roman" w:eastAsia="仿宋_GB2312" w:cs="Times New Roman"/>
          <w:b/>
          <w:sz w:val="32"/>
          <w:szCs w:val="32"/>
          <w:highlight w:val="none"/>
        </w:rPr>
        <w:t>）个性化档案专属服务接入</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平台PC端、移动端等服务渠道的个性化档案专属服务接入相关运营服务工作（包含新增接入及优化迭代等内容）。</w:t>
      </w:r>
      <w:r>
        <w:rPr>
          <w:rFonts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相关工作要求，围绕企业全经营周期及个人全生命周期各类应用场景，基于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平台市民及企业专属空间的用户精准画像基础库，依托</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PC端、移动端等各服务渠道，打造包含</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一企一档</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一人一档</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一业一档</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一物一档</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等个性化专属档案服务，为企业及个人用户提供个性化的专属档案信息数据服务，按照汇聚、清洗、治理、聚类、标识等步骤对各方的原始档案数据信息的标签化处理，长效开展档案信息运营服务，持续推动治数、用数和亮数场景不断深化，为打造</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千人千面</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的个性化服务体验提供支撑。</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个性化档案专属服务应用场景梳理及数据需求分析、个性化档案专属服务产品技术实施方案编制、个性化档案专属服务信息数据与用户数据标签定义及多维算法设计、个性化档案专属服务前端服务页面展现设计、个性化档案专属服务后端接口调用能力开发、个性化档案专属服务全流程对接联调实施、个性化档案专属服务上线前功能测试验证、个性化档案专属服务上线前安全测试验证、个性化档案专属服务上线前体验走查验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统一应用服务池（应用中心）纳管配置部署、个性化档案专属服务事项发布上线配置等。</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括但不限于总体情况说明、需求函/变更函（优化迭代）、应用实施方案、服务巡检记录、运营成效报告、接口监控记录（包括接口调用稳定性、可用性监控记录）、走查确认单（仅针对新增接入的档案）、功能和性能测试报告、安全测试报告、上线记录或截图、联调与上线确认单（由需求单位及实施方等共同确认）等。</w:t>
      </w:r>
    </w:p>
    <w:p>
      <w:pPr>
        <w:widowControl/>
        <w:spacing w:line="360" w:lineRule="auto"/>
        <w:ind w:firstLine="643" w:firstLineChars="200"/>
        <w:jc w:val="left"/>
        <w:outlineLvl w:val="2"/>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5</w:t>
      </w:r>
      <w:r>
        <w:rPr>
          <w:rFonts w:ascii="Times New Roman" w:hAnsi="Times New Roman" w:eastAsia="仿宋_GB2312" w:cs="Times New Roman"/>
          <w:b/>
          <w:sz w:val="32"/>
          <w:szCs w:val="32"/>
          <w:highlight w:val="none"/>
        </w:rPr>
        <w:t>）</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一件事</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业务流程再造及跨部门跨层级跨区域协同应用接入</w:t>
      </w:r>
    </w:p>
    <w:p>
      <w:pPr>
        <w:spacing w:line="360" w:lineRule="auto"/>
        <w:ind w:firstLine="643"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要求按照采购单位需求完成</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平台PC端、移动端的</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一件事</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业务流程再造及跨部门跨层级跨区域协同应用接入相关运营服务工作（包含新增接入及优化迭代等内容）。</w:t>
      </w:r>
      <w:r>
        <w:rPr>
          <w:rFonts w:ascii="Times New Roman" w:hAnsi="Times New Roman" w:eastAsia="仿宋_GB2312" w:cs="Times New Roman"/>
          <w:bCs/>
          <w:sz w:val="32"/>
          <w:szCs w:val="32"/>
          <w:highlight w:val="none"/>
        </w:rPr>
        <w:t>根据国家关于</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高效办成一件事</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的总体部署，按照长三角及本市</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一网通办</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相关工作要求，以企业群众</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高效办成一件事</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为目标，按照</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一次告知、一表申请、一口受理、一网办理、统一发证、一体管理</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的标准，推动跨部门、跨层级、跨区域业务协同和业务流程革命性再造，整合重塑多个部门单事项的业务流程，依托</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一网通办</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PC端总门户、移动端等各服务渠道，拓展及优化相关</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一件事</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业务流程再造及跨部门跨层级跨区域协同应用，包含高效办成</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一件事</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一次办特色服务、</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一类事</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一次办特色服务、</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一业一证</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改革特色应用以及优化营商环境跨部门协同应用等各类集成式服务，不断创新</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集成办</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服务模式，同时结合</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高效办成一件事</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相关效能评估评价指标，以</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高效</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与</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办成</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为导向，持续优化完善应用服务能级与用户体验。</w:t>
      </w:r>
    </w:p>
    <w:p>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sz w:val="32"/>
          <w:szCs w:val="32"/>
          <w:highlight w:val="none"/>
        </w:rPr>
        <w:t>运营服务工作内容包括但不限于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办理现状调研分析、</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关联事项需求分析、</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整体业务及技术需求分析及产品技术实施方案编制、</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前端服务页面展现设计、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后端接口调用能力开发、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全流程对接联调实施、主题申报库与办件库对接办件质量校验、</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上线前功能测试验证、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上线前安全测试验证、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上线前体验走查验证、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统一应用服务池（应用中心）纳管配置部署、</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发布上线配置等。</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验收及绩效评价相关交付物材料要求：包括但不限于需求函/变更函（优化迭代）、</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业务方案、</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技术实施方案（含业务匹配数据规则说明）、业务数据质量检测确认单、走查确认单、功能和性能测试报告、安全测试报告、上线记录或截图、联调与上线确认单（由需求单位及实施方等共同确认）、复杂度说明等。</w:t>
      </w:r>
    </w:p>
    <w:p>
      <w:pPr>
        <w:widowControl/>
        <w:spacing w:line="360" w:lineRule="auto"/>
        <w:ind w:firstLine="643" w:firstLineChars="200"/>
        <w:jc w:val="left"/>
        <w:outlineLvl w:val="2"/>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6</w:t>
      </w:r>
      <w:r>
        <w:rPr>
          <w:rFonts w:ascii="Times New Roman" w:hAnsi="Times New Roman" w:eastAsia="仿宋_GB2312" w:cs="Times New Roman"/>
          <w:b/>
          <w:sz w:val="32"/>
          <w:szCs w:val="32"/>
          <w:highlight w:val="none"/>
        </w:rPr>
        <w:t>）精选主题专栏、专版、专区、专题、频道、版块接入</w:t>
      </w:r>
    </w:p>
    <w:p>
      <w:pPr>
        <w:spacing w:line="360" w:lineRule="auto"/>
        <w:ind w:firstLine="643"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要求按照采购单位需求完成</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平台PC端、移动端的精选主题专栏、专版、专区、专题、频道、版块接入相关运营服务工作（包含新增接入及优化迭代等内容）。</w:t>
      </w:r>
      <w:r>
        <w:rPr>
          <w:rFonts w:ascii="Times New Roman" w:hAnsi="Times New Roman" w:eastAsia="仿宋_GB2312" w:cs="Times New Roman"/>
          <w:sz w:val="32"/>
          <w:szCs w:val="32"/>
          <w:highlight w:val="none"/>
        </w:rPr>
        <w:t>根据国家、长三角及本市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w:t>
      </w:r>
      <w:r>
        <w:rPr>
          <w:rFonts w:ascii="Times New Roman" w:hAnsi="Times New Roman" w:eastAsia="仿宋_GB2312" w:cs="Times New Roman"/>
          <w:bCs/>
          <w:sz w:val="32"/>
          <w:szCs w:val="32"/>
          <w:highlight w:val="none"/>
        </w:rPr>
        <w:t>重点聚焦企业全经营周期及个人全生命周期各类重点领域及应用场景，依托</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一网通办</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PC端总门户、</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随申办</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移动端等各服务渠道，以精选主题、专栏、专版、专区、专题、频道或版块等各类形式，集成汇聚办理、查询、预约、政策、问答、百科、帮办等各类相关政务服务，</w:t>
      </w:r>
      <w:r>
        <w:rPr>
          <w:rFonts w:ascii="Times New Roman" w:hAnsi="Times New Roman" w:eastAsia="仿宋_GB2312" w:cs="Times New Roman"/>
          <w:sz w:val="32"/>
          <w:szCs w:val="32"/>
          <w:highlight w:val="none"/>
        </w:rPr>
        <w:t>实现服务内容汇聚和交互组合重塑。</w:t>
      </w:r>
      <w:r>
        <w:rPr>
          <w:rFonts w:ascii="Times New Roman" w:hAnsi="Times New Roman" w:eastAsia="仿宋_GB2312" w:cs="Times New Roman"/>
          <w:bCs/>
          <w:sz w:val="32"/>
          <w:szCs w:val="32"/>
          <w:highlight w:val="none"/>
        </w:rPr>
        <w:t>同时，根据不同用户群体、行业所属等各类维度，基于用户画像基础支撑与各端原生基础服务能力，提供个性化、</w:t>
      </w:r>
      <w:r>
        <w:rPr>
          <w:rFonts w:ascii="Times New Roman" w:hAnsi="Times New Roman" w:eastAsia="仿宋_GB2312" w:cs="Times New Roman"/>
          <w:sz w:val="32"/>
          <w:szCs w:val="32"/>
          <w:highlight w:val="none"/>
        </w:rPr>
        <w:t>精准化、主动化、智能化、</w:t>
      </w:r>
      <w:r>
        <w:rPr>
          <w:rFonts w:ascii="Times New Roman" w:hAnsi="Times New Roman" w:eastAsia="仿宋_GB2312" w:cs="Times New Roman"/>
          <w:bCs/>
          <w:sz w:val="32"/>
          <w:szCs w:val="32"/>
          <w:highlight w:val="none"/>
        </w:rPr>
        <w:t>场景式、一站式、主题式服务。</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精选主题专栏（专版、专区、专题、频道、版块）服务内容需求定制及产品技术实施方案编制、精选主题专栏（专版、专区、专题、频道、版块）前端服务页面展现设计、精选主题专栏（专版、专区、专题、频道、版块）后端接口调用能力开发、精选主题专栏（专版、专区、专题、频道、版块）全流程对接联调实施、精选主题专栏（专版、专区、专题、频道、版块）上线前功能测试验证、精选主题专栏（专版、专区、专题、频道、版块）上线前安全测试验证、精选主题专栏（专版、专区、专题、频道、版块）上线前体验走查验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统一应用服务池（应用中心）纳管配置部署、精选主题专栏（专版、专区、专题、频道、版块）发布上线配置等。</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括但不限于需求函/变更函（优化迭代）、功能设计文档、走查确认单、功能和性能测试报告、安全测试报告、上线记录或截图、联调与上线确认单（由需求单位及实施方等共同确认）、复杂度说明等。</w:t>
      </w:r>
    </w:p>
    <w:p>
      <w:pPr>
        <w:widowControl/>
        <w:spacing w:line="360" w:lineRule="auto"/>
        <w:ind w:firstLine="643" w:firstLineChars="200"/>
        <w:jc w:val="left"/>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（二）服务能力支撑</w:t>
      </w:r>
    </w:p>
    <w:p>
      <w:pPr>
        <w:widowControl/>
        <w:spacing w:line="360" w:lineRule="auto"/>
        <w:ind w:firstLine="643" w:firstLineChars="200"/>
        <w:jc w:val="left"/>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AI+一网通办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服务模型建模（精准化、主动化、智能化服务）</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AI+一网通办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服务模型建模相关运营服务工作，提供精准化、主动化、智能化的能力支撑服务（包含新增接入及优化迭代等内容）。</w:t>
      </w:r>
      <w:r>
        <w:rPr>
          <w:rFonts w:ascii="Times New Roman" w:hAnsi="Times New Roman" w:eastAsia="仿宋_GB2312" w:cs="Times New Roman"/>
          <w:sz w:val="32"/>
          <w:szCs w:val="32"/>
          <w:highlight w:val="none"/>
        </w:rPr>
        <w:t>根据国家、长三角及本市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相关工作要求，基于不同应用服务场景的应用需求，通过需求定制、算法设计、建模研发、机器训练、修正回归、算法调优、发布配置等步骤，构建各类不同的智能化、精准化、主动化服务模型，依托</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AI智能中枢的统一纳管，以接口服务能力的形式，为提升</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平台整体的智能化服务水平、提高在线办事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智慧好办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便捷度体验度、赋能全市各区各部门在线政务服务以及强化</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一体化数字化运营数据统计分析决策能力等各方面提供重要基础能力支撑。</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AI+一网通办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服务模型应用场景梳理及需求分析、</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AI+一网通办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服务模型技术对接标准规范编制完善、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AI+一网通办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服务模型接口设计需求评审、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AI+一网通办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服务模型智能算法及产品技术实施方案编制、</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AI+一网通办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服务模型接口研发及应用场景对接联调实施、</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AI+一网通办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服务模型接口及配置测试验证、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AI智能中枢算法模型纳管配置部署、</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AI+一网通办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服务模型接口及应用场景发布上线等。</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括但不限于需求函/变更函、技术标准规范说明、算法设计方案、模型建模实施说明（含复杂度说明）、性能自测报告、功能和性能测试报告、安全测试报告、模型应用运营数据分析情况、模型应用运营成效分析总结报告、模型源代码（按需）、联调与上线确认单（由需求单位及实施方等共同确认）等。</w:t>
      </w:r>
    </w:p>
    <w:p>
      <w:pPr>
        <w:spacing w:line="360" w:lineRule="auto"/>
        <w:ind w:firstLine="643" w:firstLineChars="200"/>
        <w:outlineLvl w:val="2"/>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2）</w:t>
      </w:r>
      <w:r>
        <w:rPr>
          <w:rFonts w:hint="eastAsia" w:ascii="Times New Roman" w:hAnsi="Times New Roman" w:eastAsia="仿宋_GB2312"/>
          <w:b/>
          <w:sz w:val="32"/>
          <w:szCs w:val="32"/>
          <w:highlight w:val="none"/>
          <w:lang w:eastAsia="zh-CN"/>
        </w:rPr>
        <w:t>“</w:t>
      </w:r>
      <w:r>
        <w:rPr>
          <w:rFonts w:ascii="Times New Roman" w:hAnsi="Times New Roman" w:eastAsia="仿宋_GB2312"/>
          <w:b/>
          <w:sz w:val="32"/>
          <w:szCs w:val="32"/>
          <w:highlight w:val="none"/>
        </w:rPr>
        <w:t>城市码</w:t>
      </w:r>
      <w:r>
        <w:rPr>
          <w:rFonts w:hint="eastAsia" w:ascii="Times New Roman" w:hAnsi="Times New Roman" w:eastAsia="仿宋_GB2312"/>
          <w:b/>
          <w:sz w:val="32"/>
          <w:szCs w:val="32"/>
          <w:highlight w:val="none"/>
          <w:lang w:eastAsia="zh-CN"/>
        </w:rPr>
        <w:t>”</w:t>
      </w:r>
      <w:r>
        <w:rPr>
          <w:rFonts w:ascii="Times New Roman" w:hAnsi="Times New Roman" w:eastAsia="仿宋_GB2312"/>
          <w:b/>
          <w:sz w:val="32"/>
          <w:szCs w:val="32"/>
          <w:highlight w:val="none"/>
        </w:rPr>
        <w:t>（随申码）应用场景拓展及能力支撑</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城市码</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（随申码）应用场景拓展及能力支撑等相关运营服务工作（包含场景拓展、对接实施、体验提升、技术调优、架构升级、资源优化、日常运营、运行保障、成效分析等内容）。</w:t>
      </w:r>
      <w:r>
        <w:rPr>
          <w:rFonts w:ascii="Times New Roman" w:hAnsi="Times New Roman" w:eastAsia="仿宋_GB2312" w:cs="Times New Roman"/>
          <w:sz w:val="32"/>
          <w:szCs w:val="32"/>
          <w:highlight w:val="none"/>
        </w:rPr>
        <w:t>根据国家、长三角及本市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相关工作要求，依托</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城市码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（随申码）应用系统，在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运行管理平台的统一纳管下，持续夯实基础支撑能力及应用数据安全防护能力，不断拓展应用场景，为全市各单位统一赋能支撑，提供生码验码、扫码中转、场景配置等集约化共性基础服务支撑能力，推进</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城市码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（随申码）在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一人一码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一企一码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一物一码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亮数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等各类不同场景的深度应用，提升线上线下融合度，助力</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移动端的活跃度及用户使用粘性不断提高。按照业务调研、逻辑设计、接口开发、技术对接、功能验证、测试联调、安全加固、上线发布等步骤，以接口形式提供相关</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城市码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（随申码）服务支撑能力，实现生码、扫码、验码等服务功能，同时严格确保相关应用数据安全。</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城市码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（随申码）应用场景梳理及接口需求分析、</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城市码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（随申码）技术对接标准规范编制完善、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城市码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（随申码）接口设计需求评审、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城市码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（随申码）应用场景对接技术实施方案编制、</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城市码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（随申码）接口研发及应用场景对接联调实施、</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城市码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（随申码）接口及配置测试验证、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城市码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（随申码）运行管理平台纳管配置部署、</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城市码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（随申码）接口及应用场景发布上线、</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城市码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（随申码）应用系统优化升级迭代及运营运维保障等。</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验收及绩效评价相关交付物材料要求：包括但不限于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城市码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码）应用系统总体实施方案（包含产品、运营、运维、监控、安全、应急等各方面内容）、对接应用场景清单及概况（包括场景名称、描述、应用范围等等）、接口设计文档、对接技术标准规范、用户使用手册、性能自测报告、切换演练方案、测试方案、接入需求函、功能设计方案、功能和性能测试报告、安全测试报告、上线记录或截图、联调与上线确认单（由需求单位及实施方等共同确认）、运营数据统计分析情况、运营服务情况总结报告（包含工作总结、成效分析、问题剖析、优化建议等）及相关平台系统截图（包括接口调用量明细或调用日志，含调用方、调用时间、调用结果等要素）、功能巡检记录、监控巡检记录等。</w:t>
      </w:r>
    </w:p>
    <w:p>
      <w:pPr>
        <w:widowControl/>
        <w:spacing w:line="360" w:lineRule="auto"/>
        <w:ind w:firstLine="643" w:firstLineChars="200"/>
        <w:jc w:val="left"/>
        <w:outlineLvl w:val="2"/>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3）</w:t>
      </w:r>
      <w:r>
        <w:rPr>
          <w:rFonts w:ascii="Times New Roman" w:hAnsi="Times New Roman" w:eastAsia="仿宋_GB2312"/>
          <w:b/>
          <w:sz w:val="32"/>
          <w:szCs w:val="32"/>
          <w:highlight w:val="none"/>
        </w:rPr>
        <w:t>统一用户体系（身份认证）对接及能力支撑</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w:t>
      </w:r>
      <w:r>
        <w:rPr>
          <w:rFonts w:ascii="Times New Roman" w:hAnsi="Times New Roman" w:eastAsia="仿宋_GB2312"/>
          <w:b/>
          <w:sz w:val="32"/>
          <w:szCs w:val="32"/>
          <w:highlight w:val="none"/>
        </w:rPr>
        <w:t>统一用户体系（身份认证）对接及能力支撑</w:t>
      </w:r>
      <w:r>
        <w:rPr>
          <w:rFonts w:ascii="Times New Roman" w:hAnsi="Times New Roman" w:eastAsia="仿宋_GB2312" w:cs="Times New Roman"/>
          <w:b/>
          <w:sz w:val="32"/>
          <w:szCs w:val="32"/>
          <w:highlight w:val="none"/>
        </w:rPr>
        <w:t>相关运营服务工作（包含对接实施、运行保障及成效分析等内容）。</w:t>
      </w:r>
      <w:r>
        <w:rPr>
          <w:rFonts w:ascii="Times New Roman" w:hAnsi="Times New Roman" w:eastAsia="仿宋_GB2312" w:cs="Times New Roman"/>
          <w:sz w:val="32"/>
          <w:szCs w:val="32"/>
          <w:highlight w:val="none"/>
        </w:rPr>
        <w:t>根据国家、长三角及本市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相关工作要求，依托</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统一用户体系及统一用户库，</w:t>
      </w:r>
    </w:p>
    <w:p>
      <w:pPr>
        <w:spacing w:line="360" w:lineRule="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不断优化完善</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各服务渠道用户注册及身份认证服务体验，持续提升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统一身份认证及统一用户库的基础服务支撑能力及应用数据安全防护能力，</w:t>
      </w:r>
      <w:r>
        <w:rPr>
          <w:rFonts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平台各服务渠道提供多源、准确、优质的统一身份认证服务，</w:t>
      </w:r>
      <w:r>
        <w:rPr>
          <w:rFonts w:hint="eastAsia" w:ascii="Times New Roman" w:hAnsi="Times New Roman" w:eastAsia="仿宋_GB2312"/>
          <w:sz w:val="32"/>
          <w:szCs w:val="32"/>
          <w:highlight w:val="none"/>
        </w:rPr>
        <w:t>为全市各部门提供单点登录对接及统一身份认证等相关集约化基础服务支撑能力，</w:t>
      </w:r>
      <w:r>
        <w:rPr>
          <w:rFonts w:ascii="Times New Roman" w:hAnsi="Times New Roman" w:eastAsia="仿宋_GB2312" w:cs="Times New Roman"/>
          <w:sz w:val="32"/>
          <w:szCs w:val="32"/>
          <w:highlight w:val="none"/>
        </w:rPr>
        <w:t>为持续深化</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统一服务入口提供坚实保障。</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w:t>
      </w:r>
      <w:r>
        <w:rPr>
          <w:rFonts w:ascii="Times New Roman" w:hAnsi="Times New Roman" w:eastAsia="仿宋_GB2312"/>
          <w:sz w:val="32"/>
          <w:szCs w:val="32"/>
          <w:highlight w:val="none"/>
        </w:rPr>
        <w:t>统一用户体系（身份认证）</w:t>
      </w:r>
      <w:r>
        <w:rPr>
          <w:rFonts w:hint="eastAsia" w:ascii="Times New Roman" w:hAnsi="Times New Roman" w:eastAsia="仿宋_GB2312"/>
          <w:sz w:val="32"/>
          <w:szCs w:val="32"/>
          <w:highlight w:val="none"/>
        </w:rPr>
        <w:t>应用场景对接需求梳理分析、</w:t>
      </w:r>
      <w:r>
        <w:rPr>
          <w:rFonts w:ascii="Times New Roman" w:hAnsi="Times New Roman" w:eastAsia="仿宋_GB2312"/>
          <w:sz w:val="32"/>
          <w:szCs w:val="32"/>
          <w:highlight w:val="none"/>
        </w:rPr>
        <w:t>统一用户体系（身份认证）对接</w:t>
      </w:r>
      <w:r>
        <w:rPr>
          <w:rFonts w:hint="eastAsia" w:ascii="Times New Roman" w:hAnsi="Times New Roman" w:eastAsia="仿宋_GB2312"/>
          <w:sz w:val="32"/>
          <w:szCs w:val="32"/>
          <w:highlight w:val="none"/>
        </w:rPr>
        <w:t>技术标准规范编制完善、</w:t>
      </w:r>
      <w:r>
        <w:rPr>
          <w:rFonts w:ascii="Times New Roman" w:hAnsi="Times New Roman" w:eastAsia="仿宋_GB2312"/>
          <w:sz w:val="32"/>
          <w:szCs w:val="32"/>
          <w:highlight w:val="none"/>
        </w:rPr>
        <w:t>统一用户体系（身份认证）</w:t>
      </w:r>
      <w:r>
        <w:rPr>
          <w:rFonts w:hint="eastAsia" w:ascii="Times New Roman" w:hAnsi="Times New Roman" w:eastAsia="仿宋_GB2312"/>
          <w:sz w:val="32"/>
          <w:szCs w:val="32"/>
          <w:highlight w:val="none"/>
        </w:rPr>
        <w:t>应用场景对接技术实施方案编制、</w:t>
      </w:r>
      <w:r>
        <w:rPr>
          <w:rFonts w:ascii="Times New Roman" w:hAnsi="Times New Roman" w:eastAsia="仿宋_GB2312"/>
          <w:sz w:val="32"/>
          <w:szCs w:val="32"/>
          <w:highlight w:val="none"/>
        </w:rPr>
        <w:t>统一用户体系（身份认证）</w:t>
      </w:r>
      <w:r>
        <w:rPr>
          <w:rFonts w:hint="eastAsia" w:ascii="Times New Roman" w:hAnsi="Times New Roman" w:eastAsia="仿宋_GB2312"/>
          <w:sz w:val="32"/>
          <w:szCs w:val="32"/>
          <w:highlight w:val="none"/>
        </w:rPr>
        <w:t>应用场景对接联调实施、</w:t>
      </w:r>
      <w:r>
        <w:rPr>
          <w:rFonts w:ascii="Times New Roman" w:hAnsi="Times New Roman" w:eastAsia="仿宋_GB2312"/>
          <w:sz w:val="32"/>
          <w:szCs w:val="32"/>
          <w:highlight w:val="none"/>
        </w:rPr>
        <w:t>统一用户体系（身份认证）对接</w:t>
      </w:r>
      <w:r>
        <w:rPr>
          <w:rFonts w:hint="eastAsia" w:ascii="Times New Roman" w:hAnsi="Times New Roman" w:eastAsia="仿宋_GB2312"/>
          <w:sz w:val="32"/>
          <w:szCs w:val="32"/>
          <w:highlight w:val="none"/>
        </w:rPr>
        <w:t>测试验证、</w:t>
      </w:r>
      <w:r>
        <w:rPr>
          <w:rFonts w:ascii="Times New Roman" w:hAnsi="Times New Roman" w:eastAsia="仿宋_GB2312"/>
          <w:sz w:val="32"/>
          <w:szCs w:val="32"/>
          <w:highlight w:val="none"/>
        </w:rPr>
        <w:t>统一用户体系（身份认证）</w:t>
      </w:r>
      <w:r>
        <w:rPr>
          <w:rFonts w:hint="eastAsia" w:ascii="Times New Roman" w:hAnsi="Times New Roman" w:eastAsia="仿宋_GB2312"/>
          <w:sz w:val="32"/>
          <w:szCs w:val="32"/>
          <w:highlight w:val="none"/>
        </w:rPr>
        <w:t>应用场景安全域名配置、</w:t>
      </w:r>
      <w:r>
        <w:rPr>
          <w:rFonts w:ascii="Times New Roman" w:hAnsi="Times New Roman" w:eastAsia="仿宋_GB2312"/>
          <w:sz w:val="32"/>
          <w:szCs w:val="32"/>
          <w:highlight w:val="none"/>
        </w:rPr>
        <w:t>统一用户体系（身份认证）对接</w:t>
      </w:r>
      <w:r>
        <w:rPr>
          <w:rFonts w:hint="eastAsia" w:ascii="Times New Roman" w:hAnsi="Times New Roman" w:eastAsia="仿宋_GB2312"/>
          <w:sz w:val="32"/>
          <w:szCs w:val="32"/>
          <w:highlight w:val="none"/>
        </w:rPr>
        <w:t>应用场景发布上线</w:t>
      </w:r>
      <w:r>
        <w:rPr>
          <w:rFonts w:ascii="Times New Roman" w:hAnsi="Times New Roman" w:eastAsia="仿宋_GB2312" w:cs="Times New Roman"/>
          <w:sz w:val="32"/>
          <w:szCs w:val="32"/>
          <w:highlight w:val="none"/>
        </w:rPr>
        <w:t>等。</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括但不限于统一身份认证总体实施方案（包含产品、运营、运维、监控、安全、应急等各方面内容）、相关接口设计文档与对接技术标准规范、运营数据统计分析情况及相关平台系统截图（即使用量统计情况，包括接口调用量明细或调用日志，含调用方、调用时间、调用结果等要素）、月度维护工单报表、使用量统计情况图表、运营服务总结情况报告（包含工作总结、成效分析、问题剖析、优化建议等）、相关运维监控及运行保障记录等。</w:t>
      </w:r>
    </w:p>
    <w:p>
      <w:pPr>
        <w:widowControl/>
        <w:spacing w:line="360" w:lineRule="auto"/>
        <w:ind w:firstLine="643" w:firstLineChars="200"/>
        <w:jc w:val="left"/>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4）统一检索平台对接及能力支撑</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要求按照采购单位需求完成统一检索平台对接及能力支撑相关运营服务工作（包含优化迭代、对接实施、架构升级、资源优化、运行保障及成效分析等内容）。</w:t>
      </w:r>
      <w:r>
        <w:rPr>
          <w:rFonts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相关工作要求，持续升级迭代</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统一智能检索平台，依托相关新技术提升整体服务能级，为全市各单位统一赋能提供精准化智能检索的集约化共性基础支撑服务能力，实现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平台各服务渠道的统一智能精准搜索，为用户提供</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搜索即服务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的一流体验，有力支撑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精准化、智能化、便捷化服务能级不断提升。</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统一智能检索应用场景对接需求梳理分析、统一智能检索对接技术标准规范编制完善、统一智能检索应用场景对接技术实施方案编制、统一智能检索应用场景对接联调实施、统一智能检索应用场景对接测试验证、统一智能检索对接应用场景发布上线、统一智能检索平台优化升级迭代及运营运维保障等。</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括但不限于统一智能检索平台运营总体实施方案（包含产品、运营、运维、监控、安全、应急等各方面内容）、接口设计文档、运营数据统计分析情况及相关平台系统截图（即使用量统计情况，包括接口调用量明细或调用日志，含调用方、调用时间、调用结果等要素）、阶段性工作记录（周报、月报、工单）、使用量统计情况图表、运营服务情况总结报告（包含工作总结、成效分析、问题剖析、优化建议等）、统一智能检索平台平台相关运维监控及运行保障记录等。</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5）政策及免申即享消息推送对接及能力支撑</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要求按照采购单位需求完成政策及免申即享消息推送对接及能力支撑相关运营服务工作（包含优化迭代、对接实施、架构升级、资源优化、运行保障及成效分析等内容）。</w:t>
      </w:r>
      <w:r>
        <w:rPr>
          <w:rFonts w:ascii="Times New Roman" w:hAnsi="Times New Roman" w:eastAsia="仿宋_GB2312" w:cs="Times New Roman"/>
          <w:sz w:val="32"/>
          <w:szCs w:val="32"/>
          <w:highlight w:val="none"/>
        </w:rPr>
        <w:t>根据国家、长三角及本市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相关工作要求，依托</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政策内容库以及统一消息中心，围绕政策服务及免申即享等重点工作，为全市各区各部门统一赋能提供政策直达、消息推送、办件提醒等集约化共性基础支撑服务能力，切实保障政策服务及免申即享等本市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相关重点工作的有序推进，推动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主动化服务方式不断完善，助力</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在线服务体验持续优化以及</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免申即享</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直达快享</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服务范围有序拓展，有力支撑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个性化精准化服务能级的不断提升以及本市一流营商环境的持续优化。</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政策及免申即享消息推送应用场景对接需求梳理分析、政策及免申即享消息推送对接技术标准规范编制完善、政策及免申即享消息推送数据标签梳理及对接、政策及免申即享消息推送应用场景对接消息模板编制、政策及免申即享消息推送应用场景对接技术实施方案编制、政策及免申即享消息推送应用场景对接联调实施、政策及免申即享消息推送应用场景对接测试验证、政策及免申即享消息推送对接应用场景发布上线、统一消息中心优化升级迭代及运营运维保障等。</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括但不限于统一消息中心运营总体实施方案（包含产品、运营、运维、监控、安全、应急等各方面内容）、接口设计文档、对接技术标准规范、性能测试报告、对接场景接入需求函、工作对接记录、运营数据统计分析情况、运营服务情况总结报告（包含工作总结、成效分析、问题剖析、优化建议等）及相关平台系统截图（即使用量统计情况，包括接口调用量明细或调用日志，含调用方、调用时间、调用结果等要素）、统一消息中心相关运维监控及运行保障记录等。</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6）电子证照库对接及能力支撑</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要求按照采购单位需求完成电子证照库对接及能力支撑相关运营服务工作（包含制证新增接入、制证优化迭代、用证、亮证等运营服务内容）。</w:t>
      </w:r>
      <w:r>
        <w:rPr>
          <w:rFonts w:ascii="Times New Roman" w:hAnsi="Times New Roman" w:eastAsia="仿宋_GB2312" w:cs="Times New Roman"/>
          <w:sz w:val="32"/>
          <w:szCs w:val="32"/>
          <w:highlight w:val="none"/>
        </w:rPr>
        <w:t>根据国家、长三角及本市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相关工作要求，按照国家及本市电子证照相关对接技术标准，依托</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电子证照库为全市各单位统一赋能提供电子证照制证、亮证及用证等集约化共性基础支撑服务能力，为用户在线上线下各类办事场景中的材料免交提供基础能力支撑，切实保障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两个免于提交</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智慧好办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高效办成一件事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一业一证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等</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相关重点工作的有序推进，有力支撑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服务能级的不断提升。在电子证照制证方面，需按照国家及本市电子证照统一对接技术标准，落实国家工程标准改造工作，运用仿真制版和高保真防伪技术，将本市各单位核发的实体证照信息按照不同制证模式生成电子证照版式文件，统一汇聚接入电子证照库，保障证照数据的及时性、准确性、完整性，加强对政务服务领域</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智慧好办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重点场景的支撑保障，为各类用证及亮证应用需求提供基础支撑。在电子证照亮证方面，需依托</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PC端、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移动端等各服务渠道提供电子证照亮证应用服务，为用户提供扫码亮证、授权亮证等服务，实现用户在办事过程中的材料免交。在电子证照用证方面，需依托</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统一服务中台与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电子证照库，以服务接口的形式，为各单位提供电子证照调用服务能力支撑，积极助力各单位线上线下政务服务实现材料免交，提升在线办事便捷度及用户体验度。</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电子证照制证方面的运营服务工作内容</w:t>
      </w:r>
      <w:r>
        <w:rPr>
          <w:rFonts w:ascii="Times New Roman" w:hAnsi="Times New Roman" w:eastAsia="仿宋_GB2312" w:cs="Times New Roman"/>
          <w:sz w:val="32"/>
          <w:szCs w:val="32"/>
          <w:highlight w:val="none"/>
        </w:rPr>
        <w:t>包括但不限于电子证照信息采集与确认、电子证照底版文件定制、电子证照制证对接技术标准编制完善、电子证照参数清单配置、电子证照模板校核确认、电子证照制证技术对接、电子证照制证测试联调、电子证照归集发布上线、电子证照库优化升级迭代及运营运维保障等。</w:t>
      </w:r>
      <w:r>
        <w:rPr>
          <w:rFonts w:ascii="Times New Roman" w:hAnsi="Times New Roman" w:eastAsia="仿宋_GB2312" w:cs="Times New Roman"/>
          <w:b/>
          <w:sz w:val="32"/>
          <w:szCs w:val="32"/>
          <w:highlight w:val="none"/>
        </w:rPr>
        <w:t>电子证照亮证方面的运营服务工作内容</w:t>
      </w:r>
      <w:r>
        <w:rPr>
          <w:rFonts w:ascii="Times New Roman" w:hAnsi="Times New Roman" w:eastAsia="仿宋_GB2312" w:cs="Times New Roman"/>
          <w:sz w:val="32"/>
          <w:szCs w:val="32"/>
          <w:highlight w:val="none"/>
        </w:rPr>
        <w:t>包括但不限于电子证照亮证展现设计、电子证照亮证技术对接实施、电子证照亮证测试联调验证、电子证照亮证发布上线配置等。</w:t>
      </w:r>
      <w:r>
        <w:rPr>
          <w:rFonts w:ascii="Times New Roman" w:hAnsi="Times New Roman" w:eastAsia="仿宋_GB2312" w:cs="Times New Roman"/>
          <w:b/>
          <w:sz w:val="32"/>
          <w:szCs w:val="32"/>
          <w:highlight w:val="none"/>
        </w:rPr>
        <w:t>电子证照用证方面的运营服务工作内容</w:t>
      </w:r>
      <w:r>
        <w:rPr>
          <w:rFonts w:ascii="Times New Roman" w:hAnsi="Times New Roman" w:eastAsia="仿宋_GB2312" w:cs="Times New Roman"/>
          <w:sz w:val="32"/>
          <w:szCs w:val="32"/>
          <w:highlight w:val="none"/>
        </w:rPr>
        <w:t>包括但不限于电子证照用证场景对接需求梳理分析、电子证照用证对接技术标准规范编制完善、电子证照用证应用场景对接技术实施方案编制、电子证照用证清单配置、电子证照用证应用场景对接联调实施、电子证照用证应用场景对接测试验证、电子证照用证对接应用场景发布上线等。</w:t>
      </w:r>
    </w:p>
    <w:p>
      <w:pPr>
        <w:spacing w:line="360" w:lineRule="auto"/>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验收及绩效评价相关交付物材料要求：包括但不限于电子证照库运营总体实施方案（包含产品、运营、运维、监控、安全、应急等各方面内容）、电子证照制证接入材料标准、电子证照接入清单（新增及迭代）、电子证照亮证需求设计、电子证照亮证原型设计、电子证照亮证接口设计、电子证照调用服务支撑接入指引、总体接口说明、接入需求函、电子证照制证材料（含证照参数表、电子证照库记录、证照接口说明）、功能和性能测试报告（含制证、用证、亮证）、电子证照相关截图、上线记录（含制证、用证、亮证）、安全测试报告、联调与上线确认单（由需求单位及实施方等共同确认）、运营数据统计分析情况、运营服务情况总结报告（包含工作总结、成效分析、问题剖析、优化建议等）、电子证照库相关运维监控及运行保障记录等。</w:t>
      </w:r>
    </w:p>
    <w:p>
      <w:pPr>
        <w:widowControl/>
        <w:spacing w:line="360" w:lineRule="auto"/>
        <w:ind w:firstLine="643" w:firstLineChars="200"/>
        <w:jc w:val="left"/>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7）统一服务中台对接及事项办理能力支撑</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要求按照采购单位需求完成统一服务中台对接及事项办理能力支撑相关运营服务工作（包含接口新增接入、接口优化迭代、注册备案管理、联调对接实施等）。</w:t>
      </w:r>
      <w:r>
        <w:rPr>
          <w:rFonts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相关工作要求，依托</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统一服务中台的统一中转能力以及统一网关的接口调度能力，以服务接口的形式，为全市各单位统一赋能，针对单部门事项、跨省通办事项、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高效办成一件事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场景化主题式服务等各类办事应用服务提供后端接口注册转发或接口定制等基础支撑服务能力，支撑前端应用实现在条件预检、材料免交、信息预填、数据核验、精准推荐、服务提醒等方面的服务能力及用户体验提升，实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各相关服务接口的统一管理、统一调度与统一监控，有力保障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 xml:space="preserve">平台基础支撑服务能级的不断提升，切实保障 </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平台的整体运行稳定性、可靠性及安全性。</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服务接口注册、服务接口研发、服务接口转发、服务接口监控、服务接口拨测、统一服务中台优化升级迭代及运营运维保障等，要求确保服务接口的连通性、健康性和安全性，并针对其中涉及重点或高频服务应用的相关接口进行重点保障及人工巡检。</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括但不限于统一服务中台运营总体实施方案（包含产品、运营、运维、监控、安全、应急等各方面内容）、接口清单（新增及迭代）、统一服务中台接入指引、接口总体说明、对接申请函、接口规范文档、接口申请及注册审批记录、功能和性能测试报告、安全测试报告、运营数据统计分析情况、运营服务情况总结报告（包含工作总结、成效分析、问题剖析、优化建议等）、统一服务中台相关运维监控及运行保障记录等。</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8）统一预约平台（政务服务地图）对接及能力支撑</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要求按照采购单位需求完成统一预约平台（政务服务地图）对接及能力支撑相关运营服务工作。</w:t>
      </w:r>
      <w:r>
        <w:rPr>
          <w:rFonts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相关工作要求，依托</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预约平台，为全市各单位统一赋能提供预约取号、取消预约、预约号核销、政务服务地图及办理点管理系统对接等集约化共性基础支撑服务能力，打通各单位线下办理点的窗口预约叫号系统，为企业及个人用户提供</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统一预约服务，持续深化覆盖全市的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政务服务地图，做强精准推荐引导服务，逐步向相关具备条件的社会化机构办理点拓展，扩大</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服务覆盖面，为用户提供实现线上统一预约、线下优先办理的便捷服务体验，为保障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线上线下融合、</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15分钟政务圈</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15分钟生活圈</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等相关重点工作的有序推进提供有力支撑，助力</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服务能级不断提升。</w:t>
      </w:r>
    </w:p>
    <w:p>
      <w:pPr>
        <w:spacing w:line="360" w:lineRule="auto"/>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运营服务工作内容包括但不限于统一预约平台接入办理点对接业务及技术需求分析、统一预约平台接入办理点对接技术标准编制完善、统一预约平台可接入办理点对接技术实施方案编制、统一预约平台接入办理点技术对接联调实施、统一预约平台接入办理点对接测试验证、统一预约平台接入办理点发布配置上线、统一预约平台优化升级迭代及运营运维保障等等。</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括但不限于统一预约平台运营总体实施方案（包含产品、运营、运维、监控、安全、应急等各方面内容）、统一预约平台办理点接入业务流程与接口说明、统一预约平台办理点接入系统测试方案、功能与性能测试报告、安全测试报告、政务地图对接规范标准、政务服务地图办理点接入业务流程与接口说明、接入需求函（含接入办理点清单）、测试报告、系统上线记录、联调与上线确认单（由需求单位及实施方等共同确认）、运营数据统计分析情况、运营服务情况总结报告（包含工作总结、成效分析、问题剖析、优化建议等）、统一预约平台相关运维监控及运行保障记录等。</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9）统一知识库对接及能力支撑</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要求按照采购单位需求完成统一知识库对接及能力支撑相关运营服务工作（包含优化迭代、对接实施、架构升级、资源优化、运行保障及成效分析等内容）。</w:t>
      </w:r>
      <w:r>
        <w:rPr>
          <w:rFonts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相关工作要求，依托</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智慧审批知识库（以下简称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知识库</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为全市各单位统一赋能提供知识归集、知识标注、知识查询、知识更新（查无纠错）、知识标注、标签分类等集约化共性基础支撑服务能力，并对事项、主题、政策、材料、表单、问答、百科等各类政务服务及公共服务相关知识内容的数据质量持续进行完善提升，切实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统一总客服、</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智能客服小申、</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在线帮办、政策精准全流程服务等本市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相关重点工作的有序推进，不断提升智能客服服务能级以及</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智慧帮办服务能级，同时持续推动服务模式创新，依托新技术赋能，升级问答服务人机交互形式，探索打造</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政务数字人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，提升服务体验与服务能级，有力支撑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统一总客服服务体系的不断完善、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在线帮办制度的不断深化以及</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智能客服（政务助理）服务效能的不断提升。</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知识库内容采集治理、知识库内容整合加工、知识库内容审核发布、知识库内容检查更新与查无纠错、知识库对接技术标准规范编制完善、知识库优化升级迭代及运营运维保障等等。</w:t>
      </w:r>
    </w:p>
    <w:p>
      <w:pPr>
        <w:spacing w:line="360" w:lineRule="auto"/>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验收及绩效评价相关交付物材料要求：包括但不限于知识库运营总体实施方案（包含产品、运营、运维、监控、安全、应急等各方面内容）、知识归集需求分析情况、知识收集记录、知识清洗记录、知识上线记录、知识运营过程记录、知识查无纠错记录、上线记录或截图、知识库运营成效分析情况、平台运营数据统计分析情况、平台运营服务情况总结报告、知识库相关运维监控及运行保障记录等。</w:t>
      </w:r>
    </w:p>
    <w:p>
      <w:pPr>
        <w:widowControl/>
        <w:spacing w:line="360" w:lineRule="auto"/>
        <w:ind w:firstLine="643" w:firstLineChars="200"/>
        <w:jc w:val="left"/>
        <w:outlineLvl w:val="2"/>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10）</w:t>
      </w:r>
      <w:r>
        <w:rPr>
          <w:rFonts w:ascii="Times New Roman" w:hAnsi="Times New Roman" w:eastAsia="仿宋_GB2312"/>
          <w:b/>
          <w:sz w:val="32"/>
          <w:szCs w:val="32"/>
          <w:highlight w:val="none"/>
        </w:rPr>
        <w:t>统一支付平台对接及能力支撑</w:t>
      </w:r>
    </w:p>
    <w:p>
      <w:pPr>
        <w:spacing w:line="360" w:lineRule="auto"/>
        <w:ind w:firstLine="643" w:firstLineChars="200"/>
        <w:rPr>
          <w:rFonts w:ascii="Times New Roman" w:hAnsi="Times New Roman" w:eastAsia="仿宋_GB2312"/>
          <w:sz w:val="32"/>
          <w:szCs w:val="32"/>
          <w:highlight w:val="none"/>
        </w:rPr>
      </w:pPr>
      <w:r>
        <w:rPr>
          <w:rFonts w:ascii="Times New Roman" w:hAnsi="Times New Roman" w:eastAsia="仿宋_GB2312"/>
          <w:b/>
          <w:sz w:val="32"/>
          <w:szCs w:val="32"/>
          <w:highlight w:val="none"/>
        </w:rPr>
        <w:t>要求按照采购单位需求</w:t>
      </w:r>
      <w:r>
        <w:rPr>
          <w:rFonts w:hint="eastAsia" w:ascii="Times New Roman" w:hAnsi="Times New Roman" w:eastAsia="仿宋_GB2312"/>
          <w:b/>
          <w:sz w:val="32"/>
          <w:szCs w:val="32"/>
          <w:highlight w:val="none"/>
        </w:rPr>
        <w:t>完成</w:t>
      </w:r>
      <w:r>
        <w:rPr>
          <w:rFonts w:ascii="Times New Roman" w:hAnsi="Times New Roman" w:eastAsia="仿宋_GB2312"/>
          <w:b/>
          <w:sz w:val="32"/>
          <w:szCs w:val="32"/>
          <w:highlight w:val="none"/>
        </w:rPr>
        <w:t>统一支付平台对接及能力支撑相关</w:t>
      </w:r>
      <w:r>
        <w:rPr>
          <w:rFonts w:hint="eastAsia" w:ascii="Times New Roman" w:hAnsi="Times New Roman" w:eastAsia="仿宋_GB2312"/>
          <w:b/>
          <w:sz w:val="32"/>
          <w:szCs w:val="32"/>
          <w:highlight w:val="none"/>
        </w:rPr>
        <w:t>运营服务工作。</w:t>
      </w:r>
      <w:r>
        <w:rPr>
          <w:rFonts w:hint="eastAsia" w:ascii="Times New Roman" w:hAnsi="Times New Roman" w:eastAsia="仿宋_GB2312"/>
          <w:sz w:val="32"/>
          <w:szCs w:val="32"/>
          <w:highlight w:val="none"/>
        </w:rPr>
        <w:t>根据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相关工作要求，依托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统一公共支付平台，持续拓展统一公共支付服务场景，为全市各单位统一赋能提供支付订单生成、对账文件上传、对账文件下载、票据文件上传、支付进度查询等集约化共性基础支撑服务能力，为本市非税、社会保险基金等政府收费支付事项以及其他公共服务的经营性收费事项提供线上便捷的全渠道缴费办理服务，支持与本市各级医疗机构及相关金融机构的支付能力对接，为医疗付费、便捷就医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一件事</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提供支撑，切实保障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平台基础服务支撑能力的不断提高，有力支撑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在线办事服务能级的不断提升。</w:t>
      </w:r>
    </w:p>
    <w:p>
      <w:pPr>
        <w:spacing w:line="360" w:lineRule="auto"/>
        <w:ind w:firstLine="640" w:firstLineChars="200"/>
        <w:rPr>
          <w:rFonts w:ascii="Times New Roman" w:hAnsi="Times New Roman" w:eastAsia="仿宋_GB2312"/>
          <w:sz w:val="32"/>
          <w:szCs w:val="32"/>
          <w:highlight w:val="none"/>
        </w:rPr>
      </w:pPr>
      <w:r>
        <w:rPr>
          <w:rFonts w:ascii="Times New Roman" w:hAnsi="Times New Roman" w:eastAsia="仿宋_GB2312" w:cs="Times New Roman"/>
          <w:sz w:val="32"/>
          <w:szCs w:val="32"/>
          <w:highlight w:val="none"/>
        </w:rPr>
        <w:t>运营服务工作内容包括但不限于</w:t>
      </w:r>
      <w:r>
        <w:rPr>
          <w:rFonts w:hint="eastAsia" w:ascii="Times New Roman" w:hAnsi="Times New Roman" w:eastAsia="仿宋_GB2312"/>
          <w:sz w:val="32"/>
          <w:szCs w:val="32"/>
          <w:highlight w:val="none"/>
        </w:rPr>
        <w:t>统一</w:t>
      </w:r>
      <w:r>
        <w:rPr>
          <w:rFonts w:ascii="Times New Roman" w:hAnsi="Times New Roman" w:eastAsia="仿宋_GB2312"/>
          <w:sz w:val="32"/>
          <w:szCs w:val="32"/>
          <w:highlight w:val="none"/>
        </w:rPr>
        <w:t>支付</w:t>
      </w:r>
      <w:r>
        <w:rPr>
          <w:rFonts w:hint="eastAsia" w:ascii="Times New Roman" w:hAnsi="Times New Roman" w:eastAsia="仿宋_GB2312"/>
          <w:sz w:val="32"/>
          <w:szCs w:val="32"/>
          <w:highlight w:val="none"/>
        </w:rPr>
        <w:t>平台支付应用场景对接业务及技术需求分析、统一</w:t>
      </w:r>
      <w:r>
        <w:rPr>
          <w:rFonts w:ascii="Times New Roman" w:hAnsi="Times New Roman" w:eastAsia="仿宋_GB2312"/>
          <w:sz w:val="32"/>
          <w:szCs w:val="32"/>
          <w:highlight w:val="none"/>
        </w:rPr>
        <w:t>支付</w:t>
      </w:r>
      <w:r>
        <w:rPr>
          <w:rFonts w:hint="eastAsia" w:ascii="Times New Roman" w:hAnsi="Times New Roman" w:eastAsia="仿宋_GB2312"/>
          <w:sz w:val="32"/>
          <w:szCs w:val="32"/>
          <w:highlight w:val="none"/>
        </w:rPr>
        <w:t>平台对接技术标准编制完善、统一</w:t>
      </w:r>
      <w:r>
        <w:rPr>
          <w:rFonts w:ascii="Times New Roman" w:hAnsi="Times New Roman" w:eastAsia="仿宋_GB2312"/>
          <w:sz w:val="32"/>
          <w:szCs w:val="32"/>
          <w:highlight w:val="none"/>
        </w:rPr>
        <w:t>支付</w:t>
      </w:r>
      <w:r>
        <w:rPr>
          <w:rFonts w:hint="eastAsia" w:ascii="Times New Roman" w:hAnsi="Times New Roman" w:eastAsia="仿宋_GB2312"/>
          <w:sz w:val="32"/>
          <w:szCs w:val="32"/>
          <w:highlight w:val="none"/>
        </w:rPr>
        <w:t>平台支付应用场景对接技术</w:t>
      </w:r>
      <w:r>
        <w:rPr>
          <w:rFonts w:ascii="Times New Roman" w:hAnsi="Times New Roman" w:eastAsia="仿宋_GB2312"/>
          <w:sz w:val="32"/>
          <w:szCs w:val="32"/>
          <w:highlight w:val="none"/>
        </w:rPr>
        <w:t>实施方案编制</w:t>
      </w:r>
      <w:r>
        <w:rPr>
          <w:rFonts w:hint="eastAsia" w:ascii="Times New Roman" w:hAnsi="Times New Roman" w:eastAsia="仿宋_GB2312"/>
          <w:sz w:val="32"/>
          <w:szCs w:val="32"/>
          <w:highlight w:val="none"/>
        </w:rPr>
        <w:t>、统一</w:t>
      </w:r>
      <w:r>
        <w:rPr>
          <w:rFonts w:ascii="Times New Roman" w:hAnsi="Times New Roman" w:eastAsia="仿宋_GB2312"/>
          <w:sz w:val="32"/>
          <w:szCs w:val="32"/>
          <w:highlight w:val="none"/>
        </w:rPr>
        <w:t>支付</w:t>
      </w:r>
      <w:r>
        <w:rPr>
          <w:rFonts w:hint="eastAsia" w:ascii="Times New Roman" w:hAnsi="Times New Roman" w:eastAsia="仿宋_GB2312"/>
          <w:sz w:val="32"/>
          <w:szCs w:val="32"/>
          <w:highlight w:val="none"/>
        </w:rPr>
        <w:t>平台支付应用场景</w:t>
      </w:r>
      <w:r>
        <w:rPr>
          <w:rFonts w:ascii="Times New Roman" w:hAnsi="Times New Roman" w:eastAsia="仿宋_GB2312"/>
          <w:sz w:val="32"/>
          <w:szCs w:val="32"/>
          <w:highlight w:val="none"/>
        </w:rPr>
        <w:t>技术对接</w:t>
      </w:r>
      <w:r>
        <w:rPr>
          <w:rFonts w:hint="eastAsia" w:ascii="Times New Roman" w:hAnsi="Times New Roman" w:eastAsia="仿宋_GB2312"/>
          <w:sz w:val="32"/>
          <w:szCs w:val="32"/>
          <w:highlight w:val="none"/>
        </w:rPr>
        <w:t>联调实施</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统一</w:t>
      </w:r>
      <w:r>
        <w:rPr>
          <w:rFonts w:ascii="Times New Roman" w:hAnsi="Times New Roman" w:eastAsia="仿宋_GB2312"/>
          <w:sz w:val="32"/>
          <w:szCs w:val="32"/>
          <w:highlight w:val="none"/>
        </w:rPr>
        <w:t>支付</w:t>
      </w:r>
      <w:r>
        <w:rPr>
          <w:rFonts w:hint="eastAsia" w:ascii="Times New Roman" w:hAnsi="Times New Roman" w:eastAsia="仿宋_GB2312"/>
          <w:sz w:val="32"/>
          <w:szCs w:val="32"/>
          <w:highlight w:val="none"/>
        </w:rPr>
        <w:t>平台支付应用场景对接</w:t>
      </w:r>
      <w:r>
        <w:rPr>
          <w:rFonts w:ascii="Times New Roman" w:hAnsi="Times New Roman" w:eastAsia="仿宋_GB2312"/>
          <w:sz w:val="32"/>
          <w:szCs w:val="32"/>
          <w:highlight w:val="none"/>
        </w:rPr>
        <w:t>测试验证、</w:t>
      </w:r>
      <w:r>
        <w:rPr>
          <w:rFonts w:hint="eastAsia" w:ascii="Times New Roman" w:hAnsi="Times New Roman" w:eastAsia="仿宋_GB2312"/>
          <w:sz w:val="32"/>
          <w:szCs w:val="32"/>
          <w:highlight w:val="none"/>
        </w:rPr>
        <w:t>统一</w:t>
      </w:r>
      <w:r>
        <w:rPr>
          <w:rFonts w:ascii="Times New Roman" w:hAnsi="Times New Roman" w:eastAsia="仿宋_GB2312"/>
          <w:sz w:val="32"/>
          <w:szCs w:val="32"/>
          <w:highlight w:val="none"/>
        </w:rPr>
        <w:t>支付</w:t>
      </w:r>
      <w:r>
        <w:rPr>
          <w:rFonts w:hint="eastAsia" w:ascii="Times New Roman" w:hAnsi="Times New Roman" w:eastAsia="仿宋_GB2312"/>
          <w:sz w:val="32"/>
          <w:szCs w:val="32"/>
          <w:highlight w:val="none"/>
        </w:rPr>
        <w:t>平台支付应用场景</w:t>
      </w:r>
      <w:r>
        <w:rPr>
          <w:rFonts w:ascii="Times New Roman" w:hAnsi="Times New Roman" w:eastAsia="仿宋_GB2312"/>
          <w:sz w:val="32"/>
          <w:szCs w:val="32"/>
          <w:highlight w:val="none"/>
        </w:rPr>
        <w:t>发布配置上线</w:t>
      </w:r>
      <w:r>
        <w:rPr>
          <w:rFonts w:hint="eastAsia" w:ascii="Times New Roman" w:hAnsi="Times New Roman" w:eastAsia="仿宋_GB2312"/>
          <w:sz w:val="32"/>
          <w:szCs w:val="32"/>
          <w:highlight w:val="none"/>
        </w:rPr>
        <w:t>等</w:t>
      </w:r>
      <w:r>
        <w:rPr>
          <w:rFonts w:ascii="Times New Roman" w:hAnsi="Times New Roman" w:eastAsia="仿宋_GB2312"/>
          <w:sz w:val="32"/>
          <w:szCs w:val="32"/>
          <w:highlight w:val="none"/>
        </w:rPr>
        <w:t>运营服务</w:t>
      </w:r>
      <w:r>
        <w:rPr>
          <w:rFonts w:hint="eastAsia" w:ascii="Times New Roman" w:hAnsi="Times New Roman" w:eastAsia="仿宋_GB2312"/>
          <w:sz w:val="32"/>
          <w:szCs w:val="32"/>
          <w:highlight w:val="none"/>
        </w:rPr>
        <w:t>工作内容。</w:t>
      </w:r>
    </w:p>
    <w:p>
      <w:pPr>
        <w:spacing w:line="360" w:lineRule="auto"/>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验收及绩效评价相关交付物材料要求：包含但不限于接口设计文档、平台接入指引、对接场景需求说明文档、对接技术标准规范、接入需求函、第三方出具的功能和性能测试报告、安全测试报告、上线记录、上线确认单（由需求单位和实施方共同确认）等。</w:t>
      </w:r>
    </w:p>
    <w:p>
      <w:pPr>
        <w:widowControl/>
        <w:spacing w:line="360" w:lineRule="auto"/>
        <w:ind w:firstLine="643" w:firstLineChars="200"/>
        <w:jc w:val="left"/>
        <w:outlineLvl w:val="2"/>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11）</w:t>
      </w:r>
      <w:r>
        <w:rPr>
          <w:rFonts w:ascii="Times New Roman" w:hAnsi="Times New Roman" w:eastAsia="仿宋_GB2312"/>
          <w:b/>
          <w:sz w:val="32"/>
          <w:szCs w:val="32"/>
          <w:highlight w:val="none"/>
        </w:rPr>
        <w:t>统一物流平台对接及能力支撑</w:t>
      </w:r>
    </w:p>
    <w:p>
      <w:pPr>
        <w:spacing w:line="360" w:lineRule="auto"/>
        <w:ind w:firstLine="643" w:firstLineChars="200"/>
        <w:rPr>
          <w:rFonts w:ascii="Times New Roman" w:hAnsi="Times New Roman" w:eastAsia="仿宋_GB2312"/>
          <w:sz w:val="32"/>
          <w:szCs w:val="32"/>
          <w:highlight w:val="none"/>
        </w:rPr>
      </w:pPr>
      <w:r>
        <w:rPr>
          <w:rFonts w:ascii="Times New Roman" w:hAnsi="Times New Roman" w:eastAsia="仿宋_GB2312"/>
          <w:b/>
          <w:sz w:val="32"/>
          <w:szCs w:val="32"/>
          <w:highlight w:val="none"/>
        </w:rPr>
        <w:t>要求按照采购单位需求</w:t>
      </w:r>
      <w:r>
        <w:rPr>
          <w:rFonts w:hint="eastAsia" w:ascii="Times New Roman" w:hAnsi="Times New Roman" w:eastAsia="仿宋_GB2312"/>
          <w:b/>
          <w:sz w:val="32"/>
          <w:szCs w:val="32"/>
          <w:highlight w:val="none"/>
        </w:rPr>
        <w:t>完成</w:t>
      </w:r>
      <w:r>
        <w:rPr>
          <w:rFonts w:ascii="Times New Roman" w:hAnsi="Times New Roman" w:eastAsia="仿宋_GB2312"/>
          <w:b/>
          <w:sz w:val="32"/>
          <w:szCs w:val="32"/>
          <w:highlight w:val="none"/>
        </w:rPr>
        <w:t>统一物流平台对接及能力支撑相关</w:t>
      </w:r>
      <w:r>
        <w:rPr>
          <w:rFonts w:hint="eastAsia" w:ascii="Times New Roman" w:hAnsi="Times New Roman" w:eastAsia="仿宋_GB2312"/>
          <w:b/>
          <w:sz w:val="32"/>
          <w:szCs w:val="32"/>
          <w:highlight w:val="none"/>
        </w:rPr>
        <w:t>运营服务工作。</w:t>
      </w:r>
      <w:r>
        <w:rPr>
          <w:rFonts w:hint="eastAsia" w:ascii="Times New Roman" w:hAnsi="Times New Roman" w:eastAsia="仿宋_GB2312"/>
          <w:sz w:val="32"/>
          <w:szCs w:val="32"/>
          <w:highlight w:val="none"/>
        </w:rPr>
        <w:t>根据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相关工作要求，依托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统一物流平台，持续拓展统一物流服务场景，为全市各单位统一赋能提供物流订单生成、物流进度查询、物流信息对账等集约化共性基础支撑服务能力，提供物流下单、订单查询、上门取件、双向快递等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统一物流服务，切实保障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平台基础服务支撑能力的不断提高，有力支撑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在线办事服务能级的不断提升。</w:t>
      </w:r>
    </w:p>
    <w:p>
      <w:pPr>
        <w:spacing w:line="360" w:lineRule="auto"/>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具体包括统一物流平台支付应用场景对接业务及技术需求分析、统一物流平台对接技术标准编制完善、统一物流平台支付应用场景对接技术</w:t>
      </w:r>
      <w:r>
        <w:rPr>
          <w:rFonts w:ascii="Times New Roman" w:hAnsi="Times New Roman" w:eastAsia="仿宋_GB2312"/>
          <w:sz w:val="32"/>
          <w:szCs w:val="32"/>
          <w:highlight w:val="none"/>
        </w:rPr>
        <w:t>实施方案编制</w:t>
      </w:r>
      <w:r>
        <w:rPr>
          <w:rFonts w:hint="eastAsia" w:ascii="Times New Roman" w:hAnsi="Times New Roman" w:eastAsia="仿宋_GB2312"/>
          <w:sz w:val="32"/>
          <w:szCs w:val="32"/>
          <w:highlight w:val="none"/>
        </w:rPr>
        <w:t>、统一物流平台支付应用场景</w:t>
      </w:r>
      <w:r>
        <w:rPr>
          <w:rFonts w:ascii="Times New Roman" w:hAnsi="Times New Roman" w:eastAsia="仿宋_GB2312"/>
          <w:sz w:val="32"/>
          <w:szCs w:val="32"/>
          <w:highlight w:val="none"/>
        </w:rPr>
        <w:t>技术对接</w:t>
      </w:r>
      <w:r>
        <w:rPr>
          <w:rFonts w:hint="eastAsia" w:ascii="Times New Roman" w:hAnsi="Times New Roman" w:eastAsia="仿宋_GB2312"/>
          <w:sz w:val="32"/>
          <w:szCs w:val="32"/>
          <w:highlight w:val="none"/>
        </w:rPr>
        <w:t>联调实施</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统一物流平台支付应用场景对接</w:t>
      </w:r>
      <w:r>
        <w:rPr>
          <w:rFonts w:ascii="Times New Roman" w:hAnsi="Times New Roman" w:eastAsia="仿宋_GB2312"/>
          <w:sz w:val="32"/>
          <w:szCs w:val="32"/>
          <w:highlight w:val="none"/>
        </w:rPr>
        <w:t>测试验证、</w:t>
      </w:r>
      <w:r>
        <w:rPr>
          <w:rFonts w:hint="eastAsia" w:ascii="Times New Roman" w:hAnsi="Times New Roman" w:eastAsia="仿宋_GB2312"/>
          <w:sz w:val="32"/>
          <w:szCs w:val="32"/>
          <w:highlight w:val="none"/>
        </w:rPr>
        <w:t>统一物流平台支付应用场景</w:t>
      </w:r>
      <w:r>
        <w:rPr>
          <w:rFonts w:ascii="Times New Roman" w:hAnsi="Times New Roman" w:eastAsia="仿宋_GB2312"/>
          <w:sz w:val="32"/>
          <w:szCs w:val="32"/>
          <w:highlight w:val="none"/>
        </w:rPr>
        <w:t>发布配置上线</w:t>
      </w:r>
      <w:r>
        <w:rPr>
          <w:rFonts w:hint="eastAsia" w:ascii="Times New Roman" w:hAnsi="Times New Roman" w:eastAsia="仿宋_GB2312"/>
          <w:sz w:val="32"/>
          <w:szCs w:val="32"/>
          <w:highlight w:val="none"/>
        </w:rPr>
        <w:t>等</w:t>
      </w:r>
      <w:r>
        <w:rPr>
          <w:rFonts w:ascii="Times New Roman" w:hAnsi="Times New Roman" w:eastAsia="仿宋_GB2312"/>
          <w:sz w:val="32"/>
          <w:szCs w:val="32"/>
          <w:highlight w:val="none"/>
        </w:rPr>
        <w:t>运营服务</w:t>
      </w:r>
      <w:r>
        <w:rPr>
          <w:rFonts w:hint="eastAsia" w:ascii="Times New Roman" w:hAnsi="Times New Roman" w:eastAsia="仿宋_GB2312"/>
          <w:sz w:val="32"/>
          <w:szCs w:val="32"/>
          <w:highlight w:val="none"/>
        </w:rPr>
        <w:t>工作内容。</w:t>
      </w:r>
    </w:p>
    <w:p>
      <w:pPr>
        <w:spacing w:line="360" w:lineRule="auto"/>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sz w:val="32"/>
          <w:szCs w:val="32"/>
          <w:highlight w:val="none"/>
        </w:rPr>
        <w:t>验收及绩效评价相关交付物材料要求：包含但不限于接口设计文档、平台接入指引、对接场景需求说明文档、对接技术标准规范、接入需求函、第三方出具的功能和性能测试报告、安全测试报告、上线记录、上线确认单（由需求单位和实施方共同确认）等。</w:t>
      </w:r>
    </w:p>
    <w:p>
      <w:pPr>
        <w:widowControl/>
        <w:spacing w:line="360" w:lineRule="auto"/>
        <w:ind w:firstLine="643" w:firstLineChars="200"/>
        <w:jc w:val="left"/>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（三）其他服务保障</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中国上海</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门户网站运营（综合业务服务、英文版运营）</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中国上海</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门户网站运营相关服务工作。</w:t>
      </w:r>
      <w:r>
        <w:rPr>
          <w:rFonts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中国上海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门户网站相关工作要求，针对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中国上海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门户网站、</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总门户（包含相关公众号、生活号等各官方新媒体渠道）以及集约化平台提供运营管理和运维保障服务，确保</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中国上海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门户网站、</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总门户以及集约化平台运行平稳可靠。</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中国上海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门户网站以及集约化平台提供综合业务服务，包括日常运维服务、内容服务、安全运维服务、平台运维服务、网站改版服务、政务公开服务、宣传矩阵运营服务等各方面运营服务工作内容。其中，日常运维服务包括日常内容更新服务、日常应用维护服务、日常巡检服务、日常监控及故障处理服务、安全应急响应服务、数据统计与报告汇编服务等相关运营服务工作。内容服务包括视频服务、在线访谈服务、政策解读动画与图片设计服务、图片素材服务等相关运营服务工作。安全运维服务包括网站安全咨询及检测服务、信息安全系统维护服务、网站域名认证和保护升级服务、同步防篡改服务、邮件服务等相关运营服务工作。平台服务包括文字检测服务、网站可见性优化服务、网站IPV6检测服务、网站群运行维护质量监测服务、集约化平台监管服务、集约化平台保障服务、网站测评服务、简繁体转换服务等相关运营服务工作。网站改版服务包括网站专题建设、栏目规划调整与优化迭代、适老化和无障碍改造以及网站专项功能建设等相关运营服务工作。政务公开服务包括政策留言、阅办联动、政策主题式服务、公文库等相关功能建设和服务优化的运营服务工作。宣传矩阵运营服务包括针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总门户微信、视频号、B站、抖音等新媒体平台的日常运营管理（包括全矩阵推广打造，公众号选题，专题策划等），针对原创文字内容、视频内容的策划生产，针对新媒体专题以及专栏产品的策划搭建，针对政策的传播信息服务，针对相关线上线下主题活动的组织策划与资源整合，针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品牌IP形象的全栈运营等相关运营服务工作。</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括但不限于工作量说明、排班表、考勤表、实际产出结果物（日常运维服务记录、内容保障服务记录、安全运维服务记录、平台运维服务记录、网站改版服务记录、政务公开服务记录、宣传矩阵运营记录）、运营数据统计分析情况、运营服务情况总结报告、工作量统计明细表等。</w:t>
      </w:r>
    </w:p>
    <w:p>
      <w:pPr>
        <w:spacing w:line="360" w:lineRule="auto"/>
        <w:ind w:firstLine="643" w:firstLineChars="200"/>
        <w:outlineLvl w:val="2"/>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2）</w:t>
      </w:r>
      <w:r>
        <w:rPr>
          <w:rFonts w:hint="eastAsia" w:ascii="Times New Roman" w:hAnsi="Times New Roman" w:eastAsia="仿宋_GB2312"/>
          <w:b/>
          <w:sz w:val="32"/>
          <w:szCs w:val="32"/>
          <w:highlight w:val="none"/>
          <w:lang w:eastAsia="zh-CN"/>
        </w:rPr>
        <w:t>“</w:t>
      </w:r>
      <w:r>
        <w:rPr>
          <w:rFonts w:ascii="Times New Roman" w:hAnsi="Times New Roman" w:eastAsia="仿宋_GB2312"/>
          <w:b/>
          <w:sz w:val="32"/>
          <w:szCs w:val="32"/>
          <w:highlight w:val="none"/>
        </w:rPr>
        <w:t>随申码</w:t>
      </w:r>
      <w:r>
        <w:rPr>
          <w:rFonts w:hint="eastAsia" w:ascii="Times New Roman" w:hAnsi="Times New Roman" w:eastAsia="仿宋_GB2312"/>
          <w:b/>
          <w:sz w:val="32"/>
          <w:szCs w:val="32"/>
          <w:highlight w:val="none"/>
          <w:lang w:eastAsia="zh-CN"/>
        </w:rPr>
        <w:t>”</w:t>
      </w:r>
      <w:r>
        <w:rPr>
          <w:rFonts w:ascii="Times New Roman" w:hAnsi="Times New Roman" w:eastAsia="仿宋_GB2312"/>
          <w:b/>
          <w:sz w:val="32"/>
          <w:szCs w:val="32"/>
          <w:highlight w:val="none"/>
        </w:rPr>
        <w:t>（亲属码）人工审核</w:t>
      </w:r>
    </w:p>
    <w:p>
      <w:pPr>
        <w:spacing w:line="360" w:lineRule="auto"/>
        <w:ind w:firstLine="643" w:firstLineChars="200"/>
        <w:rPr>
          <w:rFonts w:ascii="Times New Roman" w:hAnsi="Times New Roman" w:eastAsia="仿宋_GB2312"/>
          <w:sz w:val="32"/>
          <w:szCs w:val="32"/>
          <w:highlight w:val="none"/>
        </w:rPr>
      </w:pPr>
      <w:r>
        <w:rPr>
          <w:rFonts w:ascii="Times New Roman" w:hAnsi="Times New Roman" w:eastAsia="仿宋_GB2312"/>
          <w:b/>
          <w:sz w:val="32"/>
          <w:szCs w:val="32"/>
          <w:highlight w:val="none"/>
        </w:rPr>
        <w:t>要求按照采购单位需求</w:t>
      </w:r>
      <w:r>
        <w:rPr>
          <w:rFonts w:hint="eastAsia" w:ascii="Times New Roman" w:hAnsi="Times New Roman" w:eastAsia="仿宋_GB2312"/>
          <w:b/>
          <w:sz w:val="32"/>
          <w:szCs w:val="32"/>
          <w:highlight w:val="none"/>
        </w:rPr>
        <w:t>完成</w:t>
      </w:r>
      <w:r>
        <w:rPr>
          <w:rFonts w:hint="eastAsia" w:ascii="Times New Roman" w:hAnsi="Times New Roman" w:eastAsia="仿宋_GB2312"/>
          <w:b/>
          <w:sz w:val="32"/>
          <w:szCs w:val="32"/>
          <w:highlight w:val="none"/>
          <w:lang w:eastAsia="zh-CN"/>
        </w:rPr>
        <w:t>“</w:t>
      </w:r>
      <w:r>
        <w:rPr>
          <w:rFonts w:hint="eastAsia" w:ascii="Times New Roman" w:hAnsi="Times New Roman" w:eastAsia="仿宋_GB2312"/>
          <w:b/>
          <w:sz w:val="32"/>
          <w:szCs w:val="32"/>
          <w:highlight w:val="none"/>
        </w:rPr>
        <w:t>随申码</w:t>
      </w:r>
      <w:r>
        <w:rPr>
          <w:rFonts w:hint="eastAsia" w:ascii="Times New Roman" w:hAnsi="Times New Roman" w:eastAsia="仿宋_GB2312"/>
          <w:b/>
          <w:sz w:val="32"/>
          <w:szCs w:val="32"/>
          <w:highlight w:val="none"/>
          <w:lang w:eastAsia="zh-CN"/>
        </w:rPr>
        <w:t>”</w:t>
      </w:r>
      <w:r>
        <w:rPr>
          <w:rFonts w:hint="eastAsia" w:ascii="Times New Roman" w:hAnsi="Times New Roman" w:eastAsia="仿宋_GB2312"/>
          <w:b/>
          <w:sz w:val="32"/>
          <w:szCs w:val="32"/>
          <w:highlight w:val="none"/>
        </w:rPr>
        <w:t>（亲属码）人工审核</w:t>
      </w:r>
      <w:r>
        <w:rPr>
          <w:rFonts w:ascii="Times New Roman" w:hAnsi="Times New Roman" w:eastAsia="仿宋_GB2312"/>
          <w:b/>
          <w:sz w:val="32"/>
          <w:szCs w:val="32"/>
          <w:highlight w:val="none"/>
        </w:rPr>
        <w:t>相关</w:t>
      </w:r>
      <w:r>
        <w:rPr>
          <w:rFonts w:hint="eastAsia" w:ascii="Times New Roman" w:hAnsi="Times New Roman" w:eastAsia="仿宋_GB2312"/>
          <w:b/>
          <w:sz w:val="32"/>
          <w:szCs w:val="32"/>
          <w:highlight w:val="none"/>
        </w:rPr>
        <w:t>运营服务工作。</w:t>
      </w:r>
      <w:r>
        <w:rPr>
          <w:rFonts w:hint="eastAsia" w:ascii="Times New Roman" w:hAnsi="Times New Roman" w:eastAsia="仿宋_GB2312"/>
          <w:sz w:val="32"/>
          <w:szCs w:val="32"/>
          <w:highlight w:val="none"/>
        </w:rPr>
        <w:t>根据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一网通办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相关工作要求，针对用户提出的</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随申码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（亲属码）申请（包括儿童码、长者码），提供在线人工审核及申诉处理服务，为拓展</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城市码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（随申码）应用场景提供支撑。</w:t>
      </w:r>
    </w:p>
    <w:p>
      <w:pPr>
        <w:spacing w:line="360" w:lineRule="auto"/>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运营服务工作内容包括但不限于</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随申码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人工审核、</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亲属码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人工审核、</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儿童码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人工审核、</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长者码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人工审核</w:t>
      </w:r>
      <w:r>
        <w:rPr>
          <w:rFonts w:ascii="Times New Roman" w:hAnsi="Times New Roman" w:eastAsia="仿宋_GB2312" w:cs="Times New Roman"/>
          <w:sz w:val="32"/>
          <w:szCs w:val="32"/>
          <w:highlight w:val="none"/>
        </w:rPr>
        <w:t>等相关运营服务工作。</w:t>
      </w:r>
    </w:p>
    <w:p>
      <w:pPr>
        <w:spacing w:line="360" w:lineRule="auto"/>
        <w:ind w:firstLine="640" w:firstLineChars="200"/>
        <w:rPr>
          <w:rFonts w:ascii="Times New Roman" w:hAnsi="Times New Roman" w:eastAsia="仿宋_GB2312" w:cs="Times New Roman"/>
          <w:b/>
          <w:sz w:val="32"/>
          <w:szCs w:val="32"/>
          <w:highlight w:val="none"/>
        </w:rPr>
      </w:pPr>
      <w:r>
        <w:rPr>
          <w:rFonts w:hint="eastAsia" w:ascii="Times New Roman" w:hAnsi="Times New Roman" w:eastAsia="仿宋_GB2312"/>
          <w:sz w:val="32"/>
          <w:szCs w:val="32"/>
          <w:highlight w:val="none"/>
        </w:rPr>
        <w:t>验收及绩效评价相关交付物材料要求：包含但不限于工作量说明、排班表、考勤表、实际产出结果物（实施方案、话术、工单记录、服务报告）、工作量统计明细表等。</w:t>
      </w:r>
    </w:p>
    <w:p>
      <w:pPr>
        <w:spacing w:line="360" w:lineRule="auto"/>
        <w:ind w:firstLine="643" w:firstLineChars="200"/>
        <w:outlineLvl w:val="2"/>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3</w:t>
      </w:r>
      <w:r>
        <w:rPr>
          <w:rFonts w:ascii="Times New Roman" w:hAnsi="Times New Roman" w:eastAsia="仿宋_GB2312" w:cs="Times New Roman"/>
          <w:b/>
          <w:sz w:val="32"/>
          <w:szCs w:val="32"/>
          <w:highlight w:val="none"/>
        </w:rPr>
        <w:t>）</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在线客服技术支持</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在线客服技术支持相关运营服务工作。</w:t>
      </w:r>
      <w:r>
        <w:rPr>
          <w:rFonts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相关工作要求，提供</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在线客服人工帮办、实名用户注册人工审核（如针对外籍人士、长者用户、生僻字用户等等）、</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12345</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热线问题工单客诉问题全流程跟踪处理、</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情监控、</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公众号生活号等官方渠道用户留言筛选审核回复与用户建议诉求跟踪处理、电话热线外呼回访及来电咨询应答、用户信访跟踪回复处理等各相关在线客服技术支持的运营服务工作，形式包括在线客服、语音电话等，并根据需求与用户进行回访联系，同时定期对以上服务的相关工单问题进行归纳总结聚类分析，完善技术支持工单问题应答处理经验库，总结分析形成相关优化建议、数据报表与分析报告，为进一步深化</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统一总客服全方位服务体系不断完善，进一步深化</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服务场景拓展延伸，进一步推动后续服务功能不断优化、辅助领导进行决策等提供重要支撑。</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在线客服人工坐席帮办、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在线客服人工帮办、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实名用户线上注册人工审核（如针对外籍人士、长者用户、生僻字用户等等）、</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12345</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市民服务热线转派问题工单客诉处理、信访及其他非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12345</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转派问题工单处理、社会舆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情监控、在线技术支持响应（热线咨询答复及客服保障）、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公众号生活号等官方渠道用户留言筛选审核回复与用户建议诉求跟踪处理、电话热线外呼回访及来电咨询应答、用户信访跟踪回复处理等。</w:t>
      </w:r>
    </w:p>
    <w:p>
      <w:pPr>
        <w:spacing w:line="360" w:lineRule="auto"/>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验收及绩效评价相关交付物材料要求：包括但不限于工作量说明、排班表、考勤表、实际产出结果物（实施方案、客服服务知识库相关知识内容、相关问题建议工单处理记录、服务报告）、工作量统计明细表、运营数据统计分析情况、运营服务情况总结报告（包含存在问题分析及优化建议）等。</w:t>
      </w:r>
    </w:p>
    <w:p>
      <w:pPr>
        <w:spacing w:line="360" w:lineRule="auto"/>
        <w:ind w:firstLine="643" w:firstLineChars="200"/>
        <w:outlineLvl w:val="2"/>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4</w:t>
      </w:r>
      <w:r>
        <w:rPr>
          <w:rFonts w:ascii="Times New Roman" w:hAnsi="Times New Roman" w:eastAsia="仿宋_GB2312" w:cs="Times New Roman"/>
          <w:b/>
          <w:sz w:val="32"/>
          <w:szCs w:val="32"/>
          <w:highlight w:val="none"/>
        </w:rPr>
        <w:t>）</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服务能力决策分析</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服务能力决策分析相关运营服务工作。</w:t>
      </w:r>
      <w:r>
        <w:rPr>
          <w:rFonts w:ascii="Times New Roman" w:hAnsi="Times New Roman" w:eastAsia="仿宋_GB2312" w:cs="Times New Roman"/>
          <w:sz w:val="32"/>
          <w:szCs w:val="32"/>
          <w:highlight w:val="none"/>
        </w:rPr>
        <w:t>根据本市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大屏展示内容提供日常运营服务保障，并针对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各方面运营指标开展综合总结分析，具体包括针对在线服务能力情况（如在线服务成熟度、成效度、覆盖度、体验度以及网办比率、全程网办比率、两个免于提交率等）、各服务渠道运行情况（如用户增长量、访问量、活跃度、转化率、留存率、口碑度等）、日常运营工作总结及成效情况（如针对服务功能的特色亮点与改革成效分析、针对线上宣推与线下地推等相关运营工作的成效分析等）、各渠道用户反映问题诉求及意见建议情况、本市营商环境评价情况、政策应用效果与应用导向情况以及相关问卷调研情况、各单位数字化项目和信息化系统平台与相关政务服务事项关联对应情况、本市政务服务与全国各地政务服务竞品内容分析类比情况等等各类与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线上线下服务能力相关的内容、信息、数据的深入挖掘分析，并形成相关专业、全面、多维的数据报表及分析报告，推动问题发现、整改、反馈、评估闭环管理机制不断完善，为国家省级政务服务平台第三方考核、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改革深化与政务服务能级持续提升以及数字政府建设及数字化转型等提供重要决策支撑。</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在线服务能力情况分析、</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各服务渠道运行情况分析、</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日常运营工作总结及成效情况分析、各渠道用户反映问题诉求及意见建议情况分析、本市营商环境评价情况分析、政策应用效果及导向情况分析、相关问卷调研情况分析、相关竞品内容类比分析等。</w:t>
      </w:r>
    </w:p>
    <w:p>
      <w:pPr>
        <w:spacing w:line="360" w:lineRule="auto"/>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验收及绩效评价相关交付物材料要求：包含但不限于工作量说明、排班表、考勤表、实际产出结果物（包括运营总结分析报告、用户反映问题诉求及意见建议情况分析报告、本市营商环境评价情况分析报告、政策应用效果及导向情况分析报告、问卷调研情况分析报告、工作周报月报、相关数据统计报表、运营服务日历、竞品分析报告等）、工作量统计明细表等。</w:t>
      </w:r>
    </w:p>
    <w:p>
      <w:pPr>
        <w:spacing w:line="360" w:lineRule="auto"/>
        <w:ind w:firstLine="643" w:firstLineChars="200"/>
        <w:outlineLvl w:val="2"/>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5）</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用户体验优化设计</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用户体验优化设计相关运营服务工作。</w:t>
      </w:r>
      <w:r>
        <w:rPr>
          <w:rFonts w:ascii="Times New Roman" w:hAnsi="Times New Roman" w:eastAsia="仿宋_GB2312" w:cs="Times New Roman"/>
          <w:sz w:val="32"/>
          <w:szCs w:val="32"/>
          <w:highlight w:val="none"/>
        </w:rPr>
        <w:t>根据本市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相关工作要求，从用户视角出发，结合当下数字政务发展趋势，针对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各平台各渠道提供的各个服务版块、栏目、频道、事项及功能等各方面内容的用户体验进行优化设计，从可用性、可及性、易用性、流畅性、美观性等各个角度进行深入分析，重点针对交互方式、业务流程、风格布局、文案提示等各方面进行深入剖析，针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提供服务的便捷性以及场景式服务的易用性和友好性等方面进行评测分析，形成用户体验优化设计方案，同时不断完善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界面UI设计规范，为前端应用服务的设计与研发提供参考，并同步配套提供用户调研、方案共创、体验设计、事项走查、优化策略、成果推广等服务，有力支撑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整体用户服务体验不断提升，推动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能办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转变，具体包括专项用户数字化调研实施、用户交互与场景化解决方案共创、开发协同的体验设计与运营优化、重点及高频事项体验优化评估与改进、</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产品优化策略、体验文化推广与意识提升、趋势性能力探索及创新应用策略、用户全生命周期的政务服务需求梳理和场景拓展研究、重点人群个性化产品体验持续优化、IP形象延展及应用深化等，同时，按照</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用户体验</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专业标准，针对走查拟上线的事项提出体验优化建议，并不断完善事项开发工作流程中的评审与反馈机制，助力在线服务的优化与迭代，提升在线政务的办理效率及用户满意度。此外，需提供无障碍工具条、文字转语音、自动化检测等服务，并定期按照标准规范出具服务报告。</w:t>
      </w:r>
    </w:p>
    <w:p>
      <w:pPr>
        <w:spacing w:line="360" w:lineRule="auto"/>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运营服务工作内容包括但不限于专项用户数字化调研实施、用户交互与场景化解决方案共创、开发协同的体验设计与运营优化、重点及高频事项体验优化评估与改进、</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产品优化策略、体验文化推广与意识提升等。</w:t>
      </w:r>
    </w:p>
    <w:p>
      <w:pPr>
        <w:spacing w:line="360" w:lineRule="auto"/>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验收及绩效评价相关交付物材料要求：包含但不限于工作量说明、排班表、考勤表、实际产出结果物（全年用户体验策略方案、政务服务需求梳理和场景拓展研究报告、重点人群个性化产品体验报告、高频事项流程体验报告、IP形象延展及应用深化方案、产品策划规划方案、视觉设计方案、交互设计优化方案、拟上线走查反馈表、拟上线走查共性案例讲解材料、用户体验培训课件、互联网应用适老化和无障碍评测报告、互联网应用适老化等级检测报告、互联网应用适老化和无障碍评测报告、互联网应用适老化满意度评价报告、互联网应用无障碍等级检测报告、互联网应用无障碍满意度评价报告、无障碍工具条和文字转语音服务调用记录表、无障碍工具条和语音功能测试报告、无障碍和语音服务巡检报告）、工作量统计明细表等。</w:t>
      </w:r>
    </w:p>
    <w:p>
      <w:pPr>
        <w:spacing w:line="360" w:lineRule="auto"/>
        <w:ind w:firstLine="643" w:firstLineChars="200"/>
        <w:outlineLvl w:val="2"/>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6</w:t>
      </w:r>
      <w:r>
        <w:rPr>
          <w:rFonts w:ascii="Times New Roman" w:hAnsi="Times New Roman" w:eastAsia="仿宋_GB2312" w:cs="Times New Roman"/>
          <w:b/>
          <w:sz w:val="32"/>
          <w:szCs w:val="32"/>
          <w:highlight w:val="none"/>
        </w:rPr>
        <w:t>）</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政务服务</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好差评</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审核分析</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政务服务</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好差评</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审核分析相关运营服务工作。</w:t>
      </w:r>
      <w:r>
        <w:rPr>
          <w:rFonts w:ascii="Times New Roman" w:hAnsi="Times New Roman" w:eastAsia="仿宋_GB2312" w:cs="Times New Roman"/>
          <w:sz w:val="32"/>
          <w:szCs w:val="32"/>
          <w:highlight w:val="none"/>
        </w:rPr>
        <w:t>根据本市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相关工作要求，针对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好差评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分析与整改跟踪系统进行日常运营保障与优化升级迭代，持续优化完善相关对接技术标准，不断细化评价分类维度，为用户提供精准评价服务。针对用户提出的政务服务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好差评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或通过</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办不成事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窗口反映的问题建议等相关内容进行审核反馈，针对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好差评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或</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办不成事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相关运营指标或问题建议进行全面深入的数据统计分析，形成相关专业数据报表及分析运营报告。同时，落实国办有关政务服务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好差评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相关工作要求，根据国办第三方省级评估考核相关要求，做好本市与国家平台的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好差评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数据同步工作，确保完整性、准确性、及时性，并在国办评估考核前，针对政务服务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好差评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的相关指标以及在线服务成效度等重点指标进行预评估分析，为本市在国办第三方省级政务服务考核评估中保持全国领先地位提供重要支撑。</w:t>
      </w:r>
    </w:p>
    <w:p>
      <w:pPr>
        <w:spacing w:line="360" w:lineRule="auto"/>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运营服务工作内容包括但不限于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好差评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管理系统的日常运营保障（包含平台架构优化、版本发布更新、优化升级迭代、运维监控预警、技术标准完善）、政务服务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好差评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用户精准评价指标体系优化完善、政务服务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好差评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办不成事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窗口反映问题意见建议内容审核分析与数据统计、政务服务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好差评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分析与整改跟踪系统优化升级迭代与运营运维保障、国办平台政务服务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好差评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数据上报与对接保障等。</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验收及绩效评价相关交付物材料要求：包含但不限于工作量说明、排班表、考勤表、工作内容产出结果物（政务服务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好差评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反映问题意见建议内容深度分析报告与相关数据报表、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办不成事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反映问题意见建议内容深度分析报告与相关数据报表、政务服务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好差评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分析与整改跟踪系统运营运维保障情况报告、</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12345</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市民服务热线转办情况分析报告、国办好差评数据上报情况工作总结报告、政务服务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好差评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内容日常审核记录）、工作量统计明细表等。</w:t>
      </w:r>
    </w:p>
    <w:p>
      <w:pPr>
        <w:spacing w:line="360" w:lineRule="auto"/>
        <w:ind w:firstLine="643" w:firstLineChars="200"/>
        <w:outlineLvl w:val="2"/>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7</w:t>
      </w:r>
      <w:r>
        <w:rPr>
          <w:rFonts w:ascii="Times New Roman" w:hAnsi="Times New Roman" w:eastAsia="仿宋_GB2312" w:cs="Times New Roman"/>
          <w:b/>
          <w:sz w:val="32"/>
          <w:szCs w:val="32"/>
          <w:highlight w:val="none"/>
        </w:rPr>
        <w:t>）</w:t>
      </w:r>
      <w:r>
        <w:rPr>
          <w:rFonts w:hint="eastAsia" w:ascii="Times New Roman" w:hAnsi="Times New Roman" w:eastAsia="仿宋_GB2312"/>
          <w:b/>
          <w:sz w:val="32"/>
          <w:szCs w:val="32"/>
          <w:highlight w:val="none"/>
          <w:lang w:eastAsia="zh-CN"/>
        </w:rPr>
        <w:t>“</w:t>
      </w:r>
      <w:r>
        <w:rPr>
          <w:rFonts w:ascii="Times New Roman" w:hAnsi="Times New Roman" w:eastAsia="仿宋_GB2312"/>
          <w:b/>
          <w:sz w:val="32"/>
          <w:szCs w:val="32"/>
          <w:highlight w:val="none"/>
        </w:rPr>
        <w:t>一网通办</w:t>
      </w:r>
      <w:r>
        <w:rPr>
          <w:rFonts w:hint="eastAsia" w:ascii="Times New Roman" w:hAnsi="Times New Roman" w:eastAsia="仿宋_GB2312"/>
          <w:b/>
          <w:sz w:val="32"/>
          <w:szCs w:val="32"/>
          <w:highlight w:val="none"/>
          <w:lang w:eastAsia="zh-CN"/>
        </w:rPr>
        <w:t>”</w:t>
      </w:r>
      <w:r>
        <w:rPr>
          <w:rFonts w:ascii="Times New Roman" w:hAnsi="Times New Roman" w:eastAsia="仿宋_GB2312"/>
          <w:b/>
          <w:sz w:val="32"/>
          <w:szCs w:val="32"/>
          <w:highlight w:val="none"/>
        </w:rPr>
        <w:t>事项库与办件库（主题申报库）保障</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w:t>
      </w:r>
      <w:r>
        <w:rPr>
          <w:rFonts w:hint="eastAsia" w:ascii="Times New Roman" w:hAnsi="Times New Roman" w:eastAsia="仿宋_GB2312"/>
          <w:b/>
          <w:sz w:val="32"/>
          <w:szCs w:val="32"/>
          <w:highlight w:val="none"/>
          <w:lang w:eastAsia="zh-CN"/>
        </w:rPr>
        <w:t>“</w:t>
      </w:r>
      <w:r>
        <w:rPr>
          <w:rFonts w:ascii="Times New Roman" w:hAnsi="Times New Roman" w:eastAsia="仿宋_GB2312"/>
          <w:b/>
          <w:sz w:val="32"/>
          <w:szCs w:val="32"/>
          <w:highlight w:val="none"/>
        </w:rPr>
        <w:t>一网通办</w:t>
      </w:r>
      <w:r>
        <w:rPr>
          <w:rFonts w:hint="eastAsia" w:ascii="Times New Roman" w:hAnsi="Times New Roman" w:eastAsia="仿宋_GB2312"/>
          <w:b/>
          <w:sz w:val="32"/>
          <w:szCs w:val="32"/>
          <w:highlight w:val="none"/>
          <w:lang w:eastAsia="zh-CN"/>
        </w:rPr>
        <w:t>”</w:t>
      </w:r>
      <w:r>
        <w:rPr>
          <w:rFonts w:ascii="Times New Roman" w:hAnsi="Times New Roman" w:eastAsia="仿宋_GB2312"/>
          <w:b/>
          <w:sz w:val="32"/>
          <w:szCs w:val="32"/>
          <w:highlight w:val="none"/>
        </w:rPr>
        <w:t>事项库与办件库（主题申报库）保障</w:t>
      </w:r>
      <w:r>
        <w:rPr>
          <w:rFonts w:ascii="Times New Roman" w:hAnsi="Times New Roman" w:eastAsia="仿宋_GB2312" w:cs="Times New Roman"/>
          <w:b/>
          <w:sz w:val="32"/>
          <w:szCs w:val="32"/>
          <w:highlight w:val="none"/>
        </w:rPr>
        <w:t>相关运营服务工作。</w:t>
      </w:r>
      <w:r>
        <w:rPr>
          <w:rFonts w:ascii="Times New Roman" w:hAnsi="Times New Roman" w:eastAsia="仿宋_GB2312" w:cs="Times New Roman"/>
          <w:sz w:val="32"/>
          <w:szCs w:val="32"/>
          <w:highlight w:val="none"/>
        </w:rPr>
        <w:t>根据本市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相关工作要求，针对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 xml:space="preserve"> 政务服务标准化管理系统（事项库）、办件库以及主题申报库等进行日常运营保障与优化升级迭代。</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事项库（政务服务标准化管理系统）方面，按照事项最小办理情形的维度，对全市各单位的政务服务事项进行日常运营保障，做好事项库的日常运营数据统计分析工作，持续完善相关对接技术标准规范，根据国家相关工作要求对事项库的结构以及要素项进行动态调整，做好与国家政务服务平台事项库的数据同步，为保障国办第三方考核评估及本市政务服务事项标准化规范化等提供重要支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办件库与主题申报库方面，配合各单位做好办件库与主题申报库的技术对接支撑保障，持续完善相关技术对接标准规范，对各单位归集的办件数据进行质检，形成相关质检结果分析报告，为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数字化运营平台的办件数据展示提供支撑，为辅助领导进行决策部署提供参考，为全市各单位办件信息属地化返还提供支持。同时，按照国办工作要求做好与国家政务服务平台的办件数据同步，为保障国办第三方考核评估工作提供重要支撑。</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事项库（政务服务标准化管理系统）、办件库以及主题申报库的日常运营保障（具体包含平台架构优化、版本发布更新、优化升级迭代、运维监控预警等），业务数据与技术对接标准规范完善，平台数据问题跟踪处理，与国家平台数据对接同步保障等相关运营服务工作内容。</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验收及绩效评价相关交付物材料要求：包含但不限于工作量说明、排班表、考勤表、实际产出结果物（包括系统运维与优化升级相关材料、大屏相关工作情况材料、开库单</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服务报告、日常审核记录、事项数据统计分析情况相关材料、办事指南清单动态调整情况相关材料、事项发布渠道优化情况相关材料、事项发布记录）、工作量统计明细表等。</w:t>
      </w:r>
    </w:p>
    <w:p>
      <w:pPr>
        <w:spacing w:line="360" w:lineRule="auto"/>
        <w:ind w:firstLine="643" w:firstLineChars="200"/>
        <w:outlineLvl w:val="2"/>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8</w:t>
      </w:r>
      <w:r>
        <w:rPr>
          <w:rFonts w:ascii="Times New Roman" w:hAnsi="Times New Roman" w:eastAsia="仿宋_GB2312" w:cs="Times New Roman"/>
          <w:b/>
          <w:sz w:val="32"/>
          <w:szCs w:val="32"/>
          <w:highlight w:val="none"/>
        </w:rPr>
        <w:t>）</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平台运行保障</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一网通办</w:t>
      </w:r>
      <w:r>
        <w:rPr>
          <w:rFonts w:hint="eastAsia" w:ascii="Times New Roman" w:hAnsi="Times New Roman" w:eastAsia="仿宋_GB2312" w:cs="Times New Roman"/>
          <w:b/>
          <w:sz w:val="32"/>
          <w:szCs w:val="32"/>
          <w:highlight w:val="none"/>
          <w:lang w:eastAsia="zh-CN"/>
        </w:rPr>
        <w:t>”</w:t>
      </w:r>
      <w:r>
        <w:rPr>
          <w:rFonts w:ascii="Times New Roman" w:hAnsi="Times New Roman" w:eastAsia="仿宋_GB2312" w:cs="Times New Roman"/>
          <w:b/>
          <w:sz w:val="32"/>
          <w:szCs w:val="32"/>
          <w:highlight w:val="none"/>
        </w:rPr>
        <w:t>平台运行保障相关运营服务工作。</w:t>
      </w:r>
      <w:r>
        <w:rPr>
          <w:rFonts w:ascii="Times New Roman" w:hAnsi="Times New Roman" w:eastAsia="仿宋_GB2312" w:cs="Times New Roman"/>
          <w:sz w:val="32"/>
          <w:szCs w:val="32"/>
          <w:highlight w:val="none"/>
        </w:rPr>
        <w:t>根据本市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相关工作要求，针对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平台及相关子系统子平台提供功能迭代更新、安全加固升级、平台架构优化、版本发布更新、运维监控预警、日常巡检保障、数据质量检测等相关日常运营运维保障服务，确保</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平台运行平稳可靠、服务持续不断、功能正常可用，服务保障范围覆盖</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平台的所有相关子系统子平台，子系统子平台具体包括</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PC端总门户、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各移动端APP与小程序、</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统一受理平台、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市民和企业专属数字空间、</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自助服务终端运行管理平台、电子证照库管理平台、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在线帮办平台、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 xml:space="preserve">政策精准服务平台、重点企业服务包专窗平台、 </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统一应用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服务池</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数字化运营平台、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AI智能中枢、</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政务服务中心管理系统、</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行政协助系统、</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电子材料库、</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虚拟窗口管理系统、长三角</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专窗等等。</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平台所有各子系统子平台的平台架构优化、版本发布更新(包括优化升级迭代、服务功能完善等）、日常运维保障、运维监控预警（包含系统监控巡检、策略开通配置）、配合对接实施、技术指导培训等。</w:t>
      </w:r>
    </w:p>
    <w:p>
      <w:pPr>
        <w:spacing w:line="360" w:lineRule="auto"/>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验收及绩效评价相关交付物材料要求：包含但不限于工作量说明、排班表、考勤表、实际产出结果物（功能迭代更新记录、安全加固升级记录、平台架构优化记录、版本发布更新记录、运维监控预警记录、日常巡检保障记录、数据质量检测记录等等）、工作量统计明细表等。</w:t>
      </w:r>
    </w:p>
    <w:p>
      <w:pPr>
        <w:spacing w:line="360" w:lineRule="auto"/>
        <w:ind w:firstLine="643" w:firstLineChars="200"/>
        <w:outlineLvl w:val="2"/>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9</w:t>
      </w:r>
      <w:r>
        <w:rPr>
          <w:rFonts w:ascii="Times New Roman" w:hAnsi="Times New Roman" w:eastAsia="仿宋_GB2312" w:cs="Times New Roman"/>
          <w:b/>
          <w:sz w:val="32"/>
          <w:szCs w:val="32"/>
          <w:highlight w:val="none"/>
        </w:rPr>
        <w:t>）安全服务保障</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要求按照采购单位需求完成安全服务保障相关运营服务工作。</w:t>
      </w:r>
      <w:r>
        <w:rPr>
          <w:rFonts w:ascii="Times New Roman" w:hAnsi="Times New Roman" w:eastAsia="仿宋_GB2312" w:cs="Times New Roman"/>
          <w:sz w:val="32"/>
          <w:szCs w:val="32"/>
          <w:highlight w:val="none"/>
        </w:rPr>
        <w:t>根据本市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相关安全保障要求及中心有关网络和数据安全管理规范要求，针对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平台及其各相关子系统子平台提供日常安全保障、代码审计分析、重大保障支撑等相关安全运营保障服务，服务范围覆盖</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平台所有各相关子系统子平台，包括以统一建设研发模式接入的相关应用、服务、功能（即以模式一、模式二接入PC端与自助终端以及以模式一、模式二接入移动端的相关应用、服务、功能），切实保障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平台的整体应用安全与数据安全，不断强化安全防护保障能力，确保</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平台运行平稳高效、安全可靠、服务可用。</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日常安全保障相关运营服务工作内容包括但不限于整体网络应用安全体系规划建设、安全管理制度建设（持续完善三四级网络和数据安全管理制度文件、优化平台系统安全分类分级管理模式）与安全标准规范制定完善、安全培训与安全自查、数据应用安全风险评估、应用上线前常规安全测评及漏洞扫描、信息化资产安全运营管理、协助开展安全漏洞可信众测、协助开展应急演练等。代码审计分析相关运营服务工作内容包括但不限于应用源代码审计、基于业务逻辑的安全漏洞分析等，并形成相关审计分析报告及安全防护强化建议。重大保障支撑相关运营服务工作内容包括但不限于在国家及本市相关重大事件、重大活动、重要工作、法定假日等重要时段期间针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平台及其相关子系统子平台提供7×24小时的驻场安全重保支撑服务，在重保期间做好监控预警、故障上报、应急响应及故障处置，在重保结束后按要求做好溯源分析、经验总结及材料归档等。</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含但不限于工作量说明、排班表、考勤表、实际产出结果物（网络与数据应用安全制度规范、网络与数据应用安全应急预案及子预案、安全事件报告、信息系统重保方案、信息系统重保总结报告、安全自查方案、应急预案和应急演练记录、渗透测试报告、漏洞扫描报告、回归测试报告、源代码安全审计报告、安全自查总结报告、安全工作阶段性总结报告）、工作量统计明细表等。</w:t>
      </w:r>
    </w:p>
    <w:p>
      <w:pPr>
        <w:spacing w:line="360" w:lineRule="auto"/>
        <w:ind w:firstLine="643" w:firstLineChars="200"/>
        <w:outlineLvl w:val="2"/>
        <w:rPr>
          <w:rFonts w:hint="eastAsia" w:ascii="Times New Roman" w:hAnsi="Times New Roman" w:eastAsia="仿宋_GB2312" w:cs="Times New Roman"/>
          <w:b/>
          <w:sz w:val="32"/>
          <w:szCs w:val="32"/>
          <w:highlight w:val="none"/>
          <w:lang w:eastAsia="zh-CN"/>
        </w:rPr>
      </w:pPr>
      <w:r>
        <w:rPr>
          <w:rFonts w:hint="eastAsia" w:ascii="Times New Roman" w:hAnsi="Times New Roman" w:eastAsia="仿宋_GB2312" w:cs="Times New Roman"/>
          <w:b/>
          <w:sz w:val="32"/>
          <w:szCs w:val="32"/>
          <w:highlight w:val="none"/>
        </w:rPr>
        <w:t>10</w:t>
      </w:r>
      <w:r>
        <w:rPr>
          <w:rFonts w:hint="eastAsia" w:ascii="仿宋_GB2312" w:hAnsi="Times New Roman" w:eastAsia="仿宋_GB2312"/>
          <w:b/>
          <w:sz w:val="32"/>
          <w:szCs w:val="32"/>
          <w:highlight w:val="none"/>
        </w:rPr>
        <w:t>）</w:t>
      </w:r>
      <w:r>
        <w:rPr>
          <w:rFonts w:ascii="仿宋_GB2312" w:hAnsi="Times New Roman" w:eastAsia="仿宋_GB2312" w:cs="Times New Roman"/>
          <w:b/>
          <w:sz w:val="32"/>
          <w:szCs w:val="32"/>
          <w:highlight w:val="none"/>
        </w:rPr>
        <w:t>安全等保测评</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根据有关网络和数据安全管理规范要求，依据《信息安全等级保护管理办法》，针对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平台及其相关子系统平台，按照有关标准要求开展相关安全测评服务工作（包括等保测评与密码测评），形成相关测评报告与评估报告，并针对其中存在的安全问题进行修复加固，并在完成修复后进行复测，</w:t>
      </w:r>
      <w:r>
        <w:rPr>
          <w:rFonts w:hint="eastAsia" w:ascii="Times New Roman" w:hAnsi="Times New Roman" w:eastAsia="仿宋_GB2312" w:cs="Times New Roman"/>
          <w:sz w:val="32"/>
          <w:szCs w:val="32"/>
          <w:highlight w:val="none"/>
        </w:rPr>
        <w:t>最终达到符合采购单位要求的测评等级与分数（注：测评等级要求达到等保三级，测评分数要求达到80分或以上）</w:t>
      </w:r>
      <w:r>
        <w:rPr>
          <w:rFonts w:ascii="Times New Roman" w:hAnsi="Times New Roman" w:eastAsia="仿宋_GB2312" w:cs="Times New Roman"/>
          <w:sz w:val="32"/>
          <w:szCs w:val="32"/>
          <w:highlight w:val="none"/>
        </w:rPr>
        <w:t>，为确保</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平台的整体应用及数据安全提供坚实支撑。测评范围包括</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PC端总门户、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各移动端APP与小程序、</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统一受理平台、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市民和企业专属数字空间、</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自助服务终端运行管理平台、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在线帮办平台、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随申兑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政策精准服务平台、重点企业服务包专窗平台、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统一支付平台、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统一物流平台、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统一应用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服务池</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数字化运营平台、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AI智能中枢、</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政务服务中心管理系统、</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行政协助系统、</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电子材料库、</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虚拟窗口管理系统、长三角</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专窗等相关</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平台的各子系统子平台、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中国上海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 xml:space="preserve">门户网站等。 </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运营服务工作内容包括但不限于开展安全测评、问题总结分析、问题整改修复、开展安全复测、形成优化建议等。</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验收及绩效评价相关交付物材料要求：包含但不限于第三方出具的等保测评报告、安全问题整改及相关验证材料等。</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w:t>
      </w:r>
      <w:r>
        <w:rPr>
          <w:rFonts w:hint="eastAsia" w:ascii="Times New Roman" w:hAnsi="Times New Roman" w:eastAsia="仿宋_GB2312" w:cs="Times New Roman"/>
          <w:b/>
          <w:sz w:val="32"/>
          <w:szCs w:val="32"/>
          <w:highlight w:val="none"/>
        </w:rPr>
        <w:t>1</w:t>
      </w:r>
      <w:r>
        <w:rPr>
          <w:rFonts w:ascii="Times New Roman" w:hAnsi="Times New Roman" w:eastAsia="仿宋_GB2312" w:cs="Times New Roman"/>
          <w:b/>
          <w:sz w:val="32"/>
          <w:szCs w:val="32"/>
          <w:highlight w:val="none"/>
        </w:rPr>
        <w:t>）安全审计分析</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要求按照采购单位需求完成安全审计分析相关运营服务工作。</w:t>
      </w:r>
      <w:r>
        <w:rPr>
          <w:rFonts w:ascii="Times New Roman" w:hAnsi="Times New Roman" w:eastAsia="仿宋_GB2312" w:cs="Times New Roman"/>
          <w:sz w:val="32"/>
          <w:szCs w:val="32"/>
          <w:highlight w:val="none"/>
        </w:rPr>
        <w:t>根据相关安全工作要求，针对</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平台及其相关子系统子平台开展安全日志审计工作（围绕平台系统应用层面，非底层操作系统），全面深入分析相关操作及访问日志，形成相关风险预警提示、审计分析报告及安全防护强化建议。</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运营服务工作内容包括但不限于针对主机、数据库、应用服务相关日志、流量与逻辑漏洞等各方面进行深入审计分析和风险预警，识别潜在的安全漏洞和异常行为事件，出具安全审计报告，根据报告开展相关安全整改等相关工作。</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验收及绩效评价相关交付物材料要求：包含但不限于安全日志审计报告、安全问题整改及相关验证材料等。</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w:t>
      </w:r>
      <w:r>
        <w:rPr>
          <w:rFonts w:hint="eastAsia" w:ascii="Times New Roman" w:hAnsi="Times New Roman" w:eastAsia="仿宋_GB2312" w:cs="Times New Roman"/>
          <w:b/>
          <w:sz w:val="32"/>
          <w:szCs w:val="32"/>
          <w:highlight w:val="none"/>
        </w:rPr>
        <w:t>2</w:t>
      </w:r>
      <w:r>
        <w:rPr>
          <w:rFonts w:ascii="Times New Roman" w:hAnsi="Times New Roman" w:eastAsia="仿宋_GB2312" w:cs="Times New Roman"/>
          <w:b/>
          <w:sz w:val="32"/>
          <w:szCs w:val="32"/>
          <w:highlight w:val="none"/>
        </w:rPr>
        <w:t>）短信提醒</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要求按照采购单位需求完成短信提醒相关运营服务工作。</w:t>
      </w:r>
      <w:r>
        <w:rPr>
          <w:rFonts w:ascii="Times New Roman" w:hAnsi="Times New Roman" w:eastAsia="仿宋_GB2312" w:cs="Times New Roman"/>
          <w:sz w:val="32"/>
          <w:szCs w:val="32"/>
          <w:highlight w:val="none"/>
        </w:rPr>
        <w:t>根据有关工作要求，为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平台应用服务及其他有关单位业务场景，提供短信提醒服务保障，包括如办事提醒、到期提醒、评价提醒、回访提醒、物流提醒、支付提醒等等，有力支撑</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平台及本市相关部门业务的短信发送需求。</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验收及绩效评价相关交付物材料要求：短信账单、相关短信计费说明等。</w:t>
      </w:r>
      <w:bookmarkStart w:id="4" w:name="_GoBack"/>
      <w:bookmarkEnd w:id="4"/>
    </w:p>
    <w:p>
      <w:pPr>
        <w:spacing w:line="360" w:lineRule="auto"/>
        <w:ind w:firstLine="640" w:firstLineChars="200"/>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六、服务目录单价</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本项目为一招一年项目，项目的最高限价为18331万元，</w:t>
      </w:r>
      <w:r>
        <w:rPr>
          <w:rFonts w:ascii="Times New Roman" w:hAnsi="Times New Roman" w:eastAsia="黑体" w:cs="Times New Roman"/>
          <w:sz w:val="32"/>
          <w:szCs w:val="32"/>
          <w:highlight w:val="none"/>
        </w:rPr>
        <w:t>高于项目最高限价的总价报价将视为无效报价</w:t>
      </w:r>
      <w:r>
        <w:rPr>
          <w:rFonts w:ascii="Times New Roman" w:hAnsi="Times New Roman" w:eastAsia="仿宋_GB2312" w:cs="Times New Roman"/>
          <w:sz w:val="32"/>
          <w:szCs w:val="32"/>
          <w:highlight w:val="none"/>
        </w:rPr>
        <w:t>。项目的运营服务工作内容包括服务内容接入、服务能力支撑、其他服务保障等三部分，各项运营服务内容的服务单价以及需完成预估工作量具体见《服务目录内容、服务单价及预估工作量明细表》所示（见下表表一）。</w:t>
      </w:r>
      <w:r>
        <w:rPr>
          <w:rFonts w:ascii="Times New Roman" w:hAnsi="Times New Roman" w:eastAsia="黑体" w:cs="Times New Roman"/>
          <w:sz w:val="32"/>
          <w:szCs w:val="32"/>
          <w:highlight w:val="none"/>
        </w:rPr>
        <w:t>表中的每项服务内容单价均为该项服务内容单价的最高限价</w:t>
      </w:r>
      <w:r>
        <w:rPr>
          <w:rFonts w:ascii="Times New Roman" w:hAnsi="Times New Roman" w:eastAsia="仿宋_GB2312" w:cs="Times New Roman"/>
          <w:sz w:val="32"/>
          <w:szCs w:val="32"/>
          <w:highlight w:val="none"/>
        </w:rPr>
        <w:t>，参与投标的供应商在投标时应根据服务内容和服务要求投报每项服务内容的单价，</w:t>
      </w:r>
      <w:r>
        <w:rPr>
          <w:rFonts w:ascii="Times New Roman" w:hAnsi="Times New Roman" w:eastAsia="黑体" w:cs="Times New Roman"/>
          <w:sz w:val="32"/>
          <w:szCs w:val="32"/>
          <w:highlight w:val="none"/>
        </w:rPr>
        <w:t>如在报价时存在任何一项服务内容单价高于该项服务内容单价最高限价的，将视为无效报价</w:t>
      </w:r>
      <w:r>
        <w:rPr>
          <w:rFonts w:ascii="Times New Roman" w:hAnsi="Times New Roman" w:eastAsia="仿宋_GB2312" w:cs="Times New Roman"/>
          <w:sz w:val="32"/>
          <w:szCs w:val="32"/>
          <w:highlight w:val="none"/>
        </w:rPr>
        <w:t>。每项服务单价的报价应当科学合理，</w:t>
      </w:r>
      <w:r>
        <w:rPr>
          <w:rFonts w:ascii="Times New Roman" w:hAnsi="Times New Roman" w:eastAsia="黑体" w:cs="Times New Roman"/>
          <w:sz w:val="32"/>
          <w:szCs w:val="32"/>
          <w:highlight w:val="none"/>
        </w:rPr>
        <w:t>不得恶意低价</w:t>
      </w:r>
      <w:r>
        <w:rPr>
          <w:rFonts w:ascii="Times New Roman" w:hAnsi="Times New Roman" w:eastAsia="仿宋_GB2312" w:cs="Times New Roman"/>
          <w:sz w:val="32"/>
          <w:szCs w:val="32"/>
          <w:highlight w:val="none"/>
        </w:rPr>
        <w:t>。</w:t>
      </w:r>
    </w:p>
    <w:p>
      <w:pPr>
        <w:topLinePunct/>
        <w:adjustRightInd w:val="0"/>
        <w:snapToGrid w:val="0"/>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参与投标的供应商应当以</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表一</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中各项服务内容的预估工作量为基础，结合自报的各项服务内容的服务单价，投报本项目的总价，并在提交投标文件时</w:t>
      </w:r>
      <w:r>
        <w:rPr>
          <w:rFonts w:ascii="Times New Roman" w:hAnsi="Times New Roman" w:eastAsia="黑体" w:cs="Times New Roman"/>
          <w:sz w:val="32"/>
          <w:szCs w:val="32"/>
          <w:highlight w:val="none"/>
        </w:rPr>
        <w:t>同步提交盖章的《投标报价分类明细表（服务单价及项目总价报价表）》</w:t>
      </w:r>
      <w:r>
        <w:rPr>
          <w:rFonts w:ascii="Times New Roman" w:hAnsi="Times New Roman" w:eastAsia="仿宋_GB2312" w:cs="Times New Roman"/>
          <w:sz w:val="32"/>
          <w:szCs w:val="32"/>
          <w:highlight w:val="none"/>
        </w:rPr>
        <w:t>（见</w:t>
      </w:r>
      <w:r>
        <w:rPr>
          <w:rFonts w:hint="eastAsia" w:ascii="Times New Roman" w:hAnsi="Times New Roman" w:eastAsia="仿宋_GB2312" w:cs="Times New Roman"/>
          <w:sz w:val="32"/>
          <w:szCs w:val="32"/>
          <w:highlight w:val="none"/>
          <w:lang w:eastAsia="zh-CN"/>
        </w:rPr>
        <w:t>招标文件第六章</w:t>
      </w:r>
      <w:r>
        <w:rPr>
          <w:rFonts w:ascii="Times New Roman" w:hAnsi="Times New Roman" w:eastAsia="仿宋_GB2312" w:cs="Times New Roman"/>
          <w:sz w:val="32"/>
          <w:szCs w:val="32"/>
          <w:highlight w:val="none"/>
        </w:rPr>
        <w:t>）。</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服务费应是供应商根据项目实际应用要求达到采购需求目标、完成项目所需的所有费用，包括提供运营服务所需劳务及各类成本，以及人员开支、系统测试、联调、试运行、培训等服务、有关保险费用、实施相关的措施费、制度流程规范研制费、资料整理编制费、财务费、管理费、利润、税金等费用，以及合同明示或暗示的所有责任、义务和一般风险，无论此等义务和风险是否会在合同文件中详细指出。供应商应综合考虑后续实际运营工作的成本支出以及后续运营服务工作计划及工作量可能发生的调整，科学合理地进行成本估算。针对后续服务过程中可能发生的类似知识产权、软件、专利费等相关费用，应一律摊销在每项服务单价中。</w:t>
      </w:r>
    </w:p>
    <w:p>
      <w:pPr>
        <w:spacing w:line="360" w:lineRule="auto"/>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结算时，工作量按实结算，各项服务内容的实际结算单价将以最终中标的服务单价为准，不得调整。合同结算总价的增加额不得超过中标总价的10%，变更后合同总价不得超过财政预算的批复金额。投标文件中没有的单价，由采购人聘请的第三方根据相关文件要求确定。</w:t>
      </w:r>
    </w:p>
    <w:p>
      <w:pPr>
        <w:spacing w:line="360" w:lineRule="auto"/>
        <w:ind w:firstLine="640" w:firstLineChars="200"/>
        <w:rPr>
          <w:rFonts w:ascii="Times New Roman" w:hAnsi="Times New Roman" w:eastAsia="仿宋_GB2312" w:cs="Times New Roman"/>
          <w:sz w:val="32"/>
          <w:szCs w:val="32"/>
          <w:highlight w:val="none"/>
        </w:rPr>
        <w:sectPr>
          <w:footerReference r:id="rId4" w:type="default"/>
          <w:pgSz w:w="11906" w:h="16838"/>
          <w:pgMar w:top="1440" w:right="1797" w:bottom="1440" w:left="1797" w:header="851" w:footer="680" w:gutter="0"/>
          <w:pgNumType w:start="1"/>
          <w:cols w:space="425" w:num="1"/>
          <w:docGrid w:linePitch="312" w:charSpace="0"/>
        </w:sectPr>
      </w:pPr>
      <w:r>
        <w:rPr>
          <w:rFonts w:ascii="黑体" w:hAnsi="黑体" w:eastAsia="黑体" w:cs="Times New Roman"/>
          <w:sz w:val="32"/>
          <w:szCs w:val="32"/>
          <w:highlight w:val="none"/>
        </w:rPr>
        <w:t>★</w:t>
      </w:r>
      <w:r>
        <w:rPr>
          <w:rFonts w:ascii="Times New Roman" w:hAnsi="Times New Roman" w:eastAsia="黑体" w:cs="Times New Roman"/>
          <w:sz w:val="32"/>
          <w:szCs w:val="32"/>
          <w:highlight w:val="none"/>
        </w:rPr>
        <w:t>参与投标的供应商在报价时，不得修改各项服务内容的预估工作量及难度系数，否则视为投标不响应。</w:t>
      </w:r>
    </w:p>
    <w:p>
      <w:pPr>
        <w:widowControl/>
        <w:spacing w:line="360" w:lineRule="auto"/>
        <w:ind w:firstLine="643" w:firstLineChars="200"/>
        <w:jc w:val="left"/>
        <w:outlineLvl w:val="1"/>
        <w:rPr>
          <w:rFonts w:ascii="Times New Roman" w:hAnsi="Times New Roman" w:eastAsia="楷体_GB2312"/>
          <w:b/>
          <w:sz w:val="32"/>
          <w:szCs w:val="32"/>
          <w:highlight w:val="none"/>
        </w:rPr>
      </w:pPr>
      <w:r>
        <w:rPr>
          <w:rFonts w:hint="eastAsia" w:ascii="Times New Roman" w:hAnsi="Times New Roman" w:eastAsia="楷体_GB2312"/>
          <w:b/>
          <w:sz w:val="32"/>
          <w:szCs w:val="32"/>
          <w:highlight w:val="none"/>
        </w:rPr>
        <w:t>表</w:t>
      </w:r>
      <w:r>
        <w:rPr>
          <w:rFonts w:hint="eastAsia" w:ascii="Times New Roman" w:hAnsi="Times New Roman" w:eastAsia="楷体_GB2312"/>
          <w:b/>
          <w:sz w:val="32"/>
          <w:szCs w:val="32"/>
          <w:highlight w:val="none"/>
          <w:lang w:eastAsia="zh-CN"/>
        </w:rPr>
        <w:t>一</w:t>
      </w:r>
      <w:r>
        <w:rPr>
          <w:rFonts w:hint="eastAsia" w:ascii="Times New Roman" w:hAnsi="Times New Roman" w:eastAsia="楷体_GB2312"/>
          <w:b/>
          <w:sz w:val="32"/>
          <w:szCs w:val="32"/>
          <w:highlight w:val="none"/>
        </w:rPr>
        <w:t>：服务目录内容、服务单价及预估工作量明细表</w:t>
      </w:r>
    </w:p>
    <w:tbl>
      <w:tblPr>
        <w:tblStyle w:val="12"/>
        <w:tblW w:w="16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971"/>
        <w:gridCol w:w="492"/>
        <w:gridCol w:w="1329"/>
        <w:gridCol w:w="915"/>
        <w:gridCol w:w="931"/>
        <w:gridCol w:w="1112"/>
        <w:gridCol w:w="869"/>
        <w:gridCol w:w="924"/>
        <w:gridCol w:w="1032"/>
        <w:gridCol w:w="779"/>
        <w:gridCol w:w="894"/>
        <w:gridCol w:w="1073"/>
        <w:gridCol w:w="1381"/>
        <w:gridCol w:w="1065"/>
        <w:gridCol w:w="1032"/>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674" w:type="dxa"/>
            <w:vMerge w:val="restart"/>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一级服务内容</w:t>
            </w:r>
          </w:p>
        </w:tc>
        <w:tc>
          <w:tcPr>
            <w:tcW w:w="971" w:type="dxa"/>
            <w:vMerge w:val="restart"/>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二级服务内容</w:t>
            </w:r>
          </w:p>
        </w:tc>
        <w:tc>
          <w:tcPr>
            <w:tcW w:w="503" w:type="dxa"/>
            <w:vMerge w:val="restart"/>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序号</w:t>
            </w:r>
          </w:p>
        </w:tc>
        <w:tc>
          <w:tcPr>
            <w:tcW w:w="1475" w:type="dxa"/>
            <w:vMerge w:val="restart"/>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三级服务内容</w:t>
            </w:r>
          </w:p>
        </w:tc>
        <w:tc>
          <w:tcPr>
            <w:tcW w:w="5703" w:type="dxa"/>
            <w:gridSpan w:val="6"/>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基础服务单价（元）</w:t>
            </w:r>
          </w:p>
        </w:tc>
        <w:tc>
          <w:tcPr>
            <w:tcW w:w="5999" w:type="dxa"/>
            <w:gridSpan w:val="6"/>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预估工作量</w:t>
            </w:r>
          </w:p>
        </w:tc>
        <w:tc>
          <w:tcPr>
            <w:tcW w:w="1136" w:type="dxa"/>
            <w:vMerge w:val="restart"/>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674" w:type="dxa"/>
            <w:vMerge w:val="continue"/>
            <w:vAlign w:val="center"/>
          </w:tcPr>
          <w:p>
            <w:pPr>
              <w:widowControl/>
              <w:jc w:val="left"/>
              <w:rPr>
                <w:rFonts w:ascii="黑体" w:hAnsi="黑体" w:eastAsia="黑体" w:cs="宋体"/>
                <w:b/>
                <w:bCs/>
                <w:color w:val="000000"/>
                <w:kern w:val="0"/>
                <w:szCs w:val="21"/>
                <w:highlight w:val="none"/>
              </w:rPr>
            </w:pPr>
          </w:p>
        </w:tc>
        <w:tc>
          <w:tcPr>
            <w:tcW w:w="971" w:type="dxa"/>
            <w:vMerge w:val="continue"/>
            <w:vAlign w:val="center"/>
          </w:tcPr>
          <w:p>
            <w:pPr>
              <w:widowControl/>
              <w:jc w:val="left"/>
              <w:rPr>
                <w:rFonts w:ascii="黑体" w:hAnsi="黑体" w:eastAsia="黑体" w:cs="宋体"/>
                <w:b/>
                <w:bCs/>
                <w:color w:val="000000"/>
                <w:kern w:val="0"/>
                <w:szCs w:val="21"/>
                <w:highlight w:val="none"/>
              </w:rPr>
            </w:pPr>
          </w:p>
        </w:tc>
        <w:tc>
          <w:tcPr>
            <w:tcW w:w="503" w:type="dxa"/>
            <w:vMerge w:val="continue"/>
            <w:vAlign w:val="center"/>
          </w:tcPr>
          <w:p>
            <w:pPr>
              <w:widowControl/>
              <w:jc w:val="left"/>
              <w:rPr>
                <w:rFonts w:ascii="黑体" w:hAnsi="黑体" w:eastAsia="黑体" w:cs="宋体"/>
                <w:b/>
                <w:bCs/>
                <w:color w:val="000000"/>
                <w:kern w:val="0"/>
                <w:szCs w:val="21"/>
                <w:highlight w:val="none"/>
              </w:rPr>
            </w:pPr>
          </w:p>
        </w:tc>
        <w:tc>
          <w:tcPr>
            <w:tcW w:w="1475" w:type="dxa"/>
            <w:vMerge w:val="continue"/>
            <w:vAlign w:val="center"/>
          </w:tcPr>
          <w:p>
            <w:pPr>
              <w:widowControl/>
              <w:jc w:val="left"/>
              <w:rPr>
                <w:rFonts w:ascii="黑体" w:hAnsi="黑体" w:eastAsia="黑体" w:cs="宋体"/>
                <w:b/>
                <w:bCs/>
                <w:color w:val="000000"/>
                <w:kern w:val="0"/>
                <w:szCs w:val="21"/>
                <w:highlight w:val="none"/>
              </w:rPr>
            </w:pPr>
          </w:p>
        </w:tc>
        <w:tc>
          <w:tcPr>
            <w:tcW w:w="2941" w:type="dxa"/>
            <w:gridSpan w:val="3"/>
            <w:vMerge w:val="restart"/>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前端应用服务接入</w:t>
            </w:r>
          </w:p>
        </w:tc>
        <w:tc>
          <w:tcPr>
            <w:tcW w:w="887" w:type="dxa"/>
            <w:vMerge w:val="restart"/>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基础能力支撑</w:t>
            </w:r>
          </w:p>
        </w:tc>
        <w:tc>
          <w:tcPr>
            <w:tcW w:w="924" w:type="dxa"/>
            <w:vMerge w:val="restart"/>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人工服务保障</w:t>
            </w:r>
          </w:p>
        </w:tc>
        <w:tc>
          <w:tcPr>
            <w:tcW w:w="951" w:type="dxa"/>
            <w:vMerge w:val="restart"/>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其他服务保障</w:t>
            </w:r>
          </w:p>
        </w:tc>
        <w:tc>
          <w:tcPr>
            <w:tcW w:w="2746" w:type="dxa"/>
            <w:gridSpan w:val="3"/>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前端应用服务接入</w:t>
            </w:r>
          </w:p>
        </w:tc>
        <w:tc>
          <w:tcPr>
            <w:tcW w:w="1237" w:type="dxa"/>
            <w:vMerge w:val="restart"/>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基础能</w:t>
            </w:r>
          </w:p>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力支撑</w:t>
            </w:r>
          </w:p>
        </w:tc>
        <w:tc>
          <w:tcPr>
            <w:tcW w:w="1065" w:type="dxa"/>
            <w:vMerge w:val="restart"/>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人工服务保障</w:t>
            </w:r>
          </w:p>
        </w:tc>
        <w:tc>
          <w:tcPr>
            <w:tcW w:w="951" w:type="dxa"/>
            <w:vMerge w:val="restart"/>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其他服务保障</w:t>
            </w:r>
          </w:p>
        </w:tc>
        <w:tc>
          <w:tcPr>
            <w:tcW w:w="1136" w:type="dxa"/>
            <w:vMerge w:val="continue"/>
            <w:vAlign w:val="center"/>
          </w:tcPr>
          <w:p>
            <w:pPr>
              <w:widowControl/>
              <w:jc w:val="left"/>
              <w:rPr>
                <w:rFonts w:ascii="黑体" w:hAnsi="黑体" w:eastAsia="黑体" w:cs="宋体"/>
                <w:b/>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674" w:type="dxa"/>
            <w:vMerge w:val="continue"/>
            <w:vAlign w:val="center"/>
          </w:tcPr>
          <w:p>
            <w:pPr>
              <w:widowControl/>
              <w:jc w:val="left"/>
              <w:rPr>
                <w:rFonts w:ascii="黑体" w:hAnsi="黑体" w:eastAsia="黑体" w:cs="宋体"/>
                <w:b/>
                <w:bCs/>
                <w:color w:val="000000"/>
                <w:kern w:val="0"/>
                <w:szCs w:val="21"/>
                <w:highlight w:val="none"/>
              </w:rPr>
            </w:pPr>
          </w:p>
        </w:tc>
        <w:tc>
          <w:tcPr>
            <w:tcW w:w="971" w:type="dxa"/>
            <w:vMerge w:val="continue"/>
            <w:vAlign w:val="center"/>
          </w:tcPr>
          <w:p>
            <w:pPr>
              <w:widowControl/>
              <w:jc w:val="left"/>
              <w:rPr>
                <w:rFonts w:ascii="黑体" w:hAnsi="黑体" w:eastAsia="黑体" w:cs="宋体"/>
                <w:b/>
                <w:bCs/>
                <w:color w:val="000000"/>
                <w:kern w:val="0"/>
                <w:szCs w:val="21"/>
                <w:highlight w:val="none"/>
              </w:rPr>
            </w:pPr>
          </w:p>
        </w:tc>
        <w:tc>
          <w:tcPr>
            <w:tcW w:w="503" w:type="dxa"/>
            <w:vMerge w:val="continue"/>
            <w:vAlign w:val="center"/>
          </w:tcPr>
          <w:p>
            <w:pPr>
              <w:widowControl/>
              <w:jc w:val="left"/>
              <w:rPr>
                <w:rFonts w:ascii="黑体" w:hAnsi="黑体" w:eastAsia="黑体" w:cs="宋体"/>
                <w:b/>
                <w:bCs/>
                <w:color w:val="000000"/>
                <w:kern w:val="0"/>
                <w:szCs w:val="21"/>
                <w:highlight w:val="none"/>
              </w:rPr>
            </w:pPr>
          </w:p>
        </w:tc>
        <w:tc>
          <w:tcPr>
            <w:tcW w:w="1475" w:type="dxa"/>
            <w:vMerge w:val="continue"/>
            <w:vAlign w:val="center"/>
          </w:tcPr>
          <w:p>
            <w:pPr>
              <w:widowControl/>
              <w:jc w:val="left"/>
              <w:rPr>
                <w:rFonts w:ascii="黑体" w:hAnsi="黑体" w:eastAsia="黑体" w:cs="宋体"/>
                <w:b/>
                <w:bCs/>
                <w:color w:val="000000"/>
                <w:kern w:val="0"/>
                <w:szCs w:val="21"/>
                <w:highlight w:val="none"/>
              </w:rPr>
            </w:pPr>
          </w:p>
        </w:tc>
        <w:tc>
          <w:tcPr>
            <w:tcW w:w="2941" w:type="dxa"/>
            <w:gridSpan w:val="3"/>
            <w:vMerge w:val="continue"/>
            <w:vAlign w:val="center"/>
          </w:tcPr>
          <w:p>
            <w:pPr>
              <w:widowControl/>
              <w:jc w:val="left"/>
              <w:rPr>
                <w:rFonts w:ascii="黑体" w:hAnsi="黑体" w:eastAsia="黑体" w:cs="宋体"/>
                <w:b/>
                <w:bCs/>
                <w:color w:val="000000"/>
                <w:kern w:val="0"/>
                <w:szCs w:val="21"/>
                <w:highlight w:val="none"/>
              </w:rPr>
            </w:pPr>
          </w:p>
        </w:tc>
        <w:tc>
          <w:tcPr>
            <w:tcW w:w="887" w:type="dxa"/>
            <w:vMerge w:val="continue"/>
            <w:vAlign w:val="center"/>
          </w:tcPr>
          <w:p>
            <w:pPr>
              <w:widowControl/>
              <w:jc w:val="left"/>
              <w:rPr>
                <w:rFonts w:ascii="黑体" w:hAnsi="黑体" w:eastAsia="黑体" w:cs="宋体"/>
                <w:b/>
                <w:bCs/>
                <w:color w:val="000000"/>
                <w:kern w:val="0"/>
                <w:szCs w:val="21"/>
                <w:highlight w:val="none"/>
              </w:rPr>
            </w:pPr>
          </w:p>
        </w:tc>
        <w:tc>
          <w:tcPr>
            <w:tcW w:w="924" w:type="dxa"/>
            <w:vMerge w:val="continue"/>
            <w:vAlign w:val="center"/>
          </w:tcPr>
          <w:p>
            <w:pPr>
              <w:widowControl/>
              <w:jc w:val="left"/>
              <w:rPr>
                <w:rFonts w:ascii="黑体" w:hAnsi="黑体" w:eastAsia="黑体" w:cs="宋体"/>
                <w:b/>
                <w:bCs/>
                <w:color w:val="000000"/>
                <w:kern w:val="0"/>
                <w:szCs w:val="21"/>
                <w:highlight w:val="none"/>
              </w:rPr>
            </w:pPr>
          </w:p>
        </w:tc>
        <w:tc>
          <w:tcPr>
            <w:tcW w:w="951" w:type="dxa"/>
            <w:vMerge w:val="continue"/>
            <w:vAlign w:val="center"/>
          </w:tcPr>
          <w:p>
            <w:pPr>
              <w:widowControl/>
              <w:jc w:val="left"/>
              <w:rPr>
                <w:rFonts w:ascii="黑体" w:hAnsi="黑体" w:eastAsia="黑体" w:cs="宋体"/>
                <w:b/>
                <w:bCs/>
                <w:color w:val="000000"/>
                <w:kern w:val="0"/>
                <w:szCs w:val="21"/>
                <w:highlight w:val="none"/>
              </w:rPr>
            </w:pPr>
          </w:p>
        </w:tc>
        <w:tc>
          <w:tcPr>
            <w:tcW w:w="2746" w:type="dxa"/>
            <w:gridSpan w:val="3"/>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（带难度系数的新增与迭代的数量总和）</w:t>
            </w:r>
          </w:p>
        </w:tc>
        <w:tc>
          <w:tcPr>
            <w:tcW w:w="1237" w:type="dxa"/>
            <w:vMerge w:val="continue"/>
            <w:vAlign w:val="center"/>
          </w:tcPr>
          <w:p>
            <w:pPr>
              <w:widowControl/>
              <w:jc w:val="left"/>
              <w:rPr>
                <w:rFonts w:ascii="黑体" w:hAnsi="黑体" w:eastAsia="黑体" w:cs="宋体"/>
                <w:b/>
                <w:bCs/>
                <w:color w:val="000000"/>
                <w:kern w:val="0"/>
                <w:szCs w:val="21"/>
                <w:highlight w:val="none"/>
              </w:rPr>
            </w:pPr>
          </w:p>
        </w:tc>
        <w:tc>
          <w:tcPr>
            <w:tcW w:w="1065" w:type="dxa"/>
            <w:vMerge w:val="continue"/>
            <w:vAlign w:val="center"/>
          </w:tcPr>
          <w:p>
            <w:pPr>
              <w:widowControl/>
              <w:jc w:val="left"/>
              <w:rPr>
                <w:rFonts w:ascii="黑体" w:hAnsi="黑体" w:eastAsia="黑体" w:cs="宋体"/>
                <w:b/>
                <w:bCs/>
                <w:color w:val="000000"/>
                <w:kern w:val="0"/>
                <w:szCs w:val="21"/>
                <w:highlight w:val="none"/>
              </w:rPr>
            </w:pPr>
          </w:p>
        </w:tc>
        <w:tc>
          <w:tcPr>
            <w:tcW w:w="951" w:type="dxa"/>
            <w:vMerge w:val="continue"/>
            <w:vAlign w:val="center"/>
          </w:tcPr>
          <w:p>
            <w:pPr>
              <w:widowControl/>
              <w:jc w:val="left"/>
              <w:rPr>
                <w:rFonts w:ascii="黑体" w:hAnsi="黑体" w:eastAsia="黑体" w:cs="宋体"/>
                <w:b/>
                <w:bCs/>
                <w:color w:val="000000"/>
                <w:kern w:val="0"/>
                <w:szCs w:val="21"/>
                <w:highlight w:val="none"/>
              </w:rPr>
            </w:pPr>
          </w:p>
        </w:tc>
        <w:tc>
          <w:tcPr>
            <w:tcW w:w="1136" w:type="dxa"/>
            <w:vMerge w:val="continue"/>
            <w:vAlign w:val="center"/>
          </w:tcPr>
          <w:p>
            <w:pPr>
              <w:widowControl/>
              <w:jc w:val="left"/>
              <w:rPr>
                <w:rFonts w:ascii="黑体" w:hAnsi="黑体" w:eastAsia="黑体" w:cs="宋体"/>
                <w:b/>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674" w:type="dxa"/>
            <w:vMerge w:val="continue"/>
            <w:vAlign w:val="center"/>
          </w:tcPr>
          <w:p>
            <w:pPr>
              <w:widowControl/>
              <w:jc w:val="left"/>
              <w:rPr>
                <w:rFonts w:ascii="黑体" w:hAnsi="黑体" w:eastAsia="黑体" w:cs="宋体"/>
                <w:b/>
                <w:bCs/>
                <w:color w:val="000000"/>
                <w:kern w:val="0"/>
                <w:szCs w:val="21"/>
                <w:highlight w:val="none"/>
              </w:rPr>
            </w:pPr>
          </w:p>
        </w:tc>
        <w:tc>
          <w:tcPr>
            <w:tcW w:w="971" w:type="dxa"/>
            <w:vMerge w:val="continue"/>
            <w:vAlign w:val="center"/>
          </w:tcPr>
          <w:p>
            <w:pPr>
              <w:widowControl/>
              <w:jc w:val="left"/>
              <w:rPr>
                <w:rFonts w:ascii="黑体" w:hAnsi="黑体" w:eastAsia="黑体" w:cs="宋体"/>
                <w:b/>
                <w:bCs/>
                <w:color w:val="000000"/>
                <w:kern w:val="0"/>
                <w:szCs w:val="21"/>
                <w:highlight w:val="none"/>
              </w:rPr>
            </w:pPr>
          </w:p>
        </w:tc>
        <w:tc>
          <w:tcPr>
            <w:tcW w:w="503" w:type="dxa"/>
            <w:vMerge w:val="continue"/>
            <w:vAlign w:val="center"/>
          </w:tcPr>
          <w:p>
            <w:pPr>
              <w:widowControl/>
              <w:jc w:val="left"/>
              <w:rPr>
                <w:rFonts w:ascii="黑体" w:hAnsi="黑体" w:eastAsia="黑体" w:cs="宋体"/>
                <w:b/>
                <w:bCs/>
                <w:color w:val="000000"/>
                <w:kern w:val="0"/>
                <w:szCs w:val="21"/>
                <w:highlight w:val="none"/>
              </w:rPr>
            </w:pPr>
          </w:p>
        </w:tc>
        <w:tc>
          <w:tcPr>
            <w:tcW w:w="1475" w:type="dxa"/>
            <w:vMerge w:val="continue"/>
            <w:vAlign w:val="center"/>
          </w:tcPr>
          <w:p>
            <w:pPr>
              <w:widowControl/>
              <w:jc w:val="left"/>
              <w:rPr>
                <w:rFonts w:ascii="黑体" w:hAnsi="黑体" w:eastAsia="黑体" w:cs="宋体"/>
                <w:b/>
                <w:bCs/>
                <w:color w:val="000000"/>
                <w:kern w:val="0"/>
                <w:szCs w:val="21"/>
                <w:highlight w:val="none"/>
              </w:rPr>
            </w:pPr>
          </w:p>
        </w:tc>
        <w:tc>
          <w:tcPr>
            <w:tcW w:w="898" w:type="dxa"/>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PC端</w:t>
            </w:r>
          </w:p>
        </w:tc>
        <w:tc>
          <w:tcPr>
            <w:tcW w:w="931" w:type="dxa"/>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移动端</w:t>
            </w:r>
          </w:p>
        </w:tc>
        <w:tc>
          <w:tcPr>
            <w:tcW w:w="1112" w:type="dxa"/>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自助终端</w:t>
            </w:r>
          </w:p>
        </w:tc>
        <w:tc>
          <w:tcPr>
            <w:tcW w:w="887" w:type="dxa"/>
            <w:vMerge w:val="continue"/>
            <w:vAlign w:val="center"/>
          </w:tcPr>
          <w:p>
            <w:pPr>
              <w:widowControl/>
              <w:jc w:val="left"/>
              <w:rPr>
                <w:rFonts w:ascii="黑体" w:hAnsi="黑体" w:eastAsia="黑体" w:cs="宋体"/>
                <w:b/>
                <w:bCs/>
                <w:color w:val="000000"/>
                <w:kern w:val="0"/>
                <w:szCs w:val="21"/>
                <w:highlight w:val="none"/>
              </w:rPr>
            </w:pPr>
          </w:p>
        </w:tc>
        <w:tc>
          <w:tcPr>
            <w:tcW w:w="924" w:type="dxa"/>
            <w:vMerge w:val="continue"/>
            <w:vAlign w:val="center"/>
          </w:tcPr>
          <w:p>
            <w:pPr>
              <w:widowControl/>
              <w:jc w:val="left"/>
              <w:rPr>
                <w:rFonts w:ascii="黑体" w:hAnsi="黑体" w:eastAsia="黑体" w:cs="宋体"/>
                <w:b/>
                <w:bCs/>
                <w:color w:val="000000"/>
                <w:kern w:val="0"/>
                <w:szCs w:val="21"/>
                <w:highlight w:val="none"/>
              </w:rPr>
            </w:pPr>
          </w:p>
        </w:tc>
        <w:tc>
          <w:tcPr>
            <w:tcW w:w="951" w:type="dxa"/>
            <w:vMerge w:val="continue"/>
            <w:vAlign w:val="center"/>
          </w:tcPr>
          <w:p>
            <w:pPr>
              <w:widowControl/>
              <w:jc w:val="left"/>
              <w:rPr>
                <w:rFonts w:ascii="黑体" w:hAnsi="黑体" w:eastAsia="黑体" w:cs="宋体"/>
                <w:b/>
                <w:bCs/>
                <w:color w:val="000000"/>
                <w:kern w:val="0"/>
                <w:szCs w:val="21"/>
                <w:highlight w:val="none"/>
              </w:rPr>
            </w:pPr>
          </w:p>
        </w:tc>
        <w:tc>
          <w:tcPr>
            <w:tcW w:w="779" w:type="dxa"/>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PC端</w:t>
            </w:r>
          </w:p>
        </w:tc>
        <w:tc>
          <w:tcPr>
            <w:tcW w:w="894" w:type="dxa"/>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移动端</w:t>
            </w:r>
          </w:p>
        </w:tc>
        <w:tc>
          <w:tcPr>
            <w:tcW w:w="1073" w:type="dxa"/>
            <w:shd w:val="clear" w:color="auto" w:fill="D8D8D8"/>
            <w:vAlign w:val="center"/>
          </w:tcPr>
          <w:p>
            <w:pPr>
              <w:widowControl/>
              <w:jc w:val="center"/>
              <w:rPr>
                <w:rFonts w:ascii="黑体" w:hAnsi="黑体" w:eastAsia="黑体" w:cs="宋体"/>
                <w:b/>
                <w:bCs/>
                <w:color w:val="000000"/>
                <w:kern w:val="0"/>
                <w:szCs w:val="21"/>
                <w:highlight w:val="none"/>
              </w:rPr>
            </w:pPr>
            <w:r>
              <w:rPr>
                <w:rFonts w:hint="eastAsia" w:ascii="黑体" w:hAnsi="黑体" w:eastAsia="黑体" w:cs="宋体"/>
                <w:b/>
                <w:bCs/>
                <w:color w:val="000000"/>
                <w:kern w:val="0"/>
                <w:szCs w:val="21"/>
                <w:highlight w:val="none"/>
              </w:rPr>
              <w:t>自助终端</w:t>
            </w:r>
          </w:p>
        </w:tc>
        <w:tc>
          <w:tcPr>
            <w:tcW w:w="1237" w:type="dxa"/>
            <w:vMerge w:val="continue"/>
            <w:vAlign w:val="center"/>
          </w:tcPr>
          <w:p>
            <w:pPr>
              <w:widowControl/>
              <w:jc w:val="left"/>
              <w:rPr>
                <w:rFonts w:ascii="黑体" w:hAnsi="黑体" w:eastAsia="黑体" w:cs="宋体"/>
                <w:b/>
                <w:bCs/>
                <w:color w:val="000000"/>
                <w:kern w:val="0"/>
                <w:szCs w:val="21"/>
                <w:highlight w:val="none"/>
              </w:rPr>
            </w:pPr>
          </w:p>
        </w:tc>
        <w:tc>
          <w:tcPr>
            <w:tcW w:w="1065" w:type="dxa"/>
            <w:vMerge w:val="continue"/>
            <w:vAlign w:val="center"/>
          </w:tcPr>
          <w:p>
            <w:pPr>
              <w:widowControl/>
              <w:jc w:val="left"/>
              <w:rPr>
                <w:rFonts w:ascii="黑体" w:hAnsi="黑体" w:eastAsia="黑体" w:cs="宋体"/>
                <w:b/>
                <w:bCs/>
                <w:color w:val="000000"/>
                <w:kern w:val="0"/>
                <w:szCs w:val="21"/>
                <w:highlight w:val="none"/>
              </w:rPr>
            </w:pPr>
          </w:p>
        </w:tc>
        <w:tc>
          <w:tcPr>
            <w:tcW w:w="951" w:type="dxa"/>
            <w:vMerge w:val="continue"/>
            <w:vAlign w:val="center"/>
          </w:tcPr>
          <w:p>
            <w:pPr>
              <w:widowControl/>
              <w:jc w:val="left"/>
              <w:rPr>
                <w:rFonts w:ascii="黑体" w:hAnsi="黑体" w:eastAsia="黑体" w:cs="宋体"/>
                <w:b/>
                <w:bCs/>
                <w:color w:val="000000"/>
                <w:kern w:val="0"/>
                <w:szCs w:val="21"/>
                <w:highlight w:val="none"/>
              </w:rPr>
            </w:pPr>
          </w:p>
        </w:tc>
        <w:tc>
          <w:tcPr>
            <w:tcW w:w="1136" w:type="dxa"/>
            <w:vMerge w:val="continue"/>
            <w:vAlign w:val="center"/>
          </w:tcPr>
          <w:p>
            <w:pPr>
              <w:widowControl/>
              <w:jc w:val="left"/>
              <w:rPr>
                <w:rFonts w:ascii="黑体" w:hAnsi="黑体" w:eastAsia="黑体" w:cs="宋体"/>
                <w:b/>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4" w:type="dxa"/>
            <w:vMerge w:val="restart"/>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服务内容接入</w:t>
            </w:r>
          </w:p>
        </w:tc>
        <w:tc>
          <w:tcPr>
            <w:tcW w:w="971" w:type="dxa"/>
            <w:vMerge w:val="restart"/>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政务服务事项</w:t>
            </w: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单部门事项接入</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45000</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72000</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45000</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340</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444</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75</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vMerge w:val="continue"/>
            <w:vAlign w:val="center"/>
          </w:tcPr>
          <w:p>
            <w:pPr>
              <w:widowControl/>
              <w:jc w:val="left"/>
              <w:rPr>
                <w:rFonts w:ascii="黑体" w:hAnsi="黑体" w:eastAsia="黑体" w:cs="宋体"/>
                <w:color w:val="000000"/>
                <w:kern w:val="0"/>
                <w:szCs w:val="21"/>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跨省通办事项接入</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80000</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120000</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80000</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35</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7</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46</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vMerge w:val="continue"/>
            <w:vAlign w:val="center"/>
          </w:tcPr>
          <w:p>
            <w:pPr>
              <w:widowControl/>
              <w:jc w:val="left"/>
              <w:rPr>
                <w:rFonts w:ascii="黑体" w:hAnsi="黑体" w:eastAsia="黑体" w:cs="宋体"/>
                <w:color w:val="000000"/>
                <w:kern w:val="0"/>
                <w:szCs w:val="21"/>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3</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国家政务服务平台事项接入</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28000</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44800</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w:t>
            </w:r>
            <w:r>
              <w:rPr>
                <w:rFonts w:hint="eastAsia" w:ascii="黑体" w:hAnsi="黑体" w:eastAsia="黑体" w:cs="宋体"/>
                <w:color w:val="000000"/>
                <w:kern w:val="0"/>
                <w:szCs w:val="21"/>
                <w:highlight w:val="none"/>
                <w:lang w:val="en-US" w:eastAsia="zh-CN"/>
              </w:rPr>
              <w:t>0</w:t>
            </w:r>
            <w:r>
              <w:rPr>
                <w:rFonts w:hint="eastAsia" w:ascii="黑体" w:hAnsi="黑体" w:eastAsia="黑体" w:cs="宋体"/>
                <w:color w:val="000000"/>
                <w:kern w:val="0"/>
                <w:szCs w:val="21"/>
                <w:highlight w:val="none"/>
              </w:rPr>
              <w:t>2</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256</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市民和企业专属空间</w:t>
            </w: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4</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个性化档案专属服务接入</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6000</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8000</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120</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120</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/类档案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shd w:val="clear" w:color="auto" w:fill="auto"/>
            <w:vAlign w:val="center"/>
          </w:tcPr>
          <w:p>
            <w:pPr>
              <w:widowControl/>
              <w:jc w:val="center"/>
              <w:rPr>
                <w:rFonts w:hint="eastAsia" w:ascii="黑体" w:hAnsi="黑体" w:eastAsia="黑体" w:cs="宋体"/>
                <w:color w:val="000000"/>
                <w:kern w:val="0"/>
                <w:szCs w:val="21"/>
                <w:highlight w:val="none"/>
                <w:lang w:eastAsia="zh-CN"/>
              </w:rPr>
            </w:pPr>
            <w:r>
              <w:rPr>
                <w:rFonts w:hint="eastAsia" w:ascii="黑体" w:hAnsi="黑体" w:eastAsia="黑体" w:cs="宋体"/>
                <w:color w:val="000000"/>
                <w:kern w:val="0"/>
                <w:szCs w:val="21"/>
                <w:highlight w:val="none"/>
              </w:rPr>
              <w:t>高效办成</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一件事</w:t>
            </w:r>
            <w:r>
              <w:rPr>
                <w:rFonts w:hint="eastAsia" w:ascii="黑体" w:hAnsi="黑体" w:eastAsia="黑体" w:cs="宋体"/>
                <w:color w:val="000000"/>
                <w:kern w:val="0"/>
                <w:szCs w:val="21"/>
                <w:highlight w:val="none"/>
                <w:lang w:eastAsia="zh-CN"/>
              </w:rPr>
              <w:t>”</w:t>
            </w: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5</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一件事</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业务流程再造及跨部门跨层级跨区域协同应用接入</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500000</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700000</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19</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8</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/个一件事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场景化主题式服务</w:t>
            </w: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6</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精选主题专栏、专版、专区、专题、频道、版块接入</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50000</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50000</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13</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132</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74" w:type="dxa"/>
            <w:vMerge w:val="restart"/>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服务能力支撑</w:t>
            </w:r>
          </w:p>
        </w:tc>
        <w:tc>
          <w:tcPr>
            <w:tcW w:w="971" w:type="dxa"/>
            <w:shd w:val="clear" w:color="auto" w:fill="auto"/>
            <w:vAlign w:val="center"/>
          </w:tcPr>
          <w:p>
            <w:pPr>
              <w:widowControl/>
              <w:jc w:val="center"/>
              <w:rPr>
                <w:rFonts w:hint="eastAsia" w:ascii="黑体" w:hAnsi="黑体" w:eastAsia="黑体" w:cs="宋体"/>
                <w:color w:val="000000"/>
                <w:kern w:val="0"/>
                <w:szCs w:val="21"/>
                <w:highlight w:val="none"/>
                <w:lang w:eastAsia="zh-CN"/>
              </w:rPr>
            </w:pPr>
            <w:r>
              <w:rPr>
                <w:rFonts w:hint="eastAsia" w:ascii="黑体" w:hAnsi="黑体" w:eastAsia="黑体" w:cs="宋体"/>
                <w:color w:val="000000"/>
                <w:kern w:val="0"/>
                <w:szCs w:val="21"/>
                <w:highlight w:val="none"/>
              </w:rPr>
              <w:t>AI+</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一网通办</w:t>
            </w:r>
            <w:r>
              <w:rPr>
                <w:rFonts w:hint="eastAsia" w:ascii="黑体" w:hAnsi="黑体" w:eastAsia="黑体" w:cs="宋体"/>
                <w:color w:val="000000"/>
                <w:kern w:val="0"/>
                <w:szCs w:val="21"/>
                <w:highlight w:val="none"/>
                <w:lang w:eastAsia="zh-CN"/>
              </w:rPr>
              <w:t>”</w:t>
            </w: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7</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AI+一网通办</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服务模型建模（精准化、主动化、智能化服务）</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95000</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129</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城市码</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（随申码）</w:t>
            </w: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8</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城市码</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（随申码）应用场景拓展及能力支撑</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0.07</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350000000</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/次接口调用量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vMerge w:val="restart"/>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一网通办</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平台基础服务能力支撑</w:t>
            </w: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9</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统一用户体系（身份认证）对接及能力支撑</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0.004</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1440000000</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/次接口调用量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vMerge w:val="continue"/>
            <w:vAlign w:val="center"/>
          </w:tcPr>
          <w:p>
            <w:pPr>
              <w:widowControl/>
              <w:jc w:val="left"/>
              <w:rPr>
                <w:rFonts w:ascii="黑体" w:hAnsi="黑体" w:eastAsia="黑体" w:cs="宋体"/>
                <w:color w:val="000000"/>
                <w:kern w:val="0"/>
                <w:szCs w:val="21"/>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10</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统一检索平台对接及能力支撑</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0.04</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120000000</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/次接口调用量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vMerge w:val="continue"/>
            <w:vAlign w:val="center"/>
          </w:tcPr>
          <w:p>
            <w:pPr>
              <w:widowControl/>
              <w:jc w:val="left"/>
              <w:rPr>
                <w:rFonts w:ascii="黑体" w:hAnsi="黑体" w:eastAsia="黑体" w:cs="宋体"/>
                <w:color w:val="000000"/>
                <w:kern w:val="0"/>
                <w:szCs w:val="21"/>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11</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政策及免申即享消息推送对接及能力支撑</w:t>
            </w:r>
          </w:p>
        </w:tc>
        <w:tc>
          <w:tcPr>
            <w:tcW w:w="898" w:type="dxa"/>
            <w:shd w:val="clear" w:color="auto" w:fill="auto"/>
            <w:noWrap/>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noWrap/>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noWrap/>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0.2</w:t>
            </w:r>
          </w:p>
        </w:tc>
        <w:tc>
          <w:tcPr>
            <w:tcW w:w="924" w:type="dxa"/>
            <w:shd w:val="clear" w:color="auto" w:fill="auto"/>
            <w:noWrap/>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noWrap/>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noWrap/>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noWrap/>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noWrap/>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noWrap/>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8000000</w:t>
            </w:r>
          </w:p>
        </w:tc>
        <w:tc>
          <w:tcPr>
            <w:tcW w:w="1065" w:type="dxa"/>
            <w:shd w:val="clear" w:color="auto" w:fill="auto"/>
            <w:noWrap/>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noWrap/>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/次接口调用量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vMerge w:val="continue"/>
            <w:vAlign w:val="center"/>
          </w:tcPr>
          <w:p>
            <w:pPr>
              <w:widowControl/>
              <w:jc w:val="left"/>
              <w:rPr>
                <w:rFonts w:ascii="黑体" w:hAnsi="黑体" w:eastAsia="黑体" w:cs="宋体"/>
                <w:color w:val="000000"/>
                <w:kern w:val="0"/>
                <w:szCs w:val="21"/>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12</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电子证照库对接及能力支撑</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60000</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40</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/类证照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vMerge w:val="continue"/>
            <w:vAlign w:val="center"/>
          </w:tcPr>
          <w:p>
            <w:pPr>
              <w:widowControl/>
              <w:jc w:val="left"/>
              <w:rPr>
                <w:rFonts w:ascii="黑体" w:hAnsi="黑体" w:eastAsia="黑体" w:cs="宋体"/>
                <w:color w:val="000000"/>
                <w:kern w:val="0"/>
                <w:szCs w:val="21"/>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13</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统一服务中台对接及事项办理能力支撑</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4800</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600</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vMerge w:val="continue"/>
            <w:vAlign w:val="center"/>
          </w:tcPr>
          <w:p>
            <w:pPr>
              <w:widowControl/>
              <w:jc w:val="left"/>
              <w:rPr>
                <w:rFonts w:ascii="黑体" w:hAnsi="黑体" w:eastAsia="黑体" w:cs="宋体"/>
                <w:color w:val="000000"/>
                <w:kern w:val="0"/>
                <w:szCs w:val="21"/>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14</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统一预约平台（政务服务地图）对接及能力支撑</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2500</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500</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/个办理点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vMerge w:val="continue"/>
            <w:vAlign w:val="center"/>
          </w:tcPr>
          <w:p>
            <w:pPr>
              <w:widowControl/>
              <w:jc w:val="left"/>
              <w:rPr>
                <w:rFonts w:ascii="黑体" w:hAnsi="黑体" w:eastAsia="黑体" w:cs="宋体"/>
                <w:color w:val="000000"/>
                <w:kern w:val="0"/>
                <w:szCs w:val="21"/>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15</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统一知识库对接及能力支撑</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120</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40000</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/个词条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vMerge w:val="continue"/>
            <w:vAlign w:val="center"/>
          </w:tcPr>
          <w:p>
            <w:pPr>
              <w:widowControl/>
              <w:jc w:val="left"/>
              <w:rPr>
                <w:rFonts w:ascii="黑体" w:hAnsi="黑体" w:eastAsia="黑体" w:cs="宋体"/>
                <w:color w:val="000000"/>
                <w:kern w:val="0"/>
                <w:szCs w:val="21"/>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16</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统一支付平台对接及能力支撑</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48000</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50</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/个支付场景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vMerge w:val="continue"/>
            <w:vAlign w:val="center"/>
          </w:tcPr>
          <w:p>
            <w:pPr>
              <w:widowControl/>
              <w:jc w:val="left"/>
              <w:rPr>
                <w:rFonts w:ascii="黑体" w:hAnsi="黑体" w:eastAsia="黑体" w:cs="宋体"/>
                <w:color w:val="000000"/>
                <w:kern w:val="0"/>
                <w:szCs w:val="21"/>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17</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统一物流平台对接及能力支撑</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1900</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50</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/个物流场景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74" w:type="dxa"/>
            <w:vMerge w:val="restart"/>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其他服务保障</w:t>
            </w:r>
          </w:p>
        </w:tc>
        <w:tc>
          <w:tcPr>
            <w:tcW w:w="971" w:type="dxa"/>
            <w:shd w:val="clear" w:color="auto" w:fill="auto"/>
            <w:noWrap/>
            <w:vAlign w:val="center"/>
          </w:tcPr>
          <w:p>
            <w:pPr>
              <w:widowControl/>
              <w:jc w:val="left"/>
              <w:rPr>
                <w:rFonts w:ascii="宋体" w:hAnsi="宋体" w:eastAsia="宋体" w:cs="宋体"/>
                <w:color w:val="000000"/>
                <w:kern w:val="0"/>
                <w:sz w:val="22"/>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18</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中国上海</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门户网站运营（综合业务服务、英文版运营）</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20000</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370</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shd w:val="clear" w:color="auto" w:fill="auto"/>
            <w:noWrap/>
            <w:vAlign w:val="center"/>
          </w:tcPr>
          <w:p>
            <w:pPr>
              <w:widowControl/>
              <w:jc w:val="left"/>
              <w:rPr>
                <w:rFonts w:ascii="宋体" w:hAnsi="宋体" w:eastAsia="宋体" w:cs="宋体"/>
                <w:color w:val="000000"/>
                <w:kern w:val="0"/>
                <w:sz w:val="22"/>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19</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随申码</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（亲属码）人工审核</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20000</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80</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shd w:val="clear" w:color="auto" w:fill="auto"/>
            <w:noWrap/>
            <w:vAlign w:val="center"/>
          </w:tcPr>
          <w:p>
            <w:pPr>
              <w:widowControl/>
              <w:jc w:val="left"/>
              <w:rPr>
                <w:rFonts w:ascii="宋体" w:hAnsi="宋体" w:eastAsia="宋体" w:cs="宋体"/>
                <w:color w:val="000000"/>
                <w:kern w:val="0"/>
                <w:sz w:val="22"/>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20</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一网通办</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在线客服技术支持</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20000</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492</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shd w:val="clear" w:color="auto" w:fill="auto"/>
            <w:noWrap/>
            <w:vAlign w:val="center"/>
          </w:tcPr>
          <w:p>
            <w:pPr>
              <w:widowControl/>
              <w:jc w:val="left"/>
              <w:rPr>
                <w:rFonts w:ascii="宋体" w:hAnsi="宋体" w:eastAsia="宋体" w:cs="宋体"/>
                <w:color w:val="000000"/>
                <w:kern w:val="0"/>
                <w:sz w:val="22"/>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21</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一网通办</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服务能力决策分析</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20000</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336</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shd w:val="clear" w:color="auto" w:fill="auto"/>
            <w:noWrap/>
            <w:vAlign w:val="center"/>
          </w:tcPr>
          <w:p>
            <w:pPr>
              <w:widowControl/>
              <w:jc w:val="left"/>
              <w:rPr>
                <w:rFonts w:ascii="宋体" w:hAnsi="宋体" w:eastAsia="宋体" w:cs="宋体"/>
                <w:color w:val="000000"/>
                <w:kern w:val="0"/>
                <w:sz w:val="22"/>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22</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一网通办</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用户体验设计</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20000</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85</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shd w:val="clear" w:color="auto" w:fill="auto"/>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一网通办</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平台日常运营保障</w:t>
            </w: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23</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一网通办</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政务服务</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好差评</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审核分析</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20000</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250</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shd w:val="clear" w:color="auto" w:fill="auto"/>
            <w:noWrap/>
            <w:vAlign w:val="center"/>
          </w:tcPr>
          <w:p>
            <w:pPr>
              <w:widowControl/>
              <w:jc w:val="left"/>
              <w:rPr>
                <w:rFonts w:ascii="宋体" w:hAnsi="宋体" w:eastAsia="宋体" w:cs="宋体"/>
                <w:color w:val="000000"/>
                <w:kern w:val="0"/>
                <w:sz w:val="22"/>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24</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一网通办</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事项库与办件库（主题申报库）保障</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20000</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hint="default" w:ascii="黑体" w:hAnsi="黑体" w:eastAsia="黑体" w:cs="宋体"/>
                <w:color w:val="000000"/>
                <w:kern w:val="0"/>
                <w:szCs w:val="21"/>
                <w:highlight w:val="none"/>
                <w:lang w:val="en-US" w:eastAsia="zh-CN"/>
              </w:rPr>
            </w:pPr>
            <w:r>
              <w:rPr>
                <w:rFonts w:hint="eastAsia" w:ascii="黑体" w:hAnsi="黑体" w:eastAsia="黑体" w:cs="宋体"/>
                <w:color w:val="000000"/>
                <w:kern w:val="0"/>
                <w:szCs w:val="21"/>
                <w:highlight w:val="none"/>
              </w:rPr>
              <w:t>3</w:t>
            </w:r>
            <w:r>
              <w:rPr>
                <w:rFonts w:hint="eastAsia" w:ascii="黑体" w:hAnsi="黑体" w:eastAsia="黑体" w:cs="宋体"/>
                <w:color w:val="000000"/>
                <w:kern w:val="0"/>
                <w:szCs w:val="21"/>
                <w:highlight w:val="none"/>
                <w:lang w:val="en-US" w:eastAsia="zh-CN"/>
              </w:rPr>
              <w:t>60</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shd w:val="clear" w:color="auto" w:fill="auto"/>
            <w:noWrap/>
            <w:vAlign w:val="center"/>
          </w:tcPr>
          <w:p>
            <w:pPr>
              <w:widowControl/>
              <w:jc w:val="left"/>
              <w:rPr>
                <w:rFonts w:ascii="宋体" w:hAnsi="宋体" w:eastAsia="宋体" w:cs="宋体"/>
                <w:color w:val="000000"/>
                <w:kern w:val="0"/>
                <w:sz w:val="22"/>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25</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一网通办</w:t>
            </w:r>
            <w:r>
              <w:rPr>
                <w:rFonts w:hint="eastAsia" w:ascii="黑体" w:hAnsi="黑体" w:eastAsia="黑体" w:cs="宋体"/>
                <w:color w:val="000000"/>
                <w:kern w:val="0"/>
                <w:szCs w:val="21"/>
                <w:highlight w:val="none"/>
                <w:lang w:eastAsia="zh-CN"/>
              </w:rPr>
              <w:t>”</w:t>
            </w:r>
            <w:r>
              <w:rPr>
                <w:rFonts w:hint="eastAsia" w:ascii="黑体" w:hAnsi="黑体" w:eastAsia="黑体" w:cs="宋体"/>
                <w:color w:val="000000"/>
                <w:kern w:val="0"/>
                <w:szCs w:val="21"/>
                <w:highlight w:val="none"/>
              </w:rPr>
              <w:t>平台运行保障</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20000</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hint="default" w:ascii="黑体" w:hAnsi="黑体" w:eastAsia="黑体" w:cs="宋体"/>
                <w:color w:val="000000"/>
                <w:kern w:val="0"/>
                <w:szCs w:val="21"/>
                <w:highlight w:val="none"/>
                <w:lang w:val="en-US" w:eastAsia="zh-CN"/>
              </w:rPr>
            </w:pPr>
            <w:r>
              <w:rPr>
                <w:rFonts w:hint="eastAsia" w:ascii="黑体" w:hAnsi="黑体" w:eastAsia="黑体" w:cs="宋体"/>
                <w:color w:val="000000"/>
                <w:kern w:val="0"/>
                <w:szCs w:val="21"/>
                <w:highlight w:val="none"/>
              </w:rPr>
              <w:t>7</w:t>
            </w:r>
            <w:r>
              <w:rPr>
                <w:rFonts w:hint="eastAsia" w:ascii="黑体" w:hAnsi="黑体" w:eastAsia="黑体" w:cs="宋体"/>
                <w:color w:val="000000"/>
                <w:kern w:val="0"/>
                <w:szCs w:val="21"/>
                <w:highlight w:val="none"/>
                <w:lang w:val="en-US" w:eastAsia="zh-CN"/>
              </w:rPr>
              <w:t>42</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vMerge w:val="restart"/>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安全保障</w:t>
            </w: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26</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安全服务保障</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20000</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hint="default" w:ascii="黑体" w:hAnsi="黑体" w:eastAsia="黑体" w:cs="宋体"/>
                <w:color w:val="000000"/>
                <w:kern w:val="0"/>
                <w:szCs w:val="21"/>
                <w:highlight w:val="none"/>
                <w:lang w:val="en-US" w:eastAsia="zh-CN"/>
              </w:rPr>
            </w:pPr>
            <w:r>
              <w:rPr>
                <w:rFonts w:hint="eastAsia" w:ascii="黑体" w:hAnsi="黑体" w:eastAsia="黑体" w:cs="宋体"/>
                <w:color w:val="000000"/>
                <w:kern w:val="0"/>
                <w:szCs w:val="21"/>
                <w:highlight w:val="none"/>
              </w:rPr>
              <w:t>2</w:t>
            </w:r>
            <w:r>
              <w:rPr>
                <w:rFonts w:hint="eastAsia" w:ascii="黑体" w:hAnsi="黑体" w:eastAsia="黑体" w:cs="宋体"/>
                <w:color w:val="000000"/>
                <w:kern w:val="0"/>
                <w:szCs w:val="21"/>
                <w:highlight w:val="none"/>
                <w:lang w:val="en-US" w:eastAsia="zh-CN"/>
              </w:rPr>
              <w:t>05</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vMerge w:val="continue"/>
            <w:vAlign w:val="center"/>
          </w:tcPr>
          <w:p>
            <w:pPr>
              <w:widowControl/>
              <w:jc w:val="left"/>
              <w:rPr>
                <w:rFonts w:ascii="黑体" w:hAnsi="黑体" w:eastAsia="黑体" w:cs="宋体"/>
                <w:color w:val="000000"/>
                <w:kern w:val="0"/>
                <w:szCs w:val="21"/>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27</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安全等保测评</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lang w:val="en-US" w:eastAsia="zh-CN"/>
              </w:rPr>
              <w:t>25</w:t>
            </w:r>
            <w:r>
              <w:rPr>
                <w:rFonts w:hint="eastAsia" w:ascii="黑体" w:hAnsi="黑体" w:eastAsia="黑体" w:cs="宋体"/>
                <w:color w:val="000000"/>
                <w:kern w:val="0"/>
                <w:szCs w:val="21"/>
                <w:highlight w:val="none"/>
              </w:rPr>
              <w:t>00000</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1</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/次（覆盖约30个子平台、子系统）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vMerge w:val="continue"/>
            <w:vAlign w:val="center"/>
          </w:tcPr>
          <w:p>
            <w:pPr>
              <w:widowControl/>
              <w:jc w:val="left"/>
              <w:rPr>
                <w:rFonts w:ascii="黑体" w:hAnsi="黑体" w:eastAsia="黑体" w:cs="宋体"/>
                <w:color w:val="000000"/>
                <w:kern w:val="0"/>
                <w:szCs w:val="21"/>
                <w:highlight w:val="none"/>
              </w:rPr>
            </w:pP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28</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安全审计分析</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30000</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40</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/个系统/次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Merge w:val="continue"/>
            <w:vAlign w:val="center"/>
          </w:tcPr>
          <w:p>
            <w:pPr>
              <w:widowControl/>
              <w:jc w:val="left"/>
              <w:rPr>
                <w:rFonts w:ascii="黑体" w:hAnsi="黑体" w:eastAsia="黑体" w:cs="宋体"/>
                <w:color w:val="000000"/>
                <w:kern w:val="0"/>
                <w:szCs w:val="21"/>
                <w:highlight w:val="none"/>
              </w:rPr>
            </w:pPr>
          </w:p>
        </w:tc>
        <w:tc>
          <w:tcPr>
            <w:tcW w:w="97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短信服务保障</w:t>
            </w:r>
          </w:p>
        </w:tc>
        <w:tc>
          <w:tcPr>
            <w:tcW w:w="50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29</w:t>
            </w:r>
          </w:p>
        </w:tc>
        <w:tc>
          <w:tcPr>
            <w:tcW w:w="147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短信提醒</w:t>
            </w:r>
          </w:p>
        </w:tc>
        <w:tc>
          <w:tcPr>
            <w:tcW w:w="898"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3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112"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8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2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0.05</w:t>
            </w:r>
          </w:p>
        </w:tc>
        <w:tc>
          <w:tcPr>
            <w:tcW w:w="779"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894"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73"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237"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1065"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w:t>
            </w:r>
          </w:p>
        </w:tc>
        <w:tc>
          <w:tcPr>
            <w:tcW w:w="951"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2124000</w:t>
            </w:r>
          </w:p>
        </w:tc>
        <w:tc>
          <w:tcPr>
            <w:tcW w:w="1136" w:type="dxa"/>
            <w:shd w:val="clear" w:color="auto" w:fill="auto"/>
            <w:vAlign w:val="center"/>
          </w:tcPr>
          <w:p>
            <w:pPr>
              <w:widowControl/>
              <w:jc w:val="center"/>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/条</w:t>
            </w:r>
          </w:p>
        </w:tc>
      </w:tr>
    </w:tbl>
    <w:p>
      <w:pPr>
        <w:widowControl/>
        <w:rPr>
          <w:rFonts w:ascii="楷体_GB2312" w:hAnsi="黑体" w:eastAsia="楷体_GB2312"/>
          <w:sz w:val="28"/>
          <w:szCs w:val="28"/>
          <w:highlight w:val="none"/>
        </w:rPr>
      </w:pPr>
    </w:p>
    <w:p>
      <w:pPr>
        <w:widowControl/>
        <w:spacing w:line="360" w:lineRule="auto"/>
        <w:jc w:val="left"/>
        <w:rPr>
          <w:rFonts w:ascii="Times New Roman" w:hAnsi="Times New Roman" w:eastAsia="楷体_GB2312"/>
          <w:b/>
          <w:sz w:val="32"/>
          <w:szCs w:val="32"/>
          <w:highlight w:val="none"/>
        </w:rPr>
      </w:pPr>
    </w:p>
    <w:p>
      <w:pPr>
        <w:widowControl/>
        <w:spacing w:line="360" w:lineRule="auto"/>
        <w:ind w:firstLine="640" w:firstLineChars="200"/>
        <w:jc w:val="left"/>
        <w:outlineLvl w:val="1"/>
        <w:rPr>
          <w:rFonts w:ascii="Times New Roman" w:hAnsi="Times New Roman" w:eastAsia="仿宋_GB2312"/>
          <w:sz w:val="32"/>
          <w:szCs w:val="32"/>
          <w:highlight w:val="none"/>
        </w:rPr>
        <w:sectPr>
          <w:pgSz w:w="16838" w:h="11906" w:orient="landscape"/>
          <w:pgMar w:top="1797" w:right="1440" w:bottom="1797" w:left="1440" w:header="851" w:footer="992" w:gutter="0"/>
          <w:cols w:space="425" w:num="1"/>
          <w:docGrid w:linePitch="312" w:charSpace="0"/>
        </w:sectPr>
      </w:pPr>
    </w:p>
    <w:p>
      <w:pPr>
        <w:widowControl/>
        <w:spacing w:line="360" w:lineRule="auto"/>
        <w:ind w:firstLine="640" w:firstLineChars="200"/>
        <w:jc w:val="left"/>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七、项目运营要求</w:t>
      </w:r>
    </w:p>
    <w:p>
      <w:pPr>
        <w:widowControl/>
        <w:spacing w:line="360" w:lineRule="auto"/>
        <w:ind w:firstLine="643" w:firstLineChars="200"/>
        <w:jc w:val="left"/>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（一）技术运营要求</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1）服务功能可用</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提供服务内容的质量和口碑，所有面向企业群众的相关办事服务功能以及面向工作人员的办公应用、业务应用、工具应用等都应做到稳定、可用、可靠、安全，供应商应确保做到所有相关平台系统7*24小时运行稳定，做好定期巡检及运行监控，为用户提供高效、便捷的在线服务体验（因服务升级维护或其他特殊原因而导致的服务停用情况除外）。</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2）系统性能稳定</w:t>
      </w:r>
    </w:p>
    <w:p>
      <w:pPr>
        <w:spacing w:line="360" w:lineRule="auto"/>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为保障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的长效平稳运行，供应商应确保平台所有相关子系统或提供的相关接口服务稳定可靠、性能良好。同时，供应商应持续优化平台架构，充分考虑容灾备份及异常容错机制，确保平台的稳定性、健壮性及可靠性，保障提供服务不断不乱。</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3）需求理解准确</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提供的服务内容在业务层面符合相关法律法规及业务流程要求，供应商在开展相关服务内容接入工作前，应进行详细、深入、全面的业务需求调研，做到需求理解准确到位，后期的技术对接工作应根据前期确定的需求进行实施，确保所有</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提供的服务内容满足业务需求。</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4）界面风格统一</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平台提供的服务内容在各渠道前端交互界面的用户视觉效果统一，为用户呈现流畅、规范、美观的视觉效果，供应商应根据</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的总体工作要求以及相关的统一界面UI规范标准，针对各端服务渠道的前端用户人机交互界面进行设计，保持统一的风格、色调和样式，界面布局排版也应遵循相关界面UI规范标准进行设计。</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5）信息内容准确</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bookmarkStart w:id="1" w:name="OLE_LINK5"/>
      <w:bookmarkStart w:id="2" w:name="OLE_LINK6"/>
      <w:bookmarkStart w:id="3" w:name="OLE_LINK4"/>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w:t>
      </w:r>
      <w:bookmarkEnd w:id="1"/>
      <w:bookmarkEnd w:id="2"/>
      <w:bookmarkEnd w:id="3"/>
      <w:r>
        <w:rPr>
          <w:rFonts w:ascii="Times New Roman" w:hAnsi="Times New Roman" w:eastAsia="仿宋_GB2312" w:cs="Times New Roman"/>
          <w:sz w:val="32"/>
          <w:szCs w:val="32"/>
          <w:highlight w:val="none"/>
        </w:rPr>
        <w:t>提供服务内容的权威性和专业性，供应商在提供服务内容时，应根据业务要求做到业务流程完整、信息内容准确、文字表述规范，不引起歧义，不误导用户。</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6）用户体验良好</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提供服务内容的一流用户体验，供应商应从用户使用视角出发，在提供服务内容时做到服务稳定可用、功能操作便捷、界面布局合理、风格亲民和谐、文字通俗易懂、图片清晰可见。此外，在移动端提供相关服务内容时，应确保服务的前端人机交互界面具备良好的兼容性和适配性，为用户提供优质、流畅的掌办服务体验。</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7）数据质量达标</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提供服务内容的精确性、准确性与完整性，同时满足国家及本市相关的考核要求，供应商在开展运营服务工作时，应确保相关服务内容的数据信息（如办件信息、证照信息、组织架构信息、人员信息、通讯录信息、电子文件等）质量达标，确保相关数据信息的完整性和准确性，符合国家及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的相关标准要求。</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8）服务方式合规</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提供服务内容的规范性与合规性，符合有关法律法规要求，供应商在开展运营服务工作时，针对所有涉及展现或使用相关用户隐私信息的应用服务，应设置相关用户授权环节，并根据国家及本市的有关法律法规（如个人信息保护法）和工作要求，在获得用户的授权同意后进行展现或调用，以确保提供服务的合规性及合法性，切实做到用户知情同意，保护用户信息隐私安全。</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9）平台部署到位</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为保障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平台提供服务的平稳高效，相关子平台、子系统以及功能应用均应在本市市级电子政务云环境下进行部署，部分子平台、子系统应根据要求在本市市级电子政务的XC云环境下进行部署。</w:t>
      </w:r>
    </w:p>
    <w:p>
      <w:pPr>
        <w:spacing w:line="360" w:lineRule="auto"/>
        <w:ind w:firstLine="643" w:firstLineChars="200"/>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（二）服务保障要求</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在本运营服务项目中，供应商应按照项目采购单位的相关要求，提供优质、专业、高效的保障服务，做到及时响应、及时转化、及时兑现，并履行相关服务保障责任和义务，以满足项目采购单位提出的所有与本项目相关的运营服务需求。</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1）服务质量要求</w:t>
      </w:r>
    </w:p>
    <w:p>
      <w:pPr>
        <w:spacing w:line="360" w:lineRule="auto"/>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供应商应根据项目采购单位的要求，按时、保质、保量地完成各项与本项目相关的运营服务内容，确保</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三个满足</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即做到满足业务标准要求、满足应用安全要求以及满足用户使用需求。同时，供应商应在开展运营服务的过程中做好相关过程材料的整理、分类和留档，为后续项目采购单位开展项目绩效考评及日常管理等工作打好基础。供应商应在投标文件中响应上述服务质量要求。</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2）服务时间要求</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供应商应根据项目采购单位的要求，按需提供7×24小时的全方位运营保障服务。其中，在正常工作时间段，供应商应按照要求提供至少5×9小时的现场驻场服务，在项目采购单位指定的项目现场开展相关运营服务工作；在相关国家及本市的重要节日或国家法定节假日期间，供应商应根据项目采购单位的要求提供相关重点保障服务，范围覆盖平台、应用、数据、安全等各方面，形式包括现场驻场保障或远程保障等。供应商应在投标文件中响应上述服务时间要求。</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3）服务团队要求</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供应商应按照项目采购单位要求，提供充足的运营团队与人员支撑保障，成立相关项目运营服务团队提供现场驻场服务以及重要用户保障服务，并在项目运营服务团队人员确定后，保持服务团队的稳定，针对其中的核心或骨干运营服务人员，在未经项目采购单位许可后不得私自调整。此外，供应商应按照项目采购单位的相关场地管理要求，做好驻场运营服务团队人员的日常管理。</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一是人员数量要求。</w:t>
      </w:r>
      <w:r>
        <w:rPr>
          <w:rFonts w:ascii="Times New Roman" w:hAnsi="Times New Roman" w:eastAsia="仿宋_GB2312" w:cs="Times New Roman"/>
          <w:sz w:val="32"/>
          <w:szCs w:val="32"/>
          <w:highlight w:val="none"/>
        </w:rPr>
        <w:t>本项目不允许对外分包部分的相关运营服务工作内容（具体详见本招标需求的第八章</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项目分包说明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分包范围说明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部分）要求供应商提供不少于</w:t>
      </w:r>
      <w:r>
        <w:rPr>
          <w:rFonts w:hint="eastAsia" w:ascii="Times New Roman" w:hAnsi="Times New Roman" w:eastAsia="仿宋_GB2312" w:cs="Times New Roman"/>
          <w:sz w:val="32"/>
          <w:szCs w:val="32"/>
          <w:highlight w:val="none"/>
        </w:rPr>
        <w:t>350</w:t>
      </w:r>
      <w:r>
        <w:rPr>
          <w:rFonts w:ascii="Times New Roman" w:hAnsi="Times New Roman" w:eastAsia="仿宋_GB2312" w:cs="Times New Roman"/>
          <w:sz w:val="32"/>
          <w:szCs w:val="32"/>
          <w:highlight w:val="none"/>
        </w:rPr>
        <w:t>人且具有相关运营服务项目经验的保障人员，该数量要求为参与投标的供应商所应至少提供的服务团队人数，无论本项目是否分包，供应商在中标后都应提供与本项目预估工作量要求相匹配的运营团队人数，以保障本项目以及本市</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各项工作任务的高效有序推进。在供应商提供的</w:t>
      </w:r>
      <w:r>
        <w:rPr>
          <w:rFonts w:hint="eastAsia" w:ascii="Times New Roman" w:hAnsi="Times New Roman" w:eastAsia="仿宋_GB2312" w:cs="Times New Roman"/>
          <w:sz w:val="32"/>
          <w:szCs w:val="32"/>
          <w:highlight w:val="none"/>
        </w:rPr>
        <w:t>35</w:t>
      </w:r>
      <w:r>
        <w:rPr>
          <w:rFonts w:ascii="Times New Roman" w:hAnsi="Times New Roman" w:eastAsia="仿宋_GB2312" w:cs="Times New Roman"/>
          <w:sz w:val="32"/>
          <w:szCs w:val="32"/>
          <w:highlight w:val="none"/>
        </w:rPr>
        <w:t>0名保障人员中，一是应提供不少于1</w:t>
      </w:r>
      <w:r>
        <w:rPr>
          <w:rFonts w:hint="eastAsia"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0人的现场驻场保障服务；二是应成立不少于</w:t>
      </w: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0人的应急响应保障团队以应对突发事件和紧急情况。供应商联合投标的，运营服务团队人员的人数总和应满足本项目对于人员保障的人数要求，且提供现场驻场服务的项目运营服务团队应由各联合投标供应商的服务保障人员共同组成。供应商在投标时应同步提交运营服务团队的相关人员名单、对应的社保缴纳证明以及对运营服务团队人员数量作出承诺的加盖公章的承诺函（由于本项目对提供运营服务团队的保障人员数量要求较多，针对上述要求的所有相关电子证明材料，如供应商在政府采购平台进行投标时无法全量进行上传，可将相关材料全量刻录在可进行现场演示的U盘等数据存储介质中，并在投标截止日前作为投标材料的组成部分之一同步提交至上海市政府采购中心）。社保缴纳证明应由参与投标的供应商（含联合体）提供，由分包商提供的无效。</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二是人员资质要求。</w:t>
      </w:r>
      <w:r>
        <w:rPr>
          <w:rFonts w:ascii="Times New Roman" w:hAnsi="Times New Roman" w:eastAsia="仿宋_GB2312" w:cs="Times New Roman"/>
          <w:sz w:val="32"/>
          <w:szCs w:val="32"/>
          <w:highlight w:val="none"/>
        </w:rPr>
        <w:t>本项目具有较高的专业性和复杂性，为了确保项目的顺利实施，要求供应商提供的运营服务保障人员须符合本项目对于人员资质的各项要求。本项目要求提供</w:t>
      </w: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名项目负责人，需在电子政务相关项目领域工作年限不少于10年，同时具备高级资质或职称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以及研究生及以上学历，</w:t>
      </w:r>
      <w:r>
        <w:rPr>
          <w:rFonts w:hint="eastAsia" w:ascii="Times New Roman" w:hAnsi="Times New Roman" w:eastAsia="仿宋_GB2312" w:cs="Times New Roman"/>
          <w:sz w:val="32"/>
          <w:szCs w:val="32"/>
          <w:highlight w:val="none"/>
        </w:rPr>
        <w:t>并</w:t>
      </w:r>
      <w:r>
        <w:rPr>
          <w:rFonts w:ascii="Times New Roman" w:hAnsi="Times New Roman" w:eastAsia="仿宋_GB2312" w:cs="Times New Roman"/>
          <w:sz w:val="32"/>
          <w:szCs w:val="32"/>
          <w:highlight w:val="none"/>
        </w:rPr>
        <w:t>具有</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w:t>
      </w:r>
      <w:r>
        <w:rPr>
          <w:rFonts w:hint="eastAsia" w:ascii="Times New Roman" w:hAnsi="Times New Roman" w:eastAsia="仿宋_GB2312" w:cs="Times New Roman"/>
          <w:sz w:val="32"/>
          <w:szCs w:val="32"/>
          <w:highlight w:val="none"/>
          <w:lang w:eastAsia="zh-CN"/>
        </w:rPr>
        <w:t>或全流程一体化政务在线服务平台</w:t>
      </w:r>
      <w:r>
        <w:rPr>
          <w:rFonts w:ascii="Times New Roman" w:hAnsi="Times New Roman" w:eastAsia="仿宋_GB2312" w:cs="Times New Roman"/>
          <w:sz w:val="32"/>
          <w:szCs w:val="32"/>
          <w:highlight w:val="none"/>
        </w:rPr>
        <w:t>相关丰富的项目管理与服务经验。在供应商提供的项目运营服务团队中，具备高级资质或职称的服务保障人员数量应不少于3</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人，具备中级以上（含中级）资质或职称的服务保障人员数量应不少于</w:t>
      </w: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5人。供应商联合投标的，具备高级、中级资质或职称的服务保障人员总数应满足要求，可由各联合投标供应商的服务保障人员共同组成。供应商在投标时须同步提供相关人员真实有效的资质或职称证明（注：本项目所要求的高级、中级资质或职称人员是指持有由中华人民共和国人力资源和社会保障部、中华人民共和国工业和信息化部、</w:t>
      </w:r>
      <w:r>
        <w:rPr>
          <w:rFonts w:hint="eastAsia" w:ascii="Times New Roman" w:hAnsi="Times New Roman" w:eastAsia="仿宋_GB2312" w:cs="Times New Roman"/>
          <w:sz w:val="32"/>
          <w:szCs w:val="32"/>
          <w:highlight w:val="none"/>
        </w:rPr>
        <w:t>各省（直辖市）</w:t>
      </w:r>
      <w:r>
        <w:rPr>
          <w:rFonts w:ascii="Times New Roman" w:hAnsi="Times New Roman" w:eastAsia="仿宋_GB2312" w:cs="Times New Roman"/>
          <w:sz w:val="32"/>
          <w:szCs w:val="32"/>
          <w:highlight w:val="none"/>
        </w:rPr>
        <w:t>人力资源和社会保障</w:t>
      </w:r>
      <w:r>
        <w:rPr>
          <w:rFonts w:hint="eastAsia" w:ascii="Times New Roman" w:hAnsi="Times New Roman" w:eastAsia="仿宋_GB2312" w:cs="Times New Roman"/>
          <w:sz w:val="32"/>
          <w:szCs w:val="32"/>
          <w:highlight w:val="none"/>
        </w:rPr>
        <w:t>厅（局）</w:t>
      </w:r>
      <w:r>
        <w:rPr>
          <w:rFonts w:ascii="Times New Roman" w:hAnsi="Times New Roman" w:eastAsia="仿宋_GB2312" w:cs="Times New Roman"/>
          <w:sz w:val="32"/>
          <w:szCs w:val="32"/>
          <w:highlight w:val="none"/>
        </w:rPr>
        <w:t>等国家或</w:t>
      </w:r>
      <w:r>
        <w:rPr>
          <w:rFonts w:hint="eastAsia" w:ascii="Times New Roman" w:hAnsi="Times New Roman" w:eastAsia="仿宋_GB2312" w:cs="Times New Roman"/>
          <w:color w:val="auto"/>
          <w:sz w:val="32"/>
          <w:szCs w:val="32"/>
          <w:highlight w:val="none"/>
          <w:lang w:eastAsia="zh-CN"/>
        </w:rPr>
        <w:t>行业管理部门</w:t>
      </w:r>
      <w:r>
        <w:rPr>
          <w:rFonts w:ascii="Times New Roman" w:hAnsi="Times New Roman" w:eastAsia="仿宋_GB2312" w:cs="Times New Roman"/>
          <w:color w:val="auto"/>
          <w:sz w:val="32"/>
          <w:szCs w:val="32"/>
          <w:highlight w:val="none"/>
        </w:rPr>
        <w:t>所颁发的计算机信息技术相关领域的高级、中级资质或职称证书的人员</w:t>
      </w:r>
      <w:r>
        <w:rPr>
          <w:rFonts w:hint="eastAsia" w:ascii="Times New Roman" w:hAnsi="Times New Roman" w:eastAsia="仿宋_GB2312" w:cs="Times New Roman"/>
          <w:color w:val="auto"/>
          <w:sz w:val="32"/>
          <w:szCs w:val="32"/>
          <w:highlight w:val="none"/>
          <w:lang w:eastAsia="zh-CN"/>
        </w:rPr>
        <w:t>（通过评聘、考试方式取得）</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包括但不限于项目管理师、系统架构师、网络工程师、软件工程师等属于国家认可的高级、中级资质或职称。非计算机信息技术相关领域的高级、中级资质或职称将不予认可）。供应商联合投标的，对项目运营服务团队中每家供应商符合资质或职称要求的人员数量和比例不做限制，只需符合资质或职称要求的人员总数满足上述要求即可（由于本项目对提供运营服务团队的保障人员数量要求较多，针对本项目所要求的所有运营服务团队人员的相关电子证明材料，包括社保缴纳及资质职称证明等，如供应商在政府采购平台进行投标时无法全量进行上传，可将上述材料全量刻录在用于进行现场演示的U盘等数据存储介质中并在投标截止日前同步提交至上海市政府采购中心）。</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三是组织架构要求。</w:t>
      </w:r>
      <w:r>
        <w:rPr>
          <w:rFonts w:ascii="Times New Roman" w:hAnsi="Times New Roman" w:eastAsia="仿宋_GB2312" w:cs="Times New Roman"/>
          <w:sz w:val="32"/>
          <w:szCs w:val="32"/>
          <w:highlight w:val="none"/>
        </w:rPr>
        <w:t>供应商应符合本项目的人员组织架构要求，所提供的项目运营服务团队的人员组织架构应确保完整、合理，应在运营服务团队中下设各个工作小组，如项目实施交付组、平台架构规划组、业务需求梳理组、产品功能设计组、技术研发支持组、平台运维管理组、日常运营管理组、辅助分析决策组、客服问题处理组、用户服务保障组、应用推广培训组、安全应急保障组等，各工作小组应明确人员的角色岗位及对应的职责分工，并做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专岗专人，定岗定责</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同时，应明确各工作小组的主要负责人员，落实主体工作责任。供应商在投标时应明确运营服务团队中的组织架构与保障人员信息，具体包含工作小组、人员姓名、角色岗位、人员数量和工作职责等。其中，项目实施交付人员要求不少于30人，平台架构规划人员要求不少于10人，业务需求梳理人员要求不少于40人，产品功能设计人员要求不少于30人，技术研发支持人员要求不少于</w:t>
      </w:r>
      <w:r>
        <w:rPr>
          <w:rFonts w:hint="eastAsia" w:ascii="Times New Roman" w:hAnsi="Times New Roman" w:eastAsia="仿宋_GB2312" w:cs="Times New Roman"/>
          <w:sz w:val="32"/>
          <w:szCs w:val="32"/>
          <w:highlight w:val="none"/>
        </w:rPr>
        <w:t>9</w:t>
      </w:r>
      <w:r>
        <w:rPr>
          <w:rFonts w:ascii="Times New Roman" w:hAnsi="Times New Roman" w:eastAsia="仿宋_GB2312" w:cs="Times New Roman"/>
          <w:sz w:val="32"/>
          <w:szCs w:val="32"/>
          <w:highlight w:val="none"/>
        </w:rPr>
        <w:t>0人，平台运维管理人员要求不少于30人，日常运营管理保障人员要求不少于40人，辅助分析决策人员要求不少于2</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人，客服问题处理人员要求不少于30人，用户服务保障人员要求不少于</w:t>
      </w:r>
      <w:r>
        <w:rPr>
          <w:rFonts w:hint="eastAsia" w:ascii="Times New Roman" w:hAnsi="Times New Roman" w:eastAsia="仿宋_GB2312" w:cs="Times New Roman"/>
          <w:sz w:val="32"/>
          <w:szCs w:val="32"/>
          <w:highlight w:val="none"/>
        </w:rPr>
        <w:t>20</w:t>
      </w:r>
      <w:r>
        <w:rPr>
          <w:rFonts w:ascii="Times New Roman" w:hAnsi="Times New Roman" w:eastAsia="仿宋_GB2312" w:cs="Times New Roman"/>
          <w:sz w:val="32"/>
          <w:szCs w:val="32"/>
          <w:highlight w:val="none"/>
        </w:rPr>
        <w:t>人，应用推广培训人员要求不少于1</w:t>
      </w:r>
      <w:r>
        <w:rPr>
          <w:rFonts w:hint="eastAsia" w:ascii="Times New Roman" w:hAnsi="Times New Roman" w:eastAsia="仿宋_GB2312" w:cs="Times New Roman"/>
          <w:sz w:val="32"/>
          <w:szCs w:val="32"/>
          <w:highlight w:val="none"/>
        </w:rPr>
        <w:t>0</w:t>
      </w:r>
      <w:r>
        <w:rPr>
          <w:rFonts w:ascii="Times New Roman" w:hAnsi="Times New Roman" w:eastAsia="仿宋_GB2312" w:cs="Times New Roman"/>
          <w:sz w:val="32"/>
          <w:szCs w:val="32"/>
          <w:highlight w:val="none"/>
        </w:rPr>
        <w:t>人，安全应急保障人员要求不少于</w:t>
      </w: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5人。此外，在中标后，供应商运营服务团队的项目负责人以及其中各工作小组的主要负责人员在没有取得项目采购单位的同意前不得随意更换。</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四是人员管理要求。</w:t>
      </w:r>
      <w:r>
        <w:rPr>
          <w:rFonts w:ascii="Times New Roman" w:hAnsi="Times New Roman" w:eastAsia="仿宋_GB2312" w:cs="Times New Roman"/>
          <w:sz w:val="32"/>
          <w:szCs w:val="32"/>
          <w:highlight w:val="none"/>
        </w:rPr>
        <w:t>供应商</w:t>
      </w:r>
      <w:r>
        <w:rPr>
          <w:rFonts w:hint="eastAsia" w:ascii="Times New Roman" w:hAnsi="Times New Roman" w:eastAsia="仿宋_GB2312" w:cs="Times New Roman"/>
          <w:sz w:val="32"/>
          <w:szCs w:val="32"/>
          <w:highlight w:val="none"/>
          <w:lang w:eastAsia="zh-CN"/>
        </w:rPr>
        <w:t>在中标后</w:t>
      </w:r>
      <w:r>
        <w:rPr>
          <w:rFonts w:ascii="Times New Roman" w:hAnsi="Times New Roman" w:eastAsia="仿宋_GB2312" w:cs="Times New Roman"/>
          <w:sz w:val="32"/>
          <w:szCs w:val="32"/>
          <w:highlight w:val="none"/>
        </w:rPr>
        <w:t>应遵照项目采购单位的相关运营服务供应商管理办法以及运营服务外包人员管理细则等要求，实施对服务外包人员的监督管理工作，履行对进场运营服务外包人员的培训、指导和现场管理责任，并</w:t>
      </w:r>
      <w:r>
        <w:rPr>
          <w:rFonts w:hint="eastAsia" w:ascii="Times New Roman" w:hAnsi="Times New Roman" w:eastAsia="仿宋_GB2312" w:cs="Times New Roman"/>
          <w:sz w:val="32"/>
          <w:szCs w:val="32"/>
          <w:highlight w:val="none"/>
        </w:rPr>
        <w:t>在开展运营服务前</w:t>
      </w:r>
      <w:r>
        <w:rPr>
          <w:rFonts w:ascii="Times New Roman" w:hAnsi="Times New Roman" w:eastAsia="仿宋_GB2312" w:cs="Times New Roman"/>
          <w:sz w:val="32"/>
          <w:szCs w:val="32"/>
          <w:highlight w:val="none"/>
        </w:rPr>
        <w:t>根据采购单位要求与在现场提供运营服务的人员签订</w:t>
      </w:r>
      <w:r>
        <w:rPr>
          <w:rFonts w:hint="eastAsia" w:ascii="Times New Roman" w:hAnsi="Times New Roman" w:eastAsia="仿宋_GB2312" w:cs="Times New Roman"/>
          <w:sz w:val="32"/>
          <w:szCs w:val="32"/>
          <w:highlight w:val="none"/>
        </w:rPr>
        <w:t>《个人保密协议》（注：该《个人保密协议》由供应商的相关运营服务人员按照项目采购单位要求完成个人签署后统一提交至项目采购单位，在投标材料中无需提供）</w:t>
      </w:r>
      <w:r>
        <w:rPr>
          <w:rFonts w:ascii="Times New Roman" w:hAnsi="Times New Roman" w:eastAsia="仿宋_GB2312" w:cs="Times New Roman"/>
          <w:sz w:val="32"/>
          <w:szCs w:val="32"/>
          <w:highlight w:val="none"/>
        </w:rPr>
        <w:t>，确保进场的相关运营服务外包人员知晓并认可采购单位的各项管理流程制度及工作规范要求，并承诺在服务过程中严格遵守。运营服务外包人员在现场驻场工作期间应严格遵守采购单位的出入管理、行为规范、安全管理、出勤管理等相关规定，若运营服务外包人员因违反相关保密义务、工作规范或有其他重大违规行为而被要求退场的，则供应商不得在本项目中使用。</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4）服务能力要求</w:t>
      </w:r>
    </w:p>
    <w:p>
      <w:pPr>
        <w:spacing w:line="360" w:lineRule="auto"/>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根据本项目运营工作需要，供应商应具有专业、一流的常态化服务能力与风险应急处置能力，须按照项目采购单位的实际需求，提供现场驻场的运营服务保障，及时、按需、有效、快速地响应由项目采购单位提出的所有与本项目运营服务工作相关的运营需求。</w:t>
      </w:r>
      <w:r>
        <w:rPr>
          <w:rFonts w:ascii="Times New Roman" w:hAnsi="Times New Roman" w:eastAsia="仿宋_GB2312" w:cs="Times New Roman"/>
          <w:sz w:val="32"/>
          <w:szCs w:val="32"/>
          <w:highlight w:val="none"/>
        </w:rPr>
        <w:t>其中，针对项目采购单位提出的相关运营工作需求，供应商应在5分钟内作出响应；针对在运营过程中出现的相关平台系统或服务功能问题，供应商应在15分钟内作出响应并安排相关专业的运营团队或技术团队人员抵达项目采购单位办公地点现场开展相关问题处置工作（一般问题要求2小时内解决，严重问题要求30分钟内解决，无法立即解决的，要求在1小时内形成解决方案并在4小时内解决）。供应商应在投标文件中响应上述服务能力要求。</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外，由于本项目的重要性和特殊性，为切实保障供应商对本项目提供现场驻场服务的响应时间、工作效率以及驻场服务人员的职业操守、思想品质等各方面满足本项目的需求，供应商在投标时应同步提交加盖公章的现场驻场服务质量保障承诺函，并在函中明确作出所有现场驻场提供运营服务人员的无犯罪记录和在本市合法居住的承诺。</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5）服务经验要求</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由于本项目的重要性、复杂性及特殊性，需要供应商在电子政务领域拥有较为丰富的相关项目服务经验，对于以往直接参与过运营、保障、服务全流程一体化在线政务服务平台相关项目并且具有丰富类似项目服务经验的供应商将予以优先考虑。供应商可在投标时提供所参与的真实、有效的类似业绩项目案例进行说明。</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6）组织培训要求</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供应商应具备提供专业培训服务的能力，能够根据</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工作特点制定针对性的培训方案并协助项目采购单位组织相关培训工作，以满足项目采购单位与全市各单位相关工作对接人员和操作人员的平台系统使用需求。供应商应定期或不定期地组织各类运营服务人员进行培训、学习、考核，以保证相关运营服务人员能够有效地理解和熟练地掌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运营服务工作的各类技术要求和管理要求。供应商应在投标文件中提供详细的培训方案。</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7）服务响应要求</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在开展运营服务工作中，供应商应对项目采购单位提出的相关工作要求做到及时响应和限时处理。同时，供应商应在投标文件中向项目采购单位作出无推诿的服务响应承诺。即供应商应提供相关保障措施，当无论由于哪一方产生的问题而使系统或服务功能发生不正常情况时，在接到项目采购单位通知后，应全力配合其他相关服务供应商共同排查解决，尽快使相关平台系统或服务功能恢复正常。</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一是日常及时响应。</w:t>
      </w:r>
      <w:r>
        <w:rPr>
          <w:rFonts w:ascii="Times New Roman" w:hAnsi="Times New Roman" w:eastAsia="仿宋_GB2312" w:cs="Times New Roman"/>
          <w:sz w:val="32"/>
          <w:szCs w:val="32"/>
          <w:highlight w:val="none"/>
        </w:rPr>
        <w:t>在开展日常运营服务工作中，供应商应提供5×9小时的日常运营服务和应急响应服务（国定节假日除外），并根据项目采购单位要求能够做到及时响应。</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二是问题处置响应。</w:t>
      </w:r>
      <w:r>
        <w:rPr>
          <w:rFonts w:ascii="Times New Roman" w:hAnsi="Times New Roman" w:eastAsia="仿宋_GB2312" w:cs="Times New Roman"/>
          <w:sz w:val="32"/>
          <w:szCs w:val="32"/>
          <w:highlight w:val="none"/>
        </w:rPr>
        <w:t>在开展运营服务工作过程中，当相关服务内容发生问题需要进行处置时，供应商应根据服务内容故障不同级别，争取在下述相应的规定时间内解决问题：</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a.一般性咨询问题，应当及时予以解答；</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b.服务内容出现问题但不影响业务的正常运行时，接到用户问题15分钟内做出明确响应和安排，2小时内解决问题；</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c.服务内容出现严重问题影响业务的正常运行时，供应商应在接到项目采购单位反映的问题后5分钟内做出明确响应和应急处置（如服务紧急下架），并在30分钟内解决问题，确保服务恢复正常运行。问题无法立即解决的，应在1小时内协同相关部门共同形成解决方案，并在4小时内解决问题后恢复服务的正常运行。</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三是紧急故障响应。</w:t>
      </w:r>
      <w:r>
        <w:rPr>
          <w:rFonts w:ascii="Times New Roman" w:hAnsi="Times New Roman" w:eastAsia="仿宋_GB2312" w:cs="Times New Roman"/>
          <w:sz w:val="32"/>
          <w:szCs w:val="32"/>
          <w:highlight w:val="none"/>
        </w:rPr>
        <w:t>供应商应明确承诺服务的响应时间，并提供成熟、完善的应急解决方案，并不得低于以下标准：1）应明确相应的应急联络人，并提供7×24电话服务同时确保电话畅通；2）接到项目采购单位报修通知后5分钟内做出明确响应和应急处置，并在30分钟内排除紧急故障并恢复系统或服务的正常运行；3）如出现重大系统故障短时间内无法恢复系统服务的，供应商应立即向项目采购单位进行报备，并在第一时间启动应急预案，同步启用备份系统（如有），同时在1小时内形成技术解决方案，4小时内排除故障，恢复相关平台系统或服务的正常运行。此外，在排除故障后供应商应同步形成问题故障报告向项目采购单位进行报备说明。</w:t>
      </w:r>
    </w:p>
    <w:p>
      <w:pPr>
        <w:widowControl/>
        <w:spacing w:line="360" w:lineRule="auto"/>
        <w:ind w:firstLine="643" w:firstLineChars="200"/>
        <w:jc w:val="left"/>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（三）安全防护要求</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1）确保数据安全</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一是数据安全管理。</w:t>
      </w:r>
      <w:r>
        <w:rPr>
          <w:rFonts w:ascii="Times New Roman" w:hAnsi="Times New Roman" w:eastAsia="仿宋_GB2312" w:cs="Times New Roman"/>
          <w:sz w:val="32"/>
          <w:szCs w:val="32"/>
          <w:highlight w:val="none"/>
        </w:rPr>
        <w:t>为确保本项目相关数据和信息安全，供应商在日常开展运营服务工作过程中，应根据国家及本市相关法律规定，严格按照项目采购单位的有关要求，制定相关完善的数据安全管理的规范和细则，对服务内容所涉及的敏感信息数据进行安全存储，对敏感信息数据的操作和使用进行安全管理，必要时，应对相关敏感信息数据进行加密存储。相关数据信息存储的数据库访问密钥应由项目采购单位统一进行管理，并定期对密钥信息进行更新。供应商在获得项目采购单位的授权和同意后，应由相关专岗的数据操作专员在获得授权和同意的范围内进行操作。在未获得项目采购单位授权同意或在项目采购单位不知情的情况下，供应商不得私自访问和操作相关数据库及数据信息，不得私自存储及转移相关数据信息。</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二是数据安全审计。</w:t>
      </w:r>
      <w:r>
        <w:rPr>
          <w:rFonts w:ascii="Times New Roman" w:hAnsi="Times New Roman" w:eastAsia="仿宋_GB2312" w:cs="Times New Roman"/>
          <w:sz w:val="32"/>
          <w:szCs w:val="32"/>
          <w:highlight w:val="none"/>
        </w:rPr>
        <w:t>为确保本项目相关数据和信息安全，供应商在日常开展运营服务工作过程中，应根据项目采购单位的有关工作要求，严格管理相关数据接口的调用以及相关数据信息的访问和获取，并定期（如每半月、每月）配合项目采购单位对相关调用日志进行安全审计分析，定期检测其中的异常调用或非授权调用记录，及时发现并识别异常数据调用和访问行为，并在发现安全问题后的第一时间及时上报、及时排查、及时分析、及时溯源、及时处理、及时优化、及时整改，持续完善相关闭环管理工作机制。</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三是数据安全脱敏。</w:t>
      </w:r>
      <w:r>
        <w:rPr>
          <w:rFonts w:ascii="Times New Roman" w:hAnsi="Times New Roman" w:eastAsia="仿宋_GB2312" w:cs="Times New Roman"/>
          <w:sz w:val="32"/>
          <w:szCs w:val="32"/>
          <w:highlight w:val="none"/>
        </w:rPr>
        <w:t>为确保本项目相关数据和信息安全，供应商在日常开展运营服务工作过程中，供应商在日常开展运营服务工作过程中，针对涉及相关用户敏感数据的展示，尤其是其中涉及个人、企业及组织的相关敏感隐私数据信息（如个人证照信息、法人企业证照信息及其他相关敏感隐私数据信息等），应根据项目采购单位的有关工作要求，按照统一的标准进行数据安全脱敏处理，严格确保相关数据的安全性，切实保证用户敏感隐私信息使用的合法合规，保护用户隐私不受侵犯，牢牢守住安全底线。</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2）确保应用安全</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为确保</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相关应用系统的安全可靠，供应商应根据项目采购单位的有关工作要求，定期开展应用系统的安全性检测工作，开展如渗透性扫描、远程SQL注入、跨站脚本等安全防护和扫描工作，同时持续强化国密身份认证标识并定期开展审计评估工作，确保</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平台所有相关子平台、子系统及应用功能的安全，符合国家及本市有关安全防护要求。</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3）确保网络安全</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为确保</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平台相关子平台、子系统的网络安全可靠，供应商应根据项目采购单位的要求全力配合相关云平台供应商做好相关网络安全保障工作，并按照有关工作要求严格做好互联网及政务外网的安全隔离和防护措施等相关工作。</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4）确保人员安全</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供应商在项目现场提供驻场服务时，相关运营服务的保障人员应严格遵守项目采购单位关于外包人员和开发场地安全管理的有关规定和要求，安全、规范、有序地开展各项运营服务工作。供应商应按照项目采购单位关于运营服务团队组织架构的要求，明确可能涉及接触或操作敏感数据的相关服务保障人员名单，并向项目采购单位进行安全人员报备，同时，针对涉及敏感数据信息操作的服务保障人员设立专岗专职，做到定岗定责，并不断加强数据安全意识培训，严格落实数据安全主体责任。</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5）安全事件处理</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供应商在开展运营服务工作过程中，项目采购单位一旦发现存在相关安全事件的，将按照有关规定将对供应商实施惩戒制度，并根据事件的严重等级划分进行处理。属于轻度的，将进行警告处理，属于严重的，将影响绩效考评验收结果以及后续的运营服务合同签订。</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6）安全责任承诺</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供应商应在投标文件中提供相应的安全责任承诺函</w:t>
      </w:r>
      <w:r>
        <w:rPr>
          <w:rFonts w:hint="eastAsia" w:ascii="Times New Roman" w:hAnsi="Times New Roman" w:eastAsia="仿宋_GB2312" w:cs="Times New Roman"/>
          <w:sz w:val="32"/>
          <w:szCs w:val="32"/>
          <w:highlight w:val="none"/>
        </w:rPr>
        <w:t>（承诺函格式自拟，加盖公章）</w:t>
      </w:r>
      <w:r>
        <w:rPr>
          <w:rFonts w:ascii="Times New Roman" w:hAnsi="Times New Roman" w:eastAsia="仿宋_GB2312" w:cs="Times New Roman"/>
          <w:sz w:val="32"/>
          <w:szCs w:val="32"/>
          <w:highlight w:val="none"/>
        </w:rPr>
        <w:t>，并在其中说明如何履行安全责任和义务，如何确保做到数据、应用、网络、人员等方面的安全保障。同时，供应商应在承诺函中对为本项目提供现场驻场运营服务的保障人员以及可能涉及接触或操作相关敏感隐私数据的服务人员作出无犯罪记录的承诺。</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7）保护重要信息</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重要信息是指在运营服务过程中产生或者获取的所有相关重要信息，包含相关重要内部信息，具备高度的敏感性、隐私性和保护性。</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是面向本市企业群众提供服务的平台，是非密但具备承载重要信息能力的平台。本项目若涉及重要信息的，供应商在提供运营服务过程中，应严格按照项目采购单位的有关要求规定执行，确保满足国家和本市有关信息技术防护的要求。</w:t>
      </w:r>
    </w:p>
    <w:p>
      <w:pPr>
        <w:spacing w:line="360" w:lineRule="auto"/>
        <w:ind w:firstLine="643" w:firstLineChars="200"/>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（四）项目保密要求</w:t>
      </w:r>
    </w:p>
    <w:p>
      <w:pPr>
        <w:widowControl/>
        <w:tabs>
          <w:tab w:val="left" w:pos="1134"/>
        </w:tabs>
        <w:spacing w:line="360" w:lineRule="auto"/>
        <w:ind w:firstLine="643" w:firstLineChars="200"/>
        <w:rPr>
          <w:rFonts w:ascii="Times New Roman" w:hAnsi="Times New Roman" w:cs="Times New Roman"/>
          <w:sz w:val="24"/>
          <w:szCs w:val="24"/>
          <w:highlight w:val="none"/>
        </w:rPr>
      </w:pPr>
      <w:r>
        <w:rPr>
          <w:rFonts w:ascii="Times New Roman" w:hAnsi="Times New Roman" w:eastAsia="仿宋_GB2312" w:cs="Times New Roman"/>
          <w:b/>
          <w:sz w:val="32"/>
          <w:szCs w:val="32"/>
          <w:highlight w:val="none"/>
        </w:rPr>
        <w:t>一是保密义务与责任。</w:t>
      </w:r>
      <w:r>
        <w:rPr>
          <w:rFonts w:ascii="Times New Roman" w:hAnsi="Times New Roman" w:eastAsia="仿宋_GB2312" w:cs="Times New Roman"/>
          <w:sz w:val="32"/>
          <w:szCs w:val="32"/>
          <w:highlight w:val="none"/>
        </w:rPr>
        <w:t>本项目要求供应商在运营工作方案中针对本项目所有有关的运营服务内容制定相关保密措施，并在项目实施过程中严格承担、履行和落实相关保密义务及责任，同时，供应商需保证与其所涉及的所有相关方同样承担、履行和落实保密义务及责任，以保证项目的安全、顺利实施。供应商应采取必要的有效措施保证其参与本项目的人员（包括中标供应商的聘用人员、借调人员、实习人员等）无论是在职或离职后，以及中标供应商的相关合作方无论是合作中或合作终止后，都应履行本项目约定的保密义务。若供应商的服务人员或相关合作方违反本条规定，供应商应承担连带责任。供应商对项目采购单位提供的相关用于临时使用的账号应做到保密不公开，对相关组件开发的账号密码应进行加密，避免信息泄露，确保信息安全。未经项目采购单位的同意不得利用其网络或平台进行短信、彩信发送，否则产生的一切后果由供应商承担。</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二是保密承诺与协议。</w:t>
      </w:r>
      <w:r>
        <w:rPr>
          <w:rFonts w:ascii="Times New Roman" w:hAnsi="Times New Roman" w:eastAsia="仿宋_GB2312" w:cs="Times New Roman"/>
          <w:sz w:val="32"/>
          <w:szCs w:val="32"/>
          <w:highlight w:val="none"/>
        </w:rPr>
        <w:t>供应商应在投标文件中向项目采购单位作出对本项目的保密承诺，需在投标文件中提供相应的保密承诺函</w:t>
      </w:r>
      <w:r>
        <w:rPr>
          <w:rFonts w:hint="eastAsia" w:ascii="Times New Roman" w:hAnsi="Times New Roman" w:eastAsia="仿宋_GB2312" w:cs="Times New Roman"/>
          <w:sz w:val="32"/>
          <w:szCs w:val="32"/>
          <w:highlight w:val="none"/>
        </w:rPr>
        <w:t>（由供应商盖章）</w:t>
      </w:r>
      <w:r>
        <w:rPr>
          <w:rFonts w:ascii="Times New Roman" w:hAnsi="Times New Roman" w:eastAsia="仿宋_GB2312" w:cs="Times New Roman"/>
          <w:sz w:val="32"/>
          <w:szCs w:val="32"/>
          <w:highlight w:val="none"/>
        </w:rPr>
        <w:t>，说明如何履行保密责任与义务，如何落实相关保密工作要求，</w:t>
      </w:r>
      <w:r>
        <w:rPr>
          <w:rFonts w:hint="eastAsia" w:ascii="Times New Roman" w:hAnsi="Times New Roman" w:eastAsia="仿宋_GB2312" w:cs="Times New Roman"/>
          <w:sz w:val="32"/>
          <w:szCs w:val="32"/>
          <w:highlight w:val="none"/>
        </w:rPr>
        <w:t>并在中标后与项目采购单位在签署合同时同步签署相关保密协议。</w:t>
      </w:r>
      <w:r>
        <w:rPr>
          <w:rFonts w:ascii="Times New Roman" w:hAnsi="Times New Roman" w:eastAsia="仿宋_GB2312" w:cs="Times New Roman"/>
          <w:sz w:val="32"/>
          <w:szCs w:val="32"/>
          <w:highlight w:val="none"/>
        </w:rPr>
        <w:t>同时，供应商应与所有参与本项目运营服务的保障人员签订安全保密协议，做好保密人员的日常管理工作，制定完善的内部保密工作机制，落实相关保密工作责任，并提交至项目采购单位进行备案，保密有效时间不限。</w:t>
      </w:r>
    </w:p>
    <w:p>
      <w:pPr>
        <w:widowControl/>
        <w:tabs>
          <w:tab w:val="left" w:pos="1134"/>
        </w:tabs>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三是保密内容和范围。</w:t>
      </w:r>
      <w:r>
        <w:rPr>
          <w:rFonts w:ascii="Times New Roman" w:hAnsi="Times New Roman" w:eastAsia="仿宋_GB2312" w:cs="Times New Roman"/>
          <w:sz w:val="32"/>
          <w:szCs w:val="32"/>
          <w:highlight w:val="none"/>
        </w:rPr>
        <w:t>在开展运营服务过程中，供应商所获取或形成的数据、资料（包括但不限于账号信息、图表、文字、计算过程、任何形式的文件、访谈记录、现场实测数据、项目采购单位相关工作程序等）及其他任何工作成果（包括但不限于运行维护工作中以及应用系统运行过程中所取得的任何数据、资料、中间成果等），和在提供服务中使用的由项目采购单位提供的所有资料或数据（包括但不限于本项目相关资料和所有应用系统运行过程中及运行维护过程中产生的数据、资料等），均是项目采购单位要求保密的信息。在未事先征得项目采购单位书面同意的情况下，供应商不得对外披露或向第三方提供或超出本项目约定的范围使用，不得用于其他用途，否则供应商需承担由此引起的法律责任和经济责任，包括但不限于直接损失、间接损失、律师费、诉讼费/仲裁费、调查费、公证费等。供应商（包括参与本项目的所有人员及相关合作方）未经项目采购单位书面许可，不得以任何形式自行使用或以任何方式向第三方披露、转让、授权、出售与本项目有关的技术成果、计算机软件、源代码、策划文档、技术诀窍、秘密信息、技术资料和其他文件。供应商不得以实施项目为名，侵害本项目各参与单位的技术、商业秘密或者知识产权。</w:t>
      </w:r>
    </w:p>
    <w:p>
      <w:pPr>
        <w:spacing w:line="360" w:lineRule="auto"/>
        <w:ind w:firstLine="643" w:firstLineChars="200"/>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（五）知识产权要求</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一是知识产权声明与承诺。</w:t>
      </w:r>
      <w:r>
        <w:rPr>
          <w:rFonts w:ascii="Times New Roman" w:hAnsi="Times New Roman" w:eastAsia="仿宋_GB2312" w:cs="Times New Roman"/>
          <w:sz w:val="32"/>
          <w:szCs w:val="32"/>
          <w:highlight w:val="none"/>
        </w:rPr>
        <w:t>供应商应在投标文件中向项目采购单位作出自主或经授权的知识产权声明与承诺</w:t>
      </w:r>
      <w:r>
        <w:rPr>
          <w:rFonts w:hint="eastAsia" w:ascii="Times New Roman" w:hAnsi="Times New Roman" w:eastAsia="仿宋_GB2312" w:cs="Times New Roman"/>
          <w:sz w:val="32"/>
          <w:szCs w:val="32"/>
          <w:highlight w:val="none"/>
        </w:rPr>
        <w:t>（承诺函格式自拟、加盖公章）</w:t>
      </w:r>
      <w:r>
        <w:rPr>
          <w:rFonts w:ascii="Times New Roman" w:hAnsi="Times New Roman" w:eastAsia="仿宋_GB2312" w:cs="Times New Roman"/>
          <w:sz w:val="32"/>
          <w:szCs w:val="32"/>
          <w:highlight w:val="none"/>
        </w:rPr>
        <w:t>，确保为本项目所提供运营服务的相关产品在国内具有自主的知识产权，并能提供软件著作权、产品登记证书等相关资质证明文件（非自主产品的需提供产品获得使用权的相关原厂授权书）。供应商向项目采购单位交付的相关信息系统如已享有知识产权的，应事先申明并保证项目采购单位在许可范围内合理使用。</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二是知识产权被侵权责任。</w:t>
      </w:r>
      <w:r>
        <w:rPr>
          <w:rFonts w:ascii="Times New Roman" w:hAnsi="Times New Roman" w:eastAsia="仿宋_GB2312" w:cs="Times New Roman"/>
          <w:sz w:val="32"/>
          <w:szCs w:val="32"/>
          <w:highlight w:val="none"/>
        </w:rPr>
        <w:t>供应商应确保不会因其为本项目提供运营服务所履行的相关责任义务而违反任何法律法规或引起其他第三方在专利权、著作权、商标权以及其他知识产权方面针对项目采购单位或项目采购单位的相关方（包括但不限于项目采购单位的主管单位以及有关合作单位等）的侵权指控或索赔。如有发生，供应商需承担全部责任和损失（包括但不限于鉴定费、公证费、诉讼费、仲裁费以及合理的律师费等），项目采购单位不承担任何法律责任及后果，且保留追责权。同时，项目采购单位有权解除合同，并要求供应商返还项目采购单位已支付的所有项目运营服务费用并向项目采购单位支付相关违约金。</w:t>
      </w:r>
    </w:p>
    <w:p>
      <w:pPr>
        <w:widowControl/>
        <w:tabs>
          <w:tab w:val="left" w:pos="1134"/>
        </w:tabs>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三是知识产权所有权归属。</w:t>
      </w:r>
      <w:r>
        <w:rPr>
          <w:rFonts w:ascii="Times New Roman" w:hAnsi="Times New Roman" w:eastAsia="仿宋_GB2312" w:cs="Times New Roman"/>
          <w:sz w:val="32"/>
          <w:szCs w:val="32"/>
          <w:highlight w:val="none"/>
        </w:rPr>
        <w:t>供应商应全力配合项目采购单位对在项目运营过程中形成的所有相关知识产权成果开展相关登记或申请工作。供应商因履行本合同而产生的所有成果（包含需求分析、系统设计、软件程序、核心技术、数据标准、接口规范、知识库、专有方法、模板、工具包、培训材料、专有数据、技术文档、服务模式、运作模式等，但不限于上述形式）的知识产权（含相应的申请权）及后续转化应用的权利均归项目采购单位所有，同时，在本项目运营服务过程中形成的知识产权的申请权、所有权与利益（包括：专利权、商标权、著作权、商业秘密专有权等，但不限于上述权益的申请权）亦归项目采购单位所有。未经项目采购单位书面同意，供应商及其合作方不得以任何形式自行申请，不得以任何形式使用或许可他人使用，亦不得擅自对外公开发表或向任何第三方（包括但不限于任何新闻公告、媒体宣传或其他形式）透露本合同成果的相关内容。</w:t>
      </w:r>
    </w:p>
    <w:p>
      <w:pPr>
        <w:spacing w:line="360" w:lineRule="auto"/>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四是知识产权经授权使用。</w:t>
      </w:r>
      <w:r>
        <w:rPr>
          <w:rFonts w:ascii="Times New Roman" w:hAnsi="Times New Roman" w:eastAsia="仿宋_GB2312" w:cs="Times New Roman"/>
          <w:sz w:val="32"/>
          <w:szCs w:val="32"/>
          <w:highlight w:val="none"/>
        </w:rPr>
        <w:t>供应商仅在获得项目采购单位授权同意的情况下可使用其相关知识产权内容，在未经项目采购单位授权同意的情况下，供应商不得擅自使用、复制或许可他人使用项目采购单位的商号、商标、标志、商业信息、技术及其他资料；不得在任何广告、商业展示或公开陈述中，或者出于其他商业目的，使用项目采购单位的商号、商标或标志，或者其他任何缩写或改编。</w:t>
      </w:r>
    </w:p>
    <w:p>
      <w:pPr>
        <w:widowControl/>
        <w:spacing w:line="360" w:lineRule="auto"/>
        <w:ind w:firstLine="640" w:firstLineChars="200"/>
        <w:jc w:val="left"/>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八、项目分包说明</w:t>
      </w:r>
    </w:p>
    <w:p>
      <w:pPr>
        <w:spacing w:line="360" w:lineRule="auto"/>
        <w:ind w:firstLine="643" w:firstLineChars="200"/>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（一）分包要求说明</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供应商需要将本项目部分运营服务工作进行分包的，应在投标前确定各分包供应商以及需要分包的相应运营服务工作内容，同时与各分包供应商共同签署相关分包协议文件（如分包意向协议书等），在其中载明接受分包的各分包供应商名称，并明确与各分包供应商之间的工作界面，具体包括分包的服务内容、分包的预估结算比例（包括分包的预估合同金额）以及双方对应的工作职责、工作边界与责任义务等，在投标时作为投标材料的一部分同步提交各方盖章的版本。接受分包的供应商应当具备相应资质条件且不得对已分包的运营服务内容再次进行分包。除上述情形外，供应商在中标后一律不得对外分包。</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分包协议文件中所明确的分包预估结算比例（包括分包的预估合同金额）由供应商与各分包供应商结合项目采购单位的预估工作量进行协商确定，最终的实际分包比例将根据项目最终实际结算的运营工作量进行同步调整，供应商应向各分包供应商明确告知最终的实际结算工作量以及最终的实际分包比例。</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供应商应对所分包运营服务内容的工作质量及工作成效与各分包供应商共同向项目采购单位承担连带责任。如分包供应商提供的运营服务不能符合项目采购单位要求，供应商应承担相关主体责任，并会同分包供应商共同完成整改直至符合项目采购单位要求。</w:t>
      </w:r>
    </w:p>
    <w:p>
      <w:pPr>
        <w:spacing w:line="360" w:lineRule="auto"/>
        <w:ind w:firstLine="643" w:firstLineChars="200"/>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（二）分包范围说明</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供应商需要将本项目部分运营服务工作进行分包的，应在本项目允许的分包内容和比例范围内进行有限分包。本项目的主体运营服务内容</w:t>
      </w:r>
      <w:r>
        <w:rPr>
          <w:rFonts w:hint="eastAsia" w:ascii="Times New Roman" w:hAnsi="Times New Roman" w:eastAsia="仿宋_GB2312" w:cs="Times New Roman"/>
          <w:sz w:val="32"/>
          <w:szCs w:val="32"/>
          <w:highlight w:val="none"/>
        </w:rPr>
        <w:t>具体包括单部门事项接入（PC端）；国家政务服务平台事项接入（PC端）；个性化档案专属服务接入（PC端）；</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一件事</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业务流程再造及跨部门跨层级跨区域协同应用接入（PC端）；精选主题专栏、专版、专区、专题、频道、版块接入（PC端）；统一检索平台对接及能力支撑；统一预约平台（政务服务地图）对接及能力支撑；统一知识库对接及能力支撑；统一支付平台对接及能力支撑；统一物流递送服务支撑等相关运营服务工作内容。</w:t>
      </w:r>
      <w:r>
        <w:rPr>
          <w:rFonts w:ascii="Times New Roman" w:hAnsi="Times New Roman" w:eastAsia="仿宋_GB2312" w:cs="Times New Roman"/>
          <w:sz w:val="32"/>
          <w:szCs w:val="32"/>
          <w:highlight w:val="none"/>
        </w:rPr>
        <w:t>上述内容均为本项目的主体内容，均不可进行分包。</w:t>
      </w:r>
      <w:r>
        <w:rPr>
          <w:rFonts w:hint="eastAsia" w:ascii="黑体" w:hAnsi="黑体" w:eastAsia="黑体" w:cs="国标黑体"/>
          <w:b w:val="0"/>
          <w:bCs w:val="0"/>
          <w:sz w:val="32"/>
          <w:szCs w:val="32"/>
          <w:highlight w:val="none"/>
        </w:rPr>
        <w:t>注：针对可分包内容中的“安全等保测评”部分（包含相关等保测评以及密码测评等服务内容），供应商需按照有关</w:t>
      </w:r>
      <w:r>
        <w:rPr>
          <w:rFonts w:hint="eastAsia" w:ascii="黑体" w:hAnsi="黑体" w:eastAsia="黑体" w:cs="国标黑体"/>
          <w:b w:val="0"/>
          <w:bCs w:val="0"/>
          <w:sz w:val="32"/>
          <w:szCs w:val="32"/>
          <w:highlight w:val="none"/>
          <w:lang w:eastAsia="zh-CN"/>
        </w:rPr>
        <w:t>安全</w:t>
      </w:r>
      <w:r>
        <w:rPr>
          <w:rFonts w:hint="eastAsia" w:ascii="黑体" w:hAnsi="黑体" w:eastAsia="黑体" w:cs="国标黑体"/>
          <w:b w:val="0"/>
          <w:bCs w:val="0"/>
          <w:sz w:val="32"/>
          <w:szCs w:val="32"/>
          <w:highlight w:val="none"/>
        </w:rPr>
        <w:t>运营工作要求和需求与具有相应资质的测评机构开展分包协作。</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本项目允许分包的服务内容和比例范围如下表所示（注：标注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的服务内容表示允许进行分包，标注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的服务内容表示不允许进行分包，标注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的内容表示不涉及）。</w:t>
      </w:r>
    </w:p>
    <w:tbl>
      <w:tblPr>
        <w:tblStyle w:val="12"/>
        <w:tblW w:w="10600" w:type="dxa"/>
        <w:jc w:val="center"/>
        <w:tblLayout w:type="autofit"/>
        <w:tblCellMar>
          <w:top w:w="0" w:type="dxa"/>
          <w:left w:w="108" w:type="dxa"/>
          <w:bottom w:w="0" w:type="dxa"/>
          <w:right w:w="108" w:type="dxa"/>
        </w:tblCellMar>
      </w:tblPr>
      <w:tblGrid>
        <w:gridCol w:w="775"/>
        <w:gridCol w:w="998"/>
        <w:gridCol w:w="438"/>
        <w:gridCol w:w="1692"/>
        <w:gridCol w:w="738"/>
        <w:gridCol w:w="738"/>
        <w:gridCol w:w="738"/>
        <w:gridCol w:w="738"/>
        <w:gridCol w:w="738"/>
        <w:gridCol w:w="738"/>
        <w:gridCol w:w="2269"/>
      </w:tblGrid>
      <w:tr>
        <w:tblPrEx>
          <w:tblCellMar>
            <w:top w:w="0" w:type="dxa"/>
            <w:left w:w="108" w:type="dxa"/>
            <w:bottom w:w="0" w:type="dxa"/>
            <w:right w:w="108" w:type="dxa"/>
          </w:tblCellMar>
        </w:tblPrEx>
        <w:trPr>
          <w:trHeight w:val="270" w:hRule="atLeast"/>
          <w:jc w:val="center"/>
        </w:trPr>
        <w:tc>
          <w:tcPr>
            <w:tcW w:w="778" w:type="dxa"/>
            <w:vMerge w:val="restart"/>
            <w:tcBorders>
              <w:top w:val="single" w:color="auto" w:sz="4" w:space="0"/>
              <w:left w:val="single" w:color="auto" w:sz="4" w:space="0"/>
              <w:bottom w:val="single" w:color="auto" w:sz="4" w:space="0"/>
              <w:right w:val="single" w:color="auto" w:sz="4" w:space="0"/>
            </w:tcBorders>
            <w:shd w:val="clear" w:color="auto" w:fill="D8D8D8"/>
            <w:vAlign w:val="center"/>
          </w:tcPr>
          <w:p>
            <w:pPr>
              <w:widowControl/>
              <w:jc w:val="center"/>
              <w:rPr>
                <w:rFonts w:ascii="黑体" w:hAnsi="黑体" w:eastAsia="黑体" w:cs="宋体"/>
                <w:b/>
                <w:bCs/>
                <w:color w:val="000000"/>
                <w:kern w:val="0"/>
                <w:sz w:val="20"/>
                <w:szCs w:val="20"/>
                <w:highlight w:val="none"/>
              </w:rPr>
            </w:pPr>
            <w:r>
              <w:rPr>
                <w:rFonts w:hint="eastAsia" w:ascii="黑体" w:hAnsi="黑体" w:eastAsia="黑体" w:cs="宋体"/>
                <w:b/>
                <w:bCs/>
                <w:color w:val="000000"/>
                <w:kern w:val="0"/>
                <w:sz w:val="20"/>
                <w:szCs w:val="20"/>
                <w:highlight w:val="none"/>
              </w:rPr>
              <w:t>一级服务内容</w:t>
            </w:r>
          </w:p>
        </w:tc>
        <w:tc>
          <w:tcPr>
            <w:tcW w:w="999" w:type="dxa"/>
            <w:vMerge w:val="restart"/>
            <w:tcBorders>
              <w:top w:val="single" w:color="auto" w:sz="4" w:space="0"/>
              <w:left w:val="nil"/>
              <w:bottom w:val="single" w:color="auto" w:sz="4" w:space="0"/>
              <w:right w:val="single" w:color="auto" w:sz="4" w:space="0"/>
            </w:tcBorders>
            <w:shd w:val="clear" w:color="auto" w:fill="D8D8D8"/>
            <w:vAlign w:val="center"/>
          </w:tcPr>
          <w:p>
            <w:pPr>
              <w:widowControl/>
              <w:jc w:val="center"/>
              <w:rPr>
                <w:rFonts w:ascii="黑体" w:hAnsi="黑体" w:eastAsia="黑体" w:cs="宋体"/>
                <w:b/>
                <w:bCs/>
                <w:color w:val="000000"/>
                <w:kern w:val="0"/>
                <w:sz w:val="20"/>
                <w:szCs w:val="20"/>
                <w:highlight w:val="none"/>
              </w:rPr>
            </w:pPr>
            <w:r>
              <w:rPr>
                <w:rFonts w:hint="eastAsia" w:ascii="黑体" w:hAnsi="黑体" w:eastAsia="黑体" w:cs="宋体"/>
                <w:b/>
                <w:bCs/>
                <w:color w:val="000000"/>
                <w:kern w:val="0"/>
                <w:sz w:val="20"/>
                <w:szCs w:val="20"/>
                <w:highlight w:val="none"/>
              </w:rPr>
              <w:t>二级服务内容</w:t>
            </w:r>
          </w:p>
        </w:tc>
        <w:tc>
          <w:tcPr>
            <w:tcW w:w="417" w:type="dxa"/>
            <w:vMerge w:val="restart"/>
            <w:tcBorders>
              <w:top w:val="single" w:color="auto" w:sz="4" w:space="0"/>
              <w:left w:val="nil"/>
              <w:bottom w:val="single" w:color="auto" w:sz="4" w:space="0"/>
              <w:right w:val="single" w:color="auto" w:sz="4" w:space="0"/>
            </w:tcBorders>
            <w:shd w:val="clear" w:color="auto" w:fill="D8D8D8"/>
            <w:vAlign w:val="center"/>
          </w:tcPr>
          <w:p>
            <w:pPr>
              <w:widowControl/>
              <w:jc w:val="center"/>
              <w:rPr>
                <w:rFonts w:ascii="黑体" w:hAnsi="黑体" w:eastAsia="黑体" w:cs="宋体"/>
                <w:b/>
                <w:bCs/>
                <w:color w:val="000000"/>
                <w:kern w:val="0"/>
                <w:sz w:val="20"/>
                <w:szCs w:val="20"/>
                <w:highlight w:val="none"/>
              </w:rPr>
            </w:pPr>
            <w:r>
              <w:rPr>
                <w:rFonts w:hint="eastAsia" w:ascii="黑体" w:hAnsi="黑体" w:eastAsia="黑体" w:cs="宋体"/>
                <w:b/>
                <w:bCs/>
                <w:color w:val="000000"/>
                <w:kern w:val="0"/>
                <w:sz w:val="20"/>
                <w:szCs w:val="20"/>
                <w:highlight w:val="none"/>
              </w:rPr>
              <w:t>序号</w:t>
            </w:r>
          </w:p>
        </w:tc>
        <w:tc>
          <w:tcPr>
            <w:tcW w:w="1697" w:type="dxa"/>
            <w:vMerge w:val="restart"/>
            <w:tcBorders>
              <w:top w:val="single" w:color="auto" w:sz="4" w:space="0"/>
              <w:left w:val="nil"/>
              <w:bottom w:val="single" w:color="auto" w:sz="4" w:space="0"/>
              <w:right w:val="single" w:color="auto" w:sz="4" w:space="0"/>
            </w:tcBorders>
            <w:shd w:val="clear" w:color="auto" w:fill="D8D8D8"/>
            <w:vAlign w:val="center"/>
          </w:tcPr>
          <w:p>
            <w:pPr>
              <w:widowControl/>
              <w:jc w:val="center"/>
              <w:rPr>
                <w:rFonts w:ascii="黑体" w:hAnsi="黑体" w:eastAsia="黑体" w:cs="宋体"/>
                <w:b/>
                <w:bCs/>
                <w:color w:val="000000"/>
                <w:kern w:val="0"/>
                <w:sz w:val="20"/>
                <w:szCs w:val="20"/>
                <w:highlight w:val="none"/>
              </w:rPr>
            </w:pPr>
            <w:r>
              <w:rPr>
                <w:rFonts w:hint="eastAsia" w:ascii="黑体" w:hAnsi="黑体" w:eastAsia="黑体" w:cs="宋体"/>
                <w:b/>
                <w:bCs/>
                <w:color w:val="000000"/>
                <w:kern w:val="0"/>
                <w:sz w:val="20"/>
                <w:szCs w:val="20"/>
                <w:highlight w:val="none"/>
              </w:rPr>
              <w:t>三级服务内容</w:t>
            </w:r>
          </w:p>
        </w:tc>
        <w:tc>
          <w:tcPr>
            <w:tcW w:w="4434" w:type="dxa"/>
            <w:gridSpan w:val="6"/>
            <w:tcBorders>
              <w:top w:val="single" w:color="auto" w:sz="4" w:space="0"/>
              <w:left w:val="nil"/>
              <w:bottom w:val="single" w:color="auto" w:sz="4" w:space="0"/>
              <w:right w:val="single" w:color="auto" w:sz="4" w:space="0"/>
            </w:tcBorders>
            <w:shd w:val="clear" w:color="auto" w:fill="D8D8D8"/>
            <w:vAlign w:val="center"/>
          </w:tcPr>
          <w:p>
            <w:pPr>
              <w:widowControl/>
              <w:jc w:val="center"/>
              <w:rPr>
                <w:rFonts w:ascii="黑体" w:hAnsi="黑体" w:eastAsia="黑体" w:cs="宋体"/>
                <w:b/>
                <w:bCs/>
                <w:color w:val="000000"/>
                <w:kern w:val="0"/>
                <w:sz w:val="20"/>
                <w:szCs w:val="20"/>
                <w:highlight w:val="none"/>
              </w:rPr>
            </w:pPr>
            <w:r>
              <w:rPr>
                <w:rFonts w:hint="eastAsia" w:ascii="黑体" w:hAnsi="黑体" w:eastAsia="黑体" w:cs="宋体"/>
                <w:b/>
                <w:bCs/>
                <w:color w:val="000000"/>
                <w:kern w:val="0"/>
                <w:sz w:val="20"/>
                <w:szCs w:val="20"/>
                <w:highlight w:val="none"/>
              </w:rPr>
              <w:t>是否允许分包</w:t>
            </w:r>
          </w:p>
        </w:tc>
        <w:tc>
          <w:tcPr>
            <w:tcW w:w="2275" w:type="dxa"/>
            <w:vMerge w:val="restart"/>
            <w:tcBorders>
              <w:top w:val="single" w:color="auto" w:sz="4" w:space="0"/>
              <w:left w:val="nil"/>
              <w:bottom w:val="single" w:color="auto" w:sz="4" w:space="0"/>
              <w:right w:val="single" w:color="auto" w:sz="4" w:space="0"/>
            </w:tcBorders>
            <w:shd w:val="clear" w:color="auto" w:fill="D8D8D8"/>
            <w:vAlign w:val="center"/>
          </w:tcPr>
          <w:p>
            <w:pPr>
              <w:widowControl/>
              <w:jc w:val="center"/>
              <w:rPr>
                <w:rFonts w:ascii="黑体" w:hAnsi="黑体" w:eastAsia="黑体" w:cs="宋体"/>
                <w:b/>
                <w:bCs/>
                <w:color w:val="000000"/>
                <w:kern w:val="0"/>
                <w:sz w:val="20"/>
                <w:szCs w:val="20"/>
                <w:highlight w:val="none"/>
              </w:rPr>
            </w:pPr>
            <w:r>
              <w:rPr>
                <w:rFonts w:hint="eastAsia" w:ascii="黑体" w:hAnsi="黑体" w:eastAsia="黑体" w:cs="宋体"/>
                <w:b/>
                <w:bCs/>
                <w:color w:val="000000"/>
                <w:kern w:val="0"/>
                <w:sz w:val="20"/>
                <w:szCs w:val="20"/>
                <w:highlight w:val="none"/>
              </w:rPr>
              <w:t>分包比例说明</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highlight w:val="none"/>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highlight w:val="none"/>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highlight w:val="none"/>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highlight w:val="none"/>
              </w:rPr>
            </w:pPr>
          </w:p>
        </w:tc>
        <w:tc>
          <w:tcPr>
            <w:tcW w:w="2217" w:type="dxa"/>
            <w:gridSpan w:val="3"/>
            <w:tcBorders>
              <w:top w:val="single" w:color="auto" w:sz="4" w:space="0"/>
              <w:left w:val="nil"/>
              <w:bottom w:val="single" w:color="auto" w:sz="4" w:space="0"/>
              <w:right w:val="single" w:color="auto" w:sz="4" w:space="0"/>
            </w:tcBorders>
            <w:shd w:val="clear" w:color="auto" w:fill="D8D8D8"/>
            <w:vAlign w:val="center"/>
          </w:tcPr>
          <w:p>
            <w:pPr>
              <w:widowControl/>
              <w:jc w:val="center"/>
              <w:rPr>
                <w:rFonts w:ascii="黑体" w:hAnsi="黑体" w:eastAsia="黑体" w:cs="宋体"/>
                <w:b/>
                <w:bCs/>
                <w:color w:val="000000"/>
                <w:kern w:val="0"/>
                <w:sz w:val="20"/>
                <w:szCs w:val="20"/>
                <w:highlight w:val="none"/>
              </w:rPr>
            </w:pPr>
            <w:r>
              <w:rPr>
                <w:rFonts w:hint="eastAsia" w:ascii="黑体" w:hAnsi="黑体" w:eastAsia="黑体" w:cs="宋体"/>
                <w:b/>
                <w:bCs/>
                <w:color w:val="000000"/>
                <w:kern w:val="0"/>
                <w:sz w:val="20"/>
                <w:szCs w:val="20"/>
                <w:highlight w:val="none"/>
              </w:rPr>
              <w:t>前端应用服务接入</w:t>
            </w:r>
          </w:p>
        </w:tc>
        <w:tc>
          <w:tcPr>
            <w:tcW w:w="739" w:type="dxa"/>
            <w:vMerge w:val="restart"/>
            <w:tcBorders>
              <w:top w:val="nil"/>
              <w:left w:val="nil"/>
              <w:bottom w:val="single" w:color="auto" w:sz="4" w:space="0"/>
              <w:right w:val="single" w:color="auto" w:sz="4" w:space="0"/>
            </w:tcBorders>
            <w:shd w:val="clear" w:color="auto" w:fill="D8D8D8"/>
            <w:vAlign w:val="center"/>
          </w:tcPr>
          <w:p>
            <w:pPr>
              <w:widowControl/>
              <w:jc w:val="center"/>
              <w:rPr>
                <w:rFonts w:ascii="黑体" w:hAnsi="黑体" w:eastAsia="黑体" w:cs="宋体"/>
                <w:b/>
                <w:bCs/>
                <w:color w:val="000000"/>
                <w:kern w:val="0"/>
                <w:sz w:val="20"/>
                <w:szCs w:val="20"/>
                <w:highlight w:val="none"/>
              </w:rPr>
            </w:pPr>
            <w:r>
              <w:rPr>
                <w:rFonts w:hint="eastAsia" w:ascii="黑体" w:hAnsi="黑体" w:eastAsia="黑体" w:cs="宋体"/>
                <w:b/>
                <w:bCs/>
                <w:color w:val="000000"/>
                <w:kern w:val="0"/>
                <w:sz w:val="20"/>
                <w:szCs w:val="20"/>
                <w:highlight w:val="none"/>
              </w:rPr>
              <w:t>基础能力支撑</w:t>
            </w:r>
          </w:p>
        </w:tc>
        <w:tc>
          <w:tcPr>
            <w:tcW w:w="739" w:type="dxa"/>
            <w:vMerge w:val="restart"/>
            <w:tcBorders>
              <w:top w:val="nil"/>
              <w:left w:val="nil"/>
              <w:bottom w:val="single" w:color="auto" w:sz="4" w:space="0"/>
              <w:right w:val="single" w:color="auto" w:sz="4" w:space="0"/>
            </w:tcBorders>
            <w:shd w:val="clear" w:color="auto" w:fill="D8D8D8"/>
            <w:vAlign w:val="center"/>
          </w:tcPr>
          <w:p>
            <w:pPr>
              <w:widowControl/>
              <w:jc w:val="center"/>
              <w:rPr>
                <w:rFonts w:ascii="黑体" w:hAnsi="黑体" w:eastAsia="黑体" w:cs="宋体"/>
                <w:b/>
                <w:bCs/>
                <w:color w:val="000000"/>
                <w:kern w:val="0"/>
                <w:sz w:val="20"/>
                <w:szCs w:val="20"/>
                <w:highlight w:val="none"/>
              </w:rPr>
            </w:pPr>
            <w:r>
              <w:rPr>
                <w:rFonts w:hint="eastAsia" w:ascii="黑体" w:hAnsi="黑体" w:eastAsia="黑体" w:cs="宋体"/>
                <w:b/>
                <w:bCs/>
                <w:color w:val="000000"/>
                <w:kern w:val="0"/>
                <w:sz w:val="20"/>
                <w:szCs w:val="20"/>
                <w:highlight w:val="none"/>
              </w:rPr>
              <w:t>人工服务保障</w:t>
            </w:r>
          </w:p>
        </w:tc>
        <w:tc>
          <w:tcPr>
            <w:tcW w:w="739" w:type="dxa"/>
            <w:vMerge w:val="restart"/>
            <w:tcBorders>
              <w:top w:val="nil"/>
              <w:left w:val="nil"/>
              <w:bottom w:val="single" w:color="auto" w:sz="4" w:space="0"/>
              <w:right w:val="single" w:color="auto" w:sz="4" w:space="0"/>
            </w:tcBorders>
            <w:shd w:val="clear" w:color="auto" w:fill="D8D8D8"/>
            <w:vAlign w:val="center"/>
          </w:tcPr>
          <w:p>
            <w:pPr>
              <w:widowControl/>
              <w:jc w:val="center"/>
              <w:rPr>
                <w:rFonts w:ascii="黑体" w:hAnsi="黑体" w:eastAsia="黑体" w:cs="宋体"/>
                <w:b/>
                <w:bCs/>
                <w:color w:val="000000"/>
                <w:kern w:val="0"/>
                <w:sz w:val="20"/>
                <w:szCs w:val="20"/>
                <w:highlight w:val="none"/>
              </w:rPr>
            </w:pPr>
            <w:r>
              <w:rPr>
                <w:rFonts w:hint="eastAsia" w:ascii="黑体" w:hAnsi="黑体" w:eastAsia="黑体" w:cs="宋体"/>
                <w:b/>
                <w:bCs/>
                <w:color w:val="000000"/>
                <w:kern w:val="0"/>
                <w:sz w:val="20"/>
                <w:szCs w:val="20"/>
                <w:highlight w:val="none"/>
              </w:rPr>
              <w:t>其他服务保障</w:t>
            </w: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highlight w:val="none"/>
              </w:rPr>
            </w:pPr>
          </w:p>
        </w:tc>
      </w:tr>
      <w:tr>
        <w:tblPrEx>
          <w:tblCellMar>
            <w:top w:w="0" w:type="dxa"/>
            <w:left w:w="108" w:type="dxa"/>
            <w:bottom w:w="0" w:type="dxa"/>
            <w:right w:w="108" w:type="dxa"/>
          </w:tblCellMar>
        </w:tblPrEx>
        <w:trPr>
          <w:trHeight w:val="4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highlight w:val="none"/>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highlight w:val="none"/>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highlight w:val="none"/>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highlight w:val="none"/>
              </w:rPr>
            </w:pPr>
          </w:p>
        </w:tc>
        <w:tc>
          <w:tcPr>
            <w:tcW w:w="739" w:type="dxa"/>
            <w:tcBorders>
              <w:top w:val="nil"/>
              <w:left w:val="nil"/>
              <w:bottom w:val="single" w:color="auto" w:sz="4" w:space="0"/>
              <w:right w:val="single" w:color="auto" w:sz="4" w:space="0"/>
            </w:tcBorders>
            <w:shd w:val="clear" w:color="auto" w:fill="D8D8D8"/>
            <w:vAlign w:val="center"/>
          </w:tcPr>
          <w:p>
            <w:pPr>
              <w:widowControl/>
              <w:jc w:val="center"/>
              <w:rPr>
                <w:rFonts w:ascii="黑体" w:hAnsi="黑体" w:eastAsia="黑体" w:cs="宋体"/>
                <w:b/>
                <w:bCs/>
                <w:color w:val="000000"/>
                <w:kern w:val="0"/>
                <w:sz w:val="20"/>
                <w:szCs w:val="20"/>
                <w:highlight w:val="none"/>
              </w:rPr>
            </w:pPr>
            <w:r>
              <w:rPr>
                <w:rFonts w:hint="eastAsia" w:ascii="黑体" w:hAnsi="黑体" w:eastAsia="黑体" w:cs="宋体"/>
                <w:b/>
                <w:bCs/>
                <w:color w:val="000000"/>
                <w:kern w:val="0"/>
                <w:sz w:val="20"/>
                <w:szCs w:val="20"/>
                <w:highlight w:val="none"/>
              </w:rPr>
              <w:t>PC端</w:t>
            </w:r>
          </w:p>
        </w:tc>
        <w:tc>
          <w:tcPr>
            <w:tcW w:w="739" w:type="dxa"/>
            <w:tcBorders>
              <w:top w:val="nil"/>
              <w:left w:val="nil"/>
              <w:bottom w:val="single" w:color="auto" w:sz="4" w:space="0"/>
              <w:right w:val="single" w:color="auto" w:sz="4" w:space="0"/>
            </w:tcBorders>
            <w:shd w:val="clear" w:color="auto" w:fill="D8D8D8"/>
            <w:vAlign w:val="center"/>
          </w:tcPr>
          <w:p>
            <w:pPr>
              <w:widowControl/>
              <w:jc w:val="center"/>
              <w:rPr>
                <w:rFonts w:ascii="黑体" w:hAnsi="黑体" w:eastAsia="黑体" w:cs="宋体"/>
                <w:b/>
                <w:bCs/>
                <w:color w:val="000000"/>
                <w:kern w:val="0"/>
                <w:sz w:val="20"/>
                <w:szCs w:val="20"/>
                <w:highlight w:val="none"/>
              </w:rPr>
            </w:pPr>
            <w:r>
              <w:rPr>
                <w:rFonts w:hint="eastAsia" w:ascii="黑体" w:hAnsi="黑体" w:eastAsia="黑体" w:cs="宋体"/>
                <w:b/>
                <w:bCs/>
                <w:color w:val="000000"/>
                <w:kern w:val="0"/>
                <w:sz w:val="20"/>
                <w:szCs w:val="20"/>
                <w:highlight w:val="none"/>
              </w:rPr>
              <w:t>移动端</w:t>
            </w:r>
          </w:p>
        </w:tc>
        <w:tc>
          <w:tcPr>
            <w:tcW w:w="739" w:type="dxa"/>
            <w:tcBorders>
              <w:top w:val="nil"/>
              <w:left w:val="nil"/>
              <w:bottom w:val="single" w:color="auto" w:sz="4" w:space="0"/>
              <w:right w:val="single" w:color="auto" w:sz="4" w:space="0"/>
            </w:tcBorders>
            <w:shd w:val="clear" w:color="auto" w:fill="D8D8D8"/>
            <w:vAlign w:val="center"/>
          </w:tcPr>
          <w:p>
            <w:pPr>
              <w:widowControl/>
              <w:jc w:val="center"/>
              <w:rPr>
                <w:rFonts w:ascii="黑体" w:hAnsi="黑体" w:eastAsia="黑体" w:cs="宋体"/>
                <w:b/>
                <w:bCs/>
                <w:color w:val="000000"/>
                <w:kern w:val="0"/>
                <w:sz w:val="20"/>
                <w:szCs w:val="20"/>
                <w:highlight w:val="none"/>
              </w:rPr>
            </w:pPr>
            <w:r>
              <w:rPr>
                <w:rFonts w:hint="eastAsia" w:ascii="黑体" w:hAnsi="黑体" w:eastAsia="黑体" w:cs="宋体"/>
                <w:b/>
                <w:bCs/>
                <w:color w:val="000000"/>
                <w:kern w:val="0"/>
                <w:sz w:val="20"/>
                <w:szCs w:val="20"/>
                <w:highlight w:val="none"/>
              </w:rPr>
              <w:t>自助终端</w:t>
            </w: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highlight w:val="none"/>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highlight w:val="none"/>
              </w:rPr>
            </w:pPr>
          </w:p>
        </w:tc>
      </w:tr>
      <w:tr>
        <w:tblPrEx>
          <w:tblCellMar>
            <w:top w:w="0" w:type="dxa"/>
            <w:left w:w="108" w:type="dxa"/>
            <w:bottom w:w="0" w:type="dxa"/>
            <w:right w:w="108" w:type="dxa"/>
          </w:tblCellMar>
        </w:tblPrEx>
        <w:trPr>
          <w:trHeight w:val="1920" w:hRule="atLeast"/>
          <w:jc w:val="center"/>
        </w:trPr>
        <w:tc>
          <w:tcPr>
            <w:tcW w:w="778" w:type="dxa"/>
            <w:vMerge w:val="restart"/>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服务内容接入</w:t>
            </w:r>
          </w:p>
        </w:tc>
        <w:tc>
          <w:tcPr>
            <w:tcW w:w="999" w:type="dxa"/>
            <w:vMerge w:val="restart"/>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政务服务事项</w:t>
            </w: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1</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单部门事项接入</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该项服务内容移动端部分的最大分包比例为100%，最小分包比例为0%；自助终端部分的最大分包比例为30%，最小分包比例为0%；PC端部分为本项目的主体内容，不可进行分包。</w:t>
            </w:r>
          </w:p>
        </w:tc>
      </w:tr>
      <w:tr>
        <w:tblPrEx>
          <w:tblCellMar>
            <w:top w:w="0" w:type="dxa"/>
            <w:left w:w="108" w:type="dxa"/>
            <w:bottom w:w="0" w:type="dxa"/>
            <w:right w:w="108" w:type="dxa"/>
          </w:tblCellMar>
        </w:tblPrEx>
        <w:trPr>
          <w:trHeight w:val="1408"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2</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跨省通办事项接入</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该项服务内容的PC端、移动端与自助终端部分的最大分包比例均为100%，最小分包比例为0%。</w:t>
            </w:r>
          </w:p>
        </w:tc>
      </w:tr>
      <w:tr>
        <w:tblPrEx>
          <w:tblCellMar>
            <w:top w:w="0" w:type="dxa"/>
            <w:left w:w="108" w:type="dxa"/>
            <w:bottom w:w="0" w:type="dxa"/>
            <w:right w:w="108" w:type="dxa"/>
          </w:tblCellMar>
        </w:tblPrEx>
        <w:trPr>
          <w:trHeight w:val="14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3</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国家政务服务平台事项接入</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该项服务内容移动端部分的最大分包比例为100%，最小分包比例为0%；PC端部分为本项目的主体内容，不可进行分包。</w:t>
            </w:r>
          </w:p>
        </w:tc>
      </w:tr>
      <w:tr>
        <w:tblPrEx>
          <w:tblCellMar>
            <w:top w:w="0" w:type="dxa"/>
            <w:left w:w="108" w:type="dxa"/>
            <w:bottom w:w="0" w:type="dxa"/>
            <w:right w:w="108" w:type="dxa"/>
          </w:tblCellMar>
        </w:tblPrEx>
        <w:trPr>
          <w:trHeight w:val="14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99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市民和企业专属空间</w:t>
            </w: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4</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个性化档案专属服务接入</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该项服务内容移动端部分的最大分包比例为50%，最小分包比例为0%；PC端部分为本项目的主体内容，不可进行分包。</w:t>
            </w:r>
          </w:p>
        </w:tc>
      </w:tr>
      <w:tr>
        <w:tblPrEx>
          <w:tblCellMar>
            <w:top w:w="0" w:type="dxa"/>
            <w:left w:w="108" w:type="dxa"/>
            <w:bottom w:w="0" w:type="dxa"/>
            <w:right w:w="108" w:type="dxa"/>
          </w:tblCellMar>
        </w:tblPrEx>
        <w:trPr>
          <w:trHeight w:val="14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999" w:type="dxa"/>
            <w:tcBorders>
              <w:top w:val="nil"/>
              <w:left w:val="nil"/>
              <w:bottom w:val="single" w:color="auto" w:sz="4" w:space="0"/>
              <w:right w:val="single" w:color="auto" w:sz="4" w:space="0"/>
            </w:tcBorders>
            <w:vAlign w:val="center"/>
          </w:tcPr>
          <w:p>
            <w:pPr>
              <w:widowControl/>
              <w:jc w:val="center"/>
              <w:rPr>
                <w:rFonts w:hint="eastAsia" w:ascii="黑体" w:hAnsi="黑体" w:eastAsia="黑体" w:cs="宋体"/>
                <w:color w:val="000000"/>
                <w:kern w:val="0"/>
                <w:sz w:val="20"/>
                <w:szCs w:val="20"/>
                <w:highlight w:val="none"/>
                <w:lang w:eastAsia="zh-CN"/>
              </w:rPr>
            </w:pPr>
            <w:r>
              <w:rPr>
                <w:rFonts w:hint="eastAsia" w:ascii="黑体" w:hAnsi="黑体" w:eastAsia="黑体" w:cs="宋体"/>
                <w:color w:val="000000"/>
                <w:kern w:val="0"/>
                <w:sz w:val="20"/>
                <w:szCs w:val="20"/>
                <w:highlight w:val="none"/>
              </w:rPr>
              <w:t>高效办成</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一件事</w:t>
            </w:r>
            <w:r>
              <w:rPr>
                <w:rFonts w:hint="eastAsia" w:ascii="黑体" w:hAnsi="黑体" w:eastAsia="黑体" w:cs="宋体"/>
                <w:color w:val="000000"/>
                <w:kern w:val="0"/>
                <w:sz w:val="20"/>
                <w:szCs w:val="20"/>
                <w:highlight w:val="none"/>
                <w:lang w:eastAsia="zh-CN"/>
              </w:rPr>
              <w:t>”</w:t>
            </w: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5</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一件事</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业务流程再造及跨部门跨层级跨区域协同应用接入</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该项服务内容移动端部分的最大分包比例为100%，最小分包比例为0%；PC端部分为本项目的主体内容，不可进行分包。</w:t>
            </w:r>
          </w:p>
        </w:tc>
      </w:tr>
      <w:tr>
        <w:tblPrEx>
          <w:tblCellMar>
            <w:top w:w="0" w:type="dxa"/>
            <w:left w:w="108" w:type="dxa"/>
            <w:bottom w:w="0" w:type="dxa"/>
            <w:right w:w="108" w:type="dxa"/>
          </w:tblCellMar>
        </w:tblPrEx>
        <w:trPr>
          <w:trHeight w:val="34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99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场景化主题式服务</w:t>
            </w: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6</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精选主题专栏、专版、专区、专题、频道、版块接入</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该项服务内容移动端部分的最大分包比例为100%，最小分包比例为0%；PC端部分为本项目的主体内容，不可进行分包。</w:t>
            </w:r>
          </w:p>
        </w:tc>
      </w:tr>
      <w:tr>
        <w:tblPrEx>
          <w:tblCellMar>
            <w:top w:w="0" w:type="dxa"/>
            <w:left w:w="108" w:type="dxa"/>
            <w:bottom w:w="0" w:type="dxa"/>
            <w:right w:w="108" w:type="dxa"/>
          </w:tblCellMar>
        </w:tblPrEx>
        <w:trPr>
          <w:trHeight w:val="1200" w:hRule="atLeast"/>
          <w:jc w:val="center"/>
        </w:trPr>
        <w:tc>
          <w:tcPr>
            <w:tcW w:w="778" w:type="dxa"/>
            <w:vMerge w:val="restart"/>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服务能力支撑</w:t>
            </w:r>
          </w:p>
        </w:tc>
        <w:tc>
          <w:tcPr>
            <w:tcW w:w="999" w:type="dxa"/>
            <w:tcBorders>
              <w:top w:val="nil"/>
              <w:left w:val="nil"/>
              <w:bottom w:val="single" w:color="auto" w:sz="4" w:space="0"/>
              <w:right w:val="single" w:color="auto" w:sz="4" w:space="0"/>
            </w:tcBorders>
            <w:vAlign w:val="center"/>
          </w:tcPr>
          <w:p>
            <w:pPr>
              <w:widowControl/>
              <w:jc w:val="center"/>
              <w:rPr>
                <w:rFonts w:hint="eastAsia" w:ascii="黑体" w:hAnsi="黑体" w:eastAsia="黑体" w:cs="宋体"/>
                <w:color w:val="000000"/>
                <w:kern w:val="0"/>
                <w:sz w:val="20"/>
                <w:szCs w:val="20"/>
                <w:highlight w:val="none"/>
                <w:lang w:eastAsia="zh-CN"/>
              </w:rPr>
            </w:pPr>
            <w:r>
              <w:rPr>
                <w:rFonts w:hint="eastAsia" w:ascii="黑体" w:hAnsi="黑体" w:eastAsia="黑体" w:cs="宋体"/>
                <w:color w:val="000000"/>
                <w:kern w:val="0"/>
                <w:sz w:val="20"/>
                <w:szCs w:val="20"/>
                <w:highlight w:val="none"/>
              </w:rPr>
              <w:t>AI+</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一网通办</w:t>
            </w:r>
            <w:r>
              <w:rPr>
                <w:rFonts w:hint="eastAsia" w:ascii="黑体" w:hAnsi="黑体" w:eastAsia="黑体" w:cs="宋体"/>
                <w:color w:val="000000"/>
                <w:kern w:val="0"/>
                <w:sz w:val="20"/>
                <w:szCs w:val="20"/>
                <w:highlight w:val="none"/>
                <w:lang w:eastAsia="zh-CN"/>
              </w:rPr>
              <w:t>”</w:t>
            </w: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7</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AI+一网通办</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服务模型建模（精准化、主动化、智能化服务）</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该项服务内容的最大分包比例为30%，最小分包比例为0%。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99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城市码</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（随申码）</w:t>
            </w: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8</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城市码</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（随申码）应用场景拓展及能力支撑</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该项服务内容的最大分包比例为30%，最小分包比例为0%。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999" w:type="dxa"/>
            <w:vMerge w:val="restart"/>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一网通办</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平台基础服务能力支撑</w:t>
            </w: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9</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统一用户体系（身份认证）对接及能力支撑</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该项服务内容的最大分包比例为100%，最小分包比例为0%。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10</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统一检索平台对接及能力支撑</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该项服务内容为本项目的主体内容，不可进行分包。</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20"/>
                <w:szCs w:val="20"/>
                <w:highlight w:val="none"/>
              </w:rPr>
            </w:pPr>
            <w:r>
              <w:rPr>
                <w:rFonts w:hint="eastAsia" w:ascii="黑体" w:hAnsi="黑体" w:eastAsia="黑体" w:cs="宋体"/>
                <w:kern w:val="0"/>
                <w:sz w:val="20"/>
                <w:szCs w:val="20"/>
                <w:highlight w:val="none"/>
              </w:rPr>
              <w:t>11</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20"/>
                <w:szCs w:val="20"/>
                <w:highlight w:val="none"/>
              </w:rPr>
            </w:pPr>
            <w:r>
              <w:rPr>
                <w:rFonts w:hint="eastAsia" w:ascii="黑体" w:hAnsi="黑体" w:eastAsia="黑体" w:cs="宋体"/>
                <w:kern w:val="0"/>
                <w:sz w:val="20"/>
                <w:szCs w:val="20"/>
                <w:highlight w:val="none"/>
              </w:rPr>
              <w:t>政策及免申即享消息推送对接及能力支撑</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该项服务内容的最大分包比例为50%，最小分包比例为0%。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12</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电子证照库对接及能力支撑</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该项服务内容的最大分包比例为20%，最小分包比例为0%。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13</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统一服务中台对接及事项办理能力支撑</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该项服务内容的最大分包比例为20%，最小分包比例为0%。</w:t>
            </w:r>
          </w:p>
        </w:tc>
      </w:tr>
      <w:tr>
        <w:tblPrEx>
          <w:tblCellMar>
            <w:top w:w="0" w:type="dxa"/>
            <w:left w:w="108" w:type="dxa"/>
            <w:bottom w:w="0" w:type="dxa"/>
            <w:right w:w="108" w:type="dxa"/>
          </w:tblCellMar>
        </w:tblPrEx>
        <w:trPr>
          <w:trHeight w:val="96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14</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统一预约平台（政务服务地图）对接及能力支撑</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该项服务内容为本项目的主体内容，不可进行分包。</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15</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统一知识库对接及能力支撑</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该项服务内容为本项目的主体内容，不可进行分包。</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16</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统一支付平台对接及能力支撑</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该项服务内容为本项目的主体内容，不可进行分包。</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17</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统一物流平台对接及能力支撑</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该项服务内容为本项目的主体内容，不可进行分包。</w:t>
            </w:r>
          </w:p>
        </w:tc>
      </w:tr>
      <w:tr>
        <w:tblPrEx>
          <w:tblCellMar>
            <w:top w:w="0" w:type="dxa"/>
            <w:left w:w="108" w:type="dxa"/>
            <w:bottom w:w="0" w:type="dxa"/>
            <w:right w:w="108" w:type="dxa"/>
          </w:tblCellMar>
        </w:tblPrEx>
        <w:trPr>
          <w:trHeight w:val="960" w:hRule="atLeast"/>
          <w:jc w:val="center"/>
        </w:trPr>
        <w:tc>
          <w:tcPr>
            <w:tcW w:w="778" w:type="dxa"/>
            <w:vMerge w:val="restart"/>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其他服务保障</w:t>
            </w:r>
          </w:p>
        </w:tc>
        <w:tc>
          <w:tcPr>
            <w:tcW w:w="999" w:type="dxa"/>
            <w:vMerge w:val="restart"/>
            <w:tcBorders>
              <w:top w:val="nil"/>
              <w:left w:val="nil"/>
              <w:bottom w:val="single" w:color="auto" w:sz="4" w:space="0"/>
              <w:right w:val="single" w:color="auto" w:sz="4" w:space="0"/>
            </w:tcBorders>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br w:type="textWrapping"/>
            </w:r>
            <w:r>
              <w:rPr>
                <w:rFonts w:hint="eastAsia" w:ascii="黑体" w:hAnsi="黑体" w:eastAsia="黑体" w:cs="宋体"/>
                <w:color w:val="000000"/>
                <w:kern w:val="0"/>
                <w:sz w:val="20"/>
                <w:szCs w:val="20"/>
                <w:highlight w:val="none"/>
              </w:rPr>
              <w:br w:type="textWrapping"/>
            </w:r>
            <w:r>
              <w:rPr>
                <w:rFonts w:hint="eastAsia" w:ascii="黑体" w:hAnsi="黑体" w:eastAsia="黑体" w:cs="宋体"/>
                <w:color w:val="000000"/>
                <w:kern w:val="0"/>
                <w:sz w:val="20"/>
                <w:szCs w:val="20"/>
                <w:highlight w:val="none"/>
              </w:rPr>
              <w:br w:type="textWrapping"/>
            </w:r>
            <w:r>
              <w:rPr>
                <w:rFonts w:hint="eastAsia" w:ascii="黑体" w:hAnsi="黑体" w:eastAsia="黑体" w:cs="宋体"/>
                <w:color w:val="000000"/>
                <w:kern w:val="0"/>
                <w:sz w:val="20"/>
                <w:szCs w:val="20"/>
                <w:highlight w:val="none"/>
              </w:rPr>
              <w:br w:type="textWrapping"/>
            </w:r>
            <w:r>
              <w:rPr>
                <w:rFonts w:hint="eastAsia" w:ascii="黑体" w:hAnsi="黑体" w:eastAsia="黑体" w:cs="宋体"/>
                <w:color w:val="000000"/>
                <w:kern w:val="0"/>
                <w:sz w:val="20"/>
                <w:szCs w:val="20"/>
                <w:highlight w:val="none"/>
              </w:rPr>
              <w:br w:type="textWrapping"/>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一网通办</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平台日常运营保障</w:t>
            </w: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18</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中国上海</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门户网站运营（综合业务服务、英文版运营）</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该项服务内容的最大分包比例为100%，最小分包比例为0%。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19</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随申码</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（亲属码）人工审核</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该项服务内容的最大分包比例为100%，最小分包比例为0%。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20</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一网通办</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在线客服技术支持</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该项服务内容的最大分包比例为100%，最小分包比例为0%。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21</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一网通办</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服务能力决策分析</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该项服务内容的最大分包比例为100%，最小分包比例为0%。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22</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一网通办</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用户体验设计</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该项服务内容的最大分包比例为100%，最小分包比例为0%。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23</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一网通办</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政务服务</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好差评</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审核分析</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该项服务内容的最大分包比例为100%，最小分包比例为0%。</w:t>
            </w:r>
          </w:p>
        </w:tc>
      </w:tr>
      <w:tr>
        <w:tblPrEx>
          <w:tblCellMar>
            <w:top w:w="0" w:type="dxa"/>
            <w:left w:w="108" w:type="dxa"/>
            <w:bottom w:w="0" w:type="dxa"/>
            <w:right w:w="108" w:type="dxa"/>
          </w:tblCellMar>
        </w:tblPrEx>
        <w:trPr>
          <w:trHeight w:val="96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24</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一网通办</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事项库与办件库（主题申报库）保障</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该项服务内容的最大分包比例为100%，最小分包比例为0%。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25</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一网通办</w:t>
            </w:r>
            <w:r>
              <w:rPr>
                <w:rFonts w:hint="eastAsia" w:ascii="黑体" w:hAnsi="黑体" w:eastAsia="黑体" w:cs="宋体"/>
                <w:color w:val="000000"/>
                <w:kern w:val="0"/>
                <w:sz w:val="20"/>
                <w:szCs w:val="20"/>
                <w:highlight w:val="none"/>
                <w:lang w:eastAsia="zh-CN"/>
              </w:rPr>
              <w:t>”</w:t>
            </w:r>
            <w:r>
              <w:rPr>
                <w:rFonts w:hint="eastAsia" w:ascii="黑体" w:hAnsi="黑体" w:eastAsia="黑体" w:cs="宋体"/>
                <w:color w:val="000000"/>
                <w:kern w:val="0"/>
                <w:sz w:val="20"/>
                <w:szCs w:val="20"/>
                <w:highlight w:val="none"/>
              </w:rPr>
              <w:t>平台运行保障</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该项服务内容的最大分包比例为80%，最小分包比例为0%。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999" w:type="dxa"/>
            <w:vMerge w:val="restart"/>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20"/>
                <w:szCs w:val="20"/>
                <w:highlight w:val="none"/>
              </w:rPr>
            </w:pPr>
            <w:r>
              <w:rPr>
                <w:rFonts w:hint="eastAsia" w:ascii="黑体" w:hAnsi="黑体" w:eastAsia="黑体" w:cs="宋体"/>
                <w:kern w:val="0"/>
                <w:sz w:val="20"/>
                <w:szCs w:val="20"/>
                <w:highlight w:val="none"/>
              </w:rPr>
              <w:t>安全保障</w:t>
            </w: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20"/>
                <w:szCs w:val="20"/>
                <w:highlight w:val="none"/>
              </w:rPr>
            </w:pPr>
            <w:r>
              <w:rPr>
                <w:rFonts w:hint="eastAsia" w:ascii="黑体" w:hAnsi="黑体" w:eastAsia="黑体" w:cs="宋体"/>
                <w:kern w:val="0"/>
                <w:sz w:val="20"/>
                <w:szCs w:val="20"/>
                <w:highlight w:val="none"/>
              </w:rPr>
              <w:t>26</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20"/>
                <w:szCs w:val="20"/>
                <w:highlight w:val="none"/>
              </w:rPr>
            </w:pPr>
            <w:r>
              <w:rPr>
                <w:rFonts w:hint="eastAsia" w:ascii="黑体" w:hAnsi="黑体" w:eastAsia="黑体" w:cs="宋体"/>
                <w:kern w:val="0"/>
                <w:sz w:val="20"/>
                <w:szCs w:val="20"/>
                <w:highlight w:val="none"/>
              </w:rPr>
              <w:t>安全服务保障</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该项服务内容的最大分包比例为100%，最小分包比例为0%。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20"/>
                <w:szCs w:val="20"/>
                <w:highlight w:val="none"/>
              </w:rPr>
            </w:pPr>
            <w:r>
              <w:rPr>
                <w:rFonts w:hint="eastAsia" w:ascii="黑体" w:hAnsi="黑体" w:eastAsia="黑体" w:cs="宋体"/>
                <w:kern w:val="0"/>
                <w:sz w:val="20"/>
                <w:szCs w:val="20"/>
                <w:highlight w:val="none"/>
              </w:rPr>
              <w:t>27</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20"/>
                <w:szCs w:val="20"/>
                <w:highlight w:val="none"/>
              </w:rPr>
            </w:pPr>
            <w:r>
              <w:rPr>
                <w:rFonts w:hint="eastAsia" w:ascii="黑体" w:hAnsi="黑体" w:eastAsia="黑体" w:cs="宋体"/>
                <w:kern w:val="0"/>
                <w:sz w:val="20"/>
                <w:szCs w:val="20"/>
                <w:highlight w:val="none"/>
              </w:rPr>
              <w:t>安全等保测评</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该项服务内容的最大分包比例为100%，最小分包比例为0%。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黑体" w:hAnsi="黑体" w:eastAsia="黑体" w:cs="宋体"/>
                <w:kern w:val="0"/>
                <w:sz w:val="20"/>
                <w:szCs w:val="20"/>
                <w:highlight w:val="none"/>
              </w:rPr>
            </w:pP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20"/>
                <w:szCs w:val="20"/>
                <w:highlight w:val="none"/>
              </w:rPr>
            </w:pPr>
            <w:r>
              <w:rPr>
                <w:rFonts w:hint="eastAsia" w:ascii="黑体" w:hAnsi="黑体" w:eastAsia="黑体" w:cs="宋体"/>
                <w:kern w:val="0"/>
                <w:sz w:val="20"/>
                <w:szCs w:val="20"/>
                <w:highlight w:val="none"/>
              </w:rPr>
              <w:t>28</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20"/>
                <w:szCs w:val="20"/>
                <w:highlight w:val="none"/>
              </w:rPr>
            </w:pPr>
            <w:r>
              <w:rPr>
                <w:rFonts w:hint="eastAsia" w:ascii="黑体" w:hAnsi="黑体" w:eastAsia="黑体" w:cs="宋体"/>
                <w:kern w:val="0"/>
                <w:sz w:val="20"/>
                <w:szCs w:val="20"/>
                <w:highlight w:val="none"/>
              </w:rPr>
              <w:t>安全审计分析</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该项服务内容的最大分包比例为100%，最小分包比例为0%。</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highlight w:val="none"/>
              </w:rPr>
            </w:pPr>
          </w:p>
        </w:tc>
        <w:tc>
          <w:tcPr>
            <w:tcW w:w="999"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20"/>
                <w:szCs w:val="20"/>
                <w:highlight w:val="none"/>
              </w:rPr>
            </w:pPr>
            <w:r>
              <w:rPr>
                <w:rFonts w:hint="eastAsia" w:ascii="黑体" w:hAnsi="黑体" w:eastAsia="黑体" w:cs="宋体"/>
                <w:kern w:val="0"/>
                <w:sz w:val="20"/>
                <w:szCs w:val="20"/>
                <w:highlight w:val="none"/>
              </w:rPr>
              <w:t>短信服务保障</w:t>
            </w:r>
          </w:p>
        </w:tc>
        <w:tc>
          <w:tcPr>
            <w:tcW w:w="417"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20"/>
                <w:szCs w:val="20"/>
                <w:highlight w:val="none"/>
              </w:rPr>
            </w:pPr>
            <w:r>
              <w:rPr>
                <w:rFonts w:hint="eastAsia" w:ascii="黑体" w:hAnsi="黑体" w:eastAsia="黑体" w:cs="宋体"/>
                <w:kern w:val="0"/>
                <w:sz w:val="20"/>
                <w:szCs w:val="20"/>
                <w:highlight w:val="none"/>
              </w:rPr>
              <w:t>29</w:t>
            </w:r>
          </w:p>
        </w:tc>
        <w:tc>
          <w:tcPr>
            <w:tcW w:w="1697"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20"/>
                <w:szCs w:val="20"/>
                <w:highlight w:val="none"/>
              </w:rPr>
            </w:pPr>
            <w:r>
              <w:rPr>
                <w:rFonts w:hint="eastAsia" w:ascii="黑体" w:hAnsi="黑体" w:eastAsia="黑体" w:cs="宋体"/>
                <w:kern w:val="0"/>
                <w:sz w:val="20"/>
                <w:szCs w:val="20"/>
                <w:highlight w:val="none"/>
              </w:rPr>
              <w:t>短信提醒</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739" w:type="dxa"/>
            <w:tcBorders>
              <w:top w:val="nil"/>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w:t>
            </w:r>
          </w:p>
        </w:tc>
        <w:tc>
          <w:tcPr>
            <w:tcW w:w="2275" w:type="dxa"/>
            <w:tcBorders>
              <w:top w:val="nil"/>
              <w:left w:val="nil"/>
              <w:bottom w:val="single" w:color="auto" w:sz="4" w:space="0"/>
              <w:right w:val="single" w:color="auto" w:sz="4" w:space="0"/>
            </w:tcBorders>
            <w:vAlign w:val="center"/>
          </w:tcPr>
          <w:p>
            <w:pPr>
              <w:widowControl/>
              <w:rPr>
                <w:rFonts w:ascii="黑体" w:hAnsi="黑体" w:eastAsia="黑体" w:cs="宋体"/>
                <w:color w:val="000000"/>
                <w:kern w:val="0"/>
                <w:sz w:val="20"/>
                <w:szCs w:val="20"/>
                <w:highlight w:val="none"/>
              </w:rPr>
            </w:pPr>
            <w:r>
              <w:rPr>
                <w:rFonts w:hint="eastAsia" w:ascii="黑体" w:hAnsi="黑体" w:eastAsia="黑体" w:cs="宋体"/>
                <w:color w:val="000000"/>
                <w:kern w:val="0"/>
                <w:sz w:val="20"/>
                <w:szCs w:val="20"/>
                <w:highlight w:val="none"/>
              </w:rPr>
              <w:t>该项服务内容的最大分包比例为100%，最小分包比例为0%。</w:t>
            </w:r>
          </w:p>
        </w:tc>
      </w:tr>
    </w:tbl>
    <w:p>
      <w:pPr>
        <w:widowControl/>
        <w:spacing w:before="240" w:line="360" w:lineRule="auto"/>
        <w:ind w:firstLine="640" w:firstLineChars="200"/>
        <w:jc w:val="left"/>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九、项目投标要求</w:t>
      </w:r>
    </w:p>
    <w:p>
      <w:pPr>
        <w:spacing w:line="360" w:lineRule="auto"/>
        <w:ind w:firstLine="643" w:firstLineChars="200"/>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（一）现场演示要求</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要求供应商在投标时根据项目采购单位提出的各项项目运营服务工作需求，通过项目案例介绍的形式进行详细地现场演示说明。现场演示通过视频播放的形式进行，演示视频应通过旁白配音的形式进行有声说明（同步配套对应的文字说明），视频内容的时间长度要求不超过7分钟，超过7分钟的将仅播放前7分钟演示内容。供应商应在投标截止日前，在提交投标材料时同步提交存有演示视频的U盘等可用于现场演示的数据存储介质，作为现场演示说明的附件材料（此数据存储介质在项目结束后一并归档）。</w:t>
      </w:r>
    </w:p>
    <w:p>
      <w:pPr>
        <w:spacing w:line="360" w:lineRule="auto"/>
        <w:ind w:firstLine="643" w:firstLineChars="200"/>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（二）演示内容要求</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视频演示内容应围绕本项目各项运营服务工作内容的实际需求，聚焦如何为本项目的各项服务内容提供全面高效的运营服务保障、如何有效解决本项目在运营过程中的难点痛点问题、是否有现成的成熟安全的数字化产品工具或平台系统为本项目提供可快速实施的运营服务保障等各方面，结合供应商以往参与过类似本项目的真实有效案例（1-2个）进行演示介绍说明。演示内容要求能涵盖本项目服务目录的各项服务内容。介绍的真实案例应同步阐述与本项目各项服务内容的契合度与相似度。演示内容所提及的相关前台及后台系统、平台、应用、工具等都应做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功能模块完善、操作体验良好、界面风格统一、数据质量达标、安全防护可控</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w:t>
      </w:r>
    </w:p>
    <w:p>
      <w:pPr>
        <w:spacing w:line="360" w:lineRule="auto"/>
        <w:ind w:firstLine="643" w:firstLineChars="200"/>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（三）投标文件要求</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供应商应确保所提交的投标文件材料的质量及内容符合本项目的各项要求，要求根据本项目需求做到完整、全面、真实、有效，应确保投标文件材料的文字内容完整详实、语言表述专业准确、体例结构规范合理。投标文件材料应包括所有本项目要求供应商提供的相关附件材料及资质证明，如企业资质证明、人员资质证明、相关承诺函件、运营保障方案以及相关运营服务要求的响应情况等。</w:t>
      </w:r>
      <w:r>
        <w:rPr>
          <w:rFonts w:hint="eastAsia" w:ascii="Times New Roman" w:hAnsi="Times New Roman" w:eastAsia="仿宋_GB2312" w:cs="Times New Roman"/>
          <w:sz w:val="32"/>
          <w:szCs w:val="32"/>
          <w:highlight w:val="none"/>
        </w:rPr>
        <w:t>供应商联合投标的，相关投标文件材料应由联合体各方分别加盖公章。</w:t>
      </w:r>
    </w:p>
    <w:p>
      <w:pPr>
        <w:widowControl/>
        <w:spacing w:line="360" w:lineRule="auto"/>
        <w:ind w:firstLine="640" w:firstLineChars="200"/>
        <w:jc w:val="left"/>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十、其他项目要求</w:t>
      </w:r>
    </w:p>
    <w:p>
      <w:pPr>
        <w:spacing w:line="360" w:lineRule="auto"/>
        <w:ind w:firstLine="643" w:firstLineChars="200"/>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（一）项目服务期限</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本项目为一招一年项目，服务期限不超过自合同签订生效之日起的12个月，实际服务期限的到期时间以供应商完成本项目当年度服务周期内所有运营服务工作内容的具体时间为准。</w:t>
      </w:r>
    </w:p>
    <w:p>
      <w:pPr>
        <w:spacing w:line="360" w:lineRule="auto"/>
        <w:ind w:firstLine="643" w:firstLineChars="200"/>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（二）项目合同签订</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项目采购单位将在本项目确定最终的中标供应商后与其签订服务合同，并以供应商在投标文件中所申报的各项运营服务内容单价以及总体报价作为本项目的最终中标单价与最终项目预估总价，签订的合同金额即为中标的最终项目预估总价。本项目的中标供应商应在自合同签订之日起的15个工作日内完成所有与本项目相关的运营服务前期准备工作并按照项目采购单位的工作要求和实际需求提供相应的运营服务保障。若供应商按照采购单位要求在服务期限到期前提前完成本项目所有运营服务工作内容并通过相关验收绩效考评，则可视为本项目服务期限提前期满，项目采购单位有权提前终止合同，并按照有关要求开展新一年度服务周期的运营服务项目采购工作。</w:t>
      </w:r>
    </w:p>
    <w:p>
      <w:pPr>
        <w:spacing w:line="360" w:lineRule="auto"/>
        <w:ind w:firstLine="643" w:firstLineChars="200"/>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（三）过程验收管理</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本项目根据有关工作要求动态开展项目全过程验收管理工作，具体包括以下几方面：</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依托项目全流程管理平台开展运营服务工作。供应商应按照采购单位要求，提供相关运营服务项目全流程管理平台，满足采购单位、第三方支撑单位、供应商等不同用户角色的使用需求，满足运营服务单发放、运营服务工作成果交付、阶段工作量结算、项目过程及验收管理等各方面需求，项目相关文档材料应在管理平台进行流转和归档。</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编制完善并提交月度运营报告。运营服务周期内，在每个月运营服务工作结束后，在下个月度10个工作日内，供应商应按照采购方要求提交月度报告至第三方支撑单位，并根据第三方支撑单位意见及时修改完善；供应商应配合第三方支撑单位，自提交之日起的10个工作日内完成月度报告内容修改，并协助第三方支撑单位将修改后的月度报告提交至采购方；未按时提交以上材料将扣除供应商月度运营服务结算费用3%。</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配合完成阶段性工作量结算及绩效评价（验收）。本项目在当年度运营周期内的6个月及9个月两个节点进行阶段性运营工作量结算及绩效评价（验收）。供应商应按照采购单位要求，在到达阶段性工作量结算及绩效评价（验收）时间节点之后的20个工作日内提交相关材料至第三方支撑单位（材料具体包括阶段性项目运营总结报告、相关服务任务单完成情况、服务目录相关工作量申报情况、相关项目过程管理佐证材料以及相关绩效评价指标完成情况等），并根据第三方支撑单位意见在15个工作日内完成修改完善，并提交至项目采购单位，未按时提交以上材料将扣除供应商相应服务周期对应结算服务费用的3%。</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配合完成年度工作量结算及绩效评价（验收）。本项目在当年度运营周期结束后进行年度运营工作量结算及绩效评价（验收）。供应商应按照采购单位要求，在当年度运营周期结束后的20个工作日内提交相关材料至第三方支撑单位（材料具体包括项目年度运营总结报告、所有服务任务单完成情况、服务目录总体工作量申报情况、所有项目过程管理佐证材料以及所有绩效评价指标完成情况等等），并根据第三方支撑单位意见在15个工作日内完成修改完善，并提交至项目采购单位，未按时提交以上材料将扣除供应商当年度服务周期年度结算服务费用的3%。</w:t>
      </w:r>
    </w:p>
    <w:p>
      <w:pPr>
        <w:spacing w:line="360" w:lineRule="auto"/>
        <w:ind w:firstLine="643" w:firstLineChars="200"/>
        <w:outlineLvl w:val="1"/>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（四）项目绩效评价</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先预付使用、后按实结算</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的运营服务类项目，项目采购单位采用绩效考核评估（验收）的方式对供应商提供的运营服务进行综合评价，以此对供应商提供运营服务的整体情况进行综合考量。</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1）评价时间</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本项目的年度绩效评价工作将在供应商完成当年度各项运营服务内容后的15个工作日内由项目采购单位组织开展。</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2）评价范围</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评价的范围将覆盖供应商对本项目各项运营服务工作内容的完成数量、完成质量、绩效情况、问题处置、安全保障、用户评价等各方面情况以及供应商在实际开展运营服务工作过程中的服务响应、服务态度、服务保障等各方面情况。其中，安全保障情况将作为项目综合绩效考评的重点评估指标。</w:t>
      </w:r>
    </w:p>
    <w:p>
      <w:pPr>
        <w:spacing w:line="360" w:lineRule="auto"/>
        <w:ind w:firstLine="643" w:firstLineChars="200"/>
        <w:outlineLvl w:val="2"/>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3）评价标准</w:t>
      </w:r>
    </w:p>
    <w:p>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本项目的后绩效考核评价工作以</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的相关总体工作要求为基础，基于</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的运营服务考核指标评价体系为参照标准具体实施，具体详细考评内容参见下表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一网通办</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运营服务考核指标明细表所示。</w:t>
      </w:r>
    </w:p>
    <w:tbl>
      <w:tblPr>
        <w:tblStyle w:val="12"/>
        <w:tblW w:w="10738" w:type="dxa"/>
        <w:jc w:val="center"/>
        <w:tblLayout w:type="autofit"/>
        <w:tblCellMar>
          <w:top w:w="0" w:type="dxa"/>
          <w:left w:w="108" w:type="dxa"/>
          <w:bottom w:w="0" w:type="dxa"/>
          <w:right w:w="108" w:type="dxa"/>
        </w:tblCellMar>
      </w:tblPr>
      <w:tblGrid>
        <w:gridCol w:w="787"/>
        <w:gridCol w:w="1277"/>
        <w:gridCol w:w="850"/>
        <w:gridCol w:w="3119"/>
        <w:gridCol w:w="709"/>
        <w:gridCol w:w="3996"/>
      </w:tblGrid>
      <w:tr>
        <w:tblPrEx>
          <w:tblCellMar>
            <w:top w:w="0" w:type="dxa"/>
            <w:left w:w="108" w:type="dxa"/>
            <w:bottom w:w="0" w:type="dxa"/>
            <w:right w:w="108" w:type="dxa"/>
          </w:tblCellMar>
        </w:tblPrEx>
        <w:trPr>
          <w:trHeight w:val="285" w:hRule="atLeast"/>
          <w:tblHeader/>
          <w:jc w:val="center"/>
        </w:trPr>
        <w:tc>
          <w:tcPr>
            <w:tcW w:w="787" w:type="dxa"/>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ascii="黑体" w:hAnsi="黑体" w:eastAsia="黑体" w:cs="宋体"/>
                <w:b/>
                <w:bCs/>
                <w:color w:val="000000"/>
                <w:kern w:val="0"/>
                <w:sz w:val="24"/>
                <w:highlight w:val="none"/>
              </w:rPr>
            </w:pPr>
            <w:r>
              <w:rPr>
                <w:rFonts w:hint="eastAsia" w:ascii="黑体" w:hAnsi="黑体" w:eastAsia="黑体" w:cs="宋体"/>
                <w:b/>
                <w:bCs/>
                <w:color w:val="000000"/>
                <w:kern w:val="0"/>
                <w:sz w:val="24"/>
                <w:highlight w:val="none"/>
              </w:rPr>
              <w:t>序号</w:t>
            </w:r>
          </w:p>
        </w:tc>
        <w:tc>
          <w:tcPr>
            <w:tcW w:w="1277"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黑体" w:hAnsi="黑体" w:eastAsia="黑体" w:cs="宋体"/>
                <w:b/>
                <w:bCs/>
                <w:color w:val="000000"/>
                <w:kern w:val="0"/>
                <w:sz w:val="24"/>
                <w:highlight w:val="none"/>
              </w:rPr>
            </w:pPr>
            <w:r>
              <w:rPr>
                <w:rFonts w:hint="eastAsia" w:ascii="黑体" w:hAnsi="黑体" w:eastAsia="黑体" w:cs="宋体"/>
                <w:b/>
                <w:bCs/>
                <w:color w:val="000000"/>
                <w:kern w:val="0"/>
                <w:sz w:val="24"/>
                <w:highlight w:val="none"/>
              </w:rPr>
              <w:t>一级指标</w:t>
            </w:r>
          </w:p>
        </w:tc>
        <w:tc>
          <w:tcPr>
            <w:tcW w:w="850"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黑体" w:hAnsi="黑体" w:eastAsia="黑体" w:cs="宋体"/>
                <w:b/>
                <w:bCs/>
                <w:color w:val="000000"/>
                <w:kern w:val="0"/>
                <w:sz w:val="24"/>
                <w:highlight w:val="none"/>
              </w:rPr>
            </w:pPr>
            <w:r>
              <w:rPr>
                <w:rFonts w:hint="eastAsia" w:ascii="黑体" w:hAnsi="黑体" w:eastAsia="黑体" w:cs="宋体"/>
                <w:b/>
                <w:bCs/>
                <w:color w:val="000000"/>
                <w:kern w:val="0"/>
                <w:sz w:val="24"/>
                <w:highlight w:val="none"/>
              </w:rPr>
              <w:t>分值</w:t>
            </w:r>
          </w:p>
        </w:tc>
        <w:tc>
          <w:tcPr>
            <w:tcW w:w="3119"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黑体" w:hAnsi="黑体" w:eastAsia="黑体" w:cs="宋体"/>
                <w:b/>
                <w:bCs/>
                <w:color w:val="000000"/>
                <w:kern w:val="0"/>
                <w:sz w:val="24"/>
                <w:highlight w:val="none"/>
              </w:rPr>
            </w:pPr>
            <w:r>
              <w:rPr>
                <w:rFonts w:hint="eastAsia" w:ascii="黑体" w:hAnsi="黑体" w:eastAsia="黑体" w:cs="宋体"/>
                <w:b/>
                <w:bCs/>
                <w:color w:val="000000"/>
                <w:kern w:val="0"/>
                <w:sz w:val="24"/>
                <w:highlight w:val="none"/>
              </w:rPr>
              <w:t>二级指标</w:t>
            </w:r>
          </w:p>
        </w:tc>
        <w:tc>
          <w:tcPr>
            <w:tcW w:w="709"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黑体" w:hAnsi="黑体" w:eastAsia="黑体" w:cs="宋体"/>
                <w:b/>
                <w:bCs/>
                <w:color w:val="000000"/>
                <w:kern w:val="0"/>
                <w:sz w:val="24"/>
                <w:highlight w:val="none"/>
              </w:rPr>
            </w:pPr>
            <w:r>
              <w:rPr>
                <w:rFonts w:hint="eastAsia" w:ascii="黑体" w:hAnsi="黑体" w:eastAsia="黑体" w:cs="宋体"/>
                <w:b/>
                <w:bCs/>
                <w:color w:val="000000"/>
                <w:kern w:val="0"/>
                <w:sz w:val="24"/>
                <w:highlight w:val="none"/>
              </w:rPr>
              <w:t>分值</w:t>
            </w:r>
          </w:p>
        </w:tc>
        <w:tc>
          <w:tcPr>
            <w:tcW w:w="3996"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黑体" w:hAnsi="黑体" w:eastAsia="黑体" w:cs="宋体"/>
                <w:b/>
                <w:bCs/>
                <w:color w:val="000000"/>
                <w:kern w:val="0"/>
                <w:sz w:val="24"/>
                <w:highlight w:val="none"/>
              </w:rPr>
            </w:pPr>
            <w:r>
              <w:rPr>
                <w:rFonts w:hint="eastAsia" w:ascii="黑体" w:hAnsi="黑体" w:eastAsia="黑体" w:cs="宋体"/>
                <w:b/>
                <w:bCs/>
                <w:color w:val="000000"/>
                <w:kern w:val="0"/>
                <w:sz w:val="24"/>
                <w:highlight w:val="none"/>
              </w:rPr>
              <w:t>评估要点</w:t>
            </w:r>
          </w:p>
        </w:tc>
      </w:tr>
      <w:tr>
        <w:tblPrEx>
          <w:tblCellMar>
            <w:top w:w="0" w:type="dxa"/>
            <w:left w:w="108" w:type="dxa"/>
            <w:bottom w:w="0" w:type="dxa"/>
            <w:right w:w="108" w:type="dxa"/>
          </w:tblCellMar>
        </w:tblPrEx>
        <w:trPr>
          <w:trHeight w:val="28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一</w:t>
            </w:r>
          </w:p>
        </w:tc>
        <w:tc>
          <w:tcPr>
            <w:tcW w:w="99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能力建设情况（30分）</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能力接入</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单部门事项接入情况（PC端、移动端、自助终端）</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评估政务服务事项的新增接入和优化迭代情况</w:t>
            </w:r>
          </w:p>
        </w:tc>
      </w:tr>
      <w:tr>
        <w:tblPrEx>
          <w:tblCellMar>
            <w:top w:w="0" w:type="dxa"/>
            <w:left w:w="108" w:type="dxa"/>
            <w:bottom w:w="0" w:type="dxa"/>
            <w:right w:w="108" w:type="dxa"/>
          </w:tblCellMar>
        </w:tblPrEx>
        <w:trPr>
          <w:trHeight w:val="85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特色服务（如智慧好办事项）接入情况（PC端、移动端、自助终端）</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评估特色服务的新增接入和优化迭代情况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统一公共支付事项接入情况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评估统一支付事项的新增接入和优化迭代情况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统一物流递送事项接入情况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评估物流递送事项的新增接入和优化迭代情况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5</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跨省通办事项接入情况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评估新接和调整长三角</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服务接入情况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6</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高效办成</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一件事</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接入情况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一件事</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的新增接入和优化迭代情况</w:t>
            </w:r>
          </w:p>
        </w:tc>
      </w:tr>
      <w:tr>
        <w:tblPrEx>
          <w:tblCellMar>
            <w:top w:w="0" w:type="dxa"/>
            <w:left w:w="108" w:type="dxa"/>
            <w:bottom w:w="0" w:type="dxa"/>
            <w:right w:w="108" w:type="dxa"/>
          </w:tblCellMar>
        </w:tblPrEx>
        <w:trPr>
          <w:trHeight w:val="16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7</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电子证照接入情况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评估电子证照的新增接入和优化迭代情况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8</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政务地图办理点接入情况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评估政务地图统一预约平台办理点的接入情况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9</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场景化服务接入情况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评估主题服务专栏的新增接入和优化迭代情况</w:t>
            </w:r>
          </w:p>
        </w:tc>
      </w:tr>
      <w:tr>
        <w:tblPrEx>
          <w:tblCellMar>
            <w:top w:w="0" w:type="dxa"/>
            <w:left w:w="108" w:type="dxa"/>
            <w:bottom w:w="0" w:type="dxa"/>
            <w:right w:w="108" w:type="dxa"/>
          </w:tblCellMar>
        </w:tblPrEx>
        <w:trPr>
          <w:trHeight w:val="133"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10</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赋能支撑</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服务接口能力赋能情况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评估通过统一服务中台提供接口服务的赋能情况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11</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城市码</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（随申码）应用场景拓展情况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随申码</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应用场景拓展情况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12</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AI+一网通办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智能化建模赋能情况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评估AI智能建模及提供</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AI+一网通办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服务能力情况</w:t>
            </w:r>
          </w:p>
        </w:tc>
      </w:tr>
      <w:tr>
        <w:tblPrEx>
          <w:tblCellMar>
            <w:top w:w="0" w:type="dxa"/>
            <w:left w:w="108" w:type="dxa"/>
            <w:bottom w:w="0" w:type="dxa"/>
            <w:right w:w="108" w:type="dxa"/>
          </w:tblCellMar>
        </w:tblPrEx>
        <w:trPr>
          <w:trHeight w:val="21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13</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两个免交</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赋能情况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评估赋能</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两个免交</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工作的情况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14</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用证应用赋能情况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评估实现电子证照扫码亮证应用场景的情况</w:t>
            </w:r>
          </w:p>
        </w:tc>
      </w:tr>
      <w:tr>
        <w:tblPrEx>
          <w:tblCellMar>
            <w:top w:w="0" w:type="dxa"/>
            <w:left w:w="108" w:type="dxa"/>
            <w:bottom w:w="0" w:type="dxa"/>
            <w:right w:w="108" w:type="dxa"/>
          </w:tblCellMar>
        </w:tblPrEx>
        <w:trPr>
          <w:trHeight w:val="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15</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亮数应用赋能情况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评估亮数应用服务接入情况</w:t>
            </w:r>
          </w:p>
        </w:tc>
      </w:tr>
      <w:tr>
        <w:tblPrEx>
          <w:tblCellMar>
            <w:top w:w="0" w:type="dxa"/>
            <w:left w:w="108" w:type="dxa"/>
            <w:bottom w:w="0" w:type="dxa"/>
            <w:right w:w="108" w:type="dxa"/>
          </w:tblCellMar>
        </w:tblPrEx>
        <w:trPr>
          <w:trHeight w:val="85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16</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精准服务</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用户档案个性化精准化服务情况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评估个人及法人用户</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一人一档、一企一档</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信息归集，提供个性化服务的情况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17</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政策及免申即享消息推送服务主动化服务情况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评估针对用户提供消息推送的主动化服务的情况</w:t>
            </w:r>
          </w:p>
        </w:tc>
      </w:tr>
      <w:tr>
        <w:tblPrEx>
          <w:tblCellMar>
            <w:top w:w="0" w:type="dxa"/>
            <w:left w:w="108" w:type="dxa"/>
            <w:bottom w:w="0" w:type="dxa"/>
            <w:right w:w="108" w:type="dxa"/>
          </w:tblCellMar>
        </w:tblPrEx>
        <w:trPr>
          <w:trHeight w:val="431"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18</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用户画像标签体系建设情况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评估不断完善用户画像定义用户标签，提供精准化服务的情况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19</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用户行为分析情况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评估针对用户行为数据进行分析提供智能化服务的情况</w:t>
            </w:r>
          </w:p>
        </w:tc>
      </w:tr>
      <w:tr>
        <w:tblPrEx>
          <w:tblCellMar>
            <w:top w:w="0" w:type="dxa"/>
            <w:left w:w="108" w:type="dxa"/>
            <w:bottom w:w="0" w:type="dxa"/>
            <w:right w:w="108" w:type="dxa"/>
          </w:tblCellMar>
        </w:tblPrEx>
        <w:trPr>
          <w:trHeight w:val="28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二</w:t>
            </w:r>
          </w:p>
        </w:tc>
        <w:tc>
          <w:tcPr>
            <w:tcW w:w="99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服务成效情况（10分）</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20</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服务成效</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办件量</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办件库归集的办件量情况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21</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全程网办办件量</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办件库归集的全程网办办件量情况</w:t>
            </w:r>
          </w:p>
        </w:tc>
      </w:tr>
      <w:tr>
        <w:tblPrEx>
          <w:tblCellMar>
            <w:top w:w="0" w:type="dxa"/>
            <w:left w:w="108" w:type="dxa"/>
            <w:bottom w:w="0" w:type="dxa"/>
            <w:right w:w="108" w:type="dxa"/>
          </w:tblCellMar>
        </w:tblPrEx>
        <w:trPr>
          <w:trHeight w:val="359"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22</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移动渠道办理办件量</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办件库归集的移动端渠道办理的办件量情况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23</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网办比率</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办件库归集的办件量的网办比率情况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24</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全程网办比率</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办件库归集的办件量的全程网办比率情况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25</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最多跑一次比率</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办件库办件数据最多跑一次比率情况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26</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办件数据质量达标率</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办件库办件数据质量情况</w:t>
            </w:r>
          </w:p>
        </w:tc>
      </w:tr>
      <w:tr>
        <w:tblPrEx>
          <w:tblCellMar>
            <w:top w:w="0" w:type="dxa"/>
            <w:left w:w="108" w:type="dxa"/>
            <w:bottom w:w="0" w:type="dxa"/>
            <w:right w:w="108" w:type="dxa"/>
          </w:tblCellMar>
        </w:tblPrEx>
        <w:trPr>
          <w:trHeight w:val="28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三</w:t>
            </w:r>
          </w:p>
        </w:tc>
        <w:tc>
          <w:tcPr>
            <w:tcW w:w="99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日常运营情况（14分）</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27</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流量规模</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独立用户访问数（UV）</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评估独立用户访问</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服务的数量情况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28</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页面访问量（PV）</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评估用户访问浏览</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服务情况</w:t>
            </w:r>
          </w:p>
        </w:tc>
      </w:tr>
      <w:tr>
        <w:tblPrEx>
          <w:tblCellMar>
            <w:top w:w="0" w:type="dxa"/>
            <w:left w:w="108" w:type="dxa"/>
            <w:bottom w:w="0" w:type="dxa"/>
            <w:right w:w="108" w:type="dxa"/>
          </w:tblCellMar>
        </w:tblPrEx>
        <w:trPr>
          <w:trHeight w:val="551"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29</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用户规模</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每月平均活跃用户数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评估每月平均在线活跃的用户数量，通过同比、环比进行分析</w:t>
            </w:r>
          </w:p>
        </w:tc>
      </w:tr>
      <w:tr>
        <w:tblPrEx>
          <w:tblCellMar>
            <w:top w:w="0" w:type="dxa"/>
            <w:left w:w="108" w:type="dxa"/>
            <w:bottom w:w="0" w:type="dxa"/>
            <w:right w:w="108" w:type="dxa"/>
          </w:tblCellMar>
        </w:tblPrEx>
        <w:trPr>
          <w:trHeight w:val="85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30</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新增注册用户数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评估通过各渠道注册</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的新增用户数，一定程序反映各渠道的运营推广成效</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31</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流量转化</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用户推广转发数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评估用户使用推广转发</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服务的情况</w:t>
            </w:r>
          </w:p>
        </w:tc>
      </w:tr>
      <w:tr>
        <w:tblPrEx>
          <w:tblCellMar>
            <w:top w:w="0" w:type="dxa"/>
            <w:left w:w="108" w:type="dxa"/>
            <w:bottom w:w="0" w:type="dxa"/>
            <w:right w:w="108" w:type="dxa"/>
          </w:tblCellMar>
        </w:tblPrEx>
        <w:trPr>
          <w:trHeight w:val="237"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32</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分享回流率</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评估用户通过分享回流成为</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活跃用户的情况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33</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服务访问使用转化率</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评估同一服务的访问率与实际使用办理率的转化情况</w:t>
            </w:r>
          </w:p>
        </w:tc>
      </w:tr>
      <w:tr>
        <w:tblPrEx>
          <w:tblCellMar>
            <w:top w:w="0" w:type="dxa"/>
            <w:left w:w="108" w:type="dxa"/>
            <w:bottom w:w="0" w:type="dxa"/>
            <w:right w:w="108" w:type="dxa"/>
          </w:tblCellMar>
        </w:tblPrEx>
        <w:trPr>
          <w:trHeight w:val="497"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34</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流量留存</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服务跳出率</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评估服务入口页面的有效性及内容匹配情况，通过同比、环比进行分析</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35</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页面停留时长</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评估页面停留时长，通过同比、环比进行分析。</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36</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宣传推广</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宣传推文发布</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评估通过各渠道发布宣传推文办事指引攻略的数量情况</w:t>
            </w:r>
          </w:p>
        </w:tc>
      </w:tr>
      <w:tr>
        <w:tblPrEx>
          <w:tblCellMar>
            <w:top w:w="0" w:type="dxa"/>
            <w:left w:w="108" w:type="dxa"/>
            <w:bottom w:w="0" w:type="dxa"/>
            <w:right w:w="108" w:type="dxa"/>
          </w:tblCellMar>
        </w:tblPrEx>
        <w:trPr>
          <w:trHeight w:val="154"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37</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线上线下地推</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评估通过各种线上线下地推方式宣传推广</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一网通办</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的情况</w:t>
            </w:r>
          </w:p>
        </w:tc>
      </w:tr>
      <w:tr>
        <w:tblPrEx>
          <w:tblCellMar>
            <w:top w:w="0" w:type="dxa"/>
            <w:left w:w="108" w:type="dxa"/>
            <w:bottom w:w="0" w:type="dxa"/>
            <w:right w:w="108" w:type="dxa"/>
          </w:tblCellMar>
        </w:tblPrEx>
        <w:trPr>
          <w:trHeight w:val="28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四</w:t>
            </w:r>
          </w:p>
        </w:tc>
        <w:tc>
          <w:tcPr>
            <w:tcW w:w="99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智能检索情况（6分）</w:t>
            </w:r>
          </w:p>
        </w:tc>
      </w:tr>
      <w:tr>
        <w:tblPrEx>
          <w:tblCellMar>
            <w:top w:w="0" w:type="dxa"/>
            <w:left w:w="108" w:type="dxa"/>
            <w:bottom w:w="0" w:type="dxa"/>
            <w:right w:w="108" w:type="dxa"/>
          </w:tblCellMar>
        </w:tblPrEx>
        <w:trPr>
          <w:trHeight w:val="279"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38</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检索转化</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网站检索服务量</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评估检索访问情况</w:t>
            </w:r>
          </w:p>
        </w:tc>
      </w:tr>
      <w:tr>
        <w:tblPrEx>
          <w:tblCellMar>
            <w:top w:w="0" w:type="dxa"/>
            <w:left w:w="108" w:type="dxa"/>
            <w:bottom w:w="0" w:type="dxa"/>
            <w:right w:w="108" w:type="dxa"/>
          </w:tblCellMar>
        </w:tblPrEx>
        <w:trPr>
          <w:trHeight w:val="128"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39</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网站检索词条量</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评估检索信息量情况</w:t>
            </w:r>
          </w:p>
        </w:tc>
      </w:tr>
      <w:tr>
        <w:tblPrEx>
          <w:tblCellMar>
            <w:top w:w="0" w:type="dxa"/>
            <w:left w:w="108" w:type="dxa"/>
            <w:bottom w:w="0" w:type="dxa"/>
            <w:right w:w="108" w:type="dxa"/>
          </w:tblCellMar>
        </w:tblPrEx>
        <w:trPr>
          <w:trHeight w:val="278"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40</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网站检索命中率</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评估检索匹配度情况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41</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网站检索同义词、排序调优等数量</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评估检索运营情况</w:t>
            </w:r>
          </w:p>
        </w:tc>
      </w:tr>
      <w:tr>
        <w:tblPrEx>
          <w:tblCellMar>
            <w:top w:w="0" w:type="dxa"/>
            <w:left w:w="108" w:type="dxa"/>
            <w:bottom w:w="0" w:type="dxa"/>
            <w:right w:w="108" w:type="dxa"/>
          </w:tblCellMar>
        </w:tblPrEx>
        <w:trPr>
          <w:trHeight w:val="96"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42</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网站检索集成应用数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评估检索服务集成情况</w:t>
            </w:r>
          </w:p>
        </w:tc>
      </w:tr>
      <w:tr>
        <w:tblPrEx>
          <w:tblCellMar>
            <w:top w:w="0" w:type="dxa"/>
            <w:left w:w="108" w:type="dxa"/>
            <w:bottom w:w="0" w:type="dxa"/>
            <w:right w:w="108" w:type="dxa"/>
          </w:tblCellMar>
        </w:tblPrEx>
        <w:trPr>
          <w:trHeight w:val="28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五</w:t>
            </w:r>
          </w:p>
        </w:tc>
        <w:tc>
          <w:tcPr>
            <w:tcW w:w="99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用户评价情况（4分）</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43</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用户评价</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政务服务好差评情况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评估对于用户提出的政务服务好差评的跟踪处理情况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44</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用户体验综合满意度</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根据用户调查问卷评估各渠道的整体用户体验满意度</w:t>
            </w:r>
          </w:p>
        </w:tc>
      </w:tr>
      <w:tr>
        <w:tblPrEx>
          <w:tblCellMar>
            <w:top w:w="0" w:type="dxa"/>
            <w:left w:w="108" w:type="dxa"/>
            <w:bottom w:w="0" w:type="dxa"/>
            <w:right w:w="108" w:type="dxa"/>
          </w:tblCellMar>
        </w:tblPrEx>
        <w:trPr>
          <w:trHeight w:val="397"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45</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最受用户欢迎服务情况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根据后台数据统计以及用户投票情况评估最受用户欢迎服务的数量</w:t>
            </w:r>
          </w:p>
        </w:tc>
      </w:tr>
      <w:tr>
        <w:tblPrEx>
          <w:tblCellMar>
            <w:top w:w="0" w:type="dxa"/>
            <w:left w:w="108" w:type="dxa"/>
            <w:bottom w:w="0" w:type="dxa"/>
            <w:right w:w="108" w:type="dxa"/>
          </w:tblCellMar>
        </w:tblPrEx>
        <w:trPr>
          <w:trHeight w:val="28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六</w:t>
            </w:r>
          </w:p>
        </w:tc>
        <w:tc>
          <w:tcPr>
            <w:tcW w:w="99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问题处置情况（6分）</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46</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问题处置</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问题工单处理情况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评估通过</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12345</w:t>
            </w:r>
            <w:r>
              <w:rPr>
                <w:rFonts w:hint="eastAsia" w:ascii="黑体" w:hAnsi="黑体" w:eastAsia="黑体" w:cs="宋体"/>
                <w:color w:val="000000"/>
                <w:kern w:val="0"/>
                <w:sz w:val="22"/>
                <w:highlight w:val="none"/>
                <w:lang w:eastAsia="zh-CN"/>
              </w:rPr>
              <w:t>”</w:t>
            </w:r>
            <w:r>
              <w:rPr>
                <w:rFonts w:hint="eastAsia" w:ascii="黑体" w:hAnsi="黑体" w:eastAsia="黑体" w:cs="宋体"/>
                <w:color w:val="000000"/>
                <w:kern w:val="0"/>
                <w:sz w:val="22"/>
                <w:highlight w:val="none"/>
              </w:rPr>
              <w:t>热线工单等各渠道发现的相关问题数量</w:t>
            </w:r>
          </w:p>
        </w:tc>
      </w:tr>
      <w:tr>
        <w:tblPrEx>
          <w:tblCellMar>
            <w:top w:w="0" w:type="dxa"/>
            <w:left w:w="108" w:type="dxa"/>
            <w:bottom w:w="0" w:type="dxa"/>
            <w:right w:w="108" w:type="dxa"/>
          </w:tblCellMar>
        </w:tblPrEx>
        <w:trPr>
          <w:trHeight w:val="449"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47</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问题工单按时处理率</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评估针对发现问题的处理情况，是否彻底完成修复，是否不再重现问题</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48</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问题工单处理超时情况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评估针对发现问题处理是否有超时的情况</w:t>
            </w:r>
          </w:p>
        </w:tc>
      </w:tr>
      <w:tr>
        <w:tblPrEx>
          <w:tblCellMar>
            <w:top w:w="0" w:type="dxa"/>
            <w:left w:w="108" w:type="dxa"/>
            <w:bottom w:w="0" w:type="dxa"/>
            <w:right w:w="108" w:type="dxa"/>
          </w:tblCellMar>
        </w:tblPrEx>
        <w:trPr>
          <w:trHeight w:val="28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七</w:t>
            </w:r>
          </w:p>
        </w:tc>
        <w:tc>
          <w:tcPr>
            <w:tcW w:w="99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运行保障情况（8分）</w:t>
            </w:r>
          </w:p>
        </w:tc>
      </w:tr>
      <w:tr>
        <w:tblPrEx>
          <w:tblCellMar>
            <w:top w:w="0" w:type="dxa"/>
            <w:left w:w="108" w:type="dxa"/>
            <w:bottom w:w="0" w:type="dxa"/>
            <w:right w:w="108" w:type="dxa"/>
          </w:tblCellMar>
        </w:tblPrEx>
        <w:trPr>
          <w:trHeight w:val="27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49</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运行保障</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日常巡检情况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评估进行日常服务巡检的情况</w:t>
            </w:r>
          </w:p>
        </w:tc>
      </w:tr>
      <w:tr>
        <w:tblPrEx>
          <w:tblCellMar>
            <w:top w:w="0" w:type="dxa"/>
            <w:left w:w="108" w:type="dxa"/>
            <w:bottom w:w="0" w:type="dxa"/>
            <w:right w:w="108" w:type="dxa"/>
          </w:tblCellMar>
        </w:tblPrEx>
        <w:trPr>
          <w:trHeight w:val="183"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50</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监控预警情况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评估进行服务监控预警的情况</w:t>
            </w:r>
          </w:p>
        </w:tc>
      </w:tr>
      <w:tr>
        <w:tblPrEx>
          <w:tblCellMar>
            <w:top w:w="0" w:type="dxa"/>
            <w:left w:w="108" w:type="dxa"/>
            <w:bottom w:w="0" w:type="dxa"/>
            <w:right w:w="108" w:type="dxa"/>
          </w:tblCellMar>
        </w:tblPrEx>
        <w:trPr>
          <w:trHeight w:val="163"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51</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定期维护情况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评估进行定期维护保障的情况</w:t>
            </w:r>
          </w:p>
        </w:tc>
      </w:tr>
      <w:tr>
        <w:tblPrEx>
          <w:tblCellMar>
            <w:top w:w="0" w:type="dxa"/>
            <w:left w:w="108" w:type="dxa"/>
            <w:bottom w:w="0" w:type="dxa"/>
            <w:right w:w="108" w:type="dxa"/>
          </w:tblCellMar>
        </w:tblPrEx>
        <w:trPr>
          <w:trHeight w:val="497"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52</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服务稳定性</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评估服务稳定性的整体情况，包括访问页面流畅度，使用流畅性等。</w:t>
            </w:r>
          </w:p>
        </w:tc>
      </w:tr>
      <w:tr>
        <w:tblPrEx>
          <w:tblCellMar>
            <w:top w:w="0" w:type="dxa"/>
            <w:left w:w="108" w:type="dxa"/>
            <w:bottom w:w="0" w:type="dxa"/>
            <w:right w:w="108" w:type="dxa"/>
          </w:tblCellMar>
        </w:tblPrEx>
        <w:trPr>
          <w:trHeight w:val="1087"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53</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服务中断情况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评估事项或功能无法正常提供服务的次数，以服务事项或功能模块为维度，服务中断指页面无法访问、页面报错等情况。</w:t>
            </w:r>
          </w:p>
        </w:tc>
      </w:tr>
      <w:tr>
        <w:tblPrEx>
          <w:tblCellMar>
            <w:top w:w="0" w:type="dxa"/>
            <w:left w:w="108" w:type="dxa"/>
            <w:bottom w:w="0" w:type="dxa"/>
            <w:right w:w="108" w:type="dxa"/>
          </w:tblCellMar>
        </w:tblPrEx>
        <w:trPr>
          <w:trHeight w:val="28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八</w:t>
            </w:r>
          </w:p>
        </w:tc>
        <w:tc>
          <w:tcPr>
            <w:tcW w:w="99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安全防护情况（8分）</w:t>
            </w:r>
          </w:p>
        </w:tc>
      </w:tr>
      <w:tr>
        <w:tblPrEx>
          <w:tblCellMar>
            <w:top w:w="0" w:type="dxa"/>
            <w:left w:w="108" w:type="dxa"/>
            <w:bottom w:w="0" w:type="dxa"/>
            <w:right w:w="108" w:type="dxa"/>
          </w:tblCellMar>
        </w:tblPrEx>
        <w:trPr>
          <w:trHeight w:val="773"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54</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安全防护</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数据安全情况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评估数据安全的整体情况，可依据第三方相关安全测试结果，包括是否有数据信息泄露等情况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55</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应用安全情况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评估应用安全的整体情况，可依据第三方相关安全测试结果</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56</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安全漏洞事件发现情况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评估各渠道通过漏洞扫描发现的相关安全问题的数量</w:t>
            </w:r>
          </w:p>
        </w:tc>
      </w:tr>
      <w:tr>
        <w:tblPrEx>
          <w:tblCellMar>
            <w:top w:w="0" w:type="dxa"/>
            <w:left w:w="108" w:type="dxa"/>
            <w:bottom w:w="0" w:type="dxa"/>
            <w:right w:w="108" w:type="dxa"/>
          </w:tblCellMar>
        </w:tblPrEx>
        <w:trPr>
          <w:trHeight w:val="29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57</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安全漏洞及时修复情况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评估发现安全漏洞后针对性的修复情况</w:t>
            </w:r>
          </w:p>
        </w:tc>
      </w:tr>
      <w:tr>
        <w:tblPrEx>
          <w:tblCellMar>
            <w:top w:w="0" w:type="dxa"/>
            <w:left w:w="108" w:type="dxa"/>
            <w:bottom w:w="0" w:type="dxa"/>
            <w:right w:w="108" w:type="dxa"/>
          </w:tblCellMar>
        </w:tblPrEx>
        <w:trPr>
          <w:trHeight w:val="28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九</w:t>
            </w:r>
          </w:p>
        </w:tc>
        <w:tc>
          <w:tcPr>
            <w:tcW w:w="99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国办考核情况（6分）</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58</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国家考核</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国办平台服务接入情况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评估接入国家政务服务平台PC端和移动端的服务数量</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59</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国家考核相关指标排名</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评估上一年度国家考核中相关指标的排名及得分情况。</w:t>
            </w:r>
          </w:p>
        </w:tc>
      </w:tr>
      <w:tr>
        <w:tblPrEx>
          <w:tblCellMar>
            <w:top w:w="0" w:type="dxa"/>
            <w:left w:w="108" w:type="dxa"/>
            <w:bottom w:w="0" w:type="dxa"/>
            <w:right w:w="108" w:type="dxa"/>
          </w:tblCellMar>
        </w:tblPrEx>
        <w:trPr>
          <w:trHeight w:val="285"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十</w:t>
            </w:r>
          </w:p>
        </w:tc>
        <w:tc>
          <w:tcPr>
            <w:tcW w:w="99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b/>
                <w:bCs/>
                <w:color w:val="000000"/>
                <w:kern w:val="0"/>
                <w:sz w:val="22"/>
                <w:highlight w:val="none"/>
              </w:rPr>
            </w:pPr>
            <w:r>
              <w:rPr>
                <w:rFonts w:hint="eastAsia" w:ascii="黑体" w:hAnsi="黑体" w:eastAsia="黑体" w:cs="宋体"/>
                <w:b/>
                <w:bCs/>
                <w:color w:val="000000"/>
                <w:kern w:val="0"/>
                <w:sz w:val="22"/>
                <w:highlight w:val="none"/>
              </w:rPr>
              <w:t>项目管理情况（8分）</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60</w:t>
            </w:r>
          </w:p>
        </w:tc>
        <w:tc>
          <w:tcPr>
            <w:tcW w:w="12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项目管理</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服务响应保障</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评估针对日常工作、紧急任务的响应程度</w:t>
            </w:r>
          </w:p>
        </w:tc>
      </w:tr>
      <w:tr>
        <w:tblPrEx>
          <w:tblCellMar>
            <w:top w:w="0" w:type="dxa"/>
            <w:left w:w="108" w:type="dxa"/>
            <w:bottom w:w="0" w:type="dxa"/>
            <w:right w:w="108" w:type="dxa"/>
          </w:tblCellMar>
        </w:tblPrEx>
        <w:trPr>
          <w:trHeight w:val="357"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61</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工作落实执行</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评估落实工作任务的执行情况</w:t>
            </w:r>
          </w:p>
        </w:tc>
      </w:tr>
      <w:tr>
        <w:tblPrEx>
          <w:tblCellMar>
            <w:top w:w="0" w:type="dxa"/>
            <w:left w:w="108" w:type="dxa"/>
            <w:bottom w:w="0" w:type="dxa"/>
            <w:right w:w="108" w:type="dxa"/>
          </w:tblCellMar>
        </w:tblPrEx>
        <w:trPr>
          <w:trHeight w:val="124"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62</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工作完成质量</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评估工作任务的完成质量情况</w:t>
            </w:r>
          </w:p>
        </w:tc>
      </w:tr>
      <w:tr>
        <w:tblPrEx>
          <w:tblCellMar>
            <w:top w:w="0" w:type="dxa"/>
            <w:left w:w="108" w:type="dxa"/>
            <w:bottom w:w="0" w:type="dxa"/>
            <w:right w:w="108" w:type="dxa"/>
          </w:tblCellMar>
        </w:tblPrEx>
        <w:trPr>
          <w:trHeight w:val="570"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63</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文档编制情况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评估相关文档材料编制的情况，涵盖方案、汇报等</w:t>
            </w:r>
          </w:p>
        </w:tc>
      </w:tr>
      <w:tr>
        <w:tblPrEx>
          <w:tblCellMar>
            <w:top w:w="0" w:type="dxa"/>
            <w:left w:w="108" w:type="dxa"/>
            <w:bottom w:w="0" w:type="dxa"/>
            <w:right w:w="108" w:type="dxa"/>
          </w:tblCellMar>
        </w:tblPrEx>
        <w:trPr>
          <w:trHeight w:val="247" w:hRule="atLeast"/>
          <w:jc w:val="center"/>
        </w:trPr>
        <w:tc>
          <w:tcPr>
            <w:tcW w:w="7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64</w:t>
            </w:r>
          </w:p>
        </w:tc>
        <w:tc>
          <w:tcPr>
            <w:tcW w:w="127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2"/>
                <w:highlight w:val="none"/>
              </w:rPr>
            </w:pP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文档编制质量</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99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评估相关文档材料的完成质量情况</w:t>
            </w:r>
          </w:p>
        </w:tc>
      </w:tr>
      <w:tr>
        <w:tblPrEx>
          <w:tblCellMar>
            <w:top w:w="0" w:type="dxa"/>
            <w:left w:w="108" w:type="dxa"/>
            <w:bottom w:w="0" w:type="dxa"/>
            <w:right w:w="108" w:type="dxa"/>
          </w:tblCellMar>
        </w:tblPrEx>
        <w:trPr>
          <w:trHeight w:val="439" w:hRule="atLeast"/>
          <w:jc w:val="center"/>
        </w:trPr>
        <w:tc>
          <w:tcPr>
            <w:tcW w:w="60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总分：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100</w:t>
            </w:r>
          </w:p>
        </w:tc>
        <w:tc>
          <w:tcPr>
            <w:tcW w:w="39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2"/>
                <w:highlight w:val="none"/>
              </w:rPr>
            </w:pPr>
          </w:p>
        </w:tc>
      </w:tr>
    </w:tbl>
    <w:p>
      <w:pPr>
        <w:spacing w:before="240" w:after="240" w:line="360" w:lineRule="auto"/>
        <w:jc w:val="center"/>
        <w:rPr>
          <w:rFonts w:ascii="楷体_GB2312" w:hAnsi="黑体" w:eastAsia="楷体_GB2312"/>
          <w:sz w:val="28"/>
          <w:szCs w:val="28"/>
          <w:highlight w:val="none"/>
        </w:rPr>
      </w:pPr>
      <w:r>
        <w:rPr>
          <w:rFonts w:hint="eastAsia" w:ascii="楷体_GB2312" w:hAnsi="黑体" w:eastAsia="楷体_GB2312"/>
          <w:sz w:val="28"/>
          <w:szCs w:val="28"/>
          <w:highlight w:val="none"/>
          <w:lang w:eastAsia="zh-CN"/>
        </w:rPr>
        <w:t>“</w:t>
      </w:r>
      <w:r>
        <w:rPr>
          <w:rFonts w:hint="eastAsia" w:ascii="楷体_GB2312" w:hAnsi="黑体" w:eastAsia="楷体_GB2312"/>
          <w:sz w:val="28"/>
          <w:szCs w:val="28"/>
          <w:highlight w:val="none"/>
        </w:rPr>
        <w:t>一网通办</w:t>
      </w:r>
      <w:r>
        <w:rPr>
          <w:rFonts w:hint="eastAsia" w:ascii="楷体_GB2312" w:hAnsi="黑体" w:eastAsia="楷体_GB2312"/>
          <w:sz w:val="28"/>
          <w:szCs w:val="28"/>
          <w:highlight w:val="none"/>
          <w:lang w:eastAsia="zh-CN"/>
        </w:rPr>
        <w:t>”</w:t>
      </w:r>
      <w:r>
        <w:rPr>
          <w:rFonts w:hint="eastAsia" w:ascii="楷体_GB2312" w:hAnsi="黑体" w:eastAsia="楷体_GB2312"/>
          <w:sz w:val="28"/>
          <w:szCs w:val="28"/>
          <w:highlight w:val="none"/>
        </w:rPr>
        <w:t>运营服务考核指标明细表</w:t>
      </w:r>
    </w:p>
    <w:p>
      <w:pPr>
        <w:spacing w:line="360" w:lineRule="auto"/>
        <w:ind w:firstLine="643" w:firstLineChars="200"/>
        <w:outlineLvl w:val="2"/>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4）评价方式</w:t>
      </w:r>
    </w:p>
    <w:p>
      <w:pPr>
        <w:spacing w:line="360" w:lineRule="auto"/>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在本项目的运营过程中，项目采购单位可根据有关项目管理的需要，按照运营工作的相关要求，对供应商</w:t>
      </w:r>
      <w:r>
        <w:rPr>
          <w:rFonts w:ascii="Times New Roman" w:hAnsi="Times New Roman" w:eastAsia="仿宋_GB2312"/>
          <w:sz w:val="32"/>
          <w:szCs w:val="32"/>
          <w:highlight w:val="none"/>
        </w:rPr>
        <w:t>提供的</w:t>
      </w:r>
      <w:r>
        <w:rPr>
          <w:rFonts w:hint="eastAsia" w:ascii="Times New Roman" w:hAnsi="Times New Roman" w:eastAsia="仿宋_GB2312"/>
          <w:sz w:val="32"/>
          <w:szCs w:val="32"/>
          <w:highlight w:val="none"/>
        </w:rPr>
        <w:t>各</w:t>
      </w:r>
      <w:r>
        <w:rPr>
          <w:rFonts w:ascii="Times New Roman" w:hAnsi="Times New Roman" w:eastAsia="仿宋_GB2312"/>
          <w:sz w:val="32"/>
          <w:szCs w:val="32"/>
          <w:highlight w:val="none"/>
        </w:rPr>
        <w:t>项服务内容</w:t>
      </w:r>
      <w:r>
        <w:rPr>
          <w:rFonts w:hint="eastAsia" w:ascii="Times New Roman" w:hAnsi="Times New Roman" w:eastAsia="仿宋_GB2312"/>
          <w:sz w:val="32"/>
          <w:szCs w:val="32"/>
          <w:highlight w:val="none"/>
        </w:rPr>
        <w:t>的质效和运营工作的总体进展情况</w:t>
      </w:r>
      <w:r>
        <w:rPr>
          <w:rFonts w:ascii="Times New Roman" w:hAnsi="Times New Roman" w:eastAsia="仿宋_GB2312"/>
          <w:sz w:val="32"/>
          <w:szCs w:val="32"/>
          <w:highlight w:val="none"/>
        </w:rPr>
        <w:t>进行考评，</w:t>
      </w:r>
      <w:r>
        <w:rPr>
          <w:rFonts w:hint="eastAsia" w:ascii="Times New Roman" w:hAnsi="Times New Roman" w:eastAsia="仿宋_GB2312"/>
          <w:sz w:val="32"/>
          <w:szCs w:val="32"/>
          <w:highlight w:val="none"/>
        </w:rPr>
        <w:t>考评的具体方式将由项目采购单位确定，考评的方式包含但不限于第三方专业评估、专家论证评估等。在项目运营服务工作实施过程中，项目采购单位可根据实际情况对供应商进行抽查考评，以检查本项目的阶段性运营工作进展情况。</w:t>
      </w:r>
    </w:p>
    <w:p>
      <w:pPr>
        <w:spacing w:line="360" w:lineRule="auto"/>
        <w:ind w:firstLine="643" w:firstLineChars="200"/>
        <w:outlineLvl w:val="2"/>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5）评价结果</w:t>
      </w:r>
    </w:p>
    <w:p>
      <w:pPr>
        <w:spacing w:line="360" w:lineRule="auto"/>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项目综合绩效考评的结果分为优秀（考核评分≥90分）、良好（80分≤考核评分＜90分）、一般（70分≤考核评分＜80分）、合格（60分≤考核评分＜70分）及不合格（考核评分＜60分）。考评结果为优秀、良好、合格或一般的，由项目采购单位对供应商出具最终服务绩效考核评估结果；考评结果不合格的，供应商需根据考评整改意见对其提供的运营服务的相关工作内容进行整改，整改期限最长不得超过20个工作日。供应商在整改完成后将由项目采购单位进行复评。复评不通过的，由供应商继续进行整改，直到通过为止。复评通过的，则供应商通过最终服务绩效考评，由项目采购单位对供应商出具最终服务绩效考核的评估结果。项目采购单位有权结合评价结果按照运营项目的有关管理要求对供应商的运营服务工作量结算费用进行调整。</w:t>
      </w:r>
    </w:p>
    <w:p>
      <w:pPr>
        <w:spacing w:line="360" w:lineRule="auto"/>
        <w:ind w:firstLine="643" w:firstLineChars="200"/>
        <w:outlineLvl w:val="1"/>
        <w:rPr>
          <w:rFonts w:ascii="Times New Roman" w:hAnsi="Times New Roman" w:eastAsia="楷体_GB2312"/>
          <w:b/>
          <w:sz w:val="32"/>
          <w:szCs w:val="32"/>
          <w:highlight w:val="none"/>
        </w:rPr>
      </w:pPr>
      <w:r>
        <w:rPr>
          <w:rFonts w:ascii="Times New Roman" w:hAnsi="Times New Roman" w:eastAsia="楷体_GB2312"/>
          <w:b/>
          <w:sz w:val="32"/>
          <w:szCs w:val="32"/>
          <w:highlight w:val="none"/>
        </w:rPr>
        <w:t>（五）工作审量结算</w:t>
      </w:r>
    </w:p>
    <w:p>
      <w:pPr>
        <w:spacing w:line="360" w:lineRule="auto"/>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阶段性工作量结算及绩效评价（验收）。供应商应根据项目采购单位要求完成阶段性工作量结算申报，将服务目录相关使用量情况和佐证材料等根据第三方支撑单位意见进行修改完善，并提交至项目采购单位。项目采购单位在初审后提交上级主管部门进行审定，阶段性工作量结算结果经上级主管部门审定后不得修改，并作为后续付款依据。</w:t>
      </w:r>
    </w:p>
    <w:p>
      <w:pPr>
        <w:spacing w:line="360" w:lineRule="auto"/>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年度工作量结算及绩效评价（验收）。供应商应根据项目采购单位要求，完成年度工作量结算申报，将服务目录相关使用量情况和佐证材料等根据第三方支撑单位意见进行修改完善，并提交至项目采购单位。项目采购单位将在阶段性工作量结算的基础上，结合年度工作完成情况、绩效指标达成情况、服务交付质量评估情况及各类违约情况等各方面，统筹汇总供应商的年度工作量初步结算结果，并在初审后提交上级主管部门进行审定，最终年度工作量结算结果经上级主管部门审定后不得修改，审定结果作为项目的最终付款依据。</w:t>
      </w:r>
    </w:p>
    <w:p>
      <w:pPr>
        <w:spacing w:line="360" w:lineRule="auto"/>
        <w:ind w:firstLine="643" w:firstLineChars="200"/>
        <w:outlineLvl w:val="1"/>
        <w:rPr>
          <w:rFonts w:ascii="Times New Roman" w:hAnsi="Times New Roman" w:eastAsia="楷体_GB2312"/>
          <w:b/>
          <w:sz w:val="32"/>
          <w:szCs w:val="32"/>
          <w:highlight w:val="none"/>
        </w:rPr>
      </w:pPr>
      <w:r>
        <w:rPr>
          <w:rFonts w:hint="eastAsia" w:ascii="Times New Roman" w:hAnsi="Times New Roman" w:eastAsia="楷体_GB2312"/>
          <w:b/>
          <w:sz w:val="32"/>
          <w:szCs w:val="32"/>
          <w:highlight w:val="none"/>
        </w:rPr>
        <w:t>（六）项目费用支付</w:t>
      </w:r>
    </w:p>
    <w:p>
      <w:pPr>
        <w:spacing w:line="360" w:lineRule="auto"/>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本项目为</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先用后付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的运营类服务项目，按照</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先预付使用、后按实结算</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的方式进行结算。项目运营服务费用每年度将分为四笔进行支付，考虑到本项目的运营服务工作实施难度以及项目启动初期供应商的成本投入，采取以下形式支付项目费用：</w:t>
      </w:r>
    </w:p>
    <w:p>
      <w:pPr>
        <w:numPr>
          <w:ilvl w:val="0"/>
          <w:numId w:val="1"/>
        </w:numPr>
        <w:spacing w:line="360" w:lineRule="auto"/>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第一笔预付服务费：在合同签订生效后且甲方收到乙方开具的等额发票后的10个工作日内，支付91655000元人民币作为运营初期的预付服务费，用于抵扣即将发生的相关服务费用。</w:t>
      </w:r>
    </w:p>
    <w:p>
      <w:pPr>
        <w:numPr>
          <w:ilvl w:val="0"/>
          <w:numId w:val="1"/>
        </w:numPr>
        <w:spacing w:line="360" w:lineRule="auto"/>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二笔进度服务费：在项目9个月运营服务工作量结算完成且甲方收到乙方开具的等额发票后的10个工作日内，支付第二笔进度服务费。第二笔进度服务费的具体金额为甲方对乙方9个月运营服务工作量的审量金额与第一笔预付服务费的差额。第一笔预付服务费与第二笔进度服务费之和不高于中标金额的70%。</w:t>
      </w:r>
    </w:p>
    <w:p>
      <w:pPr>
        <w:numPr>
          <w:ilvl w:val="0"/>
          <w:numId w:val="1"/>
        </w:numPr>
        <w:spacing w:line="360" w:lineRule="auto"/>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三笔进度服务费：在通过甲方组织的年度项目验收（内部）且甲方收到乙方开具的等额发票后的10个工作日内，支付第三笔进度服务费。第三笔进度服务费的具体金额为甲方对乙方当年度总体运营服务工作量的审量金额与之前已累计支付服务费的差额，第一笔预付服务费与第二笔、第三笔进度服务费之和不高于中标金额的80%。</w:t>
      </w:r>
    </w:p>
    <w:p>
      <w:pPr>
        <w:numPr>
          <w:ilvl w:val="0"/>
          <w:numId w:val="1"/>
        </w:numPr>
        <w:spacing w:line="360" w:lineRule="auto"/>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第四笔服务费尾款：在通过最终项目绩效评价（由</w:t>
      </w:r>
      <w:r>
        <w:rPr>
          <w:rFonts w:hint="eastAsia" w:ascii="Times New Roman" w:hAnsi="Times New Roman" w:eastAsia="仿宋_GB2312"/>
          <w:sz w:val="32"/>
          <w:szCs w:val="32"/>
          <w:highlight w:val="none"/>
          <w:lang w:eastAsia="zh-CN"/>
        </w:rPr>
        <w:t>甲方的</w:t>
      </w:r>
      <w:r>
        <w:rPr>
          <w:rFonts w:hint="eastAsia" w:ascii="Times New Roman" w:hAnsi="Times New Roman" w:eastAsia="仿宋_GB2312"/>
          <w:sz w:val="32"/>
          <w:szCs w:val="32"/>
          <w:highlight w:val="none"/>
        </w:rPr>
        <w:t>上级主管部门委托第三方进行）后，甲方根据上级主管部门审定的当年度运营服务项目的最终结算金额，同时结合乙方对项目提供的运营服务情况、交付的成果质量情况等各方面，并依据乙方在当年度服务周期内的各类违约情况及考核结果，整体计算乙方的最终年度结算服务费用。甲方根据项目当年度最终结算服务费金额与已支付服务费金额（预付服务费+进度服务费）的</w:t>
      </w:r>
      <w:r>
        <w:rPr>
          <w:rFonts w:hint="eastAsia" w:ascii="Times New Roman" w:hAnsi="Times New Roman" w:eastAsia="仿宋_GB2312"/>
          <w:sz w:val="32"/>
          <w:szCs w:val="32"/>
          <w:highlight w:val="none"/>
          <w:lang w:eastAsia="zh-CN"/>
        </w:rPr>
        <w:t>差额</w:t>
      </w:r>
      <w:r>
        <w:rPr>
          <w:rFonts w:hint="eastAsia" w:ascii="Times New Roman" w:hAnsi="Times New Roman" w:eastAsia="仿宋_GB2312"/>
          <w:sz w:val="32"/>
          <w:szCs w:val="32"/>
          <w:highlight w:val="none"/>
        </w:rPr>
        <w:t>情况与乙方进行最终结算。若已支付服务费金额小于年度最终结算服务费金额时，甲方在收到上级主管部门审定的年度服务金额和乙方开具等额发票后的10个工作日内支付第四笔服务费尾款。若已支付服务费大于等于年度最终结算服务费金额时，则甲方无需向乙方支付运营费用，双方按有关财政管理规定做好后续结算处理。</w:t>
      </w:r>
    </w:p>
    <w:p>
      <w:pPr>
        <w:rPr>
          <w:highlight w:val="none"/>
        </w:rPr>
      </w:pPr>
    </w:p>
    <w:sectPr>
      <w:pgSz w:w="11906" w:h="16838"/>
      <w:pgMar w:top="1440" w:right="1797" w:bottom="1440" w:left="1797" w:header="851" w:footer="79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39131"/>
      <w:docPartObj>
        <w:docPartGallery w:val="autotext"/>
      </w:docPartObj>
    </w:sdtPr>
    <w:sdtContent>
      <w:p>
        <w:pPr>
          <w:pStyle w:val="8"/>
          <w:jc w:val="center"/>
        </w:pPr>
        <w:r>
          <w:rPr>
            <w:rFonts w:ascii="黑体" w:hAnsi="黑体" w:eastAsia="黑体"/>
            <w:sz w:val="24"/>
            <w:szCs w:val="24"/>
          </w:rPr>
          <w:fldChar w:fldCharType="begin"/>
        </w:r>
        <w:r>
          <w:rPr>
            <w:rFonts w:ascii="黑体" w:hAnsi="黑体" w:eastAsia="黑体"/>
            <w:sz w:val="24"/>
            <w:szCs w:val="24"/>
          </w:rPr>
          <w:instrText xml:space="preserve"> PAGE   \* MERGEFORMAT </w:instrText>
        </w:r>
        <w:r>
          <w:rPr>
            <w:rFonts w:ascii="黑体" w:hAnsi="黑体" w:eastAsia="黑体"/>
            <w:sz w:val="24"/>
            <w:szCs w:val="24"/>
          </w:rPr>
          <w:fldChar w:fldCharType="separate"/>
        </w:r>
        <w:r>
          <w:rPr>
            <w:rFonts w:ascii="黑体" w:hAnsi="黑体" w:eastAsia="黑体"/>
            <w:sz w:val="24"/>
            <w:szCs w:val="24"/>
            <w:lang w:val="zh-CN"/>
          </w:rPr>
          <w:t>66</w:t>
        </w:r>
        <w:r>
          <w:rPr>
            <w:rFonts w:ascii="黑体" w:hAnsi="黑体" w:eastAsia="黑体"/>
            <w:sz w:val="24"/>
            <w:szCs w:val="24"/>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D6A39B"/>
    <w:multiLevelType w:val="singleLevel"/>
    <w:tmpl w:val="7DD6A39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ED7"/>
    <w:rsid w:val="000073EC"/>
    <w:rsid w:val="000115F9"/>
    <w:rsid w:val="00020E5D"/>
    <w:rsid w:val="00030067"/>
    <w:rsid w:val="00033128"/>
    <w:rsid w:val="00047F75"/>
    <w:rsid w:val="00050007"/>
    <w:rsid w:val="000512FB"/>
    <w:rsid w:val="00055F37"/>
    <w:rsid w:val="00057D64"/>
    <w:rsid w:val="00057F65"/>
    <w:rsid w:val="00071A10"/>
    <w:rsid w:val="000726EF"/>
    <w:rsid w:val="000758B2"/>
    <w:rsid w:val="00077011"/>
    <w:rsid w:val="00077B91"/>
    <w:rsid w:val="00086C89"/>
    <w:rsid w:val="00086D96"/>
    <w:rsid w:val="00090C89"/>
    <w:rsid w:val="00097610"/>
    <w:rsid w:val="000976BB"/>
    <w:rsid w:val="000A15A6"/>
    <w:rsid w:val="000A1CDE"/>
    <w:rsid w:val="000A4A3F"/>
    <w:rsid w:val="000A4C77"/>
    <w:rsid w:val="000A67F4"/>
    <w:rsid w:val="000B5859"/>
    <w:rsid w:val="000C3684"/>
    <w:rsid w:val="000C4DB1"/>
    <w:rsid w:val="000C5BAA"/>
    <w:rsid w:val="000D6361"/>
    <w:rsid w:val="000D78C4"/>
    <w:rsid w:val="000E3347"/>
    <w:rsid w:val="000F3029"/>
    <w:rsid w:val="000F7086"/>
    <w:rsid w:val="000F7FBE"/>
    <w:rsid w:val="001037E1"/>
    <w:rsid w:val="00106FB6"/>
    <w:rsid w:val="00114C2A"/>
    <w:rsid w:val="001202A1"/>
    <w:rsid w:val="00125D9A"/>
    <w:rsid w:val="001260C5"/>
    <w:rsid w:val="00130134"/>
    <w:rsid w:val="00133932"/>
    <w:rsid w:val="00137F95"/>
    <w:rsid w:val="00141533"/>
    <w:rsid w:val="001464AB"/>
    <w:rsid w:val="00151051"/>
    <w:rsid w:val="00156D53"/>
    <w:rsid w:val="001702D0"/>
    <w:rsid w:val="00181F9E"/>
    <w:rsid w:val="00184E2A"/>
    <w:rsid w:val="001A0672"/>
    <w:rsid w:val="001A0FCC"/>
    <w:rsid w:val="001A158A"/>
    <w:rsid w:val="001A2326"/>
    <w:rsid w:val="001A268A"/>
    <w:rsid w:val="001A428A"/>
    <w:rsid w:val="001B0463"/>
    <w:rsid w:val="001B1FDC"/>
    <w:rsid w:val="001B28B9"/>
    <w:rsid w:val="001D182A"/>
    <w:rsid w:val="001D6566"/>
    <w:rsid w:val="001E0A53"/>
    <w:rsid w:val="001F3C98"/>
    <w:rsid w:val="001F6A66"/>
    <w:rsid w:val="00200ED8"/>
    <w:rsid w:val="00202381"/>
    <w:rsid w:val="00203B0C"/>
    <w:rsid w:val="00204577"/>
    <w:rsid w:val="002045A9"/>
    <w:rsid w:val="002126A7"/>
    <w:rsid w:val="00234928"/>
    <w:rsid w:val="00235EB7"/>
    <w:rsid w:val="00237CB1"/>
    <w:rsid w:val="002401D1"/>
    <w:rsid w:val="00240D73"/>
    <w:rsid w:val="002414DF"/>
    <w:rsid w:val="00246C50"/>
    <w:rsid w:val="00247824"/>
    <w:rsid w:val="00253BB4"/>
    <w:rsid w:val="00253BD2"/>
    <w:rsid w:val="00255EE4"/>
    <w:rsid w:val="0026731E"/>
    <w:rsid w:val="00270E9E"/>
    <w:rsid w:val="002724DC"/>
    <w:rsid w:val="00272A73"/>
    <w:rsid w:val="00272B95"/>
    <w:rsid w:val="00273320"/>
    <w:rsid w:val="00291217"/>
    <w:rsid w:val="002924D9"/>
    <w:rsid w:val="002930EC"/>
    <w:rsid w:val="002945E8"/>
    <w:rsid w:val="002A0E8B"/>
    <w:rsid w:val="002A53F4"/>
    <w:rsid w:val="002A59D7"/>
    <w:rsid w:val="002B1C95"/>
    <w:rsid w:val="002B3801"/>
    <w:rsid w:val="002B474F"/>
    <w:rsid w:val="002D7C76"/>
    <w:rsid w:val="002E2A4D"/>
    <w:rsid w:val="002E4936"/>
    <w:rsid w:val="002E712C"/>
    <w:rsid w:val="00302622"/>
    <w:rsid w:val="0030283A"/>
    <w:rsid w:val="00311EE1"/>
    <w:rsid w:val="00320A70"/>
    <w:rsid w:val="00322BDD"/>
    <w:rsid w:val="00322F6A"/>
    <w:rsid w:val="00326800"/>
    <w:rsid w:val="00330C12"/>
    <w:rsid w:val="0033489E"/>
    <w:rsid w:val="0035068C"/>
    <w:rsid w:val="00350956"/>
    <w:rsid w:val="003566ED"/>
    <w:rsid w:val="00362119"/>
    <w:rsid w:val="00367598"/>
    <w:rsid w:val="00377A5C"/>
    <w:rsid w:val="00381DEE"/>
    <w:rsid w:val="003866BB"/>
    <w:rsid w:val="00387814"/>
    <w:rsid w:val="00394E5E"/>
    <w:rsid w:val="003A5970"/>
    <w:rsid w:val="003A7140"/>
    <w:rsid w:val="003B0DFC"/>
    <w:rsid w:val="003B240C"/>
    <w:rsid w:val="003B424B"/>
    <w:rsid w:val="003D092F"/>
    <w:rsid w:val="003D1535"/>
    <w:rsid w:val="003D255A"/>
    <w:rsid w:val="003F52FE"/>
    <w:rsid w:val="004055D1"/>
    <w:rsid w:val="004103FD"/>
    <w:rsid w:val="0042159E"/>
    <w:rsid w:val="004248D1"/>
    <w:rsid w:val="00437AE7"/>
    <w:rsid w:val="00441EF1"/>
    <w:rsid w:val="004466BE"/>
    <w:rsid w:val="004470F8"/>
    <w:rsid w:val="004516B6"/>
    <w:rsid w:val="00470109"/>
    <w:rsid w:val="004713EE"/>
    <w:rsid w:val="00472275"/>
    <w:rsid w:val="00472381"/>
    <w:rsid w:val="0047425E"/>
    <w:rsid w:val="0047598C"/>
    <w:rsid w:val="004851D1"/>
    <w:rsid w:val="0048790E"/>
    <w:rsid w:val="0049277B"/>
    <w:rsid w:val="004944A3"/>
    <w:rsid w:val="00495C27"/>
    <w:rsid w:val="004A03CC"/>
    <w:rsid w:val="004A53C9"/>
    <w:rsid w:val="004A765B"/>
    <w:rsid w:val="004B0769"/>
    <w:rsid w:val="004B2072"/>
    <w:rsid w:val="004B7B64"/>
    <w:rsid w:val="004C1505"/>
    <w:rsid w:val="004D1C1B"/>
    <w:rsid w:val="004D21D4"/>
    <w:rsid w:val="004E17F2"/>
    <w:rsid w:val="004E3239"/>
    <w:rsid w:val="004F22EF"/>
    <w:rsid w:val="004F44C1"/>
    <w:rsid w:val="00507917"/>
    <w:rsid w:val="00514F43"/>
    <w:rsid w:val="00515BEE"/>
    <w:rsid w:val="00517DA5"/>
    <w:rsid w:val="00520136"/>
    <w:rsid w:val="005217C7"/>
    <w:rsid w:val="00532C8A"/>
    <w:rsid w:val="00535289"/>
    <w:rsid w:val="00537C77"/>
    <w:rsid w:val="00545CAA"/>
    <w:rsid w:val="00550012"/>
    <w:rsid w:val="00552E45"/>
    <w:rsid w:val="00562886"/>
    <w:rsid w:val="00575C59"/>
    <w:rsid w:val="00580B0D"/>
    <w:rsid w:val="00583E3C"/>
    <w:rsid w:val="00585803"/>
    <w:rsid w:val="005A1A3C"/>
    <w:rsid w:val="005A559E"/>
    <w:rsid w:val="005A7E3E"/>
    <w:rsid w:val="005A7E68"/>
    <w:rsid w:val="005B07C5"/>
    <w:rsid w:val="005B3D4B"/>
    <w:rsid w:val="005C40C5"/>
    <w:rsid w:val="005C411D"/>
    <w:rsid w:val="005C5EEA"/>
    <w:rsid w:val="005D0A7C"/>
    <w:rsid w:val="005D658C"/>
    <w:rsid w:val="005D6C5E"/>
    <w:rsid w:val="005D715E"/>
    <w:rsid w:val="005D725B"/>
    <w:rsid w:val="005D7CE5"/>
    <w:rsid w:val="005F1B1E"/>
    <w:rsid w:val="005F738A"/>
    <w:rsid w:val="005F7821"/>
    <w:rsid w:val="00600245"/>
    <w:rsid w:val="006011DB"/>
    <w:rsid w:val="0060170D"/>
    <w:rsid w:val="0060367B"/>
    <w:rsid w:val="00605CFA"/>
    <w:rsid w:val="00607742"/>
    <w:rsid w:val="00610610"/>
    <w:rsid w:val="006140F5"/>
    <w:rsid w:val="00615865"/>
    <w:rsid w:val="006168AB"/>
    <w:rsid w:val="00624948"/>
    <w:rsid w:val="00626041"/>
    <w:rsid w:val="006302DD"/>
    <w:rsid w:val="00633FF7"/>
    <w:rsid w:val="00640741"/>
    <w:rsid w:val="00653FB6"/>
    <w:rsid w:val="00664311"/>
    <w:rsid w:val="00670B72"/>
    <w:rsid w:val="006802CE"/>
    <w:rsid w:val="006810BF"/>
    <w:rsid w:val="00686647"/>
    <w:rsid w:val="006903F1"/>
    <w:rsid w:val="00690756"/>
    <w:rsid w:val="00696349"/>
    <w:rsid w:val="00696933"/>
    <w:rsid w:val="0069716F"/>
    <w:rsid w:val="006A4C85"/>
    <w:rsid w:val="006B241F"/>
    <w:rsid w:val="006C0FF5"/>
    <w:rsid w:val="006C1398"/>
    <w:rsid w:val="006C7B04"/>
    <w:rsid w:val="006C7F64"/>
    <w:rsid w:val="006D5760"/>
    <w:rsid w:val="006E1C19"/>
    <w:rsid w:val="006E62D9"/>
    <w:rsid w:val="006E7DBE"/>
    <w:rsid w:val="006F286D"/>
    <w:rsid w:val="006F6740"/>
    <w:rsid w:val="007043DA"/>
    <w:rsid w:val="007157A4"/>
    <w:rsid w:val="00721148"/>
    <w:rsid w:val="00726FDB"/>
    <w:rsid w:val="00733FCD"/>
    <w:rsid w:val="00735637"/>
    <w:rsid w:val="0075273F"/>
    <w:rsid w:val="00756EB5"/>
    <w:rsid w:val="00761686"/>
    <w:rsid w:val="00763A84"/>
    <w:rsid w:val="00764CFB"/>
    <w:rsid w:val="00765720"/>
    <w:rsid w:val="0077442E"/>
    <w:rsid w:val="007820EA"/>
    <w:rsid w:val="00785C1F"/>
    <w:rsid w:val="00785CCE"/>
    <w:rsid w:val="00786740"/>
    <w:rsid w:val="00786A86"/>
    <w:rsid w:val="00786E11"/>
    <w:rsid w:val="00790EDF"/>
    <w:rsid w:val="00795974"/>
    <w:rsid w:val="007B4F3E"/>
    <w:rsid w:val="007B572F"/>
    <w:rsid w:val="007B7D69"/>
    <w:rsid w:val="007C1848"/>
    <w:rsid w:val="007C2250"/>
    <w:rsid w:val="007C2939"/>
    <w:rsid w:val="007C5F8B"/>
    <w:rsid w:val="007D1CB5"/>
    <w:rsid w:val="007E117B"/>
    <w:rsid w:val="007E4262"/>
    <w:rsid w:val="007F0299"/>
    <w:rsid w:val="007F1140"/>
    <w:rsid w:val="007F5930"/>
    <w:rsid w:val="007F5CCD"/>
    <w:rsid w:val="00811AD1"/>
    <w:rsid w:val="00813552"/>
    <w:rsid w:val="00817DEF"/>
    <w:rsid w:val="008202FB"/>
    <w:rsid w:val="0082471B"/>
    <w:rsid w:val="008338BD"/>
    <w:rsid w:val="00835599"/>
    <w:rsid w:val="00842320"/>
    <w:rsid w:val="00853C36"/>
    <w:rsid w:val="00853D53"/>
    <w:rsid w:val="0085776B"/>
    <w:rsid w:val="00870B8C"/>
    <w:rsid w:val="00871596"/>
    <w:rsid w:val="00874BBE"/>
    <w:rsid w:val="00875B31"/>
    <w:rsid w:val="008853DB"/>
    <w:rsid w:val="008854E2"/>
    <w:rsid w:val="00886E24"/>
    <w:rsid w:val="00886FDC"/>
    <w:rsid w:val="0089232E"/>
    <w:rsid w:val="008A2DD5"/>
    <w:rsid w:val="008B5DDA"/>
    <w:rsid w:val="008C1DD9"/>
    <w:rsid w:val="008C5715"/>
    <w:rsid w:val="008D2253"/>
    <w:rsid w:val="008E0FB3"/>
    <w:rsid w:val="008E658D"/>
    <w:rsid w:val="008F4E0F"/>
    <w:rsid w:val="00901F88"/>
    <w:rsid w:val="00910B0D"/>
    <w:rsid w:val="00915133"/>
    <w:rsid w:val="00917481"/>
    <w:rsid w:val="00923474"/>
    <w:rsid w:val="00923D80"/>
    <w:rsid w:val="0092521C"/>
    <w:rsid w:val="0093051F"/>
    <w:rsid w:val="009339DE"/>
    <w:rsid w:val="00937330"/>
    <w:rsid w:val="009405FF"/>
    <w:rsid w:val="00940F33"/>
    <w:rsid w:val="0094110E"/>
    <w:rsid w:val="0094241D"/>
    <w:rsid w:val="0094282E"/>
    <w:rsid w:val="00942F3C"/>
    <w:rsid w:val="009432E1"/>
    <w:rsid w:val="00945A29"/>
    <w:rsid w:val="009545B2"/>
    <w:rsid w:val="00961716"/>
    <w:rsid w:val="00963B4F"/>
    <w:rsid w:val="009667CF"/>
    <w:rsid w:val="009700DA"/>
    <w:rsid w:val="009731B2"/>
    <w:rsid w:val="009867B8"/>
    <w:rsid w:val="00990446"/>
    <w:rsid w:val="00992F04"/>
    <w:rsid w:val="00995C5E"/>
    <w:rsid w:val="00996267"/>
    <w:rsid w:val="009A1124"/>
    <w:rsid w:val="009A2299"/>
    <w:rsid w:val="009A327D"/>
    <w:rsid w:val="009A3613"/>
    <w:rsid w:val="009A7BD4"/>
    <w:rsid w:val="009B18C6"/>
    <w:rsid w:val="009B1D54"/>
    <w:rsid w:val="009C0EF0"/>
    <w:rsid w:val="009C14D1"/>
    <w:rsid w:val="009C2CB1"/>
    <w:rsid w:val="009D72DB"/>
    <w:rsid w:val="009E0B8C"/>
    <w:rsid w:val="009E7B9A"/>
    <w:rsid w:val="009F7CA2"/>
    <w:rsid w:val="00A0038E"/>
    <w:rsid w:val="00A02E79"/>
    <w:rsid w:val="00A12983"/>
    <w:rsid w:val="00A22E0A"/>
    <w:rsid w:val="00A233EA"/>
    <w:rsid w:val="00A27EA9"/>
    <w:rsid w:val="00A30ABC"/>
    <w:rsid w:val="00A30AC1"/>
    <w:rsid w:val="00A431F5"/>
    <w:rsid w:val="00A4472B"/>
    <w:rsid w:val="00A60BD4"/>
    <w:rsid w:val="00A628D7"/>
    <w:rsid w:val="00A62BE2"/>
    <w:rsid w:val="00A643BB"/>
    <w:rsid w:val="00A771BC"/>
    <w:rsid w:val="00A80F63"/>
    <w:rsid w:val="00A81862"/>
    <w:rsid w:val="00A81C4F"/>
    <w:rsid w:val="00A82E49"/>
    <w:rsid w:val="00A84622"/>
    <w:rsid w:val="00A96C82"/>
    <w:rsid w:val="00AA2137"/>
    <w:rsid w:val="00AA607F"/>
    <w:rsid w:val="00AB0DE4"/>
    <w:rsid w:val="00AB35F7"/>
    <w:rsid w:val="00AB756C"/>
    <w:rsid w:val="00AC04DC"/>
    <w:rsid w:val="00AC15E8"/>
    <w:rsid w:val="00AD5E8C"/>
    <w:rsid w:val="00AD787E"/>
    <w:rsid w:val="00AE232E"/>
    <w:rsid w:val="00AE47C2"/>
    <w:rsid w:val="00AF2E80"/>
    <w:rsid w:val="00AF64D6"/>
    <w:rsid w:val="00AF69BA"/>
    <w:rsid w:val="00B020CB"/>
    <w:rsid w:val="00B07C6A"/>
    <w:rsid w:val="00B21DBF"/>
    <w:rsid w:val="00B2441A"/>
    <w:rsid w:val="00B274D6"/>
    <w:rsid w:val="00B33191"/>
    <w:rsid w:val="00B35AFF"/>
    <w:rsid w:val="00B36ACF"/>
    <w:rsid w:val="00B41172"/>
    <w:rsid w:val="00B42796"/>
    <w:rsid w:val="00B476FA"/>
    <w:rsid w:val="00B516E2"/>
    <w:rsid w:val="00B52208"/>
    <w:rsid w:val="00B561A1"/>
    <w:rsid w:val="00B625CC"/>
    <w:rsid w:val="00B66EF5"/>
    <w:rsid w:val="00B67606"/>
    <w:rsid w:val="00B71071"/>
    <w:rsid w:val="00B72AF2"/>
    <w:rsid w:val="00B73C69"/>
    <w:rsid w:val="00B77B4A"/>
    <w:rsid w:val="00B84C74"/>
    <w:rsid w:val="00B90D7A"/>
    <w:rsid w:val="00B91721"/>
    <w:rsid w:val="00B940E0"/>
    <w:rsid w:val="00B9492C"/>
    <w:rsid w:val="00B95C1A"/>
    <w:rsid w:val="00BA0880"/>
    <w:rsid w:val="00BA48B5"/>
    <w:rsid w:val="00BA7773"/>
    <w:rsid w:val="00BB2823"/>
    <w:rsid w:val="00BC0A5D"/>
    <w:rsid w:val="00BD2753"/>
    <w:rsid w:val="00BF13E5"/>
    <w:rsid w:val="00BF173D"/>
    <w:rsid w:val="00C0000F"/>
    <w:rsid w:val="00C0075D"/>
    <w:rsid w:val="00C143D6"/>
    <w:rsid w:val="00C14FA4"/>
    <w:rsid w:val="00C1570C"/>
    <w:rsid w:val="00C27B98"/>
    <w:rsid w:val="00C32FE9"/>
    <w:rsid w:val="00C345F0"/>
    <w:rsid w:val="00C41603"/>
    <w:rsid w:val="00C47459"/>
    <w:rsid w:val="00C5478C"/>
    <w:rsid w:val="00C722C1"/>
    <w:rsid w:val="00C73352"/>
    <w:rsid w:val="00C744FE"/>
    <w:rsid w:val="00C809C4"/>
    <w:rsid w:val="00C82012"/>
    <w:rsid w:val="00C939C4"/>
    <w:rsid w:val="00C93E96"/>
    <w:rsid w:val="00C94FE2"/>
    <w:rsid w:val="00C95933"/>
    <w:rsid w:val="00C96381"/>
    <w:rsid w:val="00C972E5"/>
    <w:rsid w:val="00CA1661"/>
    <w:rsid w:val="00CB07A2"/>
    <w:rsid w:val="00CB12AC"/>
    <w:rsid w:val="00CB1306"/>
    <w:rsid w:val="00CB3E7A"/>
    <w:rsid w:val="00CC5643"/>
    <w:rsid w:val="00CD1D28"/>
    <w:rsid w:val="00CD2F26"/>
    <w:rsid w:val="00CD6922"/>
    <w:rsid w:val="00CE2EF3"/>
    <w:rsid w:val="00CE44E5"/>
    <w:rsid w:val="00CE7D02"/>
    <w:rsid w:val="00CF04F6"/>
    <w:rsid w:val="00CF60E9"/>
    <w:rsid w:val="00CF6CC3"/>
    <w:rsid w:val="00CF7738"/>
    <w:rsid w:val="00D0272A"/>
    <w:rsid w:val="00D029EC"/>
    <w:rsid w:val="00D10315"/>
    <w:rsid w:val="00D105A5"/>
    <w:rsid w:val="00D200C9"/>
    <w:rsid w:val="00D23D23"/>
    <w:rsid w:val="00D23EA8"/>
    <w:rsid w:val="00D24C30"/>
    <w:rsid w:val="00D25B8E"/>
    <w:rsid w:val="00D25D3B"/>
    <w:rsid w:val="00D26CC4"/>
    <w:rsid w:val="00D31B16"/>
    <w:rsid w:val="00D33ABF"/>
    <w:rsid w:val="00D36E6B"/>
    <w:rsid w:val="00D37F50"/>
    <w:rsid w:val="00D4395B"/>
    <w:rsid w:val="00D46D51"/>
    <w:rsid w:val="00D548CB"/>
    <w:rsid w:val="00D639DC"/>
    <w:rsid w:val="00D64F66"/>
    <w:rsid w:val="00D66334"/>
    <w:rsid w:val="00D7177D"/>
    <w:rsid w:val="00D71841"/>
    <w:rsid w:val="00D73793"/>
    <w:rsid w:val="00D75541"/>
    <w:rsid w:val="00D80B5D"/>
    <w:rsid w:val="00D94AED"/>
    <w:rsid w:val="00D964DF"/>
    <w:rsid w:val="00DA410A"/>
    <w:rsid w:val="00DA7393"/>
    <w:rsid w:val="00DB1DFD"/>
    <w:rsid w:val="00DB27B5"/>
    <w:rsid w:val="00DB7C97"/>
    <w:rsid w:val="00DC15B2"/>
    <w:rsid w:val="00DC26D2"/>
    <w:rsid w:val="00DC776C"/>
    <w:rsid w:val="00DD0564"/>
    <w:rsid w:val="00DD4167"/>
    <w:rsid w:val="00DD4788"/>
    <w:rsid w:val="00DD53E9"/>
    <w:rsid w:val="00DE0FD2"/>
    <w:rsid w:val="00DE5BB6"/>
    <w:rsid w:val="00DF02D0"/>
    <w:rsid w:val="00DF11B9"/>
    <w:rsid w:val="00DF5565"/>
    <w:rsid w:val="00E050D1"/>
    <w:rsid w:val="00E176D0"/>
    <w:rsid w:val="00E208FC"/>
    <w:rsid w:val="00E21FE7"/>
    <w:rsid w:val="00E27A96"/>
    <w:rsid w:val="00E31BBB"/>
    <w:rsid w:val="00E35497"/>
    <w:rsid w:val="00E36F00"/>
    <w:rsid w:val="00E408DB"/>
    <w:rsid w:val="00E468C8"/>
    <w:rsid w:val="00E471AB"/>
    <w:rsid w:val="00E51BC2"/>
    <w:rsid w:val="00E5413D"/>
    <w:rsid w:val="00E612CA"/>
    <w:rsid w:val="00E65F07"/>
    <w:rsid w:val="00E72246"/>
    <w:rsid w:val="00E72F7C"/>
    <w:rsid w:val="00E93295"/>
    <w:rsid w:val="00E9658E"/>
    <w:rsid w:val="00EA44DF"/>
    <w:rsid w:val="00EA4F0A"/>
    <w:rsid w:val="00EA5692"/>
    <w:rsid w:val="00EB10AF"/>
    <w:rsid w:val="00EB51B2"/>
    <w:rsid w:val="00ED1697"/>
    <w:rsid w:val="00ED7FB8"/>
    <w:rsid w:val="00EE41A4"/>
    <w:rsid w:val="00EF2697"/>
    <w:rsid w:val="00EF4895"/>
    <w:rsid w:val="00EF7B18"/>
    <w:rsid w:val="00F05941"/>
    <w:rsid w:val="00F149C7"/>
    <w:rsid w:val="00F15FFC"/>
    <w:rsid w:val="00F31077"/>
    <w:rsid w:val="00F35E2B"/>
    <w:rsid w:val="00F42478"/>
    <w:rsid w:val="00F52A0C"/>
    <w:rsid w:val="00F53B8E"/>
    <w:rsid w:val="00F56022"/>
    <w:rsid w:val="00F565EB"/>
    <w:rsid w:val="00F575A6"/>
    <w:rsid w:val="00F57B1F"/>
    <w:rsid w:val="00F645C0"/>
    <w:rsid w:val="00F744E8"/>
    <w:rsid w:val="00F74FC2"/>
    <w:rsid w:val="00F75A9E"/>
    <w:rsid w:val="00F80DF7"/>
    <w:rsid w:val="00F86954"/>
    <w:rsid w:val="00F87ED7"/>
    <w:rsid w:val="00FA0365"/>
    <w:rsid w:val="00FA1453"/>
    <w:rsid w:val="00FA4FDC"/>
    <w:rsid w:val="00FA5CBB"/>
    <w:rsid w:val="00FA5DA5"/>
    <w:rsid w:val="00FB506A"/>
    <w:rsid w:val="00FD5EC3"/>
    <w:rsid w:val="07B7593C"/>
    <w:rsid w:val="1B9D3454"/>
    <w:rsid w:val="1F7E8A93"/>
    <w:rsid w:val="29CEE1B2"/>
    <w:rsid w:val="2BF733F0"/>
    <w:rsid w:val="30FF88A8"/>
    <w:rsid w:val="3F3FAE33"/>
    <w:rsid w:val="3FFEA0ED"/>
    <w:rsid w:val="437FCFB7"/>
    <w:rsid w:val="582E2E87"/>
    <w:rsid w:val="5FFF87F6"/>
    <w:rsid w:val="6F5F9B6D"/>
    <w:rsid w:val="6FF27686"/>
    <w:rsid w:val="737FD2BB"/>
    <w:rsid w:val="7EBDFE8A"/>
    <w:rsid w:val="7F9D04D9"/>
    <w:rsid w:val="7FDD7DE5"/>
    <w:rsid w:val="7FEA5ED6"/>
    <w:rsid w:val="7FFBFF7C"/>
    <w:rsid w:val="7FFDAE5C"/>
    <w:rsid w:val="A7D794A6"/>
    <w:rsid w:val="AF7EC435"/>
    <w:rsid w:val="BDBD1770"/>
    <w:rsid w:val="BF6D5666"/>
    <w:rsid w:val="CFFF9D50"/>
    <w:rsid w:val="D5DCD005"/>
    <w:rsid w:val="DDFCDBB3"/>
    <w:rsid w:val="DEBF6F37"/>
    <w:rsid w:val="EFB5C1FE"/>
    <w:rsid w:val="EFFE93CE"/>
    <w:rsid w:val="EFFF9C0C"/>
    <w:rsid w:val="F797EB32"/>
    <w:rsid w:val="FA722BE2"/>
    <w:rsid w:val="FB57D818"/>
    <w:rsid w:val="FBBD0CB1"/>
    <w:rsid w:val="FDDF9509"/>
    <w:rsid w:val="FEB62E12"/>
    <w:rsid w:val="FEF6A7B3"/>
    <w:rsid w:val="FEFF4342"/>
    <w:rsid w:val="FF5D6C3E"/>
    <w:rsid w:val="FFBE3BE3"/>
    <w:rsid w:val="FFDF91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3">
    <w:name w:val="heading 4"/>
    <w:basedOn w:val="1"/>
    <w:next w:val="1"/>
    <w:link w:val="18"/>
    <w:unhideWhenUsed/>
    <w:qFormat/>
    <w:uiPriority w:val="9"/>
    <w:pPr>
      <w:keepNext/>
      <w:keepLines/>
      <w:spacing w:line="372" w:lineRule="auto"/>
      <w:outlineLvl w:val="3"/>
    </w:pPr>
    <w:rPr>
      <w:rFonts w:ascii="Arial" w:hAnsi="Arial" w:eastAsia="黑体" w:cs="Times New Roman"/>
      <w:b/>
      <w:sz w:val="28"/>
    </w:rPr>
  </w:style>
  <w:style w:type="paragraph" w:styleId="4">
    <w:name w:val="heading 5"/>
    <w:basedOn w:val="1"/>
    <w:next w:val="1"/>
    <w:link w:val="19"/>
    <w:semiHidden/>
    <w:unhideWhenUsed/>
    <w:qFormat/>
    <w:uiPriority w:val="9"/>
    <w:pPr>
      <w:keepNext/>
      <w:keepLines/>
      <w:spacing w:before="280" w:after="290" w:line="376" w:lineRule="auto"/>
      <w:outlineLvl w:val="4"/>
    </w:pPr>
    <w:rPr>
      <w:rFonts w:ascii="Calibri" w:hAnsi="Calibri" w:eastAsia="宋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0"/>
    <w:semiHidden/>
    <w:unhideWhenUsed/>
    <w:qFormat/>
    <w:uiPriority w:val="99"/>
    <w:rPr>
      <w:rFonts w:ascii="宋体" w:hAnsi="Calibri" w:eastAsia="宋体" w:cs="Times New Roman"/>
      <w:sz w:val="18"/>
      <w:szCs w:val="18"/>
    </w:rPr>
  </w:style>
  <w:style w:type="paragraph" w:styleId="6">
    <w:name w:val="annotation text"/>
    <w:basedOn w:val="1"/>
    <w:link w:val="21"/>
    <w:semiHidden/>
    <w:unhideWhenUsed/>
    <w:qFormat/>
    <w:uiPriority w:val="99"/>
    <w:pPr>
      <w:jc w:val="left"/>
    </w:pPr>
    <w:rPr>
      <w:rFonts w:ascii="Calibri" w:hAnsi="Calibri" w:eastAsia="宋体" w:cs="Times New Roman"/>
    </w:rPr>
  </w:style>
  <w:style w:type="paragraph" w:styleId="7">
    <w:name w:val="Balloon Text"/>
    <w:basedOn w:val="1"/>
    <w:link w:val="22"/>
    <w:semiHidden/>
    <w:unhideWhenUsed/>
    <w:qFormat/>
    <w:uiPriority w:val="99"/>
    <w:rPr>
      <w:rFonts w:ascii="Calibri" w:hAnsi="Calibri" w:eastAsia="宋体" w:cs="Times New Roman"/>
      <w:sz w:val="18"/>
      <w:szCs w:val="18"/>
    </w:rPr>
  </w:style>
  <w:style w:type="paragraph" w:styleId="8">
    <w:name w:val="footer"/>
    <w:basedOn w:val="1"/>
    <w:link w:val="23"/>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9">
    <w:name w:val="header"/>
    <w:basedOn w:val="1"/>
    <w:link w:val="24"/>
    <w:semiHidden/>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0">
    <w:name w:val="Normal (Web)"/>
    <w:basedOn w:val="1"/>
    <w:unhideWhenUsed/>
    <w:qFormat/>
    <w:uiPriority w:val="99"/>
    <w:pPr>
      <w:spacing w:beforeAutospacing="1" w:afterAutospacing="1"/>
      <w:jc w:val="left"/>
    </w:pPr>
    <w:rPr>
      <w:rFonts w:ascii="Calibri" w:hAnsi="Calibri" w:eastAsia="宋体" w:cs="Times New Roman"/>
      <w:kern w:val="0"/>
      <w:sz w:val="24"/>
      <w:szCs w:val="24"/>
    </w:rPr>
  </w:style>
  <w:style w:type="paragraph" w:styleId="11">
    <w:name w:val="annotation subject"/>
    <w:basedOn w:val="6"/>
    <w:next w:val="6"/>
    <w:link w:val="25"/>
    <w:semiHidden/>
    <w:unhideWhenUsed/>
    <w:qFormat/>
    <w:uiPriority w:val="99"/>
    <w:rPr>
      <w:b/>
      <w:bCs/>
    </w:rPr>
  </w:style>
  <w:style w:type="table" w:styleId="13">
    <w:name w:val="Table Grid"/>
    <w:basedOn w:val="12"/>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qFormat/>
    <w:uiPriority w:val="99"/>
    <w:rPr>
      <w:color w:val="0000FF"/>
      <w:u w:val="single"/>
    </w:rPr>
  </w:style>
  <w:style w:type="character" w:styleId="16">
    <w:name w:val="annotation reference"/>
    <w:basedOn w:val="14"/>
    <w:semiHidden/>
    <w:unhideWhenUsed/>
    <w:qFormat/>
    <w:uiPriority w:val="99"/>
    <w:rPr>
      <w:sz w:val="21"/>
      <w:szCs w:val="21"/>
    </w:rPr>
  </w:style>
  <w:style w:type="character" w:customStyle="1" w:styleId="17">
    <w:name w:val="标题 3 Char"/>
    <w:basedOn w:val="14"/>
    <w:link w:val="2"/>
    <w:semiHidden/>
    <w:qFormat/>
    <w:uiPriority w:val="9"/>
    <w:rPr>
      <w:rFonts w:ascii="Calibri" w:hAnsi="Calibri" w:eastAsia="宋体" w:cs="Times New Roman"/>
      <w:b/>
      <w:bCs/>
      <w:sz w:val="32"/>
      <w:szCs w:val="32"/>
    </w:rPr>
  </w:style>
  <w:style w:type="character" w:customStyle="1" w:styleId="18">
    <w:name w:val="标题 4 Char"/>
    <w:basedOn w:val="14"/>
    <w:link w:val="3"/>
    <w:qFormat/>
    <w:uiPriority w:val="9"/>
    <w:rPr>
      <w:rFonts w:ascii="Arial" w:hAnsi="Arial" w:eastAsia="黑体" w:cs="Times New Roman"/>
      <w:b/>
      <w:sz w:val="28"/>
    </w:rPr>
  </w:style>
  <w:style w:type="character" w:customStyle="1" w:styleId="19">
    <w:name w:val="标题 5 Char"/>
    <w:basedOn w:val="14"/>
    <w:link w:val="4"/>
    <w:semiHidden/>
    <w:qFormat/>
    <w:uiPriority w:val="9"/>
    <w:rPr>
      <w:rFonts w:ascii="Calibri" w:hAnsi="Calibri" w:eastAsia="宋体" w:cs="Times New Roman"/>
      <w:b/>
      <w:bCs/>
      <w:sz w:val="28"/>
      <w:szCs w:val="28"/>
    </w:rPr>
  </w:style>
  <w:style w:type="character" w:customStyle="1" w:styleId="20">
    <w:name w:val="文档结构图 Char"/>
    <w:basedOn w:val="14"/>
    <w:link w:val="5"/>
    <w:semiHidden/>
    <w:qFormat/>
    <w:uiPriority w:val="99"/>
    <w:rPr>
      <w:rFonts w:ascii="宋体" w:hAnsi="Calibri" w:eastAsia="宋体" w:cs="Times New Roman"/>
      <w:sz w:val="18"/>
      <w:szCs w:val="18"/>
    </w:rPr>
  </w:style>
  <w:style w:type="character" w:customStyle="1" w:styleId="21">
    <w:name w:val="批注文字 Char"/>
    <w:basedOn w:val="14"/>
    <w:link w:val="6"/>
    <w:semiHidden/>
    <w:qFormat/>
    <w:uiPriority w:val="99"/>
    <w:rPr>
      <w:rFonts w:ascii="Calibri" w:hAnsi="Calibri" w:eastAsia="宋体" w:cs="Times New Roman"/>
    </w:rPr>
  </w:style>
  <w:style w:type="character" w:customStyle="1" w:styleId="22">
    <w:name w:val="批注框文本 Char"/>
    <w:basedOn w:val="14"/>
    <w:link w:val="7"/>
    <w:semiHidden/>
    <w:qFormat/>
    <w:uiPriority w:val="99"/>
    <w:rPr>
      <w:rFonts w:ascii="Calibri" w:hAnsi="Calibri" w:eastAsia="宋体" w:cs="Times New Roman"/>
      <w:sz w:val="18"/>
      <w:szCs w:val="18"/>
    </w:rPr>
  </w:style>
  <w:style w:type="character" w:customStyle="1" w:styleId="23">
    <w:name w:val="页脚 Char"/>
    <w:basedOn w:val="14"/>
    <w:link w:val="8"/>
    <w:qFormat/>
    <w:uiPriority w:val="99"/>
    <w:rPr>
      <w:rFonts w:ascii="Calibri" w:hAnsi="Calibri" w:eastAsia="宋体" w:cs="Times New Roman"/>
      <w:sz w:val="18"/>
      <w:szCs w:val="18"/>
    </w:rPr>
  </w:style>
  <w:style w:type="character" w:customStyle="1" w:styleId="24">
    <w:name w:val="页眉 Char"/>
    <w:basedOn w:val="14"/>
    <w:link w:val="9"/>
    <w:semiHidden/>
    <w:qFormat/>
    <w:uiPriority w:val="99"/>
    <w:rPr>
      <w:rFonts w:ascii="Calibri" w:hAnsi="Calibri" w:eastAsia="宋体" w:cs="Times New Roman"/>
      <w:sz w:val="18"/>
      <w:szCs w:val="18"/>
    </w:rPr>
  </w:style>
  <w:style w:type="character" w:customStyle="1" w:styleId="25">
    <w:name w:val="批注主题 Char"/>
    <w:basedOn w:val="21"/>
    <w:link w:val="11"/>
    <w:semiHidden/>
    <w:qFormat/>
    <w:uiPriority w:val="99"/>
    <w:rPr>
      <w:b/>
      <w:bCs/>
    </w:rPr>
  </w:style>
  <w:style w:type="paragraph" w:customStyle="1" w:styleId="26">
    <w:name w:val="Char Char1"/>
    <w:basedOn w:val="1"/>
    <w:qFormat/>
    <w:uiPriority w:val="0"/>
    <w:pPr>
      <w:widowControl/>
      <w:spacing w:before="120" w:after="120" w:line="360" w:lineRule="auto"/>
      <w:ind w:firstLine="480" w:firstLineChars="200"/>
    </w:pPr>
    <w:rPr>
      <w:rFonts w:ascii="Times New Roman" w:hAnsi="Times New Roman" w:eastAsia="宋体" w:cs="宋体"/>
      <w:sz w:val="24"/>
      <w:szCs w:val="24"/>
    </w:rPr>
  </w:style>
  <w:style w:type="paragraph" w:styleId="27">
    <w:name w:val="List Paragraph"/>
    <w:basedOn w:val="1"/>
    <w:qFormat/>
    <w:uiPriority w:val="34"/>
    <w:pPr>
      <w:ind w:firstLine="420" w:firstLineChars="200"/>
    </w:pPr>
    <w:rPr>
      <w:rFonts w:ascii="Calibri" w:hAnsi="Calibri" w:eastAsia="宋体" w:cs="Times New Roman"/>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paragraph" w:customStyle="1" w:styleId="29">
    <w:name w:val="font0"/>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30">
    <w:name w:val="font1"/>
    <w:basedOn w:val="1"/>
    <w:qFormat/>
    <w:uiPriority w:val="0"/>
    <w:pPr>
      <w:widowControl/>
      <w:spacing w:before="100" w:beforeAutospacing="1" w:after="100" w:afterAutospacing="1"/>
      <w:jc w:val="left"/>
    </w:pPr>
    <w:rPr>
      <w:rFonts w:ascii="黑体" w:hAnsi="黑体" w:eastAsia="黑体" w:cs="宋体"/>
      <w:b/>
      <w:bCs/>
      <w:color w:val="000000"/>
      <w:kern w:val="0"/>
      <w:szCs w:val="21"/>
    </w:rPr>
  </w:style>
  <w:style w:type="paragraph" w:customStyle="1" w:styleId="31">
    <w:name w:val="font2"/>
    <w:basedOn w:val="1"/>
    <w:qFormat/>
    <w:uiPriority w:val="0"/>
    <w:pPr>
      <w:widowControl/>
      <w:spacing w:before="100" w:beforeAutospacing="1" w:after="100" w:afterAutospacing="1"/>
      <w:jc w:val="left"/>
    </w:pPr>
    <w:rPr>
      <w:rFonts w:ascii="黑体" w:hAnsi="黑体" w:eastAsia="黑体" w:cs="宋体"/>
      <w:color w:val="000000"/>
      <w:kern w:val="0"/>
      <w:szCs w:val="21"/>
    </w:rPr>
  </w:style>
  <w:style w:type="paragraph" w:customStyle="1" w:styleId="32">
    <w:name w:val="font3"/>
    <w:basedOn w:val="1"/>
    <w:qFormat/>
    <w:uiPriority w:val="0"/>
    <w:pPr>
      <w:widowControl/>
      <w:spacing w:before="100" w:beforeAutospacing="1" w:after="100" w:afterAutospacing="1"/>
      <w:jc w:val="left"/>
    </w:pPr>
    <w:rPr>
      <w:rFonts w:ascii="黑体" w:hAnsi="黑体" w:eastAsia="黑体" w:cs="宋体"/>
      <w:color w:val="000000"/>
      <w:kern w:val="0"/>
      <w:szCs w:val="21"/>
    </w:rPr>
  </w:style>
  <w:style w:type="paragraph" w:customStyle="1" w:styleId="33">
    <w:name w:val="font4"/>
    <w:basedOn w:val="1"/>
    <w:qFormat/>
    <w:uiPriority w:val="0"/>
    <w:pPr>
      <w:widowControl/>
      <w:spacing w:before="100" w:beforeAutospacing="1" w:after="100" w:afterAutospacing="1"/>
      <w:jc w:val="left"/>
    </w:pPr>
    <w:rPr>
      <w:rFonts w:ascii="黑体" w:hAnsi="黑体" w:eastAsia="黑体" w:cs="宋体"/>
      <w:color w:val="000000"/>
      <w:kern w:val="0"/>
      <w:sz w:val="20"/>
      <w:szCs w:val="20"/>
    </w:rPr>
  </w:style>
  <w:style w:type="paragraph" w:customStyle="1" w:styleId="34">
    <w:name w:val="et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FBFBF"/>
      <w:spacing w:before="100" w:beforeAutospacing="1" w:after="100" w:afterAutospacing="1"/>
      <w:jc w:val="center"/>
    </w:pPr>
    <w:rPr>
      <w:rFonts w:ascii="黑体" w:hAnsi="黑体" w:eastAsia="黑体" w:cs="宋体"/>
      <w:b/>
      <w:bCs/>
      <w:color w:val="000000"/>
      <w:kern w:val="0"/>
      <w:szCs w:val="21"/>
    </w:rPr>
  </w:style>
  <w:style w:type="paragraph" w:customStyle="1" w:styleId="35">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Cs w:val="21"/>
    </w:rPr>
  </w:style>
  <w:style w:type="paragraph" w:customStyle="1" w:styleId="36">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Cs w:val="21"/>
    </w:rPr>
  </w:style>
  <w:style w:type="paragraph" w:customStyle="1" w:styleId="37">
    <w:name w:val="et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8ECCC"/>
      <w:spacing w:before="100" w:beforeAutospacing="1" w:after="100" w:afterAutospacing="1"/>
      <w:jc w:val="center"/>
    </w:pPr>
    <w:rPr>
      <w:rFonts w:ascii="黑体" w:hAnsi="黑体" w:eastAsia="黑体" w:cs="宋体"/>
      <w:color w:val="000000"/>
      <w:kern w:val="0"/>
      <w:szCs w:val="21"/>
    </w:rPr>
  </w:style>
  <w:style w:type="paragraph" w:customStyle="1" w:styleId="38">
    <w:name w:val="et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39">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40">
    <w:name w:val="et8"/>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41">
    <w:name w:val="et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42">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kern w:val="0"/>
      <w:szCs w:val="21"/>
    </w:rPr>
  </w:style>
  <w:style w:type="paragraph" w:customStyle="1" w:styleId="43">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kern w:val="0"/>
      <w:sz w:val="20"/>
      <w:szCs w:val="20"/>
    </w:rPr>
  </w:style>
  <w:style w:type="character" w:customStyle="1" w:styleId="44">
    <w:name w:val="font11"/>
    <w:basedOn w:val="14"/>
    <w:qFormat/>
    <w:uiPriority w:val="0"/>
    <w:rPr>
      <w:rFonts w:hint="eastAsia" w:ascii="黑体" w:hAnsi="黑体" w:eastAsia="黑体"/>
      <w:b/>
      <w:bCs/>
      <w:color w:val="000000"/>
      <w:sz w:val="21"/>
      <w:szCs w:val="21"/>
      <w:u w:val="none"/>
    </w:rPr>
  </w:style>
  <w:style w:type="character" w:customStyle="1" w:styleId="45">
    <w:name w:val="font21"/>
    <w:basedOn w:val="14"/>
    <w:qFormat/>
    <w:uiPriority w:val="0"/>
    <w:rPr>
      <w:rFonts w:hint="eastAsia" w:ascii="黑体" w:hAnsi="黑体" w:eastAsia="黑体"/>
      <w:color w:val="000000"/>
      <w:sz w:val="21"/>
      <w:szCs w:val="21"/>
      <w:u w:val="none"/>
    </w:rPr>
  </w:style>
  <w:style w:type="paragraph" w:customStyle="1" w:styleId="46">
    <w:name w:val="font5"/>
    <w:basedOn w:val="1"/>
    <w:qFormat/>
    <w:uiPriority w:val="0"/>
    <w:pPr>
      <w:widowControl/>
      <w:spacing w:before="100" w:beforeAutospacing="1" w:after="100" w:afterAutospacing="1"/>
      <w:jc w:val="left"/>
    </w:pPr>
    <w:rPr>
      <w:rFonts w:ascii="黑体" w:hAnsi="黑体" w:eastAsia="黑体" w:cs="宋体"/>
      <w:color w:val="000000"/>
      <w:kern w:val="0"/>
      <w:sz w:val="20"/>
      <w:szCs w:val="20"/>
    </w:rPr>
  </w:style>
  <w:style w:type="paragraph" w:customStyle="1" w:styleId="47">
    <w:name w:val="font6"/>
    <w:basedOn w:val="1"/>
    <w:qFormat/>
    <w:uiPriority w:val="0"/>
    <w:pPr>
      <w:widowControl/>
      <w:spacing w:before="100" w:beforeAutospacing="1" w:after="100" w:afterAutospacing="1"/>
      <w:jc w:val="left"/>
    </w:pPr>
    <w:rPr>
      <w:rFonts w:ascii="黑体" w:hAnsi="黑体" w:eastAsia="黑体" w:cs="宋体"/>
      <w:b/>
      <w:bCs/>
      <w:color w:val="000000"/>
      <w:kern w:val="0"/>
      <w:sz w:val="22"/>
    </w:rPr>
  </w:style>
  <w:style w:type="paragraph" w:customStyle="1" w:styleId="48">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 w:val="20"/>
      <w:szCs w:val="20"/>
    </w:rPr>
  </w:style>
  <w:style w:type="paragraph" w:customStyle="1" w:styleId="49">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 w:val="20"/>
      <w:szCs w:val="20"/>
    </w:rPr>
  </w:style>
  <w:style w:type="paragraph" w:customStyle="1" w:styleId="50">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CD5B4"/>
      <w:spacing w:before="100" w:beforeAutospacing="1" w:after="100" w:afterAutospacing="1"/>
      <w:jc w:val="center"/>
    </w:pPr>
    <w:rPr>
      <w:rFonts w:ascii="黑体" w:hAnsi="黑体" w:eastAsia="黑体" w:cs="宋体"/>
      <w:kern w:val="0"/>
      <w:sz w:val="20"/>
      <w:szCs w:val="20"/>
    </w:rPr>
  </w:style>
  <w:style w:type="paragraph" w:customStyle="1" w:styleId="51">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52">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53">
    <w:name w:val="et1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54">
    <w:name w:val="et18"/>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55">
    <w:name w:val="et1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56">
    <w:name w:val="et2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CD5B4"/>
      <w:spacing w:before="100" w:beforeAutospacing="1" w:after="100" w:afterAutospacing="1"/>
      <w:jc w:val="center"/>
    </w:pPr>
    <w:rPr>
      <w:rFonts w:ascii="黑体" w:hAnsi="黑体" w:eastAsia="黑体" w:cs="宋体"/>
      <w:color w:val="000000"/>
      <w:kern w:val="0"/>
      <w:sz w:val="20"/>
      <w:szCs w:val="20"/>
    </w:rPr>
  </w:style>
  <w:style w:type="paragraph" w:customStyle="1" w:styleId="57">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kern w:val="0"/>
      <w:sz w:val="20"/>
      <w:szCs w:val="20"/>
    </w:rPr>
  </w:style>
  <w:style w:type="paragraph" w:customStyle="1" w:styleId="58">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黑体" w:hAnsi="黑体" w:eastAsia="黑体" w:cs="宋体"/>
      <w:kern w:val="0"/>
      <w:sz w:val="20"/>
      <w:szCs w:val="20"/>
    </w:rPr>
  </w:style>
  <w:style w:type="paragraph" w:customStyle="1" w:styleId="59">
    <w:name w:val="et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 w:val="20"/>
      <w:szCs w:val="20"/>
    </w:rPr>
  </w:style>
  <w:style w:type="paragraph" w:customStyle="1" w:styleId="60">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黑体" w:hAnsi="黑体" w:eastAsia="黑体" w:cs="宋体"/>
      <w:b/>
      <w:bC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588B83AE-3839-4E2D-BB88-AD3E34FE6B1F}">
  <ds:schemaRefs/>
</ds:datastoreItem>
</file>

<file path=docProps/app.xml><?xml version="1.0" encoding="utf-8"?>
<Properties xmlns="http://schemas.openxmlformats.org/officeDocument/2006/extended-properties" xmlns:vt="http://schemas.openxmlformats.org/officeDocument/2006/docPropsVTypes">
  <Template>Normal</Template>
  <Company>XSoulja-7</Company>
  <Pages>89</Pages>
  <Words>25468</Words>
  <Characters>25622</Characters>
  <Lines>396</Lines>
  <Paragraphs>111</Paragraphs>
  <TotalTime>6</TotalTime>
  <ScaleCrop>false</ScaleCrop>
  <LinksUpToDate>false</LinksUpToDate>
  <CharactersWithSpaces>25626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2025-09-13T12:05:00Z</dcterms:created>
  <dc:creator>XSoulja</dc:creator>
  <cp:lastModifiedBy>user</cp:lastModifiedBy>
  <dcterms:modified xsi:type="dcterms:W3CDTF">2025-10-14T11:12:19Z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eyJoZGlkIjoiMTQxZmVlYTNkYzUzZTAzZDI0NGY3MDRiZGZhYjkwZWUiLCJ1c2VySWQiOiI5MDgzNDM0NjYifQ==</vt:lpwstr>
  </property>
  <property fmtid="{D5CDD505-2E9C-101B-9397-08002B2CF9AE}" pid="3" name="KSOProductBuildVer">
    <vt:lpwstr>2052-12.8.2.1113</vt:lpwstr>
  </property>
  <property fmtid="{D5CDD505-2E9C-101B-9397-08002B2CF9AE}" pid="4" name="ICV">
    <vt:lpwstr>DC4D1557AD4CDC21B5AEED68B3D3DA75_43</vt:lpwstr>
  </property>
</Properties>
</file>