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tabs>
          <w:tab w:val="left" w:pos="7030"/>
        </w:tabs>
        <w:spacing w:line="600" w:lineRule="auto"/>
        <w:jc w:val="left"/>
        <w:rPr>
          <w:rFonts w:hint="eastAsia" w:ascii="仿宋" w:hAnsi="仿宋" w:eastAsia="仿宋" w:cs="仿宋"/>
          <w:b/>
          <w:sz w:val="36"/>
          <w:szCs w:val="36"/>
        </w:rPr>
      </w:pPr>
      <w:r>
        <w:rPr>
          <w:rFonts w:ascii="仿宋" w:hAnsi="仿宋" w:eastAsia="仿宋" w:cs="仿宋"/>
          <w:b/>
          <w:sz w:val="36"/>
          <w:szCs w:val="36"/>
        </w:rPr>
        <w:tab/>
      </w:r>
      <w:bookmarkStart w:id="11" w:name="_GoBack"/>
      <w:bookmarkEnd w:id="11"/>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上海市政务外网服务质量第三方监管项目</w:t>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（2025.7-2026.6）</w:t>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采购需求</w:t>
      </w: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2"/>
        <w:ind w:left="0"/>
        <w:rPr>
          <w:rFonts w:hint="eastAsia" w:ascii="仿宋" w:hAnsi="仿宋" w:eastAsia="仿宋" w:cs="仿宋"/>
        </w:rPr>
      </w:pPr>
      <w:bookmarkStart w:id="0" w:name="_Toc69194644"/>
      <w:r>
        <w:rPr>
          <w:rFonts w:hint="eastAsia" w:ascii="仿宋" w:hAnsi="仿宋" w:eastAsia="仿宋" w:cs="仿宋"/>
        </w:rPr>
        <w:t>项目概述</w:t>
      </w:r>
      <w:bookmarkEnd w:id="0"/>
    </w:p>
    <w:p>
      <w:pPr>
        <w:ind w:firstLine="560" w:firstLineChars="200"/>
        <w:rPr>
          <w:rFonts w:ascii="仿宋" w:hAnsi="仿宋" w:eastAsia="仿宋" w:cs="仿宋"/>
          <w:sz w:val="28"/>
          <w:szCs w:val="28"/>
        </w:rPr>
      </w:pPr>
      <w:r>
        <w:rPr>
          <w:rFonts w:hint="eastAsia" w:ascii="仿宋" w:hAnsi="仿宋" w:eastAsia="仿宋" w:cs="仿宋"/>
          <w:sz w:val="28"/>
          <w:szCs w:val="28"/>
        </w:rPr>
        <w:t>项目背景：上海市市级政务外网是上海市电子政务体系的重要组成部分，也是推进全市“一网通办”“一网统管”建设、深化治理数字化转型的关键信息基础设施。市级政务外网的建设运行，通过购买服务的方式实现，</w:t>
      </w:r>
      <w:r>
        <w:rPr>
          <w:rFonts w:hint="eastAsia" w:ascii="仿宋" w:hAnsi="仿宋" w:eastAsia="仿宋" w:cs="仿宋"/>
          <w:sz w:val="28"/>
          <w:szCs w:val="28"/>
          <w:highlight w:val="none"/>
        </w:rPr>
        <w:t>其质量和服务水平直接影响到政务外网用户的使用感知</w:t>
      </w:r>
      <w:r>
        <w:rPr>
          <w:rFonts w:hint="eastAsia" w:ascii="仿宋" w:hAnsi="仿宋" w:eastAsia="仿宋" w:cs="仿宋"/>
          <w:sz w:val="28"/>
          <w:szCs w:val="28"/>
          <w:highlight w:val="none"/>
          <w:lang w:val="en-US"/>
        </w:rPr>
        <w:t>和政务服务的效率</w:t>
      </w:r>
      <w:r>
        <w:rPr>
          <w:rFonts w:hint="eastAsia" w:ascii="仿宋" w:hAnsi="仿宋" w:eastAsia="仿宋" w:cs="仿宋"/>
          <w:sz w:val="28"/>
          <w:szCs w:val="28"/>
          <w:lang w:val="en-US" w:eastAsia="zh-CN"/>
        </w:rPr>
        <w:t>。因此，有必要</w:t>
      </w:r>
      <w:r>
        <w:rPr>
          <w:rFonts w:hint="eastAsia" w:ascii="仿宋" w:hAnsi="仿宋" w:eastAsia="仿宋" w:cs="仿宋"/>
          <w:sz w:val="28"/>
          <w:szCs w:val="28"/>
        </w:rPr>
        <w:t>引入第三方</w:t>
      </w:r>
      <w:r>
        <w:rPr>
          <w:rFonts w:hint="eastAsia" w:ascii="仿宋" w:hAnsi="仿宋" w:eastAsia="仿宋" w:cs="仿宋"/>
          <w:sz w:val="28"/>
          <w:szCs w:val="28"/>
          <w:lang w:val="en-US" w:eastAsia="zh-CN"/>
        </w:rPr>
        <w:t>单位，</w:t>
      </w:r>
      <w:r>
        <w:rPr>
          <w:rFonts w:hint="eastAsia" w:ascii="仿宋" w:hAnsi="仿宋" w:eastAsia="仿宋" w:cs="仿宋"/>
          <w:sz w:val="28"/>
          <w:szCs w:val="28"/>
        </w:rPr>
        <w:t>对网络服务商在运营服务过程中的活动开展监督和评估评价工作，以促进</w:t>
      </w:r>
      <w:r>
        <w:rPr>
          <w:rFonts w:hint="eastAsia" w:ascii="仿宋" w:hAnsi="仿宋" w:eastAsia="仿宋" w:cs="仿宋"/>
          <w:sz w:val="28"/>
          <w:szCs w:val="28"/>
          <w:lang w:val="en-US" w:eastAsia="zh-CN"/>
        </w:rPr>
        <w:t>服务质量的</w:t>
      </w:r>
      <w:r>
        <w:rPr>
          <w:rFonts w:hint="eastAsia" w:ascii="仿宋" w:hAnsi="仿宋" w:eastAsia="仿宋" w:cs="仿宋"/>
          <w:sz w:val="28"/>
          <w:szCs w:val="28"/>
        </w:rPr>
        <w:t>提升，</w:t>
      </w:r>
      <w:r>
        <w:rPr>
          <w:rFonts w:hint="eastAsia" w:ascii="仿宋" w:hAnsi="仿宋" w:eastAsia="仿宋" w:cs="仿宋"/>
          <w:sz w:val="28"/>
          <w:szCs w:val="28"/>
          <w:lang w:val="en-US" w:eastAsia="zh-CN"/>
        </w:rPr>
        <w:t>并</w:t>
      </w:r>
      <w:r>
        <w:rPr>
          <w:rFonts w:hint="eastAsia" w:ascii="仿宋" w:hAnsi="仿宋" w:eastAsia="仿宋" w:cs="仿宋"/>
          <w:sz w:val="28"/>
          <w:szCs w:val="28"/>
        </w:rPr>
        <w:t>保障网络安全稳定运行。</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服务</w:t>
      </w:r>
      <w:r>
        <w:rPr>
          <w:rFonts w:hint="eastAsia" w:ascii="仿宋" w:hAnsi="仿宋" w:eastAsia="仿宋" w:cs="仿宋"/>
          <w:sz w:val="28"/>
          <w:szCs w:val="28"/>
        </w:rPr>
        <w:t>期限：2025年7月1日至2026年6月30日</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服务</w:t>
      </w:r>
      <w:r>
        <w:rPr>
          <w:rFonts w:hint="eastAsia" w:ascii="仿宋" w:hAnsi="仿宋" w:eastAsia="仿宋" w:cs="仿宋"/>
          <w:sz w:val="28"/>
          <w:szCs w:val="28"/>
        </w:rPr>
        <w:t>地点：上海市</w:t>
      </w:r>
      <w:r>
        <w:rPr>
          <w:rFonts w:hint="eastAsia" w:ascii="仿宋" w:hAnsi="仿宋" w:eastAsia="仿宋" w:cs="仿宋"/>
          <w:sz w:val="28"/>
          <w:szCs w:val="28"/>
          <w:lang w:val="en-US" w:eastAsia="zh-CN"/>
        </w:rPr>
        <w:t>寿阳路99弄15号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预算金额：150万元，其中2025年的预算金额为105万元。</w:t>
      </w:r>
    </w:p>
    <w:p>
      <w:pPr>
        <w:ind w:firstLine="560" w:firstLineChars="200"/>
        <w:rPr>
          <w:rFonts w:hint="eastAsia" w:ascii="仿宋" w:hAnsi="仿宋" w:eastAsia="仿宋" w:cs="仿宋"/>
          <w:color w:val="FF0000"/>
          <w:sz w:val="28"/>
        </w:rPr>
      </w:pPr>
      <w:r>
        <w:rPr>
          <w:rFonts w:hint="eastAsia" w:ascii="仿宋" w:hAnsi="仿宋" w:eastAsia="仿宋" w:cs="仿宋"/>
          <w:sz w:val="28"/>
          <w:szCs w:val="28"/>
        </w:rPr>
        <w:t>采购金额（最高限价）：150万元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组织形式：</w:t>
      </w:r>
      <w:r>
        <w:rPr>
          <w:rFonts w:hint="eastAsia" w:ascii="仿宋" w:hAnsi="仿宋" w:eastAsia="仿宋" w:cs="仿宋"/>
          <w:sz w:val="28"/>
          <w:szCs w:val="28"/>
          <w:lang w:val="en-US" w:eastAsia="zh-CN"/>
        </w:rPr>
        <w:t>集中采购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采购方式：竞争性磋商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面向企业类型：大中小微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是否接受联合体</w:t>
      </w:r>
      <w:r>
        <w:rPr>
          <w:rFonts w:hint="eastAsia" w:ascii="仿宋" w:hAnsi="仿宋" w:eastAsia="仿宋" w:cs="仿宋"/>
          <w:sz w:val="28"/>
          <w:szCs w:val="28"/>
          <w:lang w:eastAsia="zh-CN"/>
        </w:rPr>
        <w:t>响应</w:t>
      </w:r>
      <w:r>
        <w:rPr>
          <w:rFonts w:hint="eastAsia" w:ascii="仿宋" w:hAnsi="仿宋" w:eastAsia="仿宋" w:cs="仿宋"/>
          <w:sz w:val="28"/>
          <w:szCs w:val="28"/>
        </w:rPr>
        <w:t>：否</w:t>
      </w:r>
    </w:p>
    <w:p>
      <w:pPr>
        <w:pStyle w:val="2"/>
        <w:ind w:left="0"/>
        <w:rPr>
          <w:rFonts w:hint="eastAsia" w:ascii="仿宋" w:hAnsi="仿宋" w:eastAsia="仿宋" w:cs="仿宋"/>
        </w:rPr>
      </w:pPr>
      <w:bookmarkStart w:id="1" w:name="_Toc69194645"/>
      <w:r>
        <w:rPr>
          <w:rFonts w:hint="eastAsia" w:ascii="仿宋" w:hAnsi="仿宋" w:eastAsia="仿宋" w:cs="仿宋"/>
        </w:rPr>
        <w:t>服务范围</w:t>
      </w:r>
      <w:bookmarkEnd w:id="1"/>
    </w:p>
    <w:p>
      <w:pPr>
        <w:ind w:firstLine="560" w:firstLineChars="200"/>
        <w:rPr>
          <w:rFonts w:hint="eastAsia" w:asciiTheme="minorHAnsi" w:hAnsiTheme="minorHAnsi" w:eastAsiaTheme="minorEastAsia" w:cstheme="minorBidi"/>
          <w:sz w:val="21"/>
          <w:szCs w:val="22"/>
        </w:rPr>
      </w:pPr>
      <w:r>
        <w:rPr>
          <w:rFonts w:hint="eastAsia" w:ascii="仿宋" w:hAnsi="仿宋" w:eastAsia="仿宋" w:cs="仿宋"/>
          <w:sz w:val="28"/>
          <w:szCs w:val="28"/>
        </w:rPr>
        <w:t>供应商应协助采购人在服务周期内对市级政务外网网络建设和运行服务进行常态化监管和服务质量评估，涵盖网络建设、网络运维、网络性能、网络安全服务和运营服务的监管和评估，以及通信服务费预算数据稽核、通信服务项目验收等工作，提升市级政务外网服务商的专业性、规范性，推动服务质量持续提升。</w:t>
      </w:r>
    </w:p>
    <w:p>
      <w:pPr>
        <w:pStyle w:val="2"/>
        <w:ind w:left="0"/>
        <w:rPr>
          <w:rFonts w:hint="eastAsia" w:ascii="仿宋" w:hAnsi="仿宋" w:eastAsia="仿宋" w:cs="仿宋"/>
        </w:rPr>
      </w:pPr>
      <w:bookmarkStart w:id="2" w:name="_Toc69194646"/>
      <w:r>
        <w:rPr>
          <w:rFonts w:hint="eastAsia" w:ascii="仿宋" w:hAnsi="仿宋" w:eastAsia="仿宋" w:cs="仿宋"/>
        </w:rPr>
        <w:t>服务需求</w:t>
      </w:r>
      <w:bookmarkEnd w:id="2"/>
    </w:p>
    <w:p>
      <w:pPr>
        <w:ind w:firstLine="560" w:firstLineChars="200"/>
        <w:rPr>
          <w:rFonts w:hint="eastAsia" w:ascii="仿宋" w:hAnsi="仿宋" w:eastAsia="仿宋" w:cs="仿宋"/>
          <w:sz w:val="28"/>
          <w:szCs w:val="28"/>
        </w:rPr>
      </w:pPr>
      <w:r>
        <w:rPr>
          <w:rFonts w:hint="eastAsia" w:ascii="仿宋" w:hAnsi="仿宋" w:eastAsia="仿宋" w:cs="仿宋"/>
          <w:sz w:val="28"/>
          <w:szCs w:val="28"/>
        </w:rPr>
        <w:t>供应商应按照采购人要求，对政务外网服务商和5G接入运营商的网络服务进行常态化监管，对产生的过程性或结果性交付成果进行审核，对服务质量进行评估；针对发现的问题，供应商需提出整改建议，督促整改流程，追踪整改结果，完成闭环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具体服务内容见下表。</w:t>
      </w:r>
    </w:p>
    <w:tbl>
      <w:tblPr>
        <w:tblStyle w:val="25"/>
        <w:tblW w:w="863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
        <w:gridCol w:w="3123"/>
        <w:gridCol w:w="46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36" w:hRule="atLeast"/>
          <w:tblHeader/>
          <w:jc w:val="center"/>
        </w:trPr>
        <w:tc>
          <w:tcPr>
            <w:tcW w:w="885" w:type="dxa"/>
            <w:tcBorders>
              <w:top w:val="single" w:color="000000" w:sz="8" w:space="0"/>
              <w:left w:val="single" w:color="000000" w:sz="8" w:space="0"/>
              <w:bottom w:val="single" w:color="000000" w:sz="8" w:space="0"/>
              <w:right w:val="single" w:color="000000" w:sz="8" w:space="0"/>
            </w:tcBorders>
            <w:vAlign w:val="center"/>
          </w:tcPr>
          <w:p>
            <w:pPr>
              <w:pStyle w:val="60"/>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123" w:type="dxa"/>
            <w:tcBorders>
              <w:top w:val="single" w:color="000000" w:sz="8" w:space="0"/>
              <w:left w:val="nil"/>
              <w:bottom w:val="single" w:color="000000" w:sz="8" w:space="0"/>
              <w:right w:val="single" w:color="000000" w:sz="8" w:space="0"/>
            </w:tcBorders>
            <w:vAlign w:val="center"/>
          </w:tcPr>
          <w:p>
            <w:pPr>
              <w:pStyle w:val="60"/>
              <w:jc w:val="center"/>
              <w:rPr>
                <w:rFonts w:hint="eastAsia" w:ascii="仿宋" w:hAnsi="仿宋" w:eastAsia="仿宋" w:cs="仿宋"/>
                <w:b/>
                <w:bCs/>
                <w:sz w:val="28"/>
                <w:szCs w:val="28"/>
              </w:rPr>
            </w:pPr>
            <w:r>
              <w:rPr>
                <w:rFonts w:hint="eastAsia" w:ascii="仿宋" w:hAnsi="仿宋" w:eastAsia="仿宋" w:cs="仿宋"/>
                <w:b/>
                <w:bCs/>
                <w:sz w:val="28"/>
                <w:szCs w:val="28"/>
              </w:rPr>
              <w:t>主要模块</w:t>
            </w:r>
          </w:p>
        </w:tc>
        <w:tc>
          <w:tcPr>
            <w:tcW w:w="4629" w:type="dxa"/>
            <w:tcBorders>
              <w:top w:val="single" w:color="000000" w:sz="8" w:space="0"/>
              <w:left w:val="nil"/>
              <w:bottom w:val="single" w:color="000000" w:sz="8" w:space="0"/>
              <w:right w:val="single" w:color="000000" w:sz="8" w:space="0"/>
            </w:tcBorders>
            <w:vAlign w:val="center"/>
          </w:tcPr>
          <w:p>
            <w:pPr>
              <w:pStyle w:val="60"/>
              <w:jc w:val="center"/>
              <w:rPr>
                <w:rFonts w:hint="eastAsia" w:ascii="仿宋" w:hAnsi="仿宋" w:eastAsia="仿宋" w:cs="仿宋"/>
                <w:b/>
                <w:bCs/>
                <w:sz w:val="28"/>
                <w:szCs w:val="28"/>
              </w:rPr>
            </w:pPr>
            <w:r>
              <w:rPr>
                <w:rFonts w:hint="eastAsia" w:ascii="仿宋" w:hAnsi="仿宋" w:eastAsia="仿宋" w:cs="仿宋"/>
                <w:b/>
                <w:bCs/>
                <w:sz w:val="28"/>
                <w:szCs w:val="28"/>
              </w:rPr>
              <w:t>子模块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restart"/>
            <w:tcBorders>
              <w:top w:val="single" w:color="000000" w:sz="8" w:space="0"/>
              <w:left w:val="single" w:color="000000" w:sz="8" w:space="0"/>
              <w:right w:val="single" w:color="000000" w:sz="8" w:space="0"/>
            </w:tcBorders>
            <w:vAlign w:val="center"/>
          </w:tcPr>
          <w:p>
            <w:pPr>
              <w:pStyle w:val="60"/>
              <w:spacing w:before="1"/>
              <w:jc w:val="center"/>
              <w:rPr>
                <w:rFonts w:hint="eastAsia" w:ascii="仿宋" w:hAnsi="仿宋" w:eastAsia="仿宋" w:cs="仿宋"/>
                <w:sz w:val="28"/>
                <w:szCs w:val="28"/>
              </w:rPr>
            </w:pPr>
            <w:r>
              <w:rPr>
                <w:rFonts w:hint="eastAsia" w:ascii="仿宋" w:hAnsi="仿宋" w:eastAsia="仿宋" w:cs="仿宋"/>
                <w:sz w:val="28"/>
                <w:szCs w:val="28"/>
              </w:rPr>
              <w:t>1</w:t>
            </w:r>
          </w:p>
        </w:tc>
        <w:tc>
          <w:tcPr>
            <w:tcW w:w="3123" w:type="dxa"/>
            <w:vMerge w:val="restart"/>
            <w:tcBorders>
              <w:top w:val="single" w:color="000000" w:sz="8" w:space="0"/>
              <w:left w:val="nil"/>
              <w:right w:val="single" w:color="000000" w:sz="8" w:space="0"/>
            </w:tcBorders>
            <w:vAlign w:val="center"/>
          </w:tcPr>
          <w:p>
            <w:pPr>
              <w:pStyle w:val="60"/>
              <w:autoSpaceDE/>
              <w:autoSpaceDN/>
              <w:spacing w:line="400" w:lineRule="exact"/>
              <w:ind w:right="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政务外网（含5G接入）服务质量评</w:t>
            </w:r>
            <w:r>
              <w:rPr>
                <w:rFonts w:hint="eastAsia" w:ascii="仿宋" w:hAnsi="仿宋" w:eastAsia="仿宋" w:cs="仿宋"/>
                <w:sz w:val="28"/>
                <w:szCs w:val="28"/>
                <w:highlight w:val="none"/>
                <w:lang w:val="en-US" w:eastAsia="zh-CN"/>
              </w:rPr>
              <w:t>估方案</w:t>
            </w: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（1）资料收集与行业研究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（2）服务质量评估指标设计与优化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（3）服务质量评估方案设计与优化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restart"/>
            <w:tcBorders>
              <w:top w:val="single" w:color="000000" w:sz="8" w:space="0"/>
              <w:left w:val="single" w:color="000000" w:sz="8" w:space="0"/>
              <w:right w:val="single" w:color="000000" w:sz="8" w:space="0"/>
            </w:tcBorders>
            <w:vAlign w:val="center"/>
          </w:tcPr>
          <w:p>
            <w:pPr>
              <w:pStyle w:val="60"/>
              <w:ind w:left="17"/>
              <w:jc w:val="center"/>
              <w:rPr>
                <w:rFonts w:hint="eastAsia" w:ascii="仿宋" w:hAnsi="仿宋" w:eastAsia="仿宋" w:cs="仿宋"/>
                <w:sz w:val="28"/>
                <w:szCs w:val="28"/>
              </w:rPr>
            </w:pPr>
            <w:r>
              <w:rPr>
                <w:rFonts w:hint="eastAsia" w:ascii="仿宋" w:hAnsi="仿宋" w:eastAsia="仿宋" w:cs="仿宋"/>
                <w:sz w:val="28"/>
                <w:szCs w:val="28"/>
              </w:rPr>
              <w:t>2</w:t>
            </w:r>
          </w:p>
        </w:tc>
        <w:tc>
          <w:tcPr>
            <w:tcW w:w="3123" w:type="dxa"/>
            <w:vMerge w:val="restart"/>
            <w:tcBorders>
              <w:top w:val="single" w:color="000000" w:sz="8" w:space="0"/>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r>
              <w:rPr>
                <w:rFonts w:hint="eastAsia" w:ascii="仿宋" w:hAnsi="仿宋" w:eastAsia="仿宋" w:cs="仿宋"/>
                <w:sz w:val="28"/>
                <w:szCs w:val="28"/>
              </w:rPr>
              <w:t>政务外网（含5G接入</w:t>
            </w:r>
            <w:r>
              <w:rPr>
                <w:rFonts w:hint="eastAsia" w:ascii="仿宋" w:hAnsi="仿宋" w:eastAsia="仿宋" w:cs="仿宋"/>
                <w:sz w:val="28"/>
                <w:szCs w:val="28"/>
                <w:lang w:eastAsia="zh-CN"/>
              </w:rPr>
              <w:t>）</w:t>
            </w:r>
            <w:r>
              <w:rPr>
                <w:rFonts w:hint="eastAsia" w:ascii="仿宋" w:hAnsi="仿宋" w:eastAsia="仿宋" w:cs="仿宋"/>
                <w:sz w:val="28"/>
                <w:szCs w:val="28"/>
              </w:rPr>
              <w:t>服务质量监管</w:t>
            </w: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（1）服务质量监管方案设计与优化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pStyle w:val="60"/>
              <w:spacing w:line="240" w:lineRule="auto"/>
              <w:ind w:left="17"/>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（2）网络建设监管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pStyle w:val="60"/>
              <w:spacing w:line="240" w:lineRule="auto"/>
              <w:ind w:left="17"/>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highlight w:val="none"/>
              </w:rPr>
              <w:t>运维运营监管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pStyle w:val="60"/>
              <w:spacing w:line="240" w:lineRule="auto"/>
              <w:ind w:left="17"/>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（4）网络性能监管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pStyle w:val="60"/>
              <w:spacing w:line="240" w:lineRule="auto"/>
              <w:ind w:left="17"/>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（5）网络安全监管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pStyle w:val="60"/>
              <w:spacing w:line="240" w:lineRule="auto"/>
              <w:ind w:left="17"/>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（6）服务质量监管月报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restart"/>
            <w:tcBorders>
              <w:top w:val="single" w:color="000000" w:sz="8" w:space="0"/>
              <w:left w:val="single" w:color="000000" w:sz="8" w:space="0"/>
              <w:right w:val="single" w:color="000000" w:sz="8" w:space="0"/>
            </w:tcBorders>
            <w:vAlign w:val="center"/>
          </w:tcPr>
          <w:p>
            <w:pPr>
              <w:pStyle w:val="60"/>
              <w:ind w:left="17"/>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3123" w:type="dxa"/>
            <w:vMerge w:val="restart"/>
            <w:tcBorders>
              <w:top w:val="single" w:color="000000" w:sz="8" w:space="0"/>
              <w:left w:val="nil"/>
              <w:right w:val="single" w:color="000000" w:sz="8" w:space="0"/>
            </w:tcBorders>
            <w:vAlign w:val="center"/>
          </w:tcPr>
          <w:p>
            <w:pPr>
              <w:pStyle w:val="60"/>
              <w:spacing w:line="400" w:lineRule="exact"/>
              <w:ind w:right="0"/>
              <w:jc w:val="center"/>
              <w:rPr>
                <w:rFonts w:hint="eastAsia" w:ascii="仿宋" w:hAnsi="仿宋" w:eastAsia="仿宋" w:cs="仿宋"/>
                <w:sz w:val="28"/>
                <w:szCs w:val="28"/>
              </w:rPr>
            </w:pPr>
            <w:r>
              <w:rPr>
                <w:rFonts w:hint="eastAsia" w:ascii="仿宋" w:hAnsi="仿宋" w:eastAsia="仿宋" w:cs="仿宋"/>
                <w:sz w:val="28"/>
                <w:szCs w:val="28"/>
              </w:rPr>
              <w:t>政务外网（含5G接入）服务质量评估实施</w:t>
            </w: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right="0"/>
              <w:jc w:val="left"/>
              <w:rPr>
                <w:rFonts w:hint="eastAsia" w:ascii="仿宋" w:hAnsi="仿宋" w:eastAsia="仿宋" w:cs="仿宋"/>
                <w:sz w:val="28"/>
                <w:szCs w:val="28"/>
              </w:rPr>
            </w:pPr>
            <w:r>
              <w:rPr>
                <w:rFonts w:hint="eastAsia" w:ascii="仿宋" w:hAnsi="仿宋" w:eastAsia="仿宋" w:cs="仿宋"/>
                <w:sz w:val="28"/>
                <w:szCs w:val="28"/>
              </w:rPr>
              <w:t>（1）服务抽查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（2）数据采集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（3）数据稽核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（4）指标分析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（5）质量评估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（6）优化建议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（7）报告撰写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jc w:val="center"/>
        </w:trPr>
        <w:tc>
          <w:tcPr>
            <w:tcW w:w="885" w:type="dxa"/>
            <w:vMerge w:val="restart"/>
            <w:tcBorders>
              <w:left w:val="single" w:color="000000" w:sz="8" w:space="0"/>
              <w:right w:val="single" w:color="000000" w:sz="8"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3123" w:type="dxa"/>
            <w:vMerge w:val="restart"/>
            <w:tcBorders>
              <w:left w:val="nil"/>
              <w:right w:val="single" w:color="000000" w:sz="8" w:space="0"/>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kern w:val="0"/>
                <w:sz w:val="28"/>
                <w:szCs w:val="28"/>
              </w:rPr>
              <w:t>通信服务费稽核</w:t>
            </w: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（1）市级政务外网通信服务费预算数据稽核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400" w:lineRule="exact"/>
              <w:jc w:val="center"/>
              <w:rPr>
                <w:rFonts w:hint="eastAsia" w:ascii="仿宋" w:hAnsi="仿宋" w:eastAsia="仿宋" w:cs="仿宋"/>
                <w:kern w:val="0"/>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（2）市级政务外网通信服务费费用预算稽核报告撰写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jc w:val="center"/>
        </w:trPr>
        <w:tc>
          <w:tcPr>
            <w:tcW w:w="885" w:type="dxa"/>
            <w:vMerge w:val="restart"/>
            <w:tcBorders>
              <w:left w:val="single" w:color="000000" w:sz="8" w:space="0"/>
              <w:right w:val="single" w:color="000000" w:sz="8"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3123" w:type="dxa"/>
            <w:vMerge w:val="restart"/>
            <w:tcBorders>
              <w:left w:val="nil"/>
              <w:right w:val="single" w:color="000000" w:sz="8" w:space="0"/>
            </w:tcBorders>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验收服务</w:t>
            </w: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（1）督促服务商准备验收材料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4" w:hRule="atLeast"/>
          <w:jc w:val="center"/>
        </w:trPr>
        <w:tc>
          <w:tcPr>
            <w:tcW w:w="885" w:type="dxa"/>
            <w:vMerge w:val="continue"/>
            <w:tcBorders>
              <w:left w:val="single" w:color="000000" w:sz="8" w:space="0"/>
              <w:right w:val="single" w:color="000000" w:sz="8" w:space="0"/>
            </w:tcBorders>
            <w:vAlign w:val="center"/>
          </w:tcPr>
          <w:p>
            <w:pPr>
              <w:spacing w:line="240" w:lineRule="auto"/>
              <w:jc w:val="center"/>
              <w:rPr>
                <w:rFonts w:hint="eastAsia" w:ascii="仿宋" w:hAnsi="仿宋" w:eastAsia="仿宋" w:cs="仿宋"/>
                <w:sz w:val="28"/>
                <w:szCs w:val="28"/>
              </w:rPr>
            </w:pPr>
          </w:p>
        </w:tc>
        <w:tc>
          <w:tcPr>
            <w:tcW w:w="3123" w:type="dxa"/>
            <w:vMerge w:val="continue"/>
            <w:tcBorders>
              <w:left w:val="nil"/>
              <w:right w:val="single" w:color="000000" w:sz="8" w:space="0"/>
            </w:tcBorders>
            <w:vAlign w:val="center"/>
          </w:tcPr>
          <w:p>
            <w:pPr>
              <w:spacing w:line="240" w:lineRule="auto"/>
              <w:jc w:val="center"/>
              <w:rPr>
                <w:rFonts w:hint="eastAsia" w:ascii="仿宋" w:hAnsi="仿宋" w:eastAsia="仿宋" w:cs="仿宋"/>
                <w:sz w:val="28"/>
                <w:szCs w:val="28"/>
              </w:rPr>
            </w:pPr>
          </w:p>
        </w:tc>
        <w:tc>
          <w:tcPr>
            <w:tcW w:w="4629" w:type="dxa"/>
            <w:tcBorders>
              <w:top w:val="single" w:color="000000" w:sz="8" w:space="0"/>
              <w:left w:val="nil"/>
              <w:bottom w:val="single" w:color="000000" w:sz="8" w:space="0"/>
              <w:right w:val="single" w:color="000000" w:sz="8" w:space="0"/>
            </w:tcBorders>
            <w:vAlign w:val="center"/>
          </w:tcPr>
          <w:p>
            <w:pPr>
              <w:pStyle w:val="60"/>
              <w:spacing w:before="0" w:line="400" w:lineRule="exact"/>
              <w:ind w:left="0"/>
              <w:jc w:val="left"/>
              <w:rPr>
                <w:rFonts w:hint="eastAsia" w:ascii="仿宋" w:hAnsi="仿宋" w:eastAsia="仿宋" w:cs="仿宋"/>
                <w:sz w:val="28"/>
                <w:szCs w:val="28"/>
              </w:rPr>
            </w:pPr>
            <w:r>
              <w:rPr>
                <w:rFonts w:hint="eastAsia" w:ascii="仿宋" w:hAnsi="仿宋" w:eastAsia="仿宋" w:cs="仿宋"/>
                <w:sz w:val="28"/>
                <w:szCs w:val="28"/>
              </w:rPr>
              <w:t>（2）核对验收材料的完整性、与验收标准的符合度</w:t>
            </w:r>
          </w:p>
        </w:tc>
      </w:tr>
    </w:tbl>
    <w:p>
      <w:pPr>
        <w:pStyle w:val="3"/>
      </w:pPr>
      <w:r>
        <w:rPr>
          <w:rFonts w:hint="eastAsia"/>
        </w:rPr>
        <w:t>评估方案设计与优化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根据上海市市级政务外网、5G接入的运营服务</w:t>
      </w:r>
      <w:r>
        <w:rPr>
          <w:rFonts w:hint="eastAsia" w:ascii="仿宋" w:hAnsi="仿宋" w:eastAsia="仿宋" w:cs="仿宋"/>
          <w:sz w:val="28"/>
          <w:szCs w:val="28"/>
          <w:lang w:val="en-US" w:eastAsia="zh-CN"/>
        </w:rPr>
        <w:t>情况</w:t>
      </w:r>
      <w:r>
        <w:rPr>
          <w:rFonts w:hint="eastAsia" w:ascii="仿宋" w:hAnsi="仿宋" w:eastAsia="仿宋" w:cs="仿宋"/>
          <w:sz w:val="28"/>
          <w:szCs w:val="28"/>
        </w:rPr>
        <w:t>，梳理政务外网质量评估需求；开展行业研究和对标分析，明确服务质量评估指标的构建原则、评估维度、具体指标（包括阈值和数据来源），构建政务外网服务质量评估指标，为服务质量评估提供依据；根据日常监管中发现的服务问题，对评估指标进行动态优化调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基于评估指标，结合行业研究，设计上海市市级政务外网、5G接入服务质量的评估方案，明确评分规则和奖惩机制；根据服务质量改进情况，对评估方案进行优化调整，确保评估方法的公平性和科学性；同时，应用评估结果，推动服务质量持续提升。</w:t>
      </w:r>
    </w:p>
    <w:p>
      <w:pPr>
        <w:pStyle w:val="3"/>
      </w:pPr>
      <w:r>
        <w:rPr>
          <w:rFonts w:hint="eastAsia"/>
        </w:rPr>
        <w:t>服务质量监管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设计监管方案，明确监管事项及相关工作要求，并制定监管工作计划，对政务外网服务商及5G接入运营商在服务过程的活动实施常态化监管，对各项任务的执行过程进行跟踪和闭环管理。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1、网络建设监管：对网络建设的规范性进行管理，协助</w:t>
      </w:r>
      <w:r>
        <w:rPr>
          <w:rFonts w:hint="eastAsia" w:ascii="仿宋" w:hAnsi="仿宋" w:eastAsia="仿宋" w:cs="仿宋"/>
          <w:sz w:val="28"/>
          <w:szCs w:val="28"/>
          <w:lang w:val="en-US" w:eastAsia="zh-CN"/>
        </w:rPr>
        <w:t>采购方</w:t>
      </w:r>
      <w:r>
        <w:rPr>
          <w:rFonts w:hint="eastAsia" w:ascii="仿宋" w:hAnsi="仿宋" w:eastAsia="仿宋" w:cs="仿宋"/>
          <w:sz w:val="28"/>
          <w:szCs w:val="28"/>
        </w:rPr>
        <w:t>对服务商的网络建设工作进行过程管理考核和完工考核。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2、运维运营监管：对网络开通、故障处理、机房巡检、应急响应、系统数据对接等运维活动进行规范性管理，督促服务商按需提交</w:t>
      </w:r>
      <w:r>
        <w:rPr>
          <w:rFonts w:hint="eastAsia" w:ascii="仿宋" w:hAnsi="仿宋" w:eastAsia="仿宋" w:cs="仿宋"/>
          <w:sz w:val="28"/>
          <w:szCs w:val="28"/>
          <w:lang w:val="en-US" w:eastAsia="zh-CN"/>
        </w:rPr>
        <w:t>相关</w:t>
      </w:r>
      <w:r>
        <w:rPr>
          <w:rFonts w:hint="eastAsia" w:ascii="仿宋" w:hAnsi="仿宋" w:eastAsia="仿宋" w:cs="仿宋"/>
          <w:sz w:val="28"/>
          <w:szCs w:val="28"/>
        </w:rPr>
        <w:t xml:space="preserve">报告。针对5G接入的号卡开通、开卡后的故障处理、网络服务、用户投诉和保障工作开展监管。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3、网络性能监控：针对光纤接入，</w:t>
      </w:r>
      <w:r>
        <w:rPr>
          <w:rFonts w:hint="eastAsia" w:ascii="仿宋" w:hAnsi="仿宋" w:eastAsia="仿宋" w:cs="仿宋"/>
          <w:sz w:val="28"/>
          <w:szCs w:val="28"/>
          <w:lang w:val="en-US" w:eastAsia="zh-CN"/>
        </w:rPr>
        <w:t>对</w:t>
      </w:r>
      <w:r>
        <w:rPr>
          <w:rFonts w:hint="eastAsia" w:ascii="仿宋" w:hAnsi="仿宋" w:eastAsia="仿宋" w:cs="仿宋"/>
          <w:sz w:val="28"/>
          <w:szCs w:val="28"/>
        </w:rPr>
        <w:t>网络可用性、丢包率、时延、带宽使用率等关键指标进行监控</w:t>
      </w:r>
      <w:r>
        <w:rPr>
          <w:rFonts w:hint="eastAsia" w:ascii="仿宋" w:hAnsi="仿宋" w:eastAsia="仿宋" w:cs="仿宋"/>
          <w:sz w:val="28"/>
          <w:szCs w:val="28"/>
          <w:lang w:eastAsia="zh-CN"/>
        </w:rPr>
        <w:t>，</w:t>
      </w:r>
      <w:r>
        <w:rPr>
          <w:rFonts w:hint="eastAsia" w:ascii="仿宋" w:hAnsi="仿宋" w:eastAsia="仿宋" w:cs="仿宋"/>
          <w:sz w:val="28"/>
          <w:szCs w:val="28"/>
        </w:rPr>
        <w:t>针对5G接入的关键性能指标进行监控</w:t>
      </w:r>
      <w:r>
        <w:rPr>
          <w:rFonts w:hint="eastAsia" w:ascii="仿宋" w:hAnsi="仿宋" w:eastAsia="仿宋" w:cs="仿宋"/>
          <w:sz w:val="28"/>
          <w:szCs w:val="28"/>
          <w:lang w:eastAsia="zh-CN"/>
        </w:rPr>
        <w:t>，</w:t>
      </w:r>
      <w:r>
        <w:rPr>
          <w:rFonts w:hint="eastAsia" w:ascii="仿宋" w:hAnsi="仿宋" w:eastAsia="仿宋" w:cs="仿宋"/>
          <w:sz w:val="28"/>
          <w:szCs w:val="28"/>
        </w:rPr>
        <w:t>督促服务商提交分析报告。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网络安全监管：审核服务商的安全应急预案和演练记录，督促其按要求进行应急演练和安全自查。针对等保测评、安全自查中发现的问题，要求服务商提供整改方案及报告，并不定期组织专项抽查复核，督促落实整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对监管过程中发现的问题进行梳理，形成问题清单，督促服务商制定整改方案并落实解决。每月跟踪并记录相关工作进展及问题，形成监管月报。</w:t>
      </w:r>
    </w:p>
    <w:p>
      <w:pPr>
        <w:pStyle w:val="3"/>
      </w:pPr>
      <w:r>
        <w:rPr>
          <w:rFonts w:hint="eastAsia"/>
        </w:rPr>
        <w:t>服务质量评估实施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根据政务外网、5G接入的服务质量评估方案，对政务外网运行服务情况进行评估。评估实施工作包括但不限于：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1、服务抽查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供应商根据政务外网等保测评、安全自查中发现的安全问题，每季度对机房进行现场抽查（每季度抽查机房数量≥3），复核市级政务外网服务商安全整改的有效性。通过电话抽查报障专线，评估市级政务外网服务商7*24小时服务响应的及时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2、数据采集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评估数据主要来源于政务外网运行和安全监测支撑系统和现场测试。测试节点采取抽查方式，每季度测试数量不低于总量的10%。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3、数据稽核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设计数据处理与稽核模板，对采集的数据进行快速处理和稽核，核实数据的准确性、完整性以及异常的原因，客观反映网络运行的实际情况。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4、指标分析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基于稽核后的数据，从服务流程和时间趋势两个角度展开分析，通过单项指标分析其完成情况和变化趋势，判断是否存在问题。基于业务生命周期对多个服务环节的指标进行关联分析，从而发现服务过程中的短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5、质量评估</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基于指标分析，形成包含网络运维、网络性能、网络安全和运营服务等维度的综合评价。根据政务外网服务质量评估方案，对指标完成情况进行评分，并将评估结果作为核定市级政务外网通信服务费用支付的参考依据，推动服务质量持续提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6、优化建议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基于指标分析和质量评估，了解发现政务外网服务质量的薄弱环节并深入研究，为政务外网服务质量提升提供优化建议。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7、报告撰写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基于指标分析、质量评估和优化建议，整理形成《政务外网服务质量季度/年度评估报告》和《政务外网5G接入服务质量年度评估报告》，作为政务外网运行情况的判断参考。</w:t>
      </w:r>
    </w:p>
    <w:p>
      <w:pPr>
        <w:pStyle w:val="3"/>
      </w:pPr>
      <w:r>
        <w:rPr>
          <w:rFonts w:hint="eastAsia"/>
        </w:rPr>
        <w:t>通信服务费稽核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供应商应对政务外网通信服务费预算数据进行审核，分别对带宽、流量和计费规则的准确性进行稽核，确保数据准确无误，并出具《政务外网网络通信服务费用预算稽核报告》。</w:t>
      </w:r>
    </w:p>
    <w:p>
      <w:pPr>
        <w:pStyle w:val="3"/>
      </w:pPr>
      <w:r>
        <w:rPr>
          <w:rFonts w:hint="eastAsia"/>
        </w:rPr>
        <w:t>验收服务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供应商应根据</w:t>
      </w:r>
      <w:r>
        <w:rPr>
          <w:rFonts w:hint="eastAsia" w:ascii="仿宋" w:hAnsi="仿宋" w:eastAsia="仿宋" w:cs="仿宋"/>
          <w:sz w:val="28"/>
          <w:szCs w:val="28"/>
          <w:lang w:val="en-US" w:eastAsia="zh-CN"/>
        </w:rPr>
        <w:t>采购方</w:t>
      </w:r>
      <w:r>
        <w:rPr>
          <w:rFonts w:hint="eastAsia" w:ascii="仿宋" w:hAnsi="仿宋" w:eastAsia="仿宋" w:cs="仿宋"/>
          <w:sz w:val="28"/>
          <w:szCs w:val="28"/>
        </w:rPr>
        <w:t>提出的验收要求，协助其组织并开展通信服务项目验收服务工作，包括但不限于督促市级政务外网服务商准备验收材料、核对验收材料的完整性、与验收标准的符合度等。</w:t>
      </w:r>
    </w:p>
    <w:p>
      <w:pPr>
        <w:pStyle w:val="2"/>
        <w:adjustRightInd w:val="0"/>
        <w:snapToGrid w:val="0"/>
        <w:spacing w:before="156" w:beforeLines="50" w:line="360" w:lineRule="auto"/>
        <w:ind w:left="0" w:firstLineChars="0"/>
        <w:outlineLvl w:val="0"/>
        <w:rPr>
          <w:rFonts w:hint="eastAsia" w:ascii="仿宋" w:hAnsi="仿宋" w:eastAsia="仿宋" w:cs="仿宋"/>
          <w:b w:val="0"/>
          <w:sz w:val="28"/>
          <w:szCs w:val="28"/>
        </w:rPr>
      </w:pPr>
      <w:bookmarkStart w:id="3" w:name="_Toc8874"/>
      <w:bookmarkStart w:id="4" w:name="_Toc127870142"/>
      <w:bookmarkStart w:id="5" w:name="_Toc69194682"/>
      <w:r>
        <w:rPr>
          <w:rFonts w:hint="eastAsia" w:ascii="仿宋" w:hAnsi="仿宋" w:eastAsia="仿宋" w:cs="仿宋"/>
          <w:bCs/>
          <w:sz w:val="28"/>
          <w:szCs w:val="28"/>
        </w:rPr>
        <w:t>项目成果</w:t>
      </w:r>
      <w:bookmarkEnd w:id="3"/>
      <w:bookmarkEnd w:id="4"/>
    </w:p>
    <w:p>
      <w:pPr>
        <w:pStyle w:val="61"/>
        <w:numPr>
          <w:ilvl w:val="0"/>
          <w:numId w:val="2"/>
        </w:numPr>
        <w:snapToGrid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政务外网服务质量评估方案（</w:t>
      </w:r>
      <w:r>
        <w:rPr>
          <w:rFonts w:hint="eastAsia" w:ascii="仿宋" w:hAnsi="仿宋" w:eastAsia="仿宋" w:cs="仿宋"/>
          <w:sz w:val="28"/>
          <w:szCs w:val="28"/>
          <w:lang w:val="en-US"/>
        </w:rPr>
        <w:t>1</w:t>
      </w:r>
      <w:r>
        <w:rPr>
          <w:rFonts w:hint="eastAsia" w:ascii="仿宋" w:hAnsi="仿宋" w:eastAsia="仿宋" w:cs="仿宋"/>
          <w:sz w:val="28"/>
          <w:szCs w:val="28"/>
        </w:rPr>
        <w:t>份）</w:t>
      </w:r>
    </w:p>
    <w:p>
      <w:pPr>
        <w:pStyle w:val="61"/>
        <w:numPr>
          <w:ilvl w:val="0"/>
          <w:numId w:val="2"/>
        </w:numPr>
        <w:snapToGrid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政务外网服务质量监管</w:t>
      </w:r>
      <w:r>
        <w:rPr>
          <w:rFonts w:hint="eastAsia" w:ascii="仿宋" w:hAnsi="仿宋" w:eastAsia="仿宋" w:cs="仿宋"/>
          <w:sz w:val="28"/>
          <w:szCs w:val="28"/>
          <w:lang w:val="en-US"/>
        </w:rPr>
        <w:t>方案（1份）</w:t>
      </w:r>
    </w:p>
    <w:p>
      <w:pPr>
        <w:pStyle w:val="61"/>
        <w:numPr>
          <w:ilvl w:val="0"/>
          <w:numId w:val="2"/>
        </w:numPr>
        <w:snapToGrid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政务外网服务质量监管月报（12份）</w:t>
      </w:r>
    </w:p>
    <w:p>
      <w:pPr>
        <w:pStyle w:val="61"/>
        <w:numPr>
          <w:ilvl w:val="0"/>
          <w:numId w:val="2"/>
        </w:numPr>
        <w:snapToGrid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政务外网服务质量监管与评估季度报告（4份）</w:t>
      </w:r>
    </w:p>
    <w:p>
      <w:pPr>
        <w:pStyle w:val="61"/>
        <w:numPr>
          <w:ilvl w:val="0"/>
          <w:numId w:val="2"/>
        </w:numPr>
        <w:snapToGrid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政务外网服务质量监管与评估年度报告（</w:t>
      </w:r>
      <w:r>
        <w:rPr>
          <w:rFonts w:hint="eastAsia" w:ascii="仿宋" w:hAnsi="仿宋" w:eastAsia="仿宋" w:cs="仿宋"/>
          <w:sz w:val="28"/>
          <w:szCs w:val="28"/>
          <w:lang w:val="en-US"/>
        </w:rPr>
        <w:t>1</w:t>
      </w:r>
      <w:r>
        <w:rPr>
          <w:rFonts w:hint="eastAsia" w:ascii="仿宋" w:hAnsi="仿宋" w:eastAsia="仿宋" w:cs="仿宋"/>
          <w:sz w:val="28"/>
          <w:szCs w:val="28"/>
        </w:rPr>
        <w:t>份）</w:t>
      </w:r>
    </w:p>
    <w:p>
      <w:pPr>
        <w:pStyle w:val="61"/>
        <w:numPr>
          <w:ilvl w:val="0"/>
          <w:numId w:val="2"/>
        </w:numPr>
        <w:snapToGrid w:val="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政务外网网络通信服务费用预算稽核报告（1份）</w:t>
      </w:r>
    </w:p>
    <w:p>
      <w:pPr>
        <w:pStyle w:val="61"/>
        <w:numPr>
          <w:ilvl w:val="0"/>
          <w:numId w:val="2"/>
        </w:numPr>
        <w:snapToGrid w:val="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政务外网5G接入</w:t>
      </w:r>
      <w:r>
        <w:rPr>
          <w:rFonts w:hint="eastAsia" w:ascii="仿宋" w:hAnsi="仿宋" w:eastAsia="仿宋" w:cs="仿宋"/>
          <w:sz w:val="28"/>
          <w:szCs w:val="28"/>
          <w:highlight w:val="none"/>
        </w:rPr>
        <w:t>服务质量评估方案（</w:t>
      </w: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份）</w:t>
      </w:r>
    </w:p>
    <w:p>
      <w:pPr>
        <w:pStyle w:val="61"/>
        <w:numPr>
          <w:ilvl w:val="0"/>
          <w:numId w:val="2"/>
        </w:numPr>
        <w:snapToGrid w:val="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政务外网5G接入</w:t>
      </w:r>
      <w:r>
        <w:rPr>
          <w:rFonts w:hint="eastAsia" w:ascii="仿宋" w:hAnsi="仿宋" w:eastAsia="仿宋" w:cs="仿宋"/>
          <w:sz w:val="28"/>
          <w:szCs w:val="28"/>
          <w:highlight w:val="none"/>
        </w:rPr>
        <w:t>服务质量监管</w:t>
      </w:r>
      <w:r>
        <w:rPr>
          <w:rFonts w:hint="eastAsia" w:ascii="仿宋" w:hAnsi="仿宋" w:eastAsia="仿宋" w:cs="仿宋"/>
          <w:sz w:val="28"/>
          <w:szCs w:val="28"/>
          <w:highlight w:val="none"/>
          <w:lang w:val="en-US"/>
        </w:rPr>
        <w:t>方案（1份）</w:t>
      </w:r>
    </w:p>
    <w:p>
      <w:pPr>
        <w:pStyle w:val="61"/>
        <w:numPr>
          <w:ilvl w:val="0"/>
          <w:numId w:val="2"/>
        </w:numPr>
        <w:snapToGrid w:val="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政务外网5G接入</w:t>
      </w:r>
      <w:r>
        <w:rPr>
          <w:rFonts w:hint="eastAsia" w:ascii="仿宋" w:hAnsi="仿宋" w:eastAsia="仿宋" w:cs="仿宋"/>
          <w:sz w:val="28"/>
          <w:szCs w:val="28"/>
          <w:highlight w:val="none"/>
        </w:rPr>
        <w:t>服务质量</w:t>
      </w:r>
      <w:r>
        <w:rPr>
          <w:rFonts w:hint="eastAsia" w:ascii="仿宋" w:hAnsi="仿宋" w:eastAsia="仿宋" w:cs="仿宋"/>
          <w:sz w:val="28"/>
          <w:szCs w:val="28"/>
          <w:highlight w:val="none"/>
          <w:lang w:val="en-US"/>
        </w:rPr>
        <w:t>年度</w:t>
      </w:r>
      <w:r>
        <w:rPr>
          <w:rFonts w:hint="eastAsia" w:ascii="仿宋" w:hAnsi="仿宋" w:eastAsia="仿宋" w:cs="仿宋"/>
          <w:sz w:val="28"/>
          <w:szCs w:val="28"/>
          <w:highlight w:val="none"/>
        </w:rPr>
        <w:t>评估报告（</w:t>
      </w: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份）</w:t>
      </w:r>
    </w:p>
    <w:p>
      <w:pPr>
        <w:pStyle w:val="61"/>
        <w:numPr>
          <w:ilvl w:val="0"/>
          <w:numId w:val="2"/>
        </w:numPr>
        <w:snapToGrid w:val="0"/>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政务外网服务质量监管专项报告（按需提供）</w:t>
      </w:r>
    </w:p>
    <w:bookmarkEnd w:id="5"/>
    <w:p>
      <w:pPr>
        <w:pStyle w:val="2"/>
        <w:ind w:left="0"/>
        <w:rPr>
          <w:rFonts w:hint="eastAsia" w:ascii="仿宋" w:hAnsi="仿宋" w:eastAsia="仿宋" w:cs="仿宋"/>
        </w:rPr>
      </w:pPr>
      <w:bookmarkStart w:id="6" w:name="_Toc69194684"/>
      <w:r>
        <w:rPr>
          <w:rFonts w:hint="eastAsia" w:ascii="仿宋" w:hAnsi="仿宋" w:eastAsia="仿宋" w:cs="仿宋"/>
        </w:rPr>
        <w:t>验收</w:t>
      </w:r>
      <w:bookmarkEnd w:id="6"/>
      <w:r>
        <w:rPr>
          <w:rFonts w:hint="eastAsia" w:ascii="仿宋" w:hAnsi="仿宋" w:eastAsia="仿宋" w:cs="仿宋"/>
        </w:rPr>
        <w:t>要求</w:t>
      </w:r>
    </w:p>
    <w:p>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本项目验收采用服务年度验收方式开展，待每年合同约定的服务期满，由采购人组织专家评审会对评估的所有成果文档和过程文档开展验收工作，项目验收产生的费用由成交供应商承担。</w:t>
      </w:r>
    </w:p>
    <w:p>
      <w:pPr>
        <w:ind w:firstLine="560" w:firstLineChars="200"/>
        <w:rPr>
          <w:rFonts w:hint="eastAsia" w:ascii="仿宋" w:hAnsi="仿宋" w:eastAsia="仿宋" w:cs="仿宋"/>
          <w:sz w:val="28"/>
          <w:szCs w:val="28"/>
          <w:highlight w:val="none"/>
          <w:lang w:val="en-GB"/>
        </w:rPr>
      </w:pPr>
      <w:r>
        <w:rPr>
          <w:rFonts w:hint="eastAsia" w:ascii="仿宋" w:hAnsi="仿宋" w:eastAsia="仿宋" w:cs="仿宋"/>
          <w:sz w:val="28"/>
          <w:szCs w:val="28"/>
          <w:highlight w:val="none"/>
          <w:lang w:val="en-GB"/>
        </w:rPr>
        <w:t>1、验收标准：完成合同内容，提交</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GB"/>
        </w:rPr>
        <w:t>相关成果报告，通过终期项目汇报。</w:t>
      </w:r>
    </w:p>
    <w:p>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2、验收方法：由</w:t>
      </w:r>
      <w:r>
        <w:rPr>
          <w:rFonts w:hint="eastAsia" w:ascii="仿宋" w:hAnsi="仿宋" w:eastAsia="仿宋" w:cs="仿宋"/>
          <w:sz w:val="28"/>
          <w:szCs w:val="28"/>
          <w:lang w:val="en-US" w:eastAsia="zh-CN"/>
        </w:rPr>
        <w:t>采购方成立</w:t>
      </w:r>
      <w:r>
        <w:rPr>
          <w:rFonts w:hint="eastAsia" w:ascii="仿宋" w:hAnsi="仿宋" w:eastAsia="仿宋" w:cs="仿宋"/>
          <w:sz w:val="28"/>
          <w:szCs w:val="28"/>
          <w:lang w:val="en-GB"/>
        </w:rPr>
        <w:t>项目评审专家组，通过召开专家评审会，审阅项目验收材料，听取</w:t>
      </w:r>
      <w:r>
        <w:rPr>
          <w:rFonts w:hint="eastAsia" w:ascii="仿宋" w:hAnsi="仿宋" w:eastAsia="仿宋" w:cs="仿宋"/>
          <w:sz w:val="28"/>
          <w:szCs w:val="28"/>
          <w:lang w:val="en-GB" w:eastAsia="zh-CN"/>
        </w:rPr>
        <w:t>项目经理</w:t>
      </w:r>
      <w:r>
        <w:rPr>
          <w:rFonts w:hint="eastAsia" w:ascii="仿宋" w:hAnsi="仿宋" w:eastAsia="仿宋" w:cs="仿宋"/>
          <w:sz w:val="28"/>
          <w:szCs w:val="28"/>
          <w:lang w:val="en-GB"/>
        </w:rPr>
        <w:t>介绍项目开展基本情况和主要成果汇报，评审专家按照合同要求进行评审，主要从成果的质量、完成进度等方面进行评审。</w:t>
      </w:r>
    </w:p>
    <w:p>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3、验收时间和地点：按照采购人要求确定。</w:t>
      </w:r>
    </w:p>
    <w:p>
      <w:pPr>
        <w:pStyle w:val="2"/>
        <w:ind w:left="0"/>
        <w:rPr>
          <w:rFonts w:hint="eastAsia" w:ascii="仿宋" w:hAnsi="仿宋" w:eastAsia="仿宋" w:cs="仿宋"/>
        </w:rPr>
      </w:pPr>
      <w:bookmarkStart w:id="7" w:name="_Toc69194685"/>
      <w:r>
        <w:rPr>
          <w:rFonts w:hint="eastAsia" w:ascii="仿宋" w:hAnsi="仿宋" w:eastAsia="仿宋" w:cs="仿宋"/>
        </w:rPr>
        <w:t>服务组织和人员</w:t>
      </w:r>
      <w:bookmarkEnd w:id="7"/>
      <w:r>
        <w:rPr>
          <w:rFonts w:hint="eastAsia" w:ascii="仿宋" w:hAnsi="仿宋" w:eastAsia="仿宋" w:cs="仿宋"/>
        </w:rPr>
        <w:t>要求</w:t>
      </w:r>
    </w:p>
    <w:p>
      <w:pPr>
        <w:ind w:firstLine="561"/>
        <w:rPr>
          <w:rFonts w:hint="eastAsia" w:ascii="仿宋" w:hAnsi="仿宋" w:eastAsia="仿宋" w:cs="仿宋"/>
          <w:sz w:val="28"/>
          <w:szCs w:val="20"/>
        </w:rPr>
      </w:pPr>
      <w:r>
        <w:rPr>
          <w:rFonts w:hint="eastAsia" w:ascii="仿宋" w:hAnsi="仿宋" w:eastAsia="仿宋" w:cs="仿宋"/>
          <w:sz w:val="28"/>
          <w:szCs w:val="20"/>
        </w:rPr>
        <w:t>供应商应为本项目单独建立关联组织，配置相应团队，项目团队应按第三方监管服务内容配置对应的人员，其中</w:t>
      </w:r>
      <w:r>
        <w:rPr>
          <w:rFonts w:hint="eastAsia" w:ascii="仿宋" w:hAnsi="仿宋" w:eastAsia="仿宋" w:cs="仿宋"/>
          <w:sz w:val="28"/>
          <w:szCs w:val="20"/>
          <w:lang w:eastAsia="zh-CN"/>
        </w:rPr>
        <w:t>项目经理</w:t>
      </w:r>
      <w:r>
        <w:rPr>
          <w:rFonts w:hint="eastAsia" w:ascii="仿宋" w:hAnsi="仿宋" w:eastAsia="仿宋" w:cs="仿宋"/>
          <w:sz w:val="28"/>
          <w:szCs w:val="20"/>
        </w:rPr>
        <w:t>具有注册咨询工程师证书、</w:t>
      </w:r>
      <w:r>
        <w:rPr>
          <w:rFonts w:hint="eastAsia" w:ascii="仿宋" w:hAnsi="仿宋" w:eastAsia="仿宋" w:cs="仿宋"/>
          <w:sz w:val="28"/>
          <w:szCs w:val="20"/>
          <w:lang w:eastAsia="zh-CN"/>
        </w:rPr>
        <w:t>信息</w:t>
      </w:r>
      <w:r>
        <w:rPr>
          <w:rFonts w:hint="eastAsia" w:ascii="仿宋" w:hAnsi="仿宋" w:eastAsia="仿宋" w:cs="仿宋"/>
          <w:sz w:val="28"/>
          <w:szCs w:val="20"/>
        </w:rPr>
        <w:t>工程</w:t>
      </w:r>
      <w:r>
        <w:rPr>
          <w:rFonts w:hint="eastAsia" w:ascii="仿宋" w:hAnsi="仿宋" w:eastAsia="仿宋" w:cs="仿宋"/>
          <w:sz w:val="28"/>
          <w:szCs w:val="20"/>
          <w:lang w:eastAsia="zh-CN"/>
        </w:rPr>
        <w:t>或通信工程</w:t>
      </w:r>
      <w:r>
        <w:rPr>
          <w:rFonts w:hint="eastAsia" w:ascii="仿宋" w:hAnsi="仿宋" w:eastAsia="仿宋" w:cs="仿宋"/>
          <w:sz w:val="28"/>
          <w:szCs w:val="20"/>
        </w:rPr>
        <w:t>相关的高级及以上职称证书的优先考虑，以及具备政务信息化</w:t>
      </w:r>
      <w:r>
        <w:rPr>
          <w:rFonts w:hint="eastAsia" w:ascii="仿宋" w:hAnsi="仿宋" w:eastAsia="仿宋" w:cs="仿宋"/>
          <w:sz w:val="28"/>
          <w:szCs w:val="20"/>
          <w:lang w:eastAsia="zh-CN"/>
        </w:rPr>
        <w:t>项目经理</w:t>
      </w:r>
      <w:r>
        <w:rPr>
          <w:rFonts w:hint="eastAsia" w:ascii="仿宋" w:hAnsi="仿宋" w:eastAsia="仿宋" w:cs="仿宋"/>
          <w:sz w:val="28"/>
          <w:szCs w:val="20"/>
        </w:rPr>
        <w:t>工作经历，团队人员数量不低于10人，其中至少3名驻</w:t>
      </w:r>
      <w:r>
        <w:rPr>
          <w:rFonts w:hint="eastAsia" w:ascii="仿宋" w:hAnsi="仿宋" w:eastAsia="仿宋" w:cs="仿宋"/>
          <w:sz w:val="28"/>
          <w:szCs w:val="20"/>
          <w:lang w:val="en-US" w:eastAsia="zh-CN"/>
        </w:rPr>
        <w:t>场服务</w:t>
      </w:r>
      <w:r>
        <w:rPr>
          <w:rFonts w:hint="eastAsia" w:ascii="仿宋" w:hAnsi="仿宋" w:eastAsia="仿宋" w:cs="仿宋"/>
          <w:sz w:val="28"/>
          <w:szCs w:val="20"/>
        </w:rPr>
        <w:t>人员，具有信息系统项目管理师、信息安全专业认证(CISP)证书、注册监理工程师（通信工程）</w:t>
      </w:r>
      <w:r>
        <w:rPr>
          <w:rFonts w:hint="eastAsia" w:ascii="仿宋" w:hAnsi="仿宋" w:eastAsia="仿宋" w:cs="仿宋"/>
          <w:sz w:val="28"/>
          <w:szCs w:val="20"/>
          <w:lang w:eastAsia="zh-CN"/>
        </w:rPr>
        <w:t>证书</w:t>
      </w:r>
      <w:r>
        <w:rPr>
          <w:rFonts w:hint="eastAsia" w:ascii="仿宋" w:hAnsi="仿宋" w:eastAsia="仿宋" w:cs="仿宋"/>
          <w:sz w:val="28"/>
          <w:szCs w:val="20"/>
        </w:rPr>
        <w:t>的</w:t>
      </w:r>
      <w:r>
        <w:rPr>
          <w:rFonts w:hint="eastAsia" w:ascii="仿宋" w:hAnsi="仿宋" w:eastAsia="仿宋" w:cs="仿宋"/>
          <w:sz w:val="28"/>
          <w:szCs w:val="20"/>
          <w:lang w:eastAsia="zh-CN"/>
        </w:rPr>
        <w:t>优先考虑。</w:t>
      </w:r>
      <w:r>
        <w:rPr>
          <w:rFonts w:hint="eastAsia" w:ascii="仿宋" w:hAnsi="仿宋" w:eastAsia="仿宋" w:cs="仿宋"/>
          <w:sz w:val="28"/>
          <w:szCs w:val="20"/>
        </w:rPr>
        <w:t>具体要求如下：</w:t>
      </w:r>
    </w:p>
    <w:tbl>
      <w:tblPr>
        <w:tblStyle w:val="25"/>
        <w:tblW w:w="88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8"/>
        <w:gridCol w:w="4179"/>
        <w:gridCol w:w="1413"/>
        <w:gridCol w:w="13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blHeader/>
          <w:jc w:val="center"/>
        </w:trPr>
        <w:tc>
          <w:tcPr>
            <w:tcW w:w="1968" w:type="dxa"/>
            <w:tcBorders>
              <w:top w:val="single" w:color="000000" w:sz="8" w:space="0"/>
              <w:left w:val="single" w:color="000000" w:sz="8" w:space="0"/>
              <w:bottom w:val="single" w:color="000000" w:sz="8" w:space="0"/>
              <w:right w:val="single" w:color="000000" w:sz="8" w:space="0"/>
            </w:tcBorders>
            <w:vAlign w:val="center"/>
          </w:tcPr>
          <w:p>
            <w:pPr>
              <w:pStyle w:val="60"/>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角色</w:t>
            </w:r>
          </w:p>
        </w:tc>
        <w:tc>
          <w:tcPr>
            <w:tcW w:w="4179" w:type="dxa"/>
            <w:tcBorders>
              <w:top w:val="single" w:color="000000" w:sz="8" w:space="0"/>
              <w:left w:val="nil"/>
              <w:bottom w:val="single" w:color="000000" w:sz="8" w:space="0"/>
              <w:right w:val="single" w:color="auto" w:sz="4" w:space="0"/>
            </w:tcBorders>
            <w:vAlign w:val="center"/>
          </w:tcPr>
          <w:p>
            <w:pPr>
              <w:pStyle w:val="60"/>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主要职责</w:t>
            </w:r>
          </w:p>
        </w:tc>
        <w:tc>
          <w:tcPr>
            <w:tcW w:w="1413" w:type="dxa"/>
            <w:tcBorders>
              <w:top w:val="single" w:color="000000" w:sz="8" w:space="0"/>
              <w:left w:val="single" w:color="auto" w:sz="4" w:space="0"/>
              <w:bottom w:val="single" w:color="000000" w:sz="8" w:space="0"/>
              <w:right w:val="single" w:color="000000" w:sz="8" w:space="0"/>
            </w:tcBorders>
            <w:vAlign w:val="center"/>
          </w:tcPr>
          <w:p>
            <w:pPr>
              <w:pStyle w:val="60"/>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人员数量</w:t>
            </w:r>
          </w:p>
        </w:tc>
        <w:tc>
          <w:tcPr>
            <w:tcW w:w="1320" w:type="dxa"/>
            <w:tcBorders>
              <w:top w:val="single" w:color="000000" w:sz="8" w:space="0"/>
              <w:left w:val="single" w:color="auto" w:sz="4" w:space="0"/>
              <w:bottom w:val="single" w:color="000000" w:sz="8" w:space="0"/>
              <w:right w:val="single" w:color="000000" w:sz="8" w:space="0"/>
            </w:tcBorders>
            <w:vAlign w:val="center"/>
          </w:tcPr>
          <w:p>
            <w:pPr>
              <w:pStyle w:val="60"/>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驻场要求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jc w:val="center"/>
        </w:trPr>
        <w:tc>
          <w:tcPr>
            <w:tcW w:w="1968" w:type="dxa"/>
            <w:tcBorders>
              <w:top w:val="single" w:color="000000" w:sz="8" w:space="0"/>
              <w:left w:val="single" w:color="000000" w:sz="8" w:space="0"/>
              <w:right w:val="single" w:color="000000" w:sz="8" w:space="0"/>
            </w:tcBorders>
            <w:vAlign w:val="center"/>
          </w:tcPr>
          <w:p>
            <w:pPr>
              <w:spacing w:before="1" w:line="0" w:lineRule="atLeast"/>
              <w:jc w:val="center"/>
              <w:rPr>
                <w:rFonts w:hint="eastAsia" w:ascii="仿宋" w:hAnsi="仿宋" w:eastAsia="仿宋" w:cs="仿宋"/>
                <w:sz w:val="28"/>
                <w:szCs w:val="20"/>
                <w:lang w:eastAsia="zh-CN"/>
              </w:rPr>
            </w:pPr>
            <w:r>
              <w:rPr>
                <w:rFonts w:hint="eastAsia" w:ascii="仿宋" w:hAnsi="仿宋" w:eastAsia="仿宋" w:cs="仿宋"/>
                <w:sz w:val="28"/>
                <w:szCs w:val="20"/>
                <w:lang w:eastAsia="zh-CN"/>
              </w:rPr>
              <w:t>项目经理</w:t>
            </w:r>
          </w:p>
        </w:tc>
        <w:tc>
          <w:tcPr>
            <w:tcW w:w="4179" w:type="dxa"/>
            <w:tcBorders>
              <w:top w:val="single" w:color="000000" w:sz="8" w:space="0"/>
              <w:left w:val="nil"/>
              <w:right w:val="single" w:color="auto" w:sz="4" w:space="0"/>
            </w:tcBorders>
            <w:vAlign w:val="center"/>
          </w:tcPr>
          <w:p>
            <w:pPr>
              <w:spacing w:line="0" w:lineRule="atLeast"/>
              <w:ind w:left="124" w:right="105"/>
              <w:rPr>
                <w:rFonts w:hint="eastAsia" w:ascii="仿宋" w:hAnsi="仿宋" w:eastAsia="仿宋" w:cs="仿宋"/>
                <w:sz w:val="28"/>
                <w:szCs w:val="20"/>
              </w:rPr>
            </w:pPr>
            <w:r>
              <w:rPr>
                <w:rFonts w:hint="eastAsia" w:ascii="仿宋" w:hAnsi="仿宋" w:eastAsia="仿宋" w:cs="仿宋"/>
                <w:sz w:val="28"/>
                <w:szCs w:val="20"/>
              </w:rPr>
              <w:t>负责项目质量和进度控制</w:t>
            </w:r>
          </w:p>
        </w:tc>
        <w:tc>
          <w:tcPr>
            <w:tcW w:w="1413" w:type="dxa"/>
            <w:tcBorders>
              <w:top w:val="single" w:color="000000" w:sz="8" w:space="0"/>
              <w:left w:val="single" w:color="auto" w:sz="4" w:space="0"/>
              <w:right w:val="single" w:color="000000" w:sz="8" w:space="0"/>
            </w:tcBorders>
            <w:vAlign w:val="center"/>
          </w:tcPr>
          <w:p>
            <w:pPr>
              <w:spacing w:line="0" w:lineRule="atLeast"/>
              <w:ind w:left="124" w:right="105"/>
              <w:jc w:val="center"/>
              <w:rPr>
                <w:rFonts w:hint="eastAsia" w:ascii="仿宋" w:hAnsi="仿宋" w:eastAsia="仿宋" w:cs="仿宋"/>
                <w:sz w:val="28"/>
                <w:szCs w:val="20"/>
              </w:rPr>
            </w:pPr>
            <w:r>
              <w:rPr>
                <w:rFonts w:hint="eastAsia" w:ascii="仿宋" w:hAnsi="仿宋" w:eastAsia="仿宋" w:cs="仿宋"/>
                <w:sz w:val="28"/>
                <w:szCs w:val="20"/>
              </w:rPr>
              <w:t>1人</w:t>
            </w:r>
          </w:p>
        </w:tc>
        <w:tc>
          <w:tcPr>
            <w:tcW w:w="1320" w:type="dxa"/>
            <w:tcBorders>
              <w:top w:val="single" w:color="000000" w:sz="8" w:space="0"/>
              <w:left w:val="single" w:color="auto" w:sz="4" w:space="0"/>
              <w:right w:val="single" w:color="000000" w:sz="8" w:space="0"/>
            </w:tcBorders>
            <w:vAlign w:val="center"/>
          </w:tcPr>
          <w:p>
            <w:pPr>
              <w:spacing w:line="0" w:lineRule="atLeast"/>
              <w:ind w:left="124" w:right="105"/>
              <w:jc w:val="center"/>
              <w:rPr>
                <w:rFonts w:hint="eastAsia" w:ascii="仿宋" w:hAnsi="仿宋" w:eastAsia="仿宋" w:cs="仿宋"/>
                <w:sz w:val="28"/>
                <w:szCs w:val="20"/>
              </w:rPr>
            </w:pPr>
            <w:r>
              <w:rPr>
                <w:rFonts w:hint="eastAsia" w:ascii="仿宋" w:hAnsi="仿宋" w:eastAsia="仿宋" w:cs="仿宋"/>
                <w:sz w:val="28"/>
                <w:szCs w:val="20"/>
              </w:rPr>
              <w:t>按需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1968" w:type="dxa"/>
            <w:tcBorders>
              <w:top w:val="single" w:color="000000" w:sz="8" w:space="0"/>
              <w:left w:val="single" w:color="000000" w:sz="8" w:space="0"/>
              <w:right w:val="single" w:color="000000" w:sz="8" w:space="0"/>
            </w:tcBorders>
            <w:vAlign w:val="center"/>
          </w:tcPr>
          <w:p>
            <w:pPr>
              <w:spacing w:before="1" w:line="0" w:lineRule="atLeast"/>
              <w:ind w:left="0"/>
              <w:jc w:val="center"/>
              <w:rPr>
                <w:rFonts w:hint="default" w:ascii="仿宋" w:hAnsi="仿宋" w:eastAsia="仿宋" w:cs="仿宋"/>
                <w:sz w:val="28"/>
                <w:szCs w:val="20"/>
                <w:lang w:val="en-US" w:eastAsia="zh-CN"/>
              </w:rPr>
            </w:pPr>
            <w:r>
              <w:rPr>
                <w:rFonts w:hint="eastAsia" w:ascii="仿宋" w:hAnsi="仿宋" w:eastAsia="仿宋" w:cs="仿宋"/>
                <w:sz w:val="28"/>
                <w:szCs w:val="20"/>
                <w:lang w:val="en-US" w:eastAsia="zh-CN"/>
              </w:rPr>
              <w:t>咨询服务</w:t>
            </w:r>
          </w:p>
        </w:tc>
        <w:tc>
          <w:tcPr>
            <w:tcW w:w="4179" w:type="dxa"/>
            <w:tcBorders>
              <w:top w:val="single" w:color="000000" w:sz="8" w:space="0"/>
              <w:left w:val="nil"/>
              <w:right w:val="single" w:color="auto" w:sz="4" w:space="0"/>
            </w:tcBorders>
            <w:vAlign w:val="center"/>
          </w:tcPr>
          <w:p>
            <w:pPr>
              <w:spacing w:line="0" w:lineRule="atLeast"/>
              <w:ind w:left="124" w:right="105"/>
              <w:rPr>
                <w:rFonts w:hint="eastAsia" w:ascii="仿宋" w:hAnsi="仿宋" w:eastAsia="仿宋" w:cs="仿宋"/>
                <w:sz w:val="28"/>
                <w:szCs w:val="20"/>
              </w:rPr>
            </w:pPr>
            <w:r>
              <w:rPr>
                <w:rFonts w:hint="eastAsia" w:ascii="仿宋" w:hAnsi="仿宋" w:eastAsia="仿宋" w:cs="仿宋"/>
                <w:sz w:val="28"/>
                <w:szCs w:val="20"/>
              </w:rPr>
              <w:t>负责服务质量评估方案设计与优化、服务质量监管方案设计与优化、服务质量监管月报等。</w:t>
            </w:r>
          </w:p>
        </w:tc>
        <w:tc>
          <w:tcPr>
            <w:tcW w:w="1413" w:type="dxa"/>
            <w:tcBorders>
              <w:top w:val="single" w:color="000000" w:sz="8" w:space="0"/>
              <w:left w:val="single" w:color="auto" w:sz="4" w:space="0"/>
              <w:right w:val="single" w:color="000000" w:sz="8" w:space="0"/>
            </w:tcBorders>
            <w:vAlign w:val="center"/>
          </w:tcPr>
          <w:p>
            <w:pPr>
              <w:spacing w:line="0" w:lineRule="atLeast"/>
              <w:ind w:left="124" w:right="105"/>
              <w:jc w:val="center"/>
              <w:rPr>
                <w:rFonts w:hint="eastAsia" w:ascii="仿宋" w:hAnsi="仿宋" w:eastAsia="仿宋" w:cs="仿宋"/>
                <w:sz w:val="28"/>
                <w:szCs w:val="20"/>
                <w:highlight w:val="none"/>
              </w:rPr>
            </w:pPr>
            <w:r>
              <w:rPr>
                <w:rFonts w:hint="eastAsia" w:ascii="仿宋" w:hAnsi="仿宋" w:eastAsia="仿宋" w:cs="仿宋"/>
                <w:sz w:val="28"/>
                <w:szCs w:val="20"/>
                <w:highlight w:val="none"/>
                <w:lang w:val="en-US" w:eastAsia="zh-CN"/>
              </w:rPr>
              <w:t>至少2</w:t>
            </w:r>
            <w:r>
              <w:rPr>
                <w:rFonts w:hint="eastAsia" w:ascii="仿宋" w:hAnsi="仿宋" w:eastAsia="仿宋" w:cs="仿宋"/>
                <w:sz w:val="28"/>
                <w:szCs w:val="20"/>
                <w:highlight w:val="none"/>
              </w:rPr>
              <w:t>人</w:t>
            </w:r>
          </w:p>
        </w:tc>
        <w:tc>
          <w:tcPr>
            <w:tcW w:w="1320" w:type="dxa"/>
            <w:tcBorders>
              <w:top w:val="single" w:color="000000" w:sz="8" w:space="0"/>
              <w:left w:val="single" w:color="auto" w:sz="4" w:space="0"/>
              <w:right w:val="single" w:color="000000" w:sz="8" w:space="0"/>
            </w:tcBorders>
            <w:vAlign w:val="center"/>
          </w:tcPr>
          <w:p>
            <w:pPr>
              <w:spacing w:line="0" w:lineRule="atLeast"/>
              <w:ind w:left="124" w:right="105"/>
              <w:jc w:val="center"/>
              <w:rPr>
                <w:rFonts w:hint="eastAsia" w:ascii="仿宋" w:hAnsi="仿宋" w:eastAsia="仿宋" w:cs="仿宋"/>
                <w:sz w:val="28"/>
                <w:szCs w:val="20"/>
                <w:highlight w:val="none"/>
              </w:rPr>
            </w:pPr>
            <w:r>
              <w:rPr>
                <w:rFonts w:hint="eastAsia" w:ascii="仿宋" w:hAnsi="仿宋" w:eastAsia="仿宋" w:cs="仿宋"/>
                <w:sz w:val="28"/>
                <w:szCs w:val="20"/>
                <w:highlight w:val="none"/>
              </w:rPr>
              <w:t>驻场</w:t>
            </w:r>
            <w:r>
              <w:rPr>
                <w:rFonts w:hint="eastAsia" w:ascii="仿宋" w:hAnsi="仿宋" w:eastAsia="仿宋" w:cs="仿宋"/>
                <w:sz w:val="28"/>
                <w:szCs w:val="20"/>
              </w:rPr>
              <w:t>1人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1968" w:type="dxa"/>
            <w:tcBorders>
              <w:left w:val="single" w:color="000000" w:sz="8" w:space="0"/>
              <w:right w:val="single" w:color="000000" w:sz="8" w:space="0"/>
            </w:tcBorders>
            <w:vAlign w:val="center"/>
          </w:tcPr>
          <w:p>
            <w:pPr>
              <w:spacing w:line="0" w:lineRule="atLeast"/>
              <w:ind w:left="17"/>
              <w:jc w:val="center"/>
              <w:rPr>
                <w:rFonts w:hint="default" w:ascii="仿宋" w:hAnsi="仿宋" w:eastAsia="仿宋" w:cs="仿宋"/>
                <w:sz w:val="28"/>
                <w:szCs w:val="20"/>
                <w:lang w:val="en-US" w:eastAsia="zh-CN"/>
              </w:rPr>
            </w:pPr>
            <w:r>
              <w:rPr>
                <w:rFonts w:hint="eastAsia" w:ascii="仿宋" w:hAnsi="仿宋" w:eastAsia="仿宋" w:cs="仿宋"/>
                <w:sz w:val="28"/>
                <w:szCs w:val="20"/>
                <w:lang w:val="en-US" w:eastAsia="zh-CN"/>
              </w:rPr>
              <w:t>安全监管服务</w:t>
            </w:r>
          </w:p>
        </w:tc>
        <w:tc>
          <w:tcPr>
            <w:tcW w:w="4179" w:type="dxa"/>
            <w:tcBorders>
              <w:top w:val="single" w:color="000000" w:sz="8" w:space="0"/>
              <w:left w:val="nil"/>
              <w:bottom w:val="single" w:color="000000" w:sz="8" w:space="0"/>
              <w:right w:val="single" w:color="auto" w:sz="4" w:space="0"/>
            </w:tcBorders>
            <w:vAlign w:val="center"/>
          </w:tcPr>
          <w:p>
            <w:pPr>
              <w:spacing w:line="0" w:lineRule="atLeast"/>
              <w:ind w:left="124" w:right="105"/>
              <w:rPr>
                <w:rFonts w:hint="eastAsia" w:ascii="仿宋" w:hAnsi="仿宋" w:eastAsia="仿宋" w:cs="仿宋"/>
                <w:sz w:val="28"/>
                <w:szCs w:val="20"/>
              </w:rPr>
            </w:pPr>
            <w:r>
              <w:rPr>
                <w:rFonts w:hint="eastAsia" w:ascii="仿宋" w:hAnsi="仿宋" w:eastAsia="仿宋" w:cs="仿宋"/>
                <w:sz w:val="28"/>
                <w:szCs w:val="20"/>
              </w:rPr>
              <w:t>负责网络安全监管，包括安全月报审核、安全问题研判以及现场勘测，网络安全检查、网络安全问题整改落实情况跟踪与整改验收等。</w:t>
            </w:r>
          </w:p>
        </w:tc>
        <w:tc>
          <w:tcPr>
            <w:tcW w:w="1413" w:type="dxa"/>
            <w:tcBorders>
              <w:top w:val="single" w:color="000000" w:sz="8" w:space="0"/>
              <w:left w:val="single" w:color="auto" w:sz="4" w:space="0"/>
              <w:bottom w:val="single" w:color="000000" w:sz="8" w:space="0"/>
              <w:right w:val="single" w:color="000000" w:sz="8" w:space="0"/>
            </w:tcBorders>
            <w:vAlign w:val="center"/>
          </w:tcPr>
          <w:p>
            <w:pPr>
              <w:spacing w:line="0" w:lineRule="atLeast"/>
              <w:ind w:right="105"/>
              <w:jc w:val="center"/>
              <w:rPr>
                <w:rFonts w:hint="eastAsia" w:ascii="仿宋" w:hAnsi="仿宋" w:eastAsia="仿宋" w:cs="仿宋"/>
                <w:sz w:val="28"/>
                <w:szCs w:val="20"/>
                <w:highlight w:val="none"/>
              </w:rPr>
            </w:pPr>
            <w:r>
              <w:rPr>
                <w:rFonts w:hint="eastAsia" w:ascii="仿宋" w:hAnsi="仿宋" w:eastAsia="仿宋" w:cs="仿宋"/>
                <w:sz w:val="28"/>
                <w:szCs w:val="20"/>
                <w:highlight w:val="none"/>
                <w:lang w:val="en-US" w:eastAsia="zh-CN"/>
              </w:rPr>
              <w:t>至少2</w:t>
            </w:r>
            <w:r>
              <w:rPr>
                <w:rFonts w:hint="eastAsia" w:ascii="仿宋" w:hAnsi="仿宋" w:eastAsia="仿宋" w:cs="仿宋"/>
                <w:sz w:val="28"/>
                <w:szCs w:val="20"/>
                <w:highlight w:val="none"/>
              </w:rPr>
              <w:t>人</w:t>
            </w:r>
          </w:p>
        </w:tc>
        <w:tc>
          <w:tcPr>
            <w:tcW w:w="1320" w:type="dxa"/>
            <w:tcBorders>
              <w:top w:val="single" w:color="000000" w:sz="8" w:space="0"/>
              <w:left w:val="single" w:color="auto" w:sz="4" w:space="0"/>
              <w:bottom w:val="single" w:color="000000" w:sz="8" w:space="0"/>
              <w:right w:val="single" w:color="000000" w:sz="8" w:space="0"/>
            </w:tcBorders>
            <w:vAlign w:val="center"/>
          </w:tcPr>
          <w:p>
            <w:pPr>
              <w:spacing w:line="0" w:lineRule="atLeast"/>
              <w:ind w:left="124" w:right="105"/>
              <w:jc w:val="center"/>
              <w:rPr>
                <w:rFonts w:hint="eastAsia" w:ascii="仿宋" w:hAnsi="仿宋" w:eastAsia="仿宋" w:cs="仿宋"/>
                <w:sz w:val="28"/>
                <w:szCs w:val="20"/>
                <w:highlight w:val="none"/>
              </w:rPr>
            </w:pPr>
            <w:bookmarkStart w:id="8" w:name="OLE_LINK2"/>
            <w:r>
              <w:rPr>
                <w:rFonts w:hint="eastAsia" w:ascii="仿宋" w:hAnsi="仿宋" w:eastAsia="仿宋" w:cs="仿宋"/>
                <w:sz w:val="28"/>
                <w:szCs w:val="20"/>
                <w:highlight w:val="none"/>
              </w:rPr>
              <w:t>驻场</w:t>
            </w:r>
            <w:bookmarkEnd w:id="8"/>
            <w:r>
              <w:rPr>
                <w:rFonts w:hint="eastAsia" w:ascii="仿宋" w:hAnsi="仿宋" w:eastAsia="仿宋" w:cs="仿宋"/>
                <w:sz w:val="28"/>
                <w:szCs w:val="20"/>
              </w:rPr>
              <w:t>1人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1968" w:type="dxa"/>
            <w:tcBorders>
              <w:left w:val="single" w:color="000000" w:sz="8" w:space="0"/>
              <w:bottom w:val="single" w:color="000000" w:sz="8" w:space="0"/>
              <w:right w:val="single" w:color="000000" w:sz="8" w:space="0"/>
            </w:tcBorders>
            <w:vAlign w:val="center"/>
          </w:tcPr>
          <w:p>
            <w:pPr>
              <w:spacing w:line="0" w:lineRule="atLeast"/>
              <w:ind w:left="17"/>
              <w:jc w:val="center"/>
              <w:rPr>
                <w:rFonts w:hint="default" w:ascii="仿宋" w:hAnsi="仿宋" w:eastAsia="仿宋" w:cs="仿宋"/>
                <w:sz w:val="28"/>
                <w:szCs w:val="20"/>
                <w:lang w:val="en-US" w:eastAsia="zh-CN"/>
              </w:rPr>
            </w:pPr>
            <w:r>
              <w:rPr>
                <w:rFonts w:hint="eastAsia" w:ascii="仿宋" w:hAnsi="仿宋" w:eastAsia="仿宋" w:cs="仿宋"/>
                <w:sz w:val="28"/>
                <w:szCs w:val="20"/>
                <w:lang w:val="en-US" w:eastAsia="zh-CN"/>
              </w:rPr>
              <w:t>运维监管服务</w:t>
            </w:r>
          </w:p>
        </w:tc>
        <w:tc>
          <w:tcPr>
            <w:tcW w:w="4179" w:type="dxa"/>
            <w:tcBorders>
              <w:top w:val="single" w:color="000000" w:sz="8" w:space="0"/>
              <w:left w:val="nil"/>
              <w:bottom w:val="single" w:color="000000" w:sz="8" w:space="0"/>
              <w:right w:val="single" w:color="auto" w:sz="4" w:space="0"/>
            </w:tcBorders>
            <w:vAlign w:val="center"/>
          </w:tcPr>
          <w:p>
            <w:pPr>
              <w:spacing w:line="0" w:lineRule="atLeast"/>
              <w:ind w:left="124" w:right="105"/>
              <w:rPr>
                <w:rFonts w:hint="eastAsia" w:ascii="仿宋" w:hAnsi="仿宋" w:eastAsia="仿宋" w:cs="仿宋"/>
                <w:sz w:val="28"/>
                <w:szCs w:val="20"/>
              </w:rPr>
            </w:pPr>
            <w:r>
              <w:rPr>
                <w:rFonts w:hint="eastAsia" w:ascii="仿宋" w:hAnsi="仿宋" w:eastAsia="仿宋" w:cs="仿宋"/>
                <w:sz w:val="28"/>
                <w:szCs w:val="20"/>
                <w:highlight w:val="none"/>
              </w:rPr>
              <w:t>负责网络性能和工程建设监管，包括网络性能分析报告审核、竣工不及时情况跟踪等</w:t>
            </w:r>
            <w:r>
              <w:rPr>
                <w:rFonts w:hint="eastAsia" w:ascii="仿宋" w:hAnsi="仿宋" w:eastAsia="仿宋" w:cs="仿宋"/>
                <w:sz w:val="28"/>
                <w:szCs w:val="20"/>
                <w:highlight w:val="none"/>
                <w:lang w:eastAsia="zh-CN"/>
              </w:rPr>
              <w:t>；</w:t>
            </w:r>
            <w:r>
              <w:rPr>
                <w:rFonts w:hint="eastAsia" w:ascii="仿宋" w:hAnsi="仿宋" w:eastAsia="仿宋" w:cs="仿宋"/>
                <w:sz w:val="28"/>
                <w:szCs w:val="20"/>
              </w:rPr>
              <w:t>负责网络运维监管，包括故障报告审核、故障原因研判、故障整改意见出具、故障整改落实情况跟踪与整改闭环等。</w:t>
            </w:r>
          </w:p>
        </w:tc>
        <w:tc>
          <w:tcPr>
            <w:tcW w:w="1413" w:type="dxa"/>
            <w:tcBorders>
              <w:top w:val="single" w:color="000000" w:sz="8" w:space="0"/>
              <w:left w:val="single" w:color="auto" w:sz="4" w:space="0"/>
              <w:bottom w:val="single" w:color="000000" w:sz="8" w:space="0"/>
              <w:right w:val="single" w:color="000000" w:sz="8" w:space="0"/>
            </w:tcBorders>
            <w:vAlign w:val="center"/>
          </w:tcPr>
          <w:p>
            <w:pPr>
              <w:spacing w:line="0" w:lineRule="atLeast"/>
              <w:ind w:right="105"/>
              <w:jc w:val="center"/>
              <w:rPr>
                <w:rFonts w:hint="eastAsia" w:ascii="仿宋" w:hAnsi="仿宋" w:eastAsia="仿宋" w:cs="仿宋"/>
                <w:sz w:val="28"/>
                <w:szCs w:val="20"/>
              </w:rPr>
            </w:pPr>
            <w:r>
              <w:rPr>
                <w:rFonts w:hint="eastAsia" w:ascii="仿宋" w:hAnsi="仿宋" w:eastAsia="仿宋" w:cs="仿宋"/>
                <w:sz w:val="28"/>
                <w:szCs w:val="20"/>
                <w:highlight w:val="none"/>
                <w:lang w:val="en-US" w:eastAsia="zh-CN"/>
              </w:rPr>
              <w:t>至少2</w:t>
            </w:r>
            <w:r>
              <w:rPr>
                <w:rFonts w:hint="eastAsia" w:ascii="仿宋" w:hAnsi="仿宋" w:eastAsia="仿宋" w:cs="仿宋"/>
                <w:sz w:val="28"/>
                <w:szCs w:val="20"/>
                <w:highlight w:val="none"/>
              </w:rPr>
              <w:t>人</w:t>
            </w:r>
          </w:p>
        </w:tc>
        <w:tc>
          <w:tcPr>
            <w:tcW w:w="1320" w:type="dxa"/>
            <w:tcBorders>
              <w:top w:val="single" w:color="000000" w:sz="8" w:space="0"/>
              <w:left w:val="single" w:color="auto" w:sz="4" w:space="0"/>
              <w:bottom w:val="single" w:color="000000" w:sz="8" w:space="0"/>
              <w:right w:val="single" w:color="000000" w:sz="8" w:space="0"/>
            </w:tcBorders>
            <w:vAlign w:val="center"/>
          </w:tcPr>
          <w:p>
            <w:pPr>
              <w:spacing w:line="0" w:lineRule="atLeast"/>
              <w:ind w:left="124" w:right="105"/>
              <w:jc w:val="center"/>
              <w:rPr>
                <w:rFonts w:hint="eastAsia" w:ascii="仿宋" w:hAnsi="仿宋" w:eastAsia="仿宋" w:cs="仿宋"/>
                <w:sz w:val="28"/>
                <w:szCs w:val="20"/>
              </w:rPr>
            </w:pPr>
            <w:r>
              <w:rPr>
                <w:rFonts w:hint="eastAsia" w:ascii="仿宋" w:hAnsi="仿宋" w:eastAsia="仿宋" w:cs="仿宋"/>
                <w:sz w:val="28"/>
                <w:szCs w:val="20"/>
              </w:rPr>
              <w:t>驻场1人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1968" w:type="dxa"/>
            <w:tcBorders>
              <w:top w:val="single" w:color="000000" w:sz="8" w:space="0"/>
              <w:left w:val="single" w:color="000000" w:sz="8" w:space="0"/>
              <w:bottom w:val="single" w:color="000000" w:sz="8" w:space="0"/>
              <w:right w:val="single" w:color="000000" w:sz="8" w:space="0"/>
            </w:tcBorders>
            <w:vAlign w:val="center"/>
          </w:tcPr>
          <w:p>
            <w:pPr>
              <w:spacing w:line="0" w:lineRule="atLeast"/>
              <w:ind w:left="17"/>
              <w:jc w:val="center"/>
              <w:rPr>
                <w:rFonts w:hint="default" w:ascii="仿宋" w:hAnsi="仿宋" w:eastAsia="仿宋" w:cs="仿宋"/>
                <w:sz w:val="28"/>
                <w:szCs w:val="20"/>
                <w:highlight w:val="none"/>
                <w:lang w:val="en-US" w:eastAsia="zh-CN"/>
              </w:rPr>
            </w:pPr>
            <w:r>
              <w:rPr>
                <w:rFonts w:hint="eastAsia" w:ascii="仿宋" w:hAnsi="仿宋" w:eastAsia="仿宋" w:cs="仿宋"/>
                <w:sz w:val="28"/>
                <w:szCs w:val="20"/>
                <w:lang w:val="en-US" w:eastAsia="zh-CN"/>
              </w:rPr>
              <w:t>技术支撑与数据稽核</w:t>
            </w:r>
          </w:p>
        </w:tc>
        <w:tc>
          <w:tcPr>
            <w:tcW w:w="4179" w:type="dxa"/>
            <w:tcBorders>
              <w:top w:val="single" w:color="000000" w:sz="8" w:space="0"/>
              <w:left w:val="nil"/>
              <w:bottom w:val="single" w:color="000000" w:sz="8" w:space="0"/>
              <w:right w:val="single" w:color="auto" w:sz="4" w:space="0"/>
            </w:tcBorders>
            <w:vAlign w:val="center"/>
          </w:tcPr>
          <w:p>
            <w:pPr>
              <w:numPr>
                <w:ilvl w:val="-1"/>
                <w:numId w:val="0"/>
              </w:numPr>
              <w:spacing w:line="0" w:lineRule="atLeast"/>
              <w:ind w:right="105"/>
              <w:rPr>
                <w:rFonts w:hint="eastAsia" w:ascii="仿宋" w:hAnsi="仿宋" w:eastAsia="仿宋" w:cs="仿宋"/>
                <w:sz w:val="28"/>
                <w:szCs w:val="20"/>
                <w:highlight w:val="none"/>
              </w:rPr>
            </w:pPr>
            <w:r>
              <w:rPr>
                <w:rFonts w:hint="eastAsia" w:ascii="仿宋" w:hAnsi="仿宋" w:eastAsia="仿宋" w:cs="仿宋"/>
                <w:sz w:val="28"/>
                <w:szCs w:val="20"/>
                <w:highlight w:val="none"/>
                <w:lang w:val="en-US" w:eastAsia="zh-CN"/>
              </w:rPr>
              <w:t>为团队提供技术支持，解决方案等服务；</w:t>
            </w:r>
            <w:r>
              <w:rPr>
                <w:rFonts w:hint="eastAsia" w:ascii="仿宋" w:hAnsi="仿宋" w:eastAsia="仿宋" w:cs="仿宋"/>
                <w:sz w:val="28"/>
                <w:szCs w:val="20"/>
                <w:highlight w:val="none"/>
              </w:rPr>
              <w:t>负责服务质量评估</w:t>
            </w:r>
            <w:r>
              <w:rPr>
                <w:rFonts w:hint="eastAsia" w:ascii="仿宋" w:hAnsi="仿宋" w:eastAsia="仿宋" w:cs="仿宋"/>
                <w:sz w:val="28"/>
                <w:szCs w:val="20"/>
                <w:highlight w:val="none"/>
                <w:lang w:val="en-US" w:eastAsia="zh-CN"/>
              </w:rPr>
              <w:t>数据稽核、评估报告编制；负责</w:t>
            </w:r>
            <w:r>
              <w:rPr>
                <w:rFonts w:hint="eastAsia" w:ascii="仿宋" w:hAnsi="仿宋" w:eastAsia="仿宋" w:cs="仿宋"/>
                <w:sz w:val="28"/>
                <w:szCs w:val="20"/>
                <w:highlight w:val="none"/>
              </w:rPr>
              <w:t>市级政务外网通信服务费稽核等</w:t>
            </w:r>
            <w:r>
              <w:rPr>
                <w:rFonts w:hint="eastAsia" w:ascii="仿宋" w:hAnsi="仿宋" w:eastAsia="仿宋" w:cs="仿宋"/>
                <w:sz w:val="28"/>
                <w:szCs w:val="20"/>
                <w:highlight w:val="none"/>
                <w:lang w:eastAsia="zh-CN"/>
              </w:rPr>
              <w:t>。</w:t>
            </w:r>
          </w:p>
        </w:tc>
        <w:tc>
          <w:tcPr>
            <w:tcW w:w="1413" w:type="dxa"/>
            <w:tcBorders>
              <w:top w:val="single" w:color="000000" w:sz="8" w:space="0"/>
              <w:left w:val="single" w:color="auto" w:sz="4" w:space="0"/>
              <w:bottom w:val="single" w:color="000000" w:sz="8" w:space="0"/>
              <w:right w:val="single" w:color="000000" w:sz="8" w:space="0"/>
            </w:tcBorders>
            <w:vAlign w:val="center"/>
          </w:tcPr>
          <w:p>
            <w:pPr>
              <w:spacing w:line="0" w:lineRule="atLeast"/>
              <w:ind w:right="105"/>
              <w:jc w:val="center"/>
              <w:rPr>
                <w:rFonts w:hint="eastAsia" w:ascii="仿宋" w:hAnsi="仿宋" w:eastAsia="仿宋" w:cs="仿宋"/>
                <w:sz w:val="28"/>
                <w:szCs w:val="20"/>
                <w:highlight w:val="none"/>
              </w:rPr>
            </w:pPr>
            <w:r>
              <w:rPr>
                <w:rFonts w:hint="eastAsia" w:ascii="仿宋" w:hAnsi="仿宋" w:eastAsia="仿宋" w:cs="仿宋"/>
                <w:sz w:val="28"/>
                <w:szCs w:val="20"/>
                <w:highlight w:val="none"/>
                <w:lang w:val="en-US" w:eastAsia="zh-CN"/>
              </w:rPr>
              <w:t>至少3人</w:t>
            </w:r>
          </w:p>
        </w:tc>
        <w:tc>
          <w:tcPr>
            <w:tcW w:w="1320" w:type="dxa"/>
            <w:tcBorders>
              <w:top w:val="single" w:color="000000" w:sz="8" w:space="0"/>
              <w:left w:val="single" w:color="auto" w:sz="4" w:space="0"/>
              <w:bottom w:val="single" w:color="000000" w:sz="8" w:space="0"/>
              <w:right w:val="single" w:color="000000" w:sz="8" w:space="0"/>
            </w:tcBorders>
            <w:vAlign w:val="center"/>
          </w:tcPr>
          <w:p>
            <w:pPr>
              <w:spacing w:line="0" w:lineRule="atLeast"/>
              <w:ind w:left="124" w:right="105"/>
              <w:jc w:val="center"/>
              <w:rPr>
                <w:rFonts w:hint="eastAsia" w:ascii="仿宋" w:hAnsi="仿宋" w:eastAsia="仿宋" w:cs="仿宋"/>
                <w:sz w:val="28"/>
                <w:szCs w:val="20"/>
                <w:highlight w:val="none"/>
              </w:rPr>
            </w:pPr>
            <w:r>
              <w:rPr>
                <w:rFonts w:hint="eastAsia" w:ascii="仿宋" w:hAnsi="仿宋" w:eastAsia="仿宋" w:cs="仿宋"/>
                <w:sz w:val="28"/>
                <w:szCs w:val="20"/>
                <w:highlight w:val="none"/>
              </w:rPr>
              <w:t>按需</w:t>
            </w:r>
          </w:p>
        </w:tc>
      </w:tr>
    </w:tbl>
    <w:p>
      <w:pPr>
        <w:pStyle w:val="2"/>
        <w:ind w:left="0"/>
        <w:rPr>
          <w:rFonts w:hint="eastAsia" w:ascii="仿宋" w:hAnsi="仿宋" w:eastAsia="仿宋" w:cs="仿宋"/>
        </w:rPr>
      </w:pPr>
      <w:bookmarkStart w:id="9" w:name="_Toc69194686"/>
      <w:r>
        <w:rPr>
          <w:rFonts w:hint="eastAsia" w:ascii="仿宋" w:hAnsi="仿宋" w:eastAsia="仿宋" w:cs="仿宋"/>
        </w:rPr>
        <w:t>服务提供方</w:t>
      </w:r>
      <w:bookmarkEnd w:id="9"/>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1.具有履行合同所必需的专业技术能力。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2.本项目不接受联合体</w:t>
      </w:r>
      <w:r>
        <w:rPr>
          <w:rFonts w:hint="eastAsia" w:ascii="仿宋" w:hAnsi="仿宋" w:eastAsia="仿宋" w:cs="仿宋"/>
          <w:sz w:val="28"/>
          <w:szCs w:val="28"/>
          <w:lang w:eastAsia="zh-CN"/>
        </w:rPr>
        <w:t>响应</w:t>
      </w:r>
      <w:r>
        <w:rPr>
          <w:rFonts w:hint="eastAsia" w:ascii="仿宋" w:hAnsi="仿宋" w:eastAsia="仿宋" w:cs="仿宋"/>
          <w:sz w:val="28"/>
          <w:szCs w:val="28"/>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3.供应商具有有效的ISO 27001信息安全管理体系认证、ISO 9001质量管理体系认证的优先考虑。</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4.供应商具有近三年类似项目业绩的优先考虑。</w:t>
      </w:r>
    </w:p>
    <w:p>
      <w:pPr>
        <w:pStyle w:val="2"/>
        <w:ind w:left="0"/>
        <w:rPr>
          <w:rFonts w:hint="eastAsia" w:ascii="仿宋" w:hAnsi="仿宋" w:eastAsia="仿宋" w:cs="仿宋"/>
          <w:bCs w:val="0"/>
          <w:szCs w:val="32"/>
        </w:rPr>
      </w:pPr>
      <w:bookmarkStart w:id="10" w:name="_Toc69194690"/>
      <w:r>
        <w:rPr>
          <w:rFonts w:hint="eastAsia" w:ascii="仿宋" w:hAnsi="仿宋" w:eastAsia="仿宋" w:cs="仿宋"/>
          <w:bCs w:val="0"/>
          <w:szCs w:val="32"/>
        </w:rPr>
        <w:t>项目的变更、解除和终止</w:t>
      </w:r>
    </w:p>
    <w:p>
      <w:pPr>
        <w:ind w:firstLine="480"/>
        <w:rPr>
          <w:rFonts w:hint="eastAsia" w:ascii="仿宋" w:hAnsi="仿宋" w:eastAsia="仿宋" w:cs="仿宋"/>
          <w:sz w:val="28"/>
          <w:szCs w:val="28"/>
        </w:rPr>
      </w:pPr>
      <w:r>
        <w:rPr>
          <w:rFonts w:hint="eastAsia" w:ascii="仿宋" w:hAnsi="仿宋" w:eastAsia="仿宋" w:cs="仿宋"/>
          <w:sz w:val="28"/>
          <w:szCs w:val="28"/>
        </w:rPr>
        <w:t>如果服务提供方丧失履约能力、发生资不抵债或进入破产程序，</w:t>
      </w:r>
      <w:r>
        <w:rPr>
          <w:rFonts w:hint="eastAsia" w:ascii="仿宋" w:hAnsi="仿宋" w:eastAsia="仿宋" w:cs="仿宋"/>
          <w:sz w:val="28"/>
          <w:szCs w:val="28"/>
          <w:lang w:eastAsia="zh-CN"/>
        </w:rPr>
        <w:t>采购人</w:t>
      </w:r>
      <w:r>
        <w:rPr>
          <w:rFonts w:hint="eastAsia" w:ascii="仿宋" w:hAnsi="仿宋" w:eastAsia="仿宋" w:cs="仿宋"/>
          <w:sz w:val="28"/>
          <w:szCs w:val="28"/>
        </w:rPr>
        <w:t>可在任何时候以书面形式通知服务提供方终止本项目的执行而不给予服务提供方补偿。该终止本项目将不损害或影响</w:t>
      </w:r>
      <w:r>
        <w:rPr>
          <w:rFonts w:hint="eastAsia" w:ascii="仿宋" w:hAnsi="仿宋" w:eastAsia="仿宋" w:cs="仿宋"/>
          <w:sz w:val="28"/>
          <w:szCs w:val="28"/>
          <w:lang w:eastAsia="zh-CN"/>
        </w:rPr>
        <w:t>采购人</w:t>
      </w:r>
      <w:r>
        <w:rPr>
          <w:rFonts w:hint="eastAsia" w:ascii="仿宋" w:hAnsi="仿宋" w:eastAsia="仿宋" w:cs="仿宋"/>
          <w:sz w:val="28"/>
          <w:szCs w:val="28"/>
        </w:rPr>
        <w:t>已经采取或将要采取任何行动或补救措施的权利。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如遇国家、行业管理部门等机构的有关标准和规定调整的，导致本项目内容须做相应调整时，双方应按照公平、合理的原则共同协商修改本项目对应的合同的相关条款。</w:t>
      </w:r>
    </w:p>
    <w:p>
      <w:pPr>
        <w:pStyle w:val="2"/>
        <w:ind w:left="0"/>
        <w:rPr>
          <w:rFonts w:hint="eastAsia" w:ascii="仿宋" w:hAnsi="仿宋" w:eastAsia="仿宋" w:cs="仿宋"/>
        </w:rPr>
      </w:pPr>
      <w:r>
        <w:rPr>
          <w:rFonts w:hint="eastAsia" w:ascii="仿宋" w:hAnsi="仿宋" w:eastAsia="仿宋" w:cs="仿宋"/>
        </w:rPr>
        <w:t>保密责任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成交供应商</w:t>
      </w:r>
      <w:r>
        <w:rPr>
          <w:rFonts w:hint="eastAsia" w:ascii="仿宋" w:hAnsi="仿宋" w:eastAsia="仿宋" w:cs="仿宋"/>
          <w:sz w:val="28"/>
          <w:szCs w:val="28"/>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ascii="仿宋" w:hAnsi="仿宋" w:eastAsia="仿宋" w:cs="仿宋"/>
          <w:sz w:val="28"/>
          <w:szCs w:val="28"/>
          <w:lang w:eastAsia="zh-CN"/>
        </w:rPr>
        <w:t>成交供应商</w:t>
      </w:r>
      <w:r>
        <w:rPr>
          <w:rFonts w:hint="eastAsia" w:ascii="仿宋" w:hAnsi="仿宋" w:eastAsia="仿宋" w:cs="仿宋"/>
          <w:sz w:val="28"/>
          <w:szCs w:val="28"/>
        </w:rPr>
        <w:t>不得对外泄露采购人要求保密的信息，不得用于其他用途，否则</w:t>
      </w:r>
      <w:r>
        <w:rPr>
          <w:rFonts w:hint="eastAsia" w:ascii="仿宋" w:hAnsi="仿宋" w:eastAsia="仿宋" w:cs="仿宋"/>
          <w:sz w:val="28"/>
          <w:szCs w:val="28"/>
          <w:lang w:eastAsia="zh-CN"/>
        </w:rPr>
        <w:t>成交供应商</w:t>
      </w:r>
      <w:r>
        <w:rPr>
          <w:rFonts w:hint="eastAsia" w:ascii="仿宋" w:hAnsi="仿宋" w:eastAsia="仿宋" w:cs="仿宋"/>
          <w:sz w:val="28"/>
          <w:szCs w:val="28"/>
        </w:rPr>
        <w:t>需承担由此引起的法律责任和经济责任，包括但不限于直接损失、间接损失、律师费、诉讼费/仲裁费、调查费、公证费等。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成交供应商</w:t>
      </w:r>
      <w:r>
        <w:rPr>
          <w:rFonts w:hint="eastAsia" w:ascii="仿宋" w:hAnsi="仿宋" w:eastAsia="仿宋" w:cs="仿宋"/>
          <w:sz w:val="28"/>
          <w:szCs w:val="28"/>
        </w:rPr>
        <w:t>应采取必要的有效措施保证其参与本项目的人员（包括</w:t>
      </w:r>
      <w:r>
        <w:rPr>
          <w:rFonts w:hint="eastAsia" w:ascii="仿宋" w:hAnsi="仿宋" w:eastAsia="仿宋" w:cs="仿宋"/>
          <w:sz w:val="28"/>
          <w:szCs w:val="28"/>
          <w:lang w:eastAsia="zh-CN"/>
        </w:rPr>
        <w:t>成交供应商</w:t>
      </w:r>
      <w:r>
        <w:rPr>
          <w:rFonts w:hint="eastAsia" w:ascii="仿宋" w:hAnsi="仿宋" w:eastAsia="仿宋" w:cs="仿宋"/>
          <w:sz w:val="28"/>
          <w:szCs w:val="28"/>
        </w:rPr>
        <w:t>聘用的人员、借调的人员、实习的人员）无论是在职或离职后，以及</w:t>
      </w:r>
      <w:r>
        <w:rPr>
          <w:rFonts w:hint="eastAsia" w:ascii="仿宋" w:hAnsi="仿宋" w:eastAsia="仿宋" w:cs="仿宋"/>
          <w:sz w:val="28"/>
          <w:szCs w:val="28"/>
          <w:lang w:eastAsia="zh-CN"/>
        </w:rPr>
        <w:t>成交供应商</w:t>
      </w:r>
      <w:r>
        <w:rPr>
          <w:rFonts w:hint="eastAsia" w:ascii="仿宋" w:hAnsi="仿宋" w:eastAsia="仿宋" w:cs="仿宋"/>
          <w:sz w:val="28"/>
          <w:szCs w:val="28"/>
        </w:rPr>
        <w:t>的合作方无论是合作中或合作终止后，都能够履行本项目约定的保密义务。若</w:t>
      </w:r>
      <w:r>
        <w:rPr>
          <w:rFonts w:hint="eastAsia" w:ascii="仿宋" w:hAnsi="仿宋" w:eastAsia="仿宋" w:cs="仿宋"/>
          <w:sz w:val="28"/>
          <w:szCs w:val="28"/>
          <w:lang w:eastAsia="zh-CN"/>
        </w:rPr>
        <w:t>成交供应商</w:t>
      </w:r>
      <w:r>
        <w:rPr>
          <w:rFonts w:hint="eastAsia" w:ascii="仿宋" w:hAnsi="仿宋" w:eastAsia="仿宋" w:cs="仿宋"/>
          <w:sz w:val="28"/>
          <w:szCs w:val="28"/>
        </w:rPr>
        <w:t>人员或</w:t>
      </w:r>
      <w:r>
        <w:rPr>
          <w:rFonts w:hint="eastAsia" w:ascii="仿宋" w:hAnsi="仿宋" w:eastAsia="仿宋" w:cs="仿宋"/>
          <w:sz w:val="28"/>
          <w:szCs w:val="28"/>
          <w:lang w:eastAsia="zh-CN"/>
        </w:rPr>
        <w:t>成交供应商</w:t>
      </w:r>
      <w:r>
        <w:rPr>
          <w:rFonts w:hint="eastAsia" w:ascii="仿宋" w:hAnsi="仿宋" w:eastAsia="仿宋" w:cs="仿宋"/>
          <w:sz w:val="28"/>
          <w:szCs w:val="28"/>
        </w:rPr>
        <w:t>合作方违反保密规定，</w:t>
      </w:r>
      <w:r>
        <w:rPr>
          <w:rFonts w:hint="eastAsia" w:ascii="仿宋" w:hAnsi="仿宋" w:eastAsia="仿宋" w:cs="仿宋"/>
          <w:sz w:val="28"/>
          <w:szCs w:val="28"/>
          <w:lang w:eastAsia="zh-CN"/>
        </w:rPr>
        <w:t>成交供应商</w:t>
      </w:r>
      <w:r>
        <w:rPr>
          <w:rFonts w:hint="eastAsia" w:ascii="仿宋" w:hAnsi="仿宋" w:eastAsia="仿宋" w:cs="仿宋"/>
          <w:sz w:val="28"/>
          <w:szCs w:val="28"/>
        </w:rPr>
        <w:t>应承担连带责任。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成交供应商</w:t>
      </w:r>
      <w:r>
        <w:rPr>
          <w:rFonts w:hint="eastAsia" w:ascii="仿宋" w:hAnsi="仿宋" w:eastAsia="仿宋" w:cs="仿宋"/>
          <w:sz w:val="28"/>
          <w:szCs w:val="28"/>
        </w:rPr>
        <w:t>（含</w:t>
      </w:r>
      <w:r>
        <w:rPr>
          <w:rFonts w:hint="eastAsia" w:ascii="仿宋" w:hAnsi="仿宋" w:eastAsia="仿宋" w:cs="仿宋"/>
          <w:sz w:val="28"/>
          <w:szCs w:val="28"/>
          <w:lang w:eastAsia="zh-CN"/>
        </w:rPr>
        <w:t>成交供应商</w:t>
      </w:r>
      <w:r>
        <w:rPr>
          <w:rFonts w:hint="eastAsia" w:ascii="仿宋" w:hAnsi="仿宋" w:eastAsia="仿宋" w:cs="仿宋"/>
          <w:sz w:val="28"/>
          <w:szCs w:val="28"/>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4、以上内容的保密期限自</w:t>
      </w:r>
      <w:r>
        <w:rPr>
          <w:rFonts w:hint="eastAsia" w:ascii="仿宋" w:hAnsi="仿宋" w:eastAsia="仿宋" w:cs="仿宋"/>
          <w:sz w:val="28"/>
          <w:szCs w:val="28"/>
          <w:lang w:eastAsia="zh-CN"/>
        </w:rPr>
        <w:t>成交供应商</w:t>
      </w:r>
      <w:r>
        <w:rPr>
          <w:rFonts w:hint="eastAsia" w:ascii="仿宋" w:hAnsi="仿宋" w:eastAsia="仿宋" w:cs="仿宋"/>
          <w:sz w:val="28"/>
          <w:szCs w:val="28"/>
        </w:rPr>
        <w:t>知悉保密信息起始至保密信息被合法公开之日止。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成交供应商</w:t>
      </w:r>
      <w:r>
        <w:rPr>
          <w:rFonts w:hint="eastAsia" w:ascii="仿宋" w:hAnsi="仿宋" w:eastAsia="仿宋" w:cs="仿宋"/>
          <w:sz w:val="28"/>
          <w:szCs w:val="28"/>
        </w:rPr>
        <w:t>对采购人提供的临时使用账号要保密，不得公开，对组件开发的账号密码需进行加密，避免信息安全的泄露。未经采购人的同意不得利用采购人的网络及平台进行短信、彩信、微信、邮件等发送,造成的一切后果由</w:t>
      </w:r>
      <w:r>
        <w:rPr>
          <w:rFonts w:hint="eastAsia" w:ascii="仿宋" w:hAnsi="仿宋" w:eastAsia="仿宋" w:cs="仿宋"/>
          <w:sz w:val="28"/>
          <w:szCs w:val="28"/>
          <w:lang w:eastAsia="zh-CN"/>
        </w:rPr>
        <w:t>成交供应商</w:t>
      </w:r>
      <w:r>
        <w:rPr>
          <w:rFonts w:hint="eastAsia" w:ascii="仿宋" w:hAnsi="仿宋" w:eastAsia="仿宋" w:cs="仿宋"/>
          <w:sz w:val="28"/>
          <w:szCs w:val="28"/>
        </w:rPr>
        <w:t>负责。</w:t>
      </w:r>
    </w:p>
    <w:p>
      <w:pPr>
        <w:ind w:firstLine="560" w:firstLineChars="200"/>
        <w:rPr>
          <w:rFonts w:hint="eastAsia" w:ascii="仿宋_GB2312" w:hAnsi="仿宋" w:eastAsia="仿宋_GB2312" w:cs="仿宋"/>
          <w:sz w:val="28"/>
          <w:szCs w:val="28"/>
        </w:rPr>
      </w:pPr>
      <w:r>
        <w:rPr>
          <w:rFonts w:hint="eastAsia" w:ascii="仿宋" w:hAnsi="仿宋" w:eastAsia="仿宋" w:cs="仿宋"/>
          <w:sz w:val="28"/>
          <w:szCs w:val="28"/>
          <w:lang w:val="en-US" w:eastAsia="zh-CN"/>
        </w:rPr>
        <w:t>服务</w:t>
      </w:r>
      <w:r>
        <w:rPr>
          <w:rFonts w:hint="eastAsia" w:ascii="仿宋" w:hAnsi="仿宋" w:eastAsia="仿宋" w:cs="仿宋"/>
          <w:sz w:val="28"/>
          <w:szCs w:val="28"/>
        </w:rPr>
        <w:t>过程</w:t>
      </w:r>
      <w:r>
        <w:rPr>
          <w:rFonts w:hint="eastAsia" w:ascii="仿宋" w:hAnsi="仿宋" w:eastAsia="仿宋" w:cs="仿宋"/>
          <w:sz w:val="28"/>
          <w:szCs w:val="28"/>
          <w:lang w:eastAsia="zh-CN"/>
        </w:rPr>
        <w:t>成交供应商</w:t>
      </w:r>
      <w:r>
        <w:rPr>
          <w:rFonts w:hint="eastAsia" w:ascii="仿宋" w:hAnsi="仿宋" w:eastAsia="仿宋" w:cs="仿宋"/>
          <w:sz w:val="28"/>
          <w:szCs w:val="28"/>
        </w:rPr>
        <w:t>如出现失、窃密事情，参照网络和数据安全事件处罚措施同等处置，具体处罚措施由中心保密管理部门确定。</w:t>
      </w:r>
    </w:p>
    <w:p>
      <w:pPr>
        <w:pStyle w:val="2"/>
        <w:ind w:left="0"/>
        <w:rPr>
          <w:rFonts w:hint="eastAsia" w:ascii="仿宋" w:hAnsi="仿宋" w:eastAsia="仿宋" w:cs="仿宋"/>
        </w:rPr>
      </w:pPr>
      <w:r>
        <w:rPr>
          <w:rFonts w:hint="eastAsia" w:ascii="仿宋" w:hAnsi="仿宋" w:eastAsia="仿宋" w:cs="仿宋"/>
        </w:rPr>
        <w:t>关于转让和分包的规定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本项目不得转包和分包。</w:t>
      </w:r>
    </w:p>
    <w:bookmarkEnd w:id="10"/>
    <w:p>
      <w:pPr>
        <w:spacing w:line="560" w:lineRule="exact"/>
        <w:ind w:firstLine="0" w:firstLineChars="0"/>
        <w:rPr>
          <w:rFonts w:hint="eastAsia" w:ascii="仿宋" w:hAnsi="仿宋" w:eastAsia="仿宋" w:cs="仿宋"/>
          <w:sz w:val="28"/>
          <w:szCs w:val="28"/>
        </w:rPr>
      </w:pPr>
    </w:p>
    <w:sectPr>
      <w:footerReference r:id="rId9" w:type="default"/>
      <w:pgSz w:w="11906" w:h="16838"/>
      <w:pgMar w:top="1440" w:right="1800" w:bottom="1440" w:left="1800"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长城仿宋">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pStyle w:val="16"/>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907BB"/>
    <w:multiLevelType w:val="multilevel"/>
    <w:tmpl w:val="554907BB"/>
    <w:lvl w:ilvl="0" w:tentative="0">
      <w:start w:val="1"/>
      <w:numFmt w:val="bullet"/>
      <w:lvlText w:val=""/>
      <w:lvlJc w:val="left"/>
      <w:pPr>
        <w:ind w:left="865" w:hanging="420"/>
      </w:pPr>
      <w:rPr>
        <w:rFonts w:hint="default" w:ascii="Symbol" w:hAnsi="Symbol"/>
      </w:rPr>
    </w:lvl>
    <w:lvl w:ilvl="1" w:tentative="0">
      <w:start w:val="1"/>
      <w:numFmt w:val="bullet"/>
      <w:lvlText w:val=""/>
      <w:lvlJc w:val="left"/>
      <w:pPr>
        <w:ind w:left="1285" w:hanging="420"/>
      </w:pPr>
      <w:rPr>
        <w:rFonts w:hint="default" w:ascii="Wingdings" w:hAnsi="Wingdings"/>
      </w:rPr>
    </w:lvl>
    <w:lvl w:ilvl="2" w:tentative="0">
      <w:start w:val="1"/>
      <w:numFmt w:val="bullet"/>
      <w:lvlText w:val=""/>
      <w:lvlJc w:val="left"/>
      <w:pPr>
        <w:ind w:left="1705" w:hanging="420"/>
      </w:pPr>
      <w:rPr>
        <w:rFonts w:hint="default" w:ascii="Wingdings" w:hAnsi="Wingdings"/>
      </w:rPr>
    </w:lvl>
    <w:lvl w:ilvl="3" w:tentative="0">
      <w:start w:val="1"/>
      <w:numFmt w:val="bullet"/>
      <w:lvlText w:val=""/>
      <w:lvlJc w:val="left"/>
      <w:pPr>
        <w:ind w:left="2125" w:hanging="420"/>
      </w:pPr>
      <w:rPr>
        <w:rFonts w:hint="default" w:ascii="Wingdings" w:hAnsi="Wingdings"/>
      </w:rPr>
    </w:lvl>
    <w:lvl w:ilvl="4" w:tentative="0">
      <w:start w:val="1"/>
      <w:numFmt w:val="bullet"/>
      <w:lvlText w:val=""/>
      <w:lvlJc w:val="left"/>
      <w:pPr>
        <w:ind w:left="2545" w:hanging="420"/>
      </w:pPr>
      <w:rPr>
        <w:rFonts w:hint="default" w:ascii="Wingdings" w:hAnsi="Wingdings"/>
      </w:rPr>
    </w:lvl>
    <w:lvl w:ilvl="5" w:tentative="0">
      <w:start w:val="1"/>
      <w:numFmt w:val="bullet"/>
      <w:lvlText w:val=""/>
      <w:lvlJc w:val="left"/>
      <w:pPr>
        <w:ind w:left="2965" w:hanging="420"/>
      </w:pPr>
      <w:rPr>
        <w:rFonts w:hint="default" w:ascii="Wingdings" w:hAnsi="Wingdings"/>
      </w:rPr>
    </w:lvl>
    <w:lvl w:ilvl="6" w:tentative="0">
      <w:start w:val="1"/>
      <w:numFmt w:val="bullet"/>
      <w:lvlText w:val=""/>
      <w:lvlJc w:val="left"/>
      <w:pPr>
        <w:ind w:left="3385" w:hanging="420"/>
      </w:pPr>
      <w:rPr>
        <w:rFonts w:hint="default" w:ascii="Wingdings" w:hAnsi="Wingdings"/>
      </w:rPr>
    </w:lvl>
    <w:lvl w:ilvl="7" w:tentative="0">
      <w:start w:val="1"/>
      <w:numFmt w:val="bullet"/>
      <w:lvlText w:val=""/>
      <w:lvlJc w:val="left"/>
      <w:pPr>
        <w:ind w:left="3805" w:hanging="420"/>
      </w:pPr>
      <w:rPr>
        <w:rFonts w:hint="default" w:ascii="Wingdings" w:hAnsi="Wingdings"/>
      </w:rPr>
    </w:lvl>
    <w:lvl w:ilvl="8" w:tentative="0">
      <w:start w:val="1"/>
      <w:numFmt w:val="bullet"/>
      <w:lvlText w:val=""/>
      <w:lvlJc w:val="left"/>
      <w:pPr>
        <w:ind w:left="4225" w:hanging="420"/>
      </w:pPr>
      <w:rPr>
        <w:rFonts w:hint="default" w:ascii="Wingdings" w:hAnsi="Wingdings"/>
      </w:rPr>
    </w:lvl>
  </w:abstractNum>
  <w:abstractNum w:abstractNumId="1">
    <w:nsid w:val="5905B612"/>
    <w:multiLevelType w:val="multilevel"/>
    <w:tmpl w:val="5905B612"/>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tabs>
          <w:tab w:val="left" w:pos="0"/>
        </w:tabs>
        <w:ind w:left="851" w:firstLine="0"/>
      </w:pPr>
      <w:rPr>
        <w:rFonts w:hint="eastAsia" w:ascii="Times New Roman" w:hAnsi="Times New Roman" w:eastAsia="宋体"/>
        <w:b/>
        <w:i w:val="0"/>
        <w:sz w:val="30"/>
      </w:rPr>
    </w:lvl>
    <w:lvl w:ilvl="2" w:tentative="0">
      <w:start w:val="1"/>
      <w:numFmt w:val="decimal"/>
      <w:pStyle w:val="4"/>
      <w:isLgl/>
      <w:suff w:val="nothing"/>
      <w:lvlText w:val="%1.%2.%3 "/>
      <w:lvlJc w:val="left"/>
      <w:pPr>
        <w:ind w:left="1135" w:firstLine="0"/>
      </w:pPr>
      <w:rPr>
        <w:rFonts w:hint="eastAsia" w:ascii="Times New Roman" w:hAnsi="Times New Roman" w:eastAsia="仿宋"/>
        <w:b/>
        <w:i w:val="0"/>
        <w:sz w:val="28"/>
      </w:rPr>
    </w:lvl>
    <w:lvl w:ilvl="3" w:tentative="0">
      <w:start w:val="1"/>
      <w:numFmt w:val="decimal"/>
      <w:pStyle w:val="5"/>
      <w:isLgl/>
      <w:suff w:val="nothing"/>
      <w:lvlText w:val="%1.%2.%3.%4、"/>
      <w:lvlJc w:val="left"/>
      <w:pPr>
        <w:ind w:left="567" w:firstLine="0"/>
      </w:pPr>
      <w:rPr>
        <w:rFonts w:hint="eastAsia" w:ascii="Times New Roman" w:hAnsi="Times New Roman" w:eastAsia="宋体"/>
        <w:b/>
        <w:i w:val="0"/>
        <w:sz w:val="24"/>
      </w:rPr>
    </w:lvl>
    <w:lvl w:ilvl="4" w:tentative="0">
      <w:start w:val="1"/>
      <w:numFmt w:val="decimal"/>
      <w:pStyle w:val="6"/>
      <w:isLgl/>
      <w:suff w:val="nothing"/>
      <w:lvlText w:val="%1.%2.%3.%4.%5、"/>
      <w:lvlJc w:val="left"/>
      <w:pPr>
        <w:ind w:left="567" w:firstLine="0"/>
      </w:pPr>
      <w:rPr>
        <w:rFonts w:hint="eastAsia"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eastAsia"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eastAsia"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eastAsia"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eastAsia" w:ascii="Times New Roman" w:hAnsi="Times New Roman" w:eastAsia="宋体"/>
        <w:b/>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WRlOGM1OTQ3MjU5YWIxNjczZDJkOGNlY2U1MzkifQ=="/>
  </w:docVars>
  <w:rsids>
    <w:rsidRoot w:val="00A65D43"/>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099"/>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B17AA"/>
    <w:rsid w:val="000B36E1"/>
    <w:rsid w:val="000B3767"/>
    <w:rsid w:val="000B43E3"/>
    <w:rsid w:val="000B513D"/>
    <w:rsid w:val="000C0E2D"/>
    <w:rsid w:val="000C11CE"/>
    <w:rsid w:val="000C229F"/>
    <w:rsid w:val="000C39D4"/>
    <w:rsid w:val="000C40E3"/>
    <w:rsid w:val="000C6061"/>
    <w:rsid w:val="000C745E"/>
    <w:rsid w:val="000D3F43"/>
    <w:rsid w:val="000E0768"/>
    <w:rsid w:val="000E0C83"/>
    <w:rsid w:val="000E2143"/>
    <w:rsid w:val="000E619B"/>
    <w:rsid w:val="000E63B0"/>
    <w:rsid w:val="000F007B"/>
    <w:rsid w:val="000F1D58"/>
    <w:rsid w:val="000F31FD"/>
    <w:rsid w:val="000F57A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53432"/>
    <w:rsid w:val="00160956"/>
    <w:rsid w:val="00161EA9"/>
    <w:rsid w:val="00163401"/>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3D9"/>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6502"/>
    <w:rsid w:val="002F7659"/>
    <w:rsid w:val="00300628"/>
    <w:rsid w:val="00300B40"/>
    <w:rsid w:val="00302277"/>
    <w:rsid w:val="003027C1"/>
    <w:rsid w:val="00315DF0"/>
    <w:rsid w:val="0031725F"/>
    <w:rsid w:val="0031738C"/>
    <w:rsid w:val="003175E6"/>
    <w:rsid w:val="00321EF2"/>
    <w:rsid w:val="00322118"/>
    <w:rsid w:val="003221B6"/>
    <w:rsid w:val="00326CDD"/>
    <w:rsid w:val="00335D02"/>
    <w:rsid w:val="003367F4"/>
    <w:rsid w:val="00341E6E"/>
    <w:rsid w:val="003425D4"/>
    <w:rsid w:val="003431E0"/>
    <w:rsid w:val="00343950"/>
    <w:rsid w:val="00343C84"/>
    <w:rsid w:val="00345CCF"/>
    <w:rsid w:val="00352E81"/>
    <w:rsid w:val="00354770"/>
    <w:rsid w:val="0035514A"/>
    <w:rsid w:val="00355D5B"/>
    <w:rsid w:val="00356538"/>
    <w:rsid w:val="00360FF2"/>
    <w:rsid w:val="00364DA3"/>
    <w:rsid w:val="0036537E"/>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3F53"/>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6673"/>
    <w:rsid w:val="004A3D05"/>
    <w:rsid w:val="004A44DC"/>
    <w:rsid w:val="004A55D8"/>
    <w:rsid w:val="004A65FD"/>
    <w:rsid w:val="004B3662"/>
    <w:rsid w:val="004B493B"/>
    <w:rsid w:val="004B50C3"/>
    <w:rsid w:val="004C15CC"/>
    <w:rsid w:val="004C45D9"/>
    <w:rsid w:val="004C5671"/>
    <w:rsid w:val="004C6629"/>
    <w:rsid w:val="004C7655"/>
    <w:rsid w:val="004D0A39"/>
    <w:rsid w:val="004D0D52"/>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2554"/>
    <w:rsid w:val="00594679"/>
    <w:rsid w:val="005973D9"/>
    <w:rsid w:val="005A1FF7"/>
    <w:rsid w:val="005A43F1"/>
    <w:rsid w:val="005A54B0"/>
    <w:rsid w:val="005A5EDC"/>
    <w:rsid w:val="005B1543"/>
    <w:rsid w:val="005B22A3"/>
    <w:rsid w:val="005B26E9"/>
    <w:rsid w:val="005B2D3E"/>
    <w:rsid w:val="005B6881"/>
    <w:rsid w:val="005B6DD7"/>
    <w:rsid w:val="005B70E2"/>
    <w:rsid w:val="005C0222"/>
    <w:rsid w:val="005D42F7"/>
    <w:rsid w:val="005D6DF6"/>
    <w:rsid w:val="005E2AB9"/>
    <w:rsid w:val="005E735A"/>
    <w:rsid w:val="005F2F13"/>
    <w:rsid w:val="005F546D"/>
    <w:rsid w:val="005F76CC"/>
    <w:rsid w:val="006026FE"/>
    <w:rsid w:val="006053F9"/>
    <w:rsid w:val="00610873"/>
    <w:rsid w:val="006113D2"/>
    <w:rsid w:val="006119F0"/>
    <w:rsid w:val="00611E45"/>
    <w:rsid w:val="006122D6"/>
    <w:rsid w:val="00613433"/>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991"/>
    <w:rsid w:val="00795BB2"/>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0AF"/>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50749"/>
    <w:rsid w:val="00955BB2"/>
    <w:rsid w:val="009659B1"/>
    <w:rsid w:val="00972B75"/>
    <w:rsid w:val="00980447"/>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1240F"/>
    <w:rsid w:val="00A14083"/>
    <w:rsid w:val="00A142AD"/>
    <w:rsid w:val="00A15B60"/>
    <w:rsid w:val="00A255A6"/>
    <w:rsid w:val="00A30027"/>
    <w:rsid w:val="00A3391A"/>
    <w:rsid w:val="00A3474A"/>
    <w:rsid w:val="00A36137"/>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9AE"/>
    <w:rsid w:val="00AA2E74"/>
    <w:rsid w:val="00AA447D"/>
    <w:rsid w:val="00AA6345"/>
    <w:rsid w:val="00AB2369"/>
    <w:rsid w:val="00AB35D7"/>
    <w:rsid w:val="00AB5544"/>
    <w:rsid w:val="00AC06EF"/>
    <w:rsid w:val="00AC32FA"/>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4A5F"/>
    <w:rsid w:val="00B520EE"/>
    <w:rsid w:val="00B525FA"/>
    <w:rsid w:val="00B54582"/>
    <w:rsid w:val="00B553CC"/>
    <w:rsid w:val="00B56CAB"/>
    <w:rsid w:val="00B6035A"/>
    <w:rsid w:val="00B6157C"/>
    <w:rsid w:val="00B65B3D"/>
    <w:rsid w:val="00B77714"/>
    <w:rsid w:val="00B842EF"/>
    <w:rsid w:val="00B90342"/>
    <w:rsid w:val="00B9334E"/>
    <w:rsid w:val="00B95536"/>
    <w:rsid w:val="00B95A2E"/>
    <w:rsid w:val="00BB09EE"/>
    <w:rsid w:val="00BB1E2F"/>
    <w:rsid w:val="00BB7FDA"/>
    <w:rsid w:val="00BC190E"/>
    <w:rsid w:val="00BC5363"/>
    <w:rsid w:val="00BD2590"/>
    <w:rsid w:val="00BD6817"/>
    <w:rsid w:val="00BD74A2"/>
    <w:rsid w:val="00BD77B8"/>
    <w:rsid w:val="00BE2DAC"/>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69DF"/>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110D8"/>
    <w:rsid w:val="00D24559"/>
    <w:rsid w:val="00D35570"/>
    <w:rsid w:val="00D41C60"/>
    <w:rsid w:val="00D41E0D"/>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BDF"/>
    <w:rsid w:val="00EA7639"/>
    <w:rsid w:val="00EC03D4"/>
    <w:rsid w:val="00EC0C8B"/>
    <w:rsid w:val="00EC2E5E"/>
    <w:rsid w:val="00EC4C9E"/>
    <w:rsid w:val="00EC7E35"/>
    <w:rsid w:val="00ED5518"/>
    <w:rsid w:val="00EE06C1"/>
    <w:rsid w:val="00EE0CE9"/>
    <w:rsid w:val="00EE4F10"/>
    <w:rsid w:val="00EE5446"/>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39A"/>
    <w:rsid w:val="00F339C4"/>
    <w:rsid w:val="00F344A6"/>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1B57B6F"/>
    <w:rsid w:val="03C40441"/>
    <w:rsid w:val="03F84D6E"/>
    <w:rsid w:val="05597542"/>
    <w:rsid w:val="063A5C43"/>
    <w:rsid w:val="06F319CC"/>
    <w:rsid w:val="073D31FE"/>
    <w:rsid w:val="08436857"/>
    <w:rsid w:val="0AA35095"/>
    <w:rsid w:val="0AD11239"/>
    <w:rsid w:val="0B7A0DF9"/>
    <w:rsid w:val="0BB579E9"/>
    <w:rsid w:val="0E33255C"/>
    <w:rsid w:val="0F075DB7"/>
    <w:rsid w:val="0F29227F"/>
    <w:rsid w:val="102B73D4"/>
    <w:rsid w:val="11856B2E"/>
    <w:rsid w:val="11D0618A"/>
    <w:rsid w:val="12C83BD3"/>
    <w:rsid w:val="13E56B69"/>
    <w:rsid w:val="13EE40D1"/>
    <w:rsid w:val="143F579C"/>
    <w:rsid w:val="14726477"/>
    <w:rsid w:val="15EC7D82"/>
    <w:rsid w:val="162E6F9E"/>
    <w:rsid w:val="18CD2B08"/>
    <w:rsid w:val="19287A4C"/>
    <w:rsid w:val="19DF7C0C"/>
    <w:rsid w:val="1B3E0655"/>
    <w:rsid w:val="1B9E2CD5"/>
    <w:rsid w:val="1BA9C687"/>
    <w:rsid w:val="1BD417C5"/>
    <w:rsid w:val="1C0D6C51"/>
    <w:rsid w:val="1C387FA6"/>
    <w:rsid w:val="1D8B6732"/>
    <w:rsid w:val="1F8229C3"/>
    <w:rsid w:val="1FDF7B25"/>
    <w:rsid w:val="216A1B5B"/>
    <w:rsid w:val="21DC371A"/>
    <w:rsid w:val="23307C29"/>
    <w:rsid w:val="2476313A"/>
    <w:rsid w:val="25DA1459"/>
    <w:rsid w:val="29A4699F"/>
    <w:rsid w:val="29AE7AF9"/>
    <w:rsid w:val="2A807095"/>
    <w:rsid w:val="2B563FA5"/>
    <w:rsid w:val="2B7B1C5D"/>
    <w:rsid w:val="2F4D1B62"/>
    <w:rsid w:val="2FE7D7FE"/>
    <w:rsid w:val="30CA3964"/>
    <w:rsid w:val="31AA02BA"/>
    <w:rsid w:val="31D668B9"/>
    <w:rsid w:val="321366D4"/>
    <w:rsid w:val="32891103"/>
    <w:rsid w:val="32EE241A"/>
    <w:rsid w:val="34EC4BF7"/>
    <w:rsid w:val="35126F9B"/>
    <w:rsid w:val="357C21E9"/>
    <w:rsid w:val="360949B7"/>
    <w:rsid w:val="382471D8"/>
    <w:rsid w:val="39420339"/>
    <w:rsid w:val="39FB24A2"/>
    <w:rsid w:val="3A3002FB"/>
    <w:rsid w:val="3BFC3547"/>
    <w:rsid w:val="3BFFFF64"/>
    <w:rsid w:val="3EBF88E3"/>
    <w:rsid w:val="3F1C5D1D"/>
    <w:rsid w:val="40C75E89"/>
    <w:rsid w:val="420C686B"/>
    <w:rsid w:val="424C624A"/>
    <w:rsid w:val="42C413D2"/>
    <w:rsid w:val="43D45F57"/>
    <w:rsid w:val="442962A2"/>
    <w:rsid w:val="44B71CCD"/>
    <w:rsid w:val="460A5857"/>
    <w:rsid w:val="490557B4"/>
    <w:rsid w:val="4C1175E4"/>
    <w:rsid w:val="4EC8490A"/>
    <w:rsid w:val="4ED70203"/>
    <w:rsid w:val="51EC090F"/>
    <w:rsid w:val="54177EC5"/>
    <w:rsid w:val="55BC81C9"/>
    <w:rsid w:val="574A11F7"/>
    <w:rsid w:val="58B030F1"/>
    <w:rsid w:val="5A3B0686"/>
    <w:rsid w:val="5AFB7B3C"/>
    <w:rsid w:val="5B5B1919"/>
    <w:rsid w:val="5EE756D6"/>
    <w:rsid w:val="5F912BC5"/>
    <w:rsid w:val="5FB2595E"/>
    <w:rsid w:val="5FFB4F31"/>
    <w:rsid w:val="609B3C2C"/>
    <w:rsid w:val="62775E2F"/>
    <w:rsid w:val="62B131DE"/>
    <w:rsid w:val="6427385D"/>
    <w:rsid w:val="65596FEF"/>
    <w:rsid w:val="67867236"/>
    <w:rsid w:val="67C12384"/>
    <w:rsid w:val="67CE0712"/>
    <w:rsid w:val="686A0AB4"/>
    <w:rsid w:val="68A62EF9"/>
    <w:rsid w:val="6B6D613A"/>
    <w:rsid w:val="6B985938"/>
    <w:rsid w:val="6D515B2D"/>
    <w:rsid w:val="6F694A76"/>
    <w:rsid w:val="6F7F584A"/>
    <w:rsid w:val="6FD131C7"/>
    <w:rsid w:val="6FDF26D2"/>
    <w:rsid w:val="70592E22"/>
    <w:rsid w:val="70A00D30"/>
    <w:rsid w:val="70C26FB3"/>
    <w:rsid w:val="72D8187A"/>
    <w:rsid w:val="75297648"/>
    <w:rsid w:val="76BF47FB"/>
    <w:rsid w:val="77DC57AA"/>
    <w:rsid w:val="77F9775E"/>
    <w:rsid w:val="780305DD"/>
    <w:rsid w:val="7855167B"/>
    <w:rsid w:val="791E4146"/>
    <w:rsid w:val="7AA15E8B"/>
    <w:rsid w:val="7AED10D1"/>
    <w:rsid w:val="7B4C77FE"/>
    <w:rsid w:val="7BDD1145"/>
    <w:rsid w:val="7C4A3100"/>
    <w:rsid w:val="7D001B30"/>
    <w:rsid w:val="7D1A33EC"/>
    <w:rsid w:val="7D387999"/>
    <w:rsid w:val="7DFDE8B7"/>
    <w:rsid w:val="7E4D2A5C"/>
    <w:rsid w:val="7E532C24"/>
    <w:rsid w:val="7FDE3EB0"/>
    <w:rsid w:val="7FE148FD"/>
    <w:rsid w:val="A7DF1B9A"/>
    <w:rsid w:val="ABF80A4C"/>
    <w:rsid w:val="BAD7AA7E"/>
    <w:rsid w:val="CFFFD391"/>
    <w:rsid w:val="F8BF2A7A"/>
    <w:rsid w:val="FD38922B"/>
    <w:rsid w:val="FDF74CF4"/>
    <w:rsid w:val="FF79EC62"/>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numPr>
        <w:ilvl w:val="0"/>
        <w:numId w:val="1"/>
      </w:numPr>
      <w:spacing w:before="340" w:after="330" w:line="578" w:lineRule="auto"/>
      <w:outlineLvl w:val="0"/>
    </w:pPr>
    <w:rPr>
      <w:rFonts w:eastAsia="方正小标宋_GBK"/>
      <w:b/>
      <w:bCs/>
      <w:kern w:val="44"/>
      <w:sz w:val="32"/>
      <w:szCs w:val="44"/>
    </w:rPr>
  </w:style>
  <w:style w:type="paragraph" w:styleId="3">
    <w:name w:val="heading 2"/>
    <w:basedOn w:val="1"/>
    <w:next w:val="1"/>
    <w:link w:val="34"/>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7"/>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8"/>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0"/>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1"/>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2"/>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3"/>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unhideWhenUsed/>
    <w:qFormat/>
    <w:uiPriority w:val="99"/>
    <w:pPr>
      <w:jc w:val="left"/>
    </w:pPr>
  </w:style>
  <w:style w:type="paragraph" w:styleId="12">
    <w:name w:val="Body Text"/>
    <w:basedOn w:val="1"/>
    <w:link w:val="57"/>
    <w:semiHidden/>
    <w:unhideWhenUsed/>
    <w:qFormat/>
    <w:uiPriority w:val="99"/>
    <w:pPr>
      <w:spacing w:after="120"/>
    </w:pPr>
  </w:style>
  <w:style w:type="paragraph" w:styleId="13">
    <w:name w:val="Body Text Indent"/>
    <w:basedOn w:val="1"/>
    <w:link w:val="46"/>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5"/>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5"/>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3"/>
    <w:semiHidden/>
    <w:unhideWhenUsed/>
    <w:qFormat/>
    <w:uiPriority w:val="99"/>
    <w:rPr>
      <w:b/>
      <w:bCs/>
    </w:rPr>
  </w:style>
  <w:style w:type="paragraph" w:styleId="23">
    <w:name w:val="Body Text First Indent"/>
    <w:basedOn w:val="12"/>
    <w:qFormat/>
    <w:uiPriority w:val="0"/>
    <w:pPr>
      <w:spacing w:line="360" w:lineRule="auto"/>
      <w:ind w:firstLine="420" w:firstLineChars="100"/>
    </w:pPr>
    <w:rPr>
      <w:sz w:val="24"/>
      <w:szCs w:val="20"/>
    </w:rPr>
  </w:style>
  <w:style w:type="paragraph" w:styleId="24">
    <w:name w:val="Body Text First Indent 2"/>
    <w:basedOn w:val="13"/>
    <w:link w:val="47"/>
    <w:qFormat/>
    <w:uiPriority w:val="0"/>
    <w:pPr>
      <w:spacing w:line="360" w:lineRule="auto"/>
      <w:ind w:firstLine="420" w:firstLineChars="200"/>
    </w:pPr>
    <w:rPr>
      <w:rFonts w:ascii="Times New Roman" w:hAnsi="Times New Roman" w:eastAsia="宋体" w:cs="Times New Roman"/>
      <w:sz w:val="24"/>
      <w:szCs w:val="24"/>
      <w:lang w:val="zh-CN"/>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unhideWhenUsed/>
    <w:qFormat/>
    <w:uiPriority w:val="99"/>
    <w:rPr>
      <w:sz w:val="21"/>
      <w:szCs w:val="21"/>
    </w:rPr>
  </w:style>
  <w:style w:type="character" w:customStyle="1" w:styleId="31">
    <w:name w:val="页眉 字符"/>
    <w:basedOn w:val="27"/>
    <w:link w:val="17"/>
    <w:qFormat/>
    <w:uiPriority w:val="99"/>
    <w:rPr>
      <w:sz w:val="18"/>
      <w:szCs w:val="18"/>
    </w:rPr>
  </w:style>
  <w:style w:type="character" w:customStyle="1" w:styleId="32">
    <w:name w:val="页脚 字符"/>
    <w:basedOn w:val="27"/>
    <w:link w:val="16"/>
    <w:qFormat/>
    <w:uiPriority w:val="99"/>
    <w:rPr>
      <w:sz w:val="18"/>
      <w:szCs w:val="18"/>
    </w:rPr>
  </w:style>
  <w:style w:type="paragraph" w:styleId="33">
    <w:name w:val="List Paragraph"/>
    <w:basedOn w:val="1"/>
    <w:link w:val="48"/>
    <w:qFormat/>
    <w:uiPriority w:val="34"/>
    <w:pPr>
      <w:ind w:firstLine="420" w:firstLineChars="200"/>
    </w:pPr>
  </w:style>
  <w:style w:type="character" w:customStyle="1" w:styleId="34">
    <w:name w:val="标题 2 字符"/>
    <w:basedOn w:val="27"/>
    <w:link w:val="3"/>
    <w:qFormat/>
    <w:uiPriority w:val="9"/>
    <w:rPr>
      <w:rFonts w:eastAsia="仿宋" w:asciiTheme="majorHAnsi" w:hAnsiTheme="majorHAnsi" w:cstheme="majorBidi"/>
      <w:b/>
      <w:bCs/>
      <w:kern w:val="2"/>
      <w:sz w:val="28"/>
      <w:szCs w:val="32"/>
    </w:rPr>
  </w:style>
  <w:style w:type="paragraph" w:customStyle="1" w:styleId="35">
    <w:name w:val="1册标题3"/>
    <w:basedOn w:val="1"/>
    <w:next w:val="1"/>
    <w:qFormat/>
    <w:uiPriority w:val="0"/>
    <w:pPr>
      <w:spacing w:line="360" w:lineRule="exact"/>
    </w:pPr>
    <w:rPr>
      <w:rFonts w:ascii="宋体" w:hAnsi="宋体" w:eastAsia="宋体" w:cs="Times New Roman"/>
      <w:szCs w:val="21"/>
    </w:rPr>
  </w:style>
  <w:style w:type="character" w:customStyle="1" w:styleId="36">
    <w:name w:val="标题 1 字符"/>
    <w:basedOn w:val="27"/>
    <w:link w:val="2"/>
    <w:qFormat/>
    <w:uiPriority w:val="9"/>
    <w:rPr>
      <w:rFonts w:eastAsia="方正小标宋_GBK"/>
      <w:b/>
      <w:bCs/>
      <w:kern w:val="44"/>
      <w:sz w:val="32"/>
      <w:szCs w:val="44"/>
    </w:rPr>
  </w:style>
  <w:style w:type="character" w:customStyle="1" w:styleId="37">
    <w:name w:val="标题 3 字符"/>
    <w:basedOn w:val="27"/>
    <w:link w:val="4"/>
    <w:qFormat/>
    <w:uiPriority w:val="9"/>
    <w:rPr>
      <w:rFonts w:eastAsia="仿宋"/>
      <w:b/>
      <w:bCs/>
      <w:sz w:val="28"/>
      <w:szCs w:val="32"/>
    </w:rPr>
  </w:style>
  <w:style w:type="character" w:customStyle="1" w:styleId="38">
    <w:name w:val="标题 4 字符"/>
    <w:basedOn w:val="27"/>
    <w:link w:val="5"/>
    <w:semiHidden/>
    <w:qFormat/>
    <w:uiPriority w:val="9"/>
    <w:rPr>
      <w:rFonts w:asciiTheme="majorHAnsi" w:hAnsiTheme="majorHAnsi" w:eastAsiaTheme="majorEastAsia" w:cstheme="majorBidi"/>
      <w:b/>
      <w:bCs/>
      <w:sz w:val="28"/>
      <w:szCs w:val="28"/>
    </w:rPr>
  </w:style>
  <w:style w:type="character" w:customStyle="1" w:styleId="39">
    <w:name w:val="标题 5 字符"/>
    <w:basedOn w:val="27"/>
    <w:link w:val="6"/>
    <w:semiHidden/>
    <w:qFormat/>
    <w:uiPriority w:val="9"/>
    <w:rPr>
      <w:b/>
      <w:bCs/>
      <w:sz w:val="28"/>
      <w:szCs w:val="28"/>
    </w:rPr>
  </w:style>
  <w:style w:type="character" w:customStyle="1" w:styleId="40">
    <w:name w:val="标题 6 字符"/>
    <w:basedOn w:val="27"/>
    <w:link w:val="7"/>
    <w:semiHidden/>
    <w:qFormat/>
    <w:uiPriority w:val="9"/>
    <w:rPr>
      <w:rFonts w:asciiTheme="majorHAnsi" w:hAnsiTheme="majorHAnsi" w:eastAsiaTheme="majorEastAsia" w:cstheme="majorBidi"/>
      <w:b/>
      <w:bCs/>
      <w:sz w:val="24"/>
      <w:szCs w:val="24"/>
    </w:rPr>
  </w:style>
  <w:style w:type="character" w:customStyle="1" w:styleId="41">
    <w:name w:val="标题 7 字符"/>
    <w:basedOn w:val="27"/>
    <w:link w:val="8"/>
    <w:semiHidden/>
    <w:qFormat/>
    <w:uiPriority w:val="9"/>
    <w:rPr>
      <w:b/>
      <w:bCs/>
      <w:sz w:val="24"/>
      <w:szCs w:val="24"/>
    </w:rPr>
  </w:style>
  <w:style w:type="character" w:customStyle="1" w:styleId="42">
    <w:name w:val="标题 8 字符"/>
    <w:basedOn w:val="27"/>
    <w:link w:val="9"/>
    <w:semiHidden/>
    <w:qFormat/>
    <w:uiPriority w:val="9"/>
    <w:rPr>
      <w:rFonts w:asciiTheme="majorHAnsi" w:hAnsiTheme="majorHAnsi" w:eastAsiaTheme="majorEastAsia" w:cstheme="majorBidi"/>
      <w:sz w:val="24"/>
      <w:szCs w:val="24"/>
    </w:rPr>
  </w:style>
  <w:style w:type="character" w:customStyle="1" w:styleId="43">
    <w:name w:val="标题 9 字符"/>
    <w:basedOn w:val="27"/>
    <w:link w:val="10"/>
    <w:semiHidden/>
    <w:qFormat/>
    <w:uiPriority w:val="9"/>
    <w:rPr>
      <w:rFonts w:asciiTheme="majorHAnsi" w:hAnsiTheme="majorHAnsi" w:eastAsiaTheme="majorEastAsia" w:cstheme="majorBidi"/>
      <w:szCs w:val="21"/>
    </w:rPr>
  </w:style>
  <w:style w:type="paragraph" w:customStyle="1" w:styleId="44">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字符"/>
    <w:basedOn w:val="27"/>
    <w:link w:val="15"/>
    <w:semiHidden/>
    <w:qFormat/>
    <w:uiPriority w:val="99"/>
    <w:rPr>
      <w:sz w:val="18"/>
      <w:szCs w:val="18"/>
    </w:rPr>
  </w:style>
  <w:style w:type="character" w:customStyle="1" w:styleId="46">
    <w:name w:val="正文文本缩进 字符"/>
    <w:basedOn w:val="27"/>
    <w:link w:val="13"/>
    <w:semiHidden/>
    <w:qFormat/>
    <w:uiPriority w:val="99"/>
  </w:style>
  <w:style w:type="character" w:customStyle="1" w:styleId="47">
    <w:name w:val="正文文本首行缩进 2 字符"/>
    <w:basedOn w:val="46"/>
    <w:link w:val="24"/>
    <w:qFormat/>
    <w:uiPriority w:val="0"/>
    <w:rPr>
      <w:rFonts w:ascii="Times New Roman" w:hAnsi="Times New Roman" w:eastAsia="宋体" w:cs="Times New Roman"/>
      <w:sz w:val="24"/>
      <w:szCs w:val="24"/>
      <w:lang w:val="zh-CN"/>
    </w:rPr>
  </w:style>
  <w:style w:type="character" w:customStyle="1" w:styleId="48">
    <w:name w:val="列表段落 字符"/>
    <w:link w:val="33"/>
    <w:qFormat/>
    <w:uiPriority w:val="34"/>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正文 Char"/>
    <w:link w:val="51"/>
    <w:qFormat/>
    <w:uiPriority w:val="0"/>
    <w:rPr>
      <w:rFonts w:ascii="time" w:hAnsi="time"/>
      <w:sz w:val="24"/>
      <w:szCs w:val="24"/>
      <w:lang w:bidi="en-US"/>
    </w:rPr>
  </w:style>
  <w:style w:type="paragraph" w:customStyle="1" w:styleId="51">
    <w:name w:val="*正文"/>
    <w:basedOn w:val="1"/>
    <w:link w:val="50"/>
    <w:qFormat/>
    <w:uiPriority w:val="0"/>
    <w:pPr>
      <w:widowControl/>
      <w:spacing w:line="360" w:lineRule="auto"/>
      <w:ind w:firstLine="200" w:firstLineChars="200"/>
      <w:contextualSpacing/>
    </w:pPr>
    <w:rPr>
      <w:rFonts w:ascii="time" w:hAnsi="time"/>
      <w:sz w:val="24"/>
      <w:szCs w:val="24"/>
      <w:lang w:bidi="en-US"/>
    </w:rPr>
  </w:style>
  <w:style w:type="character" w:customStyle="1" w:styleId="52">
    <w:name w:val="批注文字 字符"/>
    <w:basedOn w:val="27"/>
    <w:link w:val="11"/>
    <w:qFormat/>
    <w:uiPriority w:val="99"/>
  </w:style>
  <w:style w:type="character" w:customStyle="1" w:styleId="53">
    <w:name w:val="批注主题 字符"/>
    <w:basedOn w:val="52"/>
    <w:link w:val="22"/>
    <w:semiHidden/>
    <w:qFormat/>
    <w:uiPriority w:val="99"/>
    <w:rPr>
      <w:b/>
      <w:bCs/>
    </w:rPr>
  </w:style>
  <w:style w:type="character" w:customStyle="1" w:styleId="54">
    <w:name w:val="批注文字 字符1"/>
    <w:qFormat/>
    <w:uiPriority w:val="99"/>
    <w:rPr>
      <w:rFonts w:eastAsia="仿宋"/>
      <w:kern w:val="2"/>
      <w:sz w:val="28"/>
      <w:szCs w:val="24"/>
    </w:rPr>
  </w:style>
  <w:style w:type="character" w:customStyle="1" w:styleId="55">
    <w:name w:val="脚注文本 字符"/>
    <w:basedOn w:val="27"/>
    <w:link w:val="19"/>
    <w:qFormat/>
    <w:uiPriority w:val="99"/>
    <w:rPr>
      <w:rFonts w:ascii="Calibri" w:hAnsi="Calibri" w:eastAsia="宋体" w:cs="Times New Roman"/>
      <w:sz w:val="18"/>
      <w:szCs w:val="18"/>
    </w:rPr>
  </w:style>
  <w:style w:type="paragraph" w:customStyle="1" w:styleId="56">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7">
    <w:name w:val="正文文本 字符"/>
    <w:basedOn w:val="27"/>
    <w:link w:val="12"/>
    <w:semiHidden/>
    <w:qFormat/>
    <w:uiPriority w:val="99"/>
  </w:style>
  <w:style w:type="paragraph" w:customStyle="1" w:styleId="58">
    <w:name w:val="正文缩进1"/>
    <w:basedOn w:val="1"/>
    <w:qFormat/>
    <w:uiPriority w:val="0"/>
    <w:pPr>
      <w:ind w:firstLine="420"/>
    </w:pPr>
    <w:rPr>
      <w:rFonts w:ascii="Times New Roman" w:hAnsi="Times New Roman"/>
      <w:szCs w:val="20"/>
    </w:rPr>
  </w:style>
  <w:style w:type="paragraph" w:customStyle="1" w:styleId="5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Table Paragraph"/>
    <w:basedOn w:val="1"/>
    <w:qFormat/>
    <w:uiPriority w:val="0"/>
    <w:pPr>
      <w:autoSpaceDE w:val="0"/>
      <w:autoSpaceDN w:val="0"/>
      <w:jc w:val="left"/>
    </w:pPr>
    <w:rPr>
      <w:rFonts w:ascii="宋体" w:hAnsi="宋体" w:cs="宋体"/>
      <w:kern w:val="0"/>
      <w:sz w:val="22"/>
    </w:rPr>
  </w:style>
  <w:style w:type="paragraph" w:customStyle="1" w:styleId="61">
    <w:name w:val="文档正文"/>
    <w:basedOn w:val="1"/>
    <w:qFormat/>
    <w:uiPriority w:val="0"/>
    <w:pPr>
      <w:adjustRightInd w:val="0"/>
      <w:spacing w:line="480" w:lineRule="atLeast"/>
      <w:ind w:firstLine="567"/>
    </w:pPr>
    <w:rPr>
      <w:rFonts w:ascii="长城仿宋"/>
      <w:kern w:val="0"/>
      <w:sz w:val="24"/>
      <w:szCs w:val="20"/>
      <w:lang w:val="zh-CN"/>
    </w:rPr>
  </w:style>
  <w:style w:type="paragraph" w:customStyle="1" w:styleId="6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6928</Words>
  <Characters>7081</Characters>
  <Lines>62</Lines>
  <Paragraphs>17</Paragraphs>
  <TotalTime>8</TotalTime>
  <ScaleCrop>false</ScaleCrop>
  <LinksUpToDate>false</LinksUpToDate>
  <CharactersWithSpaces>7086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2025-03-28T01:26:00Z</dcterms:created>
  <dc:creator>ntko</dc:creator>
  <cp:lastModifiedBy>张姝雅</cp:lastModifiedBy>
  <cp:lastPrinted>2023-11-29T01:34:00Z</cp:lastPrinted>
  <dcterms:modified xsi:type="dcterms:W3CDTF">2025-05-15T09:56:46Z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F50D15C04B23DE311E3F2568F9ECDE58_43</vt:lpwstr>
  </property>
  <property fmtid="{D5CDD505-2E9C-101B-9397-08002B2CF9AE}" pid="4" name="KSOTemplateDocerSaveRecord">
    <vt:lpwstr>eyJoZGlkIjoiY2VkYzk2NjgyMjZlYTRiMzg0MzQwNGIwOWIyNmU4OGEiLCJ1c2VySWQiOiIxNjg3NjY5MzU1In0=</vt:lpwstr>
  </property>
</Properties>
</file>