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3F634F">
      <w:pPr>
        <w:ind w:firstLine="0" w:firstLineChars="0"/>
        <w:jc w:val="center"/>
        <w:rPr>
          <w:rFonts w:ascii="黑体" w:hAnsi="黑体" w:eastAsia="黑体"/>
          <w:color w:val="auto"/>
          <w:sz w:val="48"/>
          <w:szCs w:val="48"/>
          <w:highlight w:val="none"/>
        </w:rPr>
      </w:pPr>
      <w:bookmarkStart w:id="48" w:name="_GoBack"/>
      <w:bookmarkEnd w:id="48"/>
    </w:p>
    <w:p w14:paraId="0ED17D5B">
      <w:pPr>
        <w:ind w:firstLine="0" w:firstLineChars="0"/>
        <w:jc w:val="center"/>
        <w:rPr>
          <w:rFonts w:ascii="黑体" w:hAnsi="黑体" w:eastAsia="黑体"/>
          <w:color w:val="auto"/>
          <w:sz w:val="48"/>
          <w:szCs w:val="48"/>
          <w:highlight w:val="none"/>
        </w:rPr>
      </w:pPr>
    </w:p>
    <w:p w14:paraId="15C2D39E">
      <w:pPr>
        <w:ind w:firstLine="0" w:firstLineChars="0"/>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上海市卫生健康数据融合（二期）子系统建设项目采购需求</w:t>
      </w:r>
    </w:p>
    <w:p w14:paraId="6E3D19C8">
      <w:pPr>
        <w:ind w:firstLine="0" w:firstLineChars="0"/>
        <w:jc w:val="center"/>
        <w:rPr>
          <w:rFonts w:ascii="黑体" w:hAnsi="黑体" w:eastAsia="黑体"/>
          <w:color w:val="auto"/>
          <w:sz w:val="72"/>
          <w:szCs w:val="72"/>
          <w:highlight w:val="none"/>
        </w:rPr>
      </w:pPr>
      <w:bookmarkStart w:id="0" w:name="_Hlk154588744"/>
    </w:p>
    <w:p w14:paraId="3912EF24">
      <w:pPr>
        <w:ind w:firstLine="0" w:firstLineChars="0"/>
        <w:jc w:val="center"/>
        <w:rPr>
          <w:rFonts w:ascii="黑体" w:hAnsi="黑体" w:eastAsia="黑体"/>
          <w:color w:val="auto"/>
          <w:sz w:val="48"/>
          <w:szCs w:val="48"/>
          <w:highlight w:val="none"/>
        </w:rPr>
      </w:pPr>
    </w:p>
    <w:p w14:paraId="266CF7B2">
      <w:pPr>
        <w:ind w:firstLine="0" w:firstLineChars="0"/>
        <w:jc w:val="center"/>
        <w:rPr>
          <w:rFonts w:ascii="黑体" w:hAnsi="黑体" w:eastAsia="黑体"/>
          <w:color w:val="auto"/>
          <w:sz w:val="52"/>
          <w:szCs w:val="52"/>
          <w:highlight w:val="none"/>
        </w:rPr>
      </w:pPr>
    </w:p>
    <w:p w14:paraId="3D67234F">
      <w:pPr>
        <w:ind w:firstLine="1040"/>
        <w:rPr>
          <w:rFonts w:ascii="黑体" w:hAnsi="黑体" w:eastAsia="黑体"/>
          <w:color w:val="auto"/>
          <w:sz w:val="52"/>
          <w:szCs w:val="52"/>
          <w:highlight w:val="none"/>
        </w:rPr>
      </w:pPr>
    </w:p>
    <w:p w14:paraId="38C257A7">
      <w:pPr>
        <w:rPr>
          <w:color w:val="auto"/>
          <w:highlight w:val="none"/>
        </w:rPr>
      </w:pPr>
    </w:p>
    <w:p w14:paraId="12A9863A">
      <w:pPr>
        <w:rPr>
          <w:color w:val="auto"/>
          <w:highlight w:val="none"/>
        </w:rPr>
      </w:pPr>
    </w:p>
    <w:p w14:paraId="0C8F0969">
      <w:pPr>
        <w:rPr>
          <w:color w:val="auto"/>
          <w:highlight w:val="none"/>
        </w:rPr>
      </w:pPr>
    </w:p>
    <w:p w14:paraId="6668A64F">
      <w:pPr>
        <w:rPr>
          <w:color w:val="auto"/>
          <w:highlight w:val="none"/>
        </w:rPr>
      </w:pPr>
    </w:p>
    <w:bookmarkEnd w:id="0"/>
    <w:p w14:paraId="57C10222">
      <w:pPr>
        <w:ind w:firstLine="640"/>
        <w:jc w:val="center"/>
        <w:rPr>
          <w:rFonts w:ascii="黑体" w:hAnsi="黑体" w:eastAsia="黑体"/>
          <w:color w:val="auto"/>
          <w:sz w:val="32"/>
          <w:szCs w:val="32"/>
          <w:highlight w:val="none"/>
        </w:rPr>
      </w:pPr>
      <w:bookmarkStart w:id="1" w:name="_Hlk154588734"/>
      <w:r>
        <w:rPr>
          <w:rFonts w:hint="eastAsia" w:ascii="黑体" w:hAnsi="黑体" w:eastAsia="黑体"/>
          <w:color w:val="auto"/>
          <w:sz w:val="32"/>
          <w:szCs w:val="32"/>
          <w:highlight w:val="none"/>
        </w:rPr>
        <w:t>上海市大数据中心</w:t>
      </w:r>
    </w:p>
    <w:p w14:paraId="227BBF99">
      <w:pPr>
        <w:ind w:firstLine="640"/>
        <w:jc w:val="center"/>
        <w:rPr>
          <w:rFonts w:ascii="黑体" w:hAnsi="黑体" w:eastAsia="黑体"/>
          <w:color w:val="auto"/>
          <w:sz w:val="32"/>
          <w:szCs w:val="32"/>
          <w:highlight w:val="none"/>
        </w:rPr>
      </w:pPr>
      <w:r>
        <w:rPr>
          <w:rFonts w:ascii="黑体" w:hAnsi="黑体" w:eastAsia="黑体"/>
          <w:color w:val="auto"/>
          <w:sz w:val="32"/>
          <w:szCs w:val="32"/>
          <w:highlight w:val="none"/>
        </w:rPr>
        <w:t>202</w:t>
      </w:r>
      <w:r>
        <w:rPr>
          <w:rFonts w:hint="eastAsia" w:ascii="黑体" w:hAnsi="黑体" w:eastAsia="黑体"/>
          <w:color w:val="auto"/>
          <w:sz w:val="32"/>
          <w:szCs w:val="32"/>
          <w:highlight w:val="none"/>
        </w:rPr>
        <w:t>5年9月</w:t>
      </w:r>
    </w:p>
    <w:bookmarkEnd w:id="1"/>
    <w:p w14:paraId="007223FB">
      <w:pPr>
        <w:ind w:firstLine="1040"/>
        <w:rPr>
          <w:rFonts w:ascii="黑体" w:hAnsi="黑体" w:eastAsia="黑体"/>
          <w:color w:val="auto"/>
          <w:sz w:val="52"/>
          <w:szCs w:val="52"/>
          <w:highlight w:val="none"/>
        </w:rPr>
      </w:pPr>
    </w:p>
    <w:p w14:paraId="35DB0E07">
      <w:pPr>
        <w:jc w:val="center"/>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2FB60513">
      <w:pPr>
        <w:pStyle w:val="2"/>
        <w:rPr>
          <w:color w:val="auto"/>
          <w:highlight w:val="none"/>
        </w:rPr>
      </w:pPr>
      <w:bookmarkStart w:id="2" w:name="_Toc63785461"/>
      <w:r>
        <w:rPr>
          <w:rFonts w:hint="eastAsia"/>
          <w:color w:val="auto"/>
          <w:highlight w:val="none"/>
        </w:rPr>
        <w:t>项目概况</w:t>
      </w:r>
      <w:bookmarkEnd w:id="2"/>
    </w:p>
    <w:p w14:paraId="74ED89BC">
      <w:pPr>
        <w:rPr>
          <w:color w:val="auto"/>
          <w:highlight w:val="none"/>
        </w:rPr>
      </w:pPr>
      <w:r>
        <w:rPr>
          <w:rFonts w:hint="eastAsia"/>
          <w:color w:val="auto"/>
          <w:highlight w:val="none"/>
        </w:rPr>
        <w:t>为贯彻落实市委、市政府对《关于促进本市健康医疗数据合规流通与利用的建议》、市卫生健康委《关于做好本市健康医疗数据合规流通与利用工作的情况报告》上的批示和专题会议要求，实现上海市</w:t>
      </w:r>
      <w:r>
        <w:rPr>
          <w:color w:val="auto"/>
          <w:highlight w:val="none"/>
        </w:rPr>
        <w:t>医疗、医药、医保数据的统一采集对接</w:t>
      </w:r>
      <w:r>
        <w:rPr>
          <w:rFonts w:hint="eastAsia"/>
          <w:color w:val="auto"/>
          <w:highlight w:val="none"/>
        </w:rPr>
        <w:t>，强化卫生健康</w:t>
      </w:r>
      <w:r>
        <w:rPr>
          <w:color w:val="auto"/>
          <w:highlight w:val="none"/>
        </w:rPr>
        <w:t>数据融合利用的统一数据安全保障</w:t>
      </w:r>
      <w:r>
        <w:rPr>
          <w:rFonts w:hint="eastAsia"/>
          <w:color w:val="auto"/>
          <w:highlight w:val="none"/>
        </w:rPr>
        <w:t>，</w:t>
      </w:r>
      <w:r>
        <w:rPr>
          <w:color w:val="auto"/>
          <w:highlight w:val="none"/>
        </w:rPr>
        <w:t>融合</w:t>
      </w:r>
      <w:r>
        <w:rPr>
          <w:rFonts w:hint="eastAsia"/>
          <w:color w:val="auto"/>
          <w:highlight w:val="none"/>
        </w:rPr>
        <w:t>全市</w:t>
      </w:r>
      <w:r>
        <w:rPr>
          <w:color w:val="auto"/>
          <w:highlight w:val="none"/>
        </w:rPr>
        <w:t>卫生健康数据</w:t>
      </w:r>
      <w:r>
        <w:rPr>
          <w:rFonts w:hint="eastAsia"/>
          <w:color w:val="auto"/>
          <w:highlight w:val="none"/>
        </w:rPr>
        <w:t>，</w:t>
      </w:r>
      <w:r>
        <w:rPr>
          <w:color w:val="auto"/>
          <w:highlight w:val="none"/>
        </w:rPr>
        <w:t>全面支撑医疗创新应用</w:t>
      </w:r>
      <w:r>
        <w:rPr>
          <w:rFonts w:hint="eastAsia"/>
          <w:color w:val="auto"/>
          <w:highlight w:val="none"/>
        </w:rPr>
        <w:t>，促进上海市“医保”、“医疗”、“医药”协同发展，推动上海卫生健康事业高质量发展。</w:t>
      </w:r>
    </w:p>
    <w:p w14:paraId="57C9D759">
      <w:pPr>
        <w:rPr>
          <w:rFonts w:hint="default" w:eastAsia="宋体"/>
          <w:color w:val="auto"/>
          <w:highlight w:val="none"/>
          <w:lang w:val="en-US" w:eastAsia="zh-CN"/>
        </w:rPr>
      </w:pPr>
      <w:r>
        <w:rPr>
          <w:rFonts w:hint="eastAsia"/>
          <w:color w:val="auto"/>
          <w:highlight w:val="none"/>
        </w:rPr>
        <w:t>建设期限：</w:t>
      </w:r>
      <w:bookmarkStart w:id="3" w:name="_Hlk154585274"/>
      <w:r>
        <w:rPr>
          <w:rFonts w:hint="eastAsia"/>
          <w:color w:val="auto"/>
          <w:highlight w:val="none"/>
        </w:rPr>
        <w:t>自</w:t>
      </w:r>
      <w:r>
        <w:rPr>
          <w:rFonts w:hint="eastAsia" w:cs="宋体"/>
          <w:color w:val="auto"/>
          <w:highlight w:val="none"/>
        </w:rPr>
        <w:t>合同签订之日起</w:t>
      </w:r>
      <w:bookmarkEnd w:id="3"/>
      <w:r>
        <w:rPr>
          <w:rFonts w:hint="eastAsia" w:cs="宋体"/>
          <w:color w:val="auto"/>
          <w:highlight w:val="none"/>
          <w:lang w:eastAsia="zh-CN"/>
        </w:rPr>
        <w:t>至</w:t>
      </w:r>
      <w:r>
        <w:rPr>
          <w:rFonts w:hint="eastAsia" w:cs="宋体"/>
          <w:color w:val="auto"/>
          <w:highlight w:val="none"/>
        </w:rPr>
        <w:t>2026年11月</w:t>
      </w:r>
      <w:r>
        <w:rPr>
          <w:rFonts w:hint="eastAsia" w:cs="宋体"/>
          <w:color w:val="auto"/>
          <w:highlight w:val="none"/>
          <w:lang w:val="en-US" w:eastAsia="zh-CN"/>
        </w:rPr>
        <w:t>30日</w:t>
      </w:r>
    </w:p>
    <w:p w14:paraId="75575A74">
      <w:pPr>
        <w:rPr>
          <w:color w:val="auto"/>
          <w:highlight w:val="none"/>
        </w:rPr>
      </w:pPr>
      <w:r>
        <w:rPr>
          <w:rFonts w:hint="eastAsia"/>
          <w:color w:val="auto"/>
          <w:highlight w:val="none"/>
        </w:rPr>
        <w:t>建设地点：上海</w:t>
      </w:r>
    </w:p>
    <w:p w14:paraId="33360E46">
      <w:pPr>
        <w:rPr>
          <w:color w:val="auto"/>
          <w:highlight w:val="none"/>
        </w:rPr>
      </w:pPr>
      <w:r>
        <w:rPr>
          <w:rFonts w:hint="eastAsia"/>
          <w:color w:val="auto"/>
          <w:highlight w:val="none"/>
        </w:rPr>
        <w:t>预算金额：44,218,200元</w:t>
      </w:r>
    </w:p>
    <w:p w14:paraId="3BCE7044">
      <w:pPr>
        <w:rPr>
          <w:color w:val="auto"/>
          <w:highlight w:val="none"/>
        </w:rPr>
      </w:pPr>
      <w:r>
        <w:rPr>
          <w:rFonts w:hint="eastAsia"/>
          <w:color w:val="auto"/>
          <w:highlight w:val="none"/>
        </w:rPr>
        <w:t>采购金额（最高限价）：44,218,200元</w:t>
      </w:r>
    </w:p>
    <w:p w14:paraId="79B5BC90">
      <w:pPr>
        <w:rPr>
          <w:color w:val="auto"/>
          <w:highlight w:val="none"/>
        </w:rPr>
      </w:pPr>
      <w:r>
        <w:rPr>
          <w:rFonts w:hint="eastAsia"/>
          <w:color w:val="auto"/>
          <w:highlight w:val="none"/>
        </w:rPr>
        <w:t>组织形式：集中采购</w:t>
      </w:r>
    </w:p>
    <w:p w14:paraId="4C0FD4AD">
      <w:pPr>
        <w:rPr>
          <w:color w:val="auto"/>
          <w:highlight w:val="none"/>
        </w:rPr>
      </w:pPr>
      <w:r>
        <w:rPr>
          <w:rFonts w:hint="eastAsia"/>
          <w:color w:val="auto"/>
          <w:highlight w:val="none"/>
        </w:rPr>
        <w:t>采购方式：公开招标</w:t>
      </w:r>
    </w:p>
    <w:p w14:paraId="165ECE23">
      <w:pPr>
        <w:rPr>
          <w:color w:val="auto"/>
          <w:highlight w:val="none"/>
        </w:rPr>
      </w:pPr>
      <w:r>
        <w:rPr>
          <w:rFonts w:hint="eastAsia"/>
          <w:color w:val="auto"/>
          <w:highlight w:val="none"/>
        </w:rPr>
        <w:t>是否接受联合体投标：否</w:t>
      </w:r>
    </w:p>
    <w:p w14:paraId="4E16CDA9">
      <w:pPr>
        <w:rPr>
          <w:color w:val="auto"/>
          <w:highlight w:val="none"/>
        </w:rPr>
      </w:pPr>
      <w:r>
        <w:rPr>
          <w:color w:val="auto"/>
          <w:highlight w:val="none"/>
        </w:rPr>
        <w:t>是否按</w:t>
      </w:r>
      <w:r>
        <w:rPr>
          <w:rFonts w:hint="eastAsia"/>
          <w:color w:val="auto"/>
          <w:highlight w:val="none"/>
          <w:lang w:eastAsia="zh-CN"/>
        </w:rPr>
        <w:t>XC</w:t>
      </w:r>
      <w:r>
        <w:rPr>
          <w:color w:val="auto"/>
          <w:highlight w:val="none"/>
        </w:rPr>
        <w:t>要求建设：是</w:t>
      </w:r>
    </w:p>
    <w:p w14:paraId="5BDCA808">
      <w:pPr>
        <w:rPr>
          <w:color w:val="auto"/>
          <w:highlight w:val="none"/>
        </w:rPr>
      </w:pPr>
      <w:r>
        <w:rPr>
          <w:rFonts w:hint="eastAsia"/>
          <w:color w:val="auto"/>
          <w:highlight w:val="none"/>
        </w:rPr>
        <w:t>运维后所属大系统：上海市卫生健康数据融合平台</w:t>
      </w:r>
    </w:p>
    <w:p w14:paraId="3B271A5E">
      <w:pPr>
        <w:pStyle w:val="2"/>
        <w:rPr>
          <w:color w:val="auto"/>
          <w:highlight w:val="none"/>
        </w:rPr>
      </w:pPr>
      <w:bookmarkStart w:id="4" w:name="_Toc47536272"/>
      <w:bookmarkEnd w:id="4"/>
      <w:bookmarkStart w:id="5" w:name="_Toc47533256"/>
      <w:bookmarkEnd w:id="5"/>
      <w:bookmarkStart w:id="6" w:name="_Toc47537134"/>
      <w:bookmarkEnd w:id="6"/>
      <w:bookmarkStart w:id="7" w:name="_Toc47532891"/>
      <w:bookmarkEnd w:id="7"/>
      <w:bookmarkStart w:id="8" w:name="_Toc47536644"/>
      <w:bookmarkEnd w:id="8"/>
      <w:bookmarkStart w:id="9" w:name="_Toc47539070"/>
      <w:bookmarkEnd w:id="9"/>
      <w:bookmarkStart w:id="10" w:name="_Toc47531634"/>
      <w:bookmarkEnd w:id="10"/>
      <w:bookmarkStart w:id="11" w:name="_Toc47532255"/>
      <w:bookmarkEnd w:id="11"/>
      <w:bookmarkStart w:id="12" w:name="_Toc48223882"/>
      <w:bookmarkStart w:id="13" w:name="_Toc63785463"/>
      <w:r>
        <w:rPr>
          <w:rFonts w:hint="eastAsia"/>
          <w:color w:val="auto"/>
          <w:highlight w:val="none"/>
        </w:rPr>
        <w:t>建设目标</w:t>
      </w:r>
      <w:bookmarkEnd w:id="12"/>
      <w:bookmarkEnd w:id="13"/>
    </w:p>
    <w:p w14:paraId="662B4B5B">
      <w:pPr>
        <w:rPr>
          <w:color w:val="auto"/>
          <w:highlight w:val="none"/>
        </w:rPr>
      </w:pPr>
      <w:r>
        <w:rPr>
          <w:rFonts w:hint="eastAsia"/>
          <w:color w:val="auto"/>
          <w:highlight w:val="none"/>
        </w:rPr>
        <w:t>上海市卫生健康数据平台以打造“国内数据最为丰富、最有潜力、最具价值的卫生健康数据平台”为目标愿景，聚焦“居民健康信息服务、医疗资源建设、医院运行的管理、医保智慧监管、</w:t>
      </w:r>
      <w:bookmarkStart w:id="14" w:name="OLE_LINK2"/>
      <w:r>
        <w:rPr>
          <w:rFonts w:hint="eastAsia"/>
          <w:color w:val="auto"/>
          <w:highlight w:val="none"/>
        </w:rPr>
        <w:t>医学研究和生物医药研发</w:t>
      </w:r>
      <w:bookmarkEnd w:id="14"/>
      <w:r>
        <w:rPr>
          <w:rFonts w:hint="eastAsia"/>
          <w:color w:val="auto"/>
          <w:highlight w:val="none"/>
        </w:rPr>
        <w:t>、辅助决策”</w:t>
      </w:r>
      <w:r>
        <w:rPr>
          <w:color w:val="auto"/>
          <w:highlight w:val="none"/>
        </w:rPr>
        <w:t>6大应用领域，以“数据归集、数据治理、数据应用”为抓手，为全市居民健康、产业发展、科技进步全面赋能。在卫生健康信息网、申康平台、医保平台的数据应用基础上，以“记录一生、服务一生，无处不在、无时不享”为宗旨，赋能医疗、医药、医保，实现数据归集融合利用。</w:t>
      </w:r>
    </w:p>
    <w:p w14:paraId="25F6DFA4">
      <w:pPr>
        <w:numPr>
          <w:ilvl w:val="0"/>
          <w:numId w:val="52"/>
        </w:numPr>
        <w:ind w:firstLineChars="0"/>
        <w:rPr>
          <w:b/>
          <w:color w:val="auto"/>
          <w:highlight w:val="none"/>
        </w:rPr>
      </w:pPr>
      <w:r>
        <w:rPr>
          <w:rFonts w:hint="eastAsia"/>
          <w:b/>
          <w:color w:val="auto"/>
          <w:highlight w:val="none"/>
        </w:rPr>
        <w:t>应用目标</w:t>
      </w:r>
    </w:p>
    <w:p w14:paraId="0AEE5A8B">
      <w:pPr>
        <w:spacing w:line="560" w:lineRule="exact"/>
        <w:rPr>
          <w:color w:val="auto"/>
          <w:highlight w:val="none"/>
        </w:rPr>
      </w:pPr>
      <w:r>
        <w:rPr>
          <w:rFonts w:hint="eastAsia"/>
          <w:color w:val="auto"/>
          <w:highlight w:val="none"/>
        </w:rPr>
        <w:t>根据调研情况，按照需求领域，拟初步形成在卫生健康数据融合二期实现的场景需求。</w:t>
      </w:r>
    </w:p>
    <w:p w14:paraId="7514304E">
      <w:pPr>
        <w:spacing w:line="560" w:lineRule="exact"/>
        <w:rPr>
          <w:color w:val="auto"/>
          <w:highlight w:val="none"/>
        </w:rPr>
      </w:pPr>
      <w:r>
        <w:rPr>
          <w:rFonts w:hint="eastAsia"/>
          <w:color w:val="auto"/>
          <w:highlight w:val="none"/>
        </w:rPr>
        <w:t>1、</w:t>
      </w:r>
      <w:r>
        <w:rPr>
          <w:color w:val="auto"/>
          <w:highlight w:val="none"/>
        </w:rPr>
        <w:t>居民健康服务</w:t>
      </w:r>
    </w:p>
    <w:p w14:paraId="228E07D0">
      <w:pPr>
        <w:spacing w:line="560" w:lineRule="exact"/>
        <w:rPr>
          <w:color w:val="auto"/>
          <w:highlight w:val="none"/>
        </w:rPr>
      </w:pPr>
      <w:r>
        <w:rPr>
          <w:rFonts w:hint="eastAsia"/>
          <w:color w:val="auto"/>
          <w:highlight w:val="none"/>
        </w:rPr>
        <w:t>在一期建设基础上，融合体检、公卫、居民自主健康管理等数据，通过综合分析，提供个体健康评估，为家庭医生、居民提供全面的健康状态反馈，打造面向家庭医生的居民健康画像；</w:t>
      </w:r>
    </w:p>
    <w:p w14:paraId="3DCE8A8F">
      <w:pPr>
        <w:spacing w:line="560" w:lineRule="exact"/>
        <w:rPr>
          <w:color w:val="auto"/>
          <w:highlight w:val="none"/>
        </w:rPr>
      </w:pPr>
      <w:r>
        <w:rPr>
          <w:rFonts w:hint="eastAsia"/>
          <w:color w:val="auto"/>
          <w:highlight w:val="none"/>
        </w:rPr>
        <w:t>2、</w:t>
      </w:r>
      <w:r>
        <w:rPr>
          <w:color w:val="auto"/>
          <w:highlight w:val="none"/>
        </w:rPr>
        <w:t>辅助决策管理</w:t>
      </w:r>
    </w:p>
    <w:p w14:paraId="37A65B2E">
      <w:pPr>
        <w:spacing w:line="560" w:lineRule="exact"/>
        <w:rPr>
          <w:color w:val="auto"/>
          <w:highlight w:val="none"/>
        </w:rPr>
      </w:pPr>
      <w:r>
        <w:rPr>
          <w:rFonts w:hint="eastAsia"/>
          <w:color w:val="auto"/>
          <w:highlight w:val="none"/>
        </w:rPr>
        <w:t>实现一屏观/领导驾驶舱2.0</w:t>
      </w:r>
      <w:r>
        <w:rPr>
          <w:color w:val="auto"/>
          <w:highlight w:val="none"/>
        </w:rPr>
        <w:t>，掌握全市卫生健康情况。</w:t>
      </w:r>
      <w:r>
        <w:rPr>
          <w:rFonts w:hint="eastAsia"/>
          <w:color w:val="auto"/>
          <w:highlight w:val="none"/>
        </w:rPr>
        <w:t>围绕“全景可视、即时响应、智能决策”三大核心，通过高度集成的可视化大屏，实现对医疗资源、服务流程、医保管理、健康数据等的全方位、多层次监控与分析，助力决策者快速把握“三医”改革动态，精准高效调配资源，优化服务策略，保障民众健康；</w:t>
      </w:r>
    </w:p>
    <w:p w14:paraId="0404B547">
      <w:pPr>
        <w:spacing w:line="560" w:lineRule="exact"/>
        <w:rPr>
          <w:color w:val="auto"/>
          <w:highlight w:val="none"/>
        </w:rPr>
      </w:pPr>
      <w:r>
        <w:rPr>
          <w:rFonts w:hint="eastAsia"/>
          <w:color w:val="auto"/>
          <w:highlight w:val="none"/>
        </w:rPr>
        <w:t>3、医学研究和生物医药研发</w:t>
      </w:r>
    </w:p>
    <w:p w14:paraId="43AB15CC">
      <w:pPr>
        <w:spacing w:line="560" w:lineRule="exact"/>
        <w:rPr>
          <w:color w:val="auto"/>
          <w:highlight w:val="none"/>
        </w:rPr>
      </w:pPr>
      <w:r>
        <w:rPr>
          <w:rFonts w:hint="eastAsia"/>
          <w:color w:val="auto"/>
          <w:highlight w:val="none"/>
        </w:rPr>
        <w:t>基于生成式AI的卫生健康数据探查，凭借智能自然语言交互、自动生成探查报告、自动化流程优化、完善的隐私保护和合规检查机制，以及分级探查架构等优势，确保数据利用符合政策法规要求，提升数据利用效率与质量，保障数据安全合规，推动城市医疗大数据平台的高效价值挖掘。</w:t>
      </w:r>
    </w:p>
    <w:p w14:paraId="15700502">
      <w:pPr>
        <w:spacing w:line="560" w:lineRule="exact"/>
        <w:rPr>
          <w:color w:val="auto"/>
          <w:highlight w:val="none"/>
        </w:rPr>
      </w:pPr>
      <w:r>
        <w:rPr>
          <w:rFonts w:hint="eastAsia"/>
          <w:color w:val="auto"/>
          <w:highlight w:val="none"/>
        </w:rPr>
        <w:t>基于区块链的专病库语料数据上链应用依托上海市大数据中心的区块链基础设施和可信数据空间，构建专病库上链应用，连接主管单位、办医主体、各医院及基础设施服务单位等多个节点，实现专病库资源信息及使用情况的链上发布与存证。同时，结合链下的医企协同研究创新平台和安全可信的数据应用环境，向各科研机构和产业机构提供安全可信的数据产品服务，助力本市卫生健康行业的数据流通与利用，支持上海市生物医药领域的创新发展。</w:t>
      </w:r>
    </w:p>
    <w:p w14:paraId="057CE5A9">
      <w:pPr>
        <w:numPr>
          <w:ilvl w:val="0"/>
          <w:numId w:val="52"/>
        </w:numPr>
        <w:ind w:firstLineChars="0"/>
        <w:rPr>
          <w:b/>
          <w:color w:val="auto"/>
          <w:highlight w:val="none"/>
        </w:rPr>
      </w:pPr>
      <w:bookmarkStart w:id="15" w:name="_Toc9088"/>
      <w:bookmarkStart w:id="16" w:name="_Toc15883"/>
      <w:bookmarkStart w:id="17" w:name="_Toc127041852"/>
      <w:bookmarkStart w:id="18" w:name="_Toc31992"/>
      <w:r>
        <w:rPr>
          <w:rFonts w:hint="eastAsia"/>
          <w:b/>
          <w:color w:val="auto"/>
          <w:highlight w:val="none"/>
        </w:rPr>
        <w:t>绩效目标</w:t>
      </w:r>
      <w:bookmarkEnd w:id="15"/>
      <w:bookmarkEnd w:id="16"/>
      <w:bookmarkEnd w:id="17"/>
      <w:bookmarkEnd w:id="18"/>
    </w:p>
    <w:p w14:paraId="23834642">
      <w:pPr>
        <w:spacing w:line="560" w:lineRule="exact"/>
        <w:rPr>
          <w:color w:val="auto"/>
          <w:highlight w:val="none"/>
        </w:rPr>
      </w:pPr>
      <w:r>
        <w:rPr>
          <w:rFonts w:hint="eastAsia"/>
          <w:color w:val="auto"/>
          <w:highlight w:val="none"/>
        </w:rPr>
        <w:t>通过项目建设，</w:t>
      </w:r>
      <w:r>
        <w:rPr>
          <w:color w:val="auto"/>
          <w:highlight w:val="none"/>
        </w:rPr>
        <w:t>搭建</w:t>
      </w:r>
      <w:r>
        <w:rPr>
          <w:rFonts w:hint="eastAsia"/>
          <w:color w:val="auto"/>
          <w:highlight w:val="none"/>
        </w:rPr>
        <w:t>上海市卫生健康数据平台</w:t>
      </w:r>
      <w:r>
        <w:rPr>
          <w:color w:val="auto"/>
          <w:highlight w:val="none"/>
        </w:rPr>
        <w:t>底座</w:t>
      </w:r>
      <w:r>
        <w:rPr>
          <w:rFonts w:hint="eastAsia"/>
          <w:color w:val="auto"/>
          <w:highlight w:val="none"/>
        </w:rPr>
        <w:t>，</w:t>
      </w:r>
      <w:r>
        <w:rPr>
          <w:color w:val="auto"/>
          <w:highlight w:val="none"/>
        </w:rPr>
        <w:t>实现2018年至2020</w:t>
      </w:r>
      <w:r>
        <w:rPr>
          <w:rFonts w:hint="eastAsia"/>
          <w:color w:val="auto"/>
          <w:highlight w:val="none"/>
        </w:rPr>
        <w:t>年底的健康信息网、申康医联平台、医保平台的历史数据融合治理；实现全市公立医疗机构按照统一标准的数据采集。</w:t>
      </w:r>
    </w:p>
    <w:p w14:paraId="7E2B1ED9">
      <w:pPr>
        <w:spacing w:line="560" w:lineRule="exact"/>
        <w:rPr>
          <w:color w:val="auto"/>
          <w:highlight w:val="none"/>
        </w:rPr>
      </w:pPr>
      <w:r>
        <w:rPr>
          <w:rFonts w:hint="eastAsia"/>
          <w:color w:val="auto"/>
          <w:highlight w:val="none"/>
        </w:rPr>
        <w:t>应用方面，</w:t>
      </w:r>
      <w:r>
        <w:rPr>
          <w:color w:val="auto"/>
          <w:highlight w:val="none"/>
        </w:rPr>
        <w:t>实现</w:t>
      </w:r>
      <w:r>
        <w:rPr>
          <w:rFonts w:hint="eastAsia"/>
          <w:color w:val="auto"/>
          <w:highlight w:val="none"/>
        </w:rPr>
        <w:t>上海市卫生健康一屏观2.0、面向家庭医生的居民健康画像、基于生成式AI的卫生健康数据探查、基于区块链的专病库语料数据上链试点等4个场景应用</w:t>
      </w:r>
      <w:r>
        <w:rPr>
          <w:color w:val="auto"/>
          <w:highlight w:val="none"/>
        </w:rPr>
        <w:t>。</w:t>
      </w:r>
    </w:p>
    <w:p w14:paraId="574B78F8">
      <w:pPr>
        <w:spacing w:line="560" w:lineRule="exact"/>
        <w:rPr>
          <w:color w:val="auto"/>
          <w:highlight w:val="none"/>
        </w:rPr>
      </w:pPr>
      <w:r>
        <w:rPr>
          <w:rFonts w:hint="eastAsia"/>
          <w:color w:val="auto"/>
          <w:highlight w:val="none"/>
        </w:rPr>
        <w:t>在中心现有资源基础上，打造国内领先的卫生健康数据安全底座，形成全面的业务安全和应用安全监管体系，建设全方位、多层级、多维度的数据安全流通保护机制。</w:t>
      </w:r>
    </w:p>
    <w:p w14:paraId="2F09F74A">
      <w:pPr>
        <w:spacing w:line="560" w:lineRule="exact"/>
        <w:rPr>
          <w:color w:val="auto"/>
          <w:highlight w:val="none"/>
        </w:rPr>
      </w:pPr>
      <w:r>
        <w:rPr>
          <w:rFonts w:hint="eastAsia"/>
          <w:color w:val="auto"/>
          <w:highlight w:val="none"/>
        </w:rPr>
        <w:t>具体指标如下：</w:t>
      </w:r>
    </w:p>
    <w:tbl>
      <w:tblPr>
        <w:tblStyle w:val="59"/>
        <w:tblW w:w="0" w:type="auto"/>
        <w:tblInd w:w="98" w:type="dxa"/>
        <w:tblLayout w:type="autofit"/>
        <w:tblCellMar>
          <w:top w:w="0" w:type="dxa"/>
          <w:left w:w="108" w:type="dxa"/>
          <w:bottom w:w="0" w:type="dxa"/>
          <w:right w:w="108" w:type="dxa"/>
        </w:tblCellMar>
      </w:tblPr>
      <w:tblGrid>
        <w:gridCol w:w="538"/>
        <w:gridCol w:w="1096"/>
        <w:gridCol w:w="1096"/>
        <w:gridCol w:w="1880"/>
        <w:gridCol w:w="2403"/>
        <w:gridCol w:w="1417"/>
      </w:tblGrid>
      <w:tr w14:paraId="2BCD0F7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9282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C43A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301B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D13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三级指标</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53D672F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四级指标</w:t>
            </w:r>
          </w:p>
        </w:tc>
        <w:tc>
          <w:tcPr>
            <w:tcW w:w="0" w:type="auto"/>
            <w:tcBorders>
              <w:top w:val="single" w:color="000000" w:sz="4" w:space="0"/>
              <w:left w:val="single" w:color="000000" w:sz="4" w:space="0"/>
              <w:bottom w:val="single" w:color="000000" w:sz="4" w:space="0"/>
              <w:right w:val="nil"/>
            </w:tcBorders>
            <w:shd w:val="clear" w:color="auto" w:fill="auto"/>
            <w:noWrap/>
            <w:vAlign w:val="center"/>
          </w:tcPr>
          <w:p w14:paraId="1FF4053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目标值</w:t>
            </w:r>
          </w:p>
        </w:tc>
      </w:tr>
      <w:tr w14:paraId="5E9DE03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9B0F5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7586D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3F2A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A0F7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2DE11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软件开发完成率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4B7AE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w:t>
            </w:r>
          </w:p>
        </w:tc>
      </w:tr>
      <w:tr w14:paraId="4E77FDE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FDDC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3B3B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A13D4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7BFE7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EE0E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软件产品购置完成率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CE0C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w:t>
            </w:r>
          </w:p>
        </w:tc>
      </w:tr>
      <w:tr w14:paraId="7B5A2FA5">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352ED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88D37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1C35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2891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15DD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一次性验收合格率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340C7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w:t>
            </w:r>
          </w:p>
        </w:tc>
      </w:tr>
      <w:tr w14:paraId="1A63661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877D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E342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4C7FA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87AF4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F0DB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系统可靠性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C9D2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≥99.9%</w:t>
            </w:r>
          </w:p>
        </w:tc>
      </w:tr>
      <w:tr w14:paraId="688EFA4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B5F0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061B6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49A77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49B0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D607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软件测试达标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9051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达标</w:t>
            </w:r>
          </w:p>
        </w:tc>
      </w:tr>
      <w:tr w14:paraId="7481783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33C8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0956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5BFD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6E86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90FBC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密码测试达标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B8A8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达标</w:t>
            </w:r>
          </w:p>
        </w:tc>
      </w:tr>
      <w:tr w14:paraId="0394AE9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9F0D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697E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20E1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AB5B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70EE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安全测试达标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BEB7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达标</w:t>
            </w:r>
          </w:p>
        </w:tc>
      </w:tr>
      <w:tr w14:paraId="68380CE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EC18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CDCD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8B49C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F788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ED38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网络安全等级保护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634F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=三级</w:t>
            </w:r>
          </w:p>
        </w:tc>
      </w:tr>
      <w:tr w14:paraId="76E5BAE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EDAF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DB579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043C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4F46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8D1A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安全事件发生次数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D4DF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=0次</w:t>
            </w:r>
          </w:p>
        </w:tc>
      </w:tr>
      <w:tr w14:paraId="60FEF7B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1D071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9650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825A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8E1E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产出时效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6061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项目建设周期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55534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=12月</w:t>
            </w:r>
          </w:p>
        </w:tc>
      </w:tr>
      <w:tr w14:paraId="0EC4F39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1E6F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2E87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EB5E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9B94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527F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标准化内容支出比例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400D8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w:t>
            </w:r>
          </w:p>
        </w:tc>
      </w:tr>
      <w:tr w14:paraId="375489B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E50E2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39D37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2D322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16B09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用户使用情况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1460F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系统用户量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879F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≥1000人</w:t>
            </w:r>
          </w:p>
        </w:tc>
      </w:tr>
      <w:tr w14:paraId="4A3849B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77AD9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9D38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18A4A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6284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用户使用情况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9B533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月活跃用户量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057FC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≥2000人次</w:t>
            </w:r>
          </w:p>
        </w:tc>
      </w:tr>
      <w:tr w14:paraId="371A8EE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3780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6977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5FAE0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共性平台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84578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系统共享水平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A093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跨部门数据共享程度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416E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≥95%</w:t>
            </w:r>
          </w:p>
        </w:tc>
      </w:tr>
      <w:tr w14:paraId="74FB06D1">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C474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EBF7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616D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共性平台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81D0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数据质量水平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3282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核心数据缺失率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4AA69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w:t>
            </w:r>
          </w:p>
        </w:tc>
      </w:tr>
      <w:tr w14:paraId="1E327E0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E58E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DB2EB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BADF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共性平台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9068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平台整合能力</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4649C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统筹对接系统数量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2660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≥4个</w:t>
            </w:r>
          </w:p>
        </w:tc>
      </w:tr>
      <w:tr w14:paraId="1343594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C231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59DB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F0D7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3F61F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数据服务与数据治理水平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9809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采集数据量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EC5C0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≥100万条/月</w:t>
            </w:r>
          </w:p>
        </w:tc>
      </w:tr>
      <w:tr w14:paraId="2E8A6D0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35554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6AA8C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B976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7B8D5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数据服务与数据治理水平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6068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平均每月治理数据量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854A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≥100万条</w:t>
            </w:r>
          </w:p>
        </w:tc>
      </w:tr>
      <w:tr w14:paraId="7A68DD6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72AB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CF27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D3A6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57187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数据服务与数据治理水平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259C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平均每月数据分析量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F4D8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≥50万条</w:t>
            </w:r>
          </w:p>
        </w:tc>
      </w:tr>
      <w:tr w14:paraId="61FF35B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490E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97F7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7013F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AEAB6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数据服务与数据治理水平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EF87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数据被调用率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5F37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w:t>
            </w:r>
          </w:p>
        </w:tc>
      </w:tr>
      <w:tr w14:paraId="7F596233">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E406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C22A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A06E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6979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数据服务与数据治理水平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1F7D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支撑系统业务数量（个）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1A71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≥5个</w:t>
            </w:r>
          </w:p>
        </w:tc>
      </w:tr>
      <w:tr w14:paraId="3EF90FF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F3F54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4CEC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1F3CF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8851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后台数据存储及交换服务水平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46F0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平均每月数据存储量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FC8E2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≥20GB/月</w:t>
            </w:r>
          </w:p>
        </w:tc>
      </w:tr>
      <w:tr w14:paraId="5F52EEA7">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2BAD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13C7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5B9F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BECB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后台数据存储及交换服务水平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E6BB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平均每月数据交换量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A4057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≥5GB/月</w:t>
            </w:r>
          </w:p>
        </w:tc>
      </w:tr>
      <w:tr w14:paraId="5CBDD7E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4CB7E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F5BE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7620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6073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后台数据存储及交换服务水平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1D0CD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平均每月数据调用量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D7054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≥5GB/月</w:t>
            </w:r>
          </w:p>
        </w:tc>
      </w:tr>
      <w:tr w14:paraId="3AFA26E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D966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12499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469B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安全体系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C9499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安全建设水平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9A54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数据安全措施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F04A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有</w:t>
            </w:r>
          </w:p>
        </w:tc>
      </w:tr>
      <w:tr w14:paraId="5B08D6A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F355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6EBB0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19745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安全体系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576AD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安全建设水平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38BEF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网络安全措施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50F7F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有</w:t>
            </w:r>
          </w:p>
        </w:tc>
      </w:tr>
      <w:tr w14:paraId="63B1BB9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0E4DB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2E17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0C6A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安全体系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9B44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安全建设水平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9686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系统安全措施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CB1B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有</w:t>
            </w:r>
          </w:p>
        </w:tc>
      </w:tr>
      <w:tr w14:paraId="7CB51D6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61A3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1701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F66B0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安全体系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9F61A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安全建设水平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CFC1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信息系统安全监管覆盖率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475E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w:t>
            </w:r>
          </w:p>
        </w:tc>
      </w:tr>
      <w:tr w14:paraId="633F0359">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03B6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5995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通用指标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63D1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安全体系</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DFF7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安全建设水平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D5DE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数据风险监测覆盖率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A3A7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w:t>
            </w:r>
          </w:p>
        </w:tc>
      </w:tr>
      <w:tr w14:paraId="39B78A8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F5B5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F55E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行业指标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E5EA3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医疗卫生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7FC3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FD07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患者人数覆盖率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6B02B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≥80%</w:t>
            </w:r>
          </w:p>
        </w:tc>
      </w:tr>
      <w:tr w14:paraId="0D30572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D830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C080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行业指标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1A94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医疗卫生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994D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0C60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医疗数据上链率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7B0F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≥95%</w:t>
            </w:r>
          </w:p>
        </w:tc>
      </w:tr>
      <w:tr w14:paraId="1006171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5CBA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A1A8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BE6A8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E01D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2B68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形成数据标准数量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8B27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≥5个</w:t>
            </w:r>
          </w:p>
        </w:tc>
      </w:tr>
      <w:tr w14:paraId="09FC9BCF">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7ADC5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15B1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C595E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929F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ECF3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一屏观操作响应时间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1272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≤3秒</w:t>
            </w:r>
          </w:p>
        </w:tc>
      </w:tr>
      <w:tr w14:paraId="7C61121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5809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0EBFD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D4E6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B0EB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EB73E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综合性查询、统计分析等复杂应用响应速度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77618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≤7秒</w:t>
            </w:r>
          </w:p>
        </w:tc>
      </w:tr>
      <w:tr w14:paraId="4BCD104C">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973D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432F5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3505E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34B9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9248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支持同时在线人数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2F9A6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≥2000人</w:t>
            </w:r>
          </w:p>
        </w:tc>
      </w:tr>
      <w:tr w14:paraId="3623C6EB">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D0530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2737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9EC5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F81D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产出质量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E6DC7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支持并发用户数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A5B9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≥300人</w:t>
            </w:r>
          </w:p>
        </w:tc>
      </w:tr>
      <w:tr w14:paraId="08CFB4F2">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DB2D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84E9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9128A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0D9B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E2E4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融合治理历史数据年限跨度范围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955A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2018年至2020年年</w:t>
            </w:r>
          </w:p>
        </w:tc>
      </w:tr>
      <w:tr w14:paraId="3DC1139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5062">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2629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09200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F92E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451AA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覆盖公立医疗机构数量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031FA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≥400家</w:t>
            </w:r>
          </w:p>
        </w:tc>
      </w:tr>
      <w:tr w14:paraId="660101A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6917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38CE5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2123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A1C5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F208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一屏观展示数据指标数量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75DB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≥240个</w:t>
            </w:r>
          </w:p>
        </w:tc>
      </w:tr>
      <w:tr w14:paraId="5A6CFDC6">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C99A7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BF087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74AE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BE27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3C80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一屏观日均使用时间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5348C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≥4小时</w:t>
            </w:r>
          </w:p>
        </w:tc>
      </w:tr>
      <w:tr w14:paraId="2949A76E">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8B3BE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C0B07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256B7">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AE124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D50B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智能交互平均响应时间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9E71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≤3秒</w:t>
            </w:r>
          </w:p>
        </w:tc>
      </w:tr>
      <w:tr w14:paraId="78AC95DD">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30394">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9D36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4D42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092D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6D98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智能探查结果准确率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5F82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≥90%</w:t>
            </w:r>
          </w:p>
        </w:tc>
      </w:tr>
      <w:tr w14:paraId="7E4AB7C8">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F3B8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31C63">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D6BE6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271C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88CA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健康画像全程跟踪的患者指标数量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6ECF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≥100个</w:t>
            </w:r>
          </w:p>
        </w:tc>
      </w:tr>
      <w:tr w14:paraId="7AEA1BB4">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2918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0CAE05">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5C8CAF">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851E1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13F69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构建知识库数量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6297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≥3个</w:t>
            </w:r>
          </w:p>
        </w:tc>
      </w:tr>
      <w:tr w14:paraId="5B4B13D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5A86C">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46002B">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DC199">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5B26F8">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1677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平均每个用户每月使用智能探查次数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21726">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≥20次/月</w:t>
            </w:r>
          </w:p>
        </w:tc>
      </w:tr>
      <w:tr w14:paraId="5D24A2E0">
        <w:tblPrEx>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28F7A">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6961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业务指标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48A51">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4525D">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社会效益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B90B0">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城市医疗数据平均探查时间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97CADE">
            <w:pPr>
              <w:widowControl/>
              <w:spacing w:line="240" w:lineRule="auto"/>
              <w:ind w:firstLine="0" w:firstLineChars="0"/>
              <w:jc w:val="center"/>
              <w:textAlignment w:val="center"/>
              <w:rPr>
                <w:rFonts w:ascii="等线" w:hAnsi="等线" w:eastAsia="等线" w:cs="等线"/>
                <w:b/>
                <w:bCs/>
                <w:color w:val="auto"/>
                <w:sz w:val="22"/>
                <w:szCs w:val="22"/>
                <w:highlight w:val="none"/>
              </w:rPr>
            </w:pPr>
            <w:r>
              <w:rPr>
                <w:rFonts w:hint="eastAsia" w:ascii="等线" w:hAnsi="等线" w:eastAsia="等线" w:cs="等线"/>
                <w:b/>
                <w:bCs/>
                <w:color w:val="auto"/>
                <w:kern w:val="0"/>
                <w:sz w:val="22"/>
                <w:szCs w:val="22"/>
                <w:highlight w:val="none"/>
                <w:lang w:bidi="ar"/>
              </w:rPr>
              <w:t>≤30小时</w:t>
            </w:r>
          </w:p>
        </w:tc>
      </w:tr>
    </w:tbl>
    <w:p w14:paraId="6E09F1BE">
      <w:pPr>
        <w:spacing w:line="560" w:lineRule="exact"/>
        <w:rPr>
          <w:color w:val="auto"/>
          <w:highlight w:val="none"/>
        </w:rPr>
      </w:pPr>
    </w:p>
    <w:p w14:paraId="4EC01AE2">
      <w:pPr>
        <w:pStyle w:val="2"/>
        <w:rPr>
          <w:color w:val="auto"/>
          <w:highlight w:val="none"/>
        </w:rPr>
      </w:pPr>
      <w:bookmarkStart w:id="19" w:name="_Toc47533288"/>
      <w:bookmarkEnd w:id="19"/>
      <w:bookmarkStart w:id="20" w:name="_Toc47536676"/>
      <w:bookmarkEnd w:id="20"/>
      <w:bookmarkStart w:id="21" w:name="_Toc47532923"/>
      <w:bookmarkEnd w:id="21"/>
      <w:bookmarkStart w:id="22" w:name="_Toc47537166"/>
      <w:bookmarkEnd w:id="22"/>
      <w:bookmarkStart w:id="23" w:name="_Toc47539102"/>
      <w:bookmarkEnd w:id="23"/>
      <w:bookmarkStart w:id="24" w:name="_Toc47536304"/>
      <w:bookmarkEnd w:id="24"/>
      <w:r>
        <w:rPr>
          <w:rFonts w:hint="eastAsia"/>
          <w:color w:val="auto"/>
          <w:highlight w:val="none"/>
        </w:rPr>
        <w:t>项目建设内容</w:t>
      </w:r>
    </w:p>
    <w:p w14:paraId="3AD41C74">
      <w:pPr>
        <w:pStyle w:val="3"/>
        <w:rPr>
          <w:color w:val="auto"/>
          <w:highlight w:val="none"/>
        </w:rPr>
      </w:pPr>
      <w:bookmarkStart w:id="25" w:name="_Toc27786"/>
      <w:bookmarkStart w:id="26" w:name="_Toc88323290"/>
      <w:bookmarkStart w:id="27" w:name="_Hlk152595640"/>
      <w:r>
        <w:rPr>
          <w:rFonts w:hint="eastAsia"/>
          <w:color w:val="auto"/>
          <w:highlight w:val="none"/>
        </w:rPr>
        <w:t>项目整体架构</w:t>
      </w:r>
      <w:bookmarkEnd w:id="25"/>
      <w:bookmarkEnd w:id="26"/>
    </w:p>
    <w:bookmarkEnd w:id="27"/>
    <w:p w14:paraId="76546B80">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卫生健康数据融合平台遵循统一数据标准开展设计，面向四大类主体提供应用服务支撑，同时依托数据开放体系和监管体系，促进数据要素流通发展，赋能产业发展。大平台总体建设内容可归纳为</w:t>
      </w:r>
      <w:r>
        <w:rPr>
          <w:rFonts w:ascii="宋体" w:hAnsi="宋体" w:eastAsia="宋体"/>
          <w:color w:val="auto"/>
          <w:sz w:val="24"/>
          <w:szCs w:val="24"/>
          <w:highlight w:val="none"/>
        </w:rPr>
        <w:t xml:space="preserve">4+1+1： </w:t>
      </w:r>
    </w:p>
    <w:p w14:paraId="03D9CB6B">
      <w:pPr>
        <w:pStyle w:val="164"/>
        <w:ind w:firstLine="0" w:firstLineChars="0"/>
        <w:rPr>
          <w:rFonts w:ascii="宋体" w:hAnsi="宋体" w:eastAsia="宋体"/>
          <w:color w:val="auto"/>
          <w:sz w:val="24"/>
          <w:szCs w:val="24"/>
          <w:highlight w:val="none"/>
        </w:rPr>
      </w:pPr>
      <w:r>
        <w:rPr>
          <w:color w:val="auto"/>
          <w:highlight w:val="none"/>
        </w:rPr>
        <w:drawing>
          <wp:inline distT="0" distB="0" distL="114300" distR="114300">
            <wp:extent cx="5271770" cy="2743200"/>
            <wp:effectExtent l="0" t="0" r="1143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stretch>
                      <a:fillRect/>
                    </a:stretch>
                  </pic:blipFill>
                  <pic:spPr>
                    <a:xfrm>
                      <a:off x="0" y="0"/>
                      <a:ext cx="5271770" cy="2743200"/>
                    </a:xfrm>
                    <a:prstGeom prst="rect">
                      <a:avLst/>
                    </a:prstGeom>
                    <a:noFill/>
                    <a:ln>
                      <a:noFill/>
                    </a:ln>
                  </pic:spPr>
                </pic:pic>
              </a:graphicData>
            </a:graphic>
          </wp:inline>
        </w:drawing>
      </w:r>
    </w:p>
    <w:p w14:paraId="1FACF3C8">
      <w:pPr>
        <w:pStyle w:val="164"/>
        <w:ind w:firstLine="480"/>
        <w:rPr>
          <w:rFonts w:ascii="宋体" w:hAnsi="宋体" w:eastAsia="宋体"/>
          <w:color w:val="auto"/>
          <w:sz w:val="24"/>
          <w:szCs w:val="24"/>
          <w:highlight w:val="none"/>
        </w:rPr>
      </w:pPr>
      <w:r>
        <w:rPr>
          <w:rFonts w:ascii="宋体" w:hAnsi="宋体" w:eastAsia="宋体"/>
          <w:color w:val="auto"/>
          <w:sz w:val="24"/>
          <w:szCs w:val="24"/>
          <w:highlight w:val="none"/>
        </w:rPr>
        <w:t>1、四大类应用场景拓展。</w:t>
      </w:r>
    </w:p>
    <w:p w14:paraId="4910F0E2">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大平台将围绕居民服务、企业赋能、医疗管理、政府决策等四个领域开展创新性应用场景建设。</w:t>
      </w:r>
    </w:p>
    <w:p w14:paraId="29F5F4E8">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在居民服务方面，进一步提升本市个性化数字健康服务，打造以人为本的数字健康共同体，一是向居民提供基于诊疗数据的健康评估服务和覆盖体检、康复、中医、免疫、生活行为习惯、家族史和既往史等全要素特征的居民健康画像服务；二是为家庭医生签约居民提供优先号源服务、自主健康管理和精准健康宣教服务；三是向特殊人群提供针对性干预服务，向特殊职业人群提供职业健康监测服务、向妇幼人群提供主动式健康服务。</w:t>
      </w:r>
    </w:p>
    <w:p w14:paraId="5BC123D9">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在企业赋能方面，聚焦贯通生物医药、医疗器械、健康保险等产品的研发、服务和监管全过程，在药械市场需求分析、以真实世界证据支持药物研发与审评、临床试验数据统一管理、人工智能和数字疗法医疗器械的研发和验证、中医特色疗法疗效研究、重大专病保险产品的精算与核保等领域形成一系列开放服务。</w:t>
      </w:r>
    </w:p>
    <w:p w14:paraId="1B89252F">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在医疗管理方面，一是结合国家要求，形成上海市医院运行、医疗服务监管一体化模式，推动医院治理数字化；二是通过医疗机构的业财数据融合，提高医院的经济效益和服务质量，帮助医院更好地适应医改的挑战；三是探索数据反哺模式，鼓励医疗机构生产高质量数据。</w:t>
      </w:r>
    </w:p>
    <w:p w14:paraId="77643E62">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在政府决策层面，一是基于“一张图”底座，形成覆盖本市居民服务、医智增效、决策支持三个领域</w:t>
      </w:r>
      <w:r>
        <w:rPr>
          <w:rFonts w:ascii="宋体" w:hAnsi="宋体" w:eastAsia="宋体"/>
          <w:color w:val="auto"/>
          <w:sz w:val="24"/>
          <w:szCs w:val="24"/>
          <w:highlight w:val="none"/>
        </w:rPr>
        <w:t>300余组核心指标的卫生健康行业管理决策体系，有效感知本市医疗机构的运行状况，科学评估医药卫生体制改革成效，支撑居民健康状况精准统计和预测评价；二是建立远期的流调跟踪人群队列，长期收集数据并分析其与健康状况之间的关系，以揭示疾病的发生和发展规律、探索危险因素和保护因素，以及评估预防措施的效果，提高公卫疾控疾病预防能力；三是全面动态掌握全市医疗机构人员、医疗床位、大型医疗设施设备等运行情况，优化医疗卫生资源布局，构建对医疗</w:t>
      </w:r>
      <w:r>
        <w:rPr>
          <w:rFonts w:hint="eastAsia" w:ascii="宋体" w:hAnsi="宋体" w:eastAsia="宋体"/>
          <w:color w:val="auto"/>
          <w:sz w:val="24"/>
          <w:szCs w:val="24"/>
          <w:highlight w:val="none"/>
        </w:rPr>
        <w:t>、药品、耗材等收入构成及变化趋势的监测。</w:t>
      </w:r>
    </w:p>
    <w:p w14:paraId="5BBA2C49">
      <w:pPr>
        <w:pStyle w:val="164"/>
        <w:ind w:firstLine="480"/>
        <w:rPr>
          <w:rFonts w:ascii="宋体" w:hAnsi="宋体" w:eastAsia="宋体"/>
          <w:color w:val="auto"/>
          <w:sz w:val="24"/>
          <w:szCs w:val="24"/>
          <w:highlight w:val="none"/>
        </w:rPr>
      </w:pPr>
      <w:r>
        <w:rPr>
          <w:rFonts w:ascii="宋体" w:hAnsi="宋体" w:eastAsia="宋体"/>
          <w:color w:val="auto"/>
          <w:sz w:val="24"/>
          <w:szCs w:val="24"/>
          <w:highlight w:val="none"/>
        </w:rPr>
        <w:t>2、一个统一标准的卫生健康数据底座</w:t>
      </w:r>
    </w:p>
    <w:p w14:paraId="1041E1EF">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建设卫生健康数据融合底座，按照统一标准，完成全市</w:t>
      </w:r>
      <w:r>
        <w:rPr>
          <w:rFonts w:ascii="宋体" w:hAnsi="宋体" w:eastAsia="宋体"/>
          <w:color w:val="auto"/>
          <w:sz w:val="24"/>
          <w:szCs w:val="24"/>
          <w:highlight w:val="none"/>
        </w:rPr>
        <w:t>400多家公立医疗机构统一数据采集及上链，一次采集，融合治理、统一管理、多头利用。</w:t>
      </w:r>
    </w:p>
    <w:p w14:paraId="4A855980">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对内能够提升医院数据上报质量及效率，减轻医疗机构数据归集负担，为政府部门决策提供准确、鲜活的数据。</w:t>
      </w:r>
    </w:p>
    <w:p w14:paraId="78C76EDE">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对外能够向研究机构、产业机构提供标准化的、规范化的数据基础，为后续卫生健康数据产业赋能提供有力支撑。</w:t>
      </w:r>
    </w:p>
    <w:p w14:paraId="15F54605">
      <w:pPr>
        <w:pStyle w:val="164"/>
        <w:ind w:firstLine="480"/>
        <w:rPr>
          <w:rFonts w:ascii="宋体" w:hAnsi="宋体" w:eastAsia="宋体"/>
          <w:color w:val="auto"/>
          <w:sz w:val="24"/>
          <w:szCs w:val="24"/>
          <w:highlight w:val="none"/>
        </w:rPr>
      </w:pPr>
      <w:r>
        <w:rPr>
          <w:rFonts w:ascii="宋体" w:hAnsi="宋体" w:eastAsia="宋体"/>
          <w:color w:val="auto"/>
          <w:sz w:val="24"/>
          <w:szCs w:val="24"/>
          <w:highlight w:val="none"/>
        </w:rPr>
        <w:t>3、一套安全的数据全链路监管体系</w:t>
      </w:r>
    </w:p>
    <w:p w14:paraId="7D8BDB98">
      <w:pPr>
        <w:pStyle w:val="164"/>
        <w:ind w:firstLine="480"/>
        <w:rPr>
          <w:rFonts w:ascii="宋体" w:hAnsi="宋体" w:eastAsia="宋体"/>
          <w:color w:val="auto"/>
          <w:sz w:val="24"/>
          <w:szCs w:val="24"/>
          <w:highlight w:val="none"/>
        </w:rPr>
      </w:pPr>
      <w:r>
        <w:rPr>
          <w:rFonts w:hint="eastAsia" w:ascii="宋体" w:hAnsi="宋体" w:eastAsia="宋体"/>
          <w:color w:val="auto"/>
          <w:sz w:val="24"/>
          <w:szCs w:val="24"/>
          <w:highlight w:val="none"/>
        </w:rPr>
        <w:t>构建全面的业务安全和应用安全监管体系，建设全方位、多层级、多维度的数据安全流转保护机制。</w:t>
      </w:r>
    </w:p>
    <w:p w14:paraId="797455BE">
      <w:pPr>
        <w:pStyle w:val="164"/>
        <w:ind w:firstLine="480"/>
        <w:rPr>
          <w:rFonts w:ascii="宋体" w:hAnsi="宋体" w:eastAsia="宋体"/>
          <w:color w:val="auto"/>
          <w:sz w:val="24"/>
          <w:szCs w:val="24"/>
          <w:highlight w:val="none"/>
        </w:rPr>
      </w:pPr>
    </w:p>
    <w:p w14:paraId="7F0A6037">
      <w:pPr>
        <w:pStyle w:val="164"/>
        <w:ind w:firstLine="480"/>
        <w:rPr>
          <w:rFonts w:ascii="宋体" w:hAnsi="宋体" w:eastAsia="宋体"/>
          <w:color w:val="auto"/>
          <w:sz w:val="24"/>
          <w:szCs w:val="24"/>
          <w:highlight w:val="none"/>
        </w:rPr>
      </w:pPr>
    </w:p>
    <w:p w14:paraId="4C1A2A78">
      <w:pPr>
        <w:pStyle w:val="164"/>
        <w:ind w:firstLine="480"/>
        <w:jc w:val="both"/>
        <w:rPr>
          <w:rFonts w:ascii="宋体" w:hAnsi="宋体" w:eastAsia="宋体"/>
          <w:color w:val="auto"/>
          <w:sz w:val="24"/>
          <w:szCs w:val="24"/>
          <w:highlight w:val="none"/>
        </w:rPr>
      </w:pPr>
    </w:p>
    <w:p w14:paraId="22DC2D9D">
      <w:pPr>
        <w:pStyle w:val="3"/>
        <w:rPr>
          <w:color w:val="auto"/>
          <w:highlight w:val="none"/>
        </w:rPr>
      </w:pPr>
      <w:r>
        <w:rPr>
          <w:rFonts w:hint="eastAsia"/>
          <w:color w:val="auto"/>
          <w:highlight w:val="none"/>
        </w:rPr>
        <w:t>项目技术路线</w:t>
      </w:r>
    </w:p>
    <w:p w14:paraId="73CEA8B6">
      <w:pPr>
        <w:rPr>
          <w:color w:val="auto"/>
          <w:highlight w:val="none"/>
        </w:rPr>
      </w:pPr>
      <w:r>
        <w:rPr>
          <w:color w:val="auto"/>
          <w:highlight w:val="none"/>
        </w:rPr>
        <w:t>1</w:t>
      </w:r>
      <w:r>
        <w:rPr>
          <w:rFonts w:hint="eastAsia"/>
          <w:color w:val="auto"/>
          <w:highlight w:val="none"/>
        </w:rPr>
        <w:t>、开发模式：</w:t>
      </w:r>
      <w:r>
        <w:rPr>
          <w:color w:val="auto"/>
          <w:highlight w:val="none"/>
        </w:rPr>
        <w:t>前后端分离</w:t>
      </w:r>
      <w:r>
        <w:rPr>
          <w:rFonts w:hint="eastAsia"/>
          <w:color w:val="auto"/>
          <w:highlight w:val="none"/>
        </w:rPr>
        <w:t>，前后端通过接口方式进行数据交互和通信。</w:t>
      </w:r>
    </w:p>
    <w:p w14:paraId="5A2B55A9">
      <w:pPr>
        <w:rPr>
          <w:color w:val="auto"/>
          <w:highlight w:val="none"/>
        </w:rPr>
      </w:pPr>
      <w:r>
        <w:rPr>
          <w:color w:val="auto"/>
          <w:highlight w:val="none"/>
        </w:rPr>
        <w:t>2</w:t>
      </w:r>
      <w:r>
        <w:rPr>
          <w:rFonts w:hint="eastAsia"/>
          <w:color w:val="auto"/>
          <w:highlight w:val="none"/>
        </w:rPr>
        <w:t>、</w:t>
      </w:r>
      <w:r>
        <w:rPr>
          <w:color w:val="auto"/>
          <w:highlight w:val="none"/>
        </w:rPr>
        <w:t>前端</w:t>
      </w:r>
      <w:r>
        <w:rPr>
          <w:rFonts w:hint="eastAsia"/>
          <w:color w:val="auto"/>
          <w:highlight w:val="none"/>
        </w:rPr>
        <w:t>技术：使用</w:t>
      </w:r>
      <w:r>
        <w:rPr>
          <w:color w:val="auto"/>
          <w:highlight w:val="none"/>
        </w:rPr>
        <w:t>H5</w:t>
      </w:r>
      <w:r>
        <w:rPr>
          <w:rFonts w:hint="eastAsia"/>
          <w:color w:val="auto"/>
          <w:highlight w:val="none"/>
        </w:rPr>
        <w:t>和</w:t>
      </w:r>
      <w:r>
        <w:rPr>
          <w:color w:val="auto"/>
          <w:highlight w:val="none"/>
        </w:rPr>
        <w:t>JavaScrip</w:t>
      </w:r>
      <w:r>
        <w:rPr>
          <w:rFonts w:hint="eastAsia"/>
          <w:color w:val="auto"/>
          <w:highlight w:val="none"/>
        </w:rPr>
        <w:t>t框架</w:t>
      </w:r>
      <w:r>
        <w:rPr>
          <w:color w:val="auto"/>
          <w:highlight w:val="none"/>
        </w:rPr>
        <w:t>开发。</w:t>
      </w:r>
    </w:p>
    <w:p w14:paraId="4B8224DD">
      <w:pPr>
        <w:rPr>
          <w:color w:val="auto"/>
          <w:highlight w:val="none"/>
        </w:rPr>
      </w:pPr>
      <w:r>
        <w:rPr>
          <w:color w:val="auto"/>
          <w:highlight w:val="none"/>
        </w:rPr>
        <w:t>3</w:t>
      </w:r>
      <w:r>
        <w:rPr>
          <w:rFonts w:hint="eastAsia"/>
          <w:color w:val="auto"/>
          <w:highlight w:val="none"/>
        </w:rPr>
        <w:t>、</w:t>
      </w:r>
      <w:r>
        <w:rPr>
          <w:color w:val="auto"/>
          <w:highlight w:val="none"/>
        </w:rPr>
        <w:t>后端</w:t>
      </w:r>
      <w:r>
        <w:rPr>
          <w:rFonts w:hint="eastAsia"/>
          <w:color w:val="auto"/>
          <w:highlight w:val="none"/>
        </w:rPr>
        <w:t>技术：</w:t>
      </w:r>
      <w:r>
        <w:rPr>
          <w:color w:val="auto"/>
          <w:highlight w:val="none"/>
        </w:rPr>
        <w:t>使用</w:t>
      </w:r>
      <w:r>
        <w:rPr>
          <w:rFonts w:hint="eastAsia"/>
          <w:color w:val="auto"/>
          <w:highlight w:val="none"/>
        </w:rPr>
        <w:t>J</w:t>
      </w:r>
      <w:r>
        <w:rPr>
          <w:color w:val="auto"/>
          <w:highlight w:val="none"/>
        </w:rPr>
        <w:t>ava开发，部署在</w:t>
      </w:r>
      <w:r>
        <w:rPr>
          <w:rFonts w:hint="eastAsia"/>
          <w:color w:val="auto"/>
          <w:highlight w:val="none"/>
        </w:rPr>
        <w:t>国产</w:t>
      </w:r>
      <w:r>
        <w:rPr>
          <w:color w:val="auto"/>
          <w:highlight w:val="none"/>
        </w:rPr>
        <w:t>服务</w:t>
      </w:r>
      <w:r>
        <w:rPr>
          <w:rFonts w:hint="eastAsia"/>
          <w:color w:val="auto"/>
          <w:highlight w:val="none"/>
        </w:rPr>
        <w:t>器</w:t>
      </w:r>
      <w:r>
        <w:rPr>
          <w:color w:val="auto"/>
          <w:highlight w:val="none"/>
        </w:rPr>
        <w:t>中，对外提供服务。</w:t>
      </w:r>
    </w:p>
    <w:p w14:paraId="5ACCFE69">
      <w:pPr>
        <w:ind w:firstLineChars="0"/>
        <w:rPr>
          <w:color w:val="auto"/>
          <w:highlight w:val="none"/>
        </w:rPr>
      </w:pPr>
      <w:r>
        <w:rPr>
          <w:color w:val="auto"/>
          <w:highlight w:val="none"/>
        </w:rPr>
        <w:t>4</w:t>
      </w:r>
      <w:r>
        <w:rPr>
          <w:rFonts w:hint="eastAsia"/>
          <w:color w:val="auto"/>
          <w:highlight w:val="none"/>
        </w:rPr>
        <w:t>、数据库：国产</w:t>
      </w:r>
      <w:r>
        <w:rPr>
          <w:rFonts w:hint="eastAsia"/>
          <w:color w:val="auto"/>
          <w:highlight w:val="none"/>
          <w:lang w:eastAsia="zh-CN"/>
        </w:rPr>
        <w:t>XC</w:t>
      </w:r>
      <w:r>
        <w:rPr>
          <w:rFonts w:hint="eastAsia"/>
          <w:color w:val="auto"/>
          <w:highlight w:val="none"/>
        </w:rPr>
        <w:t>数据库。</w:t>
      </w:r>
    </w:p>
    <w:p w14:paraId="0548F0F8">
      <w:pPr>
        <w:ind w:firstLineChars="0"/>
        <w:rPr>
          <w:color w:val="auto"/>
          <w:highlight w:val="none"/>
        </w:rPr>
      </w:pPr>
      <w:r>
        <w:rPr>
          <w:color w:val="auto"/>
          <w:highlight w:val="none"/>
        </w:rPr>
        <w:t>5</w:t>
      </w:r>
      <w:r>
        <w:rPr>
          <w:rFonts w:hint="eastAsia"/>
          <w:color w:val="auto"/>
          <w:highlight w:val="none"/>
        </w:rPr>
        <w:t>、操作系统：国产</w:t>
      </w:r>
      <w:r>
        <w:rPr>
          <w:rFonts w:hint="eastAsia"/>
          <w:color w:val="auto"/>
          <w:highlight w:val="none"/>
          <w:lang w:eastAsia="zh-CN"/>
        </w:rPr>
        <w:t>XC</w:t>
      </w:r>
      <w:r>
        <w:rPr>
          <w:rFonts w:hint="eastAsia"/>
          <w:color w:val="auto"/>
          <w:highlight w:val="none"/>
        </w:rPr>
        <w:t>操作系统。</w:t>
      </w:r>
    </w:p>
    <w:p w14:paraId="5A510002">
      <w:pPr>
        <w:ind w:firstLineChars="0"/>
        <w:rPr>
          <w:color w:val="auto"/>
          <w:highlight w:val="none"/>
        </w:rPr>
      </w:pPr>
      <w:r>
        <w:rPr>
          <w:color w:val="auto"/>
          <w:highlight w:val="none"/>
        </w:rPr>
        <w:t>6</w:t>
      </w:r>
      <w:r>
        <w:rPr>
          <w:rFonts w:hint="eastAsia"/>
          <w:color w:val="auto"/>
          <w:highlight w:val="none"/>
        </w:rPr>
        <w:t>、中间件：国产</w:t>
      </w:r>
      <w:r>
        <w:rPr>
          <w:rFonts w:hint="eastAsia"/>
          <w:color w:val="auto"/>
          <w:highlight w:val="none"/>
          <w:lang w:eastAsia="zh-CN"/>
        </w:rPr>
        <w:t>XC</w:t>
      </w:r>
      <w:r>
        <w:rPr>
          <w:rFonts w:hint="eastAsia"/>
          <w:color w:val="auto"/>
          <w:highlight w:val="none"/>
        </w:rPr>
        <w:t>中间件。</w:t>
      </w:r>
    </w:p>
    <w:p w14:paraId="707A231E">
      <w:pPr>
        <w:ind w:firstLineChars="0"/>
        <w:rPr>
          <w:color w:val="auto"/>
          <w:highlight w:val="none"/>
        </w:rPr>
      </w:pPr>
      <w:r>
        <w:rPr>
          <w:rFonts w:hint="eastAsia"/>
          <w:color w:val="auto"/>
          <w:highlight w:val="none"/>
        </w:rPr>
        <w:t>7、身份认证：支持双因子方式身份鉴别。</w:t>
      </w:r>
    </w:p>
    <w:p w14:paraId="18A2204D">
      <w:pPr>
        <w:ind w:firstLineChars="0"/>
        <w:rPr>
          <w:color w:val="auto"/>
          <w:highlight w:val="none"/>
          <w:lang w:eastAsia="zh-Hans"/>
        </w:rPr>
      </w:pPr>
      <w:r>
        <w:rPr>
          <w:color w:val="auto"/>
          <w:highlight w:val="none"/>
        </w:rPr>
        <w:t>8</w:t>
      </w:r>
      <w:r>
        <w:rPr>
          <w:rFonts w:hint="eastAsia"/>
          <w:color w:val="auto"/>
          <w:highlight w:val="none"/>
        </w:rPr>
        <w:t>、加密技术：</w:t>
      </w:r>
      <w:r>
        <w:rPr>
          <w:rFonts w:hint="eastAsia"/>
          <w:color w:val="auto"/>
          <w:highlight w:val="none"/>
          <w:lang w:eastAsia="zh-Hans"/>
        </w:rPr>
        <w:t>依托上海市政务云的安全认证网关建立基于国密算法的</w:t>
      </w:r>
      <w:r>
        <w:rPr>
          <w:color w:val="auto"/>
          <w:highlight w:val="none"/>
          <w:lang w:eastAsia="zh-Hans"/>
        </w:rPr>
        <w:t>GMSSL安全信道，保护数据传输的</w:t>
      </w:r>
      <w:r>
        <w:rPr>
          <w:rFonts w:hint="eastAsia"/>
          <w:color w:val="auto"/>
          <w:highlight w:val="none"/>
          <w:lang w:eastAsia="zh-Hans"/>
        </w:rPr>
        <w:t>保</w:t>
      </w:r>
      <w:r>
        <w:rPr>
          <w:color w:val="auto"/>
          <w:highlight w:val="none"/>
          <w:lang w:eastAsia="zh-Hans"/>
        </w:rPr>
        <w:t>密性和完整性</w:t>
      </w:r>
      <w:r>
        <w:rPr>
          <w:rFonts w:hint="eastAsia"/>
          <w:color w:val="auto"/>
          <w:highlight w:val="none"/>
          <w:lang w:eastAsia="zh-Hans"/>
        </w:rPr>
        <w:t>。</w:t>
      </w:r>
    </w:p>
    <w:p w14:paraId="1EBDDAC1">
      <w:pPr>
        <w:ind w:firstLineChars="0"/>
        <w:rPr>
          <w:color w:val="auto"/>
          <w:highlight w:val="none"/>
        </w:rPr>
      </w:pPr>
      <w:r>
        <w:rPr>
          <w:color w:val="auto"/>
          <w:highlight w:val="none"/>
        </w:rPr>
        <w:t>9</w:t>
      </w:r>
      <w:r>
        <w:rPr>
          <w:rFonts w:hint="eastAsia"/>
          <w:color w:val="auto"/>
          <w:highlight w:val="none"/>
        </w:rPr>
        <w:t>、安全要求：系统应通过第三方测评机构的软件测试、安全测评和密码应用测评，供应商应配合完成安全相关整改工作。</w:t>
      </w:r>
    </w:p>
    <w:p w14:paraId="747DDB1A">
      <w:pPr>
        <w:pStyle w:val="3"/>
        <w:rPr>
          <w:color w:val="auto"/>
          <w:highlight w:val="none"/>
        </w:rPr>
      </w:pPr>
      <w:r>
        <w:rPr>
          <w:rFonts w:hint="eastAsia"/>
          <w:color w:val="auto"/>
          <w:highlight w:val="none"/>
        </w:rPr>
        <w:t>项目部署环境</w:t>
      </w:r>
    </w:p>
    <w:p w14:paraId="1B4B6F1B">
      <w:pPr>
        <w:rPr>
          <w:color w:val="auto"/>
          <w:highlight w:val="none"/>
        </w:rPr>
      </w:pPr>
      <w:r>
        <w:rPr>
          <w:rFonts w:hint="eastAsia"/>
          <w:color w:val="auto"/>
          <w:highlight w:val="none"/>
        </w:rPr>
        <w:t>本项目全面依托上海市电子政务云建设，包括云服务器、存储、网络等基础设施由市电子政务云统一提供。系统需依据</w:t>
      </w:r>
      <w:r>
        <w:rPr>
          <w:rFonts w:hint="eastAsia"/>
          <w:color w:val="auto"/>
          <w:highlight w:val="none"/>
          <w:lang w:eastAsia="zh-CN"/>
        </w:rPr>
        <w:t>XC</w:t>
      </w:r>
      <w:r>
        <w:rPr>
          <w:rFonts w:hint="eastAsia"/>
          <w:color w:val="auto"/>
          <w:highlight w:val="none"/>
        </w:rPr>
        <w:t>要求实现，按照上海市电子政务云相关管理要求，以及项目安全及密码应用需要完成环境及应用部署。</w:t>
      </w:r>
    </w:p>
    <w:p w14:paraId="79A69770">
      <w:pPr>
        <w:pStyle w:val="3"/>
        <w:rPr>
          <w:rStyle w:val="63"/>
          <w:rFonts w:ascii="Times New Roman" w:hAnsi="Times New Roman" w:eastAsia="仿宋"/>
          <w:color w:val="auto"/>
          <w:highlight w:val="none"/>
        </w:rPr>
      </w:pPr>
      <w:r>
        <w:rPr>
          <w:rFonts w:hint="eastAsia"/>
          <w:color w:val="auto"/>
          <w:highlight w:val="none"/>
        </w:rPr>
        <w:t>数据要求</w:t>
      </w:r>
    </w:p>
    <w:p w14:paraId="127EC3EB">
      <w:pPr>
        <w:rPr>
          <w:color w:val="auto"/>
          <w:highlight w:val="none"/>
        </w:rPr>
      </w:pPr>
      <w:r>
        <w:rPr>
          <w:rFonts w:hint="eastAsia"/>
          <w:color w:val="auto"/>
          <w:highlight w:val="none"/>
        </w:rPr>
        <w:t>1、数据库设计文档中，原则上应包括新增/升级改造的二级功能模块对应的数据库表。</w:t>
      </w:r>
    </w:p>
    <w:p w14:paraId="7EF1710B">
      <w:pPr>
        <w:rPr>
          <w:color w:val="auto"/>
          <w:highlight w:val="none"/>
        </w:rPr>
      </w:pPr>
      <w:r>
        <w:rPr>
          <w:rFonts w:hint="eastAsia"/>
          <w:color w:val="auto"/>
          <w:highlight w:val="none"/>
        </w:rPr>
        <w:t>2、新增/升级改造的业务功能模块涉及的业务对象、业务结果的数据库表应完成数据编目上链。</w:t>
      </w:r>
    </w:p>
    <w:p w14:paraId="68A83C39">
      <w:pPr>
        <w:rPr>
          <w:color w:val="auto"/>
          <w:highlight w:val="none"/>
        </w:rPr>
      </w:pPr>
      <w:r>
        <w:rPr>
          <w:rFonts w:hint="eastAsia"/>
          <w:color w:val="auto"/>
          <w:highlight w:val="none"/>
        </w:rPr>
        <w:t>3、数据目录名称应符合上海市《公共数据上链实施指南》数据资源命名规范。数据目录中的数据项应包含数据库表的核心数据项，其核心数据项应包含业务主体（人、企、事、产品、地址）、主体唯一标识、时间等关键信息。</w:t>
      </w:r>
    </w:p>
    <w:p w14:paraId="7306755A">
      <w:pPr>
        <w:rPr>
          <w:color w:val="auto"/>
          <w:highlight w:val="none"/>
        </w:rPr>
      </w:pPr>
      <w:r>
        <w:rPr>
          <w:rFonts w:hint="eastAsia"/>
          <w:color w:val="auto"/>
          <w:highlight w:val="none"/>
        </w:rPr>
        <w:t>4、配合完成业务数据标准编制，并按照相关管理规则和技术规范完成数据归集。</w:t>
      </w:r>
    </w:p>
    <w:p w14:paraId="62938A6A">
      <w:pPr>
        <w:ind w:firstLine="420"/>
        <w:rPr>
          <w:rStyle w:val="70"/>
          <w:rFonts w:ascii="Times New Roman" w:hAnsi="Times New Roman" w:eastAsia="仿宋"/>
          <w:color w:val="auto"/>
          <w:highlight w:val="none"/>
        </w:rPr>
      </w:pPr>
    </w:p>
    <w:p w14:paraId="37F21F9F">
      <w:pPr>
        <w:pStyle w:val="3"/>
        <w:rPr>
          <w:color w:val="auto"/>
          <w:highlight w:val="none"/>
        </w:rPr>
      </w:pPr>
      <w:r>
        <w:rPr>
          <w:rFonts w:hint="eastAsia"/>
          <w:color w:val="auto"/>
          <w:highlight w:val="none"/>
        </w:rPr>
        <w:t>项目建设内容</w:t>
      </w:r>
    </w:p>
    <w:p w14:paraId="5EB3F52B">
      <w:pPr>
        <w:widowControl/>
        <w:snapToGrid w:val="0"/>
        <w:spacing w:line="440" w:lineRule="exact"/>
        <w:rPr>
          <w:color w:val="auto"/>
          <w:highlight w:val="none"/>
        </w:rPr>
      </w:pPr>
      <w:r>
        <w:rPr>
          <w:rFonts w:hint="eastAsia"/>
          <w:color w:val="auto"/>
          <w:highlight w:val="none"/>
        </w:rPr>
        <w:t>本项目建设内容包括：</w:t>
      </w:r>
    </w:p>
    <w:p w14:paraId="38D16DBB">
      <w:pPr>
        <w:widowControl/>
        <w:snapToGrid w:val="0"/>
        <w:spacing w:line="440" w:lineRule="exact"/>
        <w:rPr>
          <w:color w:val="auto"/>
          <w:highlight w:val="none"/>
        </w:rPr>
      </w:pPr>
      <w:r>
        <w:rPr>
          <w:rFonts w:hint="eastAsia"/>
          <w:color w:val="auto"/>
          <w:highlight w:val="none"/>
        </w:rPr>
        <w:t>（</w:t>
      </w:r>
      <w:r>
        <w:rPr>
          <w:color w:val="auto"/>
          <w:highlight w:val="none"/>
        </w:rPr>
        <w:t>1</w:t>
      </w:r>
      <w:r>
        <w:rPr>
          <w:rFonts w:hint="eastAsia"/>
          <w:color w:val="auto"/>
          <w:highlight w:val="none"/>
        </w:rPr>
        <w:t>）实现</w:t>
      </w:r>
      <w:r>
        <w:rPr>
          <w:color w:val="auto"/>
          <w:highlight w:val="none"/>
        </w:rPr>
        <w:t>2018</w:t>
      </w:r>
      <w:r>
        <w:rPr>
          <w:rFonts w:hint="eastAsia"/>
          <w:color w:val="auto"/>
          <w:highlight w:val="none"/>
        </w:rPr>
        <w:t>年至</w:t>
      </w:r>
      <w:r>
        <w:rPr>
          <w:color w:val="auto"/>
          <w:highlight w:val="none"/>
        </w:rPr>
        <w:t>2020</w:t>
      </w:r>
      <w:r>
        <w:rPr>
          <w:rFonts w:hint="eastAsia"/>
          <w:color w:val="auto"/>
          <w:highlight w:val="none"/>
        </w:rPr>
        <w:t>年底的健康信息网、申康医联平台、医保平台的历史数据融合治理；</w:t>
      </w:r>
    </w:p>
    <w:p w14:paraId="556B631E">
      <w:pPr>
        <w:widowControl/>
        <w:snapToGrid w:val="0"/>
        <w:spacing w:line="440" w:lineRule="exact"/>
        <w:rPr>
          <w:color w:val="auto"/>
          <w:highlight w:val="none"/>
        </w:rPr>
      </w:pPr>
      <w:r>
        <w:rPr>
          <w:rFonts w:hint="eastAsia"/>
          <w:color w:val="auto"/>
          <w:highlight w:val="none"/>
        </w:rPr>
        <w:t>（2）实现全市公立医疗机构按照统一标准的数据采集；</w:t>
      </w:r>
    </w:p>
    <w:p w14:paraId="13C65AFB">
      <w:pPr>
        <w:widowControl/>
        <w:snapToGrid w:val="0"/>
        <w:spacing w:line="440" w:lineRule="exact"/>
        <w:rPr>
          <w:color w:val="auto"/>
          <w:highlight w:val="none"/>
        </w:rPr>
      </w:pPr>
      <w:r>
        <w:rPr>
          <w:rFonts w:hint="eastAsia"/>
          <w:color w:val="auto"/>
          <w:highlight w:val="none"/>
        </w:rPr>
        <w:t>（3）实现上海市卫生健康一屏观2.0、面向家庭医生的居民健康画像、基于生成式AI的卫生健康数据探查、基于区块链的专病库语料数据上链试点等4个场景应用；</w:t>
      </w:r>
    </w:p>
    <w:p w14:paraId="3B9D03EF">
      <w:pPr>
        <w:widowControl/>
        <w:snapToGrid w:val="0"/>
        <w:spacing w:line="440" w:lineRule="exact"/>
        <w:rPr>
          <w:color w:val="auto"/>
          <w:highlight w:val="none"/>
        </w:rPr>
      </w:pPr>
      <w:r>
        <w:rPr>
          <w:rFonts w:hint="eastAsia"/>
          <w:color w:val="auto"/>
          <w:highlight w:val="none"/>
        </w:rPr>
        <w:t>（4）在中心现有资源基础上，打造国内领先的卫生健康数据安全底座，形成全面的业务安全和应用安全监管体系，建设全方位、多层级、多维度的数据安全流通保护机制。</w:t>
      </w:r>
    </w:p>
    <w:p w14:paraId="11ACBCDF">
      <w:pPr>
        <w:pStyle w:val="25"/>
        <w:rPr>
          <w:color w:val="auto"/>
          <w:highlight w:val="none"/>
        </w:rPr>
      </w:pPr>
    </w:p>
    <w:p w14:paraId="2AD670B5">
      <w:pPr>
        <w:ind w:firstLine="482"/>
        <w:rPr>
          <w:b/>
          <w:color w:val="auto"/>
          <w:highlight w:val="none"/>
        </w:rPr>
      </w:pPr>
      <w:r>
        <w:rPr>
          <w:rFonts w:hint="eastAsia"/>
          <w:b/>
          <w:color w:val="auto"/>
          <w:highlight w:val="none"/>
        </w:rPr>
        <w:t>1、软件开发：</w:t>
      </w:r>
    </w:p>
    <w:tbl>
      <w:tblPr>
        <w:tblStyle w:val="5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6"/>
        <w:gridCol w:w="2132"/>
        <w:gridCol w:w="5330"/>
      </w:tblGrid>
      <w:tr w14:paraId="69E3C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000" w:type="pct"/>
            <w:gridSpan w:val="3"/>
            <w:vAlign w:val="center"/>
          </w:tcPr>
          <w:p w14:paraId="7FAEA4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1、平台建设</w:t>
            </w:r>
          </w:p>
        </w:tc>
      </w:tr>
      <w:tr w14:paraId="6F6C9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000" w:type="pct"/>
            <w:gridSpan w:val="3"/>
            <w:vAlign w:val="center"/>
          </w:tcPr>
          <w:p w14:paraId="7ED185B9">
            <w:pPr>
              <w:widowControl/>
              <w:spacing w:line="240" w:lineRule="auto"/>
              <w:ind w:firstLine="420" w:firstLineChars="200"/>
              <w:jc w:val="left"/>
              <w:rPr>
                <w:rFonts w:cs="宋体"/>
                <w:color w:val="auto"/>
                <w:kern w:val="0"/>
                <w:sz w:val="21"/>
                <w:szCs w:val="21"/>
                <w:highlight w:val="none"/>
              </w:rPr>
            </w:pPr>
            <w:r>
              <w:rPr>
                <w:rFonts w:hint="eastAsia" w:cs="宋体"/>
                <w:color w:val="auto"/>
                <w:kern w:val="0"/>
                <w:sz w:val="21"/>
                <w:szCs w:val="21"/>
                <w:highlight w:val="none"/>
              </w:rPr>
              <w:t>开发建设</w:t>
            </w:r>
            <w:r>
              <w:rPr>
                <w:rFonts w:cs="宋体"/>
                <w:color w:val="auto"/>
                <w:kern w:val="0"/>
                <w:sz w:val="21"/>
                <w:szCs w:val="21"/>
                <w:highlight w:val="none"/>
              </w:rPr>
              <w:t>质量可靠、消费便捷、生产安全经济的数据</w:t>
            </w:r>
            <w:r>
              <w:rPr>
                <w:rFonts w:hint="eastAsia" w:cs="宋体"/>
                <w:color w:val="auto"/>
                <w:kern w:val="0"/>
                <w:sz w:val="21"/>
                <w:szCs w:val="21"/>
                <w:highlight w:val="none"/>
              </w:rPr>
              <w:t>平台，</w:t>
            </w:r>
            <w:r>
              <w:rPr>
                <w:rFonts w:cs="宋体"/>
                <w:color w:val="auto"/>
                <w:kern w:val="0"/>
                <w:sz w:val="21"/>
                <w:szCs w:val="21"/>
                <w:highlight w:val="none"/>
              </w:rPr>
              <w:t>提供一站式数据采、建、管、用全生命周期的大数据能力，以显著提升数据治理水平。</w:t>
            </w:r>
            <w:r>
              <w:rPr>
                <w:rFonts w:hint="eastAsia" w:cs="宋体"/>
                <w:color w:val="auto"/>
                <w:kern w:val="0"/>
                <w:sz w:val="21"/>
                <w:szCs w:val="21"/>
                <w:highlight w:val="none"/>
              </w:rPr>
              <w:t>总计共88个功能模块，平台建成后</w:t>
            </w:r>
            <w:r>
              <w:rPr>
                <w:rFonts w:cs="宋体"/>
                <w:color w:val="auto"/>
                <w:kern w:val="0"/>
                <w:sz w:val="21"/>
                <w:szCs w:val="21"/>
                <w:highlight w:val="none"/>
              </w:rPr>
              <w:t>可以屏蔽不同计算与存储环境的差异，帮助用户快速引入数据并规范化地构建数据</w:t>
            </w:r>
            <w:r>
              <w:rPr>
                <w:rFonts w:hint="eastAsia" w:cs="宋体"/>
                <w:color w:val="auto"/>
                <w:kern w:val="0"/>
                <w:sz w:val="21"/>
                <w:szCs w:val="21"/>
                <w:highlight w:val="none"/>
              </w:rPr>
              <w:t>，</w:t>
            </w:r>
            <w:r>
              <w:rPr>
                <w:rFonts w:cs="宋体"/>
                <w:color w:val="auto"/>
                <w:kern w:val="0"/>
                <w:sz w:val="21"/>
                <w:szCs w:val="21"/>
                <w:highlight w:val="none"/>
              </w:rPr>
              <w:t>可以通过规范建模自动开发数据，沉淀业务数据知识、数据资产，治理数据质量问题</w:t>
            </w:r>
            <w:r>
              <w:rPr>
                <w:rFonts w:hint="eastAsia" w:cs="宋体"/>
                <w:color w:val="auto"/>
                <w:kern w:val="0"/>
                <w:sz w:val="21"/>
                <w:szCs w:val="21"/>
                <w:highlight w:val="none"/>
              </w:rPr>
              <w:t>。</w:t>
            </w:r>
          </w:p>
        </w:tc>
      </w:tr>
      <w:tr w14:paraId="67F44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253F8D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序号</w:t>
            </w:r>
          </w:p>
        </w:tc>
        <w:tc>
          <w:tcPr>
            <w:tcW w:w="1250" w:type="pct"/>
            <w:vAlign w:val="center"/>
          </w:tcPr>
          <w:p w14:paraId="4A7F5D6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功能名称</w:t>
            </w:r>
          </w:p>
        </w:tc>
        <w:tc>
          <w:tcPr>
            <w:tcW w:w="3125" w:type="pct"/>
            <w:vAlign w:val="center"/>
          </w:tcPr>
          <w:p w14:paraId="132E07F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功能描述</w:t>
            </w:r>
          </w:p>
        </w:tc>
      </w:tr>
      <w:tr w14:paraId="40877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1F88D4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w:t>
            </w:r>
          </w:p>
        </w:tc>
        <w:tc>
          <w:tcPr>
            <w:tcW w:w="1250" w:type="pct"/>
            <w:vAlign w:val="center"/>
          </w:tcPr>
          <w:p w14:paraId="5750B64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卫生健康数据统一管理_数据交换与集成-离线数据集成</w:t>
            </w:r>
          </w:p>
        </w:tc>
        <w:tc>
          <w:tcPr>
            <w:tcW w:w="3125" w:type="pct"/>
            <w:vAlign w:val="center"/>
          </w:tcPr>
          <w:p w14:paraId="4E6CD72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离线数据集成能够构建的简单高效的数据同步管道，提供具有强大的数据预处理能力、丰富的异构数据源之间数据高速稳定的同步能力。能够简单高效地配置大量数据表的同步任务、能够集成多种异构数据源、能够实现对数据源的数据进行轻度预处理、能够实现数据同步任务的调优（例如容错，限速，并发）等。</w:t>
            </w:r>
          </w:p>
        </w:tc>
      </w:tr>
      <w:tr w14:paraId="59DAB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877CB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1250" w:type="pct"/>
            <w:vAlign w:val="center"/>
          </w:tcPr>
          <w:p w14:paraId="16D0621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卫生健康数据统一管理_数据交换与集成-实时数据集成任务配置</w:t>
            </w:r>
          </w:p>
        </w:tc>
        <w:tc>
          <w:tcPr>
            <w:tcW w:w="3125" w:type="pct"/>
            <w:vAlign w:val="center"/>
          </w:tcPr>
          <w:p w14:paraId="5350B27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支持可视化的方式配置实时集成任务，可配置采集的来源表，并配置目标表。</w:t>
            </w:r>
          </w:p>
        </w:tc>
      </w:tr>
      <w:tr w14:paraId="44493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79CC61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w:t>
            </w:r>
          </w:p>
        </w:tc>
        <w:tc>
          <w:tcPr>
            <w:tcW w:w="1250" w:type="pct"/>
            <w:vAlign w:val="center"/>
          </w:tcPr>
          <w:p w14:paraId="1467D35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卫生健康数据统一管理_数据交换与集成-实时数据集成任务运维</w:t>
            </w:r>
          </w:p>
        </w:tc>
        <w:tc>
          <w:tcPr>
            <w:tcW w:w="3125" w:type="pct"/>
            <w:vAlign w:val="center"/>
          </w:tcPr>
          <w:p w14:paraId="6E22B36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可支持实时集成任务的运维，可查看集成任务的消费延迟、消费点位时间，帮助运维提升效率；支持配置针对业务延迟时间和失败率的监控告警，支持电话、短信、邮件等告警消息渠道的配置，告警渠道需用户自行提供。</w:t>
            </w:r>
          </w:p>
        </w:tc>
      </w:tr>
      <w:tr w14:paraId="4EF8C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899482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w:t>
            </w:r>
          </w:p>
        </w:tc>
        <w:tc>
          <w:tcPr>
            <w:tcW w:w="1250" w:type="pct"/>
            <w:vAlign w:val="center"/>
          </w:tcPr>
          <w:p w14:paraId="3B72D9E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卫生健康数据统一管理_数据交换与集成-实时数据集成来源数据源同步</w:t>
            </w:r>
          </w:p>
        </w:tc>
        <w:tc>
          <w:tcPr>
            <w:tcW w:w="3125" w:type="pct"/>
            <w:vAlign w:val="center"/>
          </w:tcPr>
          <w:p w14:paraId="401DB6C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来源数据源的实时采集及同步功能</w:t>
            </w:r>
          </w:p>
        </w:tc>
      </w:tr>
      <w:tr w14:paraId="37EC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85FF21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w:t>
            </w:r>
          </w:p>
        </w:tc>
        <w:tc>
          <w:tcPr>
            <w:tcW w:w="1250" w:type="pct"/>
            <w:vAlign w:val="center"/>
          </w:tcPr>
          <w:p w14:paraId="53D7157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卫生健康数据统一管理_数据交换与集成-实时数据集成目标数据源同步</w:t>
            </w:r>
          </w:p>
        </w:tc>
        <w:tc>
          <w:tcPr>
            <w:tcW w:w="3125" w:type="pct"/>
            <w:vAlign w:val="center"/>
          </w:tcPr>
          <w:p w14:paraId="7D5EC65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目标数据源的实时采集及同步功能</w:t>
            </w:r>
          </w:p>
        </w:tc>
      </w:tr>
      <w:tr w14:paraId="1D73A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DA971F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w:t>
            </w:r>
          </w:p>
        </w:tc>
        <w:tc>
          <w:tcPr>
            <w:tcW w:w="1250" w:type="pct"/>
            <w:vAlign w:val="center"/>
          </w:tcPr>
          <w:p w14:paraId="6886074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卫生健康数据统一管理_数据交换与集成-任务发布管理</w:t>
            </w:r>
          </w:p>
        </w:tc>
        <w:tc>
          <w:tcPr>
            <w:tcW w:w="3125" w:type="pct"/>
            <w:vAlign w:val="center"/>
          </w:tcPr>
          <w:p w14:paraId="78D1A35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数据权限管控严格的研发流程下，开发者通常会在开发项目内完成任务开发、基础属性和调度属性配置、补数据测试后，提交任务至发布中心，发布成功的任务才能在生产环境生效并调度运行，以实现开发和生产运维的数据隔离，保证资产质量。</w:t>
            </w:r>
          </w:p>
        </w:tc>
      </w:tr>
      <w:tr w14:paraId="20CDF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A1BB20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w:t>
            </w:r>
          </w:p>
        </w:tc>
        <w:tc>
          <w:tcPr>
            <w:tcW w:w="1250" w:type="pct"/>
            <w:vAlign w:val="center"/>
          </w:tcPr>
          <w:p w14:paraId="138A245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卫生健康数据统一管理_数据资产质量控制-质量概况</w:t>
            </w:r>
          </w:p>
        </w:tc>
        <w:tc>
          <w:tcPr>
            <w:tcW w:w="3125" w:type="pct"/>
            <w:vAlign w:val="center"/>
          </w:tcPr>
          <w:p w14:paraId="35A1F2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提供基于质量规则的全局概览，包括规则检验量、异常规则指标及趋势分析等。</w:t>
            </w:r>
          </w:p>
        </w:tc>
      </w:tr>
      <w:tr w14:paraId="125EB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7BB31C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w:t>
            </w:r>
          </w:p>
        </w:tc>
        <w:tc>
          <w:tcPr>
            <w:tcW w:w="1250" w:type="pct"/>
            <w:vAlign w:val="center"/>
          </w:tcPr>
          <w:p w14:paraId="0370C6E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卫生健康数据统一管理_数据资产质量控制-数据表规则-规则范围说明</w:t>
            </w:r>
          </w:p>
        </w:tc>
        <w:tc>
          <w:tcPr>
            <w:tcW w:w="3125" w:type="pct"/>
            <w:vAlign w:val="center"/>
          </w:tcPr>
          <w:p w14:paraId="188A72B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提供基于物理表、维度逻辑表、事实逻辑表和汇总逻辑表的质量规则监控；</w:t>
            </w:r>
          </w:p>
        </w:tc>
      </w:tr>
      <w:tr w14:paraId="7127C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6DFD6E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w:t>
            </w:r>
          </w:p>
        </w:tc>
        <w:tc>
          <w:tcPr>
            <w:tcW w:w="1250" w:type="pct"/>
            <w:vAlign w:val="center"/>
          </w:tcPr>
          <w:p w14:paraId="6443769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卫生健康数据统一管理_数据资产质量控制-数据表规则-质量配置</w:t>
            </w:r>
          </w:p>
        </w:tc>
        <w:tc>
          <w:tcPr>
            <w:tcW w:w="3125" w:type="pct"/>
            <w:vAlign w:val="center"/>
          </w:tcPr>
          <w:p w14:paraId="0B2A4F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质量规则的增加、删除、修改操作；提供模板质量规则、自定义规则两种类型，模板质量规则包含空值率、控制量、重复率、离散率、波动检测等内置规则；自定义规则支持手动编写SQL校验；规则强度分为强规则和弱规则，强规则在表数据生产过程中会进行强制校验，出现异常则终止。</w:t>
            </w:r>
          </w:p>
        </w:tc>
      </w:tr>
      <w:tr w14:paraId="5A738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EF4A32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w:t>
            </w:r>
          </w:p>
        </w:tc>
        <w:tc>
          <w:tcPr>
            <w:tcW w:w="1250" w:type="pct"/>
            <w:vAlign w:val="center"/>
          </w:tcPr>
          <w:p w14:paraId="2A2321D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卫生健康数据统一管理_数据资产质量控制-数据表规则-校验开关机规则试跑</w:t>
            </w:r>
          </w:p>
        </w:tc>
        <w:tc>
          <w:tcPr>
            <w:tcW w:w="3125" w:type="pct"/>
            <w:vAlign w:val="center"/>
          </w:tcPr>
          <w:p w14:paraId="20D65B2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支持配置每个校验规则是够开启；支持单个、批量规则试跑，支持查看试跑规则日志</w:t>
            </w:r>
          </w:p>
        </w:tc>
      </w:tr>
      <w:tr w14:paraId="2F3D4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D379DB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w:t>
            </w:r>
          </w:p>
        </w:tc>
        <w:tc>
          <w:tcPr>
            <w:tcW w:w="1250" w:type="pct"/>
            <w:vAlign w:val="center"/>
          </w:tcPr>
          <w:p w14:paraId="79A9348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卫生健康数据统一管理_数据资产质量控制-数据表规则-告警设置</w:t>
            </w:r>
          </w:p>
        </w:tc>
        <w:tc>
          <w:tcPr>
            <w:tcW w:w="3125" w:type="pct"/>
            <w:vAlign w:val="center"/>
          </w:tcPr>
          <w:p w14:paraId="6B51768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支持对接告警渠道设置</w:t>
            </w:r>
          </w:p>
        </w:tc>
      </w:tr>
      <w:tr w14:paraId="02E4F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E087B0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w:t>
            </w:r>
          </w:p>
        </w:tc>
        <w:tc>
          <w:tcPr>
            <w:tcW w:w="1250" w:type="pct"/>
            <w:vAlign w:val="center"/>
          </w:tcPr>
          <w:p w14:paraId="0664EBE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卫生健康数据统一管理_数据资产质量控制-数据源规则-质量配置</w:t>
            </w:r>
          </w:p>
        </w:tc>
        <w:tc>
          <w:tcPr>
            <w:tcW w:w="3125" w:type="pct"/>
            <w:vAlign w:val="center"/>
          </w:tcPr>
          <w:p w14:paraId="68BBAC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提供质量规则的增加、删除、修改操作；提供基于数据源连通性、表结构异常两种校验规则配置；支持小时调度检测；对资产的质量和表结构变更进行持续监控</w:t>
            </w:r>
          </w:p>
        </w:tc>
      </w:tr>
      <w:tr w14:paraId="0B00A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3EC90B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w:t>
            </w:r>
          </w:p>
        </w:tc>
        <w:tc>
          <w:tcPr>
            <w:tcW w:w="1250" w:type="pct"/>
            <w:vAlign w:val="center"/>
          </w:tcPr>
          <w:p w14:paraId="457860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卫生健康数据统一管理_数据资产质量控制-数据源规则-校验开关机规则试跑</w:t>
            </w:r>
          </w:p>
        </w:tc>
        <w:tc>
          <w:tcPr>
            <w:tcW w:w="3125" w:type="pct"/>
            <w:vAlign w:val="center"/>
          </w:tcPr>
          <w:p w14:paraId="362A2CA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支持配置每个校验规则是够开启；支持单个、批量规则试跑，支持查看试跑规则日志</w:t>
            </w:r>
          </w:p>
        </w:tc>
      </w:tr>
      <w:tr w14:paraId="652D6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373D7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w:t>
            </w:r>
          </w:p>
        </w:tc>
        <w:tc>
          <w:tcPr>
            <w:tcW w:w="1250" w:type="pct"/>
            <w:vAlign w:val="center"/>
          </w:tcPr>
          <w:p w14:paraId="7E0E5DC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卫生健康数据统一管理_数据资产质量控制-数据源规则-告警设置</w:t>
            </w:r>
          </w:p>
        </w:tc>
        <w:tc>
          <w:tcPr>
            <w:tcW w:w="3125" w:type="pct"/>
            <w:vAlign w:val="center"/>
          </w:tcPr>
          <w:p w14:paraId="083144E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支持对接告警渠道设置</w:t>
            </w:r>
          </w:p>
        </w:tc>
      </w:tr>
      <w:tr w14:paraId="030C1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971A16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w:t>
            </w:r>
          </w:p>
        </w:tc>
        <w:tc>
          <w:tcPr>
            <w:tcW w:w="1250" w:type="pct"/>
            <w:vAlign w:val="center"/>
          </w:tcPr>
          <w:p w14:paraId="3748D78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卫生健康数据统一管理_数据资产质量控制-数据源校验记录查阅</w:t>
            </w:r>
          </w:p>
        </w:tc>
        <w:tc>
          <w:tcPr>
            <w:tcW w:w="3125" w:type="pct"/>
            <w:vAlign w:val="center"/>
          </w:tcPr>
          <w:p w14:paraId="00817FA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支持数据源的质量规则校验记录集中查看。</w:t>
            </w:r>
          </w:p>
        </w:tc>
      </w:tr>
      <w:tr w14:paraId="6EEDF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22984E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w:t>
            </w:r>
          </w:p>
        </w:tc>
        <w:tc>
          <w:tcPr>
            <w:tcW w:w="1250" w:type="pct"/>
            <w:vAlign w:val="center"/>
          </w:tcPr>
          <w:p w14:paraId="0DDB6E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卫生健康数据统一管理_数据资产质量控制-数据表校验记录查阅</w:t>
            </w:r>
          </w:p>
        </w:tc>
        <w:tc>
          <w:tcPr>
            <w:tcW w:w="3125" w:type="pct"/>
            <w:vAlign w:val="center"/>
          </w:tcPr>
          <w:p w14:paraId="362971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支持数据表的质量规则校验记录集中查看。</w:t>
            </w:r>
          </w:p>
        </w:tc>
      </w:tr>
      <w:tr w14:paraId="5BC4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AAF45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w:t>
            </w:r>
          </w:p>
        </w:tc>
        <w:tc>
          <w:tcPr>
            <w:tcW w:w="1250" w:type="pct"/>
            <w:vAlign w:val="center"/>
          </w:tcPr>
          <w:p w14:paraId="7113EDB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卫生健康数据统一管理_数据资产质量控制-数据源质量报告</w:t>
            </w:r>
          </w:p>
        </w:tc>
        <w:tc>
          <w:tcPr>
            <w:tcW w:w="3125" w:type="pct"/>
            <w:vAlign w:val="center"/>
          </w:tcPr>
          <w:p w14:paraId="2493F90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自动生成数据源质量报告。</w:t>
            </w:r>
          </w:p>
        </w:tc>
      </w:tr>
      <w:tr w14:paraId="28132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1400BC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w:t>
            </w:r>
          </w:p>
        </w:tc>
        <w:tc>
          <w:tcPr>
            <w:tcW w:w="1250" w:type="pct"/>
            <w:vAlign w:val="center"/>
          </w:tcPr>
          <w:p w14:paraId="610F8BD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卫生健康数据统一管理_数据资产质量控制-数据表质量报告</w:t>
            </w:r>
          </w:p>
        </w:tc>
        <w:tc>
          <w:tcPr>
            <w:tcW w:w="3125" w:type="pct"/>
            <w:vAlign w:val="center"/>
          </w:tcPr>
          <w:p w14:paraId="2C7538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自动生成数据表质量报告。</w:t>
            </w:r>
          </w:p>
        </w:tc>
      </w:tr>
      <w:tr w14:paraId="5D639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14FF9D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w:t>
            </w:r>
          </w:p>
        </w:tc>
        <w:tc>
          <w:tcPr>
            <w:tcW w:w="1250" w:type="pct"/>
            <w:vAlign w:val="center"/>
          </w:tcPr>
          <w:p w14:paraId="743136B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卫生健康数据统一管理_数据资产质量控制-数据质量指标定义</w:t>
            </w:r>
          </w:p>
        </w:tc>
        <w:tc>
          <w:tcPr>
            <w:tcW w:w="3125" w:type="pct"/>
            <w:vAlign w:val="center"/>
          </w:tcPr>
          <w:p w14:paraId="1F0D543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在卫生健康领域，数据质量指标主要包括数据的完整性、准确性、一致性、规范性、唯一性、关联性、及时性。</w:t>
            </w:r>
          </w:p>
        </w:tc>
      </w:tr>
      <w:tr w14:paraId="4ED94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11496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w:t>
            </w:r>
          </w:p>
        </w:tc>
        <w:tc>
          <w:tcPr>
            <w:tcW w:w="1250" w:type="pct"/>
            <w:vAlign w:val="center"/>
          </w:tcPr>
          <w:p w14:paraId="1DCF331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卫生健康数据统一管理_数据资产质量控制-数据质量评估模型-评估范围界定</w:t>
            </w:r>
          </w:p>
        </w:tc>
        <w:tc>
          <w:tcPr>
            <w:tcW w:w="3125" w:type="pct"/>
            <w:vAlign w:val="center"/>
          </w:tcPr>
          <w:p w14:paraId="30E7FC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要定界数据评估的范围或领域，如电子病历数据集、或临床检验数据集等</w:t>
            </w:r>
          </w:p>
        </w:tc>
      </w:tr>
      <w:tr w14:paraId="16C25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1BADA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w:t>
            </w:r>
          </w:p>
        </w:tc>
        <w:tc>
          <w:tcPr>
            <w:tcW w:w="1250" w:type="pct"/>
            <w:vAlign w:val="center"/>
          </w:tcPr>
          <w:p w14:paraId="785B4C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卫生健康数据统一管理_数据资产质量控制-数据质量评估模型-评价指标管理</w:t>
            </w:r>
          </w:p>
        </w:tc>
        <w:tc>
          <w:tcPr>
            <w:tcW w:w="3125" w:type="pct"/>
            <w:vAlign w:val="center"/>
          </w:tcPr>
          <w:p w14:paraId="6183C25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要确定评价指标，以及评价指标所对应的评价规则，包括计算公式、期望值（标准值或分级指标），如电子病历数据集准确性评价规则、完整性评价规则等，每项指标可能对应多条规则</w:t>
            </w:r>
          </w:p>
        </w:tc>
      </w:tr>
      <w:tr w14:paraId="0663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87B360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22</w:t>
            </w:r>
          </w:p>
        </w:tc>
        <w:tc>
          <w:tcPr>
            <w:tcW w:w="1250" w:type="pct"/>
            <w:vAlign w:val="center"/>
          </w:tcPr>
          <w:p w14:paraId="69D4392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卫生健康数据统一管理_数据资产质量控制-数据质量评估模型-规则权重管理</w:t>
            </w:r>
          </w:p>
        </w:tc>
        <w:tc>
          <w:tcPr>
            <w:tcW w:w="3125" w:type="pct"/>
            <w:vAlign w:val="center"/>
          </w:tcPr>
          <w:p w14:paraId="0DA1771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三是要确定每条规则的权重。评价得分由每条规则得分综合而成。</w:t>
            </w:r>
          </w:p>
        </w:tc>
      </w:tr>
      <w:tr w14:paraId="56ABF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43BD5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23</w:t>
            </w:r>
          </w:p>
        </w:tc>
        <w:tc>
          <w:tcPr>
            <w:tcW w:w="1250" w:type="pct"/>
            <w:vAlign w:val="center"/>
          </w:tcPr>
          <w:p w14:paraId="768B2A3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卫生健康数据统一管理_数据资产质量控制-数据质量需求管理-评价范围管理</w:t>
            </w:r>
          </w:p>
        </w:tc>
        <w:tc>
          <w:tcPr>
            <w:tcW w:w="3125" w:type="pct"/>
            <w:vAlign w:val="center"/>
          </w:tcPr>
          <w:p w14:paraId="53E015A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提供范围管理，对数据监测领域及机构组织范围进行限定，明确数据质量评价的范围需求。如所辖区域的电子病历数据、医疗协同数据等；</w:t>
            </w:r>
          </w:p>
        </w:tc>
      </w:tr>
      <w:tr w14:paraId="76873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EC4D86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24</w:t>
            </w:r>
          </w:p>
        </w:tc>
        <w:tc>
          <w:tcPr>
            <w:tcW w:w="1250" w:type="pct"/>
            <w:vAlign w:val="center"/>
          </w:tcPr>
          <w:p w14:paraId="00AE4C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卫生健康数据统一管理_数据资产质量控制-数据质量需求管理-评价指标管理</w:t>
            </w:r>
          </w:p>
        </w:tc>
        <w:tc>
          <w:tcPr>
            <w:tcW w:w="3125" w:type="pct"/>
            <w:vAlign w:val="center"/>
          </w:tcPr>
          <w:p w14:paraId="39C5DB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应能进行数据质量的评价指标的设定，明确评价的质量不同维度指标，包括数据的完整性、准确性、一致性、规范性、唯一性、关联性、及时性等；</w:t>
            </w:r>
          </w:p>
        </w:tc>
      </w:tr>
      <w:tr w14:paraId="7C1F7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CB9C24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25</w:t>
            </w:r>
          </w:p>
        </w:tc>
        <w:tc>
          <w:tcPr>
            <w:tcW w:w="1250" w:type="pct"/>
            <w:vAlign w:val="center"/>
          </w:tcPr>
          <w:p w14:paraId="3D5E147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卫生健康数据统一管理_数据资产质量控制-数据质量需求管理-评价规则管理</w:t>
            </w:r>
          </w:p>
        </w:tc>
        <w:tc>
          <w:tcPr>
            <w:tcW w:w="3125" w:type="pct"/>
            <w:vAlign w:val="center"/>
          </w:tcPr>
          <w:p w14:paraId="5D435BA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应能对质量评价指标的评价规则进行设定，对每一项数据质量指标，设定评价规则或数学模型、计算公式等。采集规则所对应的参数应能通过采集获取</w:t>
            </w:r>
          </w:p>
        </w:tc>
      </w:tr>
      <w:tr w14:paraId="54B30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D2EBA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26</w:t>
            </w:r>
          </w:p>
        </w:tc>
        <w:tc>
          <w:tcPr>
            <w:tcW w:w="1250" w:type="pct"/>
            <w:vAlign w:val="center"/>
          </w:tcPr>
          <w:p w14:paraId="64C7E1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卫生健康数据统一管理_数据资产质量控制-数据质量检查监测-质控点设定</w:t>
            </w:r>
          </w:p>
        </w:tc>
        <w:tc>
          <w:tcPr>
            <w:tcW w:w="3125" w:type="pct"/>
            <w:vAlign w:val="center"/>
          </w:tcPr>
          <w:p w14:paraId="6315C1A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对数据质控监测点进行设定，依据设定监测采集质量数据；</w:t>
            </w:r>
          </w:p>
        </w:tc>
      </w:tr>
      <w:tr w14:paraId="3BB25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27D6C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27</w:t>
            </w:r>
          </w:p>
        </w:tc>
        <w:tc>
          <w:tcPr>
            <w:tcW w:w="1250" w:type="pct"/>
            <w:vAlign w:val="center"/>
          </w:tcPr>
          <w:p w14:paraId="50C586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卫生健康数据统一管理_数据资产质量控制-数据质量检查监测-质控任务设定</w:t>
            </w:r>
          </w:p>
        </w:tc>
        <w:tc>
          <w:tcPr>
            <w:tcW w:w="3125" w:type="pct"/>
            <w:vAlign w:val="center"/>
          </w:tcPr>
          <w:p w14:paraId="44BDAD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应能对数据监控任务计划进行设定；包括质量参数的采集时间、频次、流程；应用依据数据监控计划执行质量参数的采集。</w:t>
            </w:r>
          </w:p>
        </w:tc>
      </w:tr>
      <w:tr w14:paraId="0A80F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3D4D3B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28</w:t>
            </w:r>
          </w:p>
        </w:tc>
        <w:tc>
          <w:tcPr>
            <w:tcW w:w="1250" w:type="pct"/>
            <w:vAlign w:val="center"/>
          </w:tcPr>
          <w:p w14:paraId="56CA44F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卫生健康数据统一管理_数据资产质量控制-数据质量分析评价-数据质量动态展示</w:t>
            </w:r>
          </w:p>
        </w:tc>
        <w:tc>
          <w:tcPr>
            <w:tcW w:w="3125" w:type="pct"/>
            <w:vAlign w:val="center"/>
          </w:tcPr>
          <w:p w14:paraId="28C4370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动态展示数据质量。据每项指标定义的评价规则对数据质量进行分析和评价，给出分析质量问题、结出评价结果；</w:t>
            </w:r>
          </w:p>
        </w:tc>
      </w:tr>
      <w:tr w14:paraId="56EE3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14DF69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29</w:t>
            </w:r>
          </w:p>
        </w:tc>
        <w:tc>
          <w:tcPr>
            <w:tcW w:w="1250" w:type="pct"/>
            <w:vAlign w:val="center"/>
          </w:tcPr>
          <w:p w14:paraId="76F9AE8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卫生健康数据统一管理_数据资产质量控制-数据质量分析评价-基于时间周期的质量分析报告</w:t>
            </w:r>
          </w:p>
        </w:tc>
        <w:tc>
          <w:tcPr>
            <w:tcW w:w="3125" w:type="pct"/>
            <w:vAlign w:val="center"/>
          </w:tcPr>
          <w:p w14:paraId="63A89F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应能提供依时间周期提供适合的数据质量分析报告，并通过数据接口传递质量报告或导出可视的报告文档。动态数据质量及报告样式可通过可视化管理结出不同样式</w:t>
            </w:r>
          </w:p>
        </w:tc>
      </w:tr>
      <w:tr w14:paraId="0EC21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C3E04C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30</w:t>
            </w:r>
          </w:p>
        </w:tc>
        <w:tc>
          <w:tcPr>
            <w:tcW w:w="1250" w:type="pct"/>
            <w:vAlign w:val="center"/>
          </w:tcPr>
          <w:p w14:paraId="424A9B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卫生健康数据统一管理_数据资产安全管理-数据分类分级</w:t>
            </w:r>
          </w:p>
        </w:tc>
        <w:tc>
          <w:tcPr>
            <w:tcW w:w="3125" w:type="pct"/>
            <w:vAlign w:val="center"/>
          </w:tcPr>
          <w:p w14:paraId="432F75A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支持对数据的分类分级进行管理，内置了常用的个人信息数据分类，同时支持客户自定义企业的数据分类分级标准。</w:t>
            </w:r>
            <w:r>
              <w:rPr>
                <w:rFonts w:hint="eastAsia" w:cs="宋体"/>
                <w:color w:val="auto"/>
                <w:kern w:val="0"/>
                <w:sz w:val="21"/>
                <w:szCs w:val="21"/>
                <w:highlight w:val="none"/>
              </w:rPr>
              <w:br w:type="textWrapping"/>
            </w:r>
            <w:r>
              <w:rPr>
                <w:rFonts w:hint="eastAsia" w:cs="宋体"/>
                <w:color w:val="auto"/>
                <w:kern w:val="0"/>
                <w:sz w:val="21"/>
                <w:szCs w:val="21"/>
                <w:highlight w:val="none"/>
              </w:rPr>
              <w:t>支持多级的数据分类层级管理，同时支持内置识别特征和识别方式，便于后续自动进行敏感数据识别。</w:t>
            </w:r>
            <w:r>
              <w:rPr>
                <w:rFonts w:hint="eastAsia" w:cs="宋体"/>
                <w:color w:val="auto"/>
                <w:kern w:val="0"/>
                <w:sz w:val="21"/>
                <w:szCs w:val="21"/>
                <w:highlight w:val="none"/>
              </w:rPr>
              <w:br w:type="textWrapping"/>
            </w:r>
            <w:r>
              <w:rPr>
                <w:rFonts w:hint="eastAsia" w:cs="宋体"/>
                <w:color w:val="auto"/>
                <w:kern w:val="0"/>
                <w:sz w:val="21"/>
                <w:szCs w:val="21"/>
                <w:highlight w:val="none"/>
              </w:rPr>
              <w:t>数据分级可以在后续的数据脱敏保护、权限申请、权限下载等环节使用，支持按照不同的数据分级使用不同的管控策略。</w:t>
            </w:r>
          </w:p>
        </w:tc>
      </w:tr>
      <w:tr w14:paraId="1BEE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63AD9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31</w:t>
            </w:r>
          </w:p>
        </w:tc>
        <w:tc>
          <w:tcPr>
            <w:tcW w:w="1250" w:type="pct"/>
            <w:vAlign w:val="center"/>
          </w:tcPr>
          <w:p w14:paraId="5AAB9C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卫生健康数据统一管理_数据资产安全管理-敏感数据识别</w:t>
            </w:r>
          </w:p>
        </w:tc>
        <w:tc>
          <w:tcPr>
            <w:tcW w:w="3125" w:type="pct"/>
            <w:vAlign w:val="center"/>
          </w:tcPr>
          <w:p w14:paraId="0499D0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支持通过自动识别和手动打标两种方式来生成敏感数据清单。</w:t>
            </w:r>
          </w:p>
        </w:tc>
      </w:tr>
      <w:tr w14:paraId="3B13A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F7A71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32</w:t>
            </w:r>
          </w:p>
        </w:tc>
        <w:tc>
          <w:tcPr>
            <w:tcW w:w="1250" w:type="pct"/>
            <w:vAlign w:val="center"/>
          </w:tcPr>
          <w:p w14:paraId="377199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卫生健康数据统一管理_数据资产安全管理-敏感数据保护</w:t>
            </w:r>
          </w:p>
        </w:tc>
        <w:tc>
          <w:tcPr>
            <w:tcW w:w="3125" w:type="pct"/>
            <w:vAlign w:val="center"/>
          </w:tcPr>
          <w:p w14:paraId="1C27B9E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在识别出敏感数据之后，支持对敏感数据进行脱敏保护。主要包括敏感数据查询脱敏、生产环境敏感数据写入开发环境脱敏、敏感数据的数据集成加解密。</w:t>
            </w:r>
          </w:p>
        </w:tc>
      </w:tr>
      <w:tr w14:paraId="043A3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B5BF13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33</w:t>
            </w:r>
          </w:p>
        </w:tc>
        <w:tc>
          <w:tcPr>
            <w:tcW w:w="1250" w:type="pct"/>
            <w:vAlign w:val="center"/>
          </w:tcPr>
          <w:p w14:paraId="1141D1A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卫生健康数据统一管理_数据资产安全管理-结合权限体系</w:t>
            </w:r>
          </w:p>
        </w:tc>
        <w:tc>
          <w:tcPr>
            <w:tcW w:w="3125" w:type="pct"/>
            <w:vAlign w:val="center"/>
          </w:tcPr>
          <w:p w14:paraId="2513D0B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结合权限管控体系，进一步提升敏感数据的保护效果。包括数据权限申请、数据权限审计、权限审批策略等相关功能。</w:t>
            </w:r>
          </w:p>
        </w:tc>
      </w:tr>
      <w:tr w14:paraId="751FE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8D946D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34</w:t>
            </w:r>
          </w:p>
        </w:tc>
        <w:tc>
          <w:tcPr>
            <w:tcW w:w="1250" w:type="pct"/>
            <w:vAlign w:val="center"/>
          </w:tcPr>
          <w:p w14:paraId="527FC3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卫生健康数据统一管理_数据标准规范管理-创建标准集</w:t>
            </w:r>
          </w:p>
        </w:tc>
        <w:tc>
          <w:tcPr>
            <w:tcW w:w="3125" w:type="pct"/>
            <w:vAlign w:val="center"/>
          </w:tcPr>
          <w:p w14:paraId="0A68E4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支持根据自身业务情况，创建不同类型的标准集，如业务数据标准集、指标数据标准集、基础数据标准集等</w:t>
            </w:r>
          </w:p>
        </w:tc>
      </w:tr>
      <w:tr w14:paraId="5EC75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2E230C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35</w:t>
            </w:r>
          </w:p>
        </w:tc>
        <w:tc>
          <w:tcPr>
            <w:tcW w:w="1250" w:type="pct"/>
            <w:vAlign w:val="center"/>
          </w:tcPr>
          <w:p w14:paraId="1A77149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卫生健康数据统一管理_数据标准规范管理-设置标准集负责人及成员</w:t>
            </w:r>
          </w:p>
        </w:tc>
        <w:tc>
          <w:tcPr>
            <w:tcW w:w="3125" w:type="pct"/>
            <w:vAlign w:val="center"/>
          </w:tcPr>
          <w:p w14:paraId="655DE9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支持设置标准集负责人及成员（支持按照用户、用户组粒度选择，跟随用户组成员变动自动更新成员列表），支持对标准集进行多级目录管理（最多5级）</w:t>
            </w:r>
          </w:p>
        </w:tc>
      </w:tr>
      <w:tr w14:paraId="36AA6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0FB38A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36</w:t>
            </w:r>
          </w:p>
        </w:tc>
        <w:tc>
          <w:tcPr>
            <w:tcW w:w="1250" w:type="pct"/>
            <w:vAlign w:val="center"/>
          </w:tcPr>
          <w:p w14:paraId="60B8A80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卫生健康数据统一管理_数据标准规范管理-可见范围设定</w:t>
            </w:r>
          </w:p>
        </w:tc>
        <w:tc>
          <w:tcPr>
            <w:tcW w:w="3125" w:type="pct"/>
            <w:vAlign w:val="center"/>
          </w:tcPr>
          <w:p w14:paraId="27139E3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支持自定义标准集下的数据标准的可见范围，包括公开（全员可见已发布的）、私有（仅成员和维护人员可见）、成员+指定人（指定人可见已发布的），以满足灵活的标准查看权限管控。</w:t>
            </w:r>
          </w:p>
        </w:tc>
      </w:tr>
      <w:tr w14:paraId="1B160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25ADF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37</w:t>
            </w:r>
          </w:p>
        </w:tc>
        <w:tc>
          <w:tcPr>
            <w:tcW w:w="1250" w:type="pct"/>
            <w:vAlign w:val="center"/>
          </w:tcPr>
          <w:p w14:paraId="3331BF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卫生健康数据统一管理_数据标准规范管理-审批模板配置</w:t>
            </w:r>
          </w:p>
        </w:tc>
        <w:tc>
          <w:tcPr>
            <w:tcW w:w="3125" w:type="pct"/>
            <w:vAlign w:val="center"/>
          </w:tcPr>
          <w:p w14:paraId="1688D9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支持自定义基于该标准集创建的数据标准对应的审批模板</w:t>
            </w:r>
          </w:p>
        </w:tc>
      </w:tr>
      <w:tr w14:paraId="19B88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6839A5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38</w:t>
            </w:r>
          </w:p>
        </w:tc>
        <w:tc>
          <w:tcPr>
            <w:tcW w:w="1250" w:type="pct"/>
            <w:vAlign w:val="center"/>
          </w:tcPr>
          <w:p w14:paraId="71C453F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卫生健康数据统一管理_数据标准规范管理-批量导入配置</w:t>
            </w:r>
          </w:p>
        </w:tc>
        <w:tc>
          <w:tcPr>
            <w:tcW w:w="3125" w:type="pct"/>
            <w:vAlign w:val="center"/>
          </w:tcPr>
          <w:p w14:paraId="13D627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支持通过批量导入的方式新增或更新数据标准（Excel文件），支持查看导入执行日志；支持配置导入冲突处理策略；支持一键下载异常记录及异常提示</w:t>
            </w:r>
          </w:p>
        </w:tc>
      </w:tr>
      <w:tr w14:paraId="32E32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7A4D8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39</w:t>
            </w:r>
          </w:p>
        </w:tc>
        <w:tc>
          <w:tcPr>
            <w:tcW w:w="1250" w:type="pct"/>
            <w:vAlign w:val="center"/>
          </w:tcPr>
          <w:p w14:paraId="6A0684E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卫生健康数据统一管理_数据标准规范管理-配置落标映射规则</w:t>
            </w:r>
          </w:p>
        </w:tc>
        <w:tc>
          <w:tcPr>
            <w:tcW w:w="3125" w:type="pct"/>
            <w:vAlign w:val="center"/>
          </w:tcPr>
          <w:p w14:paraId="172649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支持配置落标映射规则，基于资产对象的元数据信息将数据标准和字段、指标、注册资产（非仓内表）进行关联；</w:t>
            </w:r>
          </w:p>
        </w:tc>
      </w:tr>
      <w:tr w14:paraId="2CCB0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EF128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40</w:t>
            </w:r>
          </w:p>
        </w:tc>
        <w:tc>
          <w:tcPr>
            <w:tcW w:w="1250" w:type="pct"/>
            <w:vAlign w:val="center"/>
          </w:tcPr>
          <w:p w14:paraId="14A98EC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卫生健康数据统一管理_数据标准规范管理-配置落标映射关系查询</w:t>
            </w:r>
          </w:p>
        </w:tc>
        <w:tc>
          <w:tcPr>
            <w:tcW w:w="3125" w:type="pct"/>
            <w:vAlign w:val="center"/>
          </w:tcPr>
          <w:p w14:paraId="47D761A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支持查看已配置的数据标准和资产对象的映射关系清单，支持按资产汇总、全部展示等多种查看视角；</w:t>
            </w:r>
          </w:p>
        </w:tc>
      </w:tr>
      <w:tr w14:paraId="197D2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4D4B78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41</w:t>
            </w:r>
          </w:p>
        </w:tc>
        <w:tc>
          <w:tcPr>
            <w:tcW w:w="1250" w:type="pct"/>
            <w:vAlign w:val="center"/>
          </w:tcPr>
          <w:p w14:paraId="6F91FBA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卫生健康数据统一管理_数据标准规范管理-数据分类分级系统属性设置</w:t>
            </w:r>
          </w:p>
        </w:tc>
        <w:tc>
          <w:tcPr>
            <w:tcW w:w="3125" w:type="pct"/>
            <w:vAlign w:val="center"/>
          </w:tcPr>
          <w:p w14:paraId="4E6F28C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内置数据分类、数据分级系统属性，和安全模块的数据分类分级结果进行对比，增强标准和安全模块的关联；内置”数据类型“系统属性，和系统存储的数据类型元数据字段进行对比，保证建表规范性；内置一批常用的自定义公共属性，降低冷启动门槛</w:t>
            </w:r>
          </w:p>
        </w:tc>
      </w:tr>
      <w:tr w14:paraId="0CED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25E1E9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42</w:t>
            </w:r>
          </w:p>
        </w:tc>
        <w:tc>
          <w:tcPr>
            <w:tcW w:w="1250" w:type="pct"/>
            <w:vAlign w:val="center"/>
          </w:tcPr>
          <w:p w14:paraId="1FC878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卫生健康数据统一管理_数据标准规范管理-定义标准属性</w:t>
            </w:r>
          </w:p>
        </w:tc>
        <w:tc>
          <w:tcPr>
            <w:tcW w:w="3125" w:type="pct"/>
            <w:vAlign w:val="center"/>
          </w:tcPr>
          <w:p w14:paraId="68CFF4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支持定义标准模板，即定义标准属性。标准属性主要包括业务属性、技术属性、管理属性，可拓展主数据属性、数据质量属性、生命周期管理属性等。</w:t>
            </w:r>
          </w:p>
        </w:tc>
      </w:tr>
      <w:tr w14:paraId="41EF0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F9B7A4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43</w:t>
            </w:r>
          </w:p>
        </w:tc>
        <w:tc>
          <w:tcPr>
            <w:tcW w:w="1250" w:type="pct"/>
            <w:vAlign w:val="center"/>
          </w:tcPr>
          <w:p w14:paraId="2AAE130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卫生健康数据统一管理_数据全景视图管理-数据资产全景-全局模式</w:t>
            </w:r>
          </w:p>
        </w:tc>
        <w:tc>
          <w:tcPr>
            <w:tcW w:w="3125" w:type="pct"/>
            <w:vAlign w:val="center"/>
          </w:tcPr>
          <w:p w14:paraId="731D310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支持自动化提取分析元数据，可视化构建数据资产大图，便于管理者发现与了解数据资产价值。以3D形式为用户展示数据量较大的业务板块及其数据总量。</w:t>
            </w:r>
          </w:p>
        </w:tc>
      </w:tr>
      <w:tr w14:paraId="33BD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B034B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44</w:t>
            </w:r>
          </w:p>
        </w:tc>
        <w:tc>
          <w:tcPr>
            <w:tcW w:w="1250" w:type="pct"/>
            <w:vAlign w:val="center"/>
          </w:tcPr>
          <w:p w14:paraId="18707C3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卫生健康数据统一管理_数据全景视图管理-数据资产全景-流动模式</w:t>
            </w:r>
          </w:p>
        </w:tc>
        <w:tc>
          <w:tcPr>
            <w:tcW w:w="3125" w:type="pct"/>
            <w:vAlign w:val="center"/>
          </w:tcPr>
          <w:p w14:paraId="2E59527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展示数据的流入、整合与输出过程，包括总项目数、总物理表数，存储大小和趋势等总览统计信息，体现数据中台能力</w:t>
            </w:r>
          </w:p>
        </w:tc>
      </w:tr>
      <w:tr w14:paraId="77C31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E3B043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45</w:t>
            </w:r>
          </w:p>
        </w:tc>
        <w:tc>
          <w:tcPr>
            <w:tcW w:w="1250" w:type="pct"/>
            <w:vAlign w:val="center"/>
          </w:tcPr>
          <w:p w14:paraId="091EA8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卫生健康数据统一管理_数据全景视图管理-数据资产全景-结构化模式</w:t>
            </w:r>
          </w:p>
        </w:tc>
        <w:tc>
          <w:tcPr>
            <w:tcW w:w="3125" w:type="pct"/>
            <w:vAlign w:val="center"/>
          </w:tcPr>
          <w:p w14:paraId="78267E2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以不同形状的组件表示业务实体，以不同样式的连线表示实体间不同的业务过程关系。</w:t>
            </w:r>
          </w:p>
        </w:tc>
      </w:tr>
      <w:tr w14:paraId="104D4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35BF8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46</w:t>
            </w:r>
          </w:p>
        </w:tc>
        <w:tc>
          <w:tcPr>
            <w:tcW w:w="1250" w:type="pct"/>
            <w:vAlign w:val="center"/>
          </w:tcPr>
          <w:p w14:paraId="4A4DA08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卫生健康数据统一管理_数据全景视图管理-数据资产地图-资产目录</w:t>
            </w:r>
          </w:p>
        </w:tc>
        <w:tc>
          <w:tcPr>
            <w:tcW w:w="3125" w:type="pct"/>
            <w:vAlign w:val="center"/>
          </w:tcPr>
          <w:p w14:paraId="1F15543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基于业务板块、数据域、维度、业务过程和所属项目的关联关系，集中为用户展示数据。</w:t>
            </w:r>
          </w:p>
        </w:tc>
      </w:tr>
      <w:tr w14:paraId="61720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F2F37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47</w:t>
            </w:r>
          </w:p>
        </w:tc>
        <w:tc>
          <w:tcPr>
            <w:tcW w:w="1250" w:type="pct"/>
            <w:vAlign w:val="center"/>
          </w:tcPr>
          <w:p w14:paraId="515E4D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卫生健康数据统一管理_数据全景视图管理-数据资产地图-资产搜索</w:t>
            </w:r>
          </w:p>
        </w:tc>
        <w:tc>
          <w:tcPr>
            <w:tcW w:w="3125" w:type="pct"/>
            <w:vAlign w:val="center"/>
          </w:tcPr>
          <w:p w14:paraId="29D4BD6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同时，资产地图支持搜索、访问及收藏等功能，为用户提供高效、快捷、准确的数据查找入口。</w:t>
            </w:r>
          </w:p>
        </w:tc>
      </w:tr>
      <w:tr w14:paraId="11AE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F4ECC8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48</w:t>
            </w:r>
          </w:p>
        </w:tc>
        <w:tc>
          <w:tcPr>
            <w:tcW w:w="1250" w:type="pct"/>
            <w:vAlign w:val="center"/>
          </w:tcPr>
          <w:p w14:paraId="3D0A0A4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卫生健康数据统一管理_数据全景视图管理-数据资产地图-资产详情</w:t>
            </w:r>
          </w:p>
        </w:tc>
        <w:tc>
          <w:tcPr>
            <w:tcW w:w="3125" w:type="pct"/>
            <w:vAlign w:val="center"/>
          </w:tcPr>
          <w:p w14:paraId="4538089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展示表详情、字段详情、指标详情、数据源详情、数据API服务详情等</w:t>
            </w:r>
          </w:p>
        </w:tc>
      </w:tr>
      <w:tr w14:paraId="58FFE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79A9C3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49</w:t>
            </w:r>
          </w:p>
        </w:tc>
        <w:tc>
          <w:tcPr>
            <w:tcW w:w="1250" w:type="pct"/>
            <w:vAlign w:val="center"/>
          </w:tcPr>
          <w:p w14:paraId="0168B6A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卫生健康数据统一管理_数据服务管理-数据服务总览</w:t>
            </w:r>
          </w:p>
        </w:tc>
        <w:tc>
          <w:tcPr>
            <w:tcW w:w="3125" w:type="pct"/>
            <w:vAlign w:val="center"/>
          </w:tcPr>
          <w:p w14:paraId="29345DD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API服务可提供已发布的API列表及API具体详细信息，供服务调用者查看及申请；数据源服务可提供已发布的数据源服务列表及数据源详细信息，供服务调用者查看及申请。</w:t>
            </w:r>
          </w:p>
        </w:tc>
      </w:tr>
      <w:tr w14:paraId="5D43C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D698B5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50</w:t>
            </w:r>
          </w:p>
        </w:tc>
        <w:tc>
          <w:tcPr>
            <w:tcW w:w="1250" w:type="pct"/>
            <w:vAlign w:val="center"/>
          </w:tcPr>
          <w:p w14:paraId="0514823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卫生健康数据统一管理_数据服务管理-个人工作台</w:t>
            </w:r>
          </w:p>
        </w:tc>
        <w:tc>
          <w:tcPr>
            <w:tcW w:w="3125" w:type="pct"/>
            <w:vAlign w:val="center"/>
          </w:tcPr>
          <w:p w14:paraId="7ED5705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包括应用管理、服务调用、服务开发等相关功能。其中应用管理涉及应用生命周期管理，获取应用对应AK/SK，并可重置SK；服务调用和服务开发分别涉及API服务、数据源服务的调用和开发。</w:t>
            </w:r>
          </w:p>
        </w:tc>
      </w:tr>
      <w:tr w14:paraId="20DDF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C6C92C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51</w:t>
            </w:r>
          </w:p>
        </w:tc>
        <w:tc>
          <w:tcPr>
            <w:tcW w:w="1250" w:type="pct"/>
            <w:vAlign w:val="center"/>
          </w:tcPr>
          <w:p w14:paraId="3C48AB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卫生健康数据统一管理_数据服务管理-服务管理</w:t>
            </w:r>
          </w:p>
        </w:tc>
        <w:tc>
          <w:tcPr>
            <w:tcW w:w="3125" w:type="pct"/>
            <w:vAlign w:val="center"/>
          </w:tcPr>
          <w:p w14:paraId="4AF47FF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涉及API管理，支持对所有已发布的API进行限流管控和告警配置。</w:t>
            </w:r>
          </w:p>
        </w:tc>
      </w:tr>
      <w:tr w14:paraId="09486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E5BA32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52</w:t>
            </w:r>
          </w:p>
        </w:tc>
        <w:tc>
          <w:tcPr>
            <w:tcW w:w="1250" w:type="pct"/>
            <w:vAlign w:val="center"/>
          </w:tcPr>
          <w:p w14:paraId="1C8E416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卫生健康数据统一管理_数据服务管理-运维管理</w:t>
            </w:r>
          </w:p>
        </w:tc>
        <w:tc>
          <w:tcPr>
            <w:tcW w:w="3125" w:type="pct"/>
            <w:vAlign w:val="center"/>
          </w:tcPr>
          <w:p w14:paraId="186F84D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支持基于API的访问调用分析及限流管控。</w:t>
            </w:r>
          </w:p>
        </w:tc>
      </w:tr>
      <w:tr w14:paraId="459CD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A5B56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53</w:t>
            </w:r>
          </w:p>
        </w:tc>
        <w:tc>
          <w:tcPr>
            <w:tcW w:w="1250" w:type="pct"/>
            <w:vAlign w:val="center"/>
          </w:tcPr>
          <w:p w14:paraId="5D1F034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卫生健康数据统一管理_数据访问与权限管控-身份认证及访问控制</w:t>
            </w:r>
          </w:p>
        </w:tc>
        <w:tc>
          <w:tcPr>
            <w:tcW w:w="3125" w:type="pct"/>
            <w:vAlign w:val="center"/>
          </w:tcPr>
          <w:p w14:paraId="09CE2CE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支持IDaaS、OAuth2.0、SAML多种单点登录标准协议对接方式来对接客户已有的认证系统进行用户的管理和认证。在非标准协议的对接，平台应提供单点对接能力，使用客户的身份认证做大数据平台的管理及认证。</w:t>
            </w:r>
          </w:p>
        </w:tc>
      </w:tr>
      <w:tr w14:paraId="3DA498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CC05B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54</w:t>
            </w:r>
          </w:p>
        </w:tc>
        <w:tc>
          <w:tcPr>
            <w:tcW w:w="1250" w:type="pct"/>
            <w:vAlign w:val="center"/>
          </w:tcPr>
          <w:p w14:paraId="6A924EC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卫生健康数据统一管理_数据访问与权限管控-权限管理与隔离</w:t>
            </w:r>
          </w:p>
        </w:tc>
        <w:tc>
          <w:tcPr>
            <w:tcW w:w="3125" w:type="pct"/>
            <w:vAlign w:val="center"/>
          </w:tcPr>
          <w:p w14:paraId="09E552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支持数据访问与权限管控管理，主要涉及项目隔离、项</w:t>
            </w:r>
            <w:r>
              <w:rPr>
                <w:rFonts w:hint="eastAsia" w:ascii="微软雅黑" w:hAnsi="微软雅黑" w:eastAsia="微软雅黑" w:cs="微软雅黑"/>
                <w:color w:val="auto"/>
                <w:kern w:val="0"/>
                <w:sz w:val="21"/>
                <w:szCs w:val="21"/>
                <w:highlight w:val="none"/>
              </w:rPr>
              <w:t>⽬</w:t>
            </w:r>
            <w:r>
              <w:rPr>
                <w:rFonts w:hint="eastAsia" w:cs="宋体"/>
                <w:color w:val="auto"/>
                <w:kern w:val="0"/>
                <w:sz w:val="21"/>
                <w:szCs w:val="21"/>
                <w:highlight w:val="none"/>
              </w:rPr>
              <w:t>成员角色分配、生产开发隔离、权限申请与授权、数据下载控制等相关功能。</w:t>
            </w:r>
          </w:p>
        </w:tc>
      </w:tr>
      <w:tr w14:paraId="16DD1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E8965E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55</w:t>
            </w:r>
          </w:p>
        </w:tc>
        <w:tc>
          <w:tcPr>
            <w:tcW w:w="1250" w:type="pct"/>
            <w:vAlign w:val="center"/>
          </w:tcPr>
          <w:p w14:paraId="2817F0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卫生健康数据统一管理_数据访问与权限管控-变更管控</w:t>
            </w:r>
          </w:p>
        </w:tc>
        <w:tc>
          <w:tcPr>
            <w:tcW w:w="3125" w:type="pct"/>
            <w:vAlign w:val="center"/>
          </w:tcPr>
          <w:p w14:paraId="396FF37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变更管控功能是指在变更环节（如提交、发布、运维操作等），通过配置管控规则及生效范围，在执行变更前进行相应的校验，并根据规则校验结果决定是否可以通过该环节的约束，从而避免非预期的数据变更或者误删除等高危操作，影响下游业务使用。变更管控分为变更规则和变更策略两部分。</w:t>
            </w:r>
          </w:p>
        </w:tc>
      </w:tr>
      <w:tr w14:paraId="7701F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BCD83C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56</w:t>
            </w:r>
          </w:p>
        </w:tc>
        <w:tc>
          <w:tcPr>
            <w:tcW w:w="1250" w:type="pct"/>
            <w:vAlign w:val="center"/>
          </w:tcPr>
          <w:p w14:paraId="5644A9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卫生健康数据统一管理_数据访问与权限管控-日志审计</w:t>
            </w:r>
          </w:p>
        </w:tc>
        <w:tc>
          <w:tcPr>
            <w:tcW w:w="3125" w:type="pct"/>
            <w:vAlign w:val="center"/>
          </w:tcPr>
          <w:p w14:paraId="2325AA4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提供操作的审计日志输出，根据不同的部署模式提供不同的审计日志导出方式。</w:t>
            </w:r>
          </w:p>
        </w:tc>
      </w:tr>
      <w:tr w14:paraId="2ED32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2998B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57</w:t>
            </w:r>
          </w:p>
        </w:tc>
        <w:tc>
          <w:tcPr>
            <w:tcW w:w="1250" w:type="pct"/>
            <w:vAlign w:val="center"/>
          </w:tcPr>
          <w:p w14:paraId="778551B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卫生健康数据统一管理_数据访问与权限管控-权限审计</w:t>
            </w:r>
          </w:p>
        </w:tc>
        <w:tc>
          <w:tcPr>
            <w:tcW w:w="3125" w:type="pct"/>
            <w:vAlign w:val="center"/>
          </w:tcPr>
          <w:p w14:paraId="509CEA3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数据表、数据源的权限进行查看、搜索、审计与下载，及时发现不合理的授权用户并处理，确保权限体系健康，防止权限泄露；支持对数据表、数据源的权限变更操作进行查看、搜索、审计与下载，以此来判断授权、回收、交还等操作的合理性。</w:t>
            </w:r>
          </w:p>
        </w:tc>
      </w:tr>
      <w:tr w14:paraId="12AAA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50C14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58</w:t>
            </w:r>
          </w:p>
        </w:tc>
        <w:tc>
          <w:tcPr>
            <w:tcW w:w="1250" w:type="pct"/>
            <w:vAlign w:val="center"/>
          </w:tcPr>
          <w:p w14:paraId="6B6C70D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卫生健康数据统一管理_卫生健康数据协同-数据关联</w:t>
            </w:r>
          </w:p>
        </w:tc>
        <w:tc>
          <w:tcPr>
            <w:tcW w:w="3125" w:type="pct"/>
            <w:vAlign w:val="center"/>
          </w:tcPr>
          <w:p w14:paraId="3A315C3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根据数据定义，开展关联信息实施工作。根据数据关联策略，配置对应的数据关联引擎，管理数据关联执行过程，实现将数据和其他知识数据、业务数据等的关联。</w:t>
            </w:r>
          </w:p>
        </w:tc>
      </w:tr>
      <w:tr w14:paraId="04802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720A63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59</w:t>
            </w:r>
          </w:p>
        </w:tc>
        <w:tc>
          <w:tcPr>
            <w:tcW w:w="1250" w:type="pct"/>
            <w:vAlign w:val="center"/>
          </w:tcPr>
          <w:p w14:paraId="7A960BD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卫生健康数据统一管理_卫生健康数据协同-数据比对</w:t>
            </w:r>
          </w:p>
        </w:tc>
        <w:tc>
          <w:tcPr>
            <w:tcW w:w="3125" w:type="pct"/>
            <w:vAlign w:val="center"/>
          </w:tcPr>
          <w:p w14:paraId="6951DC5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根据数据定义过程中的数据比对策略、规则，梳理并分析业务需要及信息布控、订阅等实战需求，针对结构化数据和非结构化数据配置所需的数据比对引擎，管理数据比对执行过程。</w:t>
            </w:r>
          </w:p>
        </w:tc>
      </w:tr>
      <w:tr w14:paraId="3E1F9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35649C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60</w:t>
            </w:r>
          </w:p>
        </w:tc>
        <w:tc>
          <w:tcPr>
            <w:tcW w:w="1250" w:type="pct"/>
            <w:vAlign w:val="center"/>
          </w:tcPr>
          <w:p w14:paraId="60590A9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卫生健康数据统一管理_卫生健康数据协同-数据标识</w:t>
            </w:r>
          </w:p>
        </w:tc>
        <w:tc>
          <w:tcPr>
            <w:tcW w:w="3125" w:type="pct"/>
            <w:vAlign w:val="center"/>
          </w:tcPr>
          <w:p w14:paraId="52F9397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数据定义中数据标识策略，为数据打标配置合适的标签引擎，如基础标签、行为标签、敏感度标签、公共字段标签、业务标签等引擎，同时根据打标类型、数据分布等业务场景，配置执行平台的规则路由，完成对数据的比对分析、模型计算、打标工作。同时定时校验数据打标的准确性，如有误需分析、整理原因，并重新调整标识引擎配置。根据业务需求、比对分析、模型计算等需求的变更，实时调整标识策略及引擎配置。</w:t>
            </w:r>
          </w:p>
        </w:tc>
      </w:tr>
      <w:tr w14:paraId="0B74A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E1AB90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61</w:t>
            </w:r>
          </w:p>
        </w:tc>
        <w:tc>
          <w:tcPr>
            <w:tcW w:w="1250" w:type="pct"/>
            <w:vAlign w:val="center"/>
          </w:tcPr>
          <w:p w14:paraId="4239ADC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卫生健康数据统一管理_卫生健康数据协同-数据分发</w:t>
            </w:r>
          </w:p>
        </w:tc>
        <w:tc>
          <w:tcPr>
            <w:tcW w:w="3125" w:type="pct"/>
            <w:vAlign w:val="center"/>
          </w:tcPr>
          <w:p w14:paraId="39CD139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数据定义中的数据分发策略，根据不同的应用场景和分析数据本身信息、关联、关系、标签等信息，配置对应的分发引擎，将提取、清洗、关联、比对和标识后的数据对应分发到原始库、资源库、主题库与知识库。</w:t>
            </w:r>
          </w:p>
        </w:tc>
      </w:tr>
      <w:tr w14:paraId="4FF30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4F180B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62</w:t>
            </w:r>
          </w:p>
        </w:tc>
        <w:tc>
          <w:tcPr>
            <w:tcW w:w="1250" w:type="pct"/>
            <w:vAlign w:val="center"/>
          </w:tcPr>
          <w:p w14:paraId="0FE3F6B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卫生健康数据统一管理_卫生健康数据协同-数据规范</w:t>
            </w:r>
          </w:p>
        </w:tc>
        <w:tc>
          <w:tcPr>
            <w:tcW w:w="3125" w:type="pct"/>
            <w:vAlign w:val="center"/>
          </w:tcPr>
          <w:p w14:paraId="377CF5E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针对接入的数据等开展数据规范化工作，数据规范主要包括数据编目服务、数据血缘分析服务、数据质量检核服务等相关功能。</w:t>
            </w:r>
          </w:p>
        </w:tc>
      </w:tr>
      <w:tr w14:paraId="412AE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8B88E3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63</w:t>
            </w:r>
          </w:p>
        </w:tc>
        <w:tc>
          <w:tcPr>
            <w:tcW w:w="1250" w:type="pct"/>
            <w:vAlign w:val="center"/>
          </w:tcPr>
          <w:p w14:paraId="1B33AE0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卫生健康数据统一管理_密码应用安全-用户身份认证机制模块</w:t>
            </w:r>
          </w:p>
        </w:tc>
        <w:tc>
          <w:tcPr>
            <w:tcW w:w="3125" w:type="pct"/>
            <w:vAlign w:val="center"/>
          </w:tcPr>
          <w:p w14:paraId="28A79C7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根据密码要求，与密码平台对接，实现用户身份认证机制</w:t>
            </w:r>
          </w:p>
        </w:tc>
      </w:tr>
      <w:tr w14:paraId="60921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6611C7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64</w:t>
            </w:r>
          </w:p>
        </w:tc>
        <w:tc>
          <w:tcPr>
            <w:tcW w:w="1250" w:type="pct"/>
            <w:vAlign w:val="center"/>
          </w:tcPr>
          <w:p w14:paraId="768D8F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卫生健康数据统一管理_密码应用安全-用户访问控制信息签名验签模块</w:t>
            </w:r>
          </w:p>
        </w:tc>
        <w:tc>
          <w:tcPr>
            <w:tcW w:w="3125" w:type="pct"/>
            <w:vAlign w:val="center"/>
          </w:tcPr>
          <w:p w14:paraId="2FC2D5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根据密码要求，与密码平台对接，实现用户访问控制信息签名验签</w:t>
            </w:r>
          </w:p>
        </w:tc>
      </w:tr>
      <w:tr w14:paraId="1227F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EDA262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65</w:t>
            </w:r>
          </w:p>
        </w:tc>
        <w:tc>
          <w:tcPr>
            <w:tcW w:w="1250" w:type="pct"/>
            <w:vAlign w:val="center"/>
          </w:tcPr>
          <w:p w14:paraId="71F6B3B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卫生健康数据统一管理_密码应用安全-应用系统重要数据签名验签模块</w:t>
            </w:r>
          </w:p>
        </w:tc>
        <w:tc>
          <w:tcPr>
            <w:tcW w:w="3125" w:type="pct"/>
            <w:vAlign w:val="center"/>
          </w:tcPr>
          <w:p w14:paraId="205905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根据密码要求，与密码平台对接，实现应用系统重要数据签名验签</w:t>
            </w:r>
          </w:p>
        </w:tc>
      </w:tr>
      <w:tr w14:paraId="6BDF1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15577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66</w:t>
            </w:r>
          </w:p>
        </w:tc>
        <w:tc>
          <w:tcPr>
            <w:tcW w:w="1250" w:type="pct"/>
            <w:vAlign w:val="center"/>
          </w:tcPr>
          <w:p w14:paraId="66D81A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卫生健康数据统一管理_密码应用安全-应用系统重要数据加解密模块</w:t>
            </w:r>
          </w:p>
        </w:tc>
        <w:tc>
          <w:tcPr>
            <w:tcW w:w="3125" w:type="pct"/>
            <w:vAlign w:val="center"/>
          </w:tcPr>
          <w:p w14:paraId="0B8E44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根据密码要求，与密码平台对接，实现应用系统重要数据加解密</w:t>
            </w:r>
          </w:p>
        </w:tc>
      </w:tr>
      <w:tr w14:paraId="0A626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7E9608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67</w:t>
            </w:r>
          </w:p>
        </w:tc>
        <w:tc>
          <w:tcPr>
            <w:tcW w:w="1250" w:type="pct"/>
            <w:vAlign w:val="center"/>
          </w:tcPr>
          <w:p w14:paraId="7F28565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卫生健康数据统一管理_密码应用安全-服务器虚拟机设备日志/访问控制信息完整性模块</w:t>
            </w:r>
          </w:p>
        </w:tc>
        <w:tc>
          <w:tcPr>
            <w:tcW w:w="3125" w:type="pct"/>
            <w:vAlign w:val="center"/>
          </w:tcPr>
          <w:p w14:paraId="4984E56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根据密码要求，与密码平台对接，实现服务器虚拟机设备日志/访问控制信息完整性管理</w:t>
            </w:r>
          </w:p>
        </w:tc>
      </w:tr>
      <w:tr w14:paraId="64F4D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CCF66B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68</w:t>
            </w:r>
          </w:p>
        </w:tc>
        <w:tc>
          <w:tcPr>
            <w:tcW w:w="1250" w:type="pct"/>
            <w:vAlign w:val="center"/>
          </w:tcPr>
          <w:p w14:paraId="3BA3D43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卫生健康数据统一管理_密码应用安全-业务重要数据安全传输模块</w:t>
            </w:r>
          </w:p>
        </w:tc>
        <w:tc>
          <w:tcPr>
            <w:tcW w:w="3125" w:type="pct"/>
            <w:vAlign w:val="center"/>
          </w:tcPr>
          <w:p w14:paraId="17103CB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根据密码要求，与密码平台对接，实现业务重要数据安全传输</w:t>
            </w:r>
          </w:p>
        </w:tc>
      </w:tr>
      <w:tr w14:paraId="4DC69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05FA05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69</w:t>
            </w:r>
          </w:p>
        </w:tc>
        <w:tc>
          <w:tcPr>
            <w:tcW w:w="1250" w:type="pct"/>
            <w:vAlign w:val="center"/>
          </w:tcPr>
          <w:p w14:paraId="0F97DAD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卫生健康数据统一安全管理_数据资源VPC统一管理-云资源管理</w:t>
            </w:r>
          </w:p>
        </w:tc>
        <w:tc>
          <w:tcPr>
            <w:tcW w:w="3125" w:type="pct"/>
            <w:vAlign w:val="center"/>
          </w:tcPr>
          <w:p w14:paraId="4FB42A4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通过与云管平台对接，实现对IAAS资源、云基础安全服务、云数据库服务等多种云资源的统一集中管理。</w:t>
            </w:r>
            <w:r>
              <w:rPr>
                <w:rFonts w:hint="eastAsia" w:cs="宋体"/>
                <w:color w:val="auto"/>
                <w:kern w:val="0"/>
                <w:sz w:val="21"/>
                <w:szCs w:val="21"/>
                <w:highlight w:val="none"/>
              </w:rPr>
              <w:br w:type="textWrapping"/>
            </w:r>
            <w:r>
              <w:rPr>
                <w:rFonts w:hint="eastAsia" w:cs="宋体"/>
                <w:color w:val="auto"/>
                <w:kern w:val="0"/>
                <w:sz w:val="21"/>
                <w:szCs w:val="21"/>
                <w:highlight w:val="none"/>
              </w:rPr>
              <w:t>支持为可信业务接入环境创建VPC，实现可信接入环境的统一管理。</w:t>
            </w:r>
            <w:r>
              <w:rPr>
                <w:rFonts w:hint="eastAsia" w:cs="宋体"/>
                <w:color w:val="auto"/>
                <w:kern w:val="0"/>
                <w:sz w:val="21"/>
                <w:szCs w:val="21"/>
                <w:highlight w:val="none"/>
              </w:rPr>
              <w:br w:type="textWrapping"/>
            </w:r>
            <w:r>
              <w:rPr>
                <w:rFonts w:hint="eastAsia" w:cs="宋体"/>
                <w:color w:val="auto"/>
                <w:kern w:val="0"/>
                <w:sz w:val="21"/>
                <w:szCs w:val="21"/>
                <w:highlight w:val="none"/>
              </w:rPr>
              <w:t>支持自动发现并纳管可信业务接入环境VPC中的虚机、存储、数据库等多种资源，建立统一资源目录。</w:t>
            </w:r>
          </w:p>
        </w:tc>
      </w:tr>
      <w:tr w14:paraId="48A2F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7D013C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70</w:t>
            </w:r>
          </w:p>
        </w:tc>
        <w:tc>
          <w:tcPr>
            <w:tcW w:w="1250" w:type="pct"/>
            <w:vAlign w:val="center"/>
          </w:tcPr>
          <w:p w14:paraId="6493AEA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卫生健康数据统一安全管理_数据资源VPC统一管理-云资源监控</w:t>
            </w:r>
          </w:p>
        </w:tc>
        <w:tc>
          <w:tcPr>
            <w:tcW w:w="3125" w:type="pct"/>
            <w:vAlign w:val="center"/>
          </w:tcPr>
          <w:p w14:paraId="109F41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通过与云管平台对接，实现对IAAS资源、云基础安全服务、云数据库服务等多种云资源的统一集中监控，发现数据业务运营中的云资源问题。</w:t>
            </w:r>
            <w:r>
              <w:rPr>
                <w:rFonts w:hint="eastAsia" w:cs="宋体"/>
                <w:color w:val="auto"/>
                <w:kern w:val="0"/>
                <w:sz w:val="21"/>
                <w:szCs w:val="21"/>
                <w:highlight w:val="none"/>
              </w:rPr>
              <w:br w:type="textWrapping"/>
            </w:r>
            <w:r>
              <w:rPr>
                <w:rFonts w:hint="eastAsia" w:cs="宋体"/>
                <w:color w:val="auto"/>
                <w:kern w:val="0"/>
                <w:sz w:val="21"/>
                <w:szCs w:val="21"/>
                <w:highlight w:val="none"/>
              </w:rPr>
              <w:t>支持实时采集可信业务接入环境中的多种资源运行状态以及相关性能指标，监控可信接入环境中多种资源运行状态。</w:t>
            </w:r>
          </w:p>
        </w:tc>
      </w:tr>
      <w:tr w14:paraId="61317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F6EA5A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71</w:t>
            </w:r>
          </w:p>
        </w:tc>
        <w:tc>
          <w:tcPr>
            <w:tcW w:w="1250" w:type="pct"/>
            <w:vAlign w:val="center"/>
          </w:tcPr>
          <w:p w14:paraId="42D6DBE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卫生健康数据统一安全管理_数据资源VPC统一管理-业务关系管理</w:t>
            </w:r>
          </w:p>
        </w:tc>
        <w:tc>
          <w:tcPr>
            <w:tcW w:w="3125" w:type="pct"/>
            <w:vAlign w:val="center"/>
          </w:tcPr>
          <w:p w14:paraId="47BE0E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针对可信业务接入环境的使用组织、项目、业务系统、研算等关系进行管理，建立数据支撑资源和业务关系视图</w:t>
            </w:r>
          </w:p>
        </w:tc>
      </w:tr>
      <w:tr w14:paraId="0EA08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2EBA3F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72</w:t>
            </w:r>
          </w:p>
        </w:tc>
        <w:tc>
          <w:tcPr>
            <w:tcW w:w="1250" w:type="pct"/>
            <w:vAlign w:val="center"/>
          </w:tcPr>
          <w:p w14:paraId="64FE6C9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卫生健康数据统一安全管理_数据资源VPC统一管理-资源分析</w:t>
            </w:r>
          </w:p>
        </w:tc>
        <w:tc>
          <w:tcPr>
            <w:tcW w:w="3125" w:type="pct"/>
            <w:vAlign w:val="center"/>
          </w:tcPr>
          <w:p w14:paraId="0F997E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对平台资源分布概况、分配趋势、使用情况、资源使用、业务负载进行分析，建立总体资源使用视图</w:t>
            </w:r>
          </w:p>
        </w:tc>
      </w:tr>
      <w:tr w14:paraId="6D719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ECFD0B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73</w:t>
            </w:r>
          </w:p>
        </w:tc>
        <w:tc>
          <w:tcPr>
            <w:tcW w:w="1250" w:type="pct"/>
            <w:vAlign w:val="center"/>
          </w:tcPr>
          <w:p w14:paraId="45865A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卫生健康数据统一安全管理_数据资源VPC统一管理-数据使用环境VPC管理</w:t>
            </w:r>
          </w:p>
        </w:tc>
        <w:tc>
          <w:tcPr>
            <w:tcW w:w="3125" w:type="pct"/>
            <w:vAlign w:val="center"/>
          </w:tcPr>
          <w:p w14:paraId="4E494F3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云环境创建：为需要使用数据的业务系统创建云资源环境，包括VPC、虚机、数据库实例、网络安全服务、数据管控服务等相关资源。</w:t>
            </w:r>
            <w:r>
              <w:rPr>
                <w:rFonts w:hint="eastAsia" w:cs="宋体"/>
                <w:color w:val="auto"/>
                <w:kern w:val="0"/>
                <w:sz w:val="21"/>
                <w:szCs w:val="21"/>
                <w:highlight w:val="none"/>
              </w:rPr>
              <w:br w:type="textWrapping"/>
            </w:r>
            <w:r>
              <w:rPr>
                <w:rFonts w:hint="eastAsia" w:cs="宋体"/>
                <w:color w:val="auto"/>
                <w:kern w:val="0"/>
                <w:sz w:val="21"/>
                <w:szCs w:val="21"/>
                <w:highlight w:val="none"/>
              </w:rPr>
              <w:t>业务环境安全评估：针对数据使用环境，从网络安全规范、数据安全规范和数据使用管理规范等多个方面进行全面评估，评估合格后方提供数据服务</w:t>
            </w:r>
            <w:r>
              <w:rPr>
                <w:rFonts w:hint="eastAsia" w:cs="宋体"/>
                <w:color w:val="auto"/>
                <w:kern w:val="0"/>
                <w:sz w:val="21"/>
                <w:szCs w:val="21"/>
                <w:highlight w:val="none"/>
              </w:rPr>
              <w:br w:type="textWrapping"/>
            </w:r>
            <w:r>
              <w:rPr>
                <w:rFonts w:hint="eastAsia" w:cs="宋体"/>
                <w:color w:val="auto"/>
                <w:kern w:val="0"/>
                <w:sz w:val="21"/>
                <w:szCs w:val="21"/>
                <w:highlight w:val="none"/>
              </w:rPr>
              <w:t>数据访问安全管控：针对数据在本地存储和不存储的模式，都会对业务系统的数据访问范围、访问时间、访问安全、访业务系统数据监管：实时监控业务系统中的数据使用情况，及时发现并处理数据使用违规行为，严格禁止数据的对外流转</w:t>
            </w:r>
          </w:p>
        </w:tc>
      </w:tr>
      <w:tr w14:paraId="66044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B139C0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74</w:t>
            </w:r>
          </w:p>
        </w:tc>
        <w:tc>
          <w:tcPr>
            <w:tcW w:w="1250" w:type="pct"/>
            <w:vAlign w:val="center"/>
          </w:tcPr>
          <w:p w14:paraId="7A55A0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卫生健康数据统一安全管理_数据资源汇集水平管理-数据资产识别</w:t>
            </w:r>
          </w:p>
        </w:tc>
        <w:tc>
          <w:tcPr>
            <w:tcW w:w="3125" w:type="pct"/>
            <w:vAlign w:val="center"/>
          </w:tcPr>
          <w:p w14:paraId="420572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自动探测发现可信接入环境的数据库、数据表、数据字段等数据对象的变化，对新增、变更、删除的数据资产进行及时更新纳管，满足可信接入环境中对数据进行分析、研算等处理后等结果数据资产的及时发现纳管要求</w:t>
            </w:r>
          </w:p>
        </w:tc>
      </w:tr>
      <w:tr w14:paraId="26D9C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C3D8E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75</w:t>
            </w:r>
          </w:p>
        </w:tc>
        <w:tc>
          <w:tcPr>
            <w:tcW w:w="1250" w:type="pct"/>
            <w:vAlign w:val="center"/>
          </w:tcPr>
          <w:p w14:paraId="7084995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卫生健康数据统一安全管理_数据资源汇集水平管理-数据业务管理</w:t>
            </w:r>
          </w:p>
        </w:tc>
        <w:tc>
          <w:tcPr>
            <w:tcW w:w="3125" w:type="pct"/>
            <w:vAlign w:val="center"/>
          </w:tcPr>
          <w:p w14:paraId="29FB40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支持数据业务全过程管理，从可信业务接入环境的创建、数据申请、数据访问监控、一直到数据研算成果管理包括研算算法成果、研算大模型参数等，可准确掌握当前数据业务的状态。</w:t>
            </w:r>
          </w:p>
        </w:tc>
      </w:tr>
      <w:tr w14:paraId="531BE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AAFA47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76</w:t>
            </w:r>
          </w:p>
        </w:tc>
        <w:tc>
          <w:tcPr>
            <w:tcW w:w="1250" w:type="pct"/>
            <w:vAlign w:val="center"/>
          </w:tcPr>
          <w:p w14:paraId="0F465D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卫生健康数据统一安全管理_业务数据资源安全服务管理-数据集管理</w:t>
            </w:r>
          </w:p>
        </w:tc>
        <w:tc>
          <w:tcPr>
            <w:tcW w:w="3125" w:type="pct"/>
            <w:vAlign w:val="center"/>
          </w:tcPr>
          <w:p w14:paraId="197FB3A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支持按照数据业务域对数据库、数据表、数据字段都数据对象封装虚拟数据集，实现根据业务域对数据进行管理，形成基于业务的虚拟访问视图。</w:t>
            </w:r>
          </w:p>
        </w:tc>
      </w:tr>
      <w:tr w14:paraId="3007D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098B76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77</w:t>
            </w:r>
          </w:p>
        </w:tc>
        <w:tc>
          <w:tcPr>
            <w:tcW w:w="1250" w:type="pct"/>
            <w:vAlign w:val="center"/>
          </w:tcPr>
          <w:p w14:paraId="2DBFF38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卫生健康数据统一安全管理_业务数据资源安全服务管理-数据服务受理</w:t>
            </w:r>
          </w:p>
        </w:tc>
        <w:tc>
          <w:tcPr>
            <w:tcW w:w="3125" w:type="pct"/>
            <w:vAlign w:val="center"/>
          </w:tcPr>
          <w:p w14:paraId="37ED92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业务系统访问数据之前需办理数据服务业务，明确需访问的服务数据集、数据访问周期、数据交换等要求，提交业务数据申请</w:t>
            </w:r>
          </w:p>
        </w:tc>
      </w:tr>
      <w:tr w14:paraId="21F8E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387035E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78</w:t>
            </w:r>
          </w:p>
        </w:tc>
        <w:tc>
          <w:tcPr>
            <w:tcW w:w="1250" w:type="pct"/>
            <w:vAlign w:val="center"/>
          </w:tcPr>
          <w:p w14:paraId="43CF94C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卫生健康数据统一安全管理_业务数据资源安全服务管理-数据审批</w:t>
            </w:r>
          </w:p>
        </w:tc>
        <w:tc>
          <w:tcPr>
            <w:tcW w:w="3125" w:type="pct"/>
            <w:vAlign w:val="center"/>
          </w:tcPr>
          <w:p w14:paraId="0D8AD42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建立业务数据服务流程，规范业务数据申请的审批机制。</w:t>
            </w:r>
          </w:p>
        </w:tc>
      </w:tr>
      <w:tr w14:paraId="573B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4CD81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79</w:t>
            </w:r>
          </w:p>
        </w:tc>
        <w:tc>
          <w:tcPr>
            <w:tcW w:w="1250" w:type="pct"/>
            <w:vAlign w:val="center"/>
          </w:tcPr>
          <w:p w14:paraId="3AE2B61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卫生健康数据统一安全管理_业务数据资源安全服务管理-数据授权</w:t>
            </w:r>
          </w:p>
        </w:tc>
        <w:tc>
          <w:tcPr>
            <w:tcW w:w="3125" w:type="pct"/>
            <w:vAlign w:val="center"/>
          </w:tcPr>
          <w:p w14:paraId="2670FA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根据审批的结果，自动匹配业务数据服务安全策略规则，并通过下发授权策略至安全保护节点，为指定的业务系统提供数据服务</w:t>
            </w:r>
          </w:p>
        </w:tc>
      </w:tr>
      <w:tr w14:paraId="71294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2473D9F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80</w:t>
            </w:r>
          </w:p>
        </w:tc>
        <w:tc>
          <w:tcPr>
            <w:tcW w:w="1250" w:type="pct"/>
            <w:vAlign w:val="center"/>
          </w:tcPr>
          <w:p w14:paraId="0B7E84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卫生健康数据统一安全管理_业务数据资源安全服务管理-数据服务监控</w:t>
            </w:r>
          </w:p>
        </w:tc>
        <w:tc>
          <w:tcPr>
            <w:tcW w:w="3125" w:type="pct"/>
            <w:vAlign w:val="center"/>
          </w:tcPr>
          <w:p w14:paraId="0FA612B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实时监控业务数据服务的状态，安全保护节点的运行情况。</w:t>
            </w:r>
          </w:p>
        </w:tc>
      </w:tr>
      <w:tr w14:paraId="30317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8DAAFF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81</w:t>
            </w:r>
          </w:p>
        </w:tc>
        <w:tc>
          <w:tcPr>
            <w:tcW w:w="1250" w:type="pct"/>
            <w:vAlign w:val="center"/>
          </w:tcPr>
          <w:p w14:paraId="589E97C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卫生健康数据统一安全管理_业务数据资源安全服务管理-数据服务追踪</w:t>
            </w:r>
          </w:p>
        </w:tc>
        <w:tc>
          <w:tcPr>
            <w:tcW w:w="3125" w:type="pct"/>
            <w:vAlign w:val="center"/>
          </w:tcPr>
          <w:p w14:paraId="5731E5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查询数据服务访问情况，追踪数据服务流向。</w:t>
            </w:r>
          </w:p>
        </w:tc>
      </w:tr>
      <w:tr w14:paraId="5DE3E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740ADD5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82</w:t>
            </w:r>
          </w:p>
        </w:tc>
        <w:tc>
          <w:tcPr>
            <w:tcW w:w="1250" w:type="pct"/>
            <w:vAlign w:val="center"/>
          </w:tcPr>
          <w:p w14:paraId="5FDA9DB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卫生健康数据统一安全管理_数据安全策略管控-访问策略管理</w:t>
            </w:r>
          </w:p>
        </w:tc>
        <w:tc>
          <w:tcPr>
            <w:tcW w:w="3125" w:type="pct"/>
            <w:vAlign w:val="center"/>
          </w:tcPr>
          <w:p w14:paraId="60E21F9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数据库实例、表、列、行的访问对象，制定和管理针对访问身份、访问时间、访问范围的策略规则，确保以确保只有授权用户能够在适当的时间和情境下访问特定的数据资源，同时防止未授权的访问、使用、泄露或破坏。</w:t>
            </w:r>
          </w:p>
        </w:tc>
      </w:tr>
      <w:tr w14:paraId="766D2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0B1F46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83</w:t>
            </w:r>
          </w:p>
        </w:tc>
        <w:tc>
          <w:tcPr>
            <w:tcW w:w="1250" w:type="pct"/>
            <w:vAlign w:val="center"/>
          </w:tcPr>
          <w:p w14:paraId="49D8CBE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卫生健康数据统一安全管理_数据安全策略管控-脱敏策略管理</w:t>
            </w:r>
          </w:p>
        </w:tc>
        <w:tc>
          <w:tcPr>
            <w:tcW w:w="3125" w:type="pct"/>
            <w:vAlign w:val="center"/>
          </w:tcPr>
          <w:p w14:paraId="1D12D4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针对不同类型的敏感数据，制定哈希、替换、屏蔽等脱敏策略规则，明确脱敏的范围和程度，并根据访问者的身份应用相应的脱敏措施。</w:t>
            </w:r>
          </w:p>
        </w:tc>
      </w:tr>
      <w:tr w14:paraId="4067A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553714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84</w:t>
            </w:r>
          </w:p>
        </w:tc>
        <w:tc>
          <w:tcPr>
            <w:tcW w:w="1250" w:type="pct"/>
            <w:vAlign w:val="center"/>
          </w:tcPr>
          <w:p w14:paraId="3D1FD36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卫生健康数据统一安全管理_数据安全策略管控-加解密策略管理</w:t>
            </w:r>
          </w:p>
        </w:tc>
        <w:tc>
          <w:tcPr>
            <w:tcW w:w="3125" w:type="pct"/>
            <w:vAlign w:val="center"/>
          </w:tcPr>
          <w:p w14:paraId="08FF2C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集中管理加密保护算法、密钥策略、加密的对象（数据库列），以及针对不同访问身份的解密规则，确保数据的机密性和完整性，防止未授权访问和数据泄露。</w:t>
            </w:r>
          </w:p>
        </w:tc>
      </w:tr>
      <w:tr w14:paraId="1B761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2EE86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85</w:t>
            </w:r>
          </w:p>
        </w:tc>
        <w:tc>
          <w:tcPr>
            <w:tcW w:w="1250" w:type="pct"/>
            <w:vAlign w:val="center"/>
          </w:tcPr>
          <w:p w14:paraId="73B4259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卫生健康数据统一安全管理_数据安全策略管控-凭据策略管理</w:t>
            </w:r>
          </w:p>
        </w:tc>
        <w:tc>
          <w:tcPr>
            <w:tcW w:w="3125" w:type="pct"/>
            <w:vAlign w:val="center"/>
          </w:tcPr>
          <w:p w14:paraId="6112709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管理凭据的使用对象、访问周期、访问目标、凭据类型、服务提供方式的规则，确保凭据的安全性和合规性，满足跨域环境和混合架构中凭据的安全。</w:t>
            </w:r>
          </w:p>
        </w:tc>
      </w:tr>
      <w:tr w14:paraId="5DA37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1B966B4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86</w:t>
            </w:r>
          </w:p>
        </w:tc>
        <w:tc>
          <w:tcPr>
            <w:tcW w:w="1250" w:type="pct"/>
            <w:vAlign w:val="center"/>
          </w:tcPr>
          <w:p w14:paraId="749E28E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卫生健康数据统一安全管理_数据安全策略管控-策略编排</w:t>
            </w:r>
          </w:p>
        </w:tc>
        <w:tc>
          <w:tcPr>
            <w:tcW w:w="3125" w:type="pct"/>
            <w:vAlign w:val="center"/>
          </w:tcPr>
          <w:p w14:paraId="72951D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针对访问授权，统一编排访问策略、脱敏策略、加解密策略和凭据策略，制定相应的匹配规则，并根据策略执行位置下发至不同的区域的数据安全网关、数据加解密网关、数据保险库。</w:t>
            </w:r>
          </w:p>
        </w:tc>
      </w:tr>
      <w:tr w14:paraId="38161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63796EE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87</w:t>
            </w:r>
          </w:p>
        </w:tc>
        <w:tc>
          <w:tcPr>
            <w:tcW w:w="1250" w:type="pct"/>
            <w:vAlign w:val="center"/>
          </w:tcPr>
          <w:p w14:paraId="44A1803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卫生健康数据统一安全管理_数据资产凭据管理</w:t>
            </w:r>
          </w:p>
        </w:tc>
        <w:tc>
          <w:tcPr>
            <w:tcW w:w="3125" w:type="pct"/>
            <w:vAlign w:val="center"/>
          </w:tcPr>
          <w:p w14:paraId="02C0C36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通过和凭据管理服务产品集成，实现凭据的全生命周期管理、凭据授权管理、凭据服务管理，满足数据跨域流动的凭据服务的要求。</w:t>
            </w:r>
          </w:p>
        </w:tc>
      </w:tr>
      <w:tr w14:paraId="32CFD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625" w:type="pct"/>
            <w:vAlign w:val="center"/>
          </w:tcPr>
          <w:p w14:paraId="42E4872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88</w:t>
            </w:r>
          </w:p>
        </w:tc>
        <w:tc>
          <w:tcPr>
            <w:tcW w:w="1250" w:type="pct"/>
            <w:vAlign w:val="center"/>
          </w:tcPr>
          <w:p w14:paraId="5420AFB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卫生健康数据统一安全管理_第三方接口对接</w:t>
            </w:r>
          </w:p>
        </w:tc>
        <w:tc>
          <w:tcPr>
            <w:tcW w:w="3125" w:type="pct"/>
            <w:vAlign w:val="center"/>
          </w:tcPr>
          <w:p w14:paraId="0501D8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第三方接口开发实现支持多类数据源的数据对接，如流量数据、网络数据、api接口调用等；同时通过开发数据外送接口，实现数据的可共享及三方平台调用的需求。</w:t>
            </w:r>
          </w:p>
        </w:tc>
      </w:tr>
    </w:tbl>
    <w:p w14:paraId="69C783E5">
      <w:pPr>
        <w:pStyle w:val="25"/>
        <w:rPr>
          <w:color w:val="auto"/>
          <w:highlight w:val="none"/>
        </w:rPr>
      </w:pPr>
    </w:p>
    <w:tbl>
      <w:tblPr>
        <w:tblStyle w:val="59"/>
        <w:tblW w:w="5000" w:type="pct"/>
        <w:tblInd w:w="0" w:type="dxa"/>
        <w:tblLayout w:type="autofit"/>
        <w:tblCellMar>
          <w:top w:w="0" w:type="dxa"/>
          <w:left w:w="108" w:type="dxa"/>
          <w:bottom w:w="0" w:type="dxa"/>
          <w:right w:w="108" w:type="dxa"/>
        </w:tblCellMar>
      </w:tblPr>
      <w:tblGrid>
        <w:gridCol w:w="1066"/>
        <w:gridCol w:w="2132"/>
        <w:gridCol w:w="5330"/>
      </w:tblGrid>
      <w:tr w14:paraId="151A1A1C">
        <w:tblPrEx>
          <w:tblCellMar>
            <w:top w:w="0" w:type="dxa"/>
            <w:left w:w="108" w:type="dxa"/>
            <w:bottom w:w="0" w:type="dxa"/>
            <w:right w:w="108" w:type="dxa"/>
          </w:tblCellMar>
        </w:tblPrEx>
        <w:trPr>
          <w:trHeight w:val="315"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261BD7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2、应用场景建设</w:t>
            </w:r>
          </w:p>
        </w:tc>
      </w:tr>
      <w:tr w14:paraId="76B315AE">
        <w:tblPrEx>
          <w:tblCellMar>
            <w:top w:w="0" w:type="dxa"/>
            <w:left w:w="108" w:type="dxa"/>
            <w:bottom w:w="0" w:type="dxa"/>
            <w:right w:w="108" w:type="dxa"/>
          </w:tblCellMar>
        </w:tblPrEx>
        <w:trPr>
          <w:trHeight w:val="1144" w:hRule="atLeast"/>
        </w:trPr>
        <w:tc>
          <w:tcPr>
            <w:tcW w:w="5000" w:type="pct"/>
            <w:gridSpan w:val="3"/>
            <w:tcBorders>
              <w:top w:val="single" w:color="000000" w:sz="4" w:space="0"/>
              <w:left w:val="single" w:color="000000" w:sz="4" w:space="0"/>
              <w:bottom w:val="single" w:color="000000" w:sz="4" w:space="0"/>
              <w:right w:val="single" w:color="000000" w:sz="4" w:space="0"/>
            </w:tcBorders>
            <w:vAlign w:val="center"/>
          </w:tcPr>
          <w:p w14:paraId="6F4FA762">
            <w:pPr>
              <w:widowControl/>
              <w:spacing w:line="240" w:lineRule="auto"/>
              <w:ind w:firstLine="420" w:firstLineChars="200"/>
              <w:jc w:val="left"/>
              <w:rPr>
                <w:rFonts w:cs="宋体"/>
                <w:color w:val="auto"/>
                <w:kern w:val="0"/>
                <w:sz w:val="21"/>
                <w:szCs w:val="21"/>
                <w:highlight w:val="none"/>
              </w:rPr>
            </w:pPr>
            <w:r>
              <w:rPr>
                <w:rFonts w:hint="eastAsia" w:cs="宋体"/>
                <w:color w:val="auto"/>
                <w:kern w:val="0"/>
                <w:sz w:val="21"/>
                <w:szCs w:val="21"/>
                <w:highlight w:val="none"/>
              </w:rPr>
              <w:t>在卫生健康数据融合（一期）的基础上开发建设上海市卫生健康一屏观</w:t>
            </w:r>
            <w:r>
              <w:rPr>
                <w:rFonts w:cs="宋体"/>
                <w:color w:val="auto"/>
                <w:kern w:val="0"/>
                <w:sz w:val="21"/>
                <w:szCs w:val="21"/>
                <w:highlight w:val="none"/>
              </w:rPr>
              <w:t>2.0、面向家庭医生的居民健康画像、基于生成式AI的卫生健康数据探查、基于区块链的专病库语料数据上链试点</w:t>
            </w:r>
            <w:r>
              <w:rPr>
                <w:rFonts w:hint="eastAsia" w:cs="宋体"/>
                <w:color w:val="auto"/>
                <w:kern w:val="0"/>
                <w:sz w:val="21"/>
                <w:szCs w:val="21"/>
                <w:highlight w:val="none"/>
              </w:rPr>
              <w:t>共4个应用场景，总计222个功能模块，进一步提升卫生健康数据融合平台在居民服务、企业赋能、医疗管理、政府决策等领域的应用水平。</w:t>
            </w:r>
          </w:p>
        </w:tc>
      </w:tr>
      <w:tr w14:paraId="31A22A0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568725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序号</w:t>
            </w:r>
          </w:p>
        </w:tc>
        <w:tc>
          <w:tcPr>
            <w:tcW w:w="1250" w:type="pct"/>
            <w:tcBorders>
              <w:top w:val="single" w:color="000000" w:sz="4" w:space="0"/>
              <w:left w:val="nil"/>
              <w:bottom w:val="single" w:color="000000" w:sz="4" w:space="0"/>
              <w:right w:val="single" w:color="000000" w:sz="4" w:space="0"/>
            </w:tcBorders>
            <w:vAlign w:val="center"/>
          </w:tcPr>
          <w:p w14:paraId="32F69E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功能名称</w:t>
            </w:r>
          </w:p>
        </w:tc>
        <w:tc>
          <w:tcPr>
            <w:tcW w:w="3125" w:type="pct"/>
            <w:tcBorders>
              <w:top w:val="single" w:color="000000" w:sz="4" w:space="0"/>
              <w:left w:val="nil"/>
              <w:bottom w:val="single" w:color="000000" w:sz="4" w:space="0"/>
              <w:right w:val="single" w:color="000000" w:sz="4" w:space="0"/>
            </w:tcBorders>
            <w:vAlign w:val="center"/>
          </w:tcPr>
          <w:p w14:paraId="3A3C2D4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功能描述</w:t>
            </w:r>
          </w:p>
        </w:tc>
      </w:tr>
      <w:tr w14:paraId="695810A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533269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w:t>
            </w:r>
          </w:p>
        </w:tc>
        <w:tc>
          <w:tcPr>
            <w:tcW w:w="1250" w:type="pct"/>
            <w:tcBorders>
              <w:top w:val="single" w:color="000000" w:sz="4" w:space="0"/>
              <w:left w:val="nil"/>
              <w:bottom w:val="single" w:color="000000" w:sz="4" w:space="0"/>
              <w:right w:val="single" w:color="000000" w:sz="4" w:space="0"/>
            </w:tcBorders>
            <w:vAlign w:val="center"/>
          </w:tcPr>
          <w:p w14:paraId="065C0C6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一屏观2.0_卫生健康数据总览-健康医疗服务</w:t>
            </w:r>
          </w:p>
        </w:tc>
        <w:tc>
          <w:tcPr>
            <w:tcW w:w="3125" w:type="pct"/>
            <w:tcBorders>
              <w:top w:val="single" w:color="000000" w:sz="4" w:space="0"/>
              <w:left w:val="nil"/>
              <w:bottom w:val="single" w:color="000000" w:sz="4" w:space="0"/>
              <w:right w:val="single" w:color="000000" w:sz="4" w:space="0"/>
            </w:tcBorders>
            <w:vAlign w:val="center"/>
          </w:tcPr>
          <w:p w14:paraId="1453AE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重点展示就诊服务、医疗应急、签约服务、新生儿出生等方面数据。</w:t>
            </w:r>
            <w:r>
              <w:rPr>
                <w:rFonts w:hint="eastAsia" w:cs="宋体"/>
                <w:color w:val="auto"/>
                <w:kern w:val="0"/>
                <w:sz w:val="21"/>
                <w:szCs w:val="21"/>
                <w:highlight w:val="none"/>
              </w:rPr>
              <w:br w:type="textWrapping"/>
            </w:r>
            <w:r>
              <w:rPr>
                <w:rFonts w:hint="eastAsia" w:cs="宋体"/>
                <w:color w:val="auto"/>
                <w:kern w:val="0"/>
                <w:sz w:val="21"/>
                <w:szCs w:val="21"/>
                <w:highlight w:val="none"/>
              </w:rPr>
              <w:t>就诊服务：展示门诊就诊人次数、急诊就诊人次数、住院人次数、出院人次数、手术人次数、重症患者人数、预约挂号量等，可按照日/月/年/累计切换统计。</w:t>
            </w:r>
            <w:r>
              <w:rPr>
                <w:rFonts w:hint="eastAsia" w:cs="宋体"/>
                <w:color w:val="auto"/>
                <w:kern w:val="0"/>
                <w:sz w:val="21"/>
                <w:szCs w:val="21"/>
                <w:highlight w:val="none"/>
              </w:rPr>
              <w:br w:type="textWrapping"/>
            </w:r>
            <w:r>
              <w:rPr>
                <w:rFonts w:hint="eastAsia" w:cs="宋体"/>
                <w:color w:val="auto"/>
                <w:kern w:val="0"/>
                <w:sz w:val="21"/>
                <w:szCs w:val="21"/>
                <w:highlight w:val="none"/>
              </w:rPr>
              <w:t>医疗应急：包括急救服务(120呼入数、120出车数、120待命数、120突发事件数)、医护情况（在岗急救医生数）、床位情况（重症床位空床数）、用血情况（近14天库存总量、近14天A型/B型/AB型/O型库存量）等。</w:t>
            </w:r>
            <w:r>
              <w:rPr>
                <w:rFonts w:hint="eastAsia" w:cs="宋体"/>
                <w:color w:val="auto"/>
                <w:kern w:val="0"/>
                <w:sz w:val="21"/>
                <w:szCs w:val="21"/>
                <w:highlight w:val="none"/>
              </w:rPr>
              <w:br w:type="textWrapping"/>
            </w:r>
            <w:r>
              <w:rPr>
                <w:rFonts w:hint="eastAsia" w:cs="宋体"/>
                <w:color w:val="auto"/>
                <w:kern w:val="0"/>
                <w:sz w:val="21"/>
                <w:szCs w:val="21"/>
                <w:highlight w:val="none"/>
              </w:rPr>
              <w:t>签约服务：实时展示常住居民签约人数及签约率、重点人群签约人数及签约率。</w:t>
            </w:r>
            <w:r>
              <w:rPr>
                <w:rFonts w:hint="eastAsia" w:cs="宋体"/>
                <w:color w:val="auto"/>
                <w:kern w:val="0"/>
                <w:sz w:val="21"/>
                <w:szCs w:val="21"/>
                <w:highlight w:val="none"/>
              </w:rPr>
              <w:br w:type="textWrapping"/>
            </w:r>
            <w:r>
              <w:rPr>
                <w:rFonts w:hint="eastAsia" w:cs="宋体"/>
                <w:color w:val="auto"/>
                <w:kern w:val="0"/>
                <w:sz w:val="21"/>
                <w:szCs w:val="21"/>
                <w:highlight w:val="none"/>
              </w:rPr>
              <w:t xml:space="preserve"> 新生儿出生：展示新生儿昨日新增人数、当年累计出生人数及同比。</w:t>
            </w:r>
          </w:p>
        </w:tc>
      </w:tr>
      <w:tr w14:paraId="5A26450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28383D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1250" w:type="pct"/>
            <w:tcBorders>
              <w:top w:val="single" w:color="000000" w:sz="4" w:space="0"/>
              <w:left w:val="nil"/>
              <w:bottom w:val="single" w:color="000000" w:sz="4" w:space="0"/>
              <w:right w:val="single" w:color="000000" w:sz="4" w:space="0"/>
            </w:tcBorders>
            <w:vAlign w:val="center"/>
          </w:tcPr>
          <w:p w14:paraId="3A6609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一屏观2.0_卫生健康数据总览-医院运维管理</w:t>
            </w:r>
          </w:p>
        </w:tc>
        <w:tc>
          <w:tcPr>
            <w:tcW w:w="3125" w:type="pct"/>
            <w:tcBorders>
              <w:top w:val="single" w:color="000000" w:sz="4" w:space="0"/>
              <w:left w:val="nil"/>
              <w:bottom w:val="single" w:color="000000" w:sz="4" w:space="0"/>
              <w:right w:val="single" w:color="000000" w:sz="4" w:space="0"/>
            </w:tcBorders>
            <w:vAlign w:val="center"/>
          </w:tcPr>
          <w:p w14:paraId="7799964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重点展示机构资源、医院运行、安全生产等方面数据。</w:t>
            </w:r>
            <w:r>
              <w:rPr>
                <w:rFonts w:hint="eastAsia" w:cs="宋体"/>
                <w:color w:val="auto"/>
                <w:kern w:val="0"/>
                <w:sz w:val="21"/>
                <w:szCs w:val="21"/>
                <w:highlight w:val="none"/>
              </w:rPr>
              <w:br w:type="textWrapping"/>
            </w:r>
            <w:r>
              <w:rPr>
                <w:rFonts w:hint="eastAsia" w:cs="宋体"/>
                <w:color w:val="auto"/>
                <w:kern w:val="0"/>
                <w:sz w:val="21"/>
                <w:szCs w:val="21"/>
                <w:highlight w:val="none"/>
              </w:rPr>
              <w:t>机构资源：统计医疗机构总数、三级医疗机构数、二级医疗机构数、社区卫生服务中心数。</w:t>
            </w:r>
            <w:r>
              <w:rPr>
                <w:rFonts w:hint="eastAsia" w:cs="宋体"/>
                <w:color w:val="auto"/>
                <w:kern w:val="0"/>
                <w:sz w:val="21"/>
                <w:szCs w:val="21"/>
                <w:highlight w:val="none"/>
              </w:rPr>
              <w:br w:type="textWrapping"/>
            </w:r>
            <w:r>
              <w:rPr>
                <w:rFonts w:hint="eastAsia" w:cs="宋体"/>
                <w:color w:val="auto"/>
                <w:kern w:val="0"/>
                <w:sz w:val="21"/>
                <w:szCs w:val="21"/>
                <w:highlight w:val="none"/>
              </w:rPr>
              <w:t xml:space="preserve"> 医院运行：截止上月的门急诊均次费用、住院均次费用、床位周转率等。</w:t>
            </w:r>
            <w:r>
              <w:rPr>
                <w:rFonts w:hint="eastAsia" w:cs="宋体"/>
                <w:color w:val="auto"/>
                <w:kern w:val="0"/>
                <w:sz w:val="21"/>
                <w:szCs w:val="21"/>
                <w:highlight w:val="none"/>
              </w:rPr>
              <w:br w:type="textWrapping"/>
            </w:r>
            <w:r>
              <w:rPr>
                <w:rFonts w:hint="eastAsia" w:cs="宋体"/>
                <w:color w:val="auto"/>
                <w:kern w:val="0"/>
                <w:sz w:val="21"/>
                <w:szCs w:val="21"/>
                <w:highlight w:val="none"/>
              </w:rPr>
              <w:t xml:space="preserve"> 安全生产：展示全市医疗卫生机构安全生产轻微事件数量、一般事件数、重要事件数等。</w:t>
            </w:r>
          </w:p>
        </w:tc>
      </w:tr>
      <w:tr w14:paraId="4C1C561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93322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w:t>
            </w:r>
          </w:p>
        </w:tc>
        <w:tc>
          <w:tcPr>
            <w:tcW w:w="1250" w:type="pct"/>
            <w:tcBorders>
              <w:top w:val="single" w:color="000000" w:sz="4" w:space="0"/>
              <w:left w:val="nil"/>
              <w:bottom w:val="single" w:color="000000" w:sz="4" w:space="0"/>
              <w:right w:val="single" w:color="000000" w:sz="4" w:space="0"/>
            </w:tcBorders>
            <w:vAlign w:val="center"/>
          </w:tcPr>
          <w:p w14:paraId="09CC714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一屏观2.0_卫生健康数据总览-政府监管决策</w:t>
            </w:r>
          </w:p>
        </w:tc>
        <w:tc>
          <w:tcPr>
            <w:tcW w:w="3125" w:type="pct"/>
            <w:tcBorders>
              <w:top w:val="single" w:color="000000" w:sz="4" w:space="0"/>
              <w:left w:val="nil"/>
              <w:bottom w:val="single" w:color="000000" w:sz="4" w:space="0"/>
              <w:right w:val="single" w:color="000000" w:sz="4" w:space="0"/>
            </w:tcBorders>
            <w:vAlign w:val="center"/>
          </w:tcPr>
          <w:p w14:paraId="03220B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重点展示医保监管、公共卫生监管、传染病监督等方面数据。</w:t>
            </w:r>
            <w:r>
              <w:rPr>
                <w:rFonts w:hint="eastAsia" w:cs="宋体"/>
                <w:color w:val="auto"/>
                <w:kern w:val="0"/>
                <w:sz w:val="21"/>
                <w:szCs w:val="21"/>
                <w:highlight w:val="none"/>
              </w:rPr>
              <w:br w:type="textWrapping"/>
            </w:r>
            <w:r>
              <w:rPr>
                <w:rFonts w:hint="eastAsia" w:cs="宋体"/>
                <w:color w:val="auto"/>
                <w:kern w:val="0"/>
                <w:sz w:val="21"/>
                <w:szCs w:val="21"/>
                <w:highlight w:val="none"/>
              </w:rPr>
              <w:t>医保监管：统计医保定点机构数、医保定点药房数、参保人数、职保人数、居保人数、结算人次数、结算费用、药品招采、医疗器械招采等。</w:t>
            </w:r>
            <w:r>
              <w:rPr>
                <w:rFonts w:hint="eastAsia" w:cs="宋体"/>
                <w:color w:val="auto"/>
                <w:kern w:val="0"/>
                <w:sz w:val="21"/>
                <w:szCs w:val="21"/>
                <w:highlight w:val="none"/>
              </w:rPr>
              <w:br w:type="textWrapping"/>
            </w:r>
            <w:r>
              <w:rPr>
                <w:rFonts w:hint="eastAsia" w:cs="宋体"/>
                <w:color w:val="auto"/>
                <w:kern w:val="0"/>
                <w:sz w:val="21"/>
                <w:szCs w:val="21"/>
                <w:highlight w:val="none"/>
              </w:rPr>
              <w:t>公共卫生监督：展示公共场所抽查合格率、生活饮用水抽查合格率。</w:t>
            </w:r>
            <w:r>
              <w:rPr>
                <w:rFonts w:hint="eastAsia" w:cs="宋体"/>
                <w:color w:val="auto"/>
                <w:kern w:val="0"/>
                <w:sz w:val="21"/>
                <w:szCs w:val="21"/>
                <w:highlight w:val="none"/>
              </w:rPr>
              <w:br w:type="textWrapping"/>
            </w:r>
            <w:r>
              <w:rPr>
                <w:rFonts w:hint="eastAsia" w:cs="宋体"/>
                <w:color w:val="auto"/>
                <w:kern w:val="0"/>
                <w:sz w:val="21"/>
                <w:szCs w:val="21"/>
                <w:highlight w:val="none"/>
              </w:rPr>
              <w:t>传染病监督：展示甲类、乙类、丙类等传染病的新增例数及环比。</w:t>
            </w:r>
          </w:p>
        </w:tc>
      </w:tr>
      <w:tr w14:paraId="066D5A2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620A5B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w:t>
            </w:r>
          </w:p>
        </w:tc>
        <w:tc>
          <w:tcPr>
            <w:tcW w:w="1250" w:type="pct"/>
            <w:tcBorders>
              <w:top w:val="single" w:color="000000" w:sz="4" w:space="0"/>
              <w:left w:val="nil"/>
              <w:bottom w:val="single" w:color="000000" w:sz="4" w:space="0"/>
              <w:right w:val="single" w:color="000000" w:sz="4" w:space="0"/>
            </w:tcBorders>
            <w:vAlign w:val="center"/>
          </w:tcPr>
          <w:p w14:paraId="5D829F7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一屏观2.0_卫生健康数据总览-产业赋能增效</w:t>
            </w:r>
          </w:p>
        </w:tc>
        <w:tc>
          <w:tcPr>
            <w:tcW w:w="3125" w:type="pct"/>
            <w:tcBorders>
              <w:top w:val="single" w:color="000000" w:sz="4" w:space="0"/>
              <w:left w:val="nil"/>
              <w:bottom w:val="single" w:color="000000" w:sz="4" w:space="0"/>
              <w:right w:val="single" w:color="000000" w:sz="4" w:space="0"/>
            </w:tcBorders>
            <w:vAlign w:val="center"/>
          </w:tcPr>
          <w:p w14:paraId="772CA2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重点展示专病和专利情况，包括专病库数量、各专病参与中心数、各医院入组患者数、各专病入组患者数、国内外专利授权数、国内外专利转化数等。</w:t>
            </w:r>
          </w:p>
        </w:tc>
      </w:tr>
      <w:tr w14:paraId="4328A8D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C2843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w:t>
            </w:r>
          </w:p>
        </w:tc>
        <w:tc>
          <w:tcPr>
            <w:tcW w:w="1250" w:type="pct"/>
            <w:tcBorders>
              <w:top w:val="single" w:color="000000" w:sz="4" w:space="0"/>
              <w:left w:val="nil"/>
              <w:bottom w:val="single" w:color="000000" w:sz="4" w:space="0"/>
              <w:right w:val="single" w:color="000000" w:sz="4" w:space="0"/>
            </w:tcBorders>
            <w:vAlign w:val="center"/>
          </w:tcPr>
          <w:p w14:paraId="1FC329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一屏观2.0_健康医疗服务-健康档案</w:t>
            </w:r>
          </w:p>
        </w:tc>
        <w:tc>
          <w:tcPr>
            <w:tcW w:w="3125" w:type="pct"/>
            <w:tcBorders>
              <w:top w:val="single" w:color="000000" w:sz="4" w:space="0"/>
              <w:left w:val="nil"/>
              <w:bottom w:val="single" w:color="000000" w:sz="4" w:space="0"/>
              <w:right w:val="single" w:color="000000" w:sz="4" w:space="0"/>
            </w:tcBorders>
            <w:vAlign w:val="center"/>
          </w:tcPr>
          <w:p w14:paraId="1D25833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展示国标居民健康档案建档数、居民健康档案更新数、居民健康档案调阅数，支持按照日/月/年/累计等条件查询。</w:t>
            </w:r>
          </w:p>
        </w:tc>
      </w:tr>
      <w:tr w14:paraId="44E7E47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9E2B06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w:t>
            </w:r>
          </w:p>
        </w:tc>
        <w:tc>
          <w:tcPr>
            <w:tcW w:w="1250" w:type="pct"/>
            <w:tcBorders>
              <w:top w:val="single" w:color="000000" w:sz="4" w:space="0"/>
              <w:left w:val="nil"/>
              <w:bottom w:val="single" w:color="000000" w:sz="4" w:space="0"/>
              <w:right w:val="single" w:color="000000" w:sz="4" w:space="0"/>
            </w:tcBorders>
            <w:vAlign w:val="center"/>
          </w:tcPr>
          <w:p w14:paraId="589626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一屏观2.0_健康医疗服务-签约情况</w:t>
            </w:r>
          </w:p>
        </w:tc>
        <w:tc>
          <w:tcPr>
            <w:tcW w:w="3125" w:type="pct"/>
            <w:tcBorders>
              <w:top w:val="single" w:color="000000" w:sz="4" w:space="0"/>
              <w:left w:val="nil"/>
              <w:bottom w:val="single" w:color="000000" w:sz="4" w:space="0"/>
              <w:right w:val="single" w:color="000000" w:sz="4" w:space="0"/>
            </w:tcBorders>
            <w:vAlign w:val="center"/>
          </w:tcPr>
          <w:p w14:paraId="135F2A5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展示签约总人数、签约组合内就诊率、重点人群组合内就诊率等。以图表形式展示上海市各区的常住居民签约情况和重点人群签约情况。</w:t>
            </w:r>
          </w:p>
        </w:tc>
      </w:tr>
      <w:tr w14:paraId="6D7259D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F35283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w:t>
            </w:r>
          </w:p>
        </w:tc>
        <w:tc>
          <w:tcPr>
            <w:tcW w:w="1250" w:type="pct"/>
            <w:tcBorders>
              <w:top w:val="single" w:color="000000" w:sz="4" w:space="0"/>
              <w:left w:val="nil"/>
              <w:bottom w:val="single" w:color="000000" w:sz="4" w:space="0"/>
              <w:right w:val="single" w:color="000000" w:sz="4" w:space="0"/>
            </w:tcBorders>
            <w:vAlign w:val="center"/>
          </w:tcPr>
          <w:p w14:paraId="05547E2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一屏观2.0_健康医疗服务-优先号源结构比</w:t>
            </w:r>
          </w:p>
        </w:tc>
        <w:tc>
          <w:tcPr>
            <w:tcW w:w="3125" w:type="pct"/>
            <w:tcBorders>
              <w:top w:val="single" w:color="000000" w:sz="4" w:space="0"/>
              <w:left w:val="nil"/>
              <w:bottom w:val="single" w:color="000000" w:sz="4" w:space="0"/>
              <w:right w:val="single" w:color="000000" w:sz="4" w:space="0"/>
            </w:tcBorders>
            <w:vAlign w:val="center"/>
          </w:tcPr>
          <w:p w14:paraId="1579670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图表展示普通号源、专家号源、专科专病号源、特需号源等四类号源的居民实际预约数量占比。</w:t>
            </w:r>
          </w:p>
        </w:tc>
      </w:tr>
      <w:tr w14:paraId="61ECA87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EDBFA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w:t>
            </w:r>
          </w:p>
        </w:tc>
        <w:tc>
          <w:tcPr>
            <w:tcW w:w="1250" w:type="pct"/>
            <w:tcBorders>
              <w:top w:val="single" w:color="000000" w:sz="4" w:space="0"/>
              <w:left w:val="nil"/>
              <w:bottom w:val="single" w:color="000000" w:sz="4" w:space="0"/>
              <w:right w:val="single" w:color="000000" w:sz="4" w:space="0"/>
            </w:tcBorders>
            <w:vAlign w:val="center"/>
          </w:tcPr>
          <w:p w14:paraId="79DE8A8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一屏观2.0_健康医疗服务-热线服务</w:t>
            </w:r>
          </w:p>
        </w:tc>
        <w:tc>
          <w:tcPr>
            <w:tcW w:w="3125" w:type="pct"/>
            <w:tcBorders>
              <w:top w:val="single" w:color="000000" w:sz="4" w:space="0"/>
              <w:left w:val="nil"/>
              <w:bottom w:val="single" w:color="000000" w:sz="4" w:space="0"/>
              <w:right w:val="single" w:color="000000" w:sz="4" w:space="0"/>
            </w:tcBorders>
            <w:vAlign w:val="center"/>
          </w:tcPr>
          <w:p w14:paraId="6975A9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962525心理热线：展示上海市心理热线962525当日有效接电次数、累计有效接电次数。</w:t>
            </w:r>
            <w:r>
              <w:rPr>
                <w:rFonts w:hint="eastAsia" w:cs="宋体"/>
                <w:color w:val="auto"/>
                <w:kern w:val="0"/>
                <w:sz w:val="21"/>
                <w:szCs w:val="21"/>
                <w:highlight w:val="none"/>
              </w:rPr>
              <w:br w:type="textWrapping"/>
            </w:r>
            <w:r>
              <w:rPr>
                <w:rFonts w:hint="eastAsia" w:cs="宋体"/>
                <w:color w:val="auto"/>
                <w:kern w:val="0"/>
                <w:sz w:val="21"/>
                <w:szCs w:val="21"/>
                <w:highlight w:val="none"/>
              </w:rPr>
              <w:t>12320卫生热线：展示上海市卫生热线当日接通量、卫生热线工单量。</w:t>
            </w:r>
          </w:p>
        </w:tc>
      </w:tr>
      <w:tr w14:paraId="2A04811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F06DD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w:t>
            </w:r>
          </w:p>
        </w:tc>
        <w:tc>
          <w:tcPr>
            <w:tcW w:w="1250" w:type="pct"/>
            <w:tcBorders>
              <w:top w:val="single" w:color="000000" w:sz="4" w:space="0"/>
              <w:left w:val="nil"/>
              <w:bottom w:val="single" w:color="000000" w:sz="4" w:space="0"/>
              <w:right w:val="single" w:color="000000" w:sz="4" w:space="0"/>
            </w:tcBorders>
            <w:vAlign w:val="center"/>
          </w:tcPr>
          <w:p w14:paraId="555D176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一屏观2.0_健康医疗服务-慢性病健康管理</w:t>
            </w:r>
          </w:p>
        </w:tc>
        <w:tc>
          <w:tcPr>
            <w:tcW w:w="3125" w:type="pct"/>
            <w:tcBorders>
              <w:top w:val="single" w:color="000000" w:sz="4" w:space="0"/>
              <w:left w:val="nil"/>
              <w:bottom w:val="single" w:color="000000" w:sz="4" w:space="0"/>
              <w:right w:val="single" w:color="000000" w:sz="4" w:space="0"/>
            </w:tcBorders>
            <w:vAlign w:val="center"/>
          </w:tcPr>
          <w:p w14:paraId="6F58501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展示糖尿病在管人数、高血压在管人数、慢性病健康管理支持中心数量、支持中心服务人次数、支持中心发现健康指标异常人次数。</w:t>
            </w:r>
          </w:p>
        </w:tc>
      </w:tr>
      <w:tr w14:paraId="343D16C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9D9B6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w:t>
            </w:r>
          </w:p>
        </w:tc>
        <w:tc>
          <w:tcPr>
            <w:tcW w:w="1250" w:type="pct"/>
            <w:tcBorders>
              <w:top w:val="single" w:color="000000" w:sz="4" w:space="0"/>
              <w:left w:val="nil"/>
              <w:bottom w:val="single" w:color="000000" w:sz="4" w:space="0"/>
              <w:right w:val="single" w:color="000000" w:sz="4" w:space="0"/>
            </w:tcBorders>
            <w:vAlign w:val="center"/>
          </w:tcPr>
          <w:p w14:paraId="002A41B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一屏观2.0_健康医疗服务-免疫规划接种</w:t>
            </w:r>
          </w:p>
        </w:tc>
        <w:tc>
          <w:tcPr>
            <w:tcW w:w="3125" w:type="pct"/>
            <w:tcBorders>
              <w:top w:val="single" w:color="000000" w:sz="4" w:space="0"/>
              <w:left w:val="nil"/>
              <w:bottom w:val="single" w:color="000000" w:sz="4" w:space="0"/>
              <w:right w:val="single" w:color="000000" w:sz="4" w:space="0"/>
            </w:tcBorders>
            <w:vAlign w:val="center"/>
          </w:tcPr>
          <w:p w14:paraId="7027719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展示疫苗接种人次数、疫苗储备剂次、0-6岁儿童接种人次、儿童接种率等指标。</w:t>
            </w:r>
          </w:p>
        </w:tc>
      </w:tr>
      <w:tr w14:paraId="7BD10AD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69FBA9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w:t>
            </w:r>
          </w:p>
        </w:tc>
        <w:tc>
          <w:tcPr>
            <w:tcW w:w="1250" w:type="pct"/>
            <w:tcBorders>
              <w:top w:val="single" w:color="000000" w:sz="4" w:space="0"/>
              <w:left w:val="nil"/>
              <w:bottom w:val="single" w:color="000000" w:sz="4" w:space="0"/>
              <w:right w:val="single" w:color="000000" w:sz="4" w:space="0"/>
            </w:tcBorders>
            <w:vAlign w:val="center"/>
          </w:tcPr>
          <w:p w14:paraId="58C70F9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一屏观2.0_健康医疗服务-儿童保健</w:t>
            </w:r>
          </w:p>
        </w:tc>
        <w:tc>
          <w:tcPr>
            <w:tcW w:w="3125" w:type="pct"/>
            <w:tcBorders>
              <w:top w:val="single" w:color="000000" w:sz="4" w:space="0"/>
              <w:left w:val="nil"/>
              <w:bottom w:val="single" w:color="000000" w:sz="4" w:space="0"/>
              <w:right w:val="single" w:color="000000" w:sz="4" w:space="0"/>
            </w:tcBorders>
            <w:vAlign w:val="center"/>
          </w:tcPr>
          <w:p w14:paraId="67AD3B8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展示7岁以下儿童数、7岁以下儿童管理人数、7岁以下儿童健康管理率等指标。</w:t>
            </w:r>
          </w:p>
        </w:tc>
      </w:tr>
      <w:tr w14:paraId="3D48A52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D9AF7A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w:t>
            </w:r>
          </w:p>
        </w:tc>
        <w:tc>
          <w:tcPr>
            <w:tcW w:w="1250" w:type="pct"/>
            <w:tcBorders>
              <w:top w:val="single" w:color="000000" w:sz="4" w:space="0"/>
              <w:left w:val="nil"/>
              <w:bottom w:val="single" w:color="000000" w:sz="4" w:space="0"/>
              <w:right w:val="single" w:color="000000" w:sz="4" w:space="0"/>
            </w:tcBorders>
            <w:vAlign w:val="center"/>
          </w:tcPr>
          <w:p w14:paraId="5D1AEDF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一屏观2.0_健康医疗服务-中医服务</w:t>
            </w:r>
          </w:p>
        </w:tc>
        <w:tc>
          <w:tcPr>
            <w:tcW w:w="3125" w:type="pct"/>
            <w:tcBorders>
              <w:top w:val="single" w:color="000000" w:sz="4" w:space="0"/>
              <w:left w:val="nil"/>
              <w:bottom w:val="single" w:color="000000" w:sz="4" w:space="0"/>
              <w:right w:val="single" w:color="000000" w:sz="4" w:space="0"/>
            </w:tcBorders>
            <w:vAlign w:val="center"/>
          </w:tcPr>
          <w:p w14:paraId="6D28476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统计公立中医医院数量、中医类别（助理）医师数、中医医院床位数、提供治未病服务的中医医院数、提供康复服务的中医医院数、提供急诊服务的中医医院数等指标。</w:t>
            </w:r>
            <w:r>
              <w:rPr>
                <w:rFonts w:hint="eastAsia" w:cs="宋体"/>
                <w:color w:val="auto"/>
                <w:kern w:val="0"/>
                <w:sz w:val="21"/>
                <w:szCs w:val="21"/>
                <w:highlight w:val="none"/>
              </w:rPr>
              <w:br w:type="textWrapping"/>
            </w:r>
            <w:r>
              <w:rPr>
                <w:rFonts w:hint="eastAsia" w:cs="宋体"/>
                <w:color w:val="auto"/>
                <w:kern w:val="0"/>
                <w:sz w:val="21"/>
                <w:szCs w:val="21"/>
                <w:highlight w:val="none"/>
              </w:rPr>
              <w:t>中医医院：包括中医医院门诊中药饮片处方数、中医医院门诊中药饮片使用率、中医医院门诊中医非药物疗法使用人次数、中医医院门诊中医非药物疗法使用率、中医医院出院患者中药饮片使用率、中医医院出院患者中医非药物疗法使用率等指标。</w:t>
            </w:r>
            <w:r>
              <w:rPr>
                <w:rFonts w:hint="eastAsia" w:cs="宋体"/>
                <w:color w:val="auto"/>
                <w:kern w:val="0"/>
                <w:sz w:val="21"/>
                <w:szCs w:val="21"/>
                <w:highlight w:val="none"/>
              </w:rPr>
              <w:br w:type="textWrapping"/>
            </w:r>
            <w:r>
              <w:rPr>
                <w:rFonts w:hint="eastAsia" w:cs="宋体"/>
                <w:color w:val="auto"/>
                <w:kern w:val="0"/>
                <w:sz w:val="21"/>
                <w:szCs w:val="21"/>
                <w:highlight w:val="none"/>
              </w:rPr>
              <w:t>社区中医：包括社区在岗中医类别执业（助理）医师数、社区门诊中药饮片处方数、社区应用中医非药物疗法诊疗人次数、社区平均提供中医基本病种数、社区平均提供中医医疗技术种类数、社区平均提供中医非药物疗法项目数等指标。</w:t>
            </w:r>
            <w:r>
              <w:rPr>
                <w:rFonts w:hint="eastAsia" w:cs="宋体"/>
                <w:color w:val="auto"/>
                <w:kern w:val="0"/>
                <w:sz w:val="21"/>
                <w:szCs w:val="21"/>
                <w:highlight w:val="none"/>
              </w:rPr>
              <w:br w:type="textWrapping"/>
            </w:r>
            <w:r>
              <w:rPr>
                <w:rFonts w:hint="eastAsia" w:cs="宋体"/>
                <w:color w:val="auto"/>
                <w:kern w:val="0"/>
                <w:sz w:val="21"/>
                <w:szCs w:val="21"/>
                <w:highlight w:val="none"/>
              </w:rPr>
              <w:t>中药饮片：包括溯源饮片临床应用大品种数、中药材溯源基地数、中药代煎配送处方总数等指标。</w:t>
            </w:r>
          </w:p>
        </w:tc>
      </w:tr>
      <w:tr w14:paraId="17FAC26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6F53F9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w:t>
            </w:r>
          </w:p>
        </w:tc>
        <w:tc>
          <w:tcPr>
            <w:tcW w:w="1250" w:type="pct"/>
            <w:tcBorders>
              <w:top w:val="single" w:color="000000" w:sz="4" w:space="0"/>
              <w:left w:val="nil"/>
              <w:bottom w:val="single" w:color="000000" w:sz="4" w:space="0"/>
              <w:right w:val="single" w:color="000000" w:sz="4" w:space="0"/>
            </w:tcBorders>
            <w:vAlign w:val="center"/>
          </w:tcPr>
          <w:p w14:paraId="299607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一屏观2.0_健康医疗服务-精神卫生</w:t>
            </w:r>
          </w:p>
        </w:tc>
        <w:tc>
          <w:tcPr>
            <w:tcW w:w="3125" w:type="pct"/>
            <w:tcBorders>
              <w:top w:val="single" w:color="000000" w:sz="4" w:space="0"/>
              <w:left w:val="nil"/>
              <w:bottom w:val="single" w:color="000000" w:sz="4" w:space="0"/>
              <w:right w:val="single" w:color="000000" w:sz="4" w:space="0"/>
            </w:tcBorders>
            <w:vAlign w:val="center"/>
          </w:tcPr>
          <w:p w14:paraId="7B9B82E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统计本市在管理严重精神障碍患者人数。</w:t>
            </w:r>
          </w:p>
        </w:tc>
      </w:tr>
      <w:tr w14:paraId="31E18C5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017AA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w:t>
            </w:r>
          </w:p>
        </w:tc>
        <w:tc>
          <w:tcPr>
            <w:tcW w:w="1250" w:type="pct"/>
            <w:tcBorders>
              <w:top w:val="single" w:color="000000" w:sz="4" w:space="0"/>
              <w:left w:val="nil"/>
              <w:bottom w:val="single" w:color="000000" w:sz="4" w:space="0"/>
              <w:right w:val="single" w:color="000000" w:sz="4" w:space="0"/>
            </w:tcBorders>
            <w:vAlign w:val="center"/>
          </w:tcPr>
          <w:p w14:paraId="75CC500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一屏观2.0_健康医疗服务-计划生育</w:t>
            </w:r>
          </w:p>
        </w:tc>
        <w:tc>
          <w:tcPr>
            <w:tcW w:w="3125" w:type="pct"/>
            <w:tcBorders>
              <w:top w:val="single" w:color="000000" w:sz="4" w:space="0"/>
              <w:left w:val="nil"/>
              <w:bottom w:val="single" w:color="000000" w:sz="4" w:space="0"/>
              <w:right w:val="single" w:color="000000" w:sz="4" w:space="0"/>
            </w:tcBorders>
            <w:vAlign w:val="center"/>
          </w:tcPr>
          <w:p w14:paraId="3A282A0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展示年老退休一次性计划生育奖励办理人数、年老退休一次性计划生育奖励发放金额、农村计划生育奖励扶助金扶助人数、农村计划生育奖励扶助金发放金额等数据。</w:t>
            </w:r>
          </w:p>
        </w:tc>
      </w:tr>
      <w:tr w14:paraId="67C7FAF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4D19C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w:t>
            </w:r>
          </w:p>
        </w:tc>
        <w:tc>
          <w:tcPr>
            <w:tcW w:w="1250" w:type="pct"/>
            <w:tcBorders>
              <w:top w:val="single" w:color="000000" w:sz="4" w:space="0"/>
              <w:left w:val="nil"/>
              <w:bottom w:val="single" w:color="000000" w:sz="4" w:space="0"/>
              <w:right w:val="single" w:color="000000" w:sz="4" w:space="0"/>
            </w:tcBorders>
            <w:vAlign w:val="center"/>
          </w:tcPr>
          <w:p w14:paraId="687765F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一屏观2.0_医院运维管理-机构资源</w:t>
            </w:r>
          </w:p>
        </w:tc>
        <w:tc>
          <w:tcPr>
            <w:tcW w:w="3125" w:type="pct"/>
            <w:tcBorders>
              <w:top w:val="single" w:color="000000" w:sz="4" w:space="0"/>
              <w:left w:val="nil"/>
              <w:bottom w:val="single" w:color="000000" w:sz="4" w:space="0"/>
              <w:right w:val="single" w:color="000000" w:sz="4" w:space="0"/>
            </w:tcBorders>
            <w:vAlign w:val="center"/>
          </w:tcPr>
          <w:p w14:paraId="478F84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统计上海市医疗机构总数，重点展示专业公共卫生机构数量、基层医疗卫生机构、其他类型机构的数量，以及三级医疗机构、二级医疗机构和社区卫生服务中心等数量。</w:t>
            </w:r>
          </w:p>
        </w:tc>
      </w:tr>
      <w:tr w14:paraId="22E2304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DF2F4E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w:t>
            </w:r>
          </w:p>
        </w:tc>
        <w:tc>
          <w:tcPr>
            <w:tcW w:w="1250" w:type="pct"/>
            <w:tcBorders>
              <w:top w:val="single" w:color="000000" w:sz="4" w:space="0"/>
              <w:left w:val="nil"/>
              <w:bottom w:val="single" w:color="000000" w:sz="4" w:space="0"/>
              <w:right w:val="single" w:color="000000" w:sz="4" w:space="0"/>
            </w:tcBorders>
            <w:vAlign w:val="center"/>
          </w:tcPr>
          <w:p w14:paraId="6CAAE7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一屏观2.0_医院运维管理-床位资源</w:t>
            </w:r>
          </w:p>
        </w:tc>
        <w:tc>
          <w:tcPr>
            <w:tcW w:w="3125" w:type="pct"/>
            <w:tcBorders>
              <w:top w:val="single" w:color="000000" w:sz="4" w:space="0"/>
              <w:left w:val="nil"/>
              <w:bottom w:val="single" w:color="000000" w:sz="4" w:space="0"/>
              <w:right w:val="single" w:color="000000" w:sz="4" w:space="0"/>
            </w:tcBorders>
            <w:vAlign w:val="center"/>
          </w:tcPr>
          <w:p w14:paraId="738DD2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床位情况、专科床位、重症床位等，包括历年核定床位数、实际开放床位数、重要专科床位数量（中医）、重要专科床位数量（康复）、重要专科床位数量（感染性疾病科）、重症床位总数、综合ICU床位数、专科ICU床位数、当前重症床位空床数。</w:t>
            </w:r>
          </w:p>
        </w:tc>
      </w:tr>
      <w:tr w14:paraId="7DE76D6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A6408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w:t>
            </w:r>
          </w:p>
        </w:tc>
        <w:tc>
          <w:tcPr>
            <w:tcW w:w="1250" w:type="pct"/>
            <w:tcBorders>
              <w:top w:val="single" w:color="000000" w:sz="4" w:space="0"/>
              <w:left w:val="nil"/>
              <w:bottom w:val="single" w:color="000000" w:sz="4" w:space="0"/>
              <w:right w:val="single" w:color="000000" w:sz="4" w:space="0"/>
            </w:tcBorders>
            <w:vAlign w:val="center"/>
          </w:tcPr>
          <w:p w14:paraId="4AA949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一屏观2.0_医院运维管理-人力资源</w:t>
            </w:r>
          </w:p>
        </w:tc>
        <w:tc>
          <w:tcPr>
            <w:tcW w:w="3125" w:type="pct"/>
            <w:tcBorders>
              <w:top w:val="single" w:color="000000" w:sz="4" w:space="0"/>
              <w:left w:val="nil"/>
              <w:bottom w:val="single" w:color="000000" w:sz="4" w:space="0"/>
              <w:right w:val="single" w:color="000000" w:sz="4" w:space="0"/>
            </w:tcBorders>
            <w:vAlign w:val="center"/>
          </w:tcPr>
          <w:p w14:paraId="5B699E3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统计卫生技术人员数（医生、护理人员、药剂师、医技人员、管理人员、其他等）、在岗急救医生数量、医护比、护床比、医床比等数据。</w:t>
            </w:r>
          </w:p>
        </w:tc>
      </w:tr>
      <w:tr w14:paraId="23DFB13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25D2F4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w:t>
            </w:r>
          </w:p>
        </w:tc>
        <w:tc>
          <w:tcPr>
            <w:tcW w:w="1250" w:type="pct"/>
            <w:tcBorders>
              <w:top w:val="single" w:color="000000" w:sz="4" w:space="0"/>
              <w:left w:val="nil"/>
              <w:bottom w:val="single" w:color="000000" w:sz="4" w:space="0"/>
              <w:right w:val="single" w:color="000000" w:sz="4" w:space="0"/>
            </w:tcBorders>
            <w:vAlign w:val="center"/>
          </w:tcPr>
          <w:p w14:paraId="3BEBCAC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一屏观2.0_医院运维管理-设备资源</w:t>
            </w:r>
          </w:p>
        </w:tc>
        <w:tc>
          <w:tcPr>
            <w:tcW w:w="3125" w:type="pct"/>
            <w:tcBorders>
              <w:top w:val="single" w:color="000000" w:sz="4" w:space="0"/>
              <w:left w:val="nil"/>
              <w:bottom w:val="single" w:color="000000" w:sz="4" w:space="0"/>
              <w:right w:val="single" w:color="000000" w:sz="4" w:space="0"/>
            </w:tcBorders>
            <w:vAlign w:val="center"/>
          </w:tcPr>
          <w:p w14:paraId="5FCF04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展示列入国务院卫生行政部门管理品目以及尚未列入管理品目、省级区域内首次配置的整套单价在500万元人民币以上的各种医用设备总量和排名。</w:t>
            </w:r>
          </w:p>
        </w:tc>
      </w:tr>
      <w:tr w14:paraId="3E68401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79EBC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w:t>
            </w:r>
          </w:p>
        </w:tc>
        <w:tc>
          <w:tcPr>
            <w:tcW w:w="1250" w:type="pct"/>
            <w:tcBorders>
              <w:top w:val="single" w:color="000000" w:sz="4" w:space="0"/>
              <w:left w:val="nil"/>
              <w:bottom w:val="single" w:color="000000" w:sz="4" w:space="0"/>
              <w:right w:val="single" w:color="000000" w:sz="4" w:space="0"/>
            </w:tcBorders>
            <w:vAlign w:val="center"/>
          </w:tcPr>
          <w:p w14:paraId="7FA3674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一屏观2.0_医院运维管理-医疗运营</w:t>
            </w:r>
          </w:p>
        </w:tc>
        <w:tc>
          <w:tcPr>
            <w:tcW w:w="3125" w:type="pct"/>
            <w:tcBorders>
              <w:top w:val="single" w:color="000000" w:sz="4" w:space="0"/>
              <w:left w:val="nil"/>
              <w:bottom w:val="single" w:color="000000" w:sz="4" w:space="0"/>
              <w:right w:val="single" w:color="000000" w:sz="4" w:space="0"/>
            </w:tcBorders>
            <w:vAlign w:val="center"/>
          </w:tcPr>
          <w:p w14:paraId="3ABEA26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运营情况：包括医疗总收入、药品总收入、门急诊患者均次费用、门急诊患者均次药费、住院医疗总收入、住院药品总收入、出院患者均次费用、出院患者均次药费等。</w:t>
            </w:r>
            <w:r>
              <w:rPr>
                <w:rFonts w:hint="eastAsia" w:cs="宋体"/>
                <w:color w:val="auto"/>
                <w:kern w:val="0"/>
                <w:sz w:val="21"/>
                <w:szCs w:val="21"/>
                <w:highlight w:val="none"/>
              </w:rPr>
              <w:br w:type="textWrapping"/>
            </w:r>
            <w:r>
              <w:rPr>
                <w:rFonts w:hint="eastAsia" w:cs="宋体"/>
                <w:color w:val="auto"/>
                <w:kern w:val="0"/>
                <w:sz w:val="21"/>
                <w:szCs w:val="21"/>
                <w:highlight w:val="none"/>
              </w:rPr>
              <w:t>后勤保障：展示后勤保障接入的机构数、医疗机构医疗废物产生量（单位：吨）。</w:t>
            </w:r>
            <w:r>
              <w:rPr>
                <w:rFonts w:hint="eastAsia" w:cs="宋体"/>
                <w:color w:val="auto"/>
                <w:kern w:val="0"/>
                <w:sz w:val="21"/>
                <w:szCs w:val="21"/>
                <w:highlight w:val="none"/>
              </w:rPr>
              <w:br w:type="textWrapping"/>
            </w:r>
            <w:r>
              <w:rPr>
                <w:rFonts w:hint="eastAsia" w:cs="宋体"/>
                <w:color w:val="auto"/>
                <w:kern w:val="0"/>
                <w:sz w:val="21"/>
                <w:szCs w:val="21"/>
                <w:highlight w:val="none"/>
              </w:rPr>
              <w:t>安全生产：展示全市医疗卫生机构安全生产达标创建单位数量。</w:t>
            </w:r>
          </w:p>
        </w:tc>
      </w:tr>
      <w:tr w14:paraId="19A2DEC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6EF4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w:t>
            </w:r>
          </w:p>
        </w:tc>
        <w:tc>
          <w:tcPr>
            <w:tcW w:w="1250" w:type="pct"/>
            <w:tcBorders>
              <w:top w:val="single" w:color="000000" w:sz="4" w:space="0"/>
              <w:left w:val="nil"/>
              <w:bottom w:val="single" w:color="000000" w:sz="4" w:space="0"/>
              <w:right w:val="single" w:color="000000" w:sz="4" w:space="0"/>
            </w:tcBorders>
            <w:vAlign w:val="center"/>
          </w:tcPr>
          <w:p w14:paraId="7BB0D1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一屏观2.0_医院运维管理-医疗质量</w:t>
            </w:r>
          </w:p>
        </w:tc>
        <w:tc>
          <w:tcPr>
            <w:tcW w:w="3125" w:type="pct"/>
            <w:tcBorders>
              <w:top w:val="single" w:color="000000" w:sz="4" w:space="0"/>
              <w:left w:val="nil"/>
              <w:bottom w:val="single" w:color="000000" w:sz="4" w:space="0"/>
              <w:right w:val="single" w:color="000000" w:sz="4" w:space="0"/>
            </w:tcBorders>
            <w:vAlign w:val="center"/>
          </w:tcPr>
          <w:p w14:paraId="495695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统计I类切口手术抗菌药物预防使用率、患者出院后0-31天非预期再入院率、术后48小时内非预期重返手术室再次手术率等。</w:t>
            </w:r>
          </w:p>
        </w:tc>
      </w:tr>
      <w:tr w14:paraId="1799F5E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849A4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w:t>
            </w:r>
          </w:p>
        </w:tc>
        <w:tc>
          <w:tcPr>
            <w:tcW w:w="1250" w:type="pct"/>
            <w:tcBorders>
              <w:top w:val="single" w:color="000000" w:sz="4" w:space="0"/>
              <w:left w:val="nil"/>
              <w:bottom w:val="single" w:color="000000" w:sz="4" w:space="0"/>
              <w:right w:val="single" w:color="000000" w:sz="4" w:space="0"/>
            </w:tcBorders>
            <w:vAlign w:val="center"/>
          </w:tcPr>
          <w:p w14:paraId="5C43456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一屏观2.0_医院运维管理-医疗安全</w:t>
            </w:r>
          </w:p>
        </w:tc>
        <w:tc>
          <w:tcPr>
            <w:tcW w:w="3125" w:type="pct"/>
            <w:tcBorders>
              <w:top w:val="single" w:color="000000" w:sz="4" w:space="0"/>
              <w:left w:val="nil"/>
              <w:bottom w:val="single" w:color="000000" w:sz="4" w:space="0"/>
              <w:right w:val="single" w:color="000000" w:sz="4" w:space="0"/>
            </w:tcBorders>
            <w:vAlign w:val="center"/>
          </w:tcPr>
          <w:p w14:paraId="1BC960F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包括住院患者死亡数、手术患者并发症发生率、住院患者死亡率、DRG低风险病组死亡率、出院患者抗菌药物使用率</w:t>
            </w:r>
          </w:p>
        </w:tc>
      </w:tr>
      <w:tr w14:paraId="63D6766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87BFA7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22</w:t>
            </w:r>
          </w:p>
        </w:tc>
        <w:tc>
          <w:tcPr>
            <w:tcW w:w="1250" w:type="pct"/>
            <w:tcBorders>
              <w:top w:val="single" w:color="000000" w:sz="4" w:space="0"/>
              <w:left w:val="nil"/>
              <w:bottom w:val="single" w:color="000000" w:sz="4" w:space="0"/>
              <w:right w:val="single" w:color="000000" w:sz="4" w:space="0"/>
            </w:tcBorders>
            <w:vAlign w:val="center"/>
          </w:tcPr>
          <w:p w14:paraId="17443C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一屏观2.0_医院运维管理-服务能力</w:t>
            </w:r>
          </w:p>
        </w:tc>
        <w:tc>
          <w:tcPr>
            <w:tcW w:w="3125" w:type="pct"/>
            <w:tcBorders>
              <w:top w:val="single" w:color="000000" w:sz="4" w:space="0"/>
              <w:left w:val="nil"/>
              <w:bottom w:val="single" w:color="000000" w:sz="4" w:space="0"/>
              <w:right w:val="single" w:color="000000" w:sz="4" w:space="0"/>
            </w:tcBorders>
            <w:vAlign w:val="center"/>
          </w:tcPr>
          <w:p w14:paraId="2FC997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包括出院患者四级手术比例、出院患者微创手术比例、住院收治病种数量、住院开展术种数量、DRG组数、CMI指数等。</w:t>
            </w:r>
            <w:r>
              <w:rPr>
                <w:rFonts w:hint="eastAsia" w:cs="宋体"/>
                <w:color w:val="auto"/>
                <w:kern w:val="0"/>
                <w:sz w:val="21"/>
                <w:szCs w:val="21"/>
                <w:highlight w:val="none"/>
              </w:rPr>
              <w:br w:type="textWrapping"/>
            </w:r>
            <w:r>
              <w:rPr>
                <w:rFonts w:hint="eastAsia" w:cs="宋体"/>
                <w:color w:val="auto"/>
                <w:kern w:val="0"/>
                <w:sz w:val="21"/>
                <w:szCs w:val="21"/>
                <w:highlight w:val="none"/>
              </w:rPr>
              <w:t>展示重点专科的服务能力情况，包括各医疗机构的重点专科总评分，以及医疗服务能力、医疗技术能力、质量安全水平的评分情况。</w:t>
            </w:r>
          </w:p>
        </w:tc>
      </w:tr>
      <w:tr w14:paraId="2453353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58836D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23</w:t>
            </w:r>
          </w:p>
        </w:tc>
        <w:tc>
          <w:tcPr>
            <w:tcW w:w="1250" w:type="pct"/>
            <w:tcBorders>
              <w:top w:val="single" w:color="000000" w:sz="4" w:space="0"/>
              <w:left w:val="nil"/>
              <w:bottom w:val="single" w:color="000000" w:sz="4" w:space="0"/>
              <w:right w:val="single" w:color="000000" w:sz="4" w:space="0"/>
            </w:tcBorders>
            <w:vAlign w:val="center"/>
          </w:tcPr>
          <w:p w14:paraId="45AB9FA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一屏观2.0_政府监管决策-医保智慧监管</w:t>
            </w:r>
          </w:p>
        </w:tc>
        <w:tc>
          <w:tcPr>
            <w:tcW w:w="3125" w:type="pct"/>
            <w:tcBorders>
              <w:top w:val="single" w:color="000000" w:sz="4" w:space="0"/>
              <w:left w:val="nil"/>
              <w:bottom w:val="single" w:color="000000" w:sz="4" w:space="0"/>
              <w:right w:val="single" w:color="000000" w:sz="4" w:space="0"/>
            </w:tcBorders>
            <w:vAlign w:val="center"/>
          </w:tcPr>
          <w:p w14:paraId="6418BE8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参保情况：医保门诊就诊人次、全市参保人数、职保人数、居保人数、异地来沪就医人数和费用。</w:t>
            </w:r>
            <w:r>
              <w:rPr>
                <w:rFonts w:hint="eastAsia" w:cs="宋体"/>
                <w:color w:val="auto"/>
                <w:kern w:val="0"/>
                <w:sz w:val="21"/>
                <w:szCs w:val="21"/>
                <w:highlight w:val="none"/>
              </w:rPr>
              <w:br w:type="textWrapping"/>
            </w:r>
            <w:r>
              <w:rPr>
                <w:rFonts w:hint="eastAsia" w:cs="宋体"/>
                <w:color w:val="auto"/>
                <w:kern w:val="0"/>
                <w:sz w:val="21"/>
                <w:szCs w:val="21"/>
                <w:highlight w:val="none"/>
              </w:rPr>
              <w:t>医保结算：结算总人数、结算总人次、结算总费用；门急诊费用结算及占比、门诊大病费用结算及占比、住院费用结算及占比、护理费用结算及占比、长护险评估费用结算及占比、零售药店费用结算及占比。</w:t>
            </w:r>
            <w:r>
              <w:rPr>
                <w:rFonts w:hint="eastAsia" w:cs="宋体"/>
                <w:color w:val="auto"/>
                <w:kern w:val="0"/>
                <w:sz w:val="21"/>
                <w:szCs w:val="21"/>
                <w:highlight w:val="none"/>
              </w:rPr>
              <w:br w:type="textWrapping"/>
            </w:r>
            <w:r>
              <w:rPr>
                <w:rFonts w:hint="eastAsia" w:cs="宋体"/>
                <w:color w:val="auto"/>
                <w:kern w:val="0"/>
                <w:sz w:val="21"/>
                <w:szCs w:val="21"/>
                <w:highlight w:val="none"/>
              </w:rPr>
              <w:t>医保招采：医保药品采购费用、医疗器械采购费用。</w:t>
            </w:r>
          </w:p>
        </w:tc>
      </w:tr>
      <w:tr w14:paraId="5CCF259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72D3A7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24</w:t>
            </w:r>
          </w:p>
        </w:tc>
        <w:tc>
          <w:tcPr>
            <w:tcW w:w="1250" w:type="pct"/>
            <w:tcBorders>
              <w:top w:val="single" w:color="000000" w:sz="4" w:space="0"/>
              <w:left w:val="nil"/>
              <w:bottom w:val="single" w:color="000000" w:sz="4" w:space="0"/>
              <w:right w:val="single" w:color="000000" w:sz="4" w:space="0"/>
            </w:tcBorders>
            <w:vAlign w:val="center"/>
          </w:tcPr>
          <w:p w14:paraId="0D29165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一屏观2.0_政府监管决策-疾病监测</w:t>
            </w:r>
          </w:p>
        </w:tc>
        <w:tc>
          <w:tcPr>
            <w:tcW w:w="3125" w:type="pct"/>
            <w:tcBorders>
              <w:top w:val="single" w:color="000000" w:sz="4" w:space="0"/>
              <w:left w:val="nil"/>
              <w:bottom w:val="single" w:color="000000" w:sz="4" w:space="0"/>
              <w:right w:val="single" w:color="000000" w:sz="4" w:space="0"/>
            </w:tcBorders>
            <w:vAlign w:val="center"/>
          </w:tcPr>
          <w:p w14:paraId="7C4ACE0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居民门诊主要疾病谱（前10） ：居民门诊人数前10的ICD类目病种及顺位情况。</w:t>
            </w:r>
            <w:r>
              <w:rPr>
                <w:rFonts w:hint="eastAsia" w:cs="宋体"/>
                <w:color w:val="auto"/>
                <w:kern w:val="0"/>
                <w:sz w:val="21"/>
                <w:szCs w:val="21"/>
                <w:highlight w:val="none"/>
              </w:rPr>
              <w:br w:type="textWrapping"/>
            </w:r>
            <w:r>
              <w:rPr>
                <w:rFonts w:hint="eastAsia" w:cs="宋体"/>
                <w:color w:val="auto"/>
                <w:kern w:val="0"/>
                <w:sz w:val="21"/>
                <w:szCs w:val="21"/>
                <w:highlight w:val="none"/>
              </w:rPr>
              <w:t>居民住院主要疾病谱（前10） ：居民住院人数前10的ICD类目病种及顺位情况。</w:t>
            </w:r>
          </w:p>
        </w:tc>
      </w:tr>
      <w:tr w14:paraId="5D9102F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1E197C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25</w:t>
            </w:r>
          </w:p>
        </w:tc>
        <w:tc>
          <w:tcPr>
            <w:tcW w:w="1250" w:type="pct"/>
            <w:tcBorders>
              <w:top w:val="single" w:color="000000" w:sz="4" w:space="0"/>
              <w:left w:val="nil"/>
              <w:bottom w:val="single" w:color="000000" w:sz="4" w:space="0"/>
              <w:right w:val="single" w:color="000000" w:sz="4" w:space="0"/>
            </w:tcBorders>
            <w:vAlign w:val="center"/>
          </w:tcPr>
          <w:p w14:paraId="16886E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一屏观2.0_政府监管决策-传染病监测</w:t>
            </w:r>
          </w:p>
        </w:tc>
        <w:tc>
          <w:tcPr>
            <w:tcW w:w="3125" w:type="pct"/>
            <w:tcBorders>
              <w:top w:val="single" w:color="000000" w:sz="4" w:space="0"/>
              <w:left w:val="nil"/>
              <w:bottom w:val="single" w:color="000000" w:sz="4" w:space="0"/>
              <w:right w:val="single" w:color="000000" w:sz="4" w:space="0"/>
            </w:tcBorders>
            <w:vAlign w:val="center"/>
          </w:tcPr>
          <w:p w14:paraId="0AF7C01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病例报告：展示法定传染病报告数量，上一日甲乙丙类法定传染病新增病例数和环比。</w:t>
            </w:r>
            <w:r>
              <w:rPr>
                <w:rFonts w:hint="eastAsia" w:cs="宋体"/>
                <w:color w:val="auto"/>
                <w:kern w:val="0"/>
                <w:sz w:val="21"/>
                <w:szCs w:val="21"/>
                <w:highlight w:val="none"/>
              </w:rPr>
              <w:br w:type="textWrapping"/>
            </w:r>
            <w:r>
              <w:rPr>
                <w:rFonts w:hint="eastAsia" w:cs="宋体"/>
                <w:color w:val="auto"/>
                <w:kern w:val="0"/>
                <w:sz w:val="21"/>
                <w:szCs w:val="21"/>
                <w:highlight w:val="none"/>
              </w:rPr>
              <w:t>疫情报告：展示甲类（鼠疫、霍乱…等）、乙类(传染性非典型肺炎、艾滋病、病毒性肝炎、脊髓灰质炎、人感染高致病性禽流感、麻疹、流行性出血热、狂犬病、流行性乙型脑炎、登革热、炭疽…等)、丙类（流行性感冒、流行性腮腺炎、风疹、急性出血性结膜炎、麻风病、流行性和地方性斑疹伤寒、黑热病、包虫病、手足口病、水痘…等）传染病的新增确诊病例和当年累计病例数。</w:t>
            </w:r>
            <w:r>
              <w:rPr>
                <w:rFonts w:hint="eastAsia" w:cs="宋体"/>
                <w:color w:val="auto"/>
                <w:kern w:val="0"/>
                <w:sz w:val="21"/>
                <w:szCs w:val="21"/>
                <w:highlight w:val="none"/>
              </w:rPr>
              <w:br w:type="textWrapping"/>
            </w:r>
            <w:r>
              <w:rPr>
                <w:rFonts w:hint="eastAsia" w:cs="宋体"/>
                <w:color w:val="auto"/>
                <w:kern w:val="0"/>
                <w:sz w:val="21"/>
                <w:szCs w:val="21"/>
                <w:highlight w:val="none"/>
              </w:rPr>
              <w:t>传染病事件：重点关注苗子事件和传染病突发公共卫生事件的新增例数和环比。</w:t>
            </w:r>
            <w:r>
              <w:rPr>
                <w:rFonts w:hint="eastAsia" w:cs="宋体"/>
                <w:color w:val="auto"/>
                <w:kern w:val="0"/>
                <w:sz w:val="21"/>
                <w:szCs w:val="21"/>
                <w:highlight w:val="none"/>
              </w:rPr>
              <w:br w:type="textWrapping"/>
            </w:r>
            <w:r>
              <w:rPr>
                <w:rFonts w:hint="eastAsia" w:cs="宋体"/>
                <w:color w:val="auto"/>
                <w:kern w:val="0"/>
                <w:sz w:val="21"/>
                <w:szCs w:val="21"/>
                <w:highlight w:val="none"/>
              </w:rPr>
              <w:t>社区发热哨点：展示社区发热哨点数。</w:t>
            </w:r>
            <w:r>
              <w:rPr>
                <w:rFonts w:hint="eastAsia" w:cs="宋体"/>
                <w:color w:val="auto"/>
                <w:kern w:val="0"/>
                <w:sz w:val="21"/>
                <w:szCs w:val="21"/>
                <w:highlight w:val="none"/>
              </w:rPr>
              <w:br w:type="textWrapping"/>
            </w:r>
            <w:r>
              <w:rPr>
                <w:rFonts w:hint="eastAsia" w:cs="宋体"/>
                <w:color w:val="auto"/>
                <w:kern w:val="0"/>
                <w:sz w:val="21"/>
                <w:szCs w:val="21"/>
                <w:highlight w:val="none"/>
              </w:rPr>
              <w:t>发热门诊：展示全市前往发热门诊/发热哨点就诊的病例人次数及环比。</w:t>
            </w:r>
            <w:r>
              <w:rPr>
                <w:rFonts w:hint="eastAsia" w:cs="宋体"/>
                <w:color w:val="auto"/>
                <w:kern w:val="0"/>
                <w:sz w:val="21"/>
                <w:szCs w:val="21"/>
                <w:highlight w:val="none"/>
              </w:rPr>
              <w:br w:type="textWrapping"/>
            </w:r>
            <w:r>
              <w:rPr>
                <w:rFonts w:hint="eastAsia" w:cs="宋体"/>
                <w:color w:val="auto"/>
                <w:kern w:val="0"/>
                <w:sz w:val="21"/>
                <w:szCs w:val="21"/>
                <w:highlight w:val="none"/>
              </w:rPr>
              <w:t>肠道门诊：展示全市前往肠道门诊就诊的初诊腹泻病例人次数及环比。</w:t>
            </w:r>
            <w:r>
              <w:rPr>
                <w:rFonts w:hint="eastAsia" w:cs="宋体"/>
                <w:color w:val="auto"/>
                <w:kern w:val="0"/>
                <w:sz w:val="21"/>
                <w:szCs w:val="21"/>
                <w:highlight w:val="none"/>
              </w:rPr>
              <w:br w:type="textWrapping"/>
            </w:r>
            <w:r>
              <w:rPr>
                <w:rFonts w:hint="eastAsia" w:cs="宋体"/>
                <w:color w:val="auto"/>
                <w:kern w:val="0"/>
                <w:sz w:val="21"/>
                <w:szCs w:val="21"/>
                <w:highlight w:val="none"/>
              </w:rPr>
              <w:t>登革热疫点蚊虫处置情况：统计应急处置数量、涉及区数量、涉及街镇数量等数据。</w:t>
            </w:r>
          </w:p>
        </w:tc>
      </w:tr>
      <w:tr w14:paraId="7F9FE73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2C1B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26</w:t>
            </w:r>
          </w:p>
        </w:tc>
        <w:tc>
          <w:tcPr>
            <w:tcW w:w="1250" w:type="pct"/>
            <w:tcBorders>
              <w:top w:val="single" w:color="000000" w:sz="4" w:space="0"/>
              <w:left w:val="nil"/>
              <w:bottom w:val="single" w:color="000000" w:sz="4" w:space="0"/>
              <w:right w:val="single" w:color="000000" w:sz="4" w:space="0"/>
            </w:tcBorders>
            <w:vAlign w:val="center"/>
          </w:tcPr>
          <w:p w14:paraId="7A31299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一屏观2.0_政府监管决策-高质量发展</w:t>
            </w:r>
          </w:p>
        </w:tc>
        <w:tc>
          <w:tcPr>
            <w:tcW w:w="3125" w:type="pct"/>
            <w:tcBorders>
              <w:top w:val="single" w:color="000000" w:sz="4" w:space="0"/>
              <w:left w:val="nil"/>
              <w:bottom w:val="single" w:color="000000" w:sz="4" w:space="0"/>
              <w:right w:val="single" w:color="000000" w:sz="4" w:space="0"/>
            </w:tcBorders>
            <w:vAlign w:val="center"/>
          </w:tcPr>
          <w:p w14:paraId="4B14FFA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包括医疗服务收入占比、人员支出占比、四级手术占比、费用偏离度等。</w:t>
            </w:r>
          </w:p>
        </w:tc>
      </w:tr>
      <w:tr w14:paraId="45EE0E1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475B1A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27</w:t>
            </w:r>
          </w:p>
        </w:tc>
        <w:tc>
          <w:tcPr>
            <w:tcW w:w="1250" w:type="pct"/>
            <w:tcBorders>
              <w:top w:val="single" w:color="000000" w:sz="4" w:space="0"/>
              <w:left w:val="nil"/>
              <w:bottom w:val="single" w:color="000000" w:sz="4" w:space="0"/>
              <w:right w:val="single" w:color="000000" w:sz="4" w:space="0"/>
            </w:tcBorders>
            <w:vAlign w:val="center"/>
          </w:tcPr>
          <w:p w14:paraId="222DF00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一屏观2.0_政府监管决策-卫生监督情况</w:t>
            </w:r>
          </w:p>
        </w:tc>
        <w:tc>
          <w:tcPr>
            <w:tcW w:w="3125" w:type="pct"/>
            <w:tcBorders>
              <w:top w:val="single" w:color="000000" w:sz="4" w:space="0"/>
              <w:left w:val="nil"/>
              <w:bottom w:val="single" w:color="000000" w:sz="4" w:space="0"/>
              <w:right w:val="single" w:color="000000" w:sz="4" w:space="0"/>
            </w:tcBorders>
            <w:vAlign w:val="center"/>
          </w:tcPr>
          <w:p w14:paraId="575DD62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展示年内本市卫生健康领域行政许可累计数、行政检查数、行政处罚数。</w:t>
            </w:r>
          </w:p>
        </w:tc>
      </w:tr>
      <w:tr w14:paraId="122CAAE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9FFD8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28</w:t>
            </w:r>
          </w:p>
        </w:tc>
        <w:tc>
          <w:tcPr>
            <w:tcW w:w="1250" w:type="pct"/>
            <w:tcBorders>
              <w:top w:val="single" w:color="000000" w:sz="4" w:space="0"/>
              <w:left w:val="nil"/>
              <w:bottom w:val="single" w:color="000000" w:sz="4" w:space="0"/>
              <w:right w:val="single" w:color="000000" w:sz="4" w:space="0"/>
            </w:tcBorders>
            <w:vAlign w:val="center"/>
          </w:tcPr>
          <w:p w14:paraId="0CCDBD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一屏观2.0_政府监管决策-应急资源情况</w:t>
            </w:r>
          </w:p>
        </w:tc>
        <w:tc>
          <w:tcPr>
            <w:tcW w:w="3125" w:type="pct"/>
            <w:tcBorders>
              <w:top w:val="single" w:color="000000" w:sz="4" w:space="0"/>
              <w:left w:val="nil"/>
              <w:bottom w:val="single" w:color="000000" w:sz="4" w:space="0"/>
              <w:right w:val="single" w:color="000000" w:sz="4" w:space="0"/>
            </w:tcBorders>
            <w:vAlign w:val="center"/>
          </w:tcPr>
          <w:p w14:paraId="4BF5077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展示应急队伍、应急专家、应急物资、应急基地等数量。</w:t>
            </w:r>
          </w:p>
        </w:tc>
      </w:tr>
      <w:tr w14:paraId="3B3FEF1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A593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29</w:t>
            </w:r>
          </w:p>
        </w:tc>
        <w:tc>
          <w:tcPr>
            <w:tcW w:w="1250" w:type="pct"/>
            <w:tcBorders>
              <w:top w:val="single" w:color="000000" w:sz="4" w:space="0"/>
              <w:left w:val="nil"/>
              <w:bottom w:val="single" w:color="000000" w:sz="4" w:space="0"/>
              <w:right w:val="single" w:color="000000" w:sz="4" w:space="0"/>
            </w:tcBorders>
            <w:vAlign w:val="center"/>
          </w:tcPr>
          <w:p w14:paraId="29165E5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一屏观2.0_产业赋能增效-研发产业创新</w:t>
            </w:r>
          </w:p>
        </w:tc>
        <w:tc>
          <w:tcPr>
            <w:tcW w:w="3125" w:type="pct"/>
            <w:tcBorders>
              <w:top w:val="single" w:color="000000" w:sz="4" w:space="0"/>
              <w:left w:val="nil"/>
              <w:bottom w:val="single" w:color="000000" w:sz="4" w:space="0"/>
              <w:right w:val="single" w:color="000000" w:sz="4" w:space="0"/>
            </w:tcBorders>
            <w:vAlign w:val="center"/>
          </w:tcPr>
          <w:p w14:paraId="5A2E3F5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药品：展示药品企业数、生产企业数、经营企业数、使用机构数、临床试验获批数、上市申请受理数、上市申请获批数、临床试验机构数等。</w:t>
            </w:r>
            <w:r>
              <w:rPr>
                <w:rFonts w:hint="eastAsia" w:cs="宋体"/>
                <w:color w:val="auto"/>
                <w:kern w:val="0"/>
                <w:sz w:val="21"/>
                <w:szCs w:val="21"/>
                <w:highlight w:val="none"/>
              </w:rPr>
              <w:br w:type="textWrapping"/>
            </w:r>
            <w:r>
              <w:rPr>
                <w:rFonts w:hint="eastAsia" w:cs="宋体"/>
                <w:color w:val="auto"/>
                <w:kern w:val="0"/>
                <w:sz w:val="21"/>
                <w:szCs w:val="21"/>
                <w:highlight w:val="none"/>
              </w:rPr>
              <w:t>医疗器械：展示医疗器械企业数、生产企业数、经营企业数、使用机构数、进入创新数（III类、II类）、创新获证数（III类、II类、创新注册数、服务站数量等。</w:t>
            </w:r>
          </w:p>
        </w:tc>
      </w:tr>
      <w:tr w14:paraId="5D9C556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EC488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30</w:t>
            </w:r>
          </w:p>
        </w:tc>
        <w:tc>
          <w:tcPr>
            <w:tcW w:w="1250" w:type="pct"/>
            <w:tcBorders>
              <w:top w:val="single" w:color="000000" w:sz="4" w:space="0"/>
              <w:left w:val="nil"/>
              <w:bottom w:val="single" w:color="000000" w:sz="4" w:space="0"/>
              <w:right w:val="single" w:color="000000" w:sz="4" w:space="0"/>
            </w:tcBorders>
            <w:vAlign w:val="center"/>
          </w:tcPr>
          <w:p w14:paraId="74BFBC9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一屏观2.0_产业赋能增效-创新产品</w:t>
            </w:r>
          </w:p>
        </w:tc>
        <w:tc>
          <w:tcPr>
            <w:tcW w:w="3125" w:type="pct"/>
            <w:tcBorders>
              <w:top w:val="single" w:color="000000" w:sz="4" w:space="0"/>
              <w:left w:val="nil"/>
              <w:bottom w:val="single" w:color="000000" w:sz="4" w:space="0"/>
              <w:right w:val="single" w:color="000000" w:sz="4" w:space="0"/>
            </w:tcBorders>
            <w:vAlign w:val="center"/>
          </w:tcPr>
          <w:p w14:paraId="7AB3C51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本年度药品和医疗器械的创新产品总数，点击创新产品缩略图，可查看创新产品获批详情，包括分类、适应症、上市许可持有人、获批文号、生产企业、获准年份等信息。创新药品和创新器械可在GIS图标撒点展示分布情况。</w:t>
            </w:r>
          </w:p>
        </w:tc>
      </w:tr>
      <w:tr w14:paraId="327BEA1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186034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31</w:t>
            </w:r>
          </w:p>
        </w:tc>
        <w:tc>
          <w:tcPr>
            <w:tcW w:w="1250" w:type="pct"/>
            <w:tcBorders>
              <w:top w:val="single" w:color="000000" w:sz="4" w:space="0"/>
              <w:left w:val="nil"/>
              <w:bottom w:val="single" w:color="000000" w:sz="4" w:space="0"/>
              <w:right w:val="single" w:color="000000" w:sz="4" w:space="0"/>
            </w:tcBorders>
            <w:vAlign w:val="center"/>
          </w:tcPr>
          <w:p w14:paraId="1D37812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一屏观2.0_产业赋能增效-信用分级分类</w:t>
            </w:r>
          </w:p>
        </w:tc>
        <w:tc>
          <w:tcPr>
            <w:tcW w:w="3125" w:type="pct"/>
            <w:tcBorders>
              <w:top w:val="single" w:color="000000" w:sz="4" w:space="0"/>
              <w:left w:val="nil"/>
              <w:bottom w:val="single" w:color="000000" w:sz="4" w:space="0"/>
              <w:right w:val="single" w:color="000000" w:sz="4" w:space="0"/>
            </w:tcBorders>
            <w:vAlign w:val="center"/>
          </w:tcPr>
          <w:p w14:paraId="7561580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图表展示各年度药品生产企业和器械生产企业的分级分类情况（A级/B级/C级/D级）。</w:t>
            </w:r>
          </w:p>
        </w:tc>
      </w:tr>
      <w:tr w14:paraId="763B342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D0B93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32</w:t>
            </w:r>
          </w:p>
        </w:tc>
        <w:tc>
          <w:tcPr>
            <w:tcW w:w="1250" w:type="pct"/>
            <w:tcBorders>
              <w:top w:val="single" w:color="000000" w:sz="4" w:space="0"/>
              <w:left w:val="nil"/>
              <w:bottom w:val="single" w:color="000000" w:sz="4" w:space="0"/>
              <w:right w:val="single" w:color="000000" w:sz="4" w:space="0"/>
            </w:tcBorders>
            <w:vAlign w:val="center"/>
          </w:tcPr>
          <w:p w14:paraId="205D6D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一屏观2.0_产业赋能增效-科教情况</w:t>
            </w:r>
          </w:p>
        </w:tc>
        <w:tc>
          <w:tcPr>
            <w:tcW w:w="3125" w:type="pct"/>
            <w:tcBorders>
              <w:top w:val="single" w:color="000000" w:sz="4" w:space="0"/>
              <w:left w:val="nil"/>
              <w:bottom w:val="single" w:color="000000" w:sz="4" w:space="0"/>
              <w:right w:val="single" w:color="000000" w:sz="4" w:space="0"/>
            </w:tcBorders>
            <w:vAlign w:val="center"/>
          </w:tcPr>
          <w:p w14:paraId="3B31880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展示专病和专利情况，包括专病库数量、各专病参与中心数、各医院入组患者数、各专病入组患者数、国内外专利授权数、国内外专利转化数等数据。</w:t>
            </w:r>
          </w:p>
        </w:tc>
      </w:tr>
      <w:tr w14:paraId="7DDF059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4B9E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33</w:t>
            </w:r>
          </w:p>
        </w:tc>
        <w:tc>
          <w:tcPr>
            <w:tcW w:w="1250" w:type="pct"/>
            <w:tcBorders>
              <w:top w:val="single" w:color="000000" w:sz="4" w:space="0"/>
              <w:left w:val="nil"/>
              <w:bottom w:val="single" w:color="000000" w:sz="4" w:space="0"/>
              <w:right w:val="single" w:color="000000" w:sz="4" w:space="0"/>
            </w:tcBorders>
            <w:vAlign w:val="center"/>
          </w:tcPr>
          <w:p w14:paraId="680A47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一屏观2.0_数据中台监测-采集入湖</w:t>
            </w:r>
          </w:p>
        </w:tc>
        <w:tc>
          <w:tcPr>
            <w:tcW w:w="3125" w:type="pct"/>
            <w:tcBorders>
              <w:top w:val="single" w:color="000000" w:sz="4" w:space="0"/>
              <w:left w:val="nil"/>
              <w:bottom w:val="single" w:color="000000" w:sz="4" w:space="0"/>
              <w:right w:val="single" w:color="000000" w:sz="4" w:space="0"/>
            </w:tcBorders>
            <w:vAlign w:val="center"/>
          </w:tcPr>
          <w:p w14:paraId="6D7007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数据采集情况：展示当日新增量、历史累计采集数据量。可以图表形式展示当日/当月/当年的新增数据量、有效数据量和异常数据量</w:t>
            </w:r>
            <w:r>
              <w:rPr>
                <w:rFonts w:hint="eastAsia" w:cs="宋体"/>
                <w:color w:val="auto"/>
                <w:kern w:val="0"/>
                <w:sz w:val="21"/>
                <w:szCs w:val="21"/>
                <w:highlight w:val="none"/>
              </w:rPr>
              <w:br w:type="textWrapping"/>
            </w:r>
            <w:r>
              <w:rPr>
                <w:rFonts w:hint="eastAsia" w:cs="宋体"/>
                <w:color w:val="auto"/>
                <w:kern w:val="0"/>
                <w:sz w:val="21"/>
                <w:szCs w:val="21"/>
                <w:highlight w:val="none"/>
              </w:rPr>
              <w:t>机构接入情况：统计接入总机构数，三级医疗机构、二级医疗机构、社区卫生服务中心、公共卫生机构以及其他机构的接入机构总数和数据采集总条数。支持动态列表展示各机构的接入情况。</w:t>
            </w:r>
          </w:p>
        </w:tc>
      </w:tr>
      <w:tr w14:paraId="37DDA9D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FE649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34</w:t>
            </w:r>
          </w:p>
        </w:tc>
        <w:tc>
          <w:tcPr>
            <w:tcW w:w="1250" w:type="pct"/>
            <w:tcBorders>
              <w:top w:val="single" w:color="000000" w:sz="4" w:space="0"/>
              <w:left w:val="nil"/>
              <w:bottom w:val="single" w:color="000000" w:sz="4" w:space="0"/>
              <w:right w:val="single" w:color="000000" w:sz="4" w:space="0"/>
            </w:tcBorders>
            <w:vAlign w:val="center"/>
          </w:tcPr>
          <w:p w14:paraId="709C81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一屏观2.0_数据中台监测-数据资产</w:t>
            </w:r>
          </w:p>
        </w:tc>
        <w:tc>
          <w:tcPr>
            <w:tcW w:w="3125" w:type="pct"/>
            <w:tcBorders>
              <w:top w:val="single" w:color="000000" w:sz="4" w:space="0"/>
              <w:left w:val="nil"/>
              <w:bottom w:val="single" w:color="000000" w:sz="4" w:space="0"/>
              <w:right w:val="single" w:color="000000" w:sz="4" w:space="0"/>
            </w:tcBorders>
            <w:vAlign w:val="center"/>
          </w:tcPr>
          <w:p w14:paraId="3F18DC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资产总量：监测数据的总融合量、总存储量。展示数据平台的时间跨度、区域跨度、融合人数（其中户籍人数和占比）、总表数、总字段数等。</w:t>
            </w:r>
            <w:r>
              <w:rPr>
                <w:rFonts w:hint="eastAsia" w:cs="宋体"/>
                <w:color w:val="auto"/>
                <w:kern w:val="0"/>
                <w:sz w:val="21"/>
                <w:szCs w:val="21"/>
                <w:highlight w:val="none"/>
              </w:rPr>
              <w:br w:type="textWrapping"/>
            </w:r>
            <w:r>
              <w:rPr>
                <w:rFonts w:hint="eastAsia" w:cs="宋体"/>
                <w:color w:val="auto"/>
                <w:kern w:val="0"/>
                <w:sz w:val="21"/>
                <w:szCs w:val="21"/>
                <w:highlight w:val="none"/>
              </w:rPr>
              <w:t xml:space="preserve"> 资产分类：支持根据一级类别/二级类别/三级类别/四级类别等分类，按照数量、按字段、按表数量多维度统计。</w:t>
            </w:r>
            <w:r>
              <w:rPr>
                <w:rFonts w:hint="eastAsia" w:cs="宋体"/>
                <w:color w:val="auto"/>
                <w:kern w:val="0"/>
                <w:sz w:val="21"/>
                <w:szCs w:val="21"/>
                <w:highlight w:val="none"/>
              </w:rPr>
              <w:br w:type="textWrapping"/>
            </w:r>
            <w:r>
              <w:rPr>
                <w:rFonts w:hint="eastAsia" w:cs="宋体"/>
                <w:color w:val="auto"/>
                <w:kern w:val="0"/>
                <w:sz w:val="21"/>
                <w:szCs w:val="21"/>
                <w:highlight w:val="none"/>
              </w:rPr>
              <w:t>数据分类分级：统计1级、2级、3级、4级数据的占比情况。</w:t>
            </w:r>
          </w:p>
        </w:tc>
      </w:tr>
      <w:tr w14:paraId="7275E7B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DC915E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35</w:t>
            </w:r>
          </w:p>
        </w:tc>
        <w:tc>
          <w:tcPr>
            <w:tcW w:w="1250" w:type="pct"/>
            <w:tcBorders>
              <w:top w:val="single" w:color="000000" w:sz="4" w:space="0"/>
              <w:left w:val="nil"/>
              <w:bottom w:val="single" w:color="000000" w:sz="4" w:space="0"/>
              <w:right w:val="single" w:color="000000" w:sz="4" w:space="0"/>
            </w:tcBorders>
            <w:vAlign w:val="center"/>
          </w:tcPr>
          <w:p w14:paraId="365A7B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一屏观2.0_数据中台监测-数据模型</w:t>
            </w:r>
          </w:p>
        </w:tc>
        <w:tc>
          <w:tcPr>
            <w:tcW w:w="3125" w:type="pct"/>
            <w:tcBorders>
              <w:top w:val="single" w:color="000000" w:sz="4" w:space="0"/>
              <w:left w:val="nil"/>
              <w:bottom w:val="single" w:color="000000" w:sz="4" w:space="0"/>
              <w:right w:val="single" w:color="000000" w:sz="4" w:space="0"/>
            </w:tcBorders>
            <w:vAlign w:val="center"/>
          </w:tcPr>
          <w:p w14:paraId="482FF27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模型统计：展示模型总量，能够以图表形式展示平台的各类模型情况。</w:t>
            </w:r>
            <w:r>
              <w:rPr>
                <w:rFonts w:hint="eastAsia" w:cs="宋体"/>
                <w:color w:val="auto"/>
                <w:kern w:val="0"/>
                <w:sz w:val="21"/>
                <w:szCs w:val="21"/>
                <w:highlight w:val="none"/>
              </w:rPr>
              <w:br w:type="textWrapping"/>
            </w:r>
            <w:r>
              <w:rPr>
                <w:rFonts w:hint="eastAsia" w:cs="宋体"/>
                <w:color w:val="auto"/>
                <w:kern w:val="0"/>
                <w:sz w:val="21"/>
                <w:szCs w:val="21"/>
                <w:highlight w:val="none"/>
              </w:rPr>
              <w:t>指标统计：展示平台原子指标数量、复合指标数量、主题域数量。</w:t>
            </w:r>
          </w:p>
        </w:tc>
      </w:tr>
      <w:tr w14:paraId="6DDFDDD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048516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36</w:t>
            </w:r>
          </w:p>
        </w:tc>
        <w:tc>
          <w:tcPr>
            <w:tcW w:w="1250" w:type="pct"/>
            <w:tcBorders>
              <w:top w:val="single" w:color="000000" w:sz="4" w:space="0"/>
              <w:left w:val="nil"/>
              <w:bottom w:val="single" w:color="000000" w:sz="4" w:space="0"/>
              <w:right w:val="single" w:color="000000" w:sz="4" w:space="0"/>
            </w:tcBorders>
            <w:vAlign w:val="center"/>
          </w:tcPr>
          <w:p w14:paraId="616857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一屏观2.0_数据中台监测-监测分析</w:t>
            </w:r>
          </w:p>
        </w:tc>
        <w:tc>
          <w:tcPr>
            <w:tcW w:w="3125" w:type="pct"/>
            <w:tcBorders>
              <w:top w:val="single" w:color="000000" w:sz="4" w:space="0"/>
              <w:left w:val="nil"/>
              <w:bottom w:val="single" w:color="000000" w:sz="4" w:space="0"/>
              <w:right w:val="single" w:color="000000" w:sz="4" w:space="0"/>
            </w:tcBorders>
            <w:vAlign w:val="center"/>
          </w:tcPr>
          <w:p w14:paraId="7AE63DD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质控评分：展示各机构的质控评分和排名，支持按照分数高低排序展示。</w:t>
            </w:r>
            <w:r>
              <w:rPr>
                <w:rFonts w:hint="eastAsia" w:cs="宋体"/>
                <w:color w:val="auto"/>
                <w:kern w:val="0"/>
                <w:sz w:val="21"/>
                <w:szCs w:val="21"/>
                <w:highlight w:val="none"/>
              </w:rPr>
              <w:br w:type="textWrapping"/>
            </w:r>
            <w:r>
              <w:rPr>
                <w:rFonts w:hint="eastAsia" w:cs="宋体"/>
                <w:color w:val="auto"/>
                <w:kern w:val="0"/>
                <w:sz w:val="21"/>
                <w:szCs w:val="21"/>
                <w:highlight w:val="none"/>
              </w:rPr>
              <w:t>采集质量：从采集的完整性、合规性、连续性等方面，以不同颜色区分展示正常/异常情况，异常类别展示判断依据。</w:t>
            </w:r>
            <w:r>
              <w:rPr>
                <w:rFonts w:hint="eastAsia" w:cs="宋体"/>
                <w:color w:val="auto"/>
                <w:kern w:val="0"/>
                <w:sz w:val="21"/>
                <w:szCs w:val="21"/>
                <w:highlight w:val="none"/>
              </w:rPr>
              <w:br w:type="textWrapping"/>
            </w:r>
            <w:r>
              <w:rPr>
                <w:rFonts w:hint="eastAsia" w:cs="宋体"/>
                <w:color w:val="auto"/>
                <w:kern w:val="0"/>
                <w:sz w:val="21"/>
                <w:szCs w:val="21"/>
                <w:highlight w:val="none"/>
              </w:rPr>
              <w:t>任务监测：展示任务总量，包括采集任务、质量检查任务、加工转换任务、加密任务、分析任务、安全监测任务等类别的任务量。可根据任务类别展示当前未处理、执行中、已完成的任务数量。支持以列表形式展示各类任务中未处理和执行中的任务，包括任务类别、任务名称和发布时间等。</w:t>
            </w:r>
          </w:p>
        </w:tc>
      </w:tr>
      <w:tr w14:paraId="67027A8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4E4E8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37</w:t>
            </w:r>
          </w:p>
        </w:tc>
        <w:tc>
          <w:tcPr>
            <w:tcW w:w="1250" w:type="pct"/>
            <w:tcBorders>
              <w:top w:val="single" w:color="000000" w:sz="4" w:space="0"/>
              <w:left w:val="nil"/>
              <w:bottom w:val="single" w:color="000000" w:sz="4" w:space="0"/>
              <w:right w:val="single" w:color="000000" w:sz="4" w:space="0"/>
            </w:tcBorders>
            <w:vAlign w:val="center"/>
          </w:tcPr>
          <w:p w14:paraId="17269D2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一屏观2.0_数据安全分析-数据业务总体安全态势</w:t>
            </w:r>
          </w:p>
        </w:tc>
        <w:tc>
          <w:tcPr>
            <w:tcW w:w="3125" w:type="pct"/>
            <w:tcBorders>
              <w:top w:val="single" w:color="000000" w:sz="4" w:space="0"/>
              <w:left w:val="nil"/>
              <w:bottom w:val="single" w:color="000000" w:sz="4" w:space="0"/>
              <w:right w:val="single" w:color="000000" w:sz="4" w:space="0"/>
            </w:tcBorders>
            <w:vAlign w:val="center"/>
          </w:tcPr>
          <w:p w14:paraId="3F66D4E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提供高层次的全局视图，包括安全风险总体评分、系统运行状态和安全威胁分布。通过历史威胁事件、实时监控数据以及安全策略符合性计算得出风险评分。地图采用数据可视化工具显示风险分布。</w:t>
            </w:r>
          </w:p>
        </w:tc>
      </w:tr>
      <w:tr w14:paraId="5858F02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524953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38</w:t>
            </w:r>
          </w:p>
        </w:tc>
        <w:tc>
          <w:tcPr>
            <w:tcW w:w="1250" w:type="pct"/>
            <w:tcBorders>
              <w:top w:val="single" w:color="000000" w:sz="4" w:space="0"/>
              <w:left w:val="nil"/>
              <w:bottom w:val="single" w:color="000000" w:sz="4" w:space="0"/>
              <w:right w:val="single" w:color="000000" w:sz="4" w:space="0"/>
            </w:tcBorders>
            <w:vAlign w:val="center"/>
          </w:tcPr>
          <w:p w14:paraId="477D53F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一屏观2.0_数据安全分析-漏洞与风险管理</w:t>
            </w:r>
          </w:p>
        </w:tc>
        <w:tc>
          <w:tcPr>
            <w:tcW w:w="3125" w:type="pct"/>
            <w:tcBorders>
              <w:top w:val="single" w:color="000000" w:sz="4" w:space="0"/>
              <w:left w:val="nil"/>
              <w:bottom w:val="single" w:color="000000" w:sz="4" w:space="0"/>
              <w:right w:val="single" w:color="000000" w:sz="4" w:space="0"/>
            </w:tcBorders>
            <w:vAlign w:val="center"/>
          </w:tcPr>
          <w:p w14:paraId="2E0A33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展示系统内发现的漏洞、其严重程度以及修复状态。提供风险趋势图，直观了解漏洞变化。支持点击漏洞名称进入详细信息页面，查看修复建议和技术细节。支持按时间、风险等级过滤漏洞。</w:t>
            </w:r>
          </w:p>
        </w:tc>
      </w:tr>
      <w:tr w14:paraId="4DA9ECA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702D1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39</w:t>
            </w:r>
          </w:p>
        </w:tc>
        <w:tc>
          <w:tcPr>
            <w:tcW w:w="1250" w:type="pct"/>
            <w:tcBorders>
              <w:top w:val="single" w:color="000000" w:sz="4" w:space="0"/>
              <w:left w:val="nil"/>
              <w:bottom w:val="single" w:color="000000" w:sz="4" w:space="0"/>
              <w:right w:val="single" w:color="000000" w:sz="4" w:space="0"/>
            </w:tcBorders>
            <w:vAlign w:val="center"/>
          </w:tcPr>
          <w:p w14:paraId="721CBBB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一屏观2.0_数据安全分析-攻击事件监控</w:t>
            </w:r>
          </w:p>
        </w:tc>
        <w:tc>
          <w:tcPr>
            <w:tcW w:w="3125" w:type="pct"/>
            <w:tcBorders>
              <w:top w:val="single" w:color="000000" w:sz="4" w:space="0"/>
              <w:left w:val="nil"/>
              <w:bottom w:val="single" w:color="000000" w:sz="4" w:space="0"/>
              <w:right w:val="single" w:color="000000" w:sz="4" w:space="0"/>
            </w:tcBorders>
            <w:vAlign w:val="center"/>
          </w:tcPr>
          <w:p w14:paraId="535A63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动态展示网络攻击事件，包括攻击类型、事件位置、来源IP等信息。可视化采用热力图、时间轴等方式直观呈现。</w:t>
            </w:r>
          </w:p>
        </w:tc>
      </w:tr>
      <w:tr w14:paraId="553ACB3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E92AC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40</w:t>
            </w:r>
          </w:p>
        </w:tc>
        <w:tc>
          <w:tcPr>
            <w:tcW w:w="1250" w:type="pct"/>
            <w:tcBorders>
              <w:top w:val="single" w:color="000000" w:sz="4" w:space="0"/>
              <w:left w:val="nil"/>
              <w:bottom w:val="single" w:color="000000" w:sz="4" w:space="0"/>
              <w:right w:val="single" w:color="000000" w:sz="4" w:space="0"/>
            </w:tcBorders>
            <w:vAlign w:val="center"/>
          </w:tcPr>
          <w:p w14:paraId="2E1BA34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一屏观2.0_数据安全分析-数据安全状态大屏</w:t>
            </w:r>
          </w:p>
        </w:tc>
        <w:tc>
          <w:tcPr>
            <w:tcW w:w="3125" w:type="pct"/>
            <w:tcBorders>
              <w:top w:val="single" w:color="000000" w:sz="4" w:space="0"/>
              <w:left w:val="nil"/>
              <w:bottom w:val="single" w:color="000000" w:sz="4" w:space="0"/>
              <w:right w:val="single" w:color="000000" w:sz="4" w:space="0"/>
            </w:tcBorders>
            <w:vAlign w:val="center"/>
          </w:tcPr>
          <w:p w14:paraId="7554E74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参照数据生命周期管理能力，调取各阶段的数据安全防护情况</w:t>
            </w:r>
          </w:p>
        </w:tc>
      </w:tr>
      <w:tr w14:paraId="6AE52F3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B91FCA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41</w:t>
            </w:r>
          </w:p>
        </w:tc>
        <w:tc>
          <w:tcPr>
            <w:tcW w:w="1250" w:type="pct"/>
            <w:tcBorders>
              <w:top w:val="single" w:color="000000" w:sz="4" w:space="0"/>
              <w:left w:val="nil"/>
              <w:bottom w:val="single" w:color="000000" w:sz="4" w:space="0"/>
              <w:right w:val="single" w:color="000000" w:sz="4" w:space="0"/>
            </w:tcBorders>
            <w:vAlign w:val="center"/>
          </w:tcPr>
          <w:p w14:paraId="3A9580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一屏观2.0_数据安全分析-访问和身份管控展示大屏</w:t>
            </w:r>
          </w:p>
        </w:tc>
        <w:tc>
          <w:tcPr>
            <w:tcW w:w="3125" w:type="pct"/>
            <w:tcBorders>
              <w:top w:val="single" w:color="000000" w:sz="4" w:space="0"/>
              <w:left w:val="nil"/>
              <w:bottom w:val="single" w:color="000000" w:sz="4" w:space="0"/>
              <w:right w:val="single" w:color="000000" w:sz="4" w:space="0"/>
            </w:tcBorders>
            <w:vAlign w:val="center"/>
          </w:tcPr>
          <w:p w14:paraId="1471C02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用户展示数据管理对象的身份凭据调用及执行情况展示</w:t>
            </w:r>
          </w:p>
        </w:tc>
      </w:tr>
      <w:tr w14:paraId="0440E46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5525BA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42</w:t>
            </w:r>
          </w:p>
        </w:tc>
        <w:tc>
          <w:tcPr>
            <w:tcW w:w="1250" w:type="pct"/>
            <w:tcBorders>
              <w:top w:val="single" w:color="000000" w:sz="4" w:space="0"/>
              <w:left w:val="nil"/>
              <w:bottom w:val="single" w:color="000000" w:sz="4" w:space="0"/>
              <w:right w:val="single" w:color="000000" w:sz="4" w:space="0"/>
            </w:tcBorders>
            <w:vAlign w:val="center"/>
          </w:tcPr>
          <w:p w14:paraId="7391FD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一屏观2.0_数据安全分析-威胁情报集成大屏</w:t>
            </w:r>
          </w:p>
        </w:tc>
        <w:tc>
          <w:tcPr>
            <w:tcW w:w="3125" w:type="pct"/>
            <w:tcBorders>
              <w:top w:val="single" w:color="000000" w:sz="4" w:space="0"/>
              <w:left w:val="nil"/>
              <w:bottom w:val="single" w:color="000000" w:sz="4" w:space="0"/>
              <w:right w:val="single" w:color="000000" w:sz="4" w:space="0"/>
            </w:tcBorders>
            <w:vAlign w:val="center"/>
          </w:tcPr>
          <w:p w14:paraId="42C7C0E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基于威胁情报匹配和识别情况，汇总展示全量威胁情报，针对匹配情况做展示。</w:t>
            </w:r>
          </w:p>
        </w:tc>
      </w:tr>
      <w:tr w14:paraId="2003344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886B52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43</w:t>
            </w:r>
          </w:p>
        </w:tc>
        <w:tc>
          <w:tcPr>
            <w:tcW w:w="1250" w:type="pct"/>
            <w:tcBorders>
              <w:top w:val="single" w:color="000000" w:sz="4" w:space="0"/>
              <w:left w:val="nil"/>
              <w:bottom w:val="single" w:color="000000" w:sz="4" w:space="0"/>
              <w:right w:val="single" w:color="000000" w:sz="4" w:space="0"/>
            </w:tcBorders>
            <w:vAlign w:val="center"/>
          </w:tcPr>
          <w:p w14:paraId="72E1924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一屏观2.0_数据安全分析-系统安全日志</w:t>
            </w:r>
          </w:p>
        </w:tc>
        <w:tc>
          <w:tcPr>
            <w:tcW w:w="3125" w:type="pct"/>
            <w:tcBorders>
              <w:top w:val="single" w:color="000000" w:sz="4" w:space="0"/>
              <w:left w:val="nil"/>
              <w:bottom w:val="single" w:color="000000" w:sz="4" w:space="0"/>
              <w:right w:val="single" w:color="000000" w:sz="4" w:space="0"/>
            </w:tcBorders>
            <w:vAlign w:val="center"/>
          </w:tcPr>
          <w:p w14:paraId="52B5B5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集中展示系统的安全日志，包括日志分类、异常日志和日志趋势。支持日志搜索与过滤，根据时间、用户、类别等条件进行筛选。提供导出功能，便于进行外部分析。</w:t>
            </w:r>
          </w:p>
        </w:tc>
      </w:tr>
      <w:tr w14:paraId="6DFFB3A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5F8340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44</w:t>
            </w:r>
          </w:p>
        </w:tc>
        <w:tc>
          <w:tcPr>
            <w:tcW w:w="1250" w:type="pct"/>
            <w:tcBorders>
              <w:top w:val="single" w:color="000000" w:sz="4" w:space="0"/>
              <w:left w:val="nil"/>
              <w:bottom w:val="single" w:color="000000" w:sz="4" w:space="0"/>
              <w:right w:val="single" w:color="000000" w:sz="4" w:space="0"/>
            </w:tcBorders>
            <w:vAlign w:val="center"/>
          </w:tcPr>
          <w:p w14:paraId="0DF17E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一屏观2.0_数据安全分析-安全策略与合规状态</w:t>
            </w:r>
          </w:p>
        </w:tc>
        <w:tc>
          <w:tcPr>
            <w:tcW w:w="3125" w:type="pct"/>
            <w:tcBorders>
              <w:top w:val="single" w:color="000000" w:sz="4" w:space="0"/>
              <w:left w:val="nil"/>
              <w:bottom w:val="single" w:color="000000" w:sz="4" w:space="0"/>
              <w:right w:val="single" w:color="000000" w:sz="4" w:space="0"/>
            </w:tcBorders>
            <w:vAlign w:val="center"/>
          </w:tcPr>
          <w:p w14:paraId="047DED2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显示安全策略执行情况及合规性评分。</w:t>
            </w:r>
          </w:p>
        </w:tc>
      </w:tr>
      <w:tr w14:paraId="329D31F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59B05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45</w:t>
            </w:r>
          </w:p>
        </w:tc>
        <w:tc>
          <w:tcPr>
            <w:tcW w:w="1250" w:type="pct"/>
            <w:tcBorders>
              <w:top w:val="single" w:color="000000" w:sz="4" w:space="0"/>
              <w:left w:val="nil"/>
              <w:bottom w:val="single" w:color="000000" w:sz="4" w:space="0"/>
              <w:right w:val="single" w:color="000000" w:sz="4" w:space="0"/>
            </w:tcBorders>
            <w:vAlign w:val="center"/>
          </w:tcPr>
          <w:p w14:paraId="27385DB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一屏观2.0_数据安全分析-安全响应与操作记录</w:t>
            </w:r>
          </w:p>
        </w:tc>
        <w:tc>
          <w:tcPr>
            <w:tcW w:w="3125" w:type="pct"/>
            <w:tcBorders>
              <w:top w:val="single" w:color="000000" w:sz="4" w:space="0"/>
              <w:left w:val="nil"/>
              <w:bottom w:val="single" w:color="000000" w:sz="4" w:space="0"/>
              <w:right w:val="single" w:color="000000" w:sz="4" w:space="0"/>
            </w:tcBorders>
            <w:vAlign w:val="center"/>
          </w:tcPr>
          <w:p w14:paraId="386FC31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展示安全事件的响应过程及操作记录。</w:t>
            </w:r>
          </w:p>
        </w:tc>
      </w:tr>
      <w:tr w14:paraId="05D6901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39373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46</w:t>
            </w:r>
          </w:p>
        </w:tc>
        <w:tc>
          <w:tcPr>
            <w:tcW w:w="1250" w:type="pct"/>
            <w:tcBorders>
              <w:top w:val="single" w:color="000000" w:sz="4" w:space="0"/>
              <w:left w:val="nil"/>
              <w:bottom w:val="single" w:color="000000" w:sz="4" w:space="0"/>
              <w:right w:val="single" w:color="000000" w:sz="4" w:space="0"/>
            </w:tcBorders>
            <w:vAlign w:val="center"/>
          </w:tcPr>
          <w:p w14:paraId="5AC0F9F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一屏观2.0_数据安全分析-敏感数据地图</w:t>
            </w:r>
          </w:p>
        </w:tc>
        <w:tc>
          <w:tcPr>
            <w:tcW w:w="3125" w:type="pct"/>
            <w:tcBorders>
              <w:top w:val="single" w:color="000000" w:sz="4" w:space="0"/>
              <w:left w:val="nil"/>
              <w:bottom w:val="single" w:color="000000" w:sz="4" w:space="0"/>
              <w:right w:val="single" w:color="000000" w:sz="4" w:space="0"/>
            </w:tcBorders>
            <w:vAlign w:val="center"/>
          </w:tcPr>
          <w:p w14:paraId="3843386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利用可视化模式展示敏感数据的分布，类别等级，以及敏感数据的变化趋势。</w:t>
            </w:r>
          </w:p>
        </w:tc>
      </w:tr>
      <w:tr w14:paraId="39C5303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361CA2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47</w:t>
            </w:r>
          </w:p>
        </w:tc>
        <w:tc>
          <w:tcPr>
            <w:tcW w:w="1250" w:type="pct"/>
            <w:tcBorders>
              <w:top w:val="single" w:color="000000" w:sz="4" w:space="0"/>
              <w:left w:val="nil"/>
              <w:bottom w:val="single" w:color="000000" w:sz="4" w:space="0"/>
              <w:right w:val="single" w:color="000000" w:sz="4" w:space="0"/>
            </w:tcBorders>
            <w:vAlign w:val="center"/>
          </w:tcPr>
          <w:p w14:paraId="2995C65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一屏观2.0_数据安全分析-数据业务数据调用监测</w:t>
            </w:r>
          </w:p>
        </w:tc>
        <w:tc>
          <w:tcPr>
            <w:tcW w:w="3125" w:type="pct"/>
            <w:tcBorders>
              <w:top w:val="single" w:color="000000" w:sz="4" w:space="0"/>
              <w:left w:val="nil"/>
              <w:bottom w:val="single" w:color="000000" w:sz="4" w:space="0"/>
              <w:right w:val="single" w:color="000000" w:sz="4" w:space="0"/>
            </w:tcBorders>
            <w:vAlign w:val="center"/>
          </w:tcPr>
          <w:p w14:paraId="71E6AE9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感知数据访问者、数据访问对象、数据访问途径、数据访问时间/方式以及数据访问风险，实现数据共享流转全态势，为数据流动过程的风险防护提供有力依据。</w:t>
            </w:r>
          </w:p>
        </w:tc>
      </w:tr>
      <w:tr w14:paraId="20E45C4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CD7D2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48</w:t>
            </w:r>
          </w:p>
        </w:tc>
        <w:tc>
          <w:tcPr>
            <w:tcW w:w="1250" w:type="pct"/>
            <w:tcBorders>
              <w:top w:val="single" w:color="000000" w:sz="4" w:space="0"/>
              <w:left w:val="nil"/>
              <w:bottom w:val="single" w:color="000000" w:sz="4" w:space="0"/>
              <w:right w:val="single" w:color="000000" w:sz="4" w:space="0"/>
            </w:tcBorders>
            <w:vAlign w:val="center"/>
          </w:tcPr>
          <w:p w14:paraId="5EAB946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一屏观2.0_数据安全分析-数据业务风险分析</w:t>
            </w:r>
          </w:p>
        </w:tc>
        <w:tc>
          <w:tcPr>
            <w:tcW w:w="3125" w:type="pct"/>
            <w:tcBorders>
              <w:top w:val="single" w:color="000000" w:sz="4" w:space="0"/>
              <w:left w:val="nil"/>
              <w:bottom w:val="single" w:color="000000" w:sz="4" w:space="0"/>
              <w:right w:val="single" w:color="000000" w:sz="4" w:space="0"/>
            </w:tcBorders>
            <w:vAlign w:val="center"/>
          </w:tcPr>
          <w:p w14:paraId="7769621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建立统一风险识别溯源机制，从账号，应用，接口，数据等维度针对敏感数据在流转过程中发生数据泄露行为，进行实时溯源跟踪，快速定位数据泄露源头，同时泄露风险实时可视化。</w:t>
            </w:r>
          </w:p>
        </w:tc>
      </w:tr>
      <w:tr w14:paraId="7F03ED5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3B3EC1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49</w:t>
            </w:r>
          </w:p>
        </w:tc>
        <w:tc>
          <w:tcPr>
            <w:tcW w:w="1250" w:type="pct"/>
            <w:tcBorders>
              <w:top w:val="single" w:color="000000" w:sz="4" w:space="0"/>
              <w:left w:val="nil"/>
              <w:bottom w:val="single" w:color="000000" w:sz="4" w:space="0"/>
              <w:right w:val="single" w:color="000000" w:sz="4" w:space="0"/>
            </w:tcBorders>
            <w:vAlign w:val="center"/>
          </w:tcPr>
          <w:p w14:paraId="587473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一屏观2.0_数据安全分析-SOAR自动化处置响剧本定制开发</w:t>
            </w:r>
          </w:p>
        </w:tc>
        <w:tc>
          <w:tcPr>
            <w:tcW w:w="3125" w:type="pct"/>
            <w:tcBorders>
              <w:top w:val="single" w:color="000000" w:sz="4" w:space="0"/>
              <w:left w:val="nil"/>
              <w:bottom w:val="single" w:color="000000" w:sz="4" w:space="0"/>
              <w:right w:val="single" w:color="000000" w:sz="4" w:space="0"/>
            </w:tcBorders>
            <w:vAlign w:val="center"/>
          </w:tcPr>
          <w:p w14:paraId="0672D93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定制设计特定的剧本，并在系统中运行起来。暂预估10个剧本。</w:t>
            </w:r>
          </w:p>
        </w:tc>
      </w:tr>
      <w:tr w14:paraId="36BD719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4B5250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50</w:t>
            </w:r>
          </w:p>
        </w:tc>
        <w:tc>
          <w:tcPr>
            <w:tcW w:w="1250" w:type="pct"/>
            <w:tcBorders>
              <w:top w:val="single" w:color="000000" w:sz="4" w:space="0"/>
              <w:left w:val="nil"/>
              <w:bottom w:val="single" w:color="000000" w:sz="4" w:space="0"/>
              <w:right w:val="single" w:color="000000" w:sz="4" w:space="0"/>
            </w:tcBorders>
            <w:vAlign w:val="center"/>
          </w:tcPr>
          <w:p w14:paraId="445B6D1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一屏观2.0_卫生健康区级大屏-公共卫生管理中枢</w:t>
            </w:r>
          </w:p>
        </w:tc>
        <w:tc>
          <w:tcPr>
            <w:tcW w:w="3125" w:type="pct"/>
            <w:tcBorders>
              <w:top w:val="single" w:color="000000" w:sz="4" w:space="0"/>
              <w:left w:val="nil"/>
              <w:bottom w:val="single" w:color="000000" w:sz="4" w:space="0"/>
              <w:right w:val="single" w:color="000000" w:sz="4" w:space="0"/>
            </w:tcBorders>
            <w:vAlign w:val="center"/>
          </w:tcPr>
          <w:p w14:paraId="0273FCF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传染病动态监测：整合甲乙丙类传染病报告数、发病率等数据。</w:t>
            </w:r>
            <w:r>
              <w:rPr>
                <w:rFonts w:hint="eastAsia" w:cs="宋体"/>
                <w:color w:val="auto"/>
                <w:kern w:val="0"/>
                <w:sz w:val="21"/>
                <w:szCs w:val="21"/>
                <w:highlight w:val="none"/>
              </w:rPr>
              <w:br w:type="textWrapping"/>
            </w:r>
            <w:r>
              <w:rPr>
                <w:rFonts w:hint="eastAsia" w:cs="宋体"/>
                <w:color w:val="auto"/>
                <w:kern w:val="0"/>
                <w:sz w:val="21"/>
                <w:szCs w:val="21"/>
                <w:highlight w:val="none"/>
              </w:rPr>
              <w:t>慢性病防控管理：关联基层随访数据与医疗机构诊疗记录，动态展示高血压、糖尿病患者规范管理率、并发症发生率等核心指标。</w:t>
            </w:r>
            <w:r>
              <w:rPr>
                <w:rFonts w:hint="eastAsia" w:cs="宋体"/>
                <w:color w:val="auto"/>
                <w:kern w:val="0"/>
                <w:sz w:val="21"/>
                <w:szCs w:val="21"/>
                <w:highlight w:val="none"/>
              </w:rPr>
              <w:br w:type="textWrapping"/>
            </w:r>
            <w:r>
              <w:rPr>
                <w:rFonts w:hint="eastAsia" w:cs="宋体"/>
                <w:color w:val="auto"/>
                <w:kern w:val="0"/>
                <w:sz w:val="21"/>
                <w:szCs w:val="21"/>
                <w:highlight w:val="none"/>
              </w:rPr>
              <w:t>肿瘤监测：监测恶性肿瘤发病人数。</w:t>
            </w:r>
          </w:p>
        </w:tc>
      </w:tr>
      <w:tr w14:paraId="4665E9A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CBC8FF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51</w:t>
            </w:r>
          </w:p>
        </w:tc>
        <w:tc>
          <w:tcPr>
            <w:tcW w:w="1250" w:type="pct"/>
            <w:tcBorders>
              <w:top w:val="single" w:color="000000" w:sz="4" w:space="0"/>
              <w:left w:val="nil"/>
              <w:bottom w:val="single" w:color="000000" w:sz="4" w:space="0"/>
              <w:right w:val="single" w:color="000000" w:sz="4" w:space="0"/>
            </w:tcBorders>
            <w:vAlign w:val="center"/>
          </w:tcPr>
          <w:p w14:paraId="08EBF83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一屏观2.0_卫生健康区级大屏-医疗服务效能监测</w:t>
            </w:r>
          </w:p>
        </w:tc>
        <w:tc>
          <w:tcPr>
            <w:tcW w:w="3125" w:type="pct"/>
            <w:tcBorders>
              <w:top w:val="single" w:color="000000" w:sz="4" w:space="0"/>
              <w:left w:val="nil"/>
              <w:bottom w:val="single" w:color="000000" w:sz="4" w:space="0"/>
              <w:right w:val="single" w:color="000000" w:sz="4" w:space="0"/>
            </w:tcBorders>
            <w:vAlign w:val="center"/>
          </w:tcPr>
          <w:p w14:paraId="5F9DDE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区域就诊流量分析：整合三级医院、二级医院、基层机构门急诊量数据，通过设置候诊超时预警，动态调整科室排班。</w:t>
            </w:r>
            <w:r>
              <w:rPr>
                <w:rFonts w:hint="eastAsia" w:cs="宋体"/>
                <w:color w:val="auto"/>
                <w:kern w:val="0"/>
                <w:sz w:val="21"/>
                <w:szCs w:val="21"/>
                <w:highlight w:val="none"/>
              </w:rPr>
              <w:br w:type="textWrapping"/>
            </w:r>
            <w:r>
              <w:rPr>
                <w:rFonts w:hint="eastAsia" w:cs="宋体"/>
                <w:color w:val="auto"/>
                <w:kern w:val="0"/>
                <w:sz w:val="21"/>
                <w:szCs w:val="21"/>
                <w:highlight w:val="none"/>
              </w:rPr>
              <w:t>手术质量与效率监控：动态更新手术关键数据，床位使用率、平均住院日等指标。</w:t>
            </w:r>
            <w:r>
              <w:rPr>
                <w:rFonts w:hint="eastAsia" w:cs="宋体"/>
                <w:color w:val="auto"/>
                <w:kern w:val="0"/>
                <w:sz w:val="21"/>
                <w:szCs w:val="21"/>
                <w:highlight w:val="none"/>
              </w:rPr>
              <w:br w:type="textWrapping"/>
            </w:r>
            <w:r>
              <w:rPr>
                <w:rFonts w:hint="eastAsia" w:cs="宋体"/>
                <w:color w:val="auto"/>
                <w:kern w:val="0"/>
                <w:sz w:val="21"/>
                <w:szCs w:val="21"/>
                <w:highlight w:val="none"/>
              </w:rPr>
              <w:t>诊断中心服务量监控：追踪影像诊断中心、区域临检中心、远程心电中心的中心数和服务量。</w:t>
            </w:r>
            <w:r>
              <w:rPr>
                <w:rFonts w:hint="eastAsia" w:cs="宋体"/>
                <w:color w:val="auto"/>
                <w:kern w:val="0"/>
                <w:sz w:val="21"/>
                <w:szCs w:val="21"/>
                <w:highlight w:val="none"/>
              </w:rPr>
              <w:br w:type="textWrapping"/>
            </w:r>
            <w:r>
              <w:rPr>
                <w:rFonts w:hint="eastAsia" w:cs="宋体"/>
                <w:color w:val="auto"/>
                <w:kern w:val="0"/>
                <w:sz w:val="21"/>
                <w:szCs w:val="21"/>
                <w:highlight w:val="none"/>
              </w:rPr>
              <w:t>互联互通患者体验优化：接入 “互联网 +” 医疗服务数据，展示全市/本区互认率和重复率等指标。</w:t>
            </w:r>
          </w:p>
        </w:tc>
      </w:tr>
      <w:tr w14:paraId="2E0C183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EC219B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52</w:t>
            </w:r>
          </w:p>
        </w:tc>
        <w:tc>
          <w:tcPr>
            <w:tcW w:w="1250" w:type="pct"/>
            <w:tcBorders>
              <w:top w:val="single" w:color="000000" w:sz="4" w:space="0"/>
              <w:left w:val="nil"/>
              <w:bottom w:val="single" w:color="000000" w:sz="4" w:space="0"/>
              <w:right w:val="single" w:color="000000" w:sz="4" w:space="0"/>
            </w:tcBorders>
            <w:vAlign w:val="center"/>
          </w:tcPr>
          <w:p w14:paraId="07615E1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一屏观2.0_卫生健康区级大屏-区域卫生资源全景</w:t>
            </w:r>
          </w:p>
        </w:tc>
        <w:tc>
          <w:tcPr>
            <w:tcW w:w="3125" w:type="pct"/>
            <w:tcBorders>
              <w:top w:val="single" w:color="000000" w:sz="4" w:space="0"/>
              <w:left w:val="nil"/>
              <w:bottom w:val="single" w:color="000000" w:sz="4" w:space="0"/>
              <w:right w:val="single" w:color="000000" w:sz="4" w:space="0"/>
            </w:tcBorders>
            <w:vAlign w:val="center"/>
          </w:tcPr>
          <w:p w14:paraId="3D6385A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人口健康画像：动态展示常住人口总量、年龄结构、老龄化率等基础数据，叠加孕产妇、儿童、残疾人等特殊人群分布。。</w:t>
            </w:r>
            <w:r>
              <w:rPr>
                <w:rFonts w:hint="eastAsia" w:cs="宋体"/>
                <w:color w:val="auto"/>
                <w:kern w:val="0"/>
                <w:sz w:val="21"/>
                <w:szCs w:val="21"/>
                <w:highlight w:val="none"/>
              </w:rPr>
              <w:br w:type="textWrapping"/>
            </w:r>
            <w:r>
              <w:rPr>
                <w:rFonts w:hint="eastAsia" w:cs="宋体"/>
                <w:color w:val="auto"/>
                <w:kern w:val="0"/>
                <w:sz w:val="21"/>
                <w:szCs w:val="21"/>
                <w:highlight w:val="none"/>
              </w:rPr>
              <w:t>医疗机构网格化管理：基于 GIS 地图标注医院资源分布，自动计算服务半径覆盖盲区。</w:t>
            </w:r>
            <w:r>
              <w:rPr>
                <w:rFonts w:hint="eastAsia" w:cs="宋体"/>
                <w:color w:val="auto"/>
                <w:kern w:val="0"/>
                <w:sz w:val="21"/>
                <w:szCs w:val="21"/>
                <w:highlight w:val="none"/>
              </w:rPr>
              <w:br w:type="textWrapping"/>
            </w:r>
            <w:r>
              <w:rPr>
                <w:rFonts w:hint="eastAsia" w:cs="宋体"/>
                <w:color w:val="auto"/>
                <w:kern w:val="0"/>
                <w:sz w:val="21"/>
                <w:szCs w:val="21"/>
                <w:highlight w:val="none"/>
              </w:rPr>
              <w:t>卫生人力资源评估：追踪医护人员总数、全科医生占比、高级职称比例等数据，预警超编 / 缺编科室。通过医师日均接诊量、护士床位比等指标，评估人力资源配置合理性。</w:t>
            </w:r>
            <w:r>
              <w:rPr>
                <w:rFonts w:hint="eastAsia" w:cs="宋体"/>
                <w:color w:val="auto"/>
                <w:kern w:val="0"/>
                <w:sz w:val="21"/>
                <w:szCs w:val="21"/>
                <w:highlight w:val="none"/>
              </w:rPr>
              <w:br w:type="textWrapping"/>
            </w:r>
            <w:r>
              <w:rPr>
                <w:rFonts w:hint="eastAsia" w:cs="宋体"/>
                <w:color w:val="auto"/>
                <w:kern w:val="0"/>
                <w:sz w:val="21"/>
                <w:szCs w:val="21"/>
                <w:highlight w:val="none"/>
              </w:rPr>
              <w:t>财政投入与产出分析：关联卫生总费用、医保基金支出、公共卫生项目预算执行率等数据。</w:t>
            </w:r>
          </w:p>
        </w:tc>
      </w:tr>
      <w:tr w14:paraId="122158F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109ABB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53</w:t>
            </w:r>
          </w:p>
        </w:tc>
        <w:tc>
          <w:tcPr>
            <w:tcW w:w="1250" w:type="pct"/>
            <w:tcBorders>
              <w:top w:val="single" w:color="000000" w:sz="4" w:space="0"/>
              <w:left w:val="nil"/>
              <w:bottom w:val="single" w:color="000000" w:sz="4" w:space="0"/>
              <w:right w:val="single" w:color="000000" w:sz="4" w:space="0"/>
            </w:tcBorders>
            <w:vAlign w:val="center"/>
          </w:tcPr>
          <w:p w14:paraId="0B0CFB4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一屏观2.0_卫生健康区级大屏-基层卫生服务赋能</w:t>
            </w:r>
          </w:p>
        </w:tc>
        <w:tc>
          <w:tcPr>
            <w:tcW w:w="3125" w:type="pct"/>
            <w:tcBorders>
              <w:top w:val="single" w:color="000000" w:sz="4" w:space="0"/>
              <w:left w:val="nil"/>
              <w:bottom w:val="single" w:color="000000" w:sz="4" w:space="0"/>
              <w:right w:val="single" w:color="000000" w:sz="4" w:space="0"/>
            </w:tcBorders>
            <w:vAlign w:val="center"/>
          </w:tcPr>
          <w:p w14:paraId="0C11637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家庭医生签约服务：量化签约覆盖率、重点人群续约率，动态展示社区向上转诊人次数、延伸处方总数和金额。</w:t>
            </w:r>
          </w:p>
        </w:tc>
      </w:tr>
      <w:tr w14:paraId="4E5C72B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45EF7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54</w:t>
            </w:r>
          </w:p>
        </w:tc>
        <w:tc>
          <w:tcPr>
            <w:tcW w:w="1250" w:type="pct"/>
            <w:tcBorders>
              <w:top w:val="single" w:color="000000" w:sz="4" w:space="0"/>
              <w:left w:val="nil"/>
              <w:bottom w:val="single" w:color="000000" w:sz="4" w:space="0"/>
              <w:right w:val="single" w:color="000000" w:sz="4" w:space="0"/>
            </w:tcBorders>
            <w:vAlign w:val="center"/>
          </w:tcPr>
          <w:p w14:paraId="6A41998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一屏观2.0_卫生健康医疗机构大屏-门急诊监测</w:t>
            </w:r>
          </w:p>
        </w:tc>
        <w:tc>
          <w:tcPr>
            <w:tcW w:w="3125" w:type="pct"/>
            <w:tcBorders>
              <w:top w:val="single" w:color="000000" w:sz="4" w:space="0"/>
              <w:left w:val="nil"/>
              <w:bottom w:val="single" w:color="000000" w:sz="4" w:space="0"/>
              <w:right w:val="single" w:color="000000" w:sz="4" w:space="0"/>
            </w:tcBorders>
            <w:vAlign w:val="center"/>
          </w:tcPr>
          <w:p w14:paraId="71AB294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门急诊人次：统计昨日、上月的门急诊人次，包括普通门诊挂号数、专家号人数、急诊号人数、发热号人数等，各科室可按挂号数进行排名。</w:t>
            </w:r>
            <w:r>
              <w:rPr>
                <w:rFonts w:hint="eastAsia" w:cs="宋体"/>
                <w:color w:val="auto"/>
                <w:kern w:val="0"/>
                <w:sz w:val="21"/>
                <w:szCs w:val="21"/>
                <w:highlight w:val="none"/>
              </w:rPr>
              <w:br w:type="textWrapping"/>
            </w:r>
            <w:r>
              <w:rPr>
                <w:rFonts w:hint="eastAsia" w:cs="宋体"/>
                <w:color w:val="auto"/>
                <w:kern w:val="0"/>
                <w:sz w:val="21"/>
                <w:szCs w:val="21"/>
                <w:highlight w:val="none"/>
              </w:rPr>
              <w:t>门急诊业务量：统计药品、耗材等收入及占比，以及医疗服务性收入和占比。门急诊均次费用可按科室排名。</w:t>
            </w:r>
          </w:p>
        </w:tc>
      </w:tr>
      <w:tr w14:paraId="3CC6582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BA8FD1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55</w:t>
            </w:r>
          </w:p>
        </w:tc>
        <w:tc>
          <w:tcPr>
            <w:tcW w:w="1250" w:type="pct"/>
            <w:tcBorders>
              <w:top w:val="single" w:color="000000" w:sz="4" w:space="0"/>
              <w:left w:val="nil"/>
              <w:bottom w:val="single" w:color="000000" w:sz="4" w:space="0"/>
              <w:right w:val="single" w:color="000000" w:sz="4" w:space="0"/>
            </w:tcBorders>
            <w:vAlign w:val="center"/>
          </w:tcPr>
          <w:p w14:paraId="2D0240C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一屏观2.0_卫生健康医疗机构大屏-住院服务管理</w:t>
            </w:r>
          </w:p>
        </w:tc>
        <w:tc>
          <w:tcPr>
            <w:tcW w:w="3125" w:type="pct"/>
            <w:tcBorders>
              <w:top w:val="single" w:color="000000" w:sz="4" w:space="0"/>
              <w:left w:val="nil"/>
              <w:bottom w:val="single" w:color="000000" w:sz="4" w:space="0"/>
              <w:right w:val="single" w:color="000000" w:sz="4" w:space="0"/>
            </w:tcBorders>
            <w:vAlign w:val="center"/>
          </w:tcPr>
          <w:p w14:paraId="4A7D1CC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住院人次：统计平均在院人数、入院人数、出院人数、平均住院天数、均次床日费、床位使用率等指标，各科室可按床位使用率进行排名。</w:t>
            </w:r>
            <w:r>
              <w:rPr>
                <w:rFonts w:hint="eastAsia" w:cs="宋体"/>
                <w:color w:val="auto"/>
                <w:kern w:val="0"/>
                <w:sz w:val="21"/>
                <w:szCs w:val="21"/>
                <w:highlight w:val="none"/>
              </w:rPr>
              <w:br w:type="textWrapping"/>
            </w:r>
            <w:r>
              <w:rPr>
                <w:rFonts w:hint="eastAsia" w:cs="宋体"/>
                <w:color w:val="auto"/>
                <w:kern w:val="0"/>
                <w:sz w:val="21"/>
                <w:szCs w:val="21"/>
                <w:highlight w:val="none"/>
              </w:rPr>
              <w:t>住院业务量：统计药品、耗材等收入及占比，以及医疗服务性收入和占比。住院均次费用可按科室排名。</w:t>
            </w:r>
          </w:p>
        </w:tc>
      </w:tr>
      <w:tr w14:paraId="5CCD321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031E5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56</w:t>
            </w:r>
          </w:p>
        </w:tc>
        <w:tc>
          <w:tcPr>
            <w:tcW w:w="1250" w:type="pct"/>
            <w:tcBorders>
              <w:top w:val="single" w:color="000000" w:sz="4" w:space="0"/>
              <w:left w:val="nil"/>
              <w:bottom w:val="single" w:color="000000" w:sz="4" w:space="0"/>
              <w:right w:val="single" w:color="000000" w:sz="4" w:space="0"/>
            </w:tcBorders>
            <w:vAlign w:val="center"/>
          </w:tcPr>
          <w:p w14:paraId="352B40B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一屏观2.0_卫生健康医疗机构大屏-手术服务监控</w:t>
            </w:r>
          </w:p>
        </w:tc>
        <w:tc>
          <w:tcPr>
            <w:tcW w:w="3125" w:type="pct"/>
            <w:tcBorders>
              <w:top w:val="single" w:color="000000" w:sz="4" w:space="0"/>
              <w:left w:val="nil"/>
              <w:bottom w:val="single" w:color="000000" w:sz="4" w:space="0"/>
              <w:right w:val="single" w:color="000000" w:sz="4" w:space="0"/>
            </w:tcBorders>
            <w:vAlign w:val="center"/>
          </w:tcPr>
          <w:p w14:paraId="575E6EC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更新手术排期、操作例数、三四级手术比例等关键节点数据。</w:t>
            </w:r>
          </w:p>
        </w:tc>
      </w:tr>
      <w:tr w14:paraId="7AD0764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706AB9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57</w:t>
            </w:r>
          </w:p>
        </w:tc>
        <w:tc>
          <w:tcPr>
            <w:tcW w:w="1250" w:type="pct"/>
            <w:tcBorders>
              <w:top w:val="single" w:color="000000" w:sz="4" w:space="0"/>
              <w:left w:val="nil"/>
              <w:bottom w:val="single" w:color="000000" w:sz="4" w:space="0"/>
              <w:right w:val="single" w:color="000000" w:sz="4" w:space="0"/>
            </w:tcBorders>
            <w:vAlign w:val="center"/>
          </w:tcPr>
          <w:p w14:paraId="65F18B8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一屏观2.0_卫生健康医疗机构大屏-安全质量指标</w:t>
            </w:r>
          </w:p>
        </w:tc>
        <w:tc>
          <w:tcPr>
            <w:tcW w:w="3125" w:type="pct"/>
            <w:tcBorders>
              <w:top w:val="single" w:color="000000" w:sz="4" w:space="0"/>
              <w:left w:val="nil"/>
              <w:bottom w:val="single" w:color="000000" w:sz="4" w:space="0"/>
              <w:right w:val="single" w:color="000000" w:sz="4" w:space="0"/>
            </w:tcBorders>
            <w:vAlign w:val="center"/>
          </w:tcPr>
          <w:p w14:paraId="7E82CBC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动态追踪院内低风险患者死亡人数、低风险患者死亡率、手术患者并发症发生率、出院患者抗菌药物使用率等指标。</w:t>
            </w:r>
          </w:p>
        </w:tc>
      </w:tr>
      <w:tr w14:paraId="2EBA375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A5715C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58</w:t>
            </w:r>
          </w:p>
        </w:tc>
        <w:tc>
          <w:tcPr>
            <w:tcW w:w="1250" w:type="pct"/>
            <w:tcBorders>
              <w:top w:val="single" w:color="000000" w:sz="4" w:space="0"/>
              <w:left w:val="nil"/>
              <w:bottom w:val="single" w:color="000000" w:sz="4" w:space="0"/>
              <w:right w:val="single" w:color="000000" w:sz="4" w:space="0"/>
            </w:tcBorders>
            <w:vAlign w:val="center"/>
          </w:tcPr>
          <w:p w14:paraId="69EA665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一屏观2.0_卫生健康社区大屏-人口健康画像</w:t>
            </w:r>
          </w:p>
        </w:tc>
        <w:tc>
          <w:tcPr>
            <w:tcW w:w="3125" w:type="pct"/>
            <w:tcBorders>
              <w:top w:val="single" w:color="000000" w:sz="4" w:space="0"/>
              <w:left w:val="nil"/>
              <w:bottom w:val="single" w:color="000000" w:sz="4" w:space="0"/>
              <w:right w:val="single" w:color="000000" w:sz="4" w:space="0"/>
            </w:tcBorders>
            <w:vAlign w:val="center"/>
          </w:tcPr>
          <w:p w14:paraId="606571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聚焦常住人口总量、年龄结构、特殊人群分布及服务网络覆盖效能。</w:t>
            </w:r>
          </w:p>
        </w:tc>
      </w:tr>
      <w:tr w14:paraId="0B7B54F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8E95C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59</w:t>
            </w:r>
          </w:p>
        </w:tc>
        <w:tc>
          <w:tcPr>
            <w:tcW w:w="1250" w:type="pct"/>
            <w:tcBorders>
              <w:top w:val="single" w:color="000000" w:sz="4" w:space="0"/>
              <w:left w:val="nil"/>
              <w:bottom w:val="single" w:color="000000" w:sz="4" w:space="0"/>
              <w:right w:val="single" w:color="000000" w:sz="4" w:space="0"/>
            </w:tcBorders>
            <w:vAlign w:val="center"/>
          </w:tcPr>
          <w:p w14:paraId="6B97CCF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一屏观2.0_卫生健康社区大屏-医疗服务能力</w:t>
            </w:r>
          </w:p>
        </w:tc>
        <w:tc>
          <w:tcPr>
            <w:tcW w:w="3125" w:type="pct"/>
            <w:tcBorders>
              <w:top w:val="single" w:color="000000" w:sz="4" w:space="0"/>
              <w:left w:val="nil"/>
              <w:bottom w:val="single" w:color="000000" w:sz="4" w:space="0"/>
              <w:right w:val="single" w:color="000000" w:sz="4" w:space="0"/>
            </w:tcBorders>
            <w:vAlign w:val="center"/>
          </w:tcPr>
          <w:p w14:paraId="399E5D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追踪门诊人次(包括全科门诊、康复门诊、中医门诊、口腔门诊等)、门诊均次费用、总处方数、延伸处方开具张数、药品配备数、床位使用率、门诊中药饮片处方情况、中医非药物治疗情况等指标；</w:t>
            </w:r>
          </w:p>
        </w:tc>
      </w:tr>
      <w:tr w14:paraId="2E08079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57843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60</w:t>
            </w:r>
          </w:p>
        </w:tc>
        <w:tc>
          <w:tcPr>
            <w:tcW w:w="1250" w:type="pct"/>
            <w:tcBorders>
              <w:top w:val="single" w:color="000000" w:sz="4" w:space="0"/>
              <w:left w:val="nil"/>
              <w:bottom w:val="single" w:color="000000" w:sz="4" w:space="0"/>
              <w:right w:val="single" w:color="000000" w:sz="4" w:space="0"/>
            </w:tcBorders>
            <w:vAlign w:val="center"/>
          </w:tcPr>
          <w:p w14:paraId="41CD094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一屏观2.0_卫生健康社区大屏-家医签约服务</w:t>
            </w:r>
          </w:p>
        </w:tc>
        <w:tc>
          <w:tcPr>
            <w:tcW w:w="3125" w:type="pct"/>
            <w:tcBorders>
              <w:top w:val="single" w:color="000000" w:sz="4" w:space="0"/>
              <w:left w:val="nil"/>
              <w:bottom w:val="single" w:color="000000" w:sz="4" w:space="0"/>
              <w:right w:val="single" w:color="000000" w:sz="4" w:space="0"/>
            </w:tcBorders>
            <w:vAlign w:val="center"/>
          </w:tcPr>
          <w:p w14:paraId="71E9B66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量化全人群签约覆盖率、重点人群签约率；履约质量及双向转诊效率，创新线上服务模式。</w:t>
            </w:r>
          </w:p>
        </w:tc>
      </w:tr>
      <w:tr w14:paraId="53FFD36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5188BF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61</w:t>
            </w:r>
          </w:p>
        </w:tc>
        <w:tc>
          <w:tcPr>
            <w:tcW w:w="1250" w:type="pct"/>
            <w:tcBorders>
              <w:top w:val="single" w:color="000000" w:sz="4" w:space="0"/>
              <w:left w:val="nil"/>
              <w:bottom w:val="single" w:color="000000" w:sz="4" w:space="0"/>
              <w:right w:val="single" w:color="000000" w:sz="4" w:space="0"/>
            </w:tcBorders>
            <w:vAlign w:val="center"/>
          </w:tcPr>
          <w:p w14:paraId="19BE679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一屏观2.0_卫生健康社区大屏-公共卫生管理</w:t>
            </w:r>
          </w:p>
        </w:tc>
        <w:tc>
          <w:tcPr>
            <w:tcW w:w="3125" w:type="pct"/>
            <w:tcBorders>
              <w:top w:val="single" w:color="000000" w:sz="4" w:space="0"/>
              <w:left w:val="nil"/>
              <w:bottom w:val="single" w:color="000000" w:sz="4" w:space="0"/>
              <w:right w:val="single" w:color="000000" w:sz="4" w:space="0"/>
            </w:tcBorders>
            <w:vAlign w:val="center"/>
          </w:tcPr>
          <w:p w14:paraId="3898ABB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动态更新慢性病管理人数、疫苗接种人次、妇幼保健核心指标、肿瘤人数、结核病人数、严重精神障碍患者人数等。</w:t>
            </w:r>
          </w:p>
        </w:tc>
      </w:tr>
      <w:tr w14:paraId="7765093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85F284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62</w:t>
            </w:r>
          </w:p>
        </w:tc>
        <w:tc>
          <w:tcPr>
            <w:tcW w:w="1250" w:type="pct"/>
            <w:tcBorders>
              <w:top w:val="single" w:color="000000" w:sz="4" w:space="0"/>
              <w:left w:val="nil"/>
              <w:bottom w:val="single" w:color="000000" w:sz="4" w:space="0"/>
              <w:right w:val="single" w:color="000000" w:sz="4" w:space="0"/>
            </w:tcBorders>
            <w:vAlign w:val="center"/>
          </w:tcPr>
          <w:p w14:paraId="15984B2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一屏观2.0_卫生健康社区大屏-运营管理效能</w:t>
            </w:r>
          </w:p>
        </w:tc>
        <w:tc>
          <w:tcPr>
            <w:tcW w:w="3125" w:type="pct"/>
            <w:tcBorders>
              <w:top w:val="single" w:color="000000" w:sz="4" w:space="0"/>
              <w:left w:val="nil"/>
              <w:bottom w:val="single" w:color="000000" w:sz="4" w:space="0"/>
              <w:right w:val="single" w:color="000000" w:sz="4" w:space="0"/>
            </w:tcBorders>
            <w:vAlign w:val="center"/>
          </w:tcPr>
          <w:p w14:paraId="0E874B6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整合社区卫生服务中心医疗收入(以及中医医疗收入和占比)、医保执行总额、耗材周转率及服务质量监控数据；监测设备与人力资源结构，评估服务半径覆盖盲区。</w:t>
            </w:r>
          </w:p>
        </w:tc>
      </w:tr>
      <w:tr w14:paraId="630B3E6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A1F1F1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63</w:t>
            </w:r>
          </w:p>
        </w:tc>
        <w:tc>
          <w:tcPr>
            <w:tcW w:w="1250" w:type="pct"/>
            <w:tcBorders>
              <w:top w:val="single" w:color="000000" w:sz="4" w:space="0"/>
              <w:left w:val="nil"/>
              <w:bottom w:val="single" w:color="000000" w:sz="4" w:space="0"/>
              <w:right w:val="single" w:color="000000" w:sz="4" w:space="0"/>
            </w:tcBorders>
            <w:vAlign w:val="center"/>
          </w:tcPr>
          <w:p w14:paraId="16F8209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一屏观2.0_访问控制管理</w:t>
            </w:r>
          </w:p>
        </w:tc>
        <w:tc>
          <w:tcPr>
            <w:tcW w:w="3125" w:type="pct"/>
            <w:tcBorders>
              <w:top w:val="single" w:color="000000" w:sz="4" w:space="0"/>
              <w:left w:val="nil"/>
              <w:bottom w:val="single" w:color="000000" w:sz="4" w:space="0"/>
              <w:right w:val="single" w:color="000000" w:sz="4" w:space="0"/>
            </w:tcBorders>
            <w:vAlign w:val="center"/>
          </w:tcPr>
          <w:p w14:paraId="480781C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实现对一屏观用户的数据访问控制功能</w:t>
            </w:r>
          </w:p>
        </w:tc>
      </w:tr>
      <w:tr w14:paraId="402E030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16516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64</w:t>
            </w:r>
          </w:p>
        </w:tc>
        <w:tc>
          <w:tcPr>
            <w:tcW w:w="1250" w:type="pct"/>
            <w:tcBorders>
              <w:top w:val="single" w:color="000000" w:sz="4" w:space="0"/>
              <w:left w:val="nil"/>
              <w:bottom w:val="single" w:color="000000" w:sz="4" w:space="0"/>
              <w:right w:val="single" w:color="000000" w:sz="4" w:space="0"/>
            </w:tcBorders>
            <w:vAlign w:val="center"/>
          </w:tcPr>
          <w:p w14:paraId="5E10E81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面向家庭医生的居民健康画像_数据智能提取-结构化数据提取-数据格式识别</w:t>
            </w:r>
          </w:p>
        </w:tc>
        <w:tc>
          <w:tcPr>
            <w:tcW w:w="3125" w:type="pct"/>
            <w:tcBorders>
              <w:top w:val="single" w:color="000000" w:sz="4" w:space="0"/>
              <w:left w:val="nil"/>
              <w:bottom w:val="single" w:color="000000" w:sz="4" w:space="0"/>
              <w:right w:val="single" w:color="000000" w:sz="4" w:space="0"/>
            </w:tcBorders>
            <w:vAlign w:val="center"/>
          </w:tcPr>
          <w:p w14:paraId="49A453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支持自动识别各种结构化数据格式，如数据库表、XML、JSON 等。通过解析数据的结构定义，了解数据的字段名称、数据类型、约束条件等信息，为数据提取做好准备。</w:t>
            </w:r>
          </w:p>
        </w:tc>
      </w:tr>
      <w:tr w14:paraId="1C011BC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3818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65</w:t>
            </w:r>
          </w:p>
        </w:tc>
        <w:tc>
          <w:tcPr>
            <w:tcW w:w="1250" w:type="pct"/>
            <w:tcBorders>
              <w:top w:val="single" w:color="000000" w:sz="4" w:space="0"/>
              <w:left w:val="nil"/>
              <w:bottom w:val="single" w:color="000000" w:sz="4" w:space="0"/>
              <w:right w:val="single" w:color="000000" w:sz="4" w:space="0"/>
            </w:tcBorders>
            <w:vAlign w:val="center"/>
          </w:tcPr>
          <w:p w14:paraId="4303C2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面向家庭医生的居民健康画像_数据智能提取-结构化数据提取-字段值提取</w:t>
            </w:r>
          </w:p>
        </w:tc>
        <w:tc>
          <w:tcPr>
            <w:tcW w:w="3125" w:type="pct"/>
            <w:tcBorders>
              <w:top w:val="single" w:color="000000" w:sz="4" w:space="0"/>
              <w:left w:val="nil"/>
              <w:bottom w:val="single" w:color="000000" w:sz="4" w:space="0"/>
              <w:right w:val="single" w:color="000000" w:sz="4" w:space="0"/>
            </w:tcBorders>
            <w:vAlign w:val="center"/>
          </w:tcPr>
          <w:p w14:paraId="023DE8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根据数据格式和字段定义，准确提取结构化数据中的字段值。从数据库表格中提取居民的基本信息（如姓名、年龄、性别、身份证号等）、健康体检指标（如血压、血糖、血脂等）、就诊记录（如就诊日期、科室、诊断结果等）等数据。</w:t>
            </w:r>
          </w:p>
        </w:tc>
      </w:tr>
      <w:tr w14:paraId="492F548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1929C4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66</w:t>
            </w:r>
          </w:p>
        </w:tc>
        <w:tc>
          <w:tcPr>
            <w:tcW w:w="1250" w:type="pct"/>
            <w:tcBorders>
              <w:top w:val="single" w:color="000000" w:sz="4" w:space="0"/>
              <w:left w:val="nil"/>
              <w:bottom w:val="single" w:color="000000" w:sz="4" w:space="0"/>
              <w:right w:val="single" w:color="000000" w:sz="4" w:space="0"/>
            </w:tcBorders>
            <w:vAlign w:val="center"/>
          </w:tcPr>
          <w:p w14:paraId="2082F0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面向家庭医生的居民健康画像_数据智能提取-结构化数据提取-数据关联与整合</w:t>
            </w:r>
          </w:p>
        </w:tc>
        <w:tc>
          <w:tcPr>
            <w:tcW w:w="3125" w:type="pct"/>
            <w:tcBorders>
              <w:top w:val="single" w:color="000000" w:sz="4" w:space="0"/>
              <w:left w:val="nil"/>
              <w:bottom w:val="single" w:color="000000" w:sz="4" w:space="0"/>
              <w:right w:val="single" w:color="000000" w:sz="4" w:space="0"/>
            </w:tcBorders>
            <w:vAlign w:val="center"/>
          </w:tcPr>
          <w:p w14:paraId="5A56A6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对于来自多个结构化数据源的数据，能够进行关联和整合。通过唯一标识字段（如居民身份证号）将不同数据源中的相关数据进行匹配和合并，形成完整的居民健康数据集合，以便提取更全面的标签信息。</w:t>
            </w:r>
          </w:p>
        </w:tc>
      </w:tr>
      <w:tr w14:paraId="1336963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7CB20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67</w:t>
            </w:r>
          </w:p>
        </w:tc>
        <w:tc>
          <w:tcPr>
            <w:tcW w:w="1250" w:type="pct"/>
            <w:tcBorders>
              <w:top w:val="single" w:color="000000" w:sz="4" w:space="0"/>
              <w:left w:val="nil"/>
              <w:bottom w:val="single" w:color="000000" w:sz="4" w:space="0"/>
              <w:right w:val="single" w:color="000000" w:sz="4" w:space="0"/>
            </w:tcBorders>
            <w:vAlign w:val="center"/>
          </w:tcPr>
          <w:p w14:paraId="069F3E3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面向家庭医生的居民健康画像_数据智能提取-结构化数据提取-数据质量评估</w:t>
            </w:r>
          </w:p>
        </w:tc>
        <w:tc>
          <w:tcPr>
            <w:tcW w:w="3125" w:type="pct"/>
            <w:tcBorders>
              <w:top w:val="single" w:color="000000" w:sz="4" w:space="0"/>
              <w:left w:val="nil"/>
              <w:bottom w:val="single" w:color="000000" w:sz="4" w:space="0"/>
              <w:right w:val="single" w:color="000000" w:sz="4" w:space="0"/>
            </w:tcBorders>
            <w:vAlign w:val="center"/>
          </w:tcPr>
          <w:p w14:paraId="262276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在提取结构化数据的过程中，对数据质量进行评估和清洗。检查数据的完整性、准确性、一致性。</w:t>
            </w:r>
          </w:p>
        </w:tc>
      </w:tr>
      <w:tr w14:paraId="1E52611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02D699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68</w:t>
            </w:r>
          </w:p>
        </w:tc>
        <w:tc>
          <w:tcPr>
            <w:tcW w:w="1250" w:type="pct"/>
            <w:tcBorders>
              <w:top w:val="single" w:color="000000" w:sz="4" w:space="0"/>
              <w:left w:val="nil"/>
              <w:bottom w:val="single" w:color="000000" w:sz="4" w:space="0"/>
              <w:right w:val="single" w:color="000000" w:sz="4" w:space="0"/>
            </w:tcBorders>
            <w:vAlign w:val="center"/>
          </w:tcPr>
          <w:p w14:paraId="5939774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面向家庭医生的居民健康画像_数据智能提取-结构化数据提取-数据清洗</w:t>
            </w:r>
          </w:p>
        </w:tc>
        <w:tc>
          <w:tcPr>
            <w:tcW w:w="3125" w:type="pct"/>
            <w:tcBorders>
              <w:top w:val="single" w:color="000000" w:sz="4" w:space="0"/>
              <w:left w:val="nil"/>
              <w:bottom w:val="single" w:color="000000" w:sz="4" w:space="0"/>
              <w:right w:val="single" w:color="000000" w:sz="4" w:space="0"/>
            </w:tcBorders>
            <w:vAlign w:val="center"/>
          </w:tcPr>
          <w:p w14:paraId="0CA12D4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在提取结构化数据的过程中，去除重复数据、错误数据和缺失值，确保提取的数据质量可靠，为标签提取提供高质量的数据基础。</w:t>
            </w:r>
          </w:p>
        </w:tc>
      </w:tr>
      <w:tr w14:paraId="6BC8BD0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962C16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69</w:t>
            </w:r>
          </w:p>
        </w:tc>
        <w:tc>
          <w:tcPr>
            <w:tcW w:w="1250" w:type="pct"/>
            <w:tcBorders>
              <w:top w:val="single" w:color="000000" w:sz="4" w:space="0"/>
              <w:left w:val="nil"/>
              <w:bottom w:val="single" w:color="000000" w:sz="4" w:space="0"/>
              <w:right w:val="single" w:color="000000" w:sz="4" w:space="0"/>
            </w:tcBorders>
            <w:vAlign w:val="center"/>
          </w:tcPr>
          <w:p w14:paraId="3CA3AD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面向家庭医生的居民健康画像_数据智能提取-结构化数据提取-标签映射生成</w:t>
            </w:r>
          </w:p>
        </w:tc>
        <w:tc>
          <w:tcPr>
            <w:tcW w:w="3125" w:type="pct"/>
            <w:tcBorders>
              <w:top w:val="single" w:color="000000" w:sz="4" w:space="0"/>
              <w:left w:val="nil"/>
              <w:bottom w:val="single" w:color="000000" w:sz="4" w:space="0"/>
              <w:right w:val="single" w:color="000000" w:sz="4" w:space="0"/>
            </w:tcBorders>
            <w:vAlign w:val="center"/>
          </w:tcPr>
          <w:p w14:paraId="6E486E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将提取的结构化数据与预设的标签体系进行映射，根据数据的值和特征生成相应的标签。根据居民的年龄和性别数据，生成“老年男性”“青年女性”等标签；根据体检指标数据，生成“高血压患者”“高血糖风险”等标签。</w:t>
            </w:r>
          </w:p>
        </w:tc>
      </w:tr>
      <w:tr w14:paraId="451111C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F0790E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70</w:t>
            </w:r>
          </w:p>
        </w:tc>
        <w:tc>
          <w:tcPr>
            <w:tcW w:w="1250" w:type="pct"/>
            <w:tcBorders>
              <w:top w:val="single" w:color="000000" w:sz="4" w:space="0"/>
              <w:left w:val="nil"/>
              <w:bottom w:val="single" w:color="000000" w:sz="4" w:space="0"/>
              <w:right w:val="single" w:color="000000" w:sz="4" w:space="0"/>
            </w:tcBorders>
            <w:vAlign w:val="center"/>
          </w:tcPr>
          <w:p w14:paraId="304FAB8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面向家庭医生的居民健康画像_数据智能提取-文本数据提取-快速文本解析</w:t>
            </w:r>
          </w:p>
        </w:tc>
        <w:tc>
          <w:tcPr>
            <w:tcW w:w="3125" w:type="pct"/>
            <w:tcBorders>
              <w:top w:val="single" w:color="000000" w:sz="4" w:space="0"/>
              <w:left w:val="nil"/>
              <w:bottom w:val="single" w:color="000000" w:sz="4" w:space="0"/>
              <w:right w:val="single" w:color="000000" w:sz="4" w:space="0"/>
            </w:tcBorders>
            <w:vAlign w:val="center"/>
          </w:tcPr>
          <w:p w14:paraId="7B74A5F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能够高效处理大规模的文本数据，如电子病历中的长篇诊断记录、医学研究文献、健康科普文章等。利用先进的文本解析算法，快速识别文本的结构和内容层次，将文本分割为段落、句子等基本单位，以便后续的分析和处理。</w:t>
            </w:r>
          </w:p>
        </w:tc>
      </w:tr>
      <w:tr w14:paraId="5F524FF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AE51AE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71</w:t>
            </w:r>
          </w:p>
        </w:tc>
        <w:tc>
          <w:tcPr>
            <w:tcW w:w="1250" w:type="pct"/>
            <w:tcBorders>
              <w:top w:val="single" w:color="000000" w:sz="4" w:space="0"/>
              <w:left w:val="nil"/>
              <w:bottom w:val="single" w:color="000000" w:sz="4" w:space="0"/>
              <w:right w:val="single" w:color="000000" w:sz="4" w:space="0"/>
            </w:tcBorders>
            <w:vAlign w:val="center"/>
          </w:tcPr>
          <w:p w14:paraId="0244D3B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面向家庭医生的居民健康画像_数据智能提取-文本数据提取-关键信息抽取</w:t>
            </w:r>
          </w:p>
        </w:tc>
        <w:tc>
          <w:tcPr>
            <w:tcW w:w="3125" w:type="pct"/>
            <w:tcBorders>
              <w:top w:val="single" w:color="000000" w:sz="4" w:space="0"/>
              <w:left w:val="nil"/>
              <w:bottom w:val="single" w:color="000000" w:sz="4" w:space="0"/>
              <w:right w:val="single" w:color="000000" w:sz="4" w:space="0"/>
            </w:tcBorders>
            <w:vAlign w:val="center"/>
          </w:tcPr>
          <w:p w14:paraId="257A491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运用自然语言处理技术，如命名实体识别（NER）、关键词提取等，从大文本中精准抽取关键信息。对于电子病历文本，抽取疾病名称、症状描述、检查结果、治疗措施、用药信息等关键实体；对于医学文献，提取研究目的、方法、结论、实验数据等重要内容。</w:t>
            </w:r>
          </w:p>
        </w:tc>
      </w:tr>
      <w:tr w14:paraId="7F180D1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3D1D2E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72</w:t>
            </w:r>
          </w:p>
        </w:tc>
        <w:tc>
          <w:tcPr>
            <w:tcW w:w="1250" w:type="pct"/>
            <w:tcBorders>
              <w:top w:val="single" w:color="000000" w:sz="4" w:space="0"/>
              <w:left w:val="nil"/>
              <w:bottom w:val="single" w:color="000000" w:sz="4" w:space="0"/>
              <w:right w:val="single" w:color="000000" w:sz="4" w:space="0"/>
            </w:tcBorders>
            <w:vAlign w:val="center"/>
          </w:tcPr>
          <w:p w14:paraId="5395AA0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面向家庭医生的居民健康画像_数据智能提取-文本数据提取-语义理解与关联</w:t>
            </w:r>
          </w:p>
        </w:tc>
        <w:tc>
          <w:tcPr>
            <w:tcW w:w="3125" w:type="pct"/>
            <w:tcBorders>
              <w:top w:val="single" w:color="000000" w:sz="4" w:space="0"/>
              <w:left w:val="nil"/>
              <w:bottom w:val="single" w:color="000000" w:sz="4" w:space="0"/>
              <w:right w:val="single" w:color="000000" w:sz="4" w:space="0"/>
            </w:tcBorders>
            <w:vAlign w:val="center"/>
          </w:tcPr>
          <w:p w14:paraId="2FA8F05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通过语义分析算法，理解文本的语义含义，识别文本中不同信息之间的语义关联。分析疾病症状与诊断结果之间的因果关系，或者药物治疗与病情变化之间的关联，从而为标签提取提供更深入的语义支持。</w:t>
            </w:r>
          </w:p>
        </w:tc>
      </w:tr>
      <w:tr w14:paraId="1A851FC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BC32D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73</w:t>
            </w:r>
          </w:p>
        </w:tc>
        <w:tc>
          <w:tcPr>
            <w:tcW w:w="1250" w:type="pct"/>
            <w:tcBorders>
              <w:top w:val="single" w:color="000000" w:sz="4" w:space="0"/>
              <w:left w:val="nil"/>
              <w:bottom w:val="single" w:color="000000" w:sz="4" w:space="0"/>
              <w:right w:val="single" w:color="000000" w:sz="4" w:space="0"/>
            </w:tcBorders>
            <w:vAlign w:val="center"/>
          </w:tcPr>
          <w:p w14:paraId="46F7D83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面向家庭医生的居民健康画像_数据智能提取-文本数据提取-上下文感知与消歧</w:t>
            </w:r>
          </w:p>
        </w:tc>
        <w:tc>
          <w:tcPr>
            <w:tcW w:w="3125" w:type="pct"/>
            <w:tcBorders>
              <w:top w:val="single" w:color="000000" w:sz="4" w:space="0"/>
              <w:left w:val="nil"/>
              <w:bottom w:val="single" w:color="000000" w:sz="4" w:space="0"/>
              <w:right w:val="single" w:color="000000" w:sz="4" w:space="0"/>
            </w:tcBorders>
            <w:vAlign w:val="center"/>
          </w:tcPr>
          <w:p w14:paraId="2D2FB6D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考虑文本的上下文信息，对具有歧义的词汇或概念进行消歧处理。在医学领域中，某些词汇可能具有多种含义，通过上下文分析确定其准确含义，确保提取的标签准确无误。例如，“感冒”一词在不同语境下可能指代普通感冒或流行性感冒，通过上下文判断具体所指。</w:t>
            </w:r>
          </w:p>
        </w:tc>
      </w:tr>
      <w:tr w14:paraId="627C537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021FE4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74</w:t>
            </w:r>
          </w:p>
        </w:tc>
        <w:tc>
          <w:tcPr>
            <w:tcW w:w="1250" w:type="pct"/>
            <w:tcBorders>
              <w:top w:val="single" w:color="000000" w:sz="4" w:space="0"/>
              <w:left w:val="nil"/>
              <w:bottom w:val="single" w:color="000000" w:sz="4" w:space="0"/>
              <w:right w:val="single" w:color="000000" w:sz="4" w:space="0"/>
            </w:tcBorders>
            <w:vAlign w:val="center"/>
          </w:tcPr>
          <w:p w14:paraId="332588F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面向家庭医生的居民健康画像_数据智能提取-文本数据提取-文本摘要生成</w:t>
            </w:r>
          </w:p>
        </w:tc>
        <w:tc>
          <w:tcPr>
            <w:tcW w:w="3125" w:type="pct"/>
            <w:tcBorders>
              <w:top w:val="single" w:color="000000" w:sz="4" w:space="0"/>
              <w:left w:val="nil"/>
              <w:bottom w:val="single" w:color="000000" w:sz="4" w:space="0"/>
              <w:right w:val="single" w:color="000000" w:sz="4" w:space="0"/>
            </w:tcBorders>
            <w:vAlign w:val="center"/>
          </w:tcPr>
          <w:p w14:paraId="42055AE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在提取关键信息的基础上，生成文本的摘要，突出文本的核心内容。对于长篇的医学文献或病历记录，生成简洁明了的摘要，方便用户快速了解文本的主要信息，同时也有助于后续的标签提取和分析</w:t>
            </w:r>
          </w:p>
        </w:tc>
      </w:tr>
      <w:tr w14:paraId="20AA60C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9ABB0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75</w:t>
            </w:r>
          </w:p>
        </w:tc>
        <w:tc>
          <w:tcPr>
            <w:tcW w:w="1250" w:type="pct"/>
            <w:tcBorders>
              <w:top w:val="single" w:color="000000" w:sz="4" w:space="0"/>
              <w:left w:val="nil"/>
              <w:bottom w:val="single" w:color="000000" w:sz="4" w:space="0"/>
              <w:right w:val="single" w:color="000000" w:sz="4" w:space="0"/>
            </w:tcBorders>
            <w:vAlign w:val="center"/>
          </w:tcPr>
          <w:p w14:paraId="090590E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面向家庭医生的居民健康画像_数据智能提取-口语化数据提取-语音识别转换</w:t>
            </w:r>
          </w:p>
        </w:tc>
        <w:tc>
          <w:tcPr>
            <w:tcW w:w="3125" w:type="pct"/>
            <w:tcBorders>
              <w:top w:val="single" w:color="000000" w:sz="4" w:space="0"/>
              <w:left w:val="nil"/>
              <w:bottom w:val="single" w:color="000000" w:sz="4" w:space="0"/>
              <w:right w:val="single" w:color="000000" w:sz="4" w:space="0"/>
            </w:tcBorders>
            <w:vAlign w:val="center"/>
          </w:tcPr>
          <w:p w14:paraId="3594987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于口语化的语音数据，如患者与医生的对话录音、健康咨询热线的通话记录等，首先利用语音识别技术将语音转换为文本形式。采用先进的语音识别模型，提高语音识别的准确率，尤其是在医学领域专业术语的识别上。</w:t>
            </w:r>
          </w:p>
        </w:tc>
      </w:tr>
      <w:tr w14:paraId="4E9871A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34E9D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76</w:t>
            </w:r>
          </w:p>
        </w:tc>
        <w:tc>
          <w:tcPr>
            <w:tcW w:w="1250" w:type="pct"/>
            <w:tcBorders>
              <w:top w:val="single" w:color="000000" w:sz="4" w:space="0"/>
              <w:left w:val="nil"/>
              <w:bottom w:val="single" w:color="000000" w:sz="4" w:space="0"/>
              <w:right w:val="single" w:color="000000" w:sz="4" w:space="0"/>
            </w:tcBorders>
            <w:vAlign w:val="center"/>
          </w:tcPr>
          <w:p w14:paraId="39F102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面向家庭医生的居民健康画像_数据智能提取-口语化数据提取-自然语言处理与理解</w:t>
            </w:r>
          </w:p>
        </w:tc>
        <w:tc>
          <w:tcPr>
            <w:tcW w:w="3125" w:type="pct"/>
            <w:tcBorders>
              <w:top w:val="single" w:color="000000" w:sz="4" w:space="0"/>
              <w:left w:val="nil"/>
              <w:bottom w:val="single" w:color="000000" w:sz="4" w:space="0"/>
              <w:right w:val="single" w:color="000000" w:sz="4" w:space="0"/>
            </w:tcBorders>
            <w:vAlign w:val="center"/>
          </w:tcPr>
          <w:p w14:paraId="6DF7983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对转换后的文本进行自然语言处理，包括分词、词性标注、句法分析等，理解口语化文本的语义和语法结构。分析患者描述症状时的语言表达，提取关键的症状信息和相关细节</w:t>
            </w:r>
          </w:p>
        </w:tc>
      </w:tr>
      <w:tr w14:paraId="67BC5E9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94C88C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77</w:t>
            </w:r>
          </w:p>
        </w:tc>
        <w:tc>
          <w:tcPr>
            <w:tcW w:w="1250" w:type="pct"/>
            <w:tcBorders>
              <w:top w:val="single" w:color="000000" w:sz="4" w:space="0"/>
              <w:left w:val="nil"/>
              <w:bottom w:val="single" w:color="000000" w:sz="4" w:space="0"/>
              <w:right w:val="single" w:color="000000" w:sz="4" w:space="0"/>
            </w:tcBorders>
            <w:vAlign w:val="center"/>
          </w:tcPr>
          <w:p w14:paraId="182913B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面向家庭医生的居民健康画像_数据智能提取-口语化数据提取-口语化表达规范化</w:t>
            </w:r>
          </w:p>
        </w:tc>
        <w:tc>
          <w:tcPr>
            <w:tcW w:w="3125" w:type="pct"/>
            <w:tcBorders>
              <w:top w:val="single" w:color="000000" w:sz="4" w:space="0"/>
              <w:left w:val="nil"/>
              <w:bottom w:val="single" w:color="000000" w:sz="4" w:space="0"/>
              <w:right w:val="single" w:color="000000" w:sz="4" w:space="0"/>
            </w:tcBorders>
            <w:vAlign w:val="center"/>
          </w:tcPr>
          <w:p w14:paraId="7AE614E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将口语化的表达转换为规范化的医学术语和语言形式。将患者说的 “胸口疼”转换为“胸痛”，“尿多”转换为“多尿”等，以便与医学知识体系和标签体系进行匹配和关联。</w:t>
            </w:r>
          </w:p>
        </w:tc>
      </w:tr>
      <w:tr w14:paraId="1B3EEE6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86D3E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78</w:t>
            </w:r>
          </w:p>
        </w:tc>
        <w:tc>
          <w:tcPr>
            <w:tcW w:w="1250" w:type="pct"/>
            <w:tcBorders>
              <w:top w:val="single" w:color="000000" w:sz="4" w:space="0"/>
              <w:left w:val="nil"/>
              <w:bottom w:val="single" w:color="000000" w:sz="4" w:space="0"/>
              <w:right w:val="single" w:color="000000" w:sz="4" w:space="0"/>
            </w:tcBorders>
            <w:vAlign w:val="center"/>
          </w:tcPr>
          <w:p w14:paraId="0F7C0C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面向家庭医生的居民健康画像_数据智能提取-口语化数据提取-标签提取与标注</w:t>
            </w:r>
          </w:p>
        </w:tc>
        <w:tc>
          <w:tcPr>
            <w:tcW w:w="3125" w:type="pct"/>
            <w:tcBorders>
              <w:top w:val="single" w:color="000000" w:sz="4" w:space="0"/>
              <w:left w:val="nil"/>
              <w:bottom w:val="single" w:color="000000" w:sz="4" w:space="0"/>
              <w:right w:val="single" w:color="000000" w:sz="4" w:space="0"/>
            </w:tcBorders>
            <w:vAlign w:val="center"/>
          </w:tcPr>
          <w:p w14:paraId="24E90A5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根据处理后的口语化数据，提取相关的标签信息。从患者的对话中提取“疾病咨询需求”“某种疾病症状描述”等标签，并进行标注，为后续的健康管理和分析提供依据。</w:t>
            </w:r>
          </w:p>
        </w:tc>
      </w:tr>
      <w:tr w14:paraId="638AC2B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4D62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79</w:t>
            </w:r>
          </w:p>
        </w:tc>
        <w:tc>
          <w:tcPr>
            <w:tcW w:w="1250" w:type="pct"/>
            <w:tcBorders>
              <w:top w:val="single" w:color="000000" w:sz="4" w:space="0"/>
              <w:left w:val="nil"/>
              <w:bottom w:val="single" w:color="000000" w:sz="4" w:space="0"/>
              <w:right w:val="single" w:color="000000" w:sz="4" w:space="0"/>
            </w:tcBorders>
            <w:vAlign w:val="center"/>
          </w:tcPr>
          <w:p w14:paraId="2BD7FE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面向家庭医生的居民健康画像_健康知识库-重点知识库管理-重点疾病知识库</w:t>
            </w:r>
          </w:p>
        </w:tc>
        <w:tc>
          <w:tcPr>
            <w:tcW w:w="3125" w:type="pct"/>
            <w:tcBorders>
              <w:top w:val="single" w:color="000000" w:sz="4" w:space="0"/>
              <w:left w:val="nil"/>
              <w:bottom w:val="single" w:color="000000" w:sz="4" w:space="0"/>
              <w:right w:val="single" w:color="000000" w:sz="4" w:space="0"/>
            </w:tcBorders>
            <w:vAlign w:val="center"/>
          </w:tcPr>
          <w:p w14:paraId="183FD2E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针对一些严重危害人类健康的重点疾病， 如癌症、心血管疾病、传染病等，用户可以建立专门的知识库管理。 用户可以分别收集和整理这些疾病的最新研究成果、临床治疗经验、 预防措施等方面的文献内容统一维护，与其他基础医学知识分别显示 在不同的页面，便于医学研究人员和临床医生可以快速定位查看这些 文献内容，为重点疾病的研究提供支持。例如，对于癌症知识库，收集不同类型癌症的最新治疗方法、靶向药物的研发进展、癌症的早期筛查技术等知识管理。</w:t>
            </w:r>
          </w:p>
        </w:tc>
      </w:tr>
      <w:tr w14:paraId="57FC7BE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D5D5F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80</w:t>
            </w:r>
          </w:p>
        </w:tc>
        <w:tc>
          <w:tcPr>
            <w:tcW w:w="1250" w:type="pct"/>
            <w:tcBorders>
              <w:top w:val="single" w:color="000000" w:sz="4" w:space="0"/>
              <w:left w:val="nil"/>
              <w:bottom w:val="single" w:color="000000" w:sz="4" w:space="0"/>
              <w:right w:val="single" w:color="000000" w:sz="4" w:space="0"/>
            </w:tcBorders>
            <w:vAlign w:val="center"/>
          </w:tcPr>
          <w:p w14:paraId="622448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面向家庭医生的居民健康画像_健康知识库-重点知识库管理-临床指南知识库</w:t>
            </w:r>
          </w:p>
        </w:tc>
        <w:tc>
          <w:tcPr>
            <w:tcW w:w="3125" w:type="pct"/>
            <w:tcBorders>
              <w:top w:val="single" w:color="000000" w:sz="4" w:space="0"/>
              <w:left w:val="nil"/>
              <w:bottom w:val="single" w:color="000000" w:sz="4" w:space="0"/>
              <w:right w:val="single" w:color="000000" w:sz="4" w:space="0"/>
            </w:tcBorders>
            <w:vAlign w:val="center"/>
          </w:tcPr>
          <w:p w14:paraId="2508A7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建立临床指南知识库，在这个知识库页面 中将收集和整理国内外权威的临床指南，包括疾病的诊断指南、治疗指南、预防指南等进行录入并进行分类管理，所有知识库支持手动更 新、废弃，确保医生能够获取到最新、最准确的临床指导。例如，将心血管疾病的临床指南按照不同的疾病类型（如冠心病、高血压、心力衰竭等）进行标签分类，方便医生检索和应用。</w:t>
            </w:r>
          </w:p>
        </w:tc>
      </w:tr>
      <w:tr w14:paraId="32F3FAC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C29336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81</w:t>
            </w:r>
          </w:p>
        </w:tc>
        <w:tc>
          <w:tcPr>
            <w:tcW w:w="1250" w:type="pct"/>
            <w:tcBorders>
              <w:top w:val="single" w:color="000000" w:sz="4" w:space="0"/>
              <w:left w:val="nil"/>
              <w:bottom w:val="single" w:color="000000" w:sz="4" w:space="0"/>
              <w:right w:val="single" w:color="000000" w:sz="4" w:space="0"/>
            </w:tcBorders>
            <w:vAlign w:val="center"/>
          </w:tcPr>
          <w:p w14:paraId="23A556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面向家庭医生的居民健康画像_健康知识库-重点知识库管理-健康宣教知识库</w:t>
            </w:r>
          </w:p>
        </w:tc>
        <w:tc>
          <w:tcPr>
            <w:tcW w:w="3125" w:type="pct"/>
            <w:tcBorders>
              <w:top w:val="single" w:color="000000" w:sz="4" w:space="0"/>
              <w:left w:val="nil"/>
              <w:bottom w:val="single" w:color="000000" w:sz="4" w:space="0"/>
              <w:right w:val="single" w:color="000000" w:sz="4" w:space="0"/>
            </w:tcBorders>
            <w:vAlign w:val="center"/>
          </w:tcPr>
          <w:p w14:paraId="18E8B85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大众健康知识普及的需求，用户可建立专门的健康宣教知识库管理。用户能够收集并整理涵盖营养饮食、运动健身、心理健康、疾病预防等多方面的最新研究成果、实用生活建议以及权威科普资料等内容进行统一维护。这些内容与其他专业医学知识分开，展示在独立的页面，方便普通民众、社区工作者以及健康领域从业者快速定位查看，为大众健康素养的提升提供有力支持。</w:t>
            </w:r>
          </w:p>
        </w:tc>
      </w:tr>
      <w:tr w14:paraId="7779431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4E9829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82</w:t>
            </w:r>
          </w:p>
        </w:tc>
        <w:tc>
          <w:tcPr>
            <w:tcW w:w="1250" w:type="pct"/>
            <w:tcBorders>
              <w:top w:val="single" w:color="000000" w:sz="4" w:space="0"/>
              <w:left w:val="nil"/>
              <w:bottom w:val="single" w:color="000000" w:sz="4" w:space="0"/>
              <w:right w:val="single" w:color="000000" w:sz="4" w:space="0"/>
            </w:tcBorders>
            <w:vAlign w:val="center"/>
          </w:tcPr>
          <w:p w14:paraId="1D436E7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面向家庭医生的居民健康画像_健康知识库-重点知识库管理-专家经验知识库</w:t>
            </w:r>
          </w:p>
        </w:tc>
        <w:tc>
          <w:tcPr>
            <w:tcW w:w="3125" w:type="pct"/>
            <w:tcBorders>
              <w:top w:val="single" w:color="000000" w:sz="4" w:space="0"/>
              <w:left w:val="nil"/>
              <w:bottom w:val="single" w:color="000000" w:sz="4" w:space="0"/>
              <w:right w:val="single" w:color="000000" w:sz="4" w:space="0"/>
            </w:tcBorders>
            <w:vAlign w:val="center"/>
          </w:tcPr>
          <w:p w14:paraId="3EF27B8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收集和整理医学专家的临床经验、学 术思想等方面的知识，建立医学专家经验知识库。通过对专家经验的 总结和传承的文献内容的维护，提高医学知识的应用水平和临床治疗效果。例如，邀请知名专家撰写临床经验总结文章，将其纳入专家经 验知识库，供其他医生学习和参考。</w:t>
            </w:r>
          </w:p>
        </w:tc>
      </w:tr>
      <w:tr w14:paraId="320D7DC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20F451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83</w:t>
            </w:r>
          </w:p>
        </w:tc>
        <w:tc>
          <w:tcPr>
            <w:tcW w:w="1250" w:type="pct"/>
            <w:tcBorders>
              <w:top w:val="single" w:color="000000" w:sz="4" w:space="0"/>
              <w:left w:val="nil"/>
              <w:bottom w:val="single" w:color="000000" w:sz="4" w:space="0"/>
              <w:right w:val="single" w:color="000000" w:sz="4" w:space="0"/>
            </w:tcBorders>
            <w:vAlign w:val="center"/>
          </w:tcPr>
          <w:p w14:paraId="1EDA295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面向家庭医生的居民健康画像_健康知识库-知识发布</w:t>
            </w:r>
          </w:p>
        </w:tc>
        <w:tc>
          <w:tcPr>
            <w:tcW w:w="3125" w:type="pct"/>
            <w:tcBorders>
              <w:top w:val="single" w:color="000000" w:sz="4" w:space="0"/>
              <w:left w:val="nil"/>
              <w:bottom w:val="single" w:color="000000" w:sz="4" w:space="0"/>
              <w:right w:val="single" w:color="000000" w:sz="4" w:space="0"/>
            </w:tcBorders>
            <w:vAlign w:val="center"/>
          </w:tcPr>
          <w:p w14:paraId="3270F25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所有审核通过的知识统一在医学知识管理平台上管理， 每个知识支持设置属性标签进行分类，不同业务渠道调用平台订阅服 务实现指定页面访问，并将这些内容同步到不同的渠道进行发布。</w:t>
            </w:r>
          </w:p>
        </w:tc>
      </w:tr>
      <w:tr w14:paraId="1CA39D9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A9FC9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84</w:t>
            </w:r>
          </w:p>
        </w:tc>
        <w:tc>
          <w:tcPr>
            <w:tcW w:w="1250" w:type="pct"/>
            <w:tcBorders>
              <w:top w:val="single" w:color="000000" w:sz="4" w:space="0"/>
              <w:left w:val="nil"/>
              <w:bottom w:val="single" w:color="000000" w:sz="4" w:space="0"/>
              <w:right w:val="single" w:color="000000" w:sz="4" w:space="0"/>
            </w:tcBorders>
            <w:vAlign w:val="center"/>
          </w:tcPr>
          <w:p w14:paraId="6F04539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面向家庭医生的居民健康画像_健康知识库-医学术语库管理</w:t>
            </w:r>
          </w:p>
        </w:tc>
        <w:tc>
          <w:tcPr>
            <w:tcW w:w="3125" w:type="pct"/>
            <w:tcBorders>
              <w:top w:val="single" w:color="000000" w:sz="4" w:space="0"/>
              <w:left w:val="nil"/>
              <w:bottom w:val="single" w:color="000000" w:sz="4" w:space="0"/>
              <w:right w:val="single" w:color="000000" w:sz="4" w:space="0"/>
            </w:tcBorders>
            <w:vAlign w:val="center"/>
          </w:tcPr>
          <w:p w14:paraId="140847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医学术语库支持构建和管理医学领域的专业术语，建立术语词典。</w:t>
            </w:r>
          </w:p>
        </w:tc>
      </w:tr>
      <w:tr w14:paraId="2595CD6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BE1EDD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85</w:t>
            </w:r>
          </w:p>
        </w:tc>
        <w:tc>
          <w:tcPr>
            <w:tcW w:w="1250" w:type="pct"/>
            <w:tcBorders>
              <w:top w:val="single" w:color="000000" w:sz="4" w:space="0"/>
              <w:left w:val="nil"/>
              <w:bottom w:val="single" w:color="000000" w:sz="4" w:space="0"/>
              <w:right w:val="single" w:color="000000" w:sz="4" w:space="0"/>
            </w:tcBorders>
            <w:vAlign w:val="center"/>
          </w:tcPr>
          <w:p w14:paraId="356F3E1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面向家庭医生的居民健康画像_健康知识库-医学知识图谱管理-多图谱构建管理</w:t>
            </w:r>
          </w:p>
        </w:tc>
        <w:tc>
          <w:tcPr>
            <w:tcW w:w="3125" w:type="pct"/>
            <w:tcBorders>
              <w:top w:val="single" w:color="000000" w:sz="4" w:space="0"/>
              <w:left w:val="nil"/>
              <w:bottom w:val="single" w:color="000000" w:sz="4" w:space="0"/>
              <w:right w:val="single" w:color="000000" w:sz="4" w:space="0"/>
            </w:tcBorders>
            <w:vAlign w:val="center"/>
          </w:tcPr>
          <w:p w14:paraId="07AD7CB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根据不同的领域或知识建立不同的图谱空间， 如疾病、检查、检验、西医、中医等维度划分不同的知识图谱空间， 分别维护各类知识。</w:t>
            </w:r>
          </w:p>
        </w:tc>
      </w:tr>
      <w:tr w14:paraId="7FDAF0E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EF58AE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86</w:t>
            </w:r>
          </w:p>
        </w:tc>
        <w:tc>
          <w:tcPr>
            <w:tcW w:w="1250" w:type="pct"/>
            <w:tcBorders>
              <w:top w:val="single" w:color="000000" w:sz="4" w:space="0"/>
              <w:left w:val="nil"/>
              <w:bottom w:val="single" w:color="000000" w:sz="4" w:space="0"/>
              <w:right w:val="single" w:color="000000" w:sz="4" w:space="0"/>
            </w:tcBorders>
            <w:vAlign w:val="center"/>
          </w:tcPr>
          <w:p w14:paraId="2CDDEF3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面向家庭医生的居民健康画像_健康知识库-医学知识图谱管理-知识建模</w:t>
            </w:r>
          </w:p>
        </w:tc>
        <w:tc>
          <w:tcPr>
            <w:tcW w:w="3125" w:type="pct"/>
            <w:tcBorders>
              <w:top w:val="single" w:color="000000" w:sz="4" w:space="0"/>
              <w:left w:val="nil"/>
              <w:bottom w:val="single" w:color="000000" w:sz="4" w:space="0"/>
              <w:right w:val="single" w:color="000000" w:sz="4" w:space="0"/>
            </w:tcBorders>
            <w:vAlign w:val="center"/>
          </w:tcPr>
          <w:p w14:paraId="592F1F9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结合业务知识模型进行领域概念体系构建，支持对医学知识中概念、属性、关系等定义与维护。如建立疾病、症状概念， 该概念下可构建疾病实体“高血压”，在高血压上可维护其属性“好发人群”、“病程特点”等，帮助丰富实体的信息，为构建知识图谱 提供更详细的数据，同时可维护它的常见症状（如“头昏、头痛”）、 常见体征（如“血压升高”）、并发症（“高血压脑病、高血压危象”） 等关系。</w:t>
            </w:r>
          </w:p>
        </w:tc>
      </w:tr>
      <w:tr w14:paraId="5677F97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D5928C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87</w:t>
            </w:r>
          </w:p>
        </w:tc>
        <w:tc>
          <w:tcPr>
            <w:tcW w:w="1250" w:type="pct"/>
            <w:tcBorders>
              <w:top w:val="single" w:color="000000" w:sz="4" w:space="0"/>
              <w:left w:val="nil"/>
              <w:bottom w:val="single" w:color="000000" w:sz="4" w:space="0"/>
              <w:right w:val="single" w:color="000000" w:sz="4" w:space="0"/>
            </w:tcBorders>
            <w:vAlign w:val="center"/>
          </w:tcPr>
          <w:p w14:paraId="307E708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面向家庭医生的居民健康画像_健康知识库-医学知识图谱管理-知识引用</w:t>
            </w:r>
          </w:p>
        </w:tc>
        <w:tc>
          <w:tcPr>
            <w:tcW w:w="3125" w:type="pct"/>
            <w:tcBorders>
              <w:top w:val="single" w:color="000000" w:sz="4" w:space="0"/>
              <w:left w:val="nil"/>
              <w:bottom w:val="single" w:color="000000" w:sz="4" w:space="0"/>
              <w:right w:val="single" w:color="000000" w:sz="4" w:space="0"/>
            </w:tcBorders>
            <w:vAlign w:val="center"/>
          </w:tcPr>
          <w:p w14:paraId="7DAFA5C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从非结构化和半结构化数据中获取的实体、关系以及 实体属性信息会存在有些知识内容相似，可以通过知识引用的方式， 对多个知识进行属性、实体关系的引用合并，做到快速构建。</w:t>
            </w:r>
          </w:p>
        </w:tc>
      </w:tr>
      <w:tr w14:paraId="26CD0C4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3A953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88</w:t>
            </w:r>
          </w:p>
        </w:tc>
        <w:tc>
          <w:tcPr>
            <w:tcW w:w="1250" w:type="pct"/>
            <w:tcBorders>
              <w:top w:val="single" w:color="000000" w:sz="4" w:space="0"/>
              <w:left w:val="nil"/>
              <w:bottom w:val="single" w:color="000000" w:sz="4" w:space="0"/>
              <w:right w:val="single" w:color="000000" w:sz="4" w:space="0"/>
            </w:tcBorders>
            <w:vAlign w:val="center"/>
          </w:tcPr>
          <w:p w14:paraId="21FF7FB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面向家庭医生的居民健康画像_健康知识库-医学知识图谱管理-图谱统计分析</w:t>
            </w:r>
          </w:p>
        </w:tc>
        <w:tc>
          <w:tcPr>
            <w:tcW w:w="3125" w:type="pct"/>
            <w:tcBorders>
              <w:top w:val="single" w:color="000000" w:sz="4" w:space="0"/>
              <w:left w:val="nil"/>
              <w:bottom w:val="single" w:color="000000" w:sz="4" w:space="0"/>
              <w:right w:val="single" w:color="000000" w:sz="4" w:space="0"/>
            </w:tcBorders>
            <w:vAlign w:val="center"/>
          </w:tcPr>
          <w:p w14:paraId="61D440F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对图谱下的数据统计信息可视化展现。从概念、 属性、关系、实体等维度统计，如统计疾病概念下的实体数、疾病与症状间的三元组关系数。</w:t>
            </w:r>
          </w:p>
        </w:tc>
      </w:tr>
      <w:tr w14:paraId="04CCDAA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35C399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89</w:t>
            </w:r>
          </w:p>
        </w:tc>
        <w:tc>
          <w:tcPr>
            <w:tcW w:w="1250" w:type="pct"/>
            <w:tcBorders>
              <w:top w:val="single" w:color="000000" w:sz="4" w:space="0"/>
              <w:left w:val="nil"/>
              <w:bottom w:val="single" w:color="000000" w:sz="4" w:space="0"/>
              <w:right w:val="single" w:color="000000" w:sz="4" w:space="0"/>
            </w:tcBorders>
            <w:vAlign w:val="center"/>
          </w:tcPr>
          <w:p w14:paraId="241A01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面向家庭医生的居民健康画像_健康知识库-医学知识图谱管理-图谱可视化</w:t>
            </w:r>
          </w:p>
        </w:tc>
        <w:tc>
          <w:tcPr>
            <w:tcW w:w="3125" w:type="pct"/>
            <w:tcBorders>
              <w:top w:val="single" w:color="000000" w:sz="4" w:space="0"/>
              <w:left w:val="nil"/>
              <w:bottom w:val="single" w:color="000000" w:sz="4" w:space="0"/>
              <w:right w:val="single" w:color="000000" w:sz="4" w:space="0"/>
            </w:tcBorders>
            <w:vAlign w:val="center"/>
          </w:tcPr>
          <w:p w14:paraId="14C2809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以图节点的形式展示在实体可视化中。根据实体名称搜索查看实体关系图谱，如输入高血压，展示以高血压为主节点的关联关系，如典型症状、少见体征、并发症等节点，为用户提供更好的关系可视化展示效果。</w:t>
            </w:r>
          </w:p>
        </w:tc>
      </w:tr>
      <w:tr w14:paraId="5FEC31F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1ED2D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90</w:t>
            </w:r>
          </w:p>
        </w:tc>
        <w:tc>
          <w:tcPr>
            <w:tcW w:w="1250" w:type="pct"/>
            <w:tcBorders>
              <w:top w:val="single" w:color="000000" w:sz="4" w:space="0"/>
              <w:left w:val="nil"/>
              <w:bottom w:val="single" w:color="000000" w:sz="4" w:space="0"/>
              <w:right w:val="single" w:color="000000" w:sz="4" w:space="0"/>
            </w:tcBorders>
            <w:vAlign w:val="center"/>
          </w:tcPr>
          <w:p w14:paraId="430227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面向家庭医生的居民健康画像_健康空间构建-通用居民健康空间</w:t>
            </w:r>
          </w:p>
        </w:tc>
        <w:tc>
          <w:tcPr>
            <w:tcW w:w="3125" w:type="pct"/>
            <w:tcBorders>
              <w:top w:val="single" w:color="000000" w:sz="4" w:space="0"/>
              <w:left w:val="nil"/>
              <w:bottom w:val="single" w:color="000000" w:sz="4" w:space="0"/>
              <w:right w:val="single" w:color="000000" w:sz="4" w:space="0"/>
            </w:tcBorders>
            <w:vAlign w:val="center"/>
          </w:tcPr>
          <w:p w14:paraId="44BE9F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依托居民的健康数据，融合人体虚拟人图展示与患者标签数据呈现。详细呈现人体十大系统，即呼吸系统、消化系统、生殖系统、泌尿系统、心血管系统、神经系统、内分泌系统、运动与骨骼系统、免疫系统、感觉系统的异常指标情况。居民通过这一空间，能够全面、直观地掌握自身健康状况，为健康管理提供清晰的可视化依据。</w:t>
            </w:r>
          </w:p>
        </w:tc>
      </w:tr>
      <w:tr w14:paraId="3862C71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344F32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91</w:t>
            </w:r>
          </w:p>
        </w:tc>
        <w:tc>
          <w:tcPr>
            <w:tcW w:w="1250" w:type="pct"/>
            <w:tcBorders>
              <w:top w:val="single" w:color="000000" w:sz="4" w:space="0"/>
              <w:left w:val="nil"/>
              <w:bottom w:val="single" w:color="000000" w:sz="4" w:space="0"/>
              <w:right w:val="single" w:color="000000" w:sz="4" w:space="0"/>
            </w:tcBorders>
            <w:vAlign w:val="center"/>
          </w:tcPr>
          <w:p w14:paraId="0730B1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面向家庭医生的居民健康画像_健康空间构建-疾病风险项分析</w:t>
            </w:r>
          </w:p>
        </w:tc>
        <w:tc>
          <w:tcPr>
            <w:tcW w:w="3125" w:type="pct"/>
            <w:tcBorders>
              <w:top w:val="single" w:color="000000" w:sz="4" w:space="0"/>
              <w:left w:val="nil"/>
              <w:bottom w:val="single" w:color="000000" w:sz="4" w:space="0"/>
              <w:right w:val="single" w:color="000000" w:sz="4" w:space="0"/>
            </w:tcBorders>
            <w:vAlign w:val="center"/>
          </w:tcPr>
          <w:p w14:paraId="720EAF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针对近期检查检验异常结果，结合居民的生活习惯等信息进行居民疾病风险的风险预测，并展示风险疾病相关的疾病百科内容，包括概述、病因、症状、常用检验检查、治疗方案、预后、预防及日常护理等知识，辅助居民更好的进行自我健康管理。</w:t>
            </w:r>
          </w:p>
        </w:tc>
      </w:tr>
      <w:tr w14:paraId="2782833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7BF2F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92</w:t>
            </w:r>
          </w:p>
        </w:tc>
        <w:tc>
          <w:tcPr>
            <w:tcW w:w="1250" w:type="pct"/>
            <w:tcBorders>
              <w:top w:val="single" w:color="000000" w:sz="4" w:space="0"/>
              <w:left w:val="nil"/>
              <w:bottom w:val="single" w:color="000000" w:sz="4" w:space="0"/>
              <w:right w:val="single" w:color="000000" w:sz="4" w:space="0"/>
            </w:tcBorders>
            <w:vAlign w:val="center"/>
          </w:tcPr>
          <w:p w14:paraId="6E24465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面向家庭医生的居民健康画像_健康空间构建-人体10大系统关键指标解析</w:t>
            </w:r>
          </w:p>
        </w:tc>
        <w:tc>
          <w:tcPr>
            <w:tcW w:w="3125" w:type="pct"/>
            <w:tcBorders>
              <w:top w:val="single" w:color="000000" w:sz="4" w:space="0"/>
              <w:left w:val="nil"/>
              <w:bottom w:val="single" w:color="000000" w:sz="4" w:space="0"/>
              <w:right w:val="single" w:color="000000" w:sz="4" w:space="0"/>
            </w:tcBorders>
            <w:vAlign w:val="center"/>
          </w:tcPr>
          <w:p w14:paraId="00AA7CC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支持按照人体10大系统，对居民历年体检、检验、检查的生理指标进行智能分类，并展示每项近期需关注指标的指标名称、检查时间、检查结果、指标趋势及参考范围等，帮助居民全民了解自身各项指标情况。</w:t>
            </w:r>
          </w:p>
        </w:tc>
      </w:tr>
      <w:tr w14:paraId="2173209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4EFA3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93</w:t>
            </w:r>
          </w:p>
        </w:tc>
        <w:tc>
          <w:tcPr>
            <w:tcW w:w="1250" w:type="pct"/>
            <w:tcBorders>
              <w:top w:val="single" w:color="000000" w:sz="4" w:space="0"/>
              <w:left w:val="nil"/>
              <w:bottom w:val="single" w:color="000000" w:sz="4" w:space="0"/>
              <w:right w:val="single" w:color="000000" w:sz="4" w:space="0"/>
            </w:tcBorders>
            <w:vAlign w:val="center"/>
          </w:tcPr>
          <w:p w14:paraId="086238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面向家庭医生的居民健康画像_健康空间构建-居民健康史</w:t>
            </w:r>
          </w:p>
        </w:tc>
        <w:tc>
          <w:tcPr>
            <w:tcW w:w="3125" w:type="pct"/>
            <w:tcBorders>
              <w:top w:val="single" w:color="000000" w:sz="4" w:space="0"/>
              <w:left w:val="nil"/>
              <w:bottom w:val="single" w:color="000000" w:sz="4" w:space="0"/>
              <w:right w:val="single" w:color="000000" w:sz="4" w:space="0"/>
            </w:tcBorders>
            <w:vAlign w:val="center"/>
          </w:tcPr>
          <w:p w14:paraId="3B28A5F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支持展示居民的既往史信息，具体包含：既往患病情况、手术情况、食物/药物过敏情况、疫苗接种情况、个人饮酒情况、个人吸烟情况、运动情况、摄盐情况以及家族史情况等。</w:t>
            </w:r>
          </w:p>
        </w:tc>
      </w:tr>
      <w:tr w14:paraId="345B3B1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B5F5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94</w:t>
            </w:r>
          </w:p>
        </w:tc>
        <w:tc>
          <w:tcPr>
            <w:tcW w:w="1250" w:type="pct"/>
            <w:tcBorders>
              <w:top w:val="single" w:color="000000" w:sz="4" w:space="0"/>
              <w:left w:val="nil"/>
              <w:bottom w:val="single" w:color="000000" w:sz="4" w:space="0"/>
              <w:right w:val="single" w:color="000000" w:sz="4" w:space="0"/>
            </w:tcBorders>
            <w:vAlign w:val="center"/>
          </w:tcPr>
          <w:p w14:paraId="5785116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面向家庭医生的居民健康画像_健康空间构建-年度医疗费用账单</w:t>
            </w:r>
          </w:p>
        </w:tc>
        <w:tc>
          <w:tcPr>
            <w:tcW w:w="3125" w:type="pct"/>
            <w:tcBorders>
              <w:top w:val="single" w:color="000000" w:sz="4" w:space="0"/>
              <w:left w:val="nil"/>
              <w:bottom w:val="single" w:color="000000" w:sz="4" w:space="0"/>
              <w:right w:val="single" w:color="000000" w:sz="4" w:space="0"/>
            </w:tcBorders>
            <w:vAlign w:val="center"/>
          </w:tcPr>
          <w:p w14:paraId="26F8DDA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支持按照时间维度筛选展示居民每年的医疗费用账单情况，账单包含：门诊次数、急诊次数、住院次数、体检次数以及年度消费等情况。</w:t>
            </w:r>
          </w:p>
        </w:tc>
      </w:tr>
      <w:tr w14:paraId="325087B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AF68D6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95</w:t>
            </w:r>
          </w:p>
        </w:tc>
        <w:tc>
          <w:tcPr>
            <w:tcW w:w="1250" w:type="pct"/>
            <w:tcBorders>
              <w:top w:val="single" w:color="000000" w:sz="4" w:space="0"/>
              <w:left w:val="nil"/>
              <w:bottom w:val="single" w:color="000000" w:sz="4" w:space="0"/>
              <w:right w:val="single" w:color="000000" w:sz="4" w:space="0"/>
            </w:tcBorders>
            <w:vAlign w:val="center"/>
          </w:tcPr>
          <w:p w14:paraId="4F9BEDD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面向家庭医生的居民健康画像_诊前摘要画像-智能健康摘要</w:t>
            </w:r>
          </w:p>
        </w:tc>
        <w:tc>
          <w:tcPr>
            <w:tcW w:w="3125" w:type="pct"/>
            <w:tcBorders>
              <w:top w:val="single" w:color="000000" w:sz="4" w:space="0"/>
              <w:left w:val="nil"/>
              <w:bottom w:val="single" w:color="000000" w:sz="4" w:space="0"/>
              <w:right w:val="single" w:color="000000" w:sz="4" w:space="0"/>
            </w:tcBorders>
            <w:vAlign w:val="center"/>
          </w:tcPr>
          <w:p w14:paraId="2C00B5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基本信息 支持显示居民的基本信息，包括姓名、性别、年龄、证件类型、证件号码等信息。根据患者的全生命周期医疗数据的不同，显示患者的人群标签等信息。</w:t>
            </w:r>
            <w:r>
              <w:rPr>
                <w:rFonts w:hint="eastAsia" w:cs="宋体"/>
                <w:color w:val="auto"/>
                <w:kern w:val="0"/>
                <w:sz w:val="21"/>
                <w:szCs w:val="21"/>
                <w:highlight w:val="none"/>
              </w:rPr>
              <w:br w:type="textWrapping"/>
            </w:r>
            <w:r>
              <w:rPr>
                <w:rFonts w:hint="eastAsia" w:cs="宋体"/>
                <w:color w:val="auto"/>
                <w:kern w:val="0"/>
                <w:sz w:val="21"/>
                <w:szCs w:val="21"/>
                <w:highlight w:val="none"/>
              </w:rPr>
              <w:t>检查摘要 支持根据就诊科室的不同，智能展示与就诊科室相关的近几年的检查服务信息。检查记录可按照检查类别、检查时间两个维度进行筛选，按时间倒序方式进行展示，包括检查时间、检查项目、检查所见、检查医院等信息。</w:t>
            </w:r>
            <w:r>
              <w:rPr>
                <w:rFonts w:hint="eastAsia" w:cs="宋体"/>
                <w:color w:val="auto"/>
                <w:kern w:val="0"/>
                <w:sz w:val="21"/>
                <w:szCs w:val="21"/>
                <w:highlight w:val="none"/>
              </w:rPr>
              <w:br w:type="textWrapping"/>
            </w:r>
            <w:r>
              <w:rPr>
                <w:rFonts w:hint="eastAsia" w:cs="宋体"/>
                <w:color w:val="auto"/>
                <w:kern w:val="0"/>
                <w:sz w:val="21"/>
                <w:szCs w:val="21"/>
                <w:highlight w:val="none"/>
              </w:rPr>
              <w:t>检验摘要 支持根据就诊科室的不同，智能展示与就诊科室相关的近期检验服务信息。检验记录可按照检验类别、检验时间两个维度进行筛选，按时间倒序方式进行展示，包括检验时间、检验项目、检验医院等信息。</w:t>
            </w:r>
            <w:r>
              <w:rPr>
                <w:rFonts w:hint="eastAsia" w:cs="宋体"/>
                <w:color w:val="auto"/>
                <w:kern w:val="0"/>
                <w:sz w:val="21"/>
                <w:szCs w:val="21"/>
                <w:highlight w:val="none"/>
              </w:rPr>
              <w:br w:type="textWrapping"/>
            </w:r>
            <w:r>
              <w:rPr>
                <w:rFonts w:hint="eastAsia" w:cs="宋体"/>
                <w:color w:val="auto"/>
                <w:kern w:val="0"/>
                <w:sz w:val="21"/>
                <w:szCs w:val="21"/>
                <w:highlight w:val="none"/>
              </w:rPr>
              <w:t>就诊摘要 支持按照时间降序的维度，依据相同的诊断名称，智能聚合患者的就诊记录。每类诊断种类仅展示首次诊断的记录，包括诊断名称、就诊医院、就诊科室以及就诊时间等信息。点击更多后可以以侧拉框的形式，按时间升序的方式，展示该患者同类型诊断的完整诊断路径。</w:t>
            </w:r>
            <w:r>
              <w:rPr>
                <w:rFonts w:hint="eastAsia" w:cs="宋体"/>
                <w:color w:val="auto"/>
                <w:kern w:val="0"/>
                <w:sz w:val="21"/>
                <w:szCs w:val="21"/>
                <w:highlight w:val="none"/>
              </w:rPr>
              <w:br w:type="textWrapping"/>
            </w:r>
            <w:r>
              <w:rPr>
                <w:rFonts w:hint="eastAsia" w:cs="宋体"/>
                <w:color w:val="auto"/>
                <w:kern w:val="0"/>
                <w:sz w:val="21"/>
                <w:szCs w:val="21"/>
                <w:highlight w:val="none"/>
              </w:rPr>
              <w:t>公卫服务摘要 支持按照时间降序的维度，依据相同的随访名称，智能聚合患者的公卫服务记录。每类随访种类仅展示最近一次的随访记录，包括随访名称、随访医院、随访科室以及最近一次随访时间等信息。点击更多后可以以侧拉框的形式，按时间升序的方式，展示该患者同类型公卫服务的完整服务路径。</w:t>
            </w:r>
            <w:r>
              <w:rPr>
                <w:rFonts w:hint="eastAsia" w:cs="宋体"/>
                <w:color w:val="auto"/>
                <w:kern w:val="0"/>
                <w:sz w:val="21"/>
                <w:szCs w:val="21"/>
                <w:highlight w:val="none"/>
              </w:rPr>
              <w:br w:type="textWrapping"/>
            </w:r>
            <w:r>
              <w:rPr>
                <w:rFonts w:hint="eastAsia" w:cs="宋体"/>
                <w:color w:val="auto"/>
                <w:kern w:val="0"/>
                <w:sz w:val="21"/>
                <w:szCs w:val="21"/>
                <w:highlight w:val="none"/>
              </w:rPr>
              <w:t>用药摘要 支持根据就诊科室的不同，按西药、中药两个维度进行筛选，智能展示患者每个维度下在用以及历史服用的药品记录，包括药品名称、处方归类、开药时间、开药机构、剂量以及频次等信息。</w:t>
            </w:r>
            <w:r>
              <w:rPr>
                <w:rFonts w:hint="eastAsia" w:cs="宋体"/>
                <w:color w:val="auto"/>
                <w:kern w:val="0"/>
                <w:sz w:val="21"/>
                <w:szCs w:val="21"/>
                <w:highlight w:val="none"/>
              </w:rPr>
              <w:br w:type="textWrapping"/>
            </w:r>
            <w:r>
              <w:rPr>
                <w:rFonts w:hint="eastAsia" w:cs="宋体"/>
                <w:color w:val="auto"/>
                <w:kern w:val="0"/>
                <w:sz w:val="21"/>
                <w:szCs w:val="21"/>
                <w:highlight w:val="none"/>
              </w:rPr>
              <w:t>手术摘要 基于医疗大模型技术，支持根据就诊科室的不同，展示居民历史手术信息，包括手术名称、手术时间及手术机构等信息。</w:t>
            </w:r>
            <w:r>
              <w:rPr>
                <w:rFonts w:hint="eastAsia" w:cs="宋体"/>
                <w:color w:val="auto"/>
                <w:kern w:val="0"/>
                <w:sz w:val="21"/>
                <w:szCs w:val="21"/>
                <w:highlight w:val="none"/>
              </w:rPr>
              <w:br w:type="textWrapping"/>
            </w:r>
            <w:r>
              <w:rPr>
                <w:rFonts w:hint="eastAsia" w:cs="宋体"/>
                <w:color w:val="auto"/>
                <w:kern w:val="0"/>
                <w:sz w:val="21"/>
                <w:szCs w:val="21"/>
                <w:highlight w:val="none"/>
              </w:rPr>
              <w:t>近期就诊摘要 支持根据就诊科室的不同，智能提取并展示患者最近一次就诊的摘要信息，包括就诊时间、症状、就诊医院、就诊科室、就诊诊断等信息。</w:t>
            </w:r>
          </w:p>
        </w:tc>
      </w:tr>
      <w:tr w14:paraId="78883EA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723A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96</w:t>
            </w:r>
          </w:p>
        </w:tc>
        <w:tc>
          <w:tcPr>
            <w:tcW w:w="1250" w:type="pct"/>
            <w:tcBorders>
              <w:top w:val="single" w:color="000000" w:sz="4" w:space="0"/>
              <w:left w:val="nil"/>
              <w:bottom w:val="single" w:color="000000" w:sz="4" w:space="0"/>
              <w:right w:val="single" w:color="000000" w:sz="4" w:space="0"/>
            </w:tcBorders>
            <w:vAlign w:val="center"/>
          </w:tcPr>
          <w:p w14:paraId="772A4A7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面向家庭医生的居民健康画像_诊前摘要画像-健康趋势分析</w:t>
            </w:r>
          </w:p>
        </w:tc>
        <w:tc>
          <w:tcPr>
            <w:tcW w:w="3125" w:type="pct"/>
            <w:tcBorders>
              <w:top w:val="single" w:color="000000" w:sz="4" w:space="0"/>
              <w:left w:val="nil"/>
              <w:bottom w:val="single" w:color="000000" w:sz="4" w:space="0"/>
              <w:right w:val="single" w:color="000000" w:sz="4" w:space="0"/>
            </w:tcBorders>
            <w:vAlign w:val="center"/>
          </w:tcPr>
          <w:p w14:paraId="2C7751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异常指标分析 支持根据就诊科室的不同，展示不同就诊科室医生重点关注指标的异常情况，包括患者近一个月、近半年、近一年内的检查、检验以及体检的异常指标数据趋势对比信息及时间。</w:t>
            </w:r>
            <w:r>
              <w:rPr>
                <w:rFonts w:hint="eastAsia" w:cs="宋体"/>
                <w:color w:val="auto"/>
                <w:kern w:val="0"/>
                <w:sz w:val="21"/>
                <w:szCs w:val="21"/>
                <w:highlight w:val="none"/>
              </w:rPr>
              <w:br w:type="textWrapping"/>
            </w:r>
            <w:r>
              <w:rPr>
                <w:rFonts w:hint="eastAsia" w:cs="宋体"/>
                <w:color w:val="auto"/>
                <w:kern w:val="0"/>
                <w:sz w:val="21"/>
                <w:szCs w:val="21"/>
                <w:highlight w:val="none"/>
              </w:rPr>
              <w:t>生命体征分析 支持根据就诊科室的不同，就诊科室医生关注的侧重点的不同以及患者人群分类的不同，展示不同的体征变化趋势对比，包括BMI、血压、血糖等信息。</w:t>
            </w:r>
          </w:p>
        </w:tc>
      </w:tr>
      <w:tr w14:paraId="7316253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DD7F82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97</w:t>
            </w:r>
          </w:p>
        </w:tc>
        <w:tc>
          <w:tcPr>
            <w:tcW w:w="1250" w:type="pct"/>
            <w:tcBorders>
              <w:top w:val="single" w:color="000000" w:sz="4" w:space="0"/>
              <w:left w:val="nil"/>
              <w:bottom w:val="single" w:color="000000" w:sz="4" w:space="0"/>
              <w:right w:val="single" w:color="000000" w:sz="4" w:space="0"/>
            </w:tcBorders>
            <w:vAlign w:val="center"/>
          </w:tcPr>
          <w:p w14:paraId="015739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面向家庭医生的居民健康画像_诊前摘要画像-既往健康分析</w:t>
            </w:r>
          </w:p>
        </w:tc>
        <w:tc>
          <w:tcPr>
            <w:tcW w:w="3125" w:type="pct"/>
            <w:tcBorders>
              <w:top w:val="single" w:color="000000" w:sz="4" w:space="0"/>
              <w:left w:val="nil"/>
              <w:bottom w:val="single" w:color="000000" w:sz="4" w:space="0"/>
              <w:right w:val="single" w:color="000000" w:sz="4" w:space="0"/>
            </w:tcBorders>
            <w:vAlign w:val="center"/>
          </w:tcPr>
          <w:p w14:paraId="0A4779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既往史分析 支持根据不同就诊科室医生关注的侧重点，从病历文书和公卫中提取患者的既往病史信息，并按照倒序进行排序。就诊科室医生关注的既往史信息将会高亮置顶显示。</w:t>
            </w:r>
            <w:r>
              <w:rPr>
                <w:rFonts w:hint="eastAsia" w:cs="宋体"/>
                <w:color w:val="auto"/>
                <w:kern w:val="0"/>
                <w:sz w:val="21"/>
                <w:szCs w:val="21"/>
                <w:highlight w:val="none"/>
              </w:rPr>
              <w:br w:type="textWrapping"/>
            </w:r>
            <w:r>
              <w:rPr>
                <w:rFonts w:hint="eastAsia" w:cs="宋体"/>
                <w:color w:val="auto"/>
                <w:kern w:val="0"/>
                <w:sz w:val="21"/>
                <w:szCs w:val="21"/>
                <w:highlight w:val="none"/>
              </w:rPr>
              <w:t>过敏史分析 支持根据不同就诊科室医生关注的侧重点，从病历文书和公卫中提取患者过敏史信息，包括药物过敏、食物过敏等。</w:t>
            </w:r>
            <w:r>
              <w:rPr>
                <w:rFonts w:hint="eastAsia" w:cs="宋体"/>
                <w:color w:val="auto"/>
                <w:kern w:val="0"/>
                <w:sz w:val="21"/>
                <w:szCs w:val="21"/>
                <w:highlight w:val="none"/>
              </w:rPr>
              <w:br w:type="textWrapping"/>
            </w:r>
            <w:r>
              <w:rPr>
                <w:rFonts w:hint="eastAsia" w:cs="宋体"/>
                <w:color w:val="auto"/>
                <w:kern w:val="0"/>
                <w:sz w:val="21"/>
                <w:szCs w:val="21"/>
                <w:highlight w:val="none"/>
              </w:rPr>
              <w:t>家族史分析 基于医疗大模型技术，支持根据就诊科室的不同，展示不同就诊科室医生关注的侧重点，包括家族关系、家族史名称等信息。</w:t>
            </w:r>
            <w:r>
              <w:rPr>
                <w:rFonts w:hint="eastAsia" w:cs="宋体"/>
                <w:color w:val="auto"/>
                <w:kern w:val="0"/>
                <w:sz w:val="21"/>
                <w:szCs w:val="21"/>
                <w:highlight w:val="none"/>
              </w:rPr>
              <w:br w:type="textWrapping"/>
            </w:r>
            <w:r>
              <w:rPr>
                <w:rFonts w:hint="eastAsia" w:cs="宋体"/>
                <w:color w:val="auto"/>
                <w:kern w:val="0"/>
                <w:sz w:val="21"/>
                <w:szCs w:val="21"/>
                <w:highlight w:val="none"/>
              </w:rPr>
              <w:t>生活习惯分析 基于医疗大模型技术，支持根据就诊科室的不同，展示根据不同就诊科室医生关注的侧重点，包括吸烟情况、饮酒情况、运动情况、摄盐情况等生活习惯信息。</w:t>
            </w:r>
          </w:p>
        </w:tc>
      </w:tr>
      <w:tr w14:paraId="29AF84B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39FC2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98</w:t>
            </w:r>
          </w:p>
        </w:tc>
        <w:tc>
          <w:tcPr>
            <w:tcW w:w="1250" w:type="pct"/>
            <w:tcBorders>
              <w:top w:val="single" w:color="000000" w:sz="4" w:space="0"/>
              <w:left w:val="nil"/>
              <w:bottom w:val="single" w:color="000000" w:sz="4" w:space="0"/>
              <w:right w:val="single" w:color="000000" w:sz="4" w:space="0"/>
            </w:tcBorders>
            <w:vAlign w:val="center"/>
          </w:tcPr>
          <w:p w14:paraId="12EA451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面向家庭医生的居民健康画像_诊前摘要画像-器官模型分析-器官特征映射</w:t>
            </w:r>
          </w:p>
        </w:tc>
        <w:tc>
          <w:tcPr>
            <w:tcW w:w="3125" w:type="pct"/>
            <w:tcBorders>
              <w:top w:val="single" w:color="000000" w:sz="4" w:space="0"/>
              <w:left w:val="nil"/>
              <w:bottom w:val="single" w:color="000000" w:sz="4" w:space="0"/>
              <w:right w:val="single" w:color="000000" w:sz="4" w:space="0"/>
            </w:tcBorders>
            <w:vAlign w:val="center"/>
          </w:tcPr>
          <w:p w14:paraId="40697B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支持建立器官结构异常与临床指标、所患疾病的关联规则库，方便向医务人员正确展示人体器官的状态。</w:t>
            </w:r>
          </w:p>
        </w:tc>
      </w:tr>
      <w:tr w14:paraId="624F479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D83551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99</w:t>
            </w:r>
          </w:p>
        </w:tc>
        <w:tc>
          <w:tcPr>
            <w:tcW w:w="1250" w:type="pct"/>
            <w:tcBorders>
              <w:top w:val="single" w:color="000000" w:sz="4" w:space="0"/>
              <w:left w:val="nil"/>
              <w:bottom w:val="single" w:color="000000" w:sz="4" w:space="0"/>
              <w:right w:val="single" w:color="000000" w:sz="4" w:space="0"/>
            </w:tcBorders>
            <w:vAlign w:val="center"/>
          </w:tcPr>
          <w:p w14:paraId="42635F4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面向家庭医生的居民健康画像_诊前摘要画像-器官模型分析-器官模型构建</w:t>
            </w:r>
          </w:p>
        </w:tc>
        <w:tc>
          <w:tcPr>
            <w:tcW w:w="3125" w:type="pct"/>
            <w:tcBorders>
              <w:top w:val="single" w:color="000000" w:sz="4" w:space="0"/>
              <w:left w:val="nil"/>
              <w:bottom w:val="single" w:color="000000" w:sz="4" w:space="0"/>
              <w:right w:val="single" w:color="000000" w:sz="4" w:space="0"/>
            </w:tcBorders>
            <w:vAlign w:val="center"/>
          </w:tcPr>
          <w:p w14:paraId="794B8C3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通过人体器官建模技术，构建人体器官的健康状况与人体异常指标，包括检查、检验等阳性指标的对照，形成器官模型画像。</w:t>
            </w:r>
          </w:p>
        </w:tc>
      </w:tr>
      <w:tr w14:paraId="2FDBB9F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67A40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100</w:t>
            </w:r>
          </w:p>
        </w:tc>
        <w:tc>
          <w:tcPr>
            <w:tcW w:w="1250" w:type="pct"/>
            <w:tcBorders>
              <w:top w:val="single" w:color="000000" w:sz="4" w:space="0"/>
              <w:left w:val="nil"/>
              <w:bottom w:val="single" w:color="000000" w:sz="4" w:space="0"/>
              <w:right w:val="single" w:color="000000" w:sz="4" w:space="0"/>
            </w:tcBorders>
            <w:vAlign w:val="center"/>
          </w:tcPr>
          <w:p w14:paraId="6B07586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面向家庭医生的居民健康画像_诊前摘要画像-器官模型分析-器官模型展示</w:t>
            </w:r>
          </w:p>
        </w:tc>
        <w:tc>
          <w:tcPr>
            <w:tcW w:w="3125" w:type="pct"/>
            <w:tcBorders>
              <w:top w:val="single" w:color="000000" w:sz="4" w:space="0"/>
              <w:left w:val="nil"/>
              <w:bottom w:val="single" w:color="000000" w:sz="4" w:space="0"/>
              <w:right w:val="single" w:color="000000" w:sz="4" w:space="0"/>
            </w:tcBorders>
            <w:vAlign w:val="center"/>
          </w:tcPr>
          <w:p w14:paraId="13D6BB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支持展示人体器官的健康状况，可快速了解患者的患病情况。</w:t>
            </w:r>
          </w:p>
        </w:tc>
      </w:tr>
      <w:tr w14:paraId="48D161C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B79CF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101</w:t>
            </w:r>
          </w:p>
        </w:tc>
        <w:tc>
          <w:tcPr>
            <w:tcW w:w="1250" w:type="pct"/>
            <w:tcBorders>
              <w:top w:val="single" w:color="000000" w:sz="4" w:space="0"/>
              <w:left w:val="nil"/>
              <w:bottom w:val="single" w:color="000000" w:sz="4" w:space="0"/>
              <w:right w:val="single" w:color="000000" w:sz="4" w:space="0"/>
            </w:tcBorders>
            <w:vAlign w:val="center"/>
          </w:tcPr>
          <w:p w14:paraId="2B09513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面向家庭医生的居民健康画像_诊前摘要画像-AI医生健康助手-语音交互</w:t>
            </w:r>
          </w:p>
        </w:tc>
        <w:tc>
          <w:tcPr>
            <w:tcW w:w="3125" w:type="pct"/>
            <w:tcBorders>
              <w:top w:val="single" w:color="000000" w:sz="4" w:space="0"/>
              <w:left w:val="nil"/>
              <w:bottom w:val="single" w:color="000000" w:sz="4" w:space="0"/>
              <w:right w:val="single" w:color="000000" w:sz="4" w:space="0"/>
            </w:tcBorders>
            <w:vAlign w:val="center"/>
          </w:tcPr>
          <w:p w14:paraId="1F7E3C0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支持医生直接对着AI工作助手文本输入或语音输入内容，助手精准识别指令后，迅速在健康画像标签中定位并检索相关数据。</w:t>
            </w:r>
          </w:p>
        </w:tc>
      </w:tr>
      <w:tr w14:paraId="438325A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3A0366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102</w:t>
            </w:r>
          </w:p>
        </w:tc>
        <w:tc>
          <w:tcPr>
            <w:tcW w:w="1250" w:type="pct"/>
            <w:tcBorders>
              <w:top w:val="single" w:color="000000" w:sz="4" w:space="0"/>
              <w:left w:val="nil"/>
              <w:bottom w:val="single" w:color="000000" w:sz="4" w:space="0"/>
              <w:right w:val="single" w:color="000000" w:sz="4" w:space="0"/>
            </w:tcBorders>
            <w:vAlign w:val="center"/>
          </w:tcPr>
          <w:p w14:paraId="5454E3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面向家庭医生的居民健康画像_诊前摘要画像-AI医生健康助手-指令识别</w:t>
            </w:r>
          </w:p>
        </w:tc>
        <w:tc>
          <w:tcPr>
            <w:tcW w:w="3125" w:type="pct"/>
            <w:tcBorders>
              <w:top w:val="single" w:color="000000" w:sz="4" w:space="0"/>
              <w:left w:val="nil"/>
              <w:bottom w:val="single" w:color="000000" w:sz="4" w:space="0"/>
              <w:right w:val="single" w:color="000000" w:sz="4" w:space="0"/>
            </w:tcBorders>
            <w:vAlign w:val="center"/>
          </w:tcPr>
          <w:p w14:paraId="57A72D5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支持执行识别医生下达指令，助手快速理解并提取关键信息，从已获取的健康画像标签的数据中提取相关指标的数据。</w:t>
            </w:r>
          </w:p>
        </w:tc>
      </w:tr>
      <w:tr w14:paraId="240AC59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948DA6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103</w:t>
            </w:r>
          </w:p>
        </w:tc>
        <w:tc>
          <w:tcPr>
            <w:tcW w:w="1250" w:type="pct"/>
            <w:tcBorders>
              <w:top w:val="single" w:color="000000" w:sz="4" w:space="0"/>
              <w:left w:val="nil"/>
              <w:bottom w:val="single" w:color="000000" w:sz="4" w:space="0"/>
              <w:right w:val="single" w:color="000000" w:sz="4" w:space="0"/>
            </w:tcBorders>
            <w:vAlign w:val="center"/>
          </w:tcPr>
          <w:p w14:paraId="1AEF6D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面向家庭医生的居民健康画像_诊前摘要画像-AI医生健康助手-数据筛选与整合</w:t>
            </w:r>
          </w:p>
        </w:tc>
        <w:tc>
          <w:tcPr>
            <w:tcW w:w="3125" w:type="pct"/>
            <w:tcBorders>
              <w:top w:val="single" w:color="000000" w:sz="4" w:space="0"/>
              <w:left w:val="nil"/>
              <w:bottom w:val="single" w:color="000000" w:sz="4" w:space="0"/>
              <w:right w:val="single" w:color="000000" w:sz="4" w:space="0"/>
            </w:tcBorders>
            <w:vAlign w:val="center"/>
          </w:tcPr>
          <w:p w14:paraId="6E4D3C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支持对检索到的海量数据进行筛选，将同一标签的不同时期的数据以及不同标签的关联数据进行整合，以清晰的结构化形式呈现给医生，如按照时间顺序排列的血液检查各项指标数值表。</w:t>
            </w:r>
          </w:p>
        </w:tc>
      </w:tr>
      <w:tr w14:paraId="053165D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C4B2F0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104</w:t>
            </w:r>
          </w:p>
        </w:tc>
        <w:tc>
          <w:tcPr>
            <w:tcW w:w="1250" w:type="pct"/>
            <w:tcBorders>
              <w:top w:val="single" w:color="000000" w:sz="4" w:space="0"/>
              <w:left w:val="nil"/>
              <w:bottom w:val="single" w:color="000000" w:sz="4" w:space="0"/>
              <w:right w:val="single" w:color="000000" w:sz="4" w:space="0"/>
            </w:tcBorders>
            <w:vAlign w:val="center"/>
          </w:tcPr>
          <w:p w14:paraId="7B5940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面向家庭医生的居民健康画像_诊前摘要画像-AI医生健康助手-智能算法处理</w:t>
            </w:r>
          </w:p>
        </w:tc>
        <w:tc>
          <w:tcPr>
            <w:tcW w:w="3125" w:type="pct"/>
            <w:tcBorders>
              <w:top w:val="single" w:color="000000" w:sz="4" w:space="0"/>
              <w:left w:val="nil"/>
              <w:bottom w:val="single" w:color="000000" w:sz="4" w:space="0"/>
              <w:right w:val="single" w:color="000000" w:sz="4" w:space="0"/>
            </w:tcBorders>
            <w:vAlign w:val="center"/>
          </w:tcPr>
          <w:p w14:paraId="2A0462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支持运用数据统计分析算法，对指标数据进行平滑处理、异常值检测等操作，确保趋势分析的准确性。</w:t>
            </w:r>
          </w:p>
        </w:tc>
      </w:tr>
      <w:tr w14:paraId="0B3BBC1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31D6F0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105</w:t>
            </w:r>
          </w:p>
        </w:tc>
        <w:tc>
          <w:tcPr>
            <w:tcW w:w="1250" w:type="pct"/>
            <w:tcBorders>
              <w:top w:val="single" w:color="000000" w:sz="4" w:space="0"/>
              <w:left w:val="nil"/>
              <w:bottom w:val="single" w:color="000000" w:sz="4" w:space="0"/>
              <w:right w:val="single" w:color="000000" w:sz="4" w:space="0"/>
            </w:tcBorders>
            <w:vAlign w:val="center"/>
          </w:tcPr>
          <w:p w14:paraId="2B3A468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面向家庭医生的居民健康画像_诊前摘要画像-AI医生健康助手-多格式输出</w:t>
            </w:r>
          </w:p>
        </w:tc>
        <w:tc>
          <w:tcPr>
            <w:tcW w:w="3125" w:type="pct"/>
            <w:tcBorders>
              <w:top w:val="single" w:color="000000" w:sz="4" w:space="0"/>
              <w:left w:val="nil"/>
              <w:bottom w:val="single" w:color="000000" w:sz="4" w:space="0"/>
              <w:right w:val="single" w:color="000000" w:sz="4" w:space="0"/>
            </w:tcBorders>
            <w:vAlign w:val="center"/>
          </w:tcPr>
          <w:p w14:paraId="75B065B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支持以文字列表、图表（针对数值类指标）等多种格式输出结果，方便医生查看和对比。例如，对于多次血压测量结果，以折线图展示，更直观呈现血压变化情况。</w:t>
            </w:r>
          </w:p>
        </w:tc>
      </w:tr>
      <w:tr w14:paraId="4967BDE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DAB42E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106</w:t>
            </w:r>
          </w:p>
        </w:tc>
        <w:tc>
          <w:tcPr>
            <w:tcW w:w="1250" w:type="pct"/>
            <w:tcBorders>
              <w:top w:val="single" w:color="000000" w:sz="4" w:space="0"/>
              <w:left w:val="nil"/>
              <w:bottom w:val="single" w:color="000000" w:sz="4" w:space="0"/>
              <w:right w:val="single" w:color="000000" w:sz="4" w:space="0"/>
            </w:tcBorders>
            <w:vAlign w:val="center"/>
          </w:tcPr>
          <w:p w14:paraId="7E335B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面向家庭医生的居民健康画像_诊前摘要画像-AI医生健康助手-可视化展示与解读</w:t>
            </w:r>
          </w:p>
        </w:tc>
        <w:tc>
          <w:tcPr>
            <w:tcW w:w="3125" w:type="pct"/>
            <w:tcBorders>
              <w:top w:val="single" w:color="000000" w:sz="4" w:space="0"/>
              <w:left w:val="nil"/>
              <w:bottom w:val="single" w:color="000000" w:sz="4" w:space="0"/>
              <w:right w:val="single" w:color="000000" w:sz="4" w:space="0"/>
            </w:tcBorders>
            <w:vAlign w:val="center"/>
          </w:tcPr>
          <w:p w14:paraId="13373E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支持将分析结果以直观的图表（如折线图、柱状图）展示给医生调阅，并通过语音和文字相结合的方式进行解读。例如，“从图表可以看出，患者近三个月的血糖值整体呈上升趋势，且在 【具体日期】 超出正常参考范围，需重点关注。”</w:t>
            </w:r>
          </w:p>
        </w:tc>
      </w:tr>
      <w:tr w14:paraId="62ED3C6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BED2B7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107</w:t>
            </w:r>
          </w:p>
        </w:tc>
        <w:tc>
          <w:tcPr>
            <w:tcW w:w="1250" w:type="pct"/>
            <w:tcBorders>
              <w:top w:val="single" w:color="000000" w:sz="4" w:space="0"/>
              <w:left w:val="nil"/>
              <w:bottom w:val="single" w:color="000000" w:sz="4" w:space="0"/>
              <w:right w:val="single" w:color="000000" w:sz="4" w:space="0"/>
            </w:tcBorders>
            <w:vAlign w:val="center"/>
          </w:tcPr>
          <w:p w14:paraId="44A991A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面向家庭医生的居民健康画像_诊前摘要画像-AI医生健康助手- 医学知识检索</w:t>
            </w:r>
          </w:p>
        </w:tc>
        <w:tc>
          <w:tcPr>
            <w:tcW w:w="3125" w:type="pct"/>
            <w:tcBorders>
              <w:top w:val="single" w:color="000000" w:sz="4" w:space="0"/>
              <w:left w:val="nil"/>
              <w:bottom w:val="single" w:color="000000" w:sz="4" w:space="0"/>
              <w:right w:val="single" w:color="000000" w:sz="4" w:space="0"/>
            </w:tcBorders>
            <w:vAlign w:val="center"/>
          </w:tcPr>
          <w:p w14:paraId="3845A5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当医生遇到罕见病、疑难病症或需要最新医学研究成果时，可通过对话向助手提问，如 “查询 【疾病名称】的最新治疗进展”“【药物名称】的副作用有哪些新研究”，助手快速检索权威医学数据库，为医生提供准确、全面的医学知识和研究资料</w:t>
            </w:r>
          </w:p>
        </w:tc>
      </w:tr>
      <w:tr w14:paraId="0241535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23268D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108</w:t>
            </w:r>
          </w:p>
        </w:tc>
        <w:tc>
          <w:tcPr>
            <w:tcW w:w="1250" w:type="pct"/>
            <w:tcBorders>
              <w:top w:val="single" w:color="000000" w:sz="4" w:space="0"/>
              <w:left w:val="nil"/>
              <w:bottom w:val="single" w:color="000000" w:sz="4" w:space="0"/>
              <w:right w:val="single" w:color="000000" w:sz="4" w:space="0"/>
            </w:tcBorders>
            <w:vAlign w:val="center"/>
          </w:tcPr>
          <w:p w14:paraId="22ED203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面向家庭医生的居民健康画像_AI健康助手-智能联想</w:t>
            </w:r>
          </w:p>
        </w:tc>
        <w:tc>
          <w:tcPr>
            <w:tcW w:w="3125" w:type="pct"/>
            <w:tcBorders>
              <w:top w:val="single" w:color="000000" w:sz="4" w:space="0"/>
              <w:left w:val="nil"/>
              <w:bottom w:val="single" w:color="000000" w:sz="4" w:space="0"/>
              <w:right w:val="single" w:color="000000" w:sz="4" w:space="0"/>
            </w:tcBorders>
            <w:vAlign w:val="center"/>
          </w:tcPr>
          <w:p w14:paraId="7DFA314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根据居民的健康信息，常见问题以及居民历史对话内容、当前输入内容。智能推荐可能的问题，便于居民快速选择后进行咨询。</w:t>
            </w:r>
          </w:p>
        </w:tc>
      </w:tr>
      <w:tr w14:paraId="1989CA4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266B9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109</w:t>
            </w:r>
          </w:p>
        </w:tc>
        <w:tc>
          <w:tcPr>
            <w:tcW w:w="1250" w:type="pct"/>
            <w:tcBorders>
              <w:top w:val="single" w:color="000000" w:sz="4" w:space="0"/>
              <w:left w:val="nil"/>
              <w:bottom w:val="single" w:color="000000" w:sz="4" w:space="0"/>
              <w:right w:val="single" w:color="000000" w:sz="4" w:space="0"/>
            </w:tcBorders>
            <w:vAlign w:val="center"/>
          </w:tcPr>
          <w:p w14:paraId="1FFA9B4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面向家庭医生的居民健康画像_AI健康助手-推荐问法</w:t>
            </w:r>
          </w:p>
        </w:tc>
        <w:tc>
          <w:tcPr>
            <w:tcW w:w="3125" w:type="pct"/>
            <w:tcBorders>
              <w:top w:val="single" w:color="000000" w:sz="4" w:space="0"/>
              <w:left w:val="nil"/>
              <w:bottom w:val="single" w:color="000000" w:sz="4" w:space="0"/>
              <w:right w:val="single" w:color="000000" w:sz="4" w:space="0"/>
            </w:tcBorders>
            <w:vAlign w:val="center"/>
          </w:tcPr>
          <w:p w14:paraId="6C2319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通过对居民健康咨询的内容判断分析，支持结合居民健康摘要中的既往史、用药史、手术史、个人史、家族史等个人健康信息，快速生成基于本次咨询的推荐问法，辅助用户提高就诊时问诊沟通效率与沟通质量。</w:t>
            </w:r>
          </w:p>
        </w:tc>
      </w:tr>
      <w:tr w14:paraId="2B7BBE4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6212A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110</w:t>
            </w:r>
          </w:p>
        </w:tc>
        <w:tc>
          <w:tcPr>
            <w:tcW w:w="1250" w:type="pct"/>
            <w:tcBorders>
              <w:top w:val="single" w:color="000000" w:sz="4" w:space="0"/>
              <w:left w:val="nil"/>
              <w:bottom w:val="single" w:color="000000" w:sz="4" w:space="0"/>
              <w:right w:val="single" w:color="000000" w:sz="4" w:space="0"/>
            </w:tcBorders>
            <w:vAlign w:val="center"/>
          </w:tcPr>
          <w:p w14:paraId="515555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面向家庭医生的居民健康画像_AI健康助手-多轮交互</w:t>
            </w:r>
          </w:p>
        </w:tc>
        <w:tc>
          <w:tcPr>
            <w:tcW w:w="3125" w:type="pct"/>
            <w:tcBorders>
              <w:top w:val="single" w:color="000000" w:sz="4" w:space="0"/>
              <w:left w:val="nil"/>
              <w:bottom w:val="single" w:color="000000" w:sz="4" w:space="0"/>
              <w:right w:val="single" w:color="000000" w:sz="4" w:space="0"/>
            </w:tcBorders>
            <w:vAlign w:val="center"/>
          </w:tcPr>
          <w:p w14:paraId="51AB161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症状自查、中医辩证等流程中，会根据患者的回答，动态生成下一个问题。通过患者的问诊选项，确认或排除某些疾病，得到最准确的疑似患病推荐。</w:t>
            </w:r>
          </w:p>
        </w:tc>
      </w:tr>
      <w:tr w14:paraId="654D261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53EC98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111</w:t>
            </w:r>
          </w:p>
        </w:tc>
        <w:tc>
          <w:tcPr>
            <w:tcW w:w="1250" w:type="pct"/>
            <w:tcBorders>
              <w:top w:val="single" w:color="000000" w:sz="4" w:space="0"/>
              <w:left w:val="nil"/>
              <w:bottom w:val="single" w:color="000000" w:sz="4" w:space="0"/>
              <w:right w:val="single" w:color="000000" w:sz="4" w:space="0"/>
            </w:tcBorders>
            <w:vAlign w:val="center"/>
          </w:tcPr>
          <w:p w14:paraId="14C570C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面向家庭医生的居民健康画像_AI健康助手-语音输入</w:t>
            </w:r>
          </w:p>
        </w:tc>
        <w:tc>
          <w:tcPr>
            <w:tcW w:w="3125" w:type="pct"/>
            <w:tcBorders>
              <w:top w:val="single" w:color="000000" w:sz="4" w:space="0"/>
              <w:left w:val="nil"/>
              <w:bottom w:val="single" w:color="000000" w:sz="4" w:space="0"/>
              <w:right w:val="single" w:color="000000" w:sz="4" w:space="0"/>
            </w:tcBorders>
            <w:vAlign w:val="center"/>
          </w:tcPr>
          <w:p w14:paraId="758408A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基于语音识别能力，支持居民通过语音输入的方式，与系统进行沟通。</w:t>
            </w:r>
          </w:p>
        </w:tc>
      </w:tr>
      <w:tr w14:paraId="10AB12B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BBB335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112</w:t>
            </w:r>
          </w:p>
        </w:tc>
        <w:tc>
          <w:tcPr>
            <w:tcW w:w="1250" w:type="pct"/>
            <w:tcBorders>
              <w:top w:val="single" w:color="000000" w:sz="4" w:space="0"/>
              <w:left w:val="nil"/>
              <w:bottom w:val="single" w:color="000000" w:sz="4" w:space="0"/>
              <w:right w:val="single" w:color="000000" w:sz="4" w:space="0"/>
            </w:tcBorders>
            <w:vAlign w:val="center"/>
          </w:tcPr>
          <w:p w14:paraId="37AE966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面向家庭医生的居民健康画像_AI健康助手-症状自查</w:t>
            </w:r>
          </w:p>
        </w:tc>
        <w:tc>
          <w:tcPr>
            <w:tcW w:w="3125" w:type="pct"/>
            <w:tcBorders>
              <w:top w:val="single" w:color="000000" w:sz="4" w:space="0"/>
              <w:left w:val="nil"/>
              <w:bottom w:val="single" w:color="000000" w:sz="4" w:space="0"/>
              <w:right w:val="single" w:color="000000" w:sz="4" w:space="0"/>
            </w:tcBorders>
            <w:vAlign w:val="center"/>
          </w:tcPr>
          <w:p w14:paraId="3FCC036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通过多轮问诊智能交互的方式，支持居民以在线对话完成与居民的疾病问题咨询互动。</w:t>
            </w:r>
          </w:p>
        </w:tc>
      </w:tr>
      <w:tr w14:paraId="3CF1B7A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DF97B8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113</w:t>
            </w:r>
          </w:p>
        </w:tc>
        <w:tc>
          <w:tcPr>
            <w:tcW w:w="1250" w:type="pct"/>
            <w:tcBorders>
              <w:top w:val="single" w:color="000000" w:sz="4" w:space="0"/>
              <w:left w:val="nil"/>
              <w:bottom w:val="single" w:color="000000" w:sz="4" w:space="0"/>
              <w:right w:val="single" w:color="000000" w:sz="4" w:space="0"/>
            </w:tcBorders>
            <w:vAlign w:val="center"/>
          </w:tcPr>
          <w:p w14:paraId="3703BD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面向家庭医生的居民健康画像_AI健康助手-药物查询</w:t>
            </w:r>
          </w:p>
        </w:tc>
        <w:tc>
          <w:tcPr>
            <w:tcW w:w="3125" w:type="pct"/>
            <w:tcBorders>
              <w:top w:val="single" w:color="000000" w:sz="4" w:space="0"/>
              <w:left w:val="nil"/>
              <w:bottom w:val="single" w:color="000000" w:sz="4" w:space="0"/>
              <w:right w:val="single" w:color="000000" w:sz="4" w:space="0"/>
            </w:tcBorders>
            <w:vAlign w:val="center"/>
          </w:tcPr>
          <w:p w14:paraId="25976B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通过多轮问诊的方式，支持居民输入药物名称后，系统生成对应的药物使用说明及用药指导。为用户提供药品信息查询、用药风险判断、用药方案鉴别等用药治疗信息。</w:t>
            </w:r>
          </w:p>
        </w:tc>
      </w:tr>
      <w:tr w14:paraId="7866ED2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02009F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114</w:t>
            </w:r>
          </w:p>
        </w:tc>
        <w:tc>
          <w:tcPr>
            <w:tcW w:w="1250" w:type="pct"/>
            <w:tcBorders>
              <w:top w:val="single" w:color="000000" w:sz="4" w:space="0"/>
              <w:left w:val="nil"/>
              <w:bottom w:val="single" w:color="000000" w:sz="4" w:space="0"/>
              <w:right w:val="single" w:color="000000" w:sz="4" w:space="0"/>
            </w:tcBorders>
            <w:vAlign w:val="center"/>
          </w:tcPr>
          <w:p w14:paraId="082A2E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面向家庭医生的居民健康画像_AI健康助手-检验报告解读</w:t>
            </w:r>
          </w:p>
        </w:tc>
        <w:tc>
          <w:tcPr>
            <w:tcW w:w="3125" w:type="pct"/>
            <w:tcBorders>
              <w:top w:val="single" w:color="000000" w:sz="4" w:space="0"/>
              <w:left w:val="nil"/>
              <w:bottom w:val="single" w:color="000000" w:sz="4" w:space="0"/>
              <w:right w:val="single" w:color="000000" w:sz="4" w:space="0"/>
            </w:tcBorders>
            <w:vAlign w:val="center"/>
          </w:tcPr>
          <w:p w14:paraId="555351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支持对检验报告进行智能分析解读，解读内容包含：检验结果解读、疾病风险预测、医学知识普及（相关医学术语介绍）、个性化健康建议等。</w:t>
            </w:r>
          </w:p>
        </w:tc>
      </w:tr>
      <w:tr w14:paraId="4192BBF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A5D4D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115</w:t>
            </w:r>
          </w:p>
        </w:tc>
        <w:tc>
          <w:tcPr>
            <w:tcW w:w="1250" w:type="pct"/>
            <w:tcBorders>
              <w:top w:val="single" w:color="000000" w:sz="4" w:space="0"/>
              <w:left w:val="nil"/>
              <w:bottom w:val="single" w:color="000000" w:sz="4" w:space="0"/>
              <w:right w:val="single" w:color="000000" w:sz="4" w:space="0"/>
            </w:tcBorders>
            <w:vAlign w:val="center"/>
          </w:tcPr>
          <w:p w14:paraId="37E392A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面向家庭医生的居民健康画像_AI健康助手-检查报告解读</w:t>
            </w:r>
          </w:p>
        </w:tc>
        <w:tc>
          <w:tcPr>
            <w:tcW w:w="3125" w:type="pct"/>
            <w:tcBorders>
              <w:top w:val="single" w:color="000000" w:sz="4" w:space="0"/>
              <w:left w:val="nil"/>
              <w:bottom w:val="single" w:color="000000" w:sz="4" w:space="0"/>
              <w:right w:val="single" w:color="000000" w:sz="4" w:space="0"/>
            </w:tcBorders>
            <w:vAlign w:val="center"/>
          </w:tcPr>
          <w:p w14:paraId="307CDF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支持对检查报告进行智能分析解读，解读内容包含：总体报告评估、定期复查项目分析、立即就诊项目分析、个性化饮食推荐、运动建议等。</w:t>
            </w:r>
          </w:p>
        </w:tc>
      </w:tr>
      <w:tr w14:paraId="686FCDE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5410AB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116</w:t>
            </w:r>
          </w:p>
        </w:tc>
        <w:tc>
          <w:tcPr>
            <w:tcW w:w="1250" w:type="pct"/>
            <w:tcBorders>
              <w:top w:val="single" w:color="000000" w:sz="4" w:space="0"/>
              <w:left w:val="nil"/>
              <w:bottom w:val="single" w:color="000000" w:sz="4" w:space="0"/>
              <w:right w:val="single" w:color="000000" w:sz="4" w:space="0"/>
            </w:tcBorders>
            <w:vAlign w:val="center"/>
          </w:tcPr>
          <w:p w14:paraId="1B457D4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面向家庭医生的居民健康画像_AI健康助手-科普知识-健康数据关联分析</w:t>
            </w:r>
          </w:p>
        </w:tc>
        <w:tc>
          <w:tcPr>
            <w:tcW w:w="3125" w:type="pct"/>
            <w:tcBorders>
              <w:top w:val="single" w:color="000000" w:sz="4" w:space="0"/>
              <w:left w:val="nil"/>
              <w:bottom w:val="single" w:color="000000" w:sz="4" w:space="0"/>
              <w:right w:val="single" w:color="000000" w:sz="4" w:space="0"/>
            </w:tcBorders>
            <w:vAlign w:val="center"/>
          </w:tcPr>
          <w:p w14:paraId="53E3E25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深度挖掘居民的健康体检数据、疾病诊断信息以及生活习惯数据，如饮食习惯（高盐、高糖、高脂饮食等）、运动频率、吸烟饮酒情况等。例如，若发现某位居民体检时血压偏高，且日常饮食中盐分摄入较多，运动较少，系统将其健康状况与生活习惯关联起来。</w:t>
            </w:r>
          </w:p>
        </w:tc>
      </w:tr>
      <w:tr w14:paraId="2A0E8B7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43AA8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117</w:t>
            </w:r>
          </w:p>
        </w:tc>
        <w:tc>
          <w:tcPr>
            <w:tcW w:w="1250" w:type="pct"/>
            <w:tcBorders>
              <w:top w:val="single" w:color="000000" w:sz="4" w:space="0"/>
              <w:left w:val="nil"/>
              <w:bottom w:val="single" w:color="000000" w:sz="4" w:space="0"/>
              <w:right w:val="single" w:color="000000" w:sz="4" w:space="0"/>
            </w:tcBorders>
            <w:vAlign w:val="center"/>
          </w:tcPr>
          <w:p w14:paraId="795771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面向家庭医生的居民健康画像_AI健康助手-科普知识-个性化科普文章筛选</w:t>
            </w:r>
          </w:p>
        </w:tc>
        <w:tc>
          <w:tcPr>
            <w:tcW w:w="3125" w:type="pct"/>
            <w:tcBorders>
              <w:top w:val="single" w:color="000000" w:sz="4" w:space="0"/>
              <w:left w:val="nil"/>
              <w:bottom w:val="single" w:color="000000" w:sz="4" w:space="0"/>
              <w:right w:val="single" w:color="000000" w:sz="4" w:space="0"/>
            </w:tcBorders>
            <w:vAlign w:val="center"/>
          </w:tcPr>
          <w:p w14:paraId="2A9ED2E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建立庞大的科普知识文章数据库，涵盖各类常见疾病（如高血压、糖尿病、冠心病、呼吸系统疾病等）的预防、治疗、康复和日常管理知识。根据居民的健康状况和生活习惯，运用智能算法从数据库中精准筛选出与之匹配的科普文章。对于上述血压偏高且生活习惯不佳的居民，筛选出如《高血压患者的饮食调整指南》《适合高血压人群的运动方式推荐》等文章。</w:t>
            </w:r>
          </w:p>
        </w:tc>
      </w:tr>
      <w:tr w14:paraId="7B1D496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B0925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118</w:t>
            </w:r>
          </w:p>
        </w:tc>
        <w:tc>
          <w:tcPr>
            <w:tcW w:w="1250" w:type="pct"/>
            <w:tcBorders>
              <w:top w:val="single" w:color="000000" w:sz="4" w:space="0"/>
              <w:left w:val="nil"/>
              <w:bottom w:val="single" w:color="000000" w:sz="4" w:space="0"/>
              <w:right w:val="single" w:color="000000" w:sz="4" w:space="0"/>
            </w:tcBorders>
            <w:vAlign w:val="center"/>
          </w:tcPr>
          <w:p w14:paraId="78DD69D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基于生成式AI的卫生健康数据探查_智能探查中心-智能交互模块-智能多轮对话</w:t>
            </w:r>
          </w:p>
        </w:tc>
        <w:tc>
          <w:tcPr>
            <w:tcW w:w="3125" w:type="pct"/>
            <w:tcBorders>
              <w:top w:val="single" w:color="000000" w:sz="4" w:space="0"/>
              <w:left w:val="nil"/>
              <w:bottom w:val="single" w:color="000000" w:sz="4" w:space="0"/>
              <w:right w:val="single" w:color="000000" w:sz="4" w:space="0"/>
            </w:tcBorders>
            <w:vAlign w:val="center"/>
          </w:tcPr>
          <w:p w14:paraId="6132F63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当用户发起对话时，系统会对输入的文本进行解析，将用户的语言转化为系统可以识别和处理的信息。</w:t>
            </w:r>
            <w:r>
              <w:rPr>
                <w:rFonts w:hint="eastAsia" w:cs="宋体"/>
                <w:color w:val="auto"/>
                <w:kern w:val="0"/>
                <w:sz w:val="21"/>
                <w:szCs w:val="21"/>
                <w:highlight w:val="none"/>
              </w:rPr>
              <w:br w:type="textWrapping"/>
            </w:r>
            <w:r>
              <w:rPr>
                <w:rFonts w:hint="eastAsia" w:cs="宋体"/>
                <w:color w:val="auto"/>
                <w:kern w:val="0"/>
                <w:sz w:val="21"/>
                <w:szCs w:val="21"/>
                <w:highlight w:val="none"/>
              </w:rPr>
              <w:t>在多轮对话过程中，系统会持续跟踪对话内容，记录用户提到的关键信息，例如重要的问题、或者表达的需求等。这些信息会被系统存储并用于后续的对话分析。例如，如果用户在对话中提到某个具体问题，系统会记住这个问题，并在后续的对话中围绕该问题展开更深入的讨论。</w:t>
            </w:r>
          </w:p>
        </w:tc>
      </w:tr>
      <w:tr w14:paraId="640C9B1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D965D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119</w:t>
            </w:r>
          </w:p>
        </w:tc>
        <w:tc>
          <w:tcPr>
            <w:tcW w:w="1250" w:type="pct"/>
            <w:tcBorders>
              <w:top w:val="single" w:color="000000" w:sz="4" w:space="0"/>
              <w:left w:val="nil"/>
              <w:bottom w:val="single" w:color="000000" w:sz="4" w:space="0"/>
              <w:right w:val="single" w:color="000000" w:sz="4" w:space="0"/>
            </w:tcBorders>
            <w:vAlign w:val="center"/>
          </w:tcPr>
          <w:p w14:paraId="7C97342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基于生成式AI的卫生健康数据探查_智能探查中心-智能交互模块-历史对话回溯</w:t>
            </w:r>
          </w:p>
        </w:tc>
        <w:tc>
          <w:tcPr>
            <w:tcW w:w="3125" w:type="pct"/>
            <w:tcBorders>
              <w:top w:val="single" w:color="000000" w:sz="4" w:space="0"/>
              <w:left w:val="nil"/>
              <w:bottom w:val="single" w:color="000000" w:sz="4" w:space="0"/>
              <w:right w:val="single" w:color="000000" w:sz="4" w:space="0"/>
            </w:tcBorders>
            <w:vAlign w:val="center"/>
          </w:tcPr>
          <w:p w14:paraId="4FB8150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自动记录用户与系统之间的每一轮对话内容，这些记录详细保存了用户提出的问题、系统给出的回答以及双方的互动过程。用户可以随时回溯查看这些记录，方便找到之前询问过的问题和系统提供的答案。例如，用户可以快速定位到某个特定问题的讨论细节，查看系统是如何逐步解答的，以及自己是否提供了额外信息以帮助系统更好地理解问题。</w:t>
            </w:r>
          </w:p>
        </w:tc>
      </w:tr>
      <w:tr w14:paraId="068E319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2A7B05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120</w:t>
            </w:r>
          </w:p>
        </w:tc>
        <w:tc>
          <w:tcPr>
            <w:tcW w:w="1250" w:type="pct"/>
            <w:tcBorders>
              <w:top w:val="single" w:color="000000" w:sz="4" w:space="0"/>
              <w:left w:val="nil"/>
              <w:bottom w:val="single" w:color="000000" w:sz="4" w:space="0"/>
              <w:right w:val="single" w:color="000000" w:sz="4" w:space="0"/>
            </w:tcBorders>
            <w:vAlign w:val="center"/>
          </w:tcPr>
          <w:p w14:paraId="062560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基于生成式AI的卫生健康数据探查_智能探查中心-智能交互模块-追问推荐</w:t>
            </w:r>
          </w:p>
        </w:tc>
        <w:tc>
          <w:tcPr>
            <w:tcW w:w="3125" w:type="pct"/>
            <w:tcBorders>
              <w:top w:val="single" w:color="000000" w:sz="4" w:space="0"/>
              <w:left w:val="nil"/>
              <w:bottom w:val="single" w:color="000000" w:sz="4" w:space="0"/>
              <w:right w:val="single" w:color="000000" w:sz="4" w:space="0"/>
            </w:tcBorders>
            <w:vAlign w:val="center"/>
          </w:tcPr>
          <w:p w14:paraId="62F25AB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根据用户提出的问题，将用户的需求归类到相应的提示词模板中。提示词模板是根据常见需求预先设计好的框架，用于帮助系统更好地理解用户的具体需求。当用户提出问题时，系统会分析问题的内容，判断其所属的类别，并将其与对应的提示词模板相匹配。</w:t>
            </w:r>
            <w:r>
              <w:rPr>
                <w:rFonts w:hint="eastAsia" w:cs="宋体"/>
                <w:color w:val="auto"/>
                <w:kern w:val="0"/>
                <w:sz w:val="21"/>
                <w:szCs w:val="21"/>
                <w:highlight w:val="none"/>
              </w:rPr>
              <w:br w:type="textWrapping"/>
            </w:r>
            <w:r>
              <w:rPr>
                <w:rFonts w:hint="eastAsia" w:cs="宋体"/>
                <w:color w:val="auto"/>
                <w:kern w:val="0"/>
                <w:sz w:val="21"/>
                <w:szCs w:val="21"/>
                <w:highlight w:val="none"/>
              </w:rPr>
              <w:t>匹配完成后，系统会通过不断的追问和建议，引导用户逐步完善提示词模板中需要的内容。例如，如果用户的需求涉及数据分析，系统可能会询问用户具体需要分析的数据类型、时间范围或分析目的等关键信息，确保提供的回答能够精准地满足用户的要求。</w:t>
            </w:r>
            <w:r>
              <w:rPr>
                <w:rFonts w:hint="eastAsia" w:cs="宋体"/>
                <w:color w:val="auto"/>
                <w:kern w:val="0"/>
                <w:sz w:val="21"/>
                <w:szCs w:val="21"/>
                <w:highlight w:val="none"/>
              </w:rPr>
              <w:br w:type="textWrapping"/>
            </w:r>
            <w:r>
              <w:rPr>
                <w:rFonts w:hint="eastAsia" w:cs="宋体"/>
                <w:color w:val="auto"/>
                <w:kern w:val="0"/>
                <w:sz w:val="21"/>
                <w:szCs w:val="21"/>
                <w:highlight w:val="none"/>
              </w:rPr>
              <w:t>在对话过程中，系统会根据用户的回答动态调整追问的方向。如果用户提供的信息不完整或不清晰，系统会进一步提示用户补充相关内容。</w:t>
            </w:r>
          </w:p>
        </w:tc>
      </w:tr>
      <w:tr w14:paraId="39FEF11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8120A7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121</w:t>
            </w:r>
          </w:p>
        </w:tc>
        <w:tc>
          <w:tcPr>
            <w:tcW w:w="1250" w:type="pct"/>
            <w:tcBorders>
              <w:top w:val="single" w:color="000000" w:sz="4" w:space="0"/>
              <w:left w:val="nil"/>
              <w:bottom w:val="single" w:color="000000" w:sz="4" w:space="0"/>
              <w:right w:val="single" w:color="000000" w:sz="4" w:space="0"/>
            </w:tcBorders>
            <w:vAlign w:val="center"/>
          </w:tcPr>
          <w:p w14:paraId="0727193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基于生成式AI的卫生健康数据探查_智能探查中心-智能交互模块-药物发现交互模板</w:t>
            </w:r>
          </w:p>
        </w:tc>
        <w:tc>
          <w:tcPr>
            <w:tcW w:w="3125" w:type="pct"/>
            <w:tcBorders>
              <w:top w:val="single" w:color="000000" w:sz="4" w:space="0"/>
              <w:left w:val="nil"/>
              <w:bottom w:val="single" w:color="000000" w:sz="4" w:space="0"/>
              <w:right w:val="single" w:color="000000" w:sz="4" w:space="0"/>
            </w:tcBorders>
            <w:vAlign w:val="center"/>
          </w:tcPr>
          <w:p w14:paraId="01FF4B7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系统会自动提示或匹配药物发现类交互流程模式，帮助探查人员更高效地开展研究。在交互开始时，系统会引导探查人员输入目标疾病的相关特征以及预期药物的作用机制等关键信息。</w:t>
            </w:r>
            <w:r>
              <w:rPr>
                <w:rFonts w:hint="eastAsia" w:cs="宋体"/>
                <w:color w:val="auto"/>
                <w:kern w:val="0"/>
                <w:sz w:val="21"/>
                <w:szCs w:val="21"/>
                <w:highlight w:val="none"/>
              </w:rPr>
              <w:br w:type="textWrapping"/>
            </w:r>
            <w:r>
              <w:rPr>
                <w:rFonts w:hint="eastAsia" w:cs="宋体"/>
                <w:color w:val="auto"/>
                <w:kern w:val="0"/>
                <w:sz w:val="21"/>
                <w:szCs w:val="21"/>
                <w:highlight w:val="none"/>
              </w:rPr>
              <w:t>在后续的交互过程中，系统会依据探查人员对候选药物的活性、安全性等方面的考量，动态调整筛选策略。例如，如果探查人员对候选药物的活性有明确要求，系统会根据这些要求优化筛选条件，优先展示符合活性标准的药物分子。</w:t>
            </w:r>
            <w:r>
              <w:rPr>
                <w:rFonts w:hint="eastAsia" w:cs="宋体"/>
                <w:color w:val="auto"/>
                <w:kern w:val="0"/>
                <w:sz w:val="21"/>
                <w:szCs w:val="21"/>
                <w:highlight w:val="none"/>
              </w:rPr>
              <w:br w:type="textWrapping"/>
            </w:r>
            <w:r>
              <w:rPr>
                <w:rFonts w:hint="eastAsia" w:cs="宋体"/>
                <w:color w:val="auto"/>
                <w:kern w:val="0"/>
                <w:sz w:val="21"/>
                <w:szCs w:val="21"/>
                <w:highlight w:val="none"/>
              </w:rPr>
              <w:t>系统会分析药物分子与靶点之间的相互作用，根据探查人员提供的信息，进一步细化对药物分子与靶点结合能力、亲和力等方面的分析需求。通过这种方式为探查人员提供更精准的探查结果。</w:t>
            </w:r>
          </w:p>
        </w:tc>
      </w:tr>
      <w:tr w14:paraId="4E108C9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472F50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122</w:t>
            </w:r>
          </w:p>
        </w:tc>
        <w:tc>
          <w:tcPr>
            <w:tcW w:w="1250" w:type="pct"/>
            <w:tcBorders>
              <w:top w:val="single" w:color="000000" w:sz="4" w:space="0"/>
              <w:left w:val="nil"/>
              <w:bottom w:val="single" w:color="000000" w:sz="4" w:space="0"/>
              <w:right w:val="single" w:color="000000" w:sz="4" w:space="0"/>
            </w:tcBorders>
            <w:vAlign w:val="center"/>
          </w:tcPr>
          <w:p w14:paraId="492F65A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基于生成式AI的卫生健康数据探查_智能探查中心-智能交互模块-疾病研究交互模板</w:t>
            </w:r>
          </w:p>
        </w:tc>
        <w:tc>
          <w:tcPr>
            <w:tcW w:w="3125" w:type="pct"/>
            <w:tcBorders>
              <w:top w:val="single" w:color="000000" w:sz="4" w:space="0"/>
              <w:left w:val="nil"/>
              <w:bottom w:val="single" w:color="000000" w:sz="4" w:space="0"/>
              <w:right w:val="single" w:color="000000" w:sz="4" w:space="0"/>
            </w:tcBorders>
            <w:vAlign w:val="center"/>
          </w:tcPr>
          <w:p w14:paraId="3A5AF25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系统匹配疾病研究类交互流程模式，在交互的初始阶段，系统会引导探查人员输入与疾病相关的基础信息，例如疾病的症状表现、遗传背景等关键内容。</w:t>
            </w:r>
            <w:r>
              <w:rPr>
                <w:rFonts w:hint="eastAsia" w:cs="宋体"/>
                <w:color w:val="auto"/>
                <w:kern w:val="0"/>
                <w:sz w:val="21"/>
                <w:szCs w:val="21"/>
                <w:highlight w:val="none"/>
              </w:rPr>
              <w:br w:type="textWrapping"/>
            </w:r>
            <w:r>
              <w:rPr>
                <w:rFonts w:hint="eastAsia" w:cs="宋体"/>
                <w:color w:val="auto"/>
                <w:kern w:val="0"/>
                <w:sz w:val="21"/>
                <w:szCs w:val="21"/>
                <w:highlight w:val="none"/>
              </w:rPr>
              <w:t>在输入基础信息后，系统会进一步引导探查人员深入描述疾病的致病机制。这包括疾病的发病过程、涉及的生物通路、细胞层面的变化以及可能的分子机制等。系统会通过一系列提示和问题，帮助探查人员梳理和明确这些复杂的致病过程，确保信息的完整性和准确性。</w:t>
            </w:r>
            <w:r>
              <w:rPr>
                <w:rFonts w:hint="eastAsia" w:cs="宋体"/>
                <w:color w:val="auto"/>
                <w:kern w:val="0"/>
                <w:sz w:val="21"/>
                <w:szCs w:val="21"/>
                <w:highlight w:val="none"/>
              </w:rPr>
              <w:br w:type="textWrapping"/>
            </w:r>
            <w:r>
              <w:rPr>
                <w:rFonts w:hint="eastAsia" w:cs="宋体"/>
                <w:color w:val="auto"/>
                <w:kern w:val="0"/>
                <w:sz w:val="21"/>
                <w:szCs w:val="21"/>
                <w:highlight w:val="none"/>
              </w:rPr>
              <w:t>系统还会引导探查人员描述潜在的治疗靶点，涉及特定的蛋白质、基因、细胞信号通路或其他生物标志物。系统会根据输入的信息，帮助探查人员梳理出清晰的探查需求。</w:t>
            </w:r>
          </w:p>
        </w:tc>
      </w:tr>
      <w:tr w14:paraId="5AE6051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BEE362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123</w:t>
            </w:r>
          </w:p>
        </w:tc>
        <w:tc>
          <w:tcPr>
            <w:tcW w:w="1250" w:type="pct"/>
            <w:tcBorders>
              <w:top w:val="single" w:color="000000" w:sz="4" w:space="0"/>
              <w:left w:val="nil"/>
              <w:bottom w:val="single" w:color="000000" w:sz="4" w:space="0"/>
              <w:right w:val="single" w:color="000000" w:sz="4" w:space="0"/>
            </w:tcBorders>
            <w:vAlign w:val="center"/>
          </w:tcPr>
          <w:p w14:paraId="2CA134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基于生成式AI的卫生健康数据探查_智能探查中心-智能交互模块-保险理赔交互模板</w:t>
            </w:r>
          </w:p>
        </w:tc>
        <w:tc>
          <w:tcPr>
            <w:tcW w:w="3125" w:type="pct"/>
            <w:tcBorders>
              <w:top w:val="single" w:color="000000" w:sz="4" w:space="0"/>
              <w:left w:val="nil"/>
              <w:bottom w:val="single" w:color="000000" w:sz="4" w:space="0"/>
              <w:right w:val="single" w:color="000000" w:sz="4" w:space="0"/>
            </w:tcBorders>
            <w:vAlign w:val="center"/>
          </w:tcPr>
          <w:p w14:paraId="3F66841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匹配保险理赔交互模板，在交互开始时，系统会指引探查人员优先描述与保险条款中相关的疾病和治疗费用信息。探查人员需要详细说明保险条款中所涵盖的疾病种类、疾病的诊断标准以及对应的治疗费用范围，确保这些信息准确无误。</w:t>
            </w:r>
            <w:r>
              <w:rPr>
                <w:rFonts w:hint="eastAsia" w:cs="宋体"/>
                <w:color w:val="auto"/>
                <w:kern w:val="0"/>
                <w:sz w:val="21"/>
                <w:szCs w:val="21"/>
                <w:highlight w:val="none"/>
              </w:rPr>
              <w:br w:type="textWrapping"/>
            </w:r>
            <w:r>
              <w:rPr>
                <w:rFonts w:hint="eastAsia" w:cs="宋体"/>
                <w:color w:val="auto"/>
                <w:kern w:val="0"/>
                <w:sz w:val="21"/>
                <w:szCs w:val="21"/>
                <w:highlight w:val="none"/>
              </w:rPr>
              <w:t>在完成基础信息的描述后，系统会引导探查人员深入交流保险产品的具体设计。这包括保险产品的保障范围、免责条款、理赔条件、赔付比例等细节内容。系统会通过一系列的问题和提示，帮助探查人员梳理出保险产品设计中的重点和难点，确保对保险产品的理解和分析全面且深入。</w:t>
            </w:r>
            <w:r>
              <w:rPr>
                <w:rFonts w:hint="eastAsia" w:cs="宋体"/>
                <w:color w:val="auto"/>
                <w:kern w:val="0"/>
                <w:sz w:val="21"/>
                <w:szCs w:val="21"/>
                <w:highlight w:val="none"/>
              </w:rPr>
              <w:br w:type="textWrapping"/>
            </w:r>
            <w:r>
              <w:rPr>
                <w:rFonts w:hint="eastAsia" w:cs="宋体"/>
                <w:color w:val="auto"/>
                <w:kern w:val="0"/>
                <w:sz w:val="21"/>
                <w:szCs w:val="21"/>
                <w:highlight w:val="none"/>
              </w:rPr>
              <w:t>同时，系统会协助探查人员梳理出完整的探查需求。这不仅包括对保险条款和产品设计的分析，还可能涉及对市场同类产品的对比、客户需求的调研以及潜在风险的评估。系统会根据探查人员输入的信息，动态调整交互内容，确保探查需求的完整性和逻辑性。</w:t>
            </w:r>
          </w:p>
        </w:tc>
      </w:tr>
      <w:tr w14:paraId="5BAB0F6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55D95E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124</w:t>
            </w:r>
          </w:p>
        </w:tc>
        <w:tc>
          <w:tcPr>
            <w:tcW w:w="1250" w:type="pct"/>
            <w:tcBorders>
              <w:top w:val="single" w:color="000000" w:sz="4" w:space="0"/>
              <w:left w:val="nil"/>
              <w:bottom w:val="single" w:color="000000" w:sz="4" w:space="0"/>
              <w:right w:val="single" w:color="000000" w:sz="4" w:space="0"/>
            </w:tcBorders>
            <w:vAlign w:val="center"/>
          </w:tcPr>
          <w:p w14:paraId="324B826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基于生成式AI的卫生健康数据探查_智能探查中心-智能交互模块-增量探查识别</w:t>
            </w:r>
          </w:p>
        </w:tc>
        <w:tc>
          <w:tcPr>
            <w:tcW w:w="3125" w:type="pct"/>
            <w:tcBorders>
              <w:top w:val="single" w:color="000000" w:sz="4" w:space="0"/>
              <w:left w:val="nil"/>
              <w:bottom w:val="single" w:color="000000" w:sz="4" w:space="0"/>
              <w:right w:val="single" w:color="000000" w:sz="4" w:space="0"/>
            </w:tcBorders>
            <w:vAlign w:val="center"/>
          </w:tcPr>
          <w:p w14:paraId="15D65C9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一次探查结束后，用户会收到一份探查报告。用户在分析报告结果时，可能会发现还有部分补充问题或者新的探查需求。此时，用户可以继续提出探查请求。系统具备增量探查识别功能，该功能会分析并识别新提出的探查请求是否与原问题具有高相关度。</w:t>
            </w:r>
            <w:r>
              <w:rPr>
                <w:rFonts w:hint="eastAsia" w:cs="宋体"/>
                <w:color w:val="auto"/>
                <w:kern w:val="0"/>
                <w:sz w:val="21"/>
                <w:szCs w:val="21"/>
                <w:highlight w:val="none"/>
              </w:rPr>
              <w:br w:type="textWrapping"/>
            </w:r>
            <w:r>
              <w:rPr>
                <w:rFonts w:hint="eastAsia" w:cs="宋体"/>
                <w:color w:val="auto"/>
                <w:kern w:val="0"/>
                <w:sz w:val="21"/>
                <w:szCs w:val="21"/>
                <w:highlight w:val="none"/>
              </w:rPr>
              <w:t>如果新提出的探查请求与原问题高度相关，那么系统可以直接继续进行探查，省去探查请求的审核流程。例如，用户可能需要对某个数据点进行更详细的分析，或者对某个结论进行进一步的验证，这些情况都可以直接进入探查环节。</w:t>
            </w:r>
            <w:r>
              <w:rPr>
                <w:rFonts w:hint="eastAsia" w:cs="宋体"/>
                <w:color w:val="auto"/>
                <w:kern w:val="0"/>
                <w:sz w:val="21"/>
                <w:szCs w:val="21"/>
                <w:highlight w:val="none"/>
              </w:rPr>
              <w:br w:type="textWrapping"/>
            </w:r>
            <w:r>
              <w:rPr>
                <w:rFonts w:hint="eastAsia" w:cs="宋体"/>
                <w:color w:val="auto"/>
                <w:kern w:val="0"/>
                <w:sz w:val="21"/>
                <w:szCs w:val="21"/>
                <w:highlight w:val="none"/>
              </w:rPr>
              <w:t>如果新提出的探查请求与原问题相关度较低，那么用户需要发起一个新的探查请求，并进入审核流程。这是因为低相关度的探查请求可能涉及新的方向或目标，需要重新评估其与整体探查目标的一致性、数据需求以及资源分配等问题。审核流程将确保新的探查请求符合既定的标准和要求，避免资源浪费或偏离主要探查目标。</w:t>
            </w:r>
          </w:p>
        </w:tc>
      </w:tr>
      <w:tr w14:paraId="2815157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C79E61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125</w:t>
            </w:r>
          </w:p>
        </w:tc>
        <w:tc>
          <w:tcPr>
            <w:tcW w:w="1250" w:type="pct"/>
            <w:tcBorders>
              <w:top w:val="single" w:color="000000" w:sz="4" w:space="0"/>
              <w:left w:val="nil"/>
              <w:bottom w:val="single" w:color="000000" w:sz="4" w:space="0"/>
              <w:right w:val="single" w:color="000000" w:sz="4" w:space="0"/>
            </w:tcBorders>
            <w:vAlign w:val="center"/>
          </w:tcPr>
          <w:p w14:paraId="7B7DB34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基于生成式AI的卫生健康数据探查_智能探查中心-需求工程模块-语义消歧</w:t>
            </w:r>
          </w:p>
        </w:tc>
        <w:tc>
          <w:tcPr>
            <w:tcW w:w="3125" w:type="pct"/>
            <w:tcBorders>
              <w:top w:val="single" w:color="000000" w:sz="4" w:space="0"/>
              <w:left w:val="nil"/>
              <w:bottom w:val="single" w:color="000000" w:sz="4" w:space="0"/>
              <w:right w:val="single" w:color="000000" w:sz="4" w:space="0"/>
            </w:tcBorders>
            <w:vAlign w:val="center"/>
          </w:tcPr>
          <w:p w14:paraId="2052EB2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处理用户输入的文本时，系统会注意到用户表述中可能存在一词多义或语义模糊的情况。例如，同一个词语在不同的语境中可能有不同的含义，或者用户使用的词语可能不够具体，导致其意图不够明确。为了准确理解用户的意图，系统会利用词向量模型来捕捉词语在不同语境下的语义特征。</w:t>
            </w:r>
            <w:r>
              <w:rPr>
                <w:rFonts w:hint="eastAsia" w:cs="宋体"/>
                <w:color w:val="auto"/>
                <w:kern w:val="0"/>
                <w:sz w:val="21"/>
                <w:szCs w:val="21"/>
                <w:highlight w:val="none"/>
              </w:rPr>
              <w:br w:type="textWrapping"/>
            </w:r>
            <w:r>
              <w:rPr>
                <w:rFonts w:hint="eastAsia" w:cs="宋体"/>
                <w:color w:val="auto"/>
                <w:kern w:val="0"/>
                <w:sz w:val="21"/>
                <w:szCs w:val="21"/>
                <w:highlight w:val="none"/>
              </w:rPr>
              <w:t>此外，系统还会利用词向量模型对用户输入的句子进行整体分析。它会考虑句子中各个词语之间的相互关系，进一步确定每个词语的语义特征。这种基于上下文的语义分析方法能够帮助系统更准确地把握用户的意图，从而提供更符合用户需求的回答。</w:t>
            </w:r>
          </w:p>
        </w:tc>
      </w:tr>
      <w:tr w14:paraId="3CBA4DF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BE509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126</w:t>
            </w:r>
          </w:p>
        </w:tc>
        <w:tc>
          <w:tcPr>
            <w:tcW w:w="1250" w:type="pct"/>
            <w:tcBorders>
              <w:top w:val="single" w:color="000000" w:sz="4" w:space="0"/>
              <w:left w:val="nil"/>
              <w:bottom w:val="single" w:color="000000" w:sz="4" w:space="0"/>
              <w:right w:val="single" w:color="000000" w:sz="4" w:space="0"/>
            </w:tcBorders>
            <w:vAlign w:val="center"/>
          </w:tcPr>
          <w:p w14:paraId="2CB82D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基于生成式AI的卫生健康数据探查_智能探查中心-需求工程模块-疾病研究提示词模板</w:t>
            </w:r>
          </w:p>
        </w:tc>
        <w:tc>
          <w:tcPr>
            <w:tcW w:w="3125" w:type="pct"/>
            <w:tcBorders>
              <w:top w:val="single" w:color="000000" w:sz="4" w:space="0"/>
              <w:left w:val="nil"/>
              <w:bottom w:val="single" w:color="000000" w:sz="4" w:space="0"/>
              <w:right w:val="single" w:color="000000" w:sz="4" w:space="0"/>
            </w:tcBorders>
            <w:vAlign w:val="center"/>
          </w:tcPr>
          <w:p w14:paraId="30B2217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当智能交互模块识别到用户的探查需求属于疾病研究类时，系统会自动切换到对应的提示词工程模板。这一模板是针对疾病研究的特点和需求设计的，能够帮助用户描述探查请求。</w:t>
            </w:r>
            <w:r>
              <w:rPr>
                <w:rFonts w:hint="eastAsia" w:cs="宋体"/>
                <w:color w:val="auto"/>
                <w:kern w:val="0"/>
                <w:sz w:val="21"/>
                <w:szCs w:val="21"/>
                <w:highlight w:val="none"/>
              </w:rPr>
              <w:br w:type="textWrapping"/>
            </w:r>
            <w:r>
              <w:rPr>
                <w:rFonts w:hint="eastAsia" w:cs="宋体"/>
                <w:color w:val="auto"/>
                <w:kern w:val="0"/>
                <w:sz w:val="21"/>
                <w:szCs w:val="21"/>
                <w:highlight w:val="none"/>
              </w:rPr>
              <w:t>在疾病研究中，用户可能需要提供多种信息，例如疾病的症状、发病机制、遗传背景、潜在的治疗靶点等。提示词工程模板会引导用户按照逻辑顺序逐步输入这些关键信息。例如，系统会首先提示用户输入疾病的名称和主要症状，然后询问是否涉及特定的遗传因素或家族病史，接着引导用户描述已知的致病机制或病理过程。通过这种结构化的引导方式，用户可以更全面地表达自己的需求，避免遗漏重要信息。</w:t>
            </w:r>
          </w:p>
        </w:tc>
      </w:tr>
      <w:tr w14:paraId="06155FF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24DA2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127</w:t>
            </w:r>
          </w:p>
        </w:tc>
        <w:tc>
          <w:tcPr>
            <w:tcW w:w="1250" w:type="pct"/>
            <w:tcBorders>
              <w:top w:val="single" w:color="000000" w:sz="4" w:space="0"/>
              <w:left w:val="nil"/>
              <w:bottom w:val="single" w:color="000000" w:sz="4" w:space="0"/>
              <w:right w:val="single" w:color="000000" w:sz="4" w:space="0"/>
            </w:tcBorders>
            <w:vAlign w:val="center"/>
          </w:tcPr>
          <w:p w14:paraId="07656A5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基于生成式AI的卫生健康数据探查_智能探查中心-需求工程模块-药物发现提示词模板</w:t>
            </w:r>
          </w:p>
        </w:tc>
        <w:tc>
          <w:tcPr>
            <w:tcW w:w="3125" w:type="pct"/>
            <w:tcBorders>
              <w:top w:val="single" w:color="000000" w:sz="4" w:space="0"/>
              <w:left w:val="nil"/>
              <w:bottom w:val="single" w:color="000000" w:sz="4" w:space="0"/>
              <w:right w:val="single" w:color="000000" w:sz="4" w:space="0"/>
            </w:tcBorders>
            <w:vAlign w:val="center"/>
          </w:tcPr>
          <w:p w14:paraId="58AD294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当智能交互模块识别到用户的探查需求属于药物发现类时，系统会自动切换到对应的提示词工程模板。这一模板是针对药物发现的特点和需求设计的，能够引导用户更精准地描述探查请求。</w:t>
            </w:r>
            <w:r>
              <w:rPr>
                <w:rFonts w:hint="eastAsia" w:cs="宋体"/>
                <w:color w:val="auto"/>
                <w:kern w:val="0"/>
                <w:sz w:val="21"/>
                <w:szCs w:val="21"/>
                <w:highlight w:val="none"/>
              </w:rPr>
              <w:br w:type="textWrapping"/>
            </w:r>
            <w:r>
              <w:rPr>
                <w:rFonts w:hint="eastAsia" w:cs="宋体"/>
                <w:color w:val="auto"/>
                <w:kern w:val="0"/>
                <w:sz w:val="21"/>
                <w:szCs w:val="21"/>
                <w:highlight w:val="none"/>
              </w:rPr>
              <w:t>在药物发现过程中，用户可能需要提供多种关键信息，例如目标疾病的特征、预期药物的作用机制、潜在的药物靶点等。提示词工程模板会按照逻辑顺序逐步引导用户输入这些信息。例如，系统会首先提示用户输入目标疾病的名称和主要症状，然后询问用户对药物作用机制的预期，比如是抑制某种酶的活性，还是调节某个信号通路。接着，系统会引导用户描述已知的潜在药物靶点，以及是否有特定的分子结构或化合物作为研究基础。</w:t>
            </w:r>
          </w:p>
        </w:tc>
      </w:tr>
      <w:tr w14:paraId="191D998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D0E37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128</w:t>
            </w:r>
          </w:p>
        </w:tc>
        <w:tc>
          <w:tcPr>
            <w:tcW w:w="1250" w:type="pct"/>
            <w:tcBorders>
              <w:top w:val="single" w:color="000000" w:sz="4" w:space="0"/>
              <w:left w:val="nil"/>
              <w:bottom w:val="single" w:color="000000" w:sz="4" w:space="0"/>
              <w:right w:val="single" w:color="000000" w:sz="4" w:space="0"/>
            </w:tcBorders>
            <w:vAlign w:val="center"/>
          </w:tcPr>
          <w:p w14:paraId="2567B4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基于生成式AI的卫生健康数据探查_智能探查中心-需求工程模块-保险产品提示词模板</w:t>
            </w:r>
          </w:p>
        </w:tc>
        <w:tc>
          <w:tcPr>
            <w:tcW w:w="3125" w:type="pct"/>
            <w:tcBorders>
              <w:top w:val="single" w:color="000000" w:sz="4" w:space="0"/>
              <w:left w:val="nil"/>
              <w:bottom w:val="single" w:color="000000" w:sz="4" w:space="0"/>
              <w:right w:val="single" w:color="000000" w:sz="4" w:space="0"/>
            </w:tcBorders>
            <w:vAlign w:val="center"/>
          </w:tcPr>
          <w:p w14:paraId="1671718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当智能交互模块识别到用户的探查需求属于保险产品类时，系统会自动切换到对应的提示词工程模板。这一模板是针对保险产品特点和需求设计的，能够引导用户更精准地描述探查请求。</w:t>
            </w:r>
            <w:r>
              <w:rPr>
                <w:rFonts w:hint="eastAsia" w:cs="宋体"/>
                <w:color w:val="auto"/>
                <w:kern w:val="0"/>
                <w:sz w:val="21"/>
                <w:szCs w:val="21"/>
                <w:highlight w:val="none"/>
              </w:rPr>
              <w:br w:type="textWrapping"/>
            </w:r>
            <w:r>
              <w:rPr>
                <w:rFonts w:hint="eastAsia" w:cs="宋体"/>
                <w:color w:val="auto"/>
                <w:kern w:val="0"/>
                <w:sz w:val="21"/>
                <w:szCs w:val="21"/>
                <w:highlight w:val="none"/>
              </w:rPr>
              <w:t>在保险产品探查中，用户可能需要提供多种关键信息，例如保险产品的类型（如人寿保险、健康保险、财产保险等）、保险条款中的具体细节（如保障范围、免责条款、赔付条件等）、以及目标客户群体的需求和偏好等。提示词工程模板会按照逻辑顺序逐步引导用户输入这些信息。例如，系统会首先提示用户输入保险产品的具体类型，然后询问用户关注的条款细节，比如是否包含特定疾病的保障、赔付比例是多少、是否有等待期等。接着，系统会引导用户描述目标客户群体的特点，例如年龄范围、职业类型或风险偏好等。</w:t>
            </w:r>
          </w:p>
        </w:tc>
      </w:tr>
      <w:tr w14:paraId="105E6E7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983E3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129</w:t>
            </w:r>
          </w:p>
        </w:tc>
        <w:tc>
          <w:tcPr>
            <w:tcW w:w="1250" w:type="pct"/>
            <w:tcBorders>
              <w:top w:val="single" w:color="000000" w:sz="4" w:space="0"/>
              <w:left w:val="nil"/>
              <w:bottom w:val="single" w:color="000000" w:sz="4" w:space="0"/>
              <w:right w:val="single" w:color="000000" w:sz="4" w:space="0"/>
            </w:tcBorders>
            <w:vAlign w:val="center"/>
          </w:tcPr>
          <w:p w14:paraId="2E9894B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基于生成式AI的卫生健康数据探查_智能探查中心-需求工程模块-提示词效果评估</w:t>
            </w:r>
          </w:p>
        </w:tc>
        <w:tc>
          <w:tcPr>
            <w:tcW w:w="3125" w:type="pct"/>
            <w:tcBorders>
              <w:top w:val="single" w:color="000000" w:sz="4" w:space="0"/>
              <w:left w:val="nil"/>
              <w:bottom w:val="single" w:color="000000" w:sz="4" w:space="0"/>
              <w:right w:val="single" w:color="000000" w:sz="4" w:space="0"/>
            </w:tcBorders>
            <w:vAlign w:val="center"/>
          </w:tcPr>
          <w:p w14:paraId="2E8DC8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提供对分析探查结果的评估功能，重点关注提示词的响应情况。系统会检查用户是否按照提示词的要求完整且准确地表达了自己的需求。例如，如果提示词要求用户输入某个关键信息，系统会判断用户是否提供了这些信息，以及信息是否符合要求。同时，系统还会统计使用提示词后需求理解的准确率，即系统对用户需求的理解是否与用户的实际意图一致。</w:t>
            </w:r>
            <w:r>
              <w:rPr>
                <w:rFonts w:hint="eastAsia" w:cs="宋体"/>
                <w:color w:val="auto"/>
                <w:kern w:val="0"/>
                <w:sz w:val="21"/>
                <w:szCs w:val="21"/>
                <w:highlight w:val="none"/>
              </w:rPr>
              <w:br w:type="textWrapping"/>
            </w:r>
            <w:r>
              <w:rPr>
                <w:rFonts w:hint="eastAsia" w:cs="宋体"/>
                <w:color w:val="auto"/>
                <w:kern w:val="0"/>
                <w:sz w:val="21"/>
                <w:szCs w:val="21"/>
                <w:highlight w:val="none"/>
              </w:rPr>
              <w:t>根据评估结果，系统会自动对提示词模板和生成策略进行优化。如果某些提示词未能有效引导用户完整表达需求，或者导致需求理解的准确率较低，系统会调整这些提示词的表述方式或逻辑顺序。例如，可能会增加更明确的引导语，或者重新组织提示词的结构，使其更符合用户的表达习惯。同时，系统还会根据用户的反馈和实际使用情况，动态调整提示词的生成策略，以生成更符合用户需求的提示词。</w:t>
            </w:r>
          </w:p>
        </w:tc>
      </w:tr>
      <w:tr w14:paraId="6F0B4EB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1C1ACD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130</w:t>
            </w:r>
          </w:p>
        </w:tc>
        <w:tc>
          <w:tcPr>
            <w:tcW w:w="1250" w:type="pct"/>
            <w:tcBorders>
              <w:top w:val="single" w:color="000000" w:sz="4" w:space="0"/>
              <w:left w:val="nil"/>
              <w:bottom w:val="single" w:color="000000" w:sz="4" w:space="0"/>
              <w:right w:val="single" w:color="000000" w:sz="4" w:space="0"/>
            </w:tcBorders>
            <w:vAlign w:val="center"/>
          </w:tcPr>
          <w:p w14:paraId="4E0FADF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基于生成式AI的卫生健康数据探查_智能探查中心-需求工程模块-领域术语识别</w:t>
            </w:r>
          </w:p>
        </w:tc>
        <w:tc>
          <w:tcPr>
            <w:tcW w:w="3125" w:type="pct"/>
            <w:tcBorders>
              <w:top w:val="single" w:color="000000" w:sz="4" w:space="0"/>
              <w:left w:val="nil"/>
              <w:bottom w:val="single" w:color="000000" w:sz="4" w:space="0"/>
              <w:right w:val="single" w:color="000000" w:sz="4" w:space="0"/>
            </w:tcBorders>
            <w:vAlign w:val="center"/>
          </w:tcPr>
          <w:p w14:paraId="4A92712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为了支持医疗卫生、生物制药和保险理赔领域的用户需求，系统内置了专业术语库。这个术语库涵盖了上述领域的大量专业词汇，能够准确识别并解析用户表述中的术语含义。</w:t>
            </w:r>
            <w:r>
              <w:rPr>
                <w:rFonts w:hint="eastAsia" w:cs="宋体"/>
                <w:color w:val="auto"/>
                <w:kern w:val="0"/>
                <w:sz w:val="21"/>
                <w:szCs w:val="21"/>
                <w:highlight w:val="none"/>
              </w:rPr>
              <w:br w:type="textWrapping"/>
            </w:r>
            <w:r>
              <w:rPr>
                <w:rFonts w:hint="eastAsia" w:cs="宋体"/>
                <w:color w:val="auto"/>
                <w:kern w:val="0"/>
                <w:sz w:val="21"/>
                <w:szCs w:val="21"/>
                <w:highlight w:val="none"/>
              </w:rPr>
              <w:t>在医疗卫生领域，术语库包含了疾病名称、症状描述、检查方法、治疗手段等专业词汇。例如，当用户提到“高血压”“心肌梗死”“磁共振成像（MRI）”或“微创手术”等术语时，系统能够迅速识别并理解这些术语的准确含义，从而更精准地处理用户的问题。</w:t>
            </w:r>
            <w:r>
              <w:rPr>
                <w:rFonts w:hint="eastAsia" w:cs="宋体"/>
                <w:color w:val="auto"/>
                <w:kern w:val="0"/>
                <w:sz w:val="21"/>
                <w:szCs w:val="21"/>
                <w:highlight w:val="none"/>
              </w:rPr>
              <w:br w:type="textWrapping"/>
            </w:r>
            <w:r>
              <w:rPr>
                <w:rFonts w:hint="eastAsia" w:cs="宋体"/>
                <w:color w:val="auto"/>
                <w:kern w:val="0"/>
                <w:sz w:val="21"/>
                <w:szCs w:val="21"/>
                <w:highlight w:val="none"/>
              </w:rPr>
              <w:t>在生物制药领域，术语库涵盖了药物研发、药理学、分子生物学、临床试验等方面的专业词汇。比如，用户在描述药物作用机制时提到“靶向治疗”“基因编辑”“蛋白激酶抑制剂”或“药物代谢动力学”等术语，系统能够准确解析这些术语的含义，帮助用户更高效地进行药物发现或研究相关的探查。</w:t>
            </w:r>
            <w:r>
              <w:rPr>
                <w:rFonts w:hint="eastAsia" w:cs="宋体"/>
                <w:color w:val="auto"/>
                <w:kern w:val="0"/>
                <w:sz w:val="21"/>
                <w:szCs w:val="21"/>
                <w:highlight w:val="none"/>
              </w:rPr>
              <w:br w:type="textWrapping"/>
            </w:r>
            <w:r>
              <w:rPr>
                <w:rFonts w:hint="eastAsia" w:cs="宋体"/>
                <w:color w:val="auto"/>
                <w:kern w:val="0"/>
                <w:sz w:val="21"/>
                <w:szCs w:val="21"/>
                <w:highlight w:val="none"/>
              </w:rPr>
              <w:t>在保险理赔领域，术语库包含了保险条款、理赔条件、风险评估、保险产品设计等方面的词汇。例如，当用户提到“免赔额”“赔付比例”“等待期”或“责任免除”等术语时，系统能够准确理解这些术语在保险理赔中的具体含义，从而为用户提供更准确的理赔建议或探查结果。</w:t>
            </w:r>
            <w:r>
              <w:rPr>
                <w:rFonts w:hint="eastAsia" w:cs="宋体"/>
                <w:color w:val="auto"/>
                <w:kern w:val="0"/>
                <w:sz w:val="21"/>
                <w:szCs w:val="21"/>
                <w:highlight w:val="none"/>
              </w:rPr>
              <w:br w:type="textWrapping"/>
            </w:r>
            <w:r>
              <w:rPr>
                <w:rFonts w:hint="eastAsia" w:cs="宋体"/>
                <w:color w:val="auto"/>
                <w:kern w:val="0"/>
                <w:sz w:val="21"/>
                <w:szCs w:val="21"/>
                <w:highlight w:val="none"/>
              </w:rPr>
              <w:t>系统通过内置的专业术语库，能够有效减少因术语不熟悉或理解偏差导致的沟通障碍。</w:t>
            </w:r>
          </w:p>
        </w:tc>
      </w:tr>
      <w:tr w14:paraId="327E611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D6A34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131</w:t>
            </w:r>
          </w:p>
        </w:tc>
        <w:tc>
          <w:tcPr>
            <w:tcW w:w="1250" w:type="pct"/>
            <w:tcBorders>
              <w:top w:val="single" w:color="000000" w:sz="4" w:space="0"/>
              <w:left w:val="nil"/>
              <w:bottom w:val="single" w:color="000000" w:sz="4" w:space="0"/>
              <w:right w:val="single" w:color="000000" w:sz="4" w:space="0"/>
            </w:tcBorders>
            <w:vAlign w:val="center"/>
          </w:tcPr>
          <w:p w14:paraId="0841F56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基于生成式AI的卫生健康数据探查_智能探查中心-智能预审模块-合规条款匹配</w:t>
            </w:r>
          </w:p>
        </w:tc>
        <w:tc>
          <w:tcPr>
            <w:tcW w:w="3125" w:type="pct"/>
            <w:tcBorders>
              <w:top w:val="single" w:color="000000" w:sz="4" w:space="0"/>
              <w:left w:val="nil"/>
              <w:bottom w:val="single" w:color="000000" w:sz="4" w:space="0"/>
              <w:right w:val="single" w:color="000000" w:sz="4" w:space="0"/>
            </w:tcBorders>
            <w:vAlign w:val="center"/>
          </w:tcPr>
          <w:p w14:paraId="6570C6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为在数据探查过程中避免潜在的合规风险，系统会将用户的数据探查需求与法规政策知识库中的条款进行匹配。法规政策知识库是一个包含各类法律法规、行业规范和政策要求的数据库，涵盖了用户可能涉及的各种合规要求。</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数据探查需求时，系统会自动分析其需求内容，提取关键信息，例如数据的来源、使用目的、涉及的行业领域等。随后，系统会在法规政策知识库中搜索与这些关键信息相关的条款，识别出可能涉及的合规风险点。</w:t>
            </w:r>
            <w:r>
              <w:rPr>
                <w:rFonts w:hint="eastAsia" w:cs="宋体"/>
                <w:color w:val="auto"/>
                <w:kern w:val="0"/>
                <w:sz w:val="21"/>
                <w:szCs w:val="21"/>
                <w:highlight w:val="none"/>
              </w:rPr>
              <w:br w:type="textWrapping"/>
            </w:r>
            <w:r>
              <w:rPr>
                <w:rFonts w:hint="eastAsia" w:cs="宋体"/>
                <w:color w:val="auto"/>
                <w:kern w:val="0"/>
                <w:sz w:val="21"/>
                <w:szCs w:val="21"/>
                <w:highlight w:val="none"/>
              </w:rPr>
              <w:t>例如，如果用户的数据探查需求涉及个人隐私数据的使用，系统会匹配与隐私保护相关的法律法规条款，如《个人信息保护法》中的相关规定，以确保用户的需求符合法律要求。系统会详细列出匹配到的法规条款，并明确指出可能存在的风险点。例如，它会提醒用户是否需要获得数据主体的明确授权，或者是否需要对数据进行匿名化处理等。</w:t>
            </w:r>
          </w:p>
        </w:tc>
      </w:tr>
      <w:tr w14:paraId="2668C1E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55FCD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132</w:t>
            </w:r>
          </w:p>
        </w:tc>
        <w:tc>
          <w:tcPr>
            <w:tcW w:w="1250" w:type="pct"/>
            <w:tcBorders>
              <w:top w:val="single" w:color="000000" w:sz="4" w:space="0"/>
              <w:left w:val="nil"/>
              <w:bottom w:val="single" w:color="000000" w:sz="4" w:space="0"/>
              <w:right w:val="single" w:color="000000" w:sz="4" w:space="0"/>
            </w:tcBorders>
            <w:vAlign w:val="center"/>
          </w:tcPr>
          <w:p w14:paraId="3753FF4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基于生成式AI的卫生健康数据探查_智能探查中心-智能预审模块-敏感记录预警</w:t>
            </w:r>
          </w:p>
        </w:tc>
        <w:tc>
          <w:tcPr>
            <w:tcW w:w="3125" w:type="pct"/>
            <w:tcBorders>
              <w:top w:val="single" w:color="000000" w:sz="4" w:space="0"/>
              <w:left w:val="nil"/>
              <w:bottom w:val="single" w:color="000000" w:sz="4" w:space="0"/>
              <w:right w:val="single" w:color="000000" w:sz="4" w:space="0"/>
            </w:tcBorders>
            <w:vAlign w:val="center"/>
          </w:tcPr>
          <w:p w14:paraId="2C752D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能够提供对探查数据中敏感疾病和敏感人群的预警功能。在数据探查过程中，系统会实时监测和分析数据内容，识别其中可能涉及的敏感信息。对于敏感疾病，系统会根据预先设定的疾病列表和相关标准，判断数据中是否存在如传染病、罕见病、遗传性疾病等需要特别关注的疾病信息。这些疾病可能涉及隐私保护、公共卫生安全或伦理问题，因此需要及时提醒用户。</w:t>
            </w:r>
            <w:r>
              <w:rPr>
                <w:rFonts w:hint="eastAsia" w:cs="宋体"/>
                <w:color w:val="auto"/>
                <w:kern w:val="0"/>
                <w:sz w:val="21"/>
                <w:szCs w:val="21"/>
                <w:highlight w:val="none"/>
              </w:rPr>
              <w:br w:type="textWrapping"/>
            </w:r>
            <w:r>
              <w:rPr>
                <w:rFonts w:hint="eastAsia" w:cs="宋体"/>
                <w:color w:val="auto"/>
                <w:kern w:val="0"/>
                <w:sz w:val="21"/>
                <w:szCs w:val="21"/>
                <w:highlight w:val="none"/>
              </w:rPr>
              <w:t>同时，系统也会对数据中涉及的敏感人群进行预警。敏感人群可能包括未成年人、老年人、孕妇、特殊职业群体或特定健康状况的人群。这些人群在数据使用和分析中可能需要额外的保护措施，以避免对他们造成潜在的不利影响。系统会通过关键词匹配、数据特征分析等方式，识别数据中是否包含这些敏感人群的相关信息。</w:t>
            </w:r>
            <w:r>
              <w:rPr>
                <w:rFonts w:hint="eastAsia" w:cs="宋体"/>
                <w:color w:val="auto"/>
                <w:kern w:val="0"/>
                <w:sz w:val="21"/>
                <w:szCs w:val="21"/>
                <w:highlight w:val="none"/>
              </w:rPr>
              <w:br w:type="textWrapping"/>
            </w:r>
            <w:r>
              <w:rPr>
                <w:rFonts w:hint="eastAsia" w:cs="宋体"/>
                <w:color w:val="auto"/>
                <w:kern w:val="0"/>
                <w:sz w:val="21"/>
                <w:szCs w:val="21"/>
                <w:highlight w:val="none"/>
              </w:rPr>
              <w:t>当系统识别到数据中存在敏感疾病或敏感人群的信息时，会立即向用户发出预警提示。预警提示会明确指出数据中涉及的具体敏感内容，并建议用户在后续的数据处理和分析中采取相应的保护措施。例如，对于涉及未成年人的数据，系统可能会提醒用户确保数据的使用符合相关法律法规，保护未成年人的隐私和权益；对于涉及传染病的数据，系统可能会提醒用户注意数据的保密性和传播风险。</w:t>
            </w:r>
          </w:p>
        </w:tc>
      </w:tr>
      <w:tr w14:paraId="57C5DFC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BE328F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133</w:t>
            </w:r>
          </w:p>
        </w:tc>
        <w:tc>
          <w:tcPr>
            <w:tcW w:w="1250" w:type="pct"/>
            <w:tcBorders>
              <w:top w:val="single" w:color="000000" w:sz="4" w:space="0"/>
              <w:left w:val="nil"/>
              <w:bottom w:val="single" w:color="000000" w:sz="4" w:space="0"/>
              <w:right w:val="single" w:color="000000" w:sz="4" w:space="0"/>
            </w:tcBorders>
            <w:vAlign w:val="center"/>
          </w:tcPr>
          <w:p w14:paraId="74A6423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基于生成式AI的卫生健康数据探查_智能探查中心-智能预审模块-合规风险量化评估</w:t>
            </w:r>
          </w:p>
        </w:tc>
        <w:tc>
          <w:tcPr>
            <w:tcW w:w="3125" w:type="pct"/>
            <w:tcBorders>
              <w:top w:val="single" w:color="000000" w:sz="4" w:space="0"/>
              <w:left w:val="nil"/>
              <w:bottom w:val="single" w:color="000000" w:sz="4" w:space="0"/>
              <w:right w:val="single" w:color="000000" w:sz="4" w:space="0"/>
            </w:tcBorders>
            <w:vAlign w:val="center"/>
          </w:tcPr>
          <w:p w14:paraId="29485A8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系统会根据合规条款的重要性和风险影响程度，对用户需求的合规风险进行量化评估。</w:t>
            </w:r>
            <w:r>
              <w:rPr>
                <w:rFonts w:hint="eastAsia" w:cs="宋体"/>
                <w:color w:val="auto"/>
                <w:kern w:val="0"/>
                <w:sz w:val="21"/>
                <w:szCs w:val="21"/>
                <w:highlight w:val="none"/>
              </w:rPr>
              <w:br w:type="textWrapping"/>
            </w:r>
            <w:r>
              <w:rPr>
                <w:rFonts w:hint="eastAsia" w:cs="宋体"/>
                <w:color w:val="auto"/>
                <w:kern w:val="0"/>
                <w:sz w:val="21"/>
                <w:szCs w:val="21"/>
                <w:highlight w:val="none"/>
              </w:rPr>
              <w:t>在进行量化评估时，系统首先会分析与用户需求相关的合规条款。这些条款可能涉及法律法规、行业标准或内部政策等，其重要性各有不同。例如，某些条款可能直接关系到用户的基本权利和义务，违反这些条款可能导致严重的法律后果；而另一些条款虽然也很重要，但其违反可能带来的影响相对较小。</w:t>
            </w:r>
            <w:r>
              <w:rPr>
                <w:rFonts w:hint="eastAsia" w:cs="宋体"/>
                <w:color w:val="auto"/>
                <w:kern w:val="0"/>
                <w:sz w:val="21"/>
                <w:szCs w:val="21"/>
                <w:highlight w:val="none"/>
              </w:rPr>
              <w:br w:type="textWrapping"/>
            </w:r>
            <w:r>
              <w:rPr>
                <w:rFonts w:hint="eastAsia" w:cs="宋体"/>
                <w:color w:val="auto"/>
                <w:kern w:val="0"/>
                <w:sz w:val="21"/>
                <w:szCs w:val="21"/>
                <w:highlight w:val="none"/>
              </w:rPr>
              <w:t>系统会根据条款的重要性和风险影响程度，将合规风险分为不同的等级。对于那些违反后可能导致重大法律后果或严重影响用户权益的条款，系统会赋予较高的风险等级；而对于那些违反后影响较小的条款，则赋予较低的风险等级。这种分级方式可以帮助用户更直观地了解不同合规条款的风险程度。</w:t>
            </w:r>
            <w:r>
              <w:rPr>
                <w:rFonts w:hint="eastAsia" w:cs="宋体"/>
                <w:color w:val="auto"/>
                <w:kern w:val="0"/>
                <w:sz w:val="21"/>
                <w:szCs w:val="21"/>
                <w:highlight w:val="none"/>
              </w:rPr>
              <w:br w:type="textWrapping"/>
            </w:r>
            <w:r>
              <w:rPr>
                <w:rFonts w:hint="eastAsia" w:cs="宋体"/>
                <w:color w:val="auto"/>
                <w:kern w:val="0"/>
                <w:sz w:val="21"/>
                <w:szCs w:val="21"/>
                <w:highlight w:val="none"/>
              </w:rPr>
              <w:t>在量化评估过程中，系统会综合考虑多个因素。例如，对于涉及个人隐私数据的条款，系统会考虑数据的敏感性、数据量的大小以及数据的使用范围等因素。如果用户需求涉及大量敏感个人隐私数据的处理，且这些数据可能被用于广泛的商业目的，那么系统会评估为较高的合规风险等级。相反，如果用户需求涉及的数据敏感性较低，且数据使用范围有限，那么系统会评估为较低的风险等级。</w:t>
            </w:r>
            <w:r>
              <w:rPr>
                <w:rFonts w:hint="eastAsia" w:cs="宋体"/>
                <w:color w:val="auto"/>
                <w:kern w:val="0"/>
                <w:sz w:val="21"/>
                <w:szCs w:val="21"/>
                <w:highlight w:val="none"/>
              </w:rPr>
              <w:br w:type="textWrapping"/>
            </w:r>
            <w:r>
              <w:rPr>
                <w:rFonts w:hint="eastAsia" w:cs="宋体"/>
                <w:color w:val="auto"/>
                <w:kern w:val="0"/>
                <w:sz w:val="21"/>
                <w:szCs w:val="21"/>
                <w:highlight w:val="none"/>
              </w:rPr>
              <w:t>完成量化评估后，系统会将评估结果以清晰的方式呈现给用户。评估结果不仅包括风险等级，还会提供具体的合规条款说明和可能的风险点提示。例如，系统可能会指出用户需求中涉及的某项条款属于高风险等级，违反该条款可能导致的法律后果，并建议用户采取相应的措施来降低风险。</w:t>
            </w:r>
          </w:p>
        </w:tc>
      </w:tr>
      <w:tr w14:paraId="71A7E9B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D25F2D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134</w:t>
            </w:r>
          </w:p>
        </w:tc>
        <w:tc>
          <w:tcPr>
            <w:tcW w:w="1250" w:type="pct"/>
            <w:tcBorders>
              <w:top w:val="single" w:color="000000" w:sz="4" w:space="0"/>
              <w:left w:val="nil"/>
              <w:bottom w:val="single" w:color="000000" w:sz="4" w:space="0"/>
              <w:right w:val="single" w:color="000000" w:sz="4" w:space="0"/>
            </w:tcBorders>
            <w:vAlign w:val="center"/>
          </w:tcPr>
          <w:p w14:paraId="13E1E20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基于生成式AI的卫生健康数据探查_智能探查中心-智能预审模块-预审记录管理</w:t>
            </w:r>
          </w:p>
        </w:tc>
        <w:tc>
          <w:tcPr>
            <w:tcW w:w="3125" w:type="pct"/>
            <w:tcBorders>
              <w:top w:val="single" w:color="000000" w:sz="4" w:space="0"/>
              <w:left w:val="nil"/>
              <w:bottom w:val="single" w:color="000000" w:sz="4" w:space="0"/>
              <w:right w:val="single" w:color="000000" w:sz="4" w:space="0"/>
            </w:tcBorders>
            <w:vAlign w:val="center"/>
          </w:tcPr>
          <w:p w14:paraId="5BA8B15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系统会详细记录每一次预审的过程和结果。这些记录内容涵盖了用户需求的具体内容、识别出的合规风险点、评估分值以及相应的合规建议等重要信息。</w:t>
            </w:r>
            <w:r>
              <w:rPr>
                <w:rFonts w:hint="eastAsia" w:cs="宋体"/>
                <w:color w:val="auto"/>
                <w:kern w:val="0"/>
                <w:sz w:val="21"/>
                <w:szCs w:val="21"/>
                <w:highlight w:val="none"/>
              </w:rPr>
              <w:br w:type="textWrapping"/>
            </w:r>
            <w:r>
              <w:rPr>
                <w:rFonts w:hint="eastAsia" w:cs="宋体"/>
                <w:color w:val="auto"/>
                <w:kern w:val="0"/>
                <w:sz w:val="21"/>
                <w:szCs w:val="21"/>
                <w:highlight w:val="none"/>
              </w:rPr>
              <w:t>在记录用户需求内容时，系统会完整保存用户提交的原始需求描述，包括需求的背景、目标、涉及的数据范围以及具体的探查方向等。这样可以确保在后续的审核或复查过程中，能够准确还原用户最初的需求意图。</w:t>
            </w:r>
          </w:p>
        </w:tc>
      </w:tr>
      <w:tr w14:paraId="78D4615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1BDD12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135</w:t>
            </w:r>
          </w:p>
        </w:tc>
        <w:tc>
          <w:tcPr>
            <w:tcW w:w="1250" w:type="pct"/>
            <w:tcBorders>
              <w:top w:val="single" w:color="000000" w:sz="4" w:space="0"/>
              <w:left w:val="nil"/>
              <w:bottom w:val="single" w:color="000000" w:sz="4" w:space="0"/>
              <w:right w:val="single" w:color="000000" w:sz="4" w:space="0"/>
            </w:tcBorders>
            <w:vAlign w:val="center"/>
          </w:tcPr>
          <w:p w14:paraId="7A0E47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基于生成式AI的卫生健康数据探查_智能探查中心-智能预审模块-合规建议生成</w:t>
            </w:r>
          </w:p>
        </w:tc>
        <w:tc>
          <w:tcPr>
            <w:tcW w:w="3125" w:type="pct"/>
            <w:tcBorders>
              <w:top w:val="single" w:color="000000" w:sz="4" w:space="0"/>
              <w:left w:val="nil"/>
              <w:bottom w:val="single" w:color="000000" w:sz="4" w:space="0"/>
              <w:right w:val="single" w:color="000000" w:sz="4" w:space="0"/>
            </w:tcBorders>
            <w:vAlign w:val="center"/>
          </w:tcPr>
          <w:p w14:paraId="10E33E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当系统识别出用户需求中的合规风险点后，会自动生成详细的合规建议。</w:t>
            </w:r>
            <w:r>
              <w:rPr>
                <w:rFonts w:hint="eastAsia" w:cs="宋体"/>
                <w:color w:val="auto"/>
                <w:kern w:val="0"/>
                <w:sz w:val="21"/>
                <w:szCs w:val="21"/>
                <w:highlight w:val="none"/>
              </w:rPr>
              <w:br w:type="textWrapping"/>
            </w:r>
            <w:r>
              <w:rPr>
                <w:rFonts w:hint="eastAsia" w:cs="宋体"/>
                <w:color w:val="auto"/>
                <w:kern w:val="0"/>
                <w:sz w:val="21"/>
                <w:szCs w:val="21"/>
                <w:highlight w:val="none"/>
              </w:rPr>
              <w:t>系统会针对具体的风险点提出针对性的调整建议。例如，如果用户需求涉及使用个人隐私数据，但未明确数据主体的授权情况，系统会建议用户补充数据主体的明确授权文件，包括授权的范围、使用目的和授权期限等内容。如果用户需求中涉及的数据使用范围超出了法规允许的范畴，系统会建议用户重新定义数据使用的目的和范围，确保其符合法规要求。</w:t>
            </w:r>
          </w:p>
        </w:tc>
      </w:tr>
      <w:tr w14:paraId="00BC0DF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6A82F0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136</w:t>
            </w:r>
          </w:p>
        </w:tc>
        <w:tc>
          <w:tcPr>
            <w:tcW w:w="1250" w:type="pct"/>
            <w:tcBorders>
              <w:top w:val="single" w:color="000000" w:sz="4" w:space="0"/>
              <w:left w:val="nil"/>
              <w:bottom w:val="single" w:color="000000" w:sz="4" w:space="0"/>
              <w:right w:val="single" w:color="000000" w:sz="4" w:space="0"/>
            </w:tcBorders>
            <w:vAlign w:val="center"/>
          </w:tcPr>
          <w:p w14:paraId="7D20543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基于生成式AI的卫生健康数据探查_智能探查中心-知识增强模块-药物疾病知识库构建</w:t>
            </w:r>
          </w:p>
        </w:tc>
        <w:tc>
          <w:tcPr>
            <w:tcW w:w="3125" w:type="pct"/>
            <w:tcBorders>
              <w:top w:val="single" w:color="000000" w:sz="4" w:space="0"/>
              <w:left w:val="nil"/>
              <w:bottom w:val="single" w:color="000000" w:sz="4" w:space="0"/>
              <w:right w:val="single" w:color="000000" w:sz="4" w:space="0"/>
            </w:tcBorders>
            <w:vAlign w:val="center"/>
          </w:tcPr>
          <w:p w14:paraId="5C4C93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该知识图谱通过系统地收集和整理药物研发、疾病特征、治疗机制以及临床应用等多方面的信息，形成一个结构化的知识体系。</w:t>
            </w:r>
            <w:r>
              <w:rPr>
                <w:rFonts w:hint="eastAsia" w:cs="宋体"/>
                <w:color w:val="auto"/>
                <w:kern w:val="0"/>
                <w:sz w:val="21"/>
                <w:szCs w:val="21"/>
                <w:highlight w:val="none"/>
              </w:rPr>
              <w:br w:type="textWrapping"/>
            </w:r>
            <w:r>
              <w:rPr>
                <w:rFonts w:hint="eastAsia" w:cs="宋体"/>
                <w:color w:val="auto"/>
                <w:kern w:val="0"/>
                <w:sz w:val="21"/>
                <w:szCs w:val="21"/>
                <w:highlight w:val="none"/>
              </w:rPr>
              <w:t>在构建知识图谱的过程中，首先会收集药物相关的专业知识，包括药物的化学结构、药理作用、适应症、副作用、临床试验数据以及药物相互作用等信息。这些数据来源于权威的药物数据库、学术文献以及药品说明书等，确保信息的准确性和可靠性。</w:t>
            </w:r>
            <w:r>
              <w:rPr>
                <w:rFonts w:hint="eastAsia" w:cs="宋体"/>
                <w:color w:val="auto"/>
                <w:kern w:val="0"/>
                <w:sz w:val="21"/>
                <w:szCs w:val="21"/>
                <w:highlight w:val="none"/>
              </w:rPr>
              <w:br w:type="textWrapping"/>
            </w:r>
            <w:r>
              <w:rPr>
                <w:rFonts w:hint="eastAsia" w:cs="宋体"/>
                <w:color w:val="auto"/>
                <w:kern w:val="0"/>
                <w:sz w:val="21"/>
                <w:szCs w:val="21"/>
                <w:highlight w:val="none"/>
              </w:rPr>
              <w:t>同时，知识图谱还会整合疾病领域的专业知识，涵盖疾病的定义、症状、诊断标准、发病机制、流行病学数据以及预后信息等。这些疾病数据来自医学教材、临床指南、医学数据库以及相关的研究文献，覆盖了常见疾病和罕见疾病的特征。</w:t>
            </w:r>
          </w:p>
        </w:tc>
      </w:tr>
      <w:tr w14:paraId="3EE8295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96FEB5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137</w:t>
            </w:r>
          </w:p>
        </w:tc>
        <w:tc>
          <w:tcPr>
            <w:tcW w:w="1250" w:type="pct"/>
            <w:tcBorders>
              <w:top w:val="single" w:color="000000" w:sz="4" w:space="0"/>
              <w:left w:val="nil"/>
              <w:bottom w:val="single" w:color="000000" w:sz="4" w:space="0"/>
              <w:right w:val="single" w:color="000000" w:sz="4" w:space="0"/>
            </w:tcBorders>
            <w:vAlign w:val="center"/>
          </w:tcPr>
          <w:p w14:paraId="65A4F83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基于生成式AI的卫生健康数据探查_智能探查中心-知识增强模块-临床实验知识库构建</w:t>
            </w:r>
          </w:p>
        </w:tc>
        <w:tc>
          <w:tcPr>
            <w:tcW w:w="3125" w:type="pct"/>
            <w:tcBorders>
              <w:top w:val="single" w:color="000000" w:sz="4" w:space="0"/>
              <w:left w:val="nil"/>
              <w:bottom w:val="single" w:color="000000" w:sz="4" w:space="0"/>
              <w:right w:val="single" w:color="000000" w:sz="4" w:space="0"/>
            </w:tcBorders>
            <w:vAlign w:val="center"/>
          </w:tcPr>
          <w:p w14:paraId="04D372C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该知识图谱通过系统地收集和整理临床试验相关的各类信息，形成一个结构化、可查询的知识体系。</w:t>
            </w:r>
            <w:r>
              <w:rPr>
                <w:rFonts w:hint="eastAsia" w:cs="宋体"/>
                <w:color w:val="auto"/>
                <w:kern w:val="0"/>
                <w:sz w:val="21"/>
                <w:szCs w:val="21"/>
                <w:highlight w:val="none"/>
              </w:rPr>
              <w:br w:type="textWrapping"/>
            </w:r>
            <w:r>
              <w:rPr>
                <w:rFonts w:hint="eastAsia" w:cs="宋体"/>
                <w:color w:val="auto"/>
                <w:kern w:val="0"/>
                <w:sz w:val="21"/>
                <w:szCs w:val="21"/>
                <w:highlight w:val="none"/>
              </w:rPr>
              <w:t>在构建知识图谱的过程中，首先会收集临床试验的基础信息，包括试验的设计类型（如随机对照试验、队列研究等）、研究目的、纳入和排除标准、样本量计算以及试验的实施阶段（如I期、II期、III期临床试验）。这些信息来源于临床试验注册平台、学术文献以及相关的法规指南，确保其准确性和权威性。</w:t>
            </w:r>
            <w:r>
              <w:rPr>
                <w:rFonts w:hint="eastAsia" w:cs="宋体"/>
                <w:color w:val="auto"/>
                <w:kern w:val="0"/>
                <w:sz w:val="21"/>
                <w:szCs w:val="21"/>
                <w:highlight w:val="none"/>
              </w:rPr>
              <w:br w:type="textWrapping"/>
            </w:r>
            <w:r>
              <w:rPr>
                <w:rFonts w:hint="eastAsia" w:cs="宋体"/>
                <w:color w:val="auto"/>
                <w:kern w:val="0"/>
                <w:sz w:val="21"/>
                <w:szCs w:val="21"/>
                <w:highlight w:val="none"/>
              </w:rPr>
              <w:t>同时，知识图谱会整合临床试验的具体执行细节。例如，试验的实施地点、参与的研究中心、研究团队成员、试验的时间安排以及数据收集和管理方法等。这些信息有助于研究人员了解试验的组织架构和实施流程，为参与或设计临床试验提供参考。</w:t>
            </w:r>
          </w:p>
        </w:tc>
      </w:tr>
      <w:tr w14:paraId="13DCD88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B86ED0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138</w:t>
            </w:r>
          </w:p>
        </w:tc>
        <w:tc>
          <w:tcPr>
            <w:tcW w:w="1250" w:type="pct"/>
            <w:tcBorders>
              <w:top w:val="single" w:color="000000" w:sz="4" w:space="0"/>
              <w:left w:val="nil"/>
              <w:bottom w:val="single" w:color="000000" w:sz="4" w:space="0"/>
              <w:right w:val="single" w:color="000000" w:sz="4" w:space="0"/>
            </w:tcBorders>
            <w:vAlign w:val="center"/>
          </w:tcPr>
          <w:p w14:paraId="323F4F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基于生成式AI的卫生健康数据探查_智能探查中心-知识增强模块-保险理赔知识库构建</w:t>
            </w:r>
          </w:p>
        </w:tc>
        <w:tc>
          <w:tcPr>
            <w:tcW w:w="3125" w:type="pct"/>
            <w:tcBorders>
              <w:top w:val="single" w:color="000000" w:sz="4" w:space="0"/>
              <w:left w:val="nil"/>
              <w:bottom w:val="single" w:color="000000" w:sz="4" w:space="0"/>
              <w:right w:val="single" w:color="000000" w:sz="4" w:space="0"/>
            </w:tcBorders>
            <w:vAlign w:val="center"/>
          </w:tcPr>
          <w:p w14:paraId="41EBF32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该知识图谱通过系统地收集和整理保险理赔相关的各类信息，形成一个结构化、可查询的知识体系，以帮助用户更高效地处理和理解保险理赔过程中的复杂信息。</w:t>
            </w:r>
            <w:r>
              <w:rPr>
                <w:rFonts w:hint="eastAsia" w:cs="宋体"/>
                <w:color w:val="auto"/>
                <w:kern w:val="0"/>
                <w:sz w:val="21"/>
                <w:szCs w:val="21"/>
                <w:highlight w:val="none"/>
              </w:rPr>
              <w:br w:type="textWrapping"/>
            </w:r>
            <w:r>
              <w:rPr>
                <w:rFonts w:hint="eastAsia" w:cs="宋体"/>
                <w:color w:val="auto"/>
                <w:kern w:val="0"/>
                <w:sz w:val="21"/>
                <w:szCs w:val="21"/>
                <w:highlight w:val="none"/>
              </w:rPr>
              <w:t>在构建知识图谱的过程中，首先会收集保险理赔的基础信息，包括不同类型的保险产品（如人寿保险、健康保险、财产保险等）及其对应的理赔条款。这些条款涉及保障范围、赔付条件、免赔额、赔付比例等关键内容，这些信息来源于保险公司的官方文件、保险条款说明书以及相关的法律法规，确保其准确性和权威性。</w:t>
            </w:r>
            <w:r>
              <w:rPr>
                <w:rFonts w:hint="eastAsia" w:cs="宋体"/>
                <w:color w:val="auto"/>
                <w:kern w:val="0"/>
                <w:sz w:val="21"/>
                <w:szCs w:val="21"/>
                <w:highlight w:val="none"/>
              </w:rPr>
              <w:br w:type="textWrapping"/>
            </w:r>
            <w:r>
              <w:rPr>
                <w:rFonts w:hint="eastAsia" w:cs="宋体"/>
                <w:color w:val="auto"/>
                <w:kern w:val="0"/>
                <w:sz w:val="21"/>
                <w:szCs w:val="21"/>
                <w:highlight w:val="none"/>
              </w:rPr>
              <w:t>同时，知识图谱会整合理赔流程中的具体操作细节。例如，理赔申请的提交方式、所需材料清单、审核流程、理赔时效以及常见的拒赔原因等。这些信息有助于保险理赔人员和客户了解理赔的具体步骤和要求，为理赔申请的准备和处理提供清晰的指导。</w:t>
            </w:r>
          </w:p>
        </w:tc>
      </w:tr>
      <w:tr w14:paraId="6587F50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A6B31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139</w:t>
            </w:r>
          </w:p>
        </w:tc>
        <w:tc>
          <w:tcPr>
            <w:tcW w:w="1250" w:type="pct"/>
            <w:tcBorders>
              <w:top w:val="single" w:color="000000" w:sz="4" w:space="0"/>
              <w:left w:val="nil"/>
              <w:bottom w:val="single" w:color="000000" w:sz="4" w:space="0"/>
              <w:right w:val="single" w:color="000000" w:sz="4" w:space="0"/>
            </w:tcBorders>
            <w:vAlign w:val="center"/>
          </w:tcPr>
          <w:p w14:paraId="1D5B694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基于生成式AI的卫生健康数据探查_智能探查中心-知识增强模块-法律法规知识库构建</w:t>
            </w:r>
          </w:p>
        </w:tc>
        <w:tc>
          <w:tcPr>
            <w:tcW w:w="3125" w:type="pct"/>
            <w:tcBorders>
              <w:top w:val="single" w:color="000000" w:sz="4" w:space="0"/>
              <w:left w:val="nil"/>
              <w:bottom w:val="single" w:color="000000" w:sz="4" w:space="0"/>
              <w:right w:val="single" w:color="000000" w:sz="4" w:space="0"/>
            </w:tcBorders>
            <w:vAlign w:val="center"/>
          </w:tcPr>
          <w:p w14:paraId="56E3357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该知识图谱通过系统地收集和整理法律法规相关的各类信息，形成一个结构化、可查询的知识体系，以帮助用户更高效地处理和理解法律法规中的复杂内容。</w:t>
            </w:r>
            <w:r>
              <w:rPr>
                <w:rFonts w:hint="eastAsia" w:cs="宋体"/>
                <w:color w:val="auto"/>
                <w:kern w:val="0"/>
                <w:sz w:val="21"/>
                <w:szCs w:val="21"/>
                <w:highlight w:val="none"/>
              </w:rPr>
              <w:br w:type="textWrapping"/>
            </w:r>
            <w:r>
              <w:rPr>
                <w:rFonts w:hint="eastAsia" w:cs="宋体"/>
                <w:color w:val="auto"/>
                <w:kern w:val="0"/>
                <w:sz w:val="21"/>
                <w:szCs w:val="21"/>
                <w:highlight w:val="none"/>
              </w:rPr>
              <w:t>在构建知识图谱的过程中，首先会收集法律法规的基础信息，包括不同层级的法律（如宪法、法律、行政法规、地方性法规等）、法规的名称、颁布时间、生效时间以及修订历史等。这些信息来源于官方的法律法规数据库、政府公告以及权威的法律出版物，确保其准确性和权威性。</w:t>
            </w:r>
            <w:r>
              <w:rPr>
                <w:rFonts w:hint="eastAsia" w:cs="宋体"/>
                <w:color w:val="auto"/>
                <w:kern w:val="0"/>
                <w:sz w:val="21"/>
                <w:szCs w:val="21"/>
                <w:highlight w:val="none"/>
              </w:rPr>
              <w:br w:type="textWrapping"/>
            </w:r>
            <w:r>
              <w:rPr>
                <w:rFonts w:hint="eastAsia" w:cs="宋体"/>
                <w:color w:val="auto"/>
                <w:kern w:val="0"/>
                <w:sz w:val="21"/>
                <w:szCs w:val="21"/>
                <w:highlight w:val="none"/>
              </w:rPr>
              <w:t>同时，知识图谱会整理法律法规的具体条款内容，明确每一条款的法律效力、适用范围、具体规定以及与其他条款的关系。例如，对于某一具体的法律条款，知识图谱会标注其是否属于强制性规定、是否涉及特定主体或行为的规范，以及在实际应用中的解释和适用情况。这些信息有助于法律从业者和普通用户快速了解法律法规的核心内容和具体要求。</w:t>
            </w:r>
          </w:p>
        </w:tc>
      </w:tr>
      <w:tr w14:paraId="37A7BDA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BD091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140</w:t>
            </w:r>
          </w:p>
        </w:tc>
        <w:tc>
          <w:tcPr>
            <w:tcW w:w="1250" w:type="pct"/>
            <w:tcBorders>
              <w:top w:val="single" w:color="000000" w:sz="4" w:space="0"/>
              <w:left w:val="nil"/>
              <w:bottom w:val="single" w:color="000000" w:sz="4" w:space="0"/>
              <w:right w:val="single" w:color="000000" w:sz="4" w:space="0"/>
            </w:tcBorders>
            <w:vAlign w:val="center"/>
          </w:tcPr>
          <w:p w14:paraId="7B7506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基于生成式AI的卫生健康数据探查_智能探查中心-知识增强模块-知识关联推理</w:t>
            </w:r>
          </w:p>
        </w:tc>
        <w:tc>
          <w:tcPr>
            <w:tcW w:w="3125" w:type="pct"/>
            <w:tcBorders>
              <w:top w:val="single" w:color="000000" w:sz="4" w:space="0"/>
              <w:left w:val="nil"/>
              <w:bottom w:val="single" w:color="000000" w:sz="4" w:space="0"/>
              <w:right w:val="single" w:color="000000" w:sz="4" w:space="0"/>
            </w:tcBorders>
            <w:vAlign w:val="center"/>
          </w:tcPr>
          <w:p w14:paraId="537B2E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系统会利用已构建的知识图谱进行关联推理。知识图谱中包含了大量的结构化信息和实体之间的关联关系，这些信息可以帮助系统更全面地理解用户的需求，并通过推理找出与用户需求相关的内容。</w:t>
            </w:r>
            <w:r>
              <w:rPr>
                <w:rFonts w:hint="eastAsia" w:cs="宋体"/>
                <w:color w:val="auto"/>
                <w:kern w:val="0"/>
                <w:sz w:val="21"/>
                <w:szCs w:val="21"/>
                <w:highlight w:val="none"/>
              </w:rPr>
              <w:br w:type="textWrapping"/>
            </w:r>
            <w:r>
              <w:rPr>
                <w:rFonts w:hint="eastAsia" w:cs="宋体"/>
                <w:color w:val="auto"/>
                <w:kern w:val="0"/>
                <w:sz w:val="21"/>
                <w:szCs w:val="21"/>
                <w:highlight w:val="none"/>
              </w:rPr>
              <w:t>例如，如果用户的需求是了解某种疾病的治疗方法，系统会首先在知识图谱中定位到该疾病这一实体，然后通过关联关系查找与之相关的治疗方法。知识图谱中可能记录了该疾病对应的多种治疗手段，包括药物治疗、手术治疗、物理治疗等，以及每种治疗手段的具体适用情况、优缺点和可能的副作用等信息。系统会根据这些关联关系，为用户提供全面且准确的治疗方法列表。</w:t>
            </w:r>
            <w:r>
              <w:rPr>
                <w:rFonts w:hint="eastAsia" w:cs="宋体"/>
                <w:color w:val="auto"/>
                <w:kern w:val="0"/>
                <w:sz w:val="21"/>
                <w:szCs w:val="21"/>
                <w:highlight w:val="none"/>
              </w:rPr>
              <w:br w:type="textWrapping"/>
            </w:r>
            <w:r>
              <w:rPr>
                <w:rFonts w:hint="eastAsia" w:cs="宋体"/>
                <w:color w:val="auto"/>
                <w:kern w:val="0"/>
                <w:sz w:val="21"/>
                <w:szCs w:val="21"/>
                <w:highlight w:val="none"/>
              </w:rPr>
              <w:t>同时，系统还会进一步推理出与治疗方法相关的其他信息。比如，对于药物治疗，系统会关联到药物的药理作用、临床试验结果、药品说明书等；对于手术治疗，系统会关联到手术的适应症、禁忌症、手术风险以及术后护理等内容。通过这种方式，系统不仅能够提供用户直接询问的信息，还能补充与之相关的背景知识和细节，帮助用户更全面地理解问题。</w:t>
            </w:r>
          </w:p>
        </w:tc>
      </w:tr>
      <w:tr w14:paraId="454448F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92498A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141</w:t>
            </w:r>
          </w:p>
        </w:tc>
        <w:tc>
          <w:tcPr>
            <w:tcW w:w="1250" w:type="pct"/>
            <w:tcBorders>
              <w:top w:val="single" w:color="000000" w:sz="4" w:space="0"/>
              <w:left w:val="nil"/>
              <w:bottom w:val="single" w:color="000000" w:sz="4" w:space="0"/>
              <w:right w:val="single" w:color="000000" w:sz="4" w:space="0"/>
            </w:tcBorders>
            <w:vAlign w:val="center"/>
          </w:tcPr>
          <w:p w14:paraId="4C01DDD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基于生成式AI的卫生健康数据探查_智能探查中心-知识增强模块-相似案例知识匹配</w:t>
            </w:r>
          </w:p>
        </w:tc>
        <w:tc>
          <w:tcPr>
            <w:tcW w:w="3125" w:type="pct"/>
            <w:tcBorders>
              <w:top w:val="single" w:color="000000" w:sz="4" w:space="0"/>
              <w:left w:val="nil"/>
              <w:bottom w:val="single" w:color="000000" w:sz="4" w:space="0"/>
              <w:right w:val="single" w:color="000000" w:sz="4" w:space="0"/>
            </w:tcBorders>
            <w:vAlign w:val="center"/>
          </w:tcPr>
          <w:p w14:paraId="7EA9704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系统会在知识库中搜索与用户当前需求相似的历史案例，并将成功的数据探查经验和结果推荐给用户。</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新的探查需求时，系统会首先分析该需求的关键信息，包括问题的性质、涉及的数据类型、目标和预期结果等。然后，系统会在知识库中检索与这些关键信息匹配的历史案例。例如，如果用户的需求是分析某一特定市场趋势，系统会搜索知识库中与市场分析相关的案例，特别是那些成功识别并分析了类似市场趋势的案例。</w:t>
            </w:r>
            <w:r>
              <w:rPr>
                <w:rFonts w:hint="eastAsia" w:cs="宋体"/>
                <w:color w:val="auto"/>
                <w:kern w:val="0"/>
                <w:sz w:val="21"/>
                <w:szCs w:val="21"/>
                <w:highlight w:val="none"/>
              </w:rPr>
              <w:br w:type="textWrapping"/>
            </w:r>
            <w:r>
              <w:rPr>
                <w:rFonts w:hint="eastAsia" w:cs="宋体"/>
                <w:color w:val="auto"/>
                <w:kern w:val="0"/>
                <w:sz w:val="21"/>
                <w:szCs w:val="21"/>
                <w:highlight w:val="none"/>
              </w:rPr>
              <w:t>系统会根据案例的相关性和成功经验进行筛选和排序。对于每个推荐的案例，系统会详细展示其背景信息、探查过程、所采用的方法和技术，以及最终的探查结果。这些信息可以帮助用户快速了解历史案例中的关键点，例如在分析过程中遇到的挑战、如何解决这些问题，以及最终得出的结论。</w:t>
            </w:r>
            <w:r>
              <w:rPr>
                <w:rFonts w:hint="eastAsia" w:cs="宋体"/>
                <w:color w:val="auto"/>
                <w:kern w:val="0"/>
                <w:sz w:val="21"/>
                <w:szCs w:val="21"/>
                <w:highlight w:val="none"/>
              </w:rPr>
              <w:br w:type="textWrapping"/>
            </w:r>
            <w:r>
              <w:rPr>
                <w:rFonts w:hint="eastAsia" w:cs="宋体"/>
                <w:color w:val="auto"/>
                <w:kern w:val="0"/>
                <w:sz w:val="21"/>
                <w:szCs w:val="21"/>
                <w:highlight w:val="none"/>
              </w:rPr>
              <w:t>此外，系统还会提供案例中的数据探查方法和工具的使用经验。例如，如果某个历史案例中使用了特定的数据分析模型或工具，并取得了良好的效果，系统会将这些方法和工具推荐给用户，并解释其适用场景和优势。这可以帮助用户在当前探查任务中借鉴成功经验，避免重复劳动，提高探查效率。</w:t>
            </w:r>
            <w:r>
              <w:rPr>
                <w:rFonts w:hint="eastAsia" w:cs="宋体"/>
                <w:color w:val="auto"/>
                <w:kern w:val="0"/>
                <w:sz w:val="21"/>
                <w:szCs w:val="21"/>
                <w:highlight w:val="none"/>
              </w:rPr>
              <w:br w:type="textWrapping"/>
            </w:r>
            <w:r>
              <w:rPr>
                <w:rFonts w:hint="eastAsia" w:cs="宋体"/>
                <w:color w:val="auto"/>
                <w:kern w:val="0"/>
                <w:sz w:val="21"/>
                <w:szCs w:val="21"/>
                <w:highlight w:val="none"/>
              </w:rPr>
              <w:t>系统还会根据用户的需求和历史案例的匹配度，提供个性化的建议。例如，如果用户的需求与某个历史案例高度相似，但存在一些差异，系统会指出这些差异，并建议用户在借鉴历史案例经验时需要注意的地方。这种个性化的建议可以帮助用户更好地调整和优化自己的探查策略。</w:t>
            </w:r>
          </w:p>
        </w:tc>
      </w:tr>
      <w:tr w14:paraId="362F73F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7AF7C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142</w:t>
            </w:r>
          </w:p>
        </w:tc>
        <w:tc>
          <w:tcPr>
            <w:tcW w:w="1250" w:type="pct"/>
            <w:tcBorders>
              <w:top w:val="single" w:color="000000" w:sz="4" w:space="0"/>
              <w:left w:val="nil"/>
              <w:bottom w:val="single" w:color="000000" w:sz="4" w:space="0"/>
              <w:right w:val="single" w:color="000000" w:sz="4" w:space="0"/>
            </w:tcBorders>
            <w:vAlign w:val="center"/>
          </w:tcPr>
          <w:p w14:paraId="524070A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基于生成式AI的卫生健康数据探查_智能探查中心-执行分析模块-探查路径动态规划</w:t>
            </w:r>
          </w:p>
        </w:tc>
        <w:tc>
          <w:tcPr>
            <w:tcW w:w="3125" w:type="pct"/>
            <w:tcBorders>
              <w:top w:val="single" w:color="000000" w:sz="4" w:space="0"/>
              <w:left w:val="nil"/>
              <w:bottom w:val="single" w:color="000000" w:sz="4" w:space="0"/>
              <w:right w:val="single" w:color="000000" w:sz="4" w:space="0"/>
            </w:tcBorders>
            <w:vAlign w:val="center"/>
          </w:tcPr>
          <w:p w14:paraId="0D2DEED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本系统提供根据数据特征自动选择探查算法组合的功能。这一功能的核心在于通过对数据特征的分析，自动识别探查业务类型，并匹配相应的合规条款，从而为用户提供最适合的探查方案。</w:t>
            </w:r>
            <w:r>
              <w:rPr>
                <w:rFonts w:hint="eastAsia" w:cs="宋体"/>
                <w:color w:val="auto"/>
                <w:kern w:val="0"/>
                <w:sz w:val="21"/>
                <w:szCs w:val="21"/>
                <w:highlight w:val="none"/>
              </w:rPr>
              <w:br w:type="textWrapping"/>
            </w:r>
            <w:r>
              <w:rPr>
                <w:rFonts w:hint="eastAsia" w:cs="宋体"/>
                <w:color w:val="auto"/>
                <w:kern w:val="0"/>
                <w:sz w:val="21"/>
                <w:szCs w:val="21"/>
                <w:highlight w:val="none"/>
              </w:rPr>
              <w:t>在数据探查开始时，系统会首先对用户提供的数据进行特征分析。这些特征可能包括数据的类型（如结构化数据或非结构化数据）、数据规模（如数据量大小）、数据的分布特性（如是否存在异常值或偏态分布）以及数据的来源（如是否涉及敏感信息或受监管的数据）。通过对这些特征的综合分析，系统能够初步判断数据探查的业务类型，例如是市场趋势分析、风险评估、疾病研究还是保险理赔等。</w:t>
            </w:r>
            <w:r>
              <w:rPr>
                <w:rFonts w:hint="eastAsia" w:cs="宋体"/>
                <w:color w:val="auto"/>
                <w:kern w:val="0"/>
                <w:sz w:val="21"/>
                <w:szCs w:val="21"/>
                <w:highlight w:val="none"/>
              </w:rPr>
              <w:br w:type="textWrapping"/>
            </w:r>
            <w:r>
              <w:rPr>
                <w:rFonts w:hint="eastAsia" w:cs="宋体"/>
                <w:color w:val="auto"/>
                <w:kern w:val="0"/>
                <w:sz w:val="21"/>
                <w:szCs w:val="21"/>
                <w:highlight w:val="none"/>
              </w:rPr>
              <w:t>根据识别出的业务类型，系统会自动选择与之匹配的探查算法组合。例如，对于市场趋势分析，系统可能会选择时间序列分析算法和数据可视化工具；对于疾病研究，系统可能会选择生物统计学算法和机器学习模型。这些算法组合是根据行业最佳实践和历史探查经验预先设计的，能够有效满足不同业务类型的需求。</w:t>
            </w:r>
            <w:r>
              <w:rPr>
                <w:rFonts w:hint="eastAsia" w:cs="宋体"/>
                <w:color w:val="auto"/>
                <w:kern w:val="0"/>
                <w:sz w:val="21"/>
                <w:szCs w:val="21"/>
                <w:highlight w:val="none"/>
              </w:rPr>
              <w:br w:type="textWrapping"/>
            </w:r>
            <w:r>
              <w:rPr>
                <w:rFonts w:hint="eastAsia" w:cs="宋体"/>
                <w:color w:val="auto"/>
                <w:kern w:val="0"/>
                <w:sz w:val="21"/>
                <w:szCs w:val="21"/>
                <w:highlight w:val="none"/>
              </w:rPr>
              <w:t>同时，系统还会根据数据特征匹配相关的合规条款。如果数据涉及个人隐私或受行业监管，系统会自动识别并匹配相应的法律法规和合规要求。例如，对于包含个人隐私数据的探查任务，系统会匹配数据保护法规中的条款，并确保所选用的探查算法和流程符合这些条款的要求。对于金融领域的数据探查，系统会匹配金融监管法规，确保探查过程符合合规标准。</w:t>
            </w:r>
          </w:p>
        </w:tc>
      </w:tr>
      <w:tr w14:paraId="2FEB354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5815CE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143</w:t>
            </w:r>
          </w:p>
        </w:tc>
        <w:tc>
          <w:tcPr>
            <w:tcW w:w="1250" w:type="pct"/>
            <w:tcBorders>
              <w:top w:val="single" w:color="000000" w:sz="4" w:space="0"/>
              <w:left w:val="nil"/>
              <w:bottom w:val="single" w:color="000000" w:sz="4" w:space="0"/>
              <w:right w:val="single" w:color="000000" w:sz="4" w:space="0"/>
            </w:tcBorders>
            <w:vAlign w:val="center"/>
          </w:tcPr>
          <w:p w14:paraId="5ED5889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基于生成式AI的卫生健康数据探查_智能探查中心-执行分析模块-多任务并行执行</w:t>
            </w:r>
          </w:p>
        </w:tc>
        <w:tc>
          <w:tcPr>
            <w:tcW w:w="3125" w:type="pct"/>
            <w:tcBorders>
              <w:top w:val="single" w:color="000000" w:sz="4" w:space="0"/>
              <w:left w:val="nil"/>
              <w:bottom w:val="single" w:color="000000" w:sz="4" w:space="0"/>
              <w:right w:val="single" w:color="000000" w:sz="4" w:space="0"/>
            </w:tcBorders>
            <w:vAlign w:val="center"/>
          </w:tcPr>
          <w:p w14:paraId="40E5188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本系统提供支持同时执行多个数据探查任务的功能，能够充分利用服务器的多核处理器资源。在实际运行中，服务器的多核处理器具备同时处理多个任务的能力，这使得系统可以并行执行多个数据探查任务，而不会相互干扰。</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多个数据探查任务时，系统会根据任务的复杂程度和资源需求，合理分配服务器的处理器核心。例如，对于一些计算量较大的任务，系统可能会分配更多的处理器核心以加快处理速度；而对于一些相对简单的任务，则分配较少的核心。这种动态分配方式能够确保每个任务都能获得足够的计算资源，从而提高整体的探查效率。</w:t>
            </w:r>
            <w:r>
              <w:rPr>
                <w:rFonts w:hint="eastAsia" w:cs="宋体"/>
                <w:color w:val="auto"/>
                <w:kern w:val="0"/>
                <w:sz w:val="21"/>
                <w:szCs w:val="21"/>
                <w:highlight w:val="none"/>
              </w:rPr>
              <w:br w:type="textWrapping"/>
            </w:r>
            <w:r>
              <w:rPr>
                <w:rFonts w:hint="eastAsia" w:cs="宋体"/>
                <w:color w:val="auto"/>
                <w:kern w:val="0"/>
                <w:sz w:val="21"/>
                <w:szCs w:val="21"/>
                <w:highlight w:val="none"/>
              </w:rPr>
              <w:t>同时，系统会实时监控服务器的资源使用情况，包括处理器的利用率、内存占用以及任务的执行进度等。如果某个任务的执行时间超出预期，系统会自动调整资源分配，优先保证高优先级任务的顺利执行。这种资源管理机制能够确保服务器在高负载情况下仍能稳定运行，避免因资源不足导致任务失败。</w:t>
            </w:r>
          </w:p>
        </w:tc>
      </w:tr>
      <w:tr w14:paraId="05EE29F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D66F7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144</w:t>
            </w:r>
          </w:p>
        </w:tc>
        <w:tc>
          <w:tcPr>
            <w:tcW w:w="1250" w:type="pct"/>
            <w:tcBorders>
              <w:top w:val="single" w:color="000000" w:sz="4" w:space="0"/>
              <w:left w:val="nil"/>
              <w:bottom w:val="single" w:color="000000" w:sz="4" w:space="0"/>
              <w:right w:val="single" w:color="000000" w:sz="4" w:space="0"/>
            </w:tcBorders>
            <w:vAlign w:val="center"/>
          </w:tcPr>
          <w:p w14:paraId="2236760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基于生成式AI的卫生健康数据探查_智能探查中心-执行分析模块-资源动态匹配</w:t>
            </w:r>
          </w:p>
        </w:tc>
        <w:tc>
          <w:tcPr>
            <w:tcW w:w="3125" w:type="pct"/>
            <w:tcBorders>
              <w:top w:val="single" w:color="000000" w:sz="4" w:space="0"/>
              <w:left w:val="nil"/>
              <w:bottom w:val="single" w:color="000000" w:sz="4" w:space="0"/>
              <w:right w:val="single" w:color="000000" w:sz="4" w:space="0"/>
            </w:tcBorders>
            <w:vAlign w:val="center"/>
          </w:tcPr>
          <w:p w14:paraId="1E5A369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根据任务需求动态调整计算资源和存储资源的功能。在数据探查过程中，不同的任务对资源的需求各不相同。例如，一些任务可能需要大量的计算能力来处理复杂的数据分析，而另一些任务则可能需要更多的存储空间来保存大量的中间结果或数据备份。</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一个探查任务时，系统会首先分析任务的性质和需求。对于计算密集型任务，如大规模数据建模、机器学习训练或复杂的统计分析，系统会自动分配更多的计算资源，如增加CPU核心数或调用GPU加速。而对于数据密集型任务，如大规模数据导入、数据备份或长时间的数据存储，系统会优先分配更多的存储资源，如增加硬盘空间或优化存储架构。</w:t>
            </w:r>
            <w:r>
              <w:rPr>
                <w:rFonts w:hint="eastAsia" w:cs="宋体"/>
                <w:color w:val="auto"/>
                <w:kern w:val="0"/>
                <w:sz w:val="21"/>
                <w:szCs w:val="21"/>
                <w:highlight w:val="none"/>
              </w:rPr>
              <w:br w:type="textWrapping"/>
            </w:r>
            <w:r>
              <w:rPr>
                <w:rFonts w:hint="eastAsia" w:cs="宋体"/>
                <w:color w:val="auto"/>
                <w:kern w:val="0"/>
                <w:sz w:val="21"/>
                <w:szCs w:val="21"/>
                <w:highlight w:val="none"/>
              </w:rPr>
              <w:t>系统会实时监控任务的执行情况和资源使用情况。如果任务在执行过程中发现资源不足，系统会自动调整资源分配。例如，如果一个任务的计算时间超出预期，系统会检测到CPU或内存使用率过高，随后自动增加分配给该任务的计算资源。同样，如果任务需要存储更多数据，系统会动态扩展存储空间，确保任务能够顺利进行。</w:t>
            </w:r>
          </w:p>
        </w:tc>
      </w:tr>
      <w:tr w14:paraId="687140D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CCC7EB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145</w:t>
            </w:r>
          </w:p>
        </w:tc>
        <w:tc>
          <w:tcPr>
            <w:tcW w:w="1250" w:type="pct"/>
            <w:tcBorders>
              <w:top w:val="single" w:color="000000" w:sz="4" w:space="0"/>
              <w:left w:val="nil"/>
              <w:bottom w:val="single" w:color="000000" w:sz="4" w:space="0"/>
              <w:right w:val="single" w:color="000000" w:sz="4" w:space="0"/>
            </w:tcBorders>
            <w:vAlign w:val="center"/>
          </w:tcPr>
          <w:p w14:paraId="6C24E1E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基于生成式AI的卫生健康数据探查_智能探查中心-执行分析模块-执行状态监控</w:t>
            </w:r>
          </w:p>
        </w:tc>
        <w:tc>
          <w:tcPr>
            <w:tcW w:w="3125" w:type="pct"/>
            <w:tcBorders>
              <w:top w:val="single" w:color="000000" w:sz="4" w:space="0"/>
              <w:left w:val="nil"/>
              <w:bottom w:val="single" w:color="000000" w:sz="4" w:space="0"/>
              <w:right w:val="single" w:color="000000" w:sz="4" w:space="0"/>
            </w:tcBorders>
            <w:vAlign w:val="center"/>
          </w:tcPr>
          <w:p w14:paraId="5DFA5A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系统提供实时监控功能，能够实时展示数据探查任务的执行状态。监控内容涵盖了任务进度、资源使用情况（包括CPU使用率、内存占用）以及任务执行时间等关键信息。</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数据探查任务后，系统会立即启动监控机制。用户可以通过系统界面查看任务的实时进度，了解任务已完成的部分和剩余的工作量。例如，在一个数据处理任务中，系统会显示当前已完成的数据处理比例，让用户清楚知道任务的进展情况。</w:t>
            </w:r>
            <w:r>
              <w:rPr>
                <w:rFonts w:hint="eastAsia" w:cs="宋体"/>
                <w:color w:val="auto"/>
                <w:kern w:val="0"/>
                <w:sz w:val="21"/>
                <w:szCs w:val="21"/>
                <w:highlight w:val="none"/>
              </w:rPr>
              <w:br w:type="textWrapping"/>
            </w:r>
            <w:r>
              <w:rPr>
                <w:rFonts w:hint="eastAsia" w:cs="宋体"/>
                <w:color w:val="auto"/>
                <w:kern w:val="0"/>
                <w:sz w:val="21"/>
                <w:szCs w:val="21"/>
                <w:highlight w:val="none"/>
              </w:rPr>
              <w:t>同时，系统会实时监测任务的资源使用情况。对于CPU使用率，系统会显示当前任务占用的CPU核心数以及CPU的实时负载情况。如果任务是计算密集型的，用户可以看到CPU使用率的变化，从而判断任务是否在高效运行。对于内存占用，系统会显示任务当前使用的内存量，以及系统可用内存的剩余情况。这些信息可以帮助用户了解任务是否因资源不足而受到影响。</w:t>
            </w:r>
          </w:p>
        </w:tc>
      </w:tr>
      <w:tr w14:paraId="72EE0C6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BD091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146</w:t>
            </w:r>
          </w:p>
        </w:tc>
        <w:tc>
          <w:tcPr>
            <w:tcW w:w="1250" w:type="pct"/>
            <w:tcBorders>
              <w:top w:val="single" w:color="000000" w:sz="4" w:space="0"/>
              <w:left w:val="nil"/>
              <w:bottom w:val="single" w:color="000000" w:sz="4" w:space="0"/>
              <w:right w:val="single" w:color="000000" w:sz="4" w:space="0"/>
            </w:tcBorders>
            <w:vAlign w:val="center"/>
          </w:tcPr>
          <w:p w14:paraId="6B68EED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基于生成式AI的卫生健康数据探查_智能探查中心-报告生成模块-多维度数据可视化</w:t>
            </w:r>
          </w:p>
        </w:tc>
        <w:tc>
          <w:tcPr>
            <w:tcW w:w="3125" w:type="pct"/>
            <w:tcBorders>
              <w:top w:val="single" w:color="000000" w:sz="4" w:space="0"/>
              <w:left w:val="nil"/>
              <w:bottom w:val="single" w:color="000000" w:sz="4" w:space="0"/>
              <w:right w:val="single" w:color="000000" w:sz="4" w:space="0"/>
            </w:tcBorders>
            <w:vAlign w:val="center"/>
          </w:tcPr>
          <w:p w14:paraId="339EECC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支持同时展示多个数据维度的功能。不同维度的数据同时呈现出来，从而用户更直观地发现这些数据之间的关系。系统支持多种可视化方式，如柱状图、折线图、散点图和热力图等，用户可以根据自己的需求选择最适合的展示方式。例如，折线图适合展示数据随时间的变化趋势，散点图则更适合分析两个维度之间的相关性。这些可视化工具可以帮助用户更直观地理解数据之间的关系。</w:t>
            </w:r>
          </w:p>
        </w:tc>
      </w:tr>
      <w:tr w14:paraId="51A4189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15F505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147</w:t>
            </w:r>
          </w:p>
        </w:tc>
        <w:tc>
          <w:tcPr>
            <w:tcW w:w="1250" w:type="pct"/>
            <w:tcBorders>
              <w:top w:val="single" w:color="000000" w:sz="4" w:space="0"/>
              <w:left w:val="nil"/>
              <w:bottom w:val="single" w:color="000000" w:sz="4" w:space="0"/>
              <w:right w:val="single" w:color="000000" w:sz="4" w:space="0"/>
            </w:tcBorders>
            <w:vAlign w:val="center"/>
          </w:tcPr>
          <w:p w14:paraId="30991F8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基于生成式AI的卫生健康数据探查_智能探查中心-报告生成模块-报告模板自动匹配</w:t>
            </w:r>
          </w:p>
        </w:tc>
        <w:tc>
          <w:tcPr>
            <w:tcW w:w="3125" w:type="pct"/>
            <w:tcBorders>
              <w:top w:val="single" w:color="000000" w:sz="4" w:space="0"/>
              <w:left w:val="nil"/>
              <w:bottom w:val="single" w:color="000000" w:sz="4" w:space="0"/>
              <w:right w:val="single" w:color="000000" w:sz="4" w:space="0"/>
            </w:tcBorders>
            <w:vAlign w:val="center"/>
          </w:tcPr>
          <w:p w14:paraId="7D5C1BD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根据用户的数据探查需求类型和分析结果自动匹配最合适的报告模板的功能。在数据探查完成后，用户需要将分析结果以清晰、规范的方式呈现出来，以便于进一步的决策或分享。因此，系统通过分析用户的探查需求和最终的分析结果，自动选择最适合的报告模板。</w:t>
            </w:r>
            <w:r>
              <w:rPr>
                <w:rFonts w:hint="eastAsia" w:cs="宋体"/>
                <w:color w:val="auto"/>
                <w:kern w:val="0"/>
                <w:sz w:val="21"/>
                <w:szCs w:val="21"/>
                <w:highlight w:val="none"/>
              </w:rPr>
              <w:br w:type="textWrapping"/>
            </w:r>
            <w:r>
              <w:rPr>
                <w:rFonts w:hint="eastAsia" w:cs="宋体"/>
                <w:color w:val="auto"/>
                <w:kern w:val="0"/>
                <w:sz w:val="21"/>
                <w:szCs w:val="21"/>
                <w:highlight w:val="none"/>
              </w:rPr>
              <w:t>当用户提交数据探查需求时，系统会识别需求的类型，例如是市场趋势分析、风险评估、疾病研究还是保险理赔等。同时，在探查过程中，系统会记录分析的关键点和结果类型，比如是否涉及统计分析、图表展示或预测模型等。根据这些信息，系统会从预设的报告模板库中选择最适合的模板。</w:t>
            </w:r>
            <w:r>
              <w:rPr>
                <w:rFonts w:hint="eastAsia" w:cs="宋体"/>
                <w:color w:val="auto"/>
                <w:kern w:val="0"/>
                <w:sz w:val="21"/>
                <w:szCs w:val="21"/>
                <w:highlight w:val="none"/>
              </w:rPr>
              <w:br w:type="textWrapping"/>
            </w:r>
            <w:r>
              <w:rPr>
                <w:rFonts w:hint="eastAsia" w:cs="宋体"/>
                <w:color w:val="auto"/>
                <w:kern w:val="0"/>
                <w:sz w:val="21"/>
                <w:szCs w:val="21"/>
                <w:highlight w:val="none"/>
              </w:rPr>
              <w:t>报告模板库中包含了多种类型的模板，每种模板都针对特定的探查需求和结果类型进行了优化。例如，对于市场趋势分析，报告模板会包含时间序列图表、市场细分分析和趋势预测等内容；对于风险评估，报告模板会突出风险指标、风险矩阵和建议措施等部分。这些模板的设计遵循行业标准和最佳实践，确保报告内容清晰、逻辑连贯且易于理解。</w:t>
            </w:r>
          </w:p>
        </w:tc>
      </w:tr>
      <w:tr w14:paraId="2CF409C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F500F7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148</w:t>
            </w:r>
          </w:p>
        </w:tc>
        <w:tc>
          <w:tcPr>
            <w:tcW w:w="1250" w:type="pct"/>
            <w:tcBorders>
              <w:top w:val="single" w:color="000000" w:sz="4" w:space="0"/>
              <w:left w:val="nil"/>
              <w:bottom w:val="single" w:color="000000" w:sz="4" w:space="0"/>
              <w:right w:val="single" w:color="000000" w:sz="4" w:space="0"/>
            </w:tcBorders>
            <w:vAlign w:val="center"/>
          </w:tcPr>
          <w:p w14:paraId="5D6EA51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基于生成式AI的卫生健康数据探查_智能探查中心-报告生成模块-报告内容智能摘要</w:t>
            </w:r>
          </w:p>
        </w:tc>
        <w:tc>
          <w:tcPr>
            <w:tcW w:w="3125" w:type="pct"/>
            <w:tcBorders>
              <w:top w:val="single" w:color="000000" w:sz="4" w:space="0"/>
              <w:left w:val="nil"/>
              <w:bottom w:val="single" w:color="000000" w:sz="4" w:space="0"/>
              <w:right w:val="single" w:color="000000" w:sz="4" w:space="0"/>
            </w:tcBorders>
            <w:vAlign w:val="center"/>
          </w:tcPr>
          <w:p w14:paraId="78C15C0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系统提供对报告主要内容进行智能摘要的功能。这一功能通过提取报告中的关键信息，生成简洁明了的摘要，使用户能够在短时间内了解报告的重点。</w:t>
            </w:r>
            <w:r>
              <w:rPr>
                <w:rFonts w:hint="eastAsia" w:cs="宋体"/>
                <w:color w:val="auto"/>
                <w:kern w:val="0"/>
                <w:sz w:val="21"/>
                <w:szCs w:val="21"/>
                <w:highlight w:val="none"/>
              </w:rPr>
              <w:br w:type="textWrapping"/>
            </w:r>
            <w:r>
              <w:rPr>
                <w:rFonts w:hint="eastAsia" w:cs="宋体"/>
                <w:color w:val="auto"/>
                <w:kern w:val="0"/>
                <w:sz w:val="21"/>
                <w:szCs w:val="21"/>
                <w:highlight w:val="none"/>
              </w:rPr>
              <w:t>在生成摘要的过程中，系统会首先分析报告的整体结构和内容，识别出其中的关键部分。例如，系统会关注报告中的结论、主要发现、数据分析结果以及建议等重要信息。对于包含图表和数据的报告，系统会提取图表的关键数据点和趋势，并将其转化为简洁的文字描述。</w:t>
            </w:r>
            <w:r>
              <w:rPr>
                <w:rFonts w:hint="eastAsia" w:cs="宋体"/>
                <w:color w:val="auto"/>
                <w:kern w:val="0"/>
                <w:sz w:val="21"/>
                <w:szCs w:val="21"/>
                <w:highlight w:val="none"/>
              </w:rPr>
              <w:br w:type="textWrapping"/>
            </w:r>
            <w:r>
              <w:rPr>
                <w:rFonts w:hint="eastAsia" w:cs="宋体"/>
                <w:color w:val="auto"/>
                <w:kern w:val="0"/>
                <w:sz w:val="21"/>
                <w:szCs w:val="21"/>
                <w:highlight w:val="none"/>
              </w:rPr>
              <w:t>系统还会根据报告的不同类型和应用场景，调整摘要的侧重点。例如，对于市场分析报告，摘要会突出市场趋势、主要竞争对手分析以及潜在机会；对于风险评估报告，摘要会聚焦于识别的主要风险点、风险等级以及应对措施。这种针对性的摘要方式能够确保用户在阅读摘要时获取到最有价值的信息。</w:t>
            </w:r>
          </w:p>
        </w:tc>
      </w:tr>
      <w:tr w14:paraId="3DFA6AA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927E8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149</w:t>
            </w:r>
          </w:p>
        </w:tc>
        <w:tc>
          <w:tcPr>
            <w:tcW w:w="1250" w:type="pct"/>
            <w:tcBorders>
              <w:top w:val="single" w:color="000000" w:sz="4" w:space="0"/>
              <w:left w:val="nil"/>
              <w:bottom w:val="single" w:color="000000" w:sz="4" w:space="0"/>
              <w:right w:val="single" w:color="000000" w:sz="4" w:space="0"/>
            </w:tcBorders>
            <w:vAlign w:val="center"/>
          </w:tcPr>
          <w:p w14:paraId="7B18858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基于生成式AI的卫生健康数据探查_智能探查中心-报告生成模块-多语言报告生成</w:t>
            </w:r>
          </w:p>
        </w:tc>
        <w:tc>
          <w:tcPr>
            <w:tcW w:w="3125" w:type="pct"/>
            <w:tcBorders>
              <w:top w:val="single" w:color="000000" w:sz="4" w:space="0"/>
              <w:left w:val="nil"/>
              <w:bottom w:val="single" w:color="000000" w:sz="4" w:space="0"/>
              <w:right w:val="single" w:color="000000" w:sz="4" w:space="0"/>
            </w:tcBorders>
            <w:vAlign w:val="center"/>
          </w:tcPr>
          <w:p w14:paraId="76C6A6D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系统提供支持生成多种语言版本的报告功能。系统通过内置的多语言支持模块，能够根据用户的需求，将报告内容翻译成多种语言，确保用户能够以自己熟悉的语言阅读和理解报告内容。</w:t>
            </w:r>
          </w:p>
        </w:tc>
      </w:tr>
      <w:tr w14:paraId="43B1F36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AD9801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150</w:t>
            </w:r>
          </w:p>
        </w:tc>
        <w:tc>
          <w:tcPr>
            <w:tcW w:w="1250" w:type="pct"/>
            <w:tcBorders>
              <w:top w:val="single" w:color="000000" w:sz="4" w:space="0"/>
              <w:left w:val="nil"/>
              <w:bottom w:val="single" w:color="000000" w:sz="4" w:space="0"/>
              <w:right w:val="single" w:color="000000" w:sz="4" w:space="0"/>
            </w:tcBorders>
            <w:vAlign w:val="center"/>
          </w:tcPr>
          <w:p w14:paraId="15132DB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基于生成式AI的卫生健康数据探查_智能探查中心-报告生成模块-闭环反馈优化</w:t>
            </w:r>
          </w:p>
        </w:tc>
        <w:tc>
          <w:tcPr>
            <w:tcW w:w="3125" w:type="pct"/>
            <w:tcBorders>
              <w:top w:val="single" w:color="000000" w:sz="4" w:space="0"/>
              <w:left w:val="nil"/>
              <w:bottom w:val="single" w:color="000000" w:sz="4" w:space="0"/>
              <w:right w:val="single" w:color="000000" w:sz="4" w:space="0"/>
            </w:tcBorders>
            <w:vAlign w:val="center"/>
          </w:tcPr>
          <w:p w14:paraId="1BCDDD5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当探查报告生成完成后，系统会将这份探查报告以及生成这份报告的原始探查需求组合起来，返回给系统的优化模块。这个过程是为了帮助系统更好地改进探查报告模板和探查提示词模板。</w:t>
            </w:r>
            <w:r>
              <w:rPr>
                <w:rFonts w:hint="eastAsia" w:cs="宋体"/>
                <w:color w:val="auto"/>
                <w:kern w:val="0"/>
                <w:sz w:val="21"/>
                <w:szCs w:val="21"/>
                <w:highlight w:val="none"/>
              </w:rPr>
              <w:br w:type="textWrapping"/>
            </w:r>
            <w:r>
              <w:rPr>
                <w:rFonts w:hint="eastAsia" w:cs="宋体"/>
                <w:color w:val="auto"/>
                <w:kern w:val="0"/>
                <w:sz w:val="21"/>
                <w:szCs w:val="21"/>
                <w:highlight w:val="none"/>
              </w:rPr>
              <w:t>系统会将探查报告和对应的探查需求作为一个整体进行分析。探查需求包含了用户最初提出的问题、指定的数据范围、分析目标以及其他相关的信息。这些需求是生成报告的基础，而最终生成的探查报告则是对这些需求的响应和解答。通过将两者组合起来，系统能够清晰地看到用户的需求和系统生成的报告之间的对应关系。</w:t>
            </w:r>
            <w:r>
              <w:rPr>
                <w:rFonts w:hint="eastAsia" w:cs="宋体"/>
                <w:color w:val="auto"/>
                <w:kern w:val="0"/>
                <w:sz w:val="21"/>
                <w:szCs w:val="21"/>
                <w:highlight w:val="none"/>
              </w:rPr>
              <w:br w:type="textWrapping"/>
            </w:r>
            <w:r>
              <w:rPr>
                <w:rFonts w:hint="eastAsia" w:cs="宋体"/>
                <w:color w:val="auto"/>
                <w:kern w:val="0"/>
                <w:sz w:val="21"/>
                <w:szCs w:val="21"/>
                <w:highlight w:val="none"/>
              </w:rPr>
              <w:t>系统还会分析探查提示词模板的有效性。探查提示词模板是用于引导用户更清晰地表达探查需求的工具。系统会检查用户在填写探查需求时是否遇到了困难，比如某些提示词是否不够明确，或者是否存在引导用户输入不相关信息的情况。根据这些分析结果，系统会优化提示词模板，使其更符合用户的实际需求，帮助用户更准确地表达探查意图。</w:t>
            </w:r>
            <w:r>
              <w:rPr>
                <w:rFonts w:hint="eastAsia" w:cs="宋体"/>
                <w:color w:val="auto"/>
                <w:kern w:val="0"/>
                <w:sz w:val="21"/>
                <w:szCs w:val="21"/>
                <w:highlight w:val="none"/>
              </w:rPr>
              <w:br w:type="textWrapping"/>
            </w:r>
            <w:r>
              <w:rPr>
                <w:rFonts w:hint="eastAsia" w:cs="宋体"/>
                <w:color w:val="auto"/>
                <w:kern w:val="0"/>
                <w:sz w:val="21"/>
                <w:szCs w:val="21"/>
                <w:highlight w:val="none"/>
              </w:rPr>
              <w:t>通过这种方式，系统能够不断学习和改进。每次探查报告生成后，系统都会利用这些反馈信息，逐步优化探查报告模板和探查提示词模板。</w:t>
            </w:r>
          </w:p>
        </w:tc>
      </w:tr>
      <w:tr w14:paraId="6235127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CD2ABB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151</w:t>
            </w:r>
          </w:p>
        </w:tc>
        <w:tc>
          <w:tcPr>
            <w:tcW w:w="1250" w:type="pct"/>
            <w:tcBorders>
              <w:top w:val="single" w:color="000000" w:sz="4" w:space="0"/>
              <w:left w:val="nil"/>
              <w:bottom w:val="single" w:color="000000" w:sz="4" w:space="0"/>
              <w:right w:val="single" w:color="000000" w:sz="4" w:space="0"/>
            </w:tcBorders>
            <w:vAlign w:val="center"/>
          </w:tcPr>
          <w:p w14:paraId="5912D01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基于生成式AI的卫生健康数据探查_智能探查中心-报告生成模块-报告版本管理</w:t>
            </w:r>
          </w:p>
        </w:tc>
        <w:tc>
          <w:tcPr>
            <w:tcW w:w="3125" w:type="pct"/>
            <w:tcBorders>
              <w:top w:val="single" w:color="000000" w:sz="4" w:space="0"/>
              <w:left w:val="nil"/>
              <w:bottom w:val="single" w:color="000000" w:sz="4" w:space="0"/>
              <w:right w:val="single" w:color="000000" w:sz="4" w:space="0"/>
            </w:tcBorders>
            <w:vAlign w:val="center"/>
          </w:tcPr>
          <w:p w14:paraId="41C5F42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对报告进行版本管理的功能。每次生成报告时，系统会自动记录与该报告相关的关键信息，包括报告生成的时间、数据来源、分析参数等。这些信息为用户提供了一个清晰的报告历史记录，方便用户在需要时快速了解报告的生成背景和具体内容。</w:t>
            </w:r>
            <w:r>
              <w:rPr>
                <w:rFonts w:hint="eastAsia" w:cs="宋体"/>
                <w:color w:val="auto"/>
                <w:kern w:val="0"/>
                <w:sz w:val="21"/>
                <w:szCs w:val="21"/>
                <w:highlight w:val="none"/>
              </w:rPr>
              <w:br w:type="textWrapping"/>
            </w:r>
            <w:r>
              <w:rPr>
                <w:rFonts w:hint="eastAsia" w:cs="宋体"/>
                <w:color w:val="auto"/>
                <w:kern w:val="0"/>
                <w:sz w:val="21"/>
                <w:szCs w:val="21"/>
                <w:highlight w:val="none"/>
              </w:rPr>
              <w:t>当用户生成一份报告时，系统会在版本管理系统中创建一个对应的记录。首先，系统会记录报告生成的具体时间，包括日期和时间戳。这使得用户能够清楚地知道报告是在何时完成的，便于后续的查阅和对比。</w:t>
            </w:r>
          </w:p>
        </w:tc>
      </w:tr>
      <w:tr w14:paraId="6B0D295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911B7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152</w:t>
            </w:r>
          </w:p>
        </w:tc>
        <w:tc>
          <w:tcPr>
            <w:tcW w:w="1250" w:type="pct"/>
            <w:tcBorders>
              <w:top w:val="single" w:color="000000" w:sz="4" w:space="0"/>
              <w:left w:val="nil"/>
              <w:bottom w:val="single" w:color="000000" w:sz="4" w:space="0"/>
              <w:right w:val="single" w:color="000000" w:sz="4" w:space="0"/>
            </w:tcBorders>
            <w:vAlign w:val="center"/>
          </w:tcPr>
          <w:p w14:paraId="27ABD9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基于生成式AI的卫生健康数据探查_智能探查中心-数据治理模块-随机分层采样</w:t>
            </w:r>
          </w:p>
        </w:tc>
        <w:tc>
          <w:tcPr>
            <w:tcW w:w="3125" w:type="pct"/>
            <w:tcBorders>
              <w:top w:val="single" w:color="000000" w:sz="4" w:space="0"/>
              <w:left w:val="nil"/>
              <w:bottom w:val="single" w:color="000000" w:sz="4" w:space="0"/>
              <w:right w:val="single" w:color="000000" w:sz="4" w:space="0"/>
            </w:tcBorders>
            <w:vAlign w:val="center"/>
          </w:tcPr>
          <w:p w14:paraId="06C2679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依据多个关键维度进行分层采样的功能。这些关键维度包括但不限于疾病种类、患者年龄区间、地域分布等。例如，不同疾病种类的数据可能在病理特征、治疗方法和预后效果上存在显著差异；患者年龄区间也会影响疾病的发生率、治疗反应和健康指标；地域分布则可能涉及不同地区的医疗资源、疾病流行情况和社会经济因素。为了确保数据采样的科学性和有效性，系统支持根据这些关键维度进行分层采样。</w:t>
            </w:r>
          </w:p>
        </w:tc>
      </w:tr>
      <w:tr w14:paraId="45276AF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2F85A8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153</w:t>
            </w:r>
          </w:p>
        </w:tc>
        <w:tc>
          <w:tcPr>
            <w:tcW w:w="1250" w:type="pct"/>
            <w:tcBorders>
              <w:top w:val="single" w:color="000000" w:sz="4" w:space="0"/>
              <w:left w:val="nil"/>
              <w:bottom w:val="single" w:color="000000" w:sz="4" w:space="0"/>
              <w:right w:val="single" w:color="000000" w:sz="4" w:space="0"/>
            </w:tcBorders>
            <w:vAlign w:val="center"/>
          </w:tcPr>
          <w:p w14:paraId="3CB6D2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基于生成式AI的卫生健康数据探查_智能探查中心-数据治理模块-重要性加权采样</w:t>
            </w:r>
          </w:p>
        </w:tc>
        <w:tc>
          <w:tcPr>
            <w:tcW w:w="3125" w:type="pct"/>
            <w:tcBorders>
              <w:top w:val="single" w:color="000000" w:sz="4" w:space="0"/>
              <w:left w:val="nil"/>
              <w:bottom w:val="single" w:color="000000" w:sz="4" w:space="0"/>
              <w:right w:val="single" w:color="000000" w:sz="4" w:space="0"/>
            </w:tcBorders>
            <w:vAlign w:val="center"/>
          </w:tcPr>
          <w:p w14:paraId="4CC88F1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会根据用户分配的权重对数据记录进行排序和筛选。在采样过程中，系统会优先选择权重较高的数据记录，确保这些重要的记录能够被纳入分析样本中。例如，如果用户希望对数据进行抽样分析，系统会按照权重比例随机选择数据记录，使得权重较高的记录有更高的概率被选中。这样可以保证分析样本能够更好地反映用户关注的重点内容，提高分析结果的准确性和实用性。</w:t>
            </w:r>
          </w:p>
        </w:tc>
      </w:tr>
      <w:tr w14:paraId="3F00FFF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4400D6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154</w:t>
            </w:r>
          </w:p>
        </w:tc>
        <w:tc>
          <w:tcPr>
            <w:tcW w:w="1250" w:type="pct"/>
            <w:tcBorders>
              <w:top w:val="single" w:color="000000" w:sz="4" w:space="0"/>
              <w:left w:val="nil"/>
              <w:bottom w:val="single" w:color="000000" w:sz="4" w:space="0"/>
              <w:right w:val="single" w:color="000000" w:sz="4" w:space="0"/>
            </w:tcBorders>
            <w:vAlign w:val="center"/>
          </w:tcPr>
          <w:p w14:paraId="784F09A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基于生成式AI的卫生健康数据探查_智能探查中心-数据治理模块-药物疾病仓库治理</w:t>
            </w:r>
          </w:p>
        </w:tc>
        <w:tc>
          <w:tcPr>
            <w:tcW w:w="3125" w:type="pct"/>
            <w:tcBorders>
              <w:top w:val="single" w:color="000000" w:sz="4" w:space="0"/>
              <w:left w:val="nil"/>
              <w:bottom w:val="single" w:color="000000" w:sz="4" w:space="0"/>
              <w:right w:val="single" w:color="000000" w:sz="4" w:space="0"/>
            </w:tcBorders>
            <w:vAlign w:val="center"/>
          </w:tcPr>
          <w:p w14:paraId="0B3302D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药物研发数据主题仓库的建设内容主要包括数据整合、标准化处理、质量控制和安全管理。将药物研发过程中产生的各类数据，如化合物信息、药理活性数据、临床试验结果、生物标志物等进行集中整合，对整合后的数据进行标准化处理，包括统一数据格式、规范术语使用以及明确数据的存储和调用方式。</w:t>
            </w:r>
          </w:p>
        </w:tc>
      </w:tr>
      <w:tr w14:paraId="0151075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467BAD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155</w:t>
            </w:r>
          </w:p>
        </w:tc>
        <w:tc>
          <w:tcPr>
            <w:tcW w:w="1250" w:type="pct"/>
            <w:tcBorders>
              <w:top w:val="single" w:color="000000" w:sz="4" w:space="0"/>
              <w:left w:val="nil"/>
              <w:bottom w:val="single" w:color="000000" w:sz="4" w:space="0"/>
              <w:right w:val="single" w:color="000000" w:sz="4" w:space="0"/>
            </w:tcBorders>
            <w:vAlign w:val="center"/>
          </w:tcPr>
          <w:p w14:paraId="3A77680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基于生成式AI的卫生健康数据探查_智能探查中心-数据治理模块-临床实验仓库治理</w:t>
            </w:r>
          </w:p>
        </w:tc>
        <w:tc>
          <w:tcPr>
            <w:tcW w:w="3125" w:type="pct"/>
            <w:tcBorders>
              <w:top w:val="single" w:color="000000" w:sz="4" w:space="0"/>
              <w:left w:val="nil"/>
              <w:bottom w:val="single" w:color="000000" w:sz="4" w:space="0"/>
              <w:right w:val="single" w:color="000000" w:sz="4" w:space="0"/>
            </w:tcBorders>
            <w:vAlign w:val="center"/>
          </w:tcPr>
          <w:p w14:paraId="11DDB40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临床实验数据主题仓库的建设内容主要包括数据采集、整合、标准化处理、质量控制以及安全管理，从多个来源采集数据，包括临床试验中心、医院信息系统、研究数据库等，涵盖患者基本信息、试验方案、治疗过程、不良事件记录以及疗效评估等内容。</w:t>
            </w:r>
          </w:p>
        </w:tc>
      </w:tr>
      <w:tr w14:paraId="7C516B7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C93DD1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156</w:t>
            </w:r>
          </w:p>
        </w:tc>
        <w:tc>
          <w:tcPr>
            <w:tcW w:w="1250" w:type="pct"/>
            <w:tcBorders>
              <w:top w:val="single" w:color="000000" w:sz="4" w:space="0"/>
              <w:left w:val="nil"/>
              <w:bottom w:val="single" w:color="000000" w:sz="4" w:space="0"/>
              <w:right w:val="single" w:color="000000" w:sz="4" w:space="0"/>
            </w:tcBorders>
            <w:vAlign w:val="center"/>
          </w:tcPr>
          <w:p w14:paraId="6F967E1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基于生成式AI的卫生健康数据探查_智能探查中心-数据治理模块-保险理赔仓库治理</w:t>
            </w:r>
          </w:p>
        </w:tc>
        <w:tc>
          <w:tcPr>
            <w:tcW w:w="3125" w:type="pct"/>
            <w:tcBorders>
              <w:top w:val="single" w:color="000000" w:sz="4" w:space="0"/>
              <w:left w:val="nil"/>
              <w:bottom w:val="single" w:color="000000" w:sz="4" w:space="0"/>
              <w:right w:val="single" w:color="000000" w:sz="4" w:space="0"/>
            </w:tcBorders>
            <w:vAlign w:val="center"/>
          </w:tcPr>
          <w:p w14:paraId="7B6F6A6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建设保险理赔数据主题仓库，对保险理赔相关的各维度数据进行治理，统一数据标准，保障数据质量。</w:t>
            </w:r>
          </w:p>
        </w:tc>
      </w:tr>
      <w:tr w14:paraId="1BC25E1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A95DA0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157</w:t>
            </w:r>
          </w:p>
        </w:tc>
        <w:tc>
          <w:tcPr>
            <w:tcW w:w="1250" w:type="pct"/>
            <w:tcBorders>
              <w:top w:val="single" w:color="000000" w:sz="4" w:space="0"/>
              <w:left w:val="nil"/>
              <w:bottom w:val="single" w:color="000000" w:sz="4" w:space="0"/>
              <w:right w:val="single" w:color="000000" w:sz="4" w:space="0"/>
            </w:tcBorders>
            <w:vAlign w:val="center"/>
          </w:tcPr>
          <w:p w14:paraId="41D91D5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基于生成式AI的卫生健康数据探查_智能探查中心-数据治理模块-增量采样加速</w:t>
            </w:r>
          </w:p>
        </w:tc>
        <w:tc>
          <w:tcPr>
            <w:tcW w:w="3125" w:type="pct"/>
            <w:tcBorders>
              <w:top w:val="single" w:color="000000" w:sz="4" w:space="0"/>
              <w:left w:val="nil"/>
              <w:bottom w:val="single" w:color="000000" w:sz="4" w:space="0"/>
              <w:right w:val="single" w:color="000000" w:sz="4" w:space="0"/>
            </w:tcBorders>
            <w:vAlign w:val="center"/>
          </w:tcPr>
          <w:p w14:paraId="4148AA8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当新的数据进入平台时，系统会首先识别这些新增数据的特征，例如数据的类型、来源、时间戳以及与已有数据的相关性等。基于这些特征，系统会判断新增数据的重要性以及是否需要纳入采样范围。例如，如果新增数据包含了新的患者信息、新的疾病特征或者新的治疗效果数据，这些数据可能会被认为具有较高的价值，需要被采样并整合到现有样本中。</w:t>
            </w:r>
            <w:r>
              <w:rPr>
                <w:rFonts w:hint="eastAsia" w:cs="宋体"/>
                <w:color w:val="auto"/>
                <w:kern w:val="0"/>
                <w:sz w:val="21"/>
                <w:szCs w:val="21"/>
                <w:highlight w:val="none"/>
              </w:rPr>
              <w:br w:type="textWrapping"/>
            </w:r>
            <w:r>
              <w:rPr>
                <w:rFonts w:hint="eastAsia" w:cs="宋体"/>
                <w:color w:val="auto"/>
                <w:kern w:val="0"/>
                <w:sz w:val="21"/>
                <w:szCs w:val="21"/>
                <w:highlight w:val="none"/>
              </w:rPr>
              <w:t>在增量采样过程中，系统会根据预设的采样策略对新增数据进行采样。这些策略可能包括随机采样、分层采样或基于重要性权重的采样等。例如，对于某些关键的医疗指标数据，系统可能会采用更高频率的采样策略，以确保这些重要信息能够及时反映在样本中。而对于一些相对次要的数据，系统可能会采用较低频率的采样策略，以避免样本过于庞大而影响处理效率。</w:t>
            </w:r>
            <w:r>
              <w:rPr>
                <w:rFonts w:hint="eastAsia" w:cs="宋体"/>
                <w:color w:val="auto"/>
                <w:kern w:val="0"/>
                <w:sz w:val="21"/>
                <w:szCs w:val="21"/>
                <w:highlight w:val="none"/>
              </w:rPr>
              <w:br w:type="textWrapping"/>
            </w:r>
            <w:r>
              <w:rPr>
                <w:rFonts w:hint="eastAsia" w:cs="宋体"/>
                <w:color w:val="auto"/>
                <w:kern w:val="0"/>
                <w:sz w:val="21"/>
                <w:szCs w:val="21"/>
                <w:highlight w:val="none"/>
              </w:rPr>
              <w:t>采样完成后，系统会将新增样本与之前的样本进行整合。整合过程中，系统会确保新旧样本之间的兼容性和一致性。例如，系统会检查数据格式是否统一，数据的统计特性是否保持一致，以及样本的分布是否仍然符合预期的目标分布。</w:t>
            </w:r>
          </w:p>
        </w:tc>
      </w:tr>
      <w:tr w14:paraId="6F4E846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A0BE4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158</w:t>
            </w:r>
          </w:p>
        </w:tc>
        <w:tc>
          <w:tcPr>
            <w:tcW w:w="1250" w:type="pct"/>
            <w:tcBorders>
              <w:top w:val="single" w:color="000000" w:sz="4" w:space="0"/>
              <w:left w:val="nil"/>
              <w:bottom w:val="single" w:color="000000" w:sz="4" w:space="0"/>
              <w:right w:val="single" w:color="000000" w:sz="4" w:space="0"/>
            </w:tcBorders>
            <w:vAlign w:val="center"/>
          </w:tcPr>
          <w:p w14:paraId="53AF569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基于生成式AI的卫生健康数据探查_智能探查中心-数据治理模块-采样验证优化</w:t>
            </w:r>
          </w:p>
        </w:tc>
        <w:tc>
          <w:tcPr>
            <w:tcW w:w="3125" w:type="pct"/>
            <w:tcBorders>
              <w:top w:val="single" w:color="000000" w:sz="4" w:space="0"/>
              <w:left w:val="nil"/>
              <w:bottom w:val="single" w:color="000000" w:sz="4" w:space="0"/>
              <w:right w:val="single" w:color="000000" w:sz="4" w:space="0"/>
            </w:tcBorders>
            <w:vAlign w:val="center"/>
          </w:tcPr>
          <w:p w14:paraId="0898F7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在完成数据采样之后，系统提供对采样结果进行验证的功能。验证的目的是通过对比样本数据与总体数据的统计特征，来评估采样的合理性与有效性。这些统计特征包括但不限于均值、方差、频率分布等。</w:t>
            </w:r>
            <w:r>
              <w:rPr>
                <w:rFonts w:hint="eastAsia" w:cs="宋体"/>
                <w:color w:val="auto"/>
                <w:kern w:val="0"/>
                <w:sz w:val="21"/>
                <w:szCs w:val="21"/>
                <w:highlight w:val="none"/>
              </w:rPr>
              <w:br w:type="textWrapping"/>
            </w:r>
            <w:r>
              <w:rPr>
                <w:rFonts w:hint="eastAsia" w:cs="宋体"/>
                <w:color w:val="auto"/>
                <w:kern w:val="0"/>
                <w:sz w:val="21"/>
                <w:szCs w:val="21"/>
                <w:highlight w:val="none"/>
              </w:rPr>
              <w:t>具体来说，系统会计算采样后的样本数据的均值，也就是样本数据的平均值，然后与总体数据的均值进行对比。如果样本均值与总体均值接近，这通常意味着样本在数值上较好地代表了总体。例如，当分析医疗数据中患者的年龄分布时，样本的平均年龄与总体平均年龄相近，表明样本在年龄这一维度上具有较好的代表性。</w:t>
            </w:r>
          </w:p>
        </w:tc>
      </w:tr>
      <w:tr w14:paraId="4F0A6A3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2398F0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159</w:t>
            </w:r>
          </w:p>
        </w:tc>
        <w:tc>
          <w:tcPr>
            <w:tcW w:w="1250" w:type="pct"/>
            <w:tcBorders>
              <w:top w:val="single" w:color="000000" w:sz="4" w:space="0"/>
              <w:left w:val="nil"/>
              <w:bottom w:val="single" w:color="000000" w:sz="4" w:space="0"/>
              <w:right w:val="single" w:color="000000" w:sz="4" w:space="0"/>
            </w:tcBorders>
            <w:vAlign w:val="center"/>
          </w:tcPr>
          <w:p w14:paraId="6531AB7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基于生成式AI的卫生健康数据探查_智能探查中心-数据隐私模块-数据替换混淆</w:t>
            </w:r>
          </w:p>
        </w:tc>
        <w:tc>
          <w:tcPr>
            <w:tcW w:w="3125" w:type="pct"/>
            <w:tcBorders>
              <w:top w:val="single" w:color="000000" w:sz="4" w:space="0"/>
              <w:left w:val="nil"/>
              <w:bottom w:val="single" w:color="000000" w:sz="4" w:space="0"/>
              <w:right w:val="single" w:color="000000" w:sz="4" w:space="0"/>
            </w:tcBorders>
            <w:vAlign w:val="center"/>
          </w:tcPr>
          <w:p w14:paraId="3D8C6B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对敏感数据进行替换操作的功能。在处理涉及个人隐私的数据时，如患者姓名等，这些信息的直接使用可能会带来隐私泄露的风险。因此，系统通过将这些敏感信息替换为符合特定要求的虚假数据，来确保数据隐私得到保护。</w:t>
            </w:r>
            <w:r>
              <w:rPr>
                <w:rFonts w:hint="eastAsia" w:cs="宋体"/>
                <w:color w:val="auto"/>
                <w:kern w:val="0"/>
                <w:sz w:val="21"/>
                <w:szCs w:val="21"/>
                <w:highlight w:val="none"/>
              </w:rPr>
              <w:br w:type="textWrapping"/>
            </w:r>
            <w:r>
              <w:rPr>
                <w:rFonts w:hint="eastAsia" w:cs="宋体"/>
                <w:color w:val="auto"/>
                <w:kern w:val="0"/>
                <w:sz w:val="21"/>
                <w:szCs w:val="21"/>
                <w:highlight w:val="none"/>
              </w:rPr>
              <w:t>在替换过程中，系统会确保替换后的数据仍然保留了原始数据的业务逻辑和关联性。例如，如果数据集中包含患者的姓名、身份证号和医疗记录，系统在替换姓名和身份证号后，会保证这些虚假标识符与对应的医疗记录保持一致的关联关系。这样，即使数据中的敏感信息被替换，研究人员或数据使用者仍然可以基于这些虚假标识符进行数据的整合和分析。</w:t>
            </w:r>
          </w:p>
        </w:tc>
      </w:tr>
      <w:tr w14:paraId="656A93E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D9A831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160</w:t>
            </w:r>
          </w:p>
        </w:tc>
        <w:tc>
          <w:tcPr>
            <w:tcW w:w="1250" w:type="pct"/>
            <w:tcBorders>
              <w:top w:val="single" w:color="000000" w:sz="4" w:space="0"/>
              <w:left w:val="nil"/>
              <w:bottom w:val="single" w:color="000000" w:sz="4" w:space="0"/>
              <w:right w:val="single" w:color="000000" w:sz="4" w:space="0"/>
            </w:tcBorders>
            <w:vAlign w:val="center"/>
          </w:tcPr>
          <w:p w14:paraId="0BA32C5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基于生成式AI的卫生健康数据探查_智能探查中心-数据隐私模块-数据掩码混淆</w:t>
            </w:r>
          </w:p>
        </w:tc>
        <w:tc>
          <w:tcPr>
            <w:tcW w:w="3125" w:type="pct"/>
            <w:tcBorders>
              <w:top w:val="single" w:color="000000" w:sz="4" w:space="0"/>
              <w:left w:val="nil"/>
              <w:bottom w:val="single" w:color="000000" w:sz="4" w:space="0"/>
              <w:right w:val="single" w:color="000000" w:sz="4" w:space="0"/>
            </w:tcBorders>
            <w:vAlign w:val="center"/>
          </w:tcPr>
          <w:p w14:paraId="0DEA026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采用掩码技术对部分敏感字段进行处理的功能。掩码技术是一种数据脱敏方法，通过将原始数据中的敏感字段映射为其他看似合理但实际上与原始值无关的值，从而在保留数据格式和业务逻辑的同时，确保敏感信息的安全性。</w:t>
            </w:r>
            <w:r>
              <w:rPr>
                <w:rFonts w:hint="eastAsia" w:cs="宋体"/>
                <w:color w:val="auto"/>
                <w:kern w:val="0"/>
                <w:sz w:val="21"/>
                <w:szCs w:val="21"/>
                <w:highlight w:val="none"/>
              </w:rPr>
              <w:br w:type="textWrapping"/>
            </w:r>
            <w:r>
              <w:rPr>
                <w:rFonts w:hint="eastAsia" w:cs="宋体"/>
                <w:color w:val="auto"/>
                <w:kern w:val="0"/>
                <w:sz w:val="21"/>
                <w:szCs w:val="21"/>
                <w:highlight w:val="none"/>
              </w:rPr>
              <w:t>掩码技术的处理方式可以根据不同的敏感字段和业务需求进行定制。例如，对于需要保留部分信息以便进行数据校验或分析的场景，系统可以保留敏感字段的部分原始内容，同时对其他部分进行掩码处理。对于需要完全脱敏的场景，系统可以将整个敏感字段替换为完全无关的值，但仍然保持数据的格式和结构。</w:t>
            </w:r>
            <w:r>
              <w:rPr>
                <w:rFonts w:hint="eastAsia" w:cs="宋体"/>
                <w:color w:val="auto"/>
                <w:kern w:val="0"/>
                <w:sz w:val="21"/>
                <w:szCs w:val="21"/>
                <w:highlight w:val="none"/>
              </w:rPr>
              <w:br w:type="textWrapping"/>
            </w:r>
            <w:r>
              <w:rPr>
                <w:rFonts w:hint="eastAsia" w:cs="宋体"/>
                <w:color w:val="auto"/>
                <w:kern w:val="0"/>
                <w:sz w:val="21"/>
                <w:szCs w:val="21"/>
                <w:highlight w:val="none"/>
              </w:rPr>
              <w:t>在处理过程中，系统会确保掩码后的数据仍然可以用于正常的业务流程和数据分析。例如，即使身份证号被掩码，系统仍然可以识别其格式是否正确，从而不影响数据的验证和处理逻辑。同时，掩码后的数据在存储、传输和共享过程中，能够有效防止敏感信息泄露，降低数据安全风险。</w:t>
            </w:r>
          </w:p>
        </w:tc>
      </w:tr>
      <w:tr w14:paraId="3A9F5F4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4B94CD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161</w:t>
            </w:r>
          </w:p>
        </w:tc>
        <w:tc>
          <w:tcPr>
            <w:tcW w:w="1250" w:type="pct"/>
            <w:tcBorders>
              <w:top w:val="single" w:color="000000" w:sz="4" w:space="0"/>
              <w:left w:val="nil"/>
              <w:bottom w:val="single" w:color="000000" w:sz="4" w:space="0"/>
              <w:right w:val="single" w:color="000000" w:sz="4" w:space="0"/>
            </w:tcBorders>
            <w:vAlign w:val="center"/>
          </w:tcPr>
          <w:p w14:paraId="13C52C2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基于生成式AI的卫生健康数据探查_智能探查中心-数据隐私模块-数值变换混淆</w:t>
            </w:r>
          </w:p>
        </w:tc>
        <w:tc>
          <w:tcPr>
            <w:tcW w:w="3125" w:type="pct"/>
            <w:tcBorders>
              <w:top w:val="single" w:color="000000" w:sz="4" w:space="0"/>
              <w:left w:val="nil"/>
              <w:bottom w:val="single" w:color="000000" w:sz="4" w:space="0"/>
              <w:right w:val="single" w:color="000000" w:sz="4" w:space="0"/>
            </w:tcBorders>
            <w:vAlign w:val="center"/>
          </w:tcPr>
          <w:p w14:paraId="0E3C4E9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运用数学变换方法对这类数据进行混淆的功能。数值型敏感数据，例如医疗费用、患者年龄等，是数据分析中常见的数据类型，但直接使用这些数据可能会导致隐私泄露。因此，通过数学变换方法对这些数据进行处理，可以在不显著改变数据统计特性的情况下，保护数据隐私。</w:t>
            </w:r>
            <w:r>
              <w:rPr>
                <w:rFonts w:hint="eastAsia" w:cs="宋体"/>
                <w:color w:val="auto"/>
                <w:kern w:val="0"/>
                <w:sz w:val="21"/>
                <w:szCs w:val="21"/>
                <w:highlight w:val="none"/>
              </w:rPr>
              <w:br w:type="textWrapping"/>
            </w:r>
            <w:r>
              <w:rPr>
                <w:rFonts w:hint="eastAsia" w:cs="宋体"/>
                <w:color w:val="auto"/>
                <w:kern w:val="0"/>
                <w:sz w:val="21"/>
                <w:szCs w:val="21"/>
                <w:highlight w:val="none"/>
              </w:rPr>
              <w:t>数学变换方法包括多种技术，如加噪、偏移、缩放等。以医疗费用为例，系统可以通过添加一定范围内的随机噪声来混淆原始数据。这种噪声是随机生成的，但其幅度会被控制在一个合理的范围内，以确保数据的整体统计特性（如均值、方差）不发生显著变化。例如，如果原始医疗费用为1000元，系统可能会随机添加一个介于-50元到+50元的噪声值，使得混淆后的费用在950元到1050元之间。这样，虽然单个数据点被混淆，但从整体数据集来看，费用的分布和趋势仍然保持一致。</w:t>
            </w:r>
            <w:r>
              <w:rPr>
                <w:rFonts w:hint="eastAsia" w:cs="宋体"/>
                <w:color w:val="auto"/>
                <w:kern w:val="0"/>
                <w:sz w:val="21"/>
                <w:szCs w:val="21"/>
                <w:highlight w:val="none"/>
              </w:rPr>
              <w:br w:type="textWrapping"/>
            </w:r>
            <w:r>
              <w:rPr>
                <w:rFonts w:hint="eastAsia" w:cs="宋体"/>
                <w:color w:val="auto"/>
                <w:kern w:val="0"/>
                <w:sz w:val="21"/>
                <w:szCs w:val="21"/>
                <w:highlight w:val="none"/>
              </w:rPr>
              <w:t>对于患者年龄这类数据，系统可以采用偏移或缩放的方法进行混淆。偏移是指在原始数据的基础上加上或减去一个固定的数值。例如，将所有患者的年龄统一增加或减少5岁。缩放则是将数据乘以一个固定的系数。例如，将患者的年龄乘以一个接近1的系数（如0.95或1.05）。这些变换方法能够在保护隐私的同时，保留数据的相对大小关系和分布特征。</w:t>
            </w:r>
            <w:r>
              <w:rPr>
                <w:rFonts w:hint="eastAsia" w:cs="宋体"/>
                <w:color w:val="auto"/>
                <w:kern w:val="0"/>
                <w:sz w:val="21"/>
                <w:szCs w:val="21"/>
                <w:highlight w:val="none"/>
              </w:rPr>
              <w:br w:type="textWrapping"/>
            </w:r>
            <w:r>
              <w:rPr>
                <w:rFonts w:hint="eastAsia" w:cs="宋体"/>
                <w:color w:val="auto"/>
                <w:kern w:val="0"/>
                <w:sz w:val="21"/>
                <w:szCs w:val="21"/>
                <w:highlight w:val="none"/>
              </w:rPr>
              <w:t>在实施数学变换时，系统会根据数据的性质和分析需求，选择合适的变换参数。例如，对于需要精确统计分析的数据，系统会选择较小的噪声范围或偏移量，以确保数据的统计特性不受太大影响。而对于主要用于趋势分析的数据，系统可能会选择较大的变换范围，以更好地保护隐私。</w:t>
            </w:r>
          </w:p>
        </w:tc>
      </w:tr>
      <w:tr w14:paraId="35CB995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F16122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162</w:t>
            </w:r>
          </w:p>
        </w:tc>
        <w:tc>
          <w:tcPr>
            <w:tcW w:w="1250" w:type="pct"/>
            <w:tcBorders>
              <w:top w:val="single" w:color="000000" w:sz="4" w:space="0"/>
              <w:left w:val="nil"/>
              <w:bottom w:val="single" w:color="000000" w:sz="4" w:space="0"/>
              <w:right w:val="single" w:color="000000" w:sz="4" w:space="0"/>
            </w:tcBorders>
            <w:vAlign w:val="center"/>
          </w:tcPr>
          <w:p w14:paraId="5CC2942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基于生成式AI的卫生健康数据探查_智能探查中心-数据隐私模块-混淆效果评估</w:t>
            </w:r>
          </w:p>
        </w:tc>
        <w:tc>
          <w:tcPr>
            <w:tcW w:w="3125" w:type="pct"/>
            <w:tcBorders>
              <w:top w:val="single" w:color="000000" w:sz="4" w:space="0"/>
              <w:left w:val="nil"/>
              <w:bottom w:val="single" w:color="000000" w:sz="4" w:space="0"/>
              <w:right w:val="single" w:color="000000" w:sz="4" w:space="0"/>
            </w:tcBorders>
            <w:vAlign w:val="center"/>
          </w:tcPr>
          <w:p w14:paraId="2FBB0C1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在数据混淆后通过模拟数据攻击场景来评估混淆效果的功能。在数据经过混淆处理后，虽然从直观上看隐私得到了保护，但为了验证混淆处理是否真正达到了预期的隐私保护效果，需要通过模拟攻击场景来进行评估。</w:t>
            </w:r>
            <w:r>
              <w:rPr>
                <w:rFonts w:hint="eastAsia" w:cs="宋体"/>
                <w:color w:val="auto"/>
                <w:kern w:val="0"/>
                <w:sz w:val="21"/>
                <w:szCs w:val="21"/>
                <w:highlight w:val="none"/>
              </w:rPr>
              <w:br w:type="textWrapping"/>
            </w:r>
            <w:r>
              <w:rPr>
                <w:rFonts w:hint="eastAsia" w:cs="宋体"/>
                <w:color w:val="auto"/>
                <w:kern w:val="0"/>
                <w:sz w:val="21"/>
                <w:szCs w:val="21"/>
                <w:highlight w:val="none"/>
              </w:rPr>
              <w:t>系统会记录模拟攻击的过程和结果，分析攻击者在不同攻击手段下能够获取的敏感信息量。如果模拟攻击显示攻击者能够轻易地从混淆后的数据中恢复出大量敏感信息，那么说明当前的混淆处理效果不佳，需要进一步优化混淆策略。例如，可能需要调整混淆参数，增加噪声强度，或者采用更复杂的混淆算法。</w:t>
            </w:r>
            <w:r>
              <w:rPr>
                <w:rFonts w:hint="eastAsia" w:cs="宋体"/>
                <w:color w:val="auto"/>
                <w:kern w:val="0"/>
                <w:sz w:val="21"/>
                <w:szCs w:val="21"/>
                <w:highlight w:val="none"/>
              </w:rPr>
              <w:br w:type="textWrapping"/>
            </w:r>
            <w:r>
              <w:rPr>
                <w:rFonts w:hint="eastAsia" w:cs="宋体"/>
                <w:color w:val="auto"/>
                <w:kern w:val="0"/>
                <w:sz w:val="21"/>
                <w:szCs w:val="21"/>
                <w:highlight w:val="none"/>
              </w:rPr>
              <w:t>通过模拟数据攻击场景评估混淆效果，系统能够为用户提供科学的依据，帮助用户判断混淆处理是否达到了预期的隐私保护目标。这种方法不仅能够提前发现潜在的隐私风险，还能为用户提供改进混淆策略的建议，从而确保数据在共享、分析或存储过程中隐私得到充分保护。</w:t>
            </w:r>
          </w:p>
        </w:tc>
      </w:tr>
      <w:tr w14:paraId="2B1E2A7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EC731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163</w:t>
            </w:r>
          </w:p>
        </w:tc>
        <w:tc>
          <w:tcPr>
            <w:tcW w:w="1250" w:type="pct"/>
            <w:tcBorders>
              <w:top w:val="single" w:color="000000" w:sz="4" w:space="0"/>
              <w:left w:val="nil"/>
              <w:bottom w:val="single" w:color="000000" w:sz="4" w:space="0"/>
              <w:right w:val="single" w:color="000000" w:sz="4" w:space="0"/>
            </w:tcBorders>
            <w:vAlign w:val="center"/>
          </w:tcPr>
          <w:p w14:paraId="1AC09F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基于生成式AI的卫生健康数据探查_智能探查中心-数据隐私模块-K匿名化</w:t>
            </w:r>
          </w:p>
        </w:tc>
        <w:tc>
          <w:tcPr>
            <w:tcW w:w="3125" w:type="pct"/>
            <w:tcBorders>
              <w:top w:val="single" w:color="000000" w:sz="4" w:space="0"/>
              <w:left w:val="nil"/>
              <w:bottom w:val="single" w:color="000000" w:sz="4" w:space="0"/>
              <w:right w:val="single" w:color="000000" w:sz="4" w:space="0"/>
            </w:tcBorders>
            <w:vAlign w:val="center"/>
          </w:tcPr>
          <w:p w14:paraId="6ABE8C6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系统提供通过泛化或抑制数据中的敏感信息的功能。任意一条记录至少与K-1条其他记录在特定属性上不可区分，从而防止个体被识别，满足K匿名的隐私保护标准。</w:t>
            </w:r>
            <w:r>
              <w:rPr>
                <w:rFonts w:hint="eastAsia" w:cs="宋体"/>
                <w:color w:val="auto"/>
                <w:kern w:val="0"/>
                <w:sz w:val="21"/>
                <w:szCs w:val="21"/>
                <w:highlight w:val="none"/>
              </w:rPr>
              <w:br w:type="textWrapping"/>
            </w:r>
            <w:r>
              <w:rPr>
                <w:rFonts w:hint="eastAsia" w:cs="宋体"/>
                <w:color w:val="auto"/>
                <w:kern w:val="0"/>
                <w:sz w:val="21"/>
                <w:szCs w:val="21"/>
                <w:highlight w:val="none"/>
              </w:rPr>
              <w:t>系统会根据数据集的特点和隐私保护需求，灵活选择泛化或抑制的方法。例如，对于一些需要保留较多细节信息的属性，系统可能会优先采用泛化方法；而对于一些对隐私影响较大的属性，系统可能会选择抑制。同时，系统会动态调整K值，以平衡隐私保护和数据可用性之间的关系。如果K值过高，可能会导致数据的可用性降低；而K值过低，则可能无法有效保护隐私。</w:t>
            </w:r>
            <w:r>
              <w:rPr>
                <w:rFonts w:hint="eastAsia" w:cs="宋体"/>
                <w:color w:val="auto"/>
                <w:kern w:val="0"/>
                <w:sz w:val="21"/>
                <w:szCs w:val="21"/>
                <w:highlight w:val="none"/>
              </w:rPr>
              <w:br w:type="textWrapping"/>
            </w:r>
            <w:r>
              <w:rPr>
                <w:rFonts w:hint="eastAsia" w:cs="宋体"/>
                <w:color w:val="auto"/>
                <w:kern w:val="0"/>
                <w:sz w:val="21"/>
                <w:szCs w:val="21"/>
                <w:highlight w:val="none"/>
              </w:rPr>
              <w:t>通过泛化或抑制数据中的敏感信息，系统能够确保数据集中任意一条记录在特定属性上至少与K-1条其他记录不可区分。这种方法在保护个体隐私的同时，仍然保留了数据集的整体统计特性和业务逻辑，适用于多种需要共享或发布的数据场景，如医疗数据、人口统计信息等。</w:t>
            </w:r>
          </w:p>
        </w:tc>
      </w:tr>
      <w:tr w14:paraId="4892000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F4FA3D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164</w:t>
            </w:r>
          </w:p>
        </w:tc>
        <w:tc>
          <w:tcPr>
            <w:tcW w:w="1250" w:type="pct"/>
            <w:tcBorders>
              <w:top w:val="single" w:color="000000" w:sz="4" w:space="0"/>
              <w:left w:val="nil"/>
              <w:bottom w:val="single" w:color="000000" w:sz="4" w:space="0"/>
              <w:right w:val="single" w:color="000000" w:sz="4" w:space="0"/>
            </w:tcBorders>
            <w:vAlign w:val="center"/>
          </w:tcPr>
          <w:p w14:paraId="6D4C768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基于生成式AI的卫生健康数据探查_智能探查中心-探查工作空间-我的探查</w:t>
            </w:r>
          </w:p>
        </w:tc>
        <w:tc>
          <w:tcPr>
            <w:tcW w:w="3125" w:type="pct"/>
            <w:tcBorders>
              <w:top w:val="single" w:color="000000" w:sz="4" w:space="0"/>
              <w:left w:val="nil"/>
              <w:bottom w:val="single" w:color="000000" w:sz="4" w:space="0"/>
              <w:right w:val="single" w:color="000000" w:sz="4" w:space="0"/>
            </w:tcBorders>
            <w:vAlign w:val="center"/>
          </w:tcPr>
          <w:p w14:paraId="296CA8B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提供展示用户探查历史记录列表、探查会话明细以及探查审核状态进度跟踪的功能。</w:t>
            </w:r>
            <w:r>
              <w:rPr>
                <w:rFonts w:hint="eastAsia" w:cs="宋体"/>
                <w:color w:val="auto"/>
                <w:kern w:val="0"/>
                <w:sz w:val="21"/>
                <w:szCs w:val="21"/>
                <w:highlight w:val="none"/>
              </w:rPr>
              <w:br w:type="textWrapping"/>
            </w:r>
            <w:r>
              <w:rPr>
                <w:rFonts w:hint="eastAsia" w:cs="宋体"/>
                <w:color w:val="auto"/>
                <w:kern w:val="0"/>
                <w:sz w:val="21"/>
                <w:szCs w:val="21"/>
                <w:highlight w:val="none"/>
              </w:rPr>
              <w:t>系统会展示一个详细的探查历史记录列表。在这个列表中，用户可以看到自己所有提交的探查任务，包括任务的名称、提交时间、任务描述以及最终的探查结果状态。这些信息以清晰的表格形式呈现，方便用户快速浏览和查找特定的探查任务。例如，用户可以通过任务名称或提交时间快速定位到某个特定的探查任务，查看其详细信息。</w:t>
            </w:r>
            <w:r>
              <w:rPr>
                <w:rFonts w:hint="eastAsia" w:cs="宋体"/>
                <w:color w:val="auto"/>
                <w:kern w:val="0"/>
                <w:sz w:val="21"/>
                <w:szCs w:val="21"/>
                <w:highlight w:val="none"/>
              </w:rPr>
              <w:br w:type="textWrapping"/>
            </w:r>
            <w:r>
              <w:rPr>
                <w:rFonts w:hint="eastAsia" w:cs="宋体"/>
                <w:color w:val="auto"/>
                <w:kern w:val="0"/>
                <w:sz w:val="21"/>
                <w:szCs w:val="21"/>
                <w:highlight w:val="none"/>
              </w:rPr>
              <w:t>系统提供探查会话明细的展示。对于每个探查任务，用户可以查看该任务的会话明细，包括在探查过程中与系统交互的详细记录。例如，用户可以看到自己在探查过程中输入的关键信息、系统提供的反馈以及用户对反馈的进一步操作。这些会话明细能够帮助用户回顾探查过程中的每一个步骤，了解探查任务是如何逐步推进的，以及在哪些环节可能需要进一步优化或调整。</w:t>
            </w:r>
            <w:r>
              <w:rPr>
                <w:rFonts w:hint="eastAsia" w:cs="宋体"/>
                <w:color w:val="auto"/>
                <w:kern w:val="0"/>
                <w:sz w:val="21"/>
                <w:szCs w:val="21"/>
                <w:highlight w:val="none"/>
              </w:rPr>
              <w:br w:type="textWrapping"/>
            </w:r>
            <w:r>
              <w:rPr>
                <w:rFonts w:hint="eastAsia" w:cs="宋体"/>
                <w:color w:val="auto"/>
                <w:kern w:val="0"/>
                <w:sz w:val="21"/>
                <w:szCs w:val="21"/>
                <w:highlight w:val="none"/>
              </w:rPr>
              <w:t>系统还提供探查审核状态的进度跟踪功能。对于需要审核的探查任务，用户可以在系统中实时查看任务的审核进度。系统会明确显示任务当前所处的审核阶段，例如“待审核”“审核中”或“审核完成”。如果任务在审核过程中被退回或需要补充信息，系统会及时通知用户，并提供具体的反馈意见。用户可以根据这些反馈意见，快速调整探查任务的内容或补充必要的信息，以便重新提交审核。</w:t>
            </w:r>
            <w:r>
              <w:rPr>
                <w:rFonts w:hint="eastAsia" w:cs="宋体"/>
                <w:color w:val="auto"/>
                <w:kern w:val="0"/>
                <w:sz w:val="21"/>
                <w:szCs w:val="21"/>
                <w:highlight w:val="none"/>
              </w:rPr>
              <w:br w:type="textWrapping"/>
            </w:r>
            <w:r>
              <w:rPr>
                <w:rFonts w:hint="eastAsia" w:cs="宋体"/>
                <w:color w:val="auto"/>
                <w:kern w:val="0"/>
                <w:sz w:val="21"/>
                <w:szCs w:val="21"/>
                <w:highlight w:val="none"/>
              </w:rPr>
              <w:t>探查问题列表</w:t>
            </w:r>
            <w:r>
              <w:rPr>
                <w:rFonts w:hint="eastAsia" w:cs="宋体"/>
                <w:color w:val="auto"/>
                <w:kern w:val="0"/>
                <w:sz w:val="21"/>
                <w:szCs w:val="21"/>
                <w:highlight w:val="none"/>
              </w:rPr>
              <w:br w:type="textWrapping"/>
            </w:r>
            <w:r>
              <w:rPr>
                <w:rFonts w:hint="eastAsia" w:cs="宋体"/>
                <w:color w:val="auto"/>
                <w:kern w:val="0"/>
                <w:sz w:val="21"/>
                <w:szCs w:val="21"/>
                <w:highlight w:val="none"/>
              </w:rPr>
              <w:t>存放用户所有历史探查问题，并按照时间先后顺序进行排列。用户可以在系统中查看自己曾经提交的每一个探查问题，了解问题的具体内容、提交时间以及当时的探查背景。</w:t>
            </w:r>
            <w:r>
              <w:rPr>
                <w:rFonts w:hint="eastAsia" w:cs="宋体"/>
                <w:color w:val="auto"/>
                <w:kern w:val="0"/>
                <w:sz w:val="21"/>
                <w:szCs w:val="21"/>
                <w:highlight w:val="none"/>
              </w:rPr>
              <w:br w:type="textWrapping"/>
            </w:r>
            <w:r>
              <w:rPr>
                <w:rFonts w:hint="eastAsia" w:cs="宋体"/>
                <w:color w:val="auto"/>
                <w:kern w:val="0"/>
                <w:sz w:val="21"/>
                <w:szCs w:val="21"/>
                <w:highlight w:val="none"/>
              </w:rPr>
              <w:t>探查明细</w:t>
            </w:r>
            <w:r>
              <w:rPr>
                <w:rFonts w:hint="eastAsia" w:cs="宋体"/>
                <w:color w:val="auto"/>
                <w:kern w:val="0"/>
                <w:sz w:val="21"/>
                <w:szCs w:val="21"/>
                <w:highlight w:val="none"/>
              </w:rPr>
              <w:br w:type="textWrapping"/>
            </w:r>
            <w:r>
              <w:rPr>
                <w:rFonts w:hint="eastAsia" w:cs="宋体"/>
                <w:color w:val="auto"/>
                <w:kern w:val="0"/>
                <w:sz w:val="21"/>
                <w:szCs w:val="21"/>
                <w:highlight w:val="none"/>
              </w:rPr>
              <w:t>在探查列表中，用户可以展开查看每一次具体的探查问题。展开后的内容包括探查问题的标题、审核状态进度以及探查问题的会话内容。标题展示探查问题的核心内容，审核状态进度则显示了该问题当前的处理情况，例如是否正在审核、审核通过或需要补充信息等。会话内容则记录了用户与系统之间的交互过程，包括用户提出的问题、系统提供的反馈以及用户的进一步操作。</w:t>
            </w:r>
          </w:p>
        </w:tc>
      </w:tr>
      <w:tr w14:paraId="6303C4E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418BEB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165</w:t>
            </w:r>
          </w:p>
        </w:tc>
        <w:tc>
          <w:tcPr>
            <w:tcW w:w="1250" w:type="pct"/>
            <w:tcBorders>
              <w:top w:val="single" w:color="000000" w:sz="4" w:space="0"/>
              <w:left w:val="nil"/>
              <w:bottom w:val="single" w:color="000000" w:sz="4" w:space="0"/>
              <w:right w:val="single" w:color="000000" w:sz="4" w:space="0"/>
            </w:tcBorders>
            <w:vAlign w:val="center"/>
          </w:tcPr>
          <w:p w14:paraId="6458B9E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基于生成式AI的卫生健康数据探查_智能探查中心-探查工作空间-探查报告</w:t>
            </w:r>
          </w:p>
        </w:tc>
        <w:tc>
          <w:tcPr>
            <w:tcW w:w="3125" w:type="pct"/>
            <w:tcBorders>
              <w:top w:val="single" w:color="000000" w:sz="4" w:space="0"/>
              <w:left w:val="nil"/>
              <w:bottom w:val="single" w:color="000000" w:sz="4" w:space="0"/>
              <w:right w:val="single" w:color="000000" w:sz="4" w:space="0"/>
            </w:tcBorders>
            <w:vAlign w:val="center"/>
          </w:tcPr>
          <w:p w14:paraId="3AE0F4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展示用户生成的探查报告列表以及探查报告中具体的图文信息。包括报告的标题、生成时间、关键图表以及文字描述等内容。图表部分以直观的形式呈现数据分析结果，例如柱状图、折线图或饼图等</w:t>
            </w:r>
            <w:r>
              <w:rPr>
                <w:rFonts w:hint="eastAsia" w:cs="宋体"/>
                <w:color w:val="auto"/>
                <w:kern w:val="0"/>
                <w:sz w:val="21"/>
                <w:szCs w:val="21"/>
                <w:highlight w:val="none"/>
              </w:rPr>
              <w:br w:type="textWrapping"/>
            </w:r>
            <w:r>
              <w:rPr>
                <w:rFonts w:hint="eastAsia" w:cs="宋体"/>
                <w:color w:val="auto"/>
                <w:kern w:val="0"/>
                <w:sz w:val="21"/>
                <w:szCs w:val="21"/>
                <w:highlight w:val="none"/>
              </w:rPr>
              <w:t>l探查结果展示</w:t>
            </w:r>
            <w:r>
              <w:rPr>
                <w:rFonts w:hint="eastAsia" w:cs="宋体"/>
                <w:color w:val="auto"/>
                <w:kern w:val="0"/>
                <w:sz w:val="21"/>
                <w:szCs w:val="21"/>
                <w:highlight w:val="none"/>
              </w:rPr>
              <w:br w:type="textWrapping"/>
            </w:r>
            <w:r>
              <w:rPr>
                <w:rFonts w:hint="eastAsia" w:cs="宋体"/>
                <w:color w:val="auto"/>
                <w:kern w:val="0"/>
                <w:sz w:val="21"/>
                <w:szCs w:val="21"/>
                <w:highlight w:val="none"/>
              </w:rPr>
              <w:t>用户可以查看生成的探查报告结果列表，并在需要时展开查看具体的探查报告明细。在结果列表中，每个报告以简洁的形式呈现基本信息，如报告名称、生成时间、主要结论等。当用户点击某个报告展开时，系统会显示该报告的详细内容，包括报告的完整结构、分析过程、数据图表以及最终的结论等。</w:t>
            </w:r>
            <w:r>
              <w:rPr>
                <w:rFonts w:hint="eastAsia" w:cs="宋体"/>
                <w:color w:val="auto"/>
                <w:kern w:val="0"/>
                <w:sz w:val="21"/>
                <w:szCs w:val="21"/>
                <w:highlight w:val="none"/>
              </w:rPr>
              <w:br w:type="textWrapping"/>
            </w:r>
            <w:r>
              <w:rPr>
                <w:rFonts w:hint="eastAsia" w:cs="宋体"/>
                <w:color w:val="auto"/>
                <w:kern w:val="0"/>
                <w:sz w:val="21"/>
                <w:szCs w:val="21"/>
                <w:highlight w:val="none"/>
              </w:rPr>
              <w:t>l探查报告导出</w:t>
            </w:r>
            <w:r>
              <w:rPr>
                <w:rFonts w:hint="eastAsia" w:cs="宋体"/>
                <w:color w:val="auto"/>
                <w:kern w:val="0"/>
                <w:sz w:val="21"/>
                <w:szCs w:val="21"/>
                <w:highlight w:val="none"/>
              </w:rPr>
              <w:br w:type="textWrapping"/>
            </w:r>
            <w:r>
              <w:rPr>
                <w:rFonts w:hint="eastAsia" w:cs="宋体"/>
                <w:color w:val="auto"/>
                <w:kern w:val="0"/>
                <w:sz w:val="21"/>
                <w:szCs w:val="21"/>
                <w:highlight w:val="none"/>
              </w:rPr>
              <w:t>生成完成后的探查报告支持导出为文件形式，例如PDF、Word或Excel等。导出后的文件会完整保留报告中的文字内容、图表以及分析结果的排版格式。</w:t>
            </w:r>
          </w:p>
        </w:tc>
      </w:tr>
      <w:tr w14:paraId="10C56E7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2A59D0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166</w:t>
            </w:r>
          </w:p>
        </w:tc>
        <w:tc>
          <w:tcPr>
            <w:tcW w:w="1250" w:type="pct"/>
            <w:tcBorders>
              <w:top w:val="single" w:color="000000" w:sz="4" w:space="0"/>
              <w:left w:val="nil"/>
              <w:bottom w:val="single" w:color="000000" w:sz="4" w:space="0"/>
              <w:right w:val="single" w:color="000000" w:sz="4" w:space="0"/>
            </w:tcBorders>
            <w:vAlign w:val="center"/>
          </w:tcPr>
          <w:p w14:paraId="4684BCA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基于生成式AI的卫生健康数据探查_审核管理应用-探查功能的审核管理</w:t>
            </w:r>
          </w:p>
        </w:tc>
        <w:tc>
          <w:tcPr>
            <w:tcW w:w="3125" w:type="pct"/>
            <w:tcBorders>
              <w:top w:val="single" w:color="000000" w:sz="4" w:space="0"/>
              <w:left w:val="nil"/>
              <w:bottom w:val="single" w:color="000000" w:sz="4" w:space="0"/>
              <w:right w:val="single" w:color="000000" w:sz="4" w:space="0"/>
            </w:tcBorders>
            <w:vAlign w:val="center"/>
          </w:tcPr>
          <w:p w14:paraId="6D4525B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审核部门的审核人员可以通过系统鉴别申请使用数据探查功能的用户是否属于该功能的适用范围，包括核实用户的身份、确认其是否符合使用权限的标准，以及判断其是否有合理的使用需求。审核人员还能管理已经获得探查权限的用户，包括对权限的分配、调整和撤销。</w:t>
            </w:r>
          </w:p>
        </w:tc>
      </w:tr>
      <w:tr w14:paraId="04C46C2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12ADA7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167</w:t>
            </w:r>
          </w:p>
        </w:tc>
        <w:tc>
          <w:tcPr>
            <w:tcW w:w="1250" w:type="pct"/>
            <w:tcBorders>
              <w:top w:val="single" w:color="000000" w:sz="4" w:space="0"/>
              <w:left w:val="nil"/>
              <w:bottom w:val="single" w:color="000000" w:sz="4" w:space="0"/>
              <w:right w:val="single" w:color="000000" w:sz="4" w:space="0"/>
            </w:tcBorders>
            <w:vAlign w:val="center"/>
          </w:tcPr>
          <w:p w14:paraId="640BD2E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基于生成式AI的卫生健康数据探查_审核管理应用-探查请求的审核管理</w:t>
            </w:r>
          </w:p>
        </w:tc>
        <w:tc>
          <w:tcPr>
            <w:tcW w:w="3125" w:type="pct"/>
            <w:tcBorders>
              <w:top w:val="single" w:color="000000" w:sz="4" w:space="0"/>
              <w:left w:val="nil"/>
              <w:bottom w:val="single" w:color="000000" w:sz="4" w:space="0"/>
              <w:right w:val="single" w:color="000000" w:sz="4" w:space="0"/>
            </w:tcBorders>
            <w:vAlign w:val="center"/>
          </w:tcPr>
          <w:p w14:paraId="34A6F9A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系统支持各级审核人员对提交的数据探查请求进行安全合规审核。审核人员鉴别和管理各种探查需求，判断这些需求是否符合安全和合规要求。只有经过审核并确认符合标准的探查请求，才会被允许进入下一步，即进入数据仓库进行数据查询。</w:t>
            </w:r>
          </w:p>
        </w:tc>
      </w:tr>
      <w:tr w14:paraId="76065D3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E7546D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168</w:t>
            </w:r>
          </w:p>
        </w:tc>
        <w:tc>
          <w:tcPr>
            <w:tcW w:w="1250" w:type="pct"/>
            <w:tcBorders>
              <w:top w:val="single" w:color="000000" w:sz="4" w:space="0"/>
              <w:left w:val="nil"/>
              <w:bottom w:val="single" w:color="000000" w:sz="4" w:space="0"/>
              <w:right w:val="single" w:color="000000" w:sz="4" w:space="0"/>
            </w:tcBorders>
            <w:vAlign w:val="center"/>
          </w:tcPr>
          <w:p w14:paraId="742B94E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基于生成式AI的卫生健康数据探查_运维管理应用-流程管理</w:t>
            </w:r>
          </w:p>
        </w:tc>
        <w:tc>
          <w:tcPr>
            <w:tcW w:w="3125" w:type="pct"/>
            <w:tcBorders>
              <w:top w:val="single" w:color="000000" w:sz="4" w:space="0"/>
              <w:left w:val="nil"/>
              <w:bottom w:val="single" w:color="000000" w:sz="4" w:space="0"/>
              <w:right w:val="single" w:color="000000" w:sz="4" w:space="0"/>
            </w:tcBorders>
            <w:vAlign w:val="center"/>
          </w:tcPr>
          <w:p w14:paraId="46FD147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提供对模型参数的配置调整、工作流的可视化编排、提示词模板的管理、智能体的开发调试。</w:t>
            </w:r>
          </w:p>
        </w:tc>
      </w:tr>
      <w:tr w14:paraId="770A200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D32CDD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169</w:t>
            </w:r>
          </w:p>
        </w:tc>
        <w:tc>
          <w:tcPr>
            <w:tcW w:w="1250" w:type="pct"/>
            <w:tcBorders>
              <w:top w:val="single" w:color="000000" w:sz="4" w:space="0"/>
              <w:left w:val="nil"/>
              <w:bottom w:val="single" w:color="000000" w:sz="4" w:space="0"/>
              <w:right w:val="single" w:color="000000" w:sz="4" w:space="0"/>
            </w:tcBorders>
            <w:vAlign w:val="center"/>
          </w:tcPr>
          <w:p w14:paraId="51106AD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基于生成式AI的卫生健康数据探查_运维管理应用-数据同步</w:t>
            </w:r>
          </w:p>
        </w:tc>
        <w:tc>
          <w:tcPr>
            <w:tcW w:w="3125" w:type="pct"/>
            <w:tcBorders>
              <w:top w:val="single" w:color="000000" w:sz="4" w:space="0"/>
              <w:left w:val="nil"/>
              <w:bottom w:val="single" w:color="000000" w:sz="4" w:space="0"/>
              <w:right w:val="single" w:color="000000" w:sz="4" w:space="0"/>
            </w:tcBorders>
            <w:vAlign w:val="center"/>
          </w:tcPr>
          <w:p w14:paraId="7DDF353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同步功能覆盖了项目涉及的所有业务数据。这些数据包括患者信息、诊疗记录、影像数据等关键内容。缓则信息涉及患者的基本情况和治疗计划，诊疗记录包含患者的诊断和治疗过程，影像数据则包括患者的X光、CT、MRI等检查图像。</w:t>
            </w:r>
          </w:p>
        </w:tc>
      </w:tr>
      <w:tr w14:paraId="126E54C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A7C8A3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170</w:t>
            </w:r>
          </w:p>
        </w:tc>
        <w:tc>
          <w:tcPr>
            <w:tcW w:w="1250" w:type="pct"/>
            <w:tcBorders>
              <w:top w:val="single" w:color="000000" w:sz="4" w:space="0"/>
              <w:left w:val="nil"/>
              <w:bottom w:val="single" w:color="000000" w:sz="4" w:space="0"/>
              <w:right w:val="single" w:color="000000" w:sz="4" w:space="0"/>
            </w:tcBorders>
            <w:vAlign w:val="center"/>
          </w:tcPr>
          <w:p w14:paraId="76CFEE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基于生成式AI的卫生健康数据探查_运维管理应用-系统配置</w:t>
            </w:r>
          </w:p>
        </w:tc>
        <w:tc>
          <w:tcPr>
            <w:tcW w:w="3125" w:type="pct"/>
            <w:tcBorders>
              <w:top w:val="single" w:color="000000" w:sz="4" w:space="0"/>
              <w:left w:val="nil"/>
              <w:bottom w:val="single" w:color="000000" w:sz="4" w:space="0"/>
              <w:right w:val="single" w:color="000000" w:sz="4" w:space="0"/>
            </w:tcBorders>
            <w:vAlign w:val="center"/>
          </w:tcPr>
          <w:p w14:paraId="220AC68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包括用户、角色、权限及日志管理</w:t>
            </w:r>
          </w:p>
        </w:tc>
      </w:tr>
      <w:tr w14:paraId="283B71A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DB6165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171</w:t>
            </w:r>
          </w:p>
        </w:tc>
        <w:tc>
          <w:tcPr>
            <w:tcW w:w="1250" w:type="pct"/>
            <w:tcBorders>
              <w:top w:val="single" w:color="000000" w:sz="4" w:space="0"/>
              <w:left w:val="nil"/>
              <w:bottom w:val="single" w:color="000000" w:sz="4" w:space="0"/>
              <w:right w:val="single" w:color="000000" w:sz="4" w:space="0"/>
            </w:tcBorders>
            <w:vAlign w:val="center"/>
          </w:tcPr>
          <w:p w14:paraId="3D83606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基于区块链的专病库语料数据上链试点_专病数据汇集-市一医院重症肺炎队列、骨肿瘤队列、冠心病患者负荷心脏CTP专病数据汇集</w:t>
            </w:r>
          </w:p>
        </w:tc>
        <w:tc>
          <w:tcPr>
            <w:tcW w:w="3125" w:type="pct"/>
            <w:tcBorders>
              <w:top w:val="single" w:color="000000" w:sz="4" w:space="0"/>
              <w:left w:val="nil"/>
              <w:bottom w:val="single" w:color="000000" w:sz="4" w:space="0"/>
              <w:right w:val="single" w:color="000000" w:sz="4" w:space="0"/>
            </w:tcBorders>
            <w:vAlign w:val="center"/>
          </w:tcPr>
          <w:p w14:paraId="7416C2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66D2729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B8435B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172</w:t>
            </w:r>
          </w:p>
        </w:tc>
        <w:tc>
          <w:tcPr>
            <w:tcW w:w="1250" w:type="pct"/>
            <w:tcBorders>
              <w:top w:val="single" w:color="000000" w:sz="4" w:space="0"/>
              <w:left w:val="nil"/>
              <w:bottom w:val="single" w:color="000000" w:sz="4" w:space="0"/>
              <w:right w:val="single" w:color="000000" w:sz="4" w:space="0"/>
            </w:tcBorders>
            <w:vAlign w:val="center"/>
          </w:tcPr>
          <w:p w14:paraId="6A0E693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基于区块链的专病库语料数据上链试点_专病数据汇集-华山医院脑肿瘤专病数据汇集</w:t>
            </w:r>
          </w:p>
        </w:tc>
        <w:tc>
          <w:tcPr>
            <w:tcW w:w="3125" w:type="pct"/>
            <w:tcBorders>
              <w:top w:val="single" w:color="000000" w:sz="4" w:space="0"/>
              <w:left w:val="nil"/>
              <w:bottom w:val="single" w:color="000000" w:sz="4" w:space="0"/>
              <w:right w:val="single" w:color="000000" w:sz="4" w:space="0"/>
            </w:tcBorders>
            <w:vAlign w:val="center"/>
          </w:tcPr>
          <w:p w14:paraId="45E7C08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3C14F10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283838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173</w:t>
            </w:r>
          </w:p>
        </w:tc>
        <w:tc>
          <w:tcPr>
            <w:tcW w:w="1250" w:type="pct"/>
            <w:tcBorders>
              <w:top w:val="single" w:color="000000" w:sz="4" w:space="0"/>
              <w:left w:val="nil"/>
              <w:bottom w:val="single" w:color="000000" w:sz="4" w:space="0"/>
              <w:right w:val="single" w:color="000000" w:sz="4" w:space="0"/>
            </w:tcBorders>
            <w:vAlign w:val="center"/>
          </w:tcPr>
          <w:p w14:paraId="7A5A40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基于区块链的专病库语料数据上链试点_专病数据汇集-瑞金医院脑肿瘤专病数据汇集</w:t>
            </w:r>
          </w:p>
        </w:tc>
        <w:tc>
          <w:tcPr>
            <w:tcW w:w="3125" w:type="pct"/>
            <w:tcBorders>
              <w:top w:val="single" w:color="000000" w:sz="4" w:space="0"/>
              <w:left w:val="nil"/>
              <w:bottom w:val="single" w:color="000000" w:sz="4" w:space="0"/>
              <w:right w:val="single" w:color="000000" w:sz="4" w:space="0"/>
            </w:tcBorders>
            <w:vAlign w:val="center"/>
          </w:tcPr>
          <w:p w14:paraId="735C6ED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61FD0A8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6F083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174</w:t>
            </w:r>
          </w:p>
        </w:tc>
        <w:tc>
          <w:tcPr>
            <w:tcW w:w="1250" w:type="pct"/>
            <w:tcBorders>
              <w:top w:val="single" w:color="000000" w:sz="4" w:space="0"/>
              <w:left w:val="nil"/>
              <w:bottom w:val="single" w:color="000000" w:sz="4" w:space="0"/>
              <w:right w:val="single" w:color="000000" w:sz="4" w:space="0"/>
            </w:tcBorders>
            <w:vAlign w:val="center"/>
          </w:tcPr>
          <w:p w14:paraId="609BC13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基于区块链的专病库语料数据上链试点_专病数据汇集-仁济脑肿瘤专病数据汇集</w:t>
            </w:r>
          </w:p>
        </w:tc>
        <w:tc>
          <w:tcPr>
            <w:tcW w:w="3125" w:type="pct"/>
            <w:tcBorders>
              <w:top w:val="single" w:color="000000" w:sz="4" w:space="0"/>
              <w:left w:val="nil"/>
              <w:bottom w:val="single" w:color="000000" w:sz="4" w:space="0"/>
              <w:right w:val="single" w:color="000000" w:sz="4" w:space="0"/>
            </w:tcBorders>
            <w:vAlign w:val="center"/>
          </w:tcPr>
          <w:p w14:paraId="524FFF2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331FF26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38AE60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175</w:t>
            </w:r>
          </w:p>
        </w:tc>
        <w:tc>
          <w:tcPr>
            <w:tcW w:w="1250" w:type="pct"/>
            <w:tcBorders>
              <w:top w:val="single" w:color="000000" w:sz="4" w:space="0"/>
              <w:left w:val="nil"/>
              <w:bottom w:val="single" w:color="000000" w:sz="4" w:space="0"/>
              <w:right w:val="single" w:color="000000" w:sz="4" w:space="0"/>
            </w:tcBorders>
            <w:vAlign w:val="center"/>
          </w:tcPr>
          <w:p w14:paraId="42A8028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基于区块链的专病库语料数据上链试点_专病数据汇集-新华医院脑肿瘤专病数据汇集</w:t>
            </w:r>
          </w:p>
        </w:tc>
        <w:tc>
          <w:tcPr>
            <w:tcW w:w="3125" w:type="pct"/>
            <w:tcBorders>
              <w:top w:val="single" w:color="000000" w:sz="4" w:space="0"/>
              <w:left w:val="nil"/>
              <w:bottom w:val="single" w:color="000000" w:sz="4" w:space="0"/>
              <w:right w:val="single" w:color="000000" w:sz="4" w:space="0"/>
            </w:tcBorders>
            <w:vAlign w:val="center"/>
          </w:tcPr>
          <w:p w14:paraId="42758FF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586AEAE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BA362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176</w:t>
            </w:r>
          </w:p>
        </w:tc>
        <w:tc>
          <w:tcPr>
            <w:tcW w:w="1250" w:type="pct"/>
            <w:tcBorders>
              <w:top w:val="single" w:color="000000" w:sz="4" w:space="0"/>
              <w:left w:val="nil"/>
              <w:bottom w:val="single" w:color="000000" w:sz="4" w:space="0"/>
              <w:right w:val="single" w:color="000000" w:sz="4" w:space="0"/>
            </w:tcBorders>
            <w:vAlign w:val="center"/>
          </w:tcPr>
          <w:p w14:paraId="75F9ABB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基于区块链的专病库语料数据上链试点_专病数据汇集-儿童医院脑肿瘤专病数据汇集</w:t>
            </w:r>
          </w:p>
        </w:tc>
        <w:tc>
          <w:tcPr>
            <w:tcW w:w="3125" w:type="pct"/>
            <w:tcBorders>
              <w:top w:val="single" w:color="000000" w:sz="4" w:space="0"/>
              <w:left w:val="nil"/>
              <w:bottom w:val="single" w:color="000000" w:sz="4" w:space="0"/>
              <w:right w:val="single" w:color="000000" w:sz="4" w:space="0"/>
            </w:tcBorders>
            <w:vAlign w:val="center"/>
          </w:tcPr>
          <w:p w14:paraId="063C754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511A710D">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8C23A7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177</w:t>
            </w:r>
          </w:p>
        </w:tc>
        <w:tc>
          <w:tcPr>
            <w:tcW w:w="1250" w:type="pct"/>
            <w:tcBorders>
              <w:top w:val="single" w:color="000000" w:sz="4" w:space="0"/>
              <w:left w:val="nil"/>
              <w:bottom w:val="single" w:color="000000" w:sz="4" w:space="0"/>
              <w:right w:val="single" w:color="000000" w:sz="4" w:space="0"/>
            </w:tcBorders>
            <w:vAlign w:val="center"/>
          </w:tcPr>
          <w:p w14:paraId="6E48E66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基于区块链的专病库语料数据上链试点_专病数据汇集-儿科医院脑肿瘤专病数据汇集</w:t>
            </w:r>
          </w:p>
        </w:tc>
        <w:tc>
          <w:tcPr>
            <w:tcW w:w="3125" w:type="pct"/>
            <w:tcBorders>
              <w:top w:val="single" w:color="000000" w:sz="4" w:space="0"/>
              <w:left w:val="nil"/>
              <w:bottom w:val="single" w:color="000000" w:sz="4" w:space="0"/>
              <w:right w:val="single" w:color="000000" w:sz="4" w:space="0"/>
            </w:tcBorders>
            <w:vAlign w:val="center"/>
          </w:tcPr>
          <w:p w14:paraId="7DBCDA9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汇集专病档案原始数据,汇集范围全面覆盖临床诊疗全流程数据要素，结构化数据具体包括：患者基础信息（含姓名、性别等加密字段）医学检查报告（影像诊断结论、病理分型）、住院电子病历（入院记录、病程记录）、手术麻醉记录（术式名称、麻醉方式）等六大类核心临床数据集。</w:t>
            </w:r>
            <w:r>
              <w:rPr>
                <w:rFonts w:hint="eastAsia" w:cs="宋体"/>
                <w:color w:val="auto"/>
                <w:kern w:val="0"/>
                <w:sz w:val="21"/>
                <w:szCs w:val="21"/>
                <w:highlight w:val="none"/>
              </w:rPr>
              <w:br w:type="textWrapping"/>
            </w:r>
            <w:r>
              <w:rPr>
                <w:rFonts w:hint="eastAsia" w:cs="宋体"/>
                <w:color w:val="auto"/>
                <w:kern w:val="0"/>
                <w:sz w:val="21"/>
                <w:szCs w:val="21"/>
                <w:highlight w:val="none"/>
              </w:rPr>
              <w:t>建立分级存储管理体系，对接收的专病数据实施分类归档。按照数据类型（结构化/非结构化）、病种分类（如重症肺炎、骨肿瘤等）建立三级数据目录索引。</w:t>
            </w:r>
          </w:p>
        </w:tc>
      </w:tr>
      <w:tr w14:paraId="190B503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E6FE15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178</w:t>
            </w:r>
          </w:p>
        </w:tc>
        <w:tc>
          <w:tcPr>
            <w:tcW w:w="1250" w:type="pct"/>
            <w:tcBorders>
              <w:top w:val="single" w:color="000000" w:sz="4" w:space="0"/>
              <w:left w:val="nil"/>
              <w:bottom w:val="single" w:color="000000" w:sz="4" w:space="0"/>
              <w:right w:val="single" w:color="000000" w:sz="4" w:space="0"/>
            </w:tcBorders>
            <w:vAlign w:val="center"/>
          </w:tcPr>
          <w:p w14:paraId="25252D8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基于区块链的专病库语料数据上链试点_专病数据文件处理-7家医院结构化数据脱敏规则配置</w:t>
            </w:r>
          </w:p>
        </w:tc>
        <w:tc>
          <w:tcPr>
            <w:tcW w:w="3125" w:type="pct"/>
            <w:tcBorders>
              <w:top w:val="single" w:color="000000" w:sz="4" w:space="0"/>
              <w:left w:val="nil"/>
              <w:bottom w:val="single" w:color="000000" w:sz="4" w:space="0"/>
              <w:right w:val="single" w:color="000000" w:sz="4" w:space="0"/>
            </w:tcBorders>
            <w:vAlign w:val="center"/>
          </w:tcPr>
          <w:p w14:paraId="1E50B3B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配置专病结构化数据脱敏规则。</w:t>
            </w:r>
          </w:p>
        </w:tc>
      </w:tr>
      <w:tr w14:paraId="246B3C1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2122F6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179</w:t>
            </w:r>
          </w:p>
        </w:tc>
        <w:tc>
          <w:tcPr>
            <w:tcW w:w="1250" w:type="pct"/>
            <w:tcBorders>
              <w:top w:val="single" w:color="000000" w:sz="4" w:space="0"/>
              <w:left w:val="nil"/>
              <w:bottom w:val="single" w:color="000000" w:sz="4" w:space="0"/>
              <w:right w:val="single" w:color="000000" w:sz="4" w:space="0"/>
            </w:tcBorders>
            <w:vAlign w:val="center"/>
          </w:tcPr>
          <w:p w14:paraId="6EB1EDF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基于区块链的专病库语料数据上链试点_专病数据文件处理-市一医院重症肺炎队列、骨肿瘤队列、冠心病患者负荷心脏CTP结构化数据脱敏处理</w:t>
            </w:r>
          </w:p>
        </w:tc>
        <w:tc>
          <w:tcPr>
            <w:tcW w:w="3125" w:type="pct"/>
            <w:tcBorders>
              <w:top w:val="single" w:color="000000" w:sz="4" w:space="0"/>
              <w:left w:val="nil"/>
              <w:bottom w:val="single" w:color="000000" w:sz="4" w:space="0"/>
              <w:right w:val="single" w:color="000000" w:sz="4" w:space="0"/>
            </w:tcBorders>
            <w:vAlign w:val="center"/>
          </w:tcPr>
          <w:p w14:paraId="3B0406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43AD6E7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0EDD32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180</w:t>
            </w:r>
          </w:p>
        </w:tc>
        <w:tc>
          <w:tcPr>
            <w:tcW w:w="1250" w:type="pct"/>
            <w:tcBorders>
              <w:top w:val="single" w:color="000000" w:sz="4" w:space="0"/>
              <w:left w:val="nil"/>
              <w:bottom w:val="single" w:color="000000" w:sz="4" w:space="0"/>
              <w:right w:val="single" w:color="000000" w:sz="4" w:space="0"/>
            </w:tcBorders>
            <w:vAlign w:val="center"/>
          </w:tcPr>
          <w:p w14:paraId="7EC9E5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基于区块链的专病库语料数据上链试点_专病数据文件处理-华山医院脑肿瘤结构化数据脱敏处理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22697B5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00A3CA8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F742F2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181</w:t>
            </w:r>
          </w:p>
        </w:tc>
        <w:tc>
          <w:tcPr>
            <w:tcW w:w="1250" w:type="pct"/>
            <w:tcBorders>
              <w:top w:val="single" w:color="000000" w:sz="4" w:space="0"/>
              <w:left w:val="nil"/>
              <w:bottom w:val="single" w:color="000000" w:sz="4" w:space="0"/>
              <w:right w:val="single" w:color="000000" w:sz="4" w:space="0"/>
            </w:tcBorders>
            <w:vAlign w:val="center"/>
          </w:tcPr>
          <w:p w14:paraId="574226D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基于区块链的专病库语料数据上链试点_专病数据文件处理-瑞金医院脑肿瘤结构化数据脱敏处理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1FD9C69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4556AE5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69D37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182</w:t>
            </w:r>
          </w:p>
        </w:tc>
        <w:tc>
          <w:tcPr>
            <w:tcW w:w="1250" w:type="pct"/>
            <w:tcBorders>
              <w:top w:val="single" w:color="000000" w:sz="4" w:space="0"/>
              <w:left w:val="nil"/>
              <w:bottom w:val="single" w:color="000000" w:sz="4" w:space="0"/>
              <w:right w:val="single" w:color="000000" w:sz="4" w:space="0"/>
            </w:tcBorders>
            <w:vAlign w:val="center"/>
          </w:tcPr>
          <w:p w14:paraId="7860FB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基于区块链的专病库语料数据上链试点_专病数据文件处理-仁济医院脑肿瘤结构化数据脱敏处理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3B9B068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0EE03E8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96AB05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183</w:t>
            </w:r>
          </w:p>
        </w:tc>
        <w:tc>
          <w:tcPr>
            <w:tcW w:w="1250" w:type="pct"/>
            <w:tcBorders>
              <w:top w:val="single" w:color="000000" w:sz="4" w:space="0"/>
              <w:left w:val="nil"/>
              <w:bottom w:val="single" w:color="000000" w:sz="4" w:space="0"/>
              <w:right w:val="single" w:color="000000" w:sz="4" w:space="0"/>
            </w:tcBorders>
            <w:vAlign w:val="center"/>
          </w:tcPr>
          <w:p w14:paraId="7CFB118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基于区块链的专病库语料数据上链试点_专病数据文件处理-新华医院脑肿瘤结构化数据脱敏处理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46DC5C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75EC6D6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BCA5FC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184</w:t>
            </w:r>
          </w:p>
        </w:tc>
        <w:tc>
          <w:tcPr>
            <w:tcW w:w="1250" w:type="pct"/>
            <w:tcBorders>
              <w:top w:val="single" w:color="000000" w:sz="4" w:space="0"/>
              <w:left w:val="nil"/>
              <w:bottom w:val="single" w:color="000000" w:sz="4" w:space="0"/>
              <w:right w:val="single" w:color="000000" w:sz="4" w:space="0"/>
            </w:tcBorders>
            <w:vAlign w:val="center"/>
          </w:tcPr>
          <w:p w14:paraId="2DCA619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基于区块链的专病库语料数据上链试点_专病数据文件处理-儿童医院脑肿瘤结构化数据脱敏处理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480EAC1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75810E39">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2D149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185</w:t>
            </w:r>
          </w:p>
        </w:tc>
        <w:tc>
          <w:tcPr>
            <w:tcW w:w="1250" w:type="pct"/>
            <w:tcBorders>
              <w:top w:val="single" w:color="000000" w:sz="4" w:space="0"/>
              <w:left w:val="nil"/>
              <w:bottom w:val="single" w:color="000000" w:sz="4" w:space="0"/>
              <w:right w:val="single" w:color="000000" w:sz="4" w:space="0"/>
            </w:tcBorders>
            <w:vAlign w:val="center"/>
          </w:tcPr>
          <w:p w14:paraId="7E7B52C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基于区块链的专病库语料数据上链试点_专病数据文件处理-儿科医院脑肿瘤结构化数据脱敏处理</w:t>
            </w:r>
          </w:p>
        </w:tc>
        <w:tc>
          <w:tcPr>
            <w:tcW w:w="3125" w:type="pct"/>
            <w:tcBorders>
              <w:top w:val="single" w:color="000000" w:sz="4" w:space="0"/>
              <w:left w:val="nil"/>
              <w:bottom w:val="single" w:color="000000" w:sz="4" w:space="0"/>
              <w:right w:val="single" w:color="000000" w:sz="4" w:space="0"/>
            </w:tcBorders>
            <w:vAlign w:val="center"/>
          </w:tcPr>
          <w:p w14:paraId="5C243E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对专病结构化数据中的个人隐私信息字段进行脱敏处理，支持加密、清除、替换等处理方式。脱敏前后的数据独立存储，且保留脱敏记录。</w:t>
            </w:r>
          </w:p>
        </w:tc>
      </w:tr>
      <w:tr w14:paraId="106BCB9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30BA0D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186</w:t>
            </w:r>
          </w:p>
        </w:tc>
        <w:tc>
          <w:tcPr>
            <w:tcW w:w="1250" w:type="pct"/>
            <w:tcBorders>
              <w:top w:val="single" w:color="000000" w:sz="4" w:space="0"/>
              <w:left w:val="nil"/>
              <w:bottom w:val="single" w:color="000000" w:sz="4" w:space="0"/>
              <w:right w:val="single" w:color="000000" w:sz="4" w:space="0"/>
            </w:tcBorders>
            <w:vAlign w:val="center"/>
          </w:tcPr>
          <w:p w14:paraId="2025FC9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基于区块链的专病库语料数据上链试点_专病数据文件处理-7家医院原始数据项与XML标签映射关系管理</w:t>
            </w:r>
          </w:p>
        </w:tc>
        <w:tc>
          <w:tcPr>
            <w:tcW w:w="3125" w:type="pct"/>
            <w:tcBorders>
              <w:top w:val="single" w:color="000000" w:sz="4" w:space="0"/>
              <w:left w:val="nil"/>
              <w:bottom w:val="single" w:color="000000" w:sz="4" w:space="0"/>
              <w:right w:val="single" w:color="000000" w:sz="4" w:space="0"/>
            </w:tcBorders>
            <w:vAlign w:val="center"/>
          </w:tcPr>
          <w:p w14:paraId="6C583EB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支持数据标准化和一致性，建立原始数据项与XML标签映射规则。</w:t>
            </w:r>
          </w:p>
        </w:tc>
      </w:tr>
      <w:tr w14:paraId="2024FE3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26E9F0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187</w:t>
            </w:r>
          </w:p>
        </w:tc>
        <w:tc>
          <w:tcPr>
            <w:tcW w:w="1250" w:type="pct"/>
            <w:tcBorders>
              <w:top w:val="single" w:color="000000" w:sz="4" w:space="0"/>
              <w:left w:val="nil"/>
              <w:bottom w:val="single" w:color="000000" w:sz="4" w:space="0"/>
              <w:right w:val="single" w:color="000000" w:sz="4" w:space="0"/>
            </w:tcBorders>
            <w:vAlign w:val="center"/>
          </w:tcPr>
          <w:p w14:paraId="38D6847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基于区块链的专病库语料数据上链试点_专病数据文件处理-市一医院生成专病数据档案XML文件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18A57FD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2692170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63971E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188</w:t>
            </w:r>
          </w:p>
        </w:tc>
        <w:tc>
          <w:tcPr>
            <w:tcW w:w="1250" w:type="pct"/>
            <w:tcBorders>
              <w:top w:val="single" w:color="000000" w:sz="4" w:space="0"/>
              <w:left w:val="nil"/>
              <w:bottom w:val="single" w:color="000000" w:sz="4" w:space="0"/>
              <w:right w:val="single" w:color="000000" w:sz="4" w:space="0"/>
            </w:tcBorders>
            <w:vAlign w:val="center"/>
          </w:tcPr>
          <w:p w14:paraId="24D3704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基于区块链的专病库语料数据上链试点_专病数据文件处理-华山医院生成专病数据档案XML文件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5E881B7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7001B50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D8ADC0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189</w:t>
            </w:r>
          </w:p>
        </w:tc>
        <w:tc>
          <w:tcPr>
            <w:tcW w:w="1250" w:type="pct"/>
            <w:tcBorders>
              <w:top w:val="single" w:color="000000" w:sz="4" w:space="0"/>
              <w:left w:val="nil"/>
              <w:bottom w:val="single" w:color="000000" w:sz="4" w:space="0"/>
              <w:right w:val="single" w:color="000000" w:sz="4" w:space="0"/>
            </w:tcBorders>
            <w:vAlign w:val="center"/>
          </w:tcPr>
          <w:p w14:paraId="6328135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基于区块链的专病库语料数据上链试点_专病数据文件处理-瑞金医院生成专病数据档案XML文件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137AFB2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601D639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C8A875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190</w:t>
            </w:r>
          </w:p>
        </w:tc>
        <w:tc>
          <w:tcPr>
            <w:tcW w:w="1250" w:type="pct"/>
            <w:tcBorders>
              <w:top w:val="single" w:color="000000" w:sz="4" w:space="0"/>
              <w:left w:val="nil"/>
              <w:bottom w:val="single" w:color="000000" w:sz="4" w:space="0"/>
              <w:right w:val="single" w:color="000000" w:sz="4" w:space="0"/>
            </w:tcBorders>
            <w:vAlign w:val="center"/>
          </w:tcPr>
          <w:p w14:paraId="3975E3B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基于区块链的专病库语料数据上链试点_专病数据文件处理-仁济医院生成专病数据档案XML文件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7AAD297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0E231BC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283A20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191</w:t>
            </w:r>
          </w:p>
        </w:tc>
        <w:tc>
          <w:tcPr>
            <w:tcW w:w="1250" w:type="pct"/>
            <w:tcBorders>
              <w:top w:val="single" w:color="000000" w:sz="4" w:space="0"/>
              <w:left w:val="nil"/>
              <w:bottom w:val="single" w:color="000000" w:sz="4" w:space="0"/>
              <w:right w:val="single" w:color="000000" w:sz="4" w:space="0"/>
            </w:tcBorders>
            <w:vAlign w:val="center"/>
          </w:tcPr>
          <w:p w14:paraId="6EECBE0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基于区块链的专病库语料数据上链试点_专病数据文件处理-新华医院生成专病数据档案XML文件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0B426B8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1416F3E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3EDEB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192</w:t>
            </w:r>
          </w:p>
        </w:tc>
        <w:tc>
          <w:tcPr>
            <w:tcW w:w="1250" w:type="pct"/>
            <w:tcBorders>
              <w:top w:val="single" w:color="000000" w:sz="4" w:space="0"/>
              <w:left w:val="nil"/>
              <w:bottom w:val="single" w:color="000000" w:sz="4" w:space="0"/>
              <w:right w:val="single" w:color="000000" w:sz="4" w:space="0"/>
            </w:tcBorders>
            <w:vAlign w:val="center"/>
          </w:tcPr>
          <w:p w14:paraId="0979F6A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基于区块链的专病库语料数据上链试点_专病数据文件处理-儿童院生成专病数据档案XML文件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26F8065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21D9479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F9760F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193</w:t>
            </w:r>
          </w:p>
        </w:tc>
        <w:tc>
          <w:tcPr>
            <w:tcW w:w="1250" w:type="pct"/>
            <w:tcBorders>
              <w:top w:val="single" w:color="000000" w:sz="4" w:space="0"/>
              <w:left w:val="nil"/>
              <w:bottom w:val="single" w:color="000000" w:sz="4" w:space="0"/>
              <w:right w:val="single" w:color="000000" w:sz="4" w:space="0"/>
            </w:tcBorders>
            <w:vAlign w:val="center"/>
          </w:tcPr>
          <w:p w14:paraId="7D6F0C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基于区块链的专病库语料数据上链试点_专病数据文件处理-儿科医院生成专病数据档案XML文件</w:t>
            </w:r>
          </w:p>
        </w:tc>
        <w:tc>
          <w:tcPr>
            <w:tcW w:w="3125" w:type="pct"/>
            <w:tcBorders>
              <w:top w:val="single" w:color="000000" w:sz="4" w:space="0"/>
              <w:left w:val="nil"/>
              <w:bottom w:val="single" w:color="000000" w:sz="4" w:space="0"/>
              <w:right w:val="single" w:color="000000" w:sz="4" w:space="0"/>
            </w:tcBorders>
            <w:vAlign w:val="center"/>
          </w:tcPr>
          <w:p w14:paraId="282EAE1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根据专病病例的病历信息，构建标准化XML文件。</w:t>
            </w:r>
          </w:p>
        </w:tc>
      </w:tr>
      <w:tr w14:paraId="1637D4F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79CAEF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194</w:t>
            </w:r>
          </w:p>
        </w:tc>
        <w:tc>
          <w:tcPr>
            <w:tcW w:w="1250" w:type="pct"/>
            <w:tcBorders>
              <w:top w:val="single" w:color="000000" w:sz="4" w:space="0"/>
              <w:left w:val="nil"/>
              <w:bottom w:val="single" w:color="000000" w:sz="4" w:space="0"/>
              <w:right w:val="single" w:color="000000" w:sz="4" w:space="0"/>
            </w:tcBorders>
            <w:vAlign w:val="center"/>
          </w:tcPr>
          <w:p w14:paraId="40F139A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基于区块链的专病库语料数据上链试点_专病摘要及标识信息生成-计算专病数据档案Hash</w:t>
            </w:r>
          </w:p>
        </w:tc>
        <w:tc>
          <w:tcPr>
            <w:tcW w:w="3125" w:type="pct"/>
            <w:tcBorders>
              <w:top w:val="single" w:color="000000" w:sz="4" w:space="0"/>
              <w:left w:val="nil"/>
              <w:bottom w:val="single" w:color="000000" w:sz="4" w:space="0"/>
              <w:right w:val="single" w:color="000000" w:sz="4" w:space="0"/>
            </w:tcBorders>
            <w:vAlign w:val="center"/>
          </w:tcPr>
          <w:p w14:paraId="013CD80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制定XML文件Hash计算规则，并根据规则计算XML文件的Hash值。</w:t>
            </w:r>
          </w:p>
        </w:tc>
      </w:tr>
      <w:tr w14:paraId="4288ADFE">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6F1D47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195</w:t>
            </w:r>
          </w:p>
        </w:tc>
        <w:tc>
          <w:tcPr>
            <w:tcW w:w="1250" w:type="pct"/>
            <w:tcBorders>
              <w:top w:val="single" w:color="000000" w:sz="4" w:space="0"/>
              <w:left w:val="nil"/>
              <w:bottom w:val="single" w:color="000000" w:sz="4" w:space="0"/>
              <w:right w:val="single" w:color="000000" w:sz="4" w:space="0"/>
            </w:tcBorders>
            <w:vAlign w:val="center"/>
          </w:tcPr>
          <w:p w14:paraId="367071D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基于区块链的专病库语料数据上链试点_专病摘要及标识信息生成-市一医院生成专病摘要信息</w:t>
            </w:r>
          </w:p>
        </w:tc>
        <w:tc>
          <w:tcPr>
            <w:tcW w:w="3125" w:type="pct"/>
            <w:tcBorders>
              <w:top w:val="single" w:color="000000" w:sz="4" w:space="0"/>
              <w:left w:val="nil"/>
              <w:bottom w:val="single" w:color="000000" w:sz="4" w:space="0"/>
              <w:right w:val="single" w:color="000000" w:sz="4" w:space="0"/>
            </w:tcBorders>
            <w:vAlign w:val="center"/>
          </w:tcPr>
          <w:p w14:paraId="12CC4BE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553722E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087B14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196</w:t>
            </w:r>
          </w:p>
        </w:tc>
        <w:tc>
          <w:tcPr>
            <w:tcW w:w="1250" w:type="pct"/>
            <w:tcBorders>
              <w:top w:val="single" w:color="000000" w:sz="4" w:space="0"/>
              <w:left w:val="nil"/>
              <w:bottom w:val="single" w:color="000000" w:sz="4" w:space="0"/>
              <w:right w:val="single" w:color="000000" w:sz="4" w:space="0"/>
            </w:tcBorders>
            <w:vAlign w:val="center"/>
          </w:tcPr>
          <w:p w14:paraId="40A8DFF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基于区块链的专病库语料数据上链试点_专病摘要及标识信息生成-华山医院生成专病摘要信息</w:t>
            </w:r>
          </w:p>
        </w:tc>
        <w:tc>
          <w:tcPr>
            <w:tcW w:w="3125" w:type="pct"/>
            <w:tcBorders>
              <w:top w:val="single" w:color="000000" w:sz="4" w:space="0"/>
              <w:left w:val="nil"/>
              <w:bottom w:val="single" w:color="000000" w:sz="4" w:space="0"/>
              <w:right w:val="single" w:color="000000" w:sz="4" w:space="0"/>
            </w:tcBorders>
            <w:vAlign w:val="center"/>
          </w:tcPr>
          <w:p w14:paraId="29A5B5A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05365E17">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F430A8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197</w:t>
            </w:r>
          </w:p>
        </w:tc>
        <w:tc>
          <w:tcPr>
            <w:tcW w:w="1250" w:type="pct"/>
            <w:tcBorders>
              <w:top w:val="single" w:color="000000" w:sz="4" w:space="0"/>
              <w:left w:val="nil"/>
              <w:bottom w:val="single" w:color="000000" w:sz="4" w:space="0"/>
              <w:right w:val="single" w:color="000000" w:sz="4" w:space="0"/>
            </w:tcBorders>
            <w:vAlign w:val="center"/>
          </w:tcPr>
          <w:p w14:paraId="09F8AF1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基于区块链的专病库语料数据上链试点_专病摘要及标识信息生成-瑞金医院生成专病摘要信息</w:t>
            </w:r>
          </w:p>
        </w:tc>
        <w:tc>
          <w:tcPr>
            <w:tcW w:w="3125" w:type="pct"/>
            <w:tcBorders>
              <w:top w:val="single" w:color="000000" w:sz="4" w:space="0"/>
              <w:left w:val="nil"/>
              <w:bottom w:val="single" w:color="000000" w:sz="4" w:space="0"/>
              <w:right w:val="single" w:color="000000" w:sz="4" w:space="0"/>
            </w:tcBorders>
            <w:vAlign w:val="center"/>
          </w:tcPr>
          <w:p w14:paraId="2463015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5C904408">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1C44DC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198</w:t>
            </w:r>
          </w:p>
        </w:tc>
        <w:tc>
          <w:tcPr>
            <w:tcW w:w="1250" w:type="pct"/>
            <w:tcBorders>
              <w:top w:val="single" w:color="000000" w:sz="4" w:space="0"/>
              <w:left w:val="nil"/>
              <w:bottom w:val="single" w:color="000000" w:sz="4" w:space="0"/>
              <w:right w:val="single" w:color="000000" w:sz="4" w:space="0"/>
            </w:tcBorders>
            <w:vAlign w:val="center"/>
          </w:tcPr>
          <w:p w14:paraId="32E8B8B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基于区块链的专病库语料数据上链试点_专病摘要及标识信息生成-仁济医院生成专病摘要信息</w:t>
            </w:r>
          </w:p>
        </w:tc>
        <w:tc>
          <w:tcPr>
            <w:tcW w:w="3125" w:type="pct"/>
            <w:tcBorders>
              <w:top w:val="single" w:color="000000" w:sz="4" w:space="0"/>
              <w:left w:val="nil"/>
              <w:bottom w:val="single" w:color="000000" w:sz="4" w:space="0"/>
              <w:right w:val="single" w:color="000000" w:sz="4" w:space="0"/>
            </w:tcBorders>
            <w:vAlign w:val="center"/>
          </w:tcPr>
          <w:p w14:paraId="2502194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0988B0F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58ECA3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199</w:t>
            </w:r>
          </w:p>
        </w:tc>
        <w:tc>
          <w:tcPr>
            <w:tcW w:w="1250" w:type="pct"/>
            <w:tcBorders>
              <w:top w:val="single" w:color="000000" w:sz="4" w:space="0"/>
              <w:left w:val="nil"/>
              <w:bottom w:val="single" w:color="000000" w:sz="4" w:space="0"/>
              <w:right w:val="single" w:color="000000" w:sz="4" w:space="0"/>
            </w:tcBorders>
            <w:vAlign w:val="center"/>
          </w:tcPr>
          <w:p w14:paraId="71EF60C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基于区块链的专病库语料数据上链试点_专病摘要及标识信息生成-新华医院生成专病摘要信息</w:t>
            </w:r>
          </w:p>
        </w:tc>
        <w:tc>
          <w:tcPr>
            <w:tcW w:w="3125" w:type="pct"/>
            <w:tcBorders>
              <w:top w:val="single" w:color="000000" w:sz="4" w:space="0"/>
              <w:left w:val="nil"/>
              <w:bottom w:val="single" w:color="000000" w:sz="4" w:space="0"/>
              <w:right w:val="single" w:color="000000" w:sz="4" w:space="0"/>
            </w:tcBorders>
            <w:vAlign w:val="center"/>
          </w:tcPr>
          <w:p w14:paraId="0760041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6AF8E1C0">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BF963F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200</w:t>
            </w:r>
          </w:p>
        </w:tc>
        <w:tc>
          <w:tcPr>
            <w:tcW w:w="1250" w:type="pct"/>
            <w:tcBorders>
              <w:top w:val="single" w:color="000000" w:sz="4" w:space="0"/>
              <w:left w:val="nil"/>
              <w:bottom w:val="single" w:color="000000" w:sz="4" w:space="0"/>
              <w:right w:val="single" w:color="000000" w:sz="4" w:space="0"/>
            </w:tcBorders>
            <w:vAlign w:val="center"/>
          </w:tcPr>
          <w:p w14:paraId="097E01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基于区块链的专病库语料数据上链试点_专病摘要及标识信息生成-儿童医院生成专病摘要信息</w:t>
            </w:r>
          </w:p>
        </w:tc>
        <w:tc>
          <w:tcPr>
            <w:tcW w:w="3125" w:type="pct"/>
            <w:tcBorders>
              <w:top w:val="single" w:color="000000" w:sz="4" w:space="0"/>
              <w:left w:val="nil"/>
              <w:bottom w:val="single" w:color="000000" w:sz="4" w:space="0"/>
              <w:right w:val="single" w:color="000000" w:sz="4" w:space="0"/>
            </w:tcBorders>
            <w:vAlign w:val="center"/>
          </w:tcPr>
          <w:p w14:paraId="421CEE9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62242B82">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8F981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201</w:t>
            </w:r>
          </w:p>
        </w:tc>
        <w:tc>
          <w:tcPr>
            <w:tcW w:w="1250" w:type="pct"/>
            <w:tcBorders>
              <w:top w:val="single" w:color="000000" w:sz="4" w:space="0"/>
              <w:left w:val="nil"/>
              <w:bottom w:val="single" w:color="000000" w:sz="4" w:space="0"/>
              <w:right w:val="single" w:color="000000" w:sz="4" w:space="0"/>
            </w:tcBorders>
            <w:vAlign w:val="center"/>
          </w:tcPr>
          <w:p w14:paraId="46FC3E2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基于区块链的专病库语料数据上链试点_专病摘要及标识信息生成-儿科医院生成专病摘要信息</w:t>
            </w:r>
          </w:p>
        </w:tc>
        <w:tc>
          <w:tcPr>
            <w:tcW w:w="3125" w:type="pct"/>
            <w:tcBorders>
              <w:top w:val="single" w:color="000000" w:sz="4" w:space="0"/>
              <w:left w:val="nil"/>
              <w:bottom w:val="single" w:color="000000" w:sz="4" w:space="0"/>
              <w:right w:val="single" w:color="000000" w:sz="4" w:space="0"/>
            </w:tcBorders>
            <w:vAlign w:val="center"/>
          </w:tcPr>
          <w:p w14:paraId="55E8E19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生成PDF格式的专病档案摘要信息，包括基本信息、使用说明、法律声明等。</w:t>
            </w:r>
          </w:p>
        </w:tc>
      </w:tr>
      <w:tr w14:paraId="2A2EEFB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0A6148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202</w:t>
            </w:r>
          </w:p>
        </w:tc>
        <w:tc>
          <w:tcPr>
            <w:tcW w:w="1250" w:type="pct"/>
            <w:tcBorders>
              <w:top w:val="single" w:color="000000" w:sz="4" w:space="0"/>
              <w:left w:val="nil"/>
              <w:bottom w:val="single" w:color="000000" w:sz="4" w:space="0"/>
              <w:right w:val="single" w:color="000000" w:sz="4" w:space="0"/>
            </w:tcBorders>
            <w:vAlign w:val="center"/>
          </w:tcPr>
          <w:p w14:paraId="1E6DA9D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基于区块链的专病库语料数据上链试点_专病摘要及标识信息生成-市一医院生成专病标识信息</w:t>
            </w:r>
          </w:p>
        </w:tc>
        <w:tc>
          <w:tcPr>
            <w:tcW w:w="3125" w:type="pct"/>
            <w:tcBorders>
              <w:top w:val="single" w:color="000000" w:sz="4" w:space="0"/>
              <w:left w:val="nil"/>
              <w:bottom w:val="single" w:color="000000" w:sz="4" w:space="0"/>
              <w:right w:val="single" w:color="000000" w:sz="4" w:space="0"/>
            </w:tcBorders>
            <w:vAlign w:val="center"/>
          </w:tcPr>
          <w:p w14:paraId="7019D5E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782E3DB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5AFAE6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203</w:t>
            </w:r>
          </w:p>
        </w:tc>
        <w:tc>
          <w:tcPr>
            <w:tcW w:w="1250" w:type="pct"/>
            <w:tcBorders>
              <w:top w:val="single" w:color="000000" w:sz="4" w:space="0"/>
              <w:left w:val="nil"/>
              <w:bottom w:val="single" w:color="000000" w:sz="4" w:space="0"/>
              <w:right w:val="single" w:color="000000" w:sz="4" w:space="0"/>
            </w:tcBorders>
            <w:vAlign w:val="center"/>
          </w:tcPr>
          <w:p w14:paraId="1FC36F1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基于区块链的专病库语料数据上链试点_专病摘要及标识信息生成-华山医院生成专病标识信息</w:t>
            </w:r>
          </w:p>
        </w:tc>
        <w:tc>
          <w:tcPr>
            <w:tcW w:w="3125" w:type="pct"/>
            <w:tcBorders>
              <w:top w:val="single" w:color="000000" w:sz="4" w:space="0"/>
              <w:left w:val="nil"/>
              <w:bottom w:val="single" w:color="000000" w:sz="4" w:space="0"/>
              <w:right w:val="single" w:color="000000" w:sz="4" w:space="0"/>
            </w:tcBorders>
            <w:vAlign w:val="center"/>
          </w:tcPr>
          <w:p w14:paraId="278A1AA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6F3E2DF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10220F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204</w:t>
            </w:r>
          </w:p>
        </w:tc>
        <w:tc>
          <w:tcPr>
            <w:tcW w:w="1250" w:type="pct"/>
            <w:tcBorders>
              <w:top w:val="single" w:color="000000" w:sz="4" w:space="0"/>
              <w:left w:val="nil"/>
              <w:bottom w:val="single" w:color="000000" w:sz="4" w:space="0"/>
              <w:right w:val="single" w:color="000000" w:sz="4" w:space="0"/>
            </w:tcBorders>
            <w:vAlign w:val="center"/>
          </w:tcPr>
          <w:p w14:paraId="69B6B5C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基于区块链的专病库语料数据上链试点_专病摘要及标识信息生成-瑞金医院生成专病标识信息</w:t>
            </w:r>
          </w:p>
        </w:tc>
        <w:tc>
          <w:tcPr>
            <w:tcW w:w="3125" w:type="pct"/>
            <w:tcBorders>
              <w:top w:val="single" w:color="000000" w:sz="4" w:space="0"/>
              <w:left w:val="nil"/>
              <w:bottom w:val="single" w:color="000000" w:sz="4" w:space="0"/>
              <w:right w:val="single" w:color="000000" w:sz="4" w:space="0"/>
            </w:tcBorders>
            <w:vAlign w:val="center"/>
          </w:tcPr>
          <w:p w14:paraId="2169B47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4012A38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F7782E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205</w:t>
            </w:r>
          </w:p>
        </w:tc>
        <w:tc>
          <w:tcPr>
            <w:tcW w:w="1250" w:type="pct"/>
            <w:tcBorders>
              <w:top w:val="single" w:color="000000" w:sz="4" w:space="0"/>
              <w:left w:val="nil"/>
              <w:bottom w:val="single" w:color="000000" w:sz="4" w:space="0"/>
              <w:right w:val="single" w:color="000000" w:sz="4" w:space="0"/>
            </w:tcBorders>
            <w:vAlign w:val="center"/>
          </w:tcPr>
          <w:p w14:paraId="66E4B34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基于区块链的专病库语料数据上链试点_专病摘要及标识信息生成-仁济医院生成专病标识信息</w:t>
            </w:r>
          </w:p>
        </w:tc>
        <w:tc>
          <w:tcPr>
            <w:tcW w:w="3125" w:type="pct"/>
            <w:tcBorders>
              <w:top w:val="single" w:color="000000" w:sz="4" w:space="0"/>
              <w:left w:val="nil"/>
              <w:bottom w:val="single" w:color="000000" w:sz="4" w:space="0"/>
              <w:right w:val="single" w:color="000000" w:sz="4" w:space="0"/>
            </w:tcBorders>
            <w:vAlign w:val="center"/>
          </w:tcPr>
          <w:p w14:paraId="6EBF685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0E8047D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61753D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206</w:t>
            </w:r>
          </w:p>
        </w:tc>
        <w:tc>
          <w:tcPr>
            <w:tcW w:w="1250" w:type="pct"/>
            <w:tcBorders>
              <w:top w:val="single" w:color="000000" w:sz="4" w:space="0"/>
              <w:left w:val="nil"/>
              <w:bottom w:val="single" w:color="000000" w:sz="4" w:space="0"/>
              <w:right w:val="single" w:color="000000" w:sz="4" w:space="0"/>
            </w:tcBorders>
            <w:vAlign w:val="center"/>
          </w:tcPr>
          <w:p w14:paraId="67F95AD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基于区块链的专病库语料数据上链试点_专病摘要及标识信息生成-新华医院生成专病标识信息</w:t>
            </w:r>
          </w:p>
        </w:tc>
        <w:tc>
          <w:tcPr>
            <w:tcW w:w="3125" w:type="pct"/>
            <w:tcBorders>
              <w:top w:val="single" w:color="000000" w:sz="4" w:space="0"/>
              <w:left w:val="nil"/>
              <w:bottom w:val="single" w:color="000000" w:sz="4" w:space="0"/>
              <w:right w:val="single" w:color="000000" w:sz="4" w:space="0"/>
            </w:tcBorders>
            <w:vAlign w:val="center"/>
          </w:tcPr>
          <w:p w14:paraId="641ED93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17AB4D7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A5188D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207</w:t>
            </w:r>
          </w:p>
        </w:tc>
        <w:tc>
          <w:tcPr>
            <w:tcW w:w="1250" w:type="pct"/>
            <w:tcBorders>
              <w:top w:val="single" w:color="000000" w:sz="4" w:space="0"/>
              <w:left w:val="nil"/>
              <w:bottom w:val="single" w:color="000000" w:sz="4" w:space="0"/>
              <w:right w:val="single" w:color="000000" w:sz="4" w:space="0"/>
            </w:tcBorders>
            <w:vAlign w:val="center"/>
          </w:tcPr>
          <w:p w14:paraId="54FB18E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基于区块链的专病库语料数据上链试点_专病摘要及标识信息生成-儿童医院生成专病标识信息</w:t>
            </w:r>
          </w:p>
        </w:tc>
        <w:tc>
          <w:tcPr>
            <w:tcW w:w="3125" w:type="pct"/>
            <w:tcBorders>
              <w:top w:val="single" w:color="000000" w:sz="4" w:space="0"/>
              <w:left w:val="nil"/>
              <w:bottom w:val="single" w:color="000000" w:sz="4" w:space="0"/>
              <w:right w:val="single" w:color="000000" w:sz="4" w:space="0"/>
            </w:tcBorders>
            <w:vAlign w:val="center"/>
          </w:tcPr>
          <w:p w14:paraId="3FF7921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603888D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1C7F6B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208</w:t>
            </w:r>
          </w:p>
        </w:tc>
        <w:tc>
          <w:tcPr>
            <w:tcW w:w="1250" w:type="pct"/>
            <w:tcBorders>
              <w:top w:val="single" w:color="000000" w:sz="4" w:space="0"/>
              <w:left w:val="nil"/>
              <w:bottom w:val="single" w:color="000000" w:sz="4" w:space="0"/>
              <w:right w:val="single" w:color="000000" w:sz="4" w:space="0"/>
            </w:tcBorders>
            <w:vAlign w:val="center"/>
          </w:tcPr>
          <w:p w14:paraId="0F51C46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基于区块链的专病库语料数据上链试点_专病摘要及标识信息生成-儿科医院生成专病标识信息</w:t>
            </w:r>
          </w:p>
        </w:tc>
        <w:tc>
          <w:tcPr>
            <w:tcW w:w="3125" w:type="pct"/>
            <w:tcBorders>
              <w:top w:val="single" w:color="000000" w:sz="4" w:space="0"/>
              <w:left w:val="nil"/>
              <w:bottom w:val="single" w:color="000000" w:sz="4" w:space="0"/>
              <w:right w:val="single" w:color="000000" w:sz="4" w:space="0"/>
            </w:tcBorders>
            <w:vAlign w:val="center"/>
          </w:tcPr>
          <w:p w14:paraId="4EE91E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根据专病数据内容和数据处理结果，构建生成专病标识信息。</w:t>
            </w:r>
          </w:p>
        </w:tc>
      </w:tr>
      <w:tr w14:paraId="0579C625">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73E71CD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209</w:t>
            </w:r>
          </w:p>
        </w:tc>
        <w:tc>
          <w:tcPr>
            <w:tcW w:w="1250" w:type="pct"/>
            <w:tcBorders>
              <w:top w:val="single" w:color="000000" w:sz="4" w:space="0"/>
              <w:left w:val="nil"/>
              <w:bottom w:val="single" w:color="000000" w:sz="4" w:space="0"/>
              <w:right w:val="single" w:color="000000" w:sz="4" w:space="0"/>
            </w:tcBorders>
            <w:vAlign w:val="center"/>
          </w:tcPr>
          <w:p w14:paraId="044A316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基于区块链的专病库语料数据上链试点_专病数据上链-市一医院重症肺炎队列、骨肿瘤队列、冠心病患者负荷心脏CTP专病数据上链</w:t>
            </w:r>
          </w:p>
        </w:tc>
        <w:tc>
          <w:tcPr>
            <w:tcW w:w="3125" w:type="pct"/>
            <w:tcBorders>
              <w:top w:val="single" w:color="000000" w:sz="4" w:space="0"/>
              <w:left w:val="nil"/>
              <w:bottom w:val="single" w:color="000000" w:sz="4" w:space="0"/>
              <w:right w:val="single" w:color="000000" w:sz="4" w:space="0"/>
            </w:tcBorders>
            <w:vAlign w:val="center"/>
          </w:tcPr>
          <w:p w14:paraId="2D5734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25985B16">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BB32F7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210</w:t>
            </w:r>
          </w:p>
        </w:tc>
        <w:tc>
          <w:tcPr>
            <w:tcW w:w="1250" w:type="pct"/>
            <w:tcBorders>
              <w:top w:val="single" w:color="000000" w:sz="4" w:space="0"/>
              <w:left w:val="nil"/>
              <w:bottom w:val="single" w:color="000000" w:sz="4" w:space="0"/>
              <w:right w:val="single" w:color="000000" w:sz="4" w:space="0"/>
            </w:tcBorders>
            <w:vAlign w:val="center"/>
          </w:tcPr>
          <w:p w14:paraId="1430C0A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基于区块链的专病库语料数据上链试点_专病数据上链-华山医院脑肿瘤专病数据上链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2D5B60A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4B14591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0EB221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211</w:t>
            </w:r>
          </w:p>
        </w:tc>
        <w:tc>
          <w:tcPr>
            <w:tcW w:w="1250" w:type="pct"/>
            <w:tcBorders>
              <w:top w:val="single" w:color="000000" w:sz="4" w:space="0"/>
              <w:left w:val="nil"/>
              <w:bottom w:val="single" w:color="000000" w:sz="4" w:space="0"/>
              <w:right w:val="single" w:color="000000" w:sz="4" w:space="0"/>
            </w:tcBorders>
            <w:vAlign w:val="center"/>
          </w:tcPr>
          <w:p w14:paraId="3788016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基于区块链的专病库语料数据上链试点_专病数据上链-瑞金医院脑肿瘤专病数据上链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77A9E07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2352FF8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66A9D17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212</w:t>
            </w:r>
          </w:p>
        </w:tc>
        <w:tc>
          <w:tcPr>
            <w:tcW w:w="1250" w:type="pct"/>
            <w:tcBorders>
              <w:top w:val="single" w:color="000000" w:sz="4" w:space="0"/>
              <w:left w:val="nil"/>
              <w:bottom w:val="single" w:color="000000" w:sz="4" w:space="0"/>
              <w:right w:val="single" w:color="000000" w:sz="4" w:space="0"/>
            </w:tcBorders>
            <w:vAlign w:val="center"/>
          </w:tcPr>
          <w:p w14:paraId="1BD6B35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基于区块链的专病库语料数据上链试点_专病数据上链-仁济医院脑肿瘤专病数据上链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16AA6E3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42F165A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220FBA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213</w:t>
            </w:r>
          </w:p>
        </w:tc>
        <w:tc>
          <w:tcPr>
            <w:tcW w:w="1250" w:type="pct"/>
            <w:tcBorders>
              <w:top w:val="single" w:color="000000" w:sz="4" w:space="0"/>
              <w:left w:val="nil"/>
              <w:bottom w:val="single" w:color="000000" w:sz="4" w:space="0"/>
              <w:right w:val="single" w:color="000000" w:sz="4" w:space="0"/>
            </w:tcBorders>
            <w:vAlign w:val="center"/>
          </w:tcPr>
          <w:p w14:paraId="06636FA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基于区块链的专病库语料数据上链试点_专病数据上链-新华医院脑肿瘤专病数据上链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2FBEB9F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47A2321C">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41D60D4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214</w:t>
            </w:r>
          </w:p>
        </w:tc>
        <w:tc>
          <w:tcPr>
            <w:tcW w:w="1250" w:type="pct"/>
            <w:tcBorders>
              <w:top w:val="single" w:color="000000" w:sz="4" w:space="0"/>
              <w:left w:val="nil"/>
              <w:bottom w:val="single" w:color="000000" w:sz="4" w:space="0"/>
              <w:right w:val="single" w:color="000000" w:sz="4" w:space="0"/>
            </w:tcBorders>
            <w:vAlign w:val="center"/>
          </w:tcPr>
          <w:p w14:paraId="4BC8A44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基于区块链的专病库语料数据上链试点_专病数据上链-儿童医院脑肿瘤专病数据上链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6B52195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1C84200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469356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215</w:t>
            </w:r>
          </w:p>
        </w:tc>
        <w:tc>
          <w:tcPr>
            <w:tcW w:w="1250" w:type="pct"/>
            <w:tcBorders>
              <w:top w:val="single" w:color="000000" w:sz="4" w:space="0"/>
              <w:left w:val="nil"/>
              <w:bottom w:val="single" w:color="000000" w:sz="4" w:space="0"/>
              <w:right w:val="single" w:color="000000" w:sz="4" w:space="0"/>
            </w:tcBorders>
            <w:vAlign w:val="center"/>
          </w:tcPr>
          <w:p w14:paraId="4332E3C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基于区块链的专病库语料数据上链试点_专病数据上链-儿科医院脑肿瘤专病数据上链</w:t>
            </w:r>
          </w:p>
        </w:tc>
        <w:tc>
          <w:tcPr>
            <w:tcW w:w="3125" w:type="pct"/>
            <w:tcBorders>
              <w:top w:val="single" w:color="000000" w:sz="4" w:space="0"/>
              <w:left w:val="nil"/>
              <w:bottom w:val="single" w:color="000000" w:sz="4" w:space="0"/>
              <w:right w:val="single" w:color="000000" w:sz="4" w:space="0"/>
            </w:tcBorders>
            <w:vAlign w:val="center"/>
          </w:tcPr>
          <w:p w14:paraId="1259DD1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基于专病档案XML数据结构，提供可视化操作界面，支持用户通过手动上传或API接口调用方式，将单份专病档案的标识信息（如患者唯一ID、病种分类码）与Hash值提交至区块链节点。</w:t>
            </w:r>
          </w:p>
        </w:tc>
      </w:tr>
      <w:tr w14:paraId="423F2144">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13CDE1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216</w:t>
            </w:r>
          </w:p>
        </w:tc>
        <w:tc>
          <w:tcPr>
            <w:tcW w:w="1250" w:type="pct"/>
            <w:tcBorders>
              <w:top w:val="single" w:color="000000" w:sz="4" w:space="0"/>
              <w:left w:val="nil"/>
              <w:bottom w:val="single" w:color="000000" w:sz="4" w:space="0"/>
              <w:right w:val="single" w:color="000000" w:sz="4" w:space="0"/>
            </w:tcBorders>
            <w:vAlign w:val="center"/>
          </w:tcPr>
          <w:p w14:paraId="5C45128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基于区块链的专病库语料数据上链试点_专病数据上链-市一医院数据上链状态管理/信息订阅、匹配查询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60E4BD4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277B203F">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0AEC15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217</w:t>
            </w:r>
          </w:p>
        </w:tc>
        <w:tc>
          <w:tcPr>
            <w:tcW w:w="1250" w:type="pct"/>
            <w:tcBorders>
              <w:top w:val="single" w:color="000000" w:sz="4" w:space="0"/>
              <w:left w:val="nil"/>
              <w:bottom w:val="single" w:color="000000" w:sz="4" w:space="0"/>
              <w:right w:val="single" w:color="000000" w:sz="4" w:space="0"/>
            </w:tcBorders>
            <w:vAlign w:val="center"/>
          </w:tcPr>
          <w:p w14:paraId="1E12185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基于区块链的专病库语料数据上链试点_专病数据上链-华山医院数据上链状态管理/信息订阅、匹配查询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373C830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69E2620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3990EB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218</w:t>
            </w:r>
          </w:p>
        </w:tc>
        <w:tc>
          <w:tcPr>
            <w:tcW w:w="1250" w:type="pct"/>
            <w:tcBorders>
              <w:top w:val="single" w:color="000000" w:sz="4" w:space="0"/>
              <w:left w:val="nil"/>
              <w:bottom w:val="single" w:color="000000" w:sz="4" w:space="0"/>
              <w:right w:val="single" w:color="000000" w:sz="4" w:space="0"/>
            </w:tcBorders>
            <w:vAlign w:val="center"/>
          </w:tcPr>
          <w:p w14:paraId="079532B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基于区块链的专病库语料数据上链试点_专病数据上链-瑞金医院数据上链状态管理/信息订阅、匹配查询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01C7D27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5CF284CA">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2CD824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219</w:t>
            </w:r>
          </w:p>
        </w:tc>
        <w:tc>
          <w:tcPr>
            <w:tcW w:w="1250" w:type="pct"/>
            <w:tcBorders>
              <w:top w:val="single" w:color="000000" w:sz="4" w:space="0"/>
              <w:left w:val="nil"/>
              <w:bottom w:val="single" w:color="000000" w:sz="4" w:space="0"/>
              <w:right w:val="single" w:color="000000" w:sz="4" w:space="0"/>
            </w:tcBorders>
            <w:vAlign w:val="center"/>
          </w:tcPr>
          <w:p w14:paraId="7AEAFD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基于区块链的专病库语料数据上链试点_专病数据上链-仁济医院数据上链状态管理/信息订阅、匹配查询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24188D5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62D9A2EB">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EDD18D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220</w:t>
            </w:r>
          </w:p>
        </w:tc>
        <w:tc>
          <w:tcPr>
            <w:tcW w:w="1250" w:type="pct"/>
            <w:tcBorders>
              <w:top w:val="single" w:color="000000" w:sz="4" w:space="0"/>
              <w:left w:val="nil"/>
              <w:bottom w:val="single" w:color="000000" w:sz="4" w:space="0"/>
              <w:right w:val="single" w:color="000000" w:sz="4" w:space="0"/>
            </w:tcBorders>
            <w:vAlign w:val="center"/>
          </w:tcPr>
          <w:p w14:paraId="630ED9A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基于区块链的专病库语料数据上链试点_专病数据上链-新华医院数据上链状态管理/信息订阅、匹配查询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4BC1BF6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16190151">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24C07E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221</w:t>
            </w:r>
          </w:p>
        </w:tc>
        <w:tc>
          <w:tcPr>
            <w:tcW w:w="1250" w:type="pct"/>
            <w:tcBorders>
              <w:top w:val="single" w:color="000000" w:sz="4" w:space="0"/>
              <w:left w:val="nil"/>
              <w:bottom w:val="single" w:color="000000" w:sz="4" w:space="0"/>
              <w:right w:val="single" w:color="000000" w:sz="4" w:space="0"/>
            </w:tcBorders>
            <w:vAlign w:val="center"/>
          </w:tcPr>
          <w:p w14:paraId="49D836C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基于区块链的专病库语料数据上链试点_专病数据上链-儿童医院数据上链状态管理/信息订阅、匹配查询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06B9846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r w14:paraId="1533D863">
        <w:tblPrEx>
          <w:tblCellMar>
            <w:top w:w="0" w:type="dxa"/>
            <w:left w:w="108" w:type="dxa"/>
            <w:bottom w:w="0" w:type="dxa"/>
            <w:right w:w="108" w:type="dxa"/>
          </w:tblCellMar>
        </w:tblPrEx>
        <w:trPr>
          <w:trHeight w:val="315" w:hRule="atLeast"/>
        </w:trPr>
        <w:tc>
          <w:tcPr>
            <w:tcW w:w="625" w:type="pct"/>
            <w:tcBorders>
              <w:top w:val="nil"/>
              <w:left w:val="single" w:color="000000" w:sz="4" w:space="0"/>
              <w:bottom w:val="single" w:color="000000" w:sz="4" w:space="0"/>
              <w:right w:val="single" w:color="000000" w:sz="4" w:space="0"/>
            </w:tcBorders>
            <w:vAlign w:val="center"/>
          </w:tcPr>
          <w:p w14:paraId="5854461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222</w:t>
            </w:r>
          </w:p>
        </w:tc>
        <w:tc>
          <w:tcPr>
            <w:tcW w:w="1250" w:type="pct"/>
            <w:tcBorders>
              <w:top w:val="single" w:color="000000" w:sz="4" w:space="0"/>
              <w:left w:val="nil"/>
              <w:bottom w:val="single" w:color="000000" w:sz="4" w:space="0"/>
              <w:right w:val="single" w:color="000000" w:sz="4" w:space="0"/>
            </w:tcBorders>
            <w:vAlign w:val="center"/>
          </w:tcPr>
          <w:p w14:paraId="3412772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基于区块链的专病库语料数据上链试点_专病数据上链-儿科医院数据上链状态管理/信息订阅、匹配查询</w:t>
            </w:r>
          </w:p>
        </w:tc>
        <w:tc>
          <w:tcPr>
            <w:tcW w:w="3125" w:type="pct"/>
            <w:tcBorders>
              <w:top w:val="single" w:color="000000" w:sz="4" w:space="0"/>
              <w:left w:val="nil"/>
              <w:bottom w:val="single" w:color="000000" w:sz="4" w:space="0"/>
              <w:right w:val="single" w:color="000000" w:sz="4" w:space="0"/>
            </w:tcBorders>
            <w:vAlign w:val="center"/>
          </w:tcPr>
          <w:p w14:paraId="43725BA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通过合约的回调接口实时接收上链结果，记录每份数据的上链状态（成功/失败）、区块链数据的唯一ID。提供筛选功能，支持按医院、病种等多条件组合查询。</w:t>
            </w:r>
            <w:r>
              <w:rPr>
                <w:rFonts w:hint="eastAsia" w:cs="宋体"/>
                <w:color w:val="auto"/>
                <w:kern w:val="0"/>
                <w:sz w:val="21"/>
                <w:szCs w:val="21"/>
                <w:highlight w:val="none"/>
              </w:rPr>
              <w:br w:type="textWrapping"/>
            </w:r>
            <w:r>
              <w:rPr>
                <w:rFonts w:hint="eastAsia" w:cs="宋体"/>
                <w:color w:val="auto"/>
                <w:kern w:val="0"/>
                <w:sz w:val="21"/>
                <w:szCs w:val="21"/>
                <w:highlight w:val="none"/>
              </w:rPr>
              <w:t>对上链失败的数据支持一键重传，全过程留痕存证，确保上链的准确性和完整性。</w:t>
            </w:r>
            <w:r>
              <w:rPr>
                <w:rFonts w:hint="eastAsia" w:cs="宋体"/>
                <w:color w:val="auto"/>
                <w:kern w:val="0"/>
                <w:sz w:val="21"/>
                <w:szCs w:val="21"/>
                <w:highlight w:val="none"/>
              </w:rPr>
              <w:br w:type="textWrapping"/>
            </w:r>
            <w:r>
              <w:rPr>
                <w:rFonts w:hint="eastAsia" w:cs="宋体"/>
                <w:color w:val="auto"/>
                <w:kern w:val="0"/>
                <w:sz w:val="21"/>
                <w:szCs w:val="21"/>
                <w:highlight w:val="none"/>
              </w:rPr>
              <w:t>通过订阅接口从链上获取专病数据被使用信息并同步到本地数据库。</w:t>
            </w:r>
            <w:r>
              <w:rPr>
                <w:rFonts w:hint="eastAsia" w:cs="宋体"/>
                <w:color w:val="auto"/>
                <w:kern w:val="0"/>
                <w:sz w:val="21"/>
                <w:szCs w:val="21"/>
                <w:highlight w:val="none"/>
              </w:rPr>
              <w:br w:type="textWrapping"/>
            </w:r>
            <w:r>
              <w:rPr>
                <w:rFonts w:hint="eastAsia" w:cs="宋体"/>
                <w:color w:val="auto"/>
                <w:kern w:val="0"/>
                <w:sz w:val="21"/>
                <w:szCs w:val="21"/>
                <w:highlight w:val="none"/>
              </w:rPr>
              <w:t>基于本地记录的或从链上订阅到的唯一标识，通过查询接口从链上获取信息并同步到本地数据库。</w:t>
            </w:r>
          </w:p>
        </w:tc>
      </w:tr>
    </w:tbl>
    <w:p w14:paraId="01010DF5">
      <w:pPr>
        <w:rPr>
          <w:color w:val="auto"/>
          <w:highlight w:val="none"/>
        </w:rPr>
      </w:pPr>
    </w:p>
    <w:p w14:paraId="20812821">
      <w:pPr>
        <w:ind w:firstLine="482"/>
        <w:rPr>
          <w:b/>
          <w:color w:val="auto"/>
          <w:highlight w:val="none"/>
        </w:rPr>
      </w:pPr>
      <w:r>
        <w:rPr>
          <w:rFonts w:hint="eastAsia"/>
          <w:b/>
          <w:color w:val="auto"/>
          <w:highlight w:val="none"/>
        </w:rPr>
        <w:t>2、产品软件购置：</w:t>
      </w:r>
    </w:p>
    <w:tbl>
      <w:tblPr>
        <w:tblStyle w:val="59"/>
        <w:tblW w:w="5000" w:type="pct"/>
        <w:tblInd w:w="0" w:type="dxa"/>
        <w:tblLayout w:type="fixed"/>
        <w:tblCellMar>
          <w:top w:w="0" w:type="dxa"/>
          <w:left w:w="108" w:type="dxa"/>
          <w:bottom w:w="0" w:type="dxa"/>
          <w:right w:w="108" w:type="dxa"/>
        </w:tblCellMar>
      </w:tblPr>
      <w:tblGrid>
        <w:gridCol w:w="391"/>
        <w:gridCol w:w="757"/>
        <w:gridCol w:w="6729"/>
        <w:gridCol w:w="651"/>
      </w:tblGrid>
      <w:tr w14:paraId="6696FD43">
        <w:tblPrEx>
          <w:tblCellMar>
            <w:top w:w="0" w:type="dxa"/>
            <w:left w:w="108" w:type="dxa"/>
            <w:bottom w:w="0" w:type="dxa"/>
            <w:right w:w="108" w:type="dxa"/>
          </w:tblCellMar>
        </w:tblPrEx>
        <w:trPr>
          <w:trHeight w:val="315" w:hRule="atLeast"/>
        </w:trPr>
        <w:tc>
          <w:tcPr>
            <w:tcW w:w="391" w:type="dxa"/>
            <w:tcBorders>
              <w:top w:val="single" w:color="auto" w:sz="4" w:space="0"/>
              <w:left w:val="single" w:color="auto" w:sz="4" w:space="0"/>
              <w:bottom w:val="single" w:color="auto" w:sz="4" w:space="0"/>
              <w:right w:val="single" w:color="auto" w:sz="4" w:space="0"/>
            </w:tcBorders>
            <w:vAlign w:val="center"/>
          </w:tcPr>
          <w:p w14:paraId="15ED2F57">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序号</w:t>
            </w:r>
          </w:p>
        </w:tc>
        <w:tc>
          <w:tcPr>
            <w:tcW w:w="757" w:type="dxa"/>
            <w:tcBorders>
              <w:top w:val="single" w:color="auto" w:sz="4" w:space="0"/>
              <w:left w:val="nil"/>
              <w:bottom w:val="single" w:color="auto" w:sz="4" w:space="0"/>
              <w:right w:val="single" w:color="auto" w:sz="4" w:space="0"/>
            </w:tcBorders>
            <w:vAlign w:val="center"/>
          </w:tcPr>
          <w:p w14:paraId="473DE82C">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产品品牌</w:t>
            </w:r>
          </w:p>
        </w:tc>
        <w:tc>
          <w:tcPr>
            <w:tcW w:w="6729" w:type="dxa"/>
            <w:tcBorders>
              <w:top w:val="single" w:color="auto" w:sz="4" w:space="0"/>
              <w:left w:val="nil"/>
              <w:bottom w:val="single" w:color="auto" w:sz="4" w:space="0"/>
              <w:right w:val="single" w:color="auto" w:sz="4" w:space="0"/>
            </w:tcBorders>
            <w:vAlign w:val="center"/>
          </w:tcPr>
          <w:p w14:paraId="2D00ADB9">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产品配置</w:t>
            </w:r>
          </w:p>
        </w:tc>
        <w:tc>
          <w:tcPr>
            <w:tcW w:w="651" w:type="dxa"/>
            <w:tcBorders>
              <w:top w:val="single" w:color="auto" w:sz="4" w:space="0"/>
              <w:left w:val="nil"/>
              <w:bottom w:val="single" w:color="auto" w:sz="4" w:space="0"/>
              <w:right w:val="single" w:color="auto" w:sz="4" w:space="0"/>
            </w:tcBorders>
            <w:vAlign w:val="center"/>
          </w:tcPr>
          <w:p w14:paraId="0E156A2D">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数量</w:t>
            </w:r>
          </w:p>
        </w:tc>
      </w:tr>
      <w:tr w14:paraId="3B81DB50">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497EE70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w:t>
            </w:r>
          </w:p>
        </w:tc>
        <w:tc>
          <w:tcPr>
            <w:tcW w:w="757" w:type="dxa"/>
            <w:tcBorders>
              <w:top w:val="nil"/>
              <w:left w:val="nil"/>
              <w:bottom w:val="single" w:color="000000" w:sz="4" w:space="0"/>
              <w:right w:val="single" w:color="000000" w:sz="4" w:space="0"/>
            </w:tcBorders>
            <w:vAlign w:val="center"/>
          </w:tcPr>
          <w:p w14:paraId="2471E2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大数据离线计算</w:t>
            </w:r>
          </w:p>
        </w:tc>
        <w:tc>
          <w:tcPr>
            <w:tcW w:w="6729" w:type="dxa"/>
            <w:tcBorders>
              <w:top w:val="single" w:color="000000" w:sz="4" w:space="0"/>
              <w:left w:val="nil"/>
              <w:bottom w:val="single" w:color="000000" w:sz="4" w:space="0"/>
              <w:right w:val="single" w:color="000000" w:sz="4" w:space="0"/>
            </w:tcBorders>
            <w:vAlign w:val="center"/>
          </w:tcPr>
          <w:p w14:paraId="3D19CD85">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w:t>
            </w:r>
            <w:r>
              <w:rPr>
                <w:rFonts w:hint="eastAsia" w:cs="宋体"/>
                <w:color w:val="auto"/>
                <w:kern w:val="0"/>
                <w:sz w:val="21"/>
                <w:szCs w:val="21"/>
                <w:highlight w:val="none"/>
                <w:lang w:val="en-US" w:eastAsia="zh-CN"/>
              </w:rPr>
              <w:t>支持</w:t>
            </w:r>
            <w:r>
              <w:rPr>
                <w:rFonts w:hint="eastAsia" w:cs="宋体"/>
                <w:color w:val="auto"/>
                <w:kern w:val="0"/>
                <w:sz w:val="21"/>
                <w:szCs w:val="21"/>
                <w:highlight w:val="none"/>
              </w:rPr>
              <w:t>部署在不低于8</w:t>
            </w:r>
            <w:r>
              <w:rPr>
                <w:rFonts w:cs="宋体"/>
                <w:color w:val="auto"/>
                <w:kern w:val="0"/>
                <w:sz w:val="21"/>
                <w:szCs w:val="21"/>
                <w:highlight w:val="none"/>
              </w:rPr>
              <w:t>0vCPU</w:t>
            </w:r>
            <w:r>
              <w:rPr>
                <w:rFonts w:hint="eastAsia" w:cs="宋体"/>
                <w:color w:val="auto"/>
                <w:kern w:val="0"/>
                <w:sz w:val="21"/>
                <w:szCs w:val="21"/>
                <w:highlight w:val="none"/>
              </w:rPr>
              <w:t>的算力环境，每节点平均可提供不低于2</w:t>
            </w:r>
            <w:r>
              <w:rPr>
                <w:rFonts w:cs="宋体"/>
                <w:color w:val="auto"/>
                <w:kern w:val="0"/>
                <w:sz w:val="21"/>
                <w:szCs w:val="21"/>
                <w:highlight w:val="none"/>
              </w:rPr>
              <w:t>1</w:t>
            </w:r>
            <w:r>
              <w:rPr>
                <w:rFonts w:hint="eastAsia" w:cs="宋体"/>
                <w:color w:val="auto"/>
                <w:kern w:val="0"/>
                <w:sz w:val="21"/>
                <w:szCs w:val="21"/>
                <w:highlight w:val="none"/>
              </w:rPr>
              <w:t>TB的数据处理能力。</w:t>
            </w:r>
          </w:p>
          <w:p w14:paraId="3F3B2FE4">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1、建立在Hadoop基础上的开源的数据仓库，提供类似SQL的Hive QL语言操作结构化数据存储服务和基本的数据分析服务；</w:t>
            </w:r>
          </w:p>
          <w:p w14:paraId="0CB54375">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2、高性能的计算引擎，能够支持多种数据源的快速联合查询。</w:t>
            </w:r>
          </w:p>
        </w:tc>
        <w:tc>
          <w:tcPr>
            <w:tcW w:w="651" w:type="dxa"/>
            <w:tcBorders>
              <w:top w:val="nil"/>
              <w:left w:val="nil"/>
              <w:bottom w:val="single" w:color="000000" w:sz="4" w:space="0"/>
              <w:right w:val="single" w:color="000000" w:sz="4" w:space="0"/>
            </w:tcBorders>
            <w:noWrap/>
            <w:vAlign w:val="center"/>
          </w:tcPr>
          <w:p w14:paraId="20E9918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27个节点</w:t>
            </w:r>
          </w:p>
        </w:tc>
      </w:tr>
      <w:tr w14:paraId="1919E69A">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7FC7670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757" w:type="dxa"/>
            <w:tcBorders>
              <w:top w:val="nil"/>
              <w:left w:val="nil"/>
              <w:bottom w:val="single" w:color="000000" w:sz="4" w:space="0"/>
              <w:right w:val="single" w:color="000000" w:sz="4" w:space="0"/>
            </w:tcBorders>
            <w:vAlign w:val="center"/>
          </w:tcPr>
          <w:p w14:paraId="1FC83EA7">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分布式数仓</w:t>
            </w:r>
          </w:p>
        </w:tc>
        <w:tc>
          <w:tcPr>
            <w:tcW w:w="6729" w:type="dxa"/>
            <w:tcBorders>
              <w:top w:val="single" w:color="000000" w:sz="4" w:space="0"/>
              <w:left w:val="nil"/>
              <w:bottom w:val="single" w:color="000000" w:sz="4" w:space="0"/>
              <w:right w:val="single" w:color="000000" w:sz="4" w:space="0"/>
            </w:tcBorders>
            <w:vAlign w:val="center"/>
          </w:tcPr>
          <w:p w14:paraId="1FE1CAE9">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w:t>
            </w:r>
            <w:r>
              <w:rPr>
                <w:rFonts w:hint="eastAsia" w:cs="宋体"/>
                <w:color w:val="auto"/>
                <w:kern w:val="0"/>
                <w:sz w:val="21"/>
                <w:szCs w:val="21"/>
                <w:highlight w:val="none"/>
                <w:lang w:val="en-US" w:eastAsia="zh-CN"/>
              </w:rPr>
              <w:t>支持</w:t>
            </w:r>
            <w:r>
              <w:rPr>
                <w:rFonts w:hint="eastAsia" w:cs="宋体"/>
                <w:color w:val="auto"/>
                <w:kern w:val="0"/>
                <w:sz w:val="21"/>
                <w:szCs w:val="21"/>
                <w:highlight w:val="none"/>
              </w:rPr>
              <w:t>部署在不低于6</w:t>
            </w:r>
            <w:r>
              <w:rPr>
                <w:rFonts w:cs="宋体"/>
                <w:color w:val="auto"/>
                <w:kern w:val="0"/>
                <w:sz w:val="21"/>
                <w:szCs w:val="21"/>
                <w:highlight w:val="none"/>
              </w:rPr>
              <w:t>4</w:t>
            </w:r>
            <w:r>
              <w:rPr>
                <w:rFonts w:hint="eastAsia" w:cs="宋体"/>
                <w:color w:val="auto"/>
                <w:kern w:val="0"/>
                <w:sz w:val="21"/>
                <w:szCs w:val="21"/>
                <w:highlight w:val="none"/>
              </w:rPr>
              <w:t>vCPU的算力环境，每节点平均可提供不低于1</w:t>
            </w:r>
            <w:r>
              <w:rPr>
                <w:rFonts w:cs="宋体"/>
                <w:color w:val="auto"/>
                <w:kern w:val="0"/>
                <w:sz w:val="21"/>
                <w:szCs w:val="21"/>
                <w:highlight w:val="none"/>
              </w:rPr>
              <w:t>9</w:t>
            </w:r>
            <w:r>
              <w:rPr>
                <w:rFonts w:hint="eastAsia" w:cs="宋体"/>
                <w:color w:val="auto"/>
                <w:kern w:val="0"/>
                <w:sz w:val="21"/>
                <w:szCs w:val="21"/>
                <w:highlight w:val="none"/>
              </w:rPr>
              <w:t>TB的数据处理能力。</w:t>
            </w:r>
          </w:p>
          <w:p w14:paraId="21BD027A">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 xml:space="preserve">1. </w:t>
            </w:r>
            <w:r>
              <w:rPr>
                <w:rFonts w:hint="eastAsia" w:cs="宋体"/>
                <w:color w:val="auto"/>
                <w:kern w:val="0"/>
                <w:sz w:val="21"/>
                <w:szCs w:val="21"/>
                <w:highlight w:val="none"/>
                <w:lang w:val="en-US" w:eastAsia="zh-CN"/>
              </w:rPr>
              <w:t>提供</w:t>
            </w:r>
            <w:r>
              <w:rPr>
                <w:rFonts w:hint="eastAsia" w:cs="宋体"/>
                <w:color w:val="auto"/>
                <w:kern w:val="0"/>
                <w:sz w:val="21"/>
                <w:szCs w:val="21"/>
                <w:highlight w:val="none"/>
              </w:rPr>
              <w:t>单集群不少于2000节点集群规模,提供第三方认证证书。支持在线扩容，扩容过程中数据持续可查询（包括正在数据重分布的表）；数据重分布阶段支持主流DDL（Insert/Delete/Update/Mergeinto/Drop/Truncate/TRUNCATE-PARTITION），提供官方文档证明；</w:t>
            </w:r>
          </w:p>
          <w:p w14:paraId="170DD9E3">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 xml:space="preserve">2. </w:t>
            </w:r>
            <w:r>
              <w:rPr>
                <w:rFonts w:hint="eastAsia" w:cs="宋体"/>
                <w:color w:val="auto"/>
                <w:kern w:val="0"/>
                <w:sz w:val="21"/>
                <w:szCs w:val="21"/>
                <w:highlight w:val="none"/>
                <w:lang w:val="en-US" w:eastAsia="zh-CN"/>
              </w:rPr>
              <w:t>提供</w:t>
            </w:r>
            <w:r>
              <w:rPr>
                <w:rFonts w:hint="eastAsia" w:cs="宋体"/>
                <w:color w:val="auto"/>
                <w:kern w:val="0"/>
                <w:sz w:val="21"/>
                <w:szCs w:val="21"/>
                <w:highlight w:val="none"/>
              </w:rPr>
              <w:t>数据主备从副本高可用设计，</w:t>
            </w:r>
            <w:r>
              <w:rPr>
                <w:rFonts w:hint="eastAsia" w:cs="宋体"/>
                <w:color w:val="auto"/>
                <w:kern w:val="0"/>
                <w:sz w:val="21"/>
                <w:szCs w:val="21"/>
                <w:highlight w:val="none"/>
                <w:lang w:val="en-US" w:eastAsia="zh-CN"/>
              </w:rPr>
              <w:t>提供</w:t>
            </w:r>
            <w:r>
              <w:rPr>
                <w:rFonts w:hint="eastAsia" w:cs="宋体"/>
                <w:color w:val="auto"/>
                <w:kern w:val="0"/>
                <w:sz w:val="21"/>
                <w:szCs w:val="21"/>
                <w:highlight w:val="none"/>
              </w:rPr>
              <w:t>节点故障后持续运行且无单点失败风险。数仓集群管理组件可以实时监控服务状态，对故障实例能够自动拉起或者进行自动主备切换；</w:t>
            </w:r>
          </w:p>
          <w:p w14:paraId="26E34645">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支持ANSI/ISO标准的SQL92、SQL99和SQL2003语法，支持 Merge into语法、upsert语法，支持全局Sequence，支持Plan hint，支持用户添加Hints(提示)来实现干预执行计划；</w:t>
            </w:r>
          </w:p>
          <w:p w14:paraId="09A95182">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4. 支持行存储引擎和列存储引擎，支持行列表关联运算；</w:t>
            </w:r>
          </w:p>
          <w:p w14:paraId="2AF0D580">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5．支持3种及以上压缩级别，根据压缩级别不同，压缩比可达1~20倍，压缩数据对用户透明，无需用户解压直接访问；</w:t>
            </w:r>
          </w:p>
          <w:p w14:paraId="7E8F371B">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6. 内置安全函数，支持对数据透明加密。支持的cryptotype：aes128, aes192, aes256, sm4。支持的cryptomode：cbc。支持的hashmethod：sha256, sha384, sha512, sm3。内置国密算法SM3、SM4。</w:t>
            </w:r>
          </w:p>
        </w:tc>
        <w:tc>
          <w:tcPr>
            <w:tcW w:w="651" w:type="dxa"/>
            <w:tcBorders>
              <w:top w:val="nil"/>
              <w:left w:val="nil"/>
              <w:bottom w:val="single" w:color="000000" w:sz="4" w:space="0"/>
              <w:right w:val="single" w:color="000000" w:sz="4" w:space="0"/>
            </w:tcBorders>
            <w:noWrap/>
            <w:vAlign w:val="center"/>
          </w:tcPr>
          <w:p w14:paraId="5741F9D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4个节点</w:t>
            </w:r>
          </w:p>
        </w:tc>
      </w:tr>
      <w:tr w14:paraId="2926DB45">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11B0585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w:t>
            </w:r>
          </w:p>
        </w:tc>
        <w:tc>
          <w:tcPr>
            <w:tcW w:w="757" w:type="dxa"/>
            <w:tcBorders>
              <w:top w:val="nil"/>
              <w:left w:val="nil"/>
              <w:bottom w:val="single" w:color="000000" w:sz="4" w:space="0"/>
              <w:right w:val="single" w:color="000000" w:sz="4" w:space="0"/>
            </w:tcBorders>
            <w:vAlign w:val="center"/>
          </w:tcPr>
          <w:p w14:paraId="3539FCD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关系型数据库</w:t>
            </w:r>
          </w:p>
        </w:tc>
        <w:tc>
          <w:tcPr>
            <w:tcW w:w="6729" w:type="dxa"/>
            <w:tcBorders>
              <w:top w:val="single" w:color="000000" w:sz="4" w:space="0"/>
              <w:left w:val="nil"/>
              <w:bottom w:val="single" w:color="000000" w:sz="4" w:space="0"/>
              <w:right w:val="single" w:color="000000" w:sz="4" w:space="0"/>
            </w:tcBorders>
            <w:vAlign w:val="center"/>
          </w:tcPr>
          <w:p w14:paraId="4AC32871">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每节点支持部署在不低于</w:t>
            </w:r>
            <w:r>
              <w:rPr>
                <w:rFonts w:cs="宋体"/>
                <w:color w:val="auto"/>
                <w:kern w:val="0"/>
                <w:sz w:val="21"/>
                <w:szCs w:val="21"/>
                <w:highlight w:val="none"/>
              </w:rPr>
              <w:t>16</w:t>
            </w:r>
            <w:r>
              <w:rPr>
                <w:rFonts w:hint="eastAsia" w:cs="宋体"/>
                <w:color w:val="auto"/>
                <w:kern w:val="0"/>
                <w:sz w:val="21"/>
                <w:szCs w:val="21"/>
                <w:highlight w:val="none"/>
              </w:rPr>
              <w:t>vCPU算力环境。</w:t>
            </w:r>
          </w:p>
          <w:p w14:paraId="6C39D86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支持SMP并行计算、节点负载均衡、数据分布等关键特性，具备高性能事务处理能力；</w:t>
            </w:r>
          </w:p>
          <w:p w14:paraId="48283DF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支持数据库容量和性能的线性扩展,同时支持在线扩容能力，保障核心关键系统的业务不中断；</w:t>
            </w:r>
          </w:p>
          <w:p w14:paraId="7CCB18B9">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关键部件达到安全可靠测评等级I级及以上，提供官方证明材料；</w:t>
            </w:r>
          </w:p>
          <w:p w14:paraId="3F528B57">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4. 支持自动备份管理，可配置自动备份策略。</w:t>
            </w:r>
          </w:p>
        </w:tc>
        <w:tc>
          <w:tcPr>
            <w:tcW w:w="651" w:type="dxa"/>
            <w:tcBorders>
              <w:top w:val="nil"/>
              <w:left w:val="nil"/>
              <w:bottom w:val="single" w:color="000000" w:sz="4" w:space="0"/>
              <w:right w:val="single" w:color="000000" w:sz="4" w:space="0"/>
            </w:tcBorders>
            <w:noWrap/>
            <w:vAlign w:val="center"/>
          </w:tcPr>
          <w:p w14:paraId="5CB865D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24个节点</w:t>
            </w:r>
          </w:p>
        </w:tc>
      </w:tr>
      <w:tr w14:paraId="3F6C86DF">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52B69F7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w:t>
            </w:r>
          </w:p>
        </w:tc>
        <w:tc>
          <w:tcPr>
            <w:tcW w:w="757" w:type="dxa"/>
            <w:tcBorders>
              <w:top w:val="nil"/>
              <w:left w:val="nil"/>
              <w:bottom w:val="single" w:color="000000" w:sz="4" w:space="0"/>
              <w:right w:val="single" w:color="000000" w:sz="4" w:space="0"/>
            </w:tcBorders>
            <w:vAlign w:val="center"/>
          </w:tcPr>
          <w:p w14:paraId="431050F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列式存储数据库</w:t>
            </w:r>
          </w:p>
        </w:tc>
        <w:tc>
          <w:tcPr>
            <w:tcW w:w="6729" w:type="dxa"/>
            <w:tcBorders>
              <w:top w:val="single" w:color="000000" w:sz="4" w:space="0"/>
              <w:left w:val="nil"/>
              <w:bottom w:val="single" w:color="000000" w:sz="4" w:space="0"/>
              <w:right w:val="single" w:color="000000" w:sz="4" w:space="0"/>
            </w:tcBorders>
            <w:vAlign w:val="center"/>
          </w:tcPr>
          <w:p w14:paraId="61233850">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每节点授权支持部署在不低于8</w:t>
            </w:r>
            <w:r>
              <w:rPr>
                <w:rFonts w:cs="宋体"/>
                <w:color w:val="auto"/>
                <w:kern w:val="0"/>
                <w:sz w:val="21"/>
                <w:szCs w:val="21"/>
                <w:highlight w:val="none"/>
              </w:rPr>
              <w:t>0</w:t>
            </w:r>
            <w:r>
              <w:rPr>
                <w:rFonts w:hint="eastAsia" w:cs="宋体"/>
                <w:color w:val="auto"/>
                <w:kern w:val="0"/>
                <w:sz w:val="21"/>
                <w:szCs w:val="21"/>
                <w:highlight w:val="none"/>
              </w:rPr>
              <w:t>vCPU算力环境，每个节点平均可提供不低于1</w:t>
            </w:r>
            <w:r>
              <w:rPr>
                <w:rFonts w:cs="宋体"/>
                <w:color w:val="auto"/>
                <w:kern w:val="0"/>
                <w:sz w:val="21"/>
                <w:szCs w:val="21"/>
                <w:highlight w:val="none"/>
              </w:rPr>
              <w:t>0</w:t>
            </w:r>
            <w:r>
              <w:rPr>
                <w:rFonts w:hint="eastAsia" w:cs="宋体"/>
                <w:color w:val="auto"/>
                <w:kern w:val="0"/>
                <w:sz w:val="21"/>
                <w:szCs w:val="21"/>
                <w:highlight w:val="none"/>
              </w:rPr>
              <w:t>TB的数据处理能力。</w:t>
            </w:r>
          </w:p>
          <w:p w14:paraId="5ACE4272">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支持界面化定义用户、用户组、角色；权限管理支持库、表级别的访问权限控制；</w:t>
            </w:r>
          </w:p>
          <w:p w14:paraId="2DC0EDFF">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支持LB的高可靠，server单点故障不影响业务；</w:t>
            </w:r>
          </w:p>
          <w:p w14:paraId="6EAFBF78">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支持可视化的数据迁移操作，支持限速、定时任务；</w:t>
            </w:r>
          </w:p>
          <w:p w14:paraId="454E7873">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4．支持慢SQL监控、告警、一键停止；</w:t>
            </w:r>
          </w:p>
          <w:p w14:paraId="21074306">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5. 支持可视化元数据、业务数据备份恢复能力。</w:t>
            </w:r>
          </w:p>
        </w:tc>
        <w:tc>
          <w:tcPr>
            <w:tcW w:w="651" w:type="dxa"/>
            <w:tcBorders>
              <w:top w:val="nil"/>
              <w:left w:val="nil"/>
              <w:bottom w:val="single" w:color="000000" w:sz="4" w:space="0"/>
              <w:right w:val="single" w:color="000000" w:sz="4" w:space="0"/>
            </w:tcBorders>
            <w:noWrap/>
            <w:vAlign w:val="center"/>
          </w:tcPr>
          <w:p w14:paraId="2EA307BC">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6个授权</w:t>
            </w:r>
          </w:p>
        </w:tc>
      </w:tr>
      <w:tr w14:paraId="26F5A580">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417EEF1B">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5</w:t>
            </w:r>
          </w:p>
        </w:tc>
        <w:tc>
          <w:tcPr>
            <w:tcW w:w="757" w:type="dxa"/>
            <w:tcBorders>
              <w:top w:val="nil"/>
              <w:left w:val="nil"/>
              <w:bottom w:val="single" w:color="000000" w:sz="4" w:space="0"/>
              <w:right w:val="single" w:color="000000" w:sz="4" w:space="0"/>
            </w:tcBorders>
            <w:vAlign w:val="center"/>
          </w:tcPr>
          <w:p w14:paraId="3DA7AD55">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内存数据库</w:t>
            </w:r>
          </w:p>
        </w:tc>
        <w:tc>
          <w:tcPr>
            <w:tcW w:w="6729" w:type="dxa"/>
            <w:tcBorders>
              <w:top w:val="single" w:color="000000" w:sz="4" w:space="0"/>
              <w:left w:val="nil"/>
              <w:bottom w:val="single" w:color="000000" w:sz="4" w:space="0"/>
              <w:right w:val="single" w:color="000000" w:sz="4" w:space="0"/>
            </w:tcBorders>
            <w:vAlign w:val="center"/>
          </w:tcPr>
          <w:p w14:paraId="3498FEAC">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lang w:val="en-US" w:eastAsia="zh-CN"/>
              </w:rPr>
              <w:t>提供</w:t>
            </w:r>
            <w:r>
              <w:rPr>
                <w:rFonts w:hint="eastAsia" w:cs="宋体"/>
                <w:color w:val="auto"/>
                <w:kern w:val="0"/>
                <w:sz w:val="21"/>
                <w:szCs w:val="21"/>
                <w:highlight w:val="none"/>
              </w:rPr>
              <w:t>主备或集群两种部署形态，各占一半，单位为GB。</w:t>
            </w:r>
          </w:p>
          <w:p w14:paraId="08FE8F90">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提供主备高可靠Redis实例，支持备份恢复、数据持久化、故障自动倒换；</w:t>
            </w:r>
          </w:p>
          <w:p w14:paraId="03C8CEB1">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提供可视化运维能力，支持不少于30种性能监控指标，快速定位定界Redis性能问题；</w:t>
            </w:r>
          </w:p>
          <w:p w14:paraId="24669E3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支持在线平滑扩容，可在租户界面触发实例在线扩容，提升性能规格和容量；</w:t>
            </w:r>
          </w:p>
          <w:p w14:paraId="0945070D">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4．提供VM级别的安全隔离能力，保障客户系统和数据安全；</w:t>
            </w:r>
          </w:p>
          <w:p w14:paraId="143B9923">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5．主备和集群实例支持对Redis实例数据进行备份和恢复操作等，快速进行故障恢复和数据回档；</w:t>
            </w:r>
          </w:p>
        </w:tc>
        <w:tc>
          <w:tcPr>
            <w:tcW w:w="651" w:type="dxa"/>
            <w:tcBorders>
              <w:top w:val="nil"/>
              <w:left w:val="nil"/>
              <w:bottom w:val="single" w:color="000000" w:sz="4" w:space="0"/>
              <w:right w:val="single" w:color="000000" w:sz="4" w:space="0"/>
            </w:tcBorders>
            <w:noWrap/>
            <w:vAlign w:val="center"/>
          </w:tcPr>
          <w:p w14:paraId="4D6E9923">
            <w:pPr>
              <w:widowControl/>
              <w:spacing w:line="240" w:lineRule="auto"/>
              <w:ind w:firstLine="0" w:firstLineChars="0"/>
              <w:jc w:val="center"/>
              <w:rPr>
                <w:rFonts w:hint="default" w:eastAsia="宋体" w:cs="宋体"/>
                <w:color w:val="auto"/>
                <w:kern w:val="0"/>
                <w:sz w:val="21"/>
                <w:szCs w:val="21"/>
                <w:highlight w:val="none"/>
                <w:lang w:val="en-US" w:eastAsia="zh-CN"/>
              </w:rPr>
            </w:pPr>
            <w:r>
              <w:rPr>
                <w:rFonts w:hint="eastAsia" w:cs="宋体"/>
                <w:color w:val="auto"/>
                <w:kern w:val="0"/>
                <w:sz w:val="21"/>
                <w:szCs w:val="21"/>
                <w:highlight w:val="none"/>
                <w:lang w:val="en-US" w:eastAsia="zh-CN"/>
              </w:rPr>
              <w:t>2000GB</w:t>
            </w:r>
          </w:p>
        </w:tc>
      </w:tr>
      <w:tr w14:paraId="6405FCE5">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38DAF02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6</w:t>
            </w:r>
          </w:p>
        </w:tc>
        <w:tc>
          <w:tcPr>
            <w:tcW w:w="757" w:type="dxa"/>
            <w:tcBorders>
              <w:top w:val="nil"/>
              <w:left w:val="nil"/>
              <w:bottom w:val="single" w:color="000000" w:sz="4" w:space="0"/>
              <w:right w:val="single" w:color="000000" w:sz="4" w:space="0"/>
            </w:tcBorders>
            <w:vAlign w:val="center"/>
          </w:tcPr>
          <w:p w14:paraId="423AC02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数据传输工具</w:t>
            </w:r>
          </w:p>
        </w:tc>
        <w:tc>
          <w:tcPr>
            <w:tcW w:w="6729" w:type="dxa"/>
            <w:tcBorders>
              <w:top w:val="single" w:color="000000" w:sz="4" w:space="0"/>
              <w:left w:val="nil"/>
              <w:bottom w:val="single" w:color="000000" w:sz="4" w:space="0"/>
              <w:right w:val="single" w:color="000000" w:sz="4" w:space="0"/>
            </w:tcBorders>
            <w:vAlign w:val="center"/>
          </w:tcPr>
          <w:p w14:paraId="14ADFBFD">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1套，支持</w:t>
            </w:r>
            <w:r>
              <w:rPr>
                <w:rFonts w:hint="eastAsia" w:cs="宋体"/>
                <w:color w:val="auto"/>
                <w:kern w:val="0"/>
                <w:sz w:val="21"/>
                <w:szCs w:val="21"/>
                <w:highlight w:val="none"/>
                <w:lang w:val="en-US" w:eastAsia="zh-CN"/>
              </w:rPr>
              <w:t>并提供</w:t>
            </w:r>
            <w:r>
              <w:rPr>
                <w:rFonts w:hint="eastAsia" w:cs="宋体"/>
                <w:color w:val="auto"/>
                <w:kern w:val="0"/>
                <w:sz w:val="21"/>
                <w:szCs w:val="21"/>
                <w:highlight w:val="none"/>
              </w:rPr>
              <w:t>迁移并发任务不少于15个；</w:t>
            </w:r>
          </w:p>
          <w:p w14:paraId="25829482">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支持源数据库写入目标数据库，支持对于已存在的库进行存在性提示、已存在的表以及数据进行存在性提示；</w:t>
            </w:r>
          </w:p>
          <w:p w14:paraId="77FB45CC">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支持对数据迁移/同步的源端和目标端数据进行全量校验；</w:t>
            </w:r>
          </w:p>
          <w:p w14:paraId="5EB9188C">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支持以库为单位同步，库内新增表将自动加入同步关系；</w:t>
            </w:r>
          </w:p>
          <w:p w14:paraId="5F06BED1">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4. 支持以表为单位同步。</w:t>
            </w:r>
          </w:p>
        </w:tc>
        <w:tc>
          <w:tcPr>
            <w:tcW w:w="651" w:type="dxa"/>
            <w:tcBorders>
              <w:top w:val="nil"/>
              <w:left w:val="nil"/>
              <w:bottom w:val="single" w:color="000000" w:sz="4" w:space="0"/>
              <w:right w:val="single" w:color="000000" w:sz="4" w:space="0"/>
            </w:tcBorders>
            <w:noWrap/>
            <w:vAlign w:val="center"/>
          </w:tcPr>
          <w:p w14:paraId="20D344E0">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套</w:t>
            </w:r>
          </w:p>
        </w:tc>
      </w:tr>
      <w:tr w14:paraId="1D674B97">
        <w:tblPrEx>
          <w:tblCellMar>
            <w:top w:w="0" w:type="dxa"/>
            <w:left w:w="108" w:type="dxa"/>
            <w:bottom w:w="0" w:type="dxa"/>
            <w:right w:w="108" w:type="dxa"/>
          </w:tblCellMar>
        </w:tblPrEx>
        <w:trPr>
          <w:trHeight w:val="315" w:hRule="atLeast"/>
        </w:trPr>
        <w:tc>
          <w:tcPr>
            <w:tcW w:w="391" w:type="dxa"/>
            <w:tcBorders>
              <w:top w:val="nil"/>
              <w:left w:val="single" w:color="000000" w:sz="4" w:space="0"/>
              <w:bottom w:val="single" w:color="000000" w:sz="4" w:space="0"/>
              <w:right w:val="single" w:color="000000" w:sz="4" w:space="0"/>
            </w:tcBorders>
            <w:vAlign w:val="center"/>
          </w:tcPr>
          <w:p w14:paraId="54C3CDE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7</w:t>
            </w:r>
          </w:p>
        </w:tc>
        <w:tc>
          <w:tcPr>
            <w:tcW w:w="757" w:type="dxa"/>
            <w:tcBorders>
              <w:top w:val="nil"/>
              <w:left w:val="nil"/>
              <w:bottom w:val="single" w:color="000000" w:sz="4" w:space="0"/>
              <w:right w:val="single" w:color="000000" w:sz="4" w:space="0"/>
            </w:tcBorders>
            <w:vAlign w:val="center"/>
          </w:tcPr>
          <w:p w14:paraId="76BE382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表格存储</w:t>
            </w:r>
          </w:p>
        </w:tc>
        <w:tc>
          <w:tcPr>
            <w:tcW w:w="6729" w:type="dxa"/>
            <w:tcBorders>
              <w:top w:val="single" w:color="000000" w:sz="4" w:space="0"/>
              <w:left w:val="nil"/>
              <w:bottom w:val="single" w:color="000000" w:sz="4" w:space="0"/>
              <w:right w:val="single" w:color="000000" w:sz="4" w:space="0"/>
            </w:tcBorders>
            <w:vAlign w:val="center"/>
          </w:tcPr>
          <w:p w14:paraId="04870F17">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每节点支持部署在不低于8</w:t>
            </w:r>
            <w:r>
              <w:rPr>
                <w:rFonts w:cs="宋体"/>
                <w:color w:val="auto"/>
                <w:kern w:val="0"/>
                <w:sz w:val="21"/>
                <w:szCs w:val="21"/>
                <w:highlight w:val="none"/>
              </w:rPr>
              <w:t>0vCPU</w:t>
            </w:r>
            <w:r>
              <w:rPr>
                <w:rFonts w:hint="eastAsia" w:cs="宋体"/>
                <w:color w:val="auto"/>
                <w:kern w:val="0"/>
                <w:sz w:val="21"/>
                <w:szCs w:val="21"/>
                <w:highlight w:val="none"/>
              </w:rPr>
              <w:t>的算力环境，每节点平均可提供不低于2</w:t>
            </w:r>
            <w:r>
              <w:rPr>
                <w:rFonts w:cs="宋体"/>
                <w:color w:val="auto"/>
                <w:kern w:val="0"/>
                <w:sz w:val="21"/>
                <w:szCs w:val="21"/>
                <w:highlight w:val="none"/>
              </w:rPr>
              <w:t>2</w:t>
            </w:r>
            <w:r>
              <w:rPr>
                <w:rFonts w:hint="eastAsia" w:cs="宋体"/>
                <w:color w:val="auto"/>
                <w:kern w:val="0"/>
                <w:sz w:val="21"/>
                <w:szCs w:val="21"/>
                <w:highlight w:val="none"/>
              </w:rPr>
              <w:t>TB的数据处理能力。</w:t>
            </w:r>
          </w:p>
          <w:p w14:paraId="7A7C52C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开源的、面向列、适合存储海量非结构化数据或半结构化数据的、具备高可靠性、高性能、可灵活扩展伸缩的、支持实时数据读写的分布式存储系统。</w:t>
            </w:r>
          </w:p>
        </w:tc>
        <w:tc>
          <w:tcPr>
            <w:tcW w:w="651" w:type="dxa"/>
            <w:tcBorders>
              <w:top w:val="nil"/>
              <w:left w:val="nil"/>
              <w:bottom w:val="single" w:color="000000" w:sz="4" w:space="0"/>
              <w:right w:val="single" w:color="000000" w:sz="4" w:space="0"/>
            </w:tcBorders>
            <w:noWrap/>
            <w:vAlign w:val="center"/>
          </w:tcPr>
          <w:p w14:paraId="0E819CC1">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7</w:t>
            </w:r>
            <w:r>
              <w:rPr>
                <w:rFonts w:hint="eastAsia" w:cs="宋体"/>
                <w:color w:val="auto"/>
                <w:kern w:val="0"/>
                <w:sz w:val="21"/>
                <w:szCs w:val="21"/>
                <w:highlight w:val="none"/>
                <w:lang w:val="en-US" w:eastAsia="zh-CN"/>
              </w:rPr>
              <w:t>节点</w:t>
            </w:r>
          </w:p>
        </w:tc>
      </w:tr>
      <w:tr w14:paraId="0C8363B0">
        <w:tblPrEx>
          <w:tblCellMar>
            <w:top w:w="0" w:type="dxa"/>
            <w:left w:w="108" w:type="dxa"/>
            <w:bottom w:w="0" w:type="dxa"/>
            <w:right w:w="108" w:type="dxa"/>
          </w:tblCellMar>
        </w:tblPrEx>
        <w:trPr>
          <w:trHeight w:val="315" w:hRule="atLeast"/>
        </w:trPr>
        <w:tc>
          <w:tcPr>
            <w:tcW w:w="391" w:type="dxa"/>
            <w:tcBorders>
              <w:top w:val="nil"/>
              <w:left w:val="single" w:color="000000" w:sz="4" w:space="0"/>
              <w:bottom w:val="single" w:color="000000" w:sz="4" w:space="0"/>
              <w:right w:val="single" w:color="000000" w:sz="4" w:space="0"/>
            </w:tcBorders>
            <w:vAlign w:val="center"/>
          </w:tcPr>
          <w:p w14:paraId="1ECBB18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8</w:t>
            </w:r>
          </w:p>
        </w:tc>
        <w:tc>
          <w:tcPr>
            <w:tcW w:w="757" w:type="dxa"/>
            <w:tcBorders>
              <w:top w:val="nil"/>
              <w:left w:val="nil"/>
              <w:bottom w:val="single" w:color="000000" w:sz="4" w:space="0"/>
              <w:right w:val="single" w:color="000000" w:sz="4" w:space="0"/>
            </w:tcBorders>
            <w:vAlign w:val="center"/>
          </w:tcPr>
          <w:p w14:paraId="0766617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实时计算</w:t>
            </w:r>
          </w:p>
        </w:tc>
        <w:tc>
          <w:tcPr>
            <w:tcW w:w="6729" w:type="dxa"/>
            <w:tcBorders>
              <w:top w:val="single" w:color="000000" w:sz="4" w:space="0"/>
              <w:left w:val="nil"/>
              <w:bottom w:val="single" w:color="000000" w:sz="4" w:space="0"/>
              <w:right w:val="single" w:color="000000" w:sz="4" w:space="0"/>
            </w:tcBorders>
            <w:vAlign w:val="center"/>
          </w:tcPr>
          <w:p w14:paraId="5162CD57">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每节点支持部署在不低于8</w:t>
            </w:r>
            <w:r>
              <w:rPr>
                <w:rFonts w:cs="宋体"/>
                <w:color w:val="auto"/>
                <w:kern w:val="0"/>
                <w:sz w:val="21"/>
                <w:szCs w:val="21"/>
                <w:highlight w:val="none"/>
              </w:rPr>
              <w:t>0vCPU</w:t>
            </w:r>
            <w:r>
              <w:rPr>
                <w:rFonts w:hint="eastAsia" w:cs="宋体"/>
                <w:color w:val="auto"/>
                <w:kern w:val="0"/>
                <w:sz w:val="21"/>
                <w:szCs w:val="21"/>
                <w:highlight w:val="none"/>
              </w:rPr>
              <w:t>的算力环境，每节点平均可提供不低于</w:t>
            </w:r>
            <w:r>
              <w:rPr>
                <w:rFonts w:cs="宋体"/>
                <w:color w:val="auto"/>
                <w:kern w:val="0"/>
                <w:sz w:val="21"/>
                <w:szCs w:val="21"/>
                <w:highlight w:val="none"/>
              </w:rPr>
              <w:t>15MB</w:t>
            </w:r>
            <w:r>
              <w:rPr>
                <w:rFonts w:hint="eastAsia" w:cs="宋体"/>
                <w:color w:val="auto"/>
                <w:kern w:val="0"/>
                <w:sz w:val="21"/>
                <w:szCs w:val="21"/>
                <w:highlight w:val="none"/>
              </w:rPr>
              <w:t>p</w:t>
            </w:r>
            <w:r>
              <w:rPr>
                <w:rFonts w:cs="宋体"/>
                <w:color w:val="auto"/>
                <w:kern w:val="0"/>
                <w:sz w:val="21"/>
                <w:szCs w:val="21"/>
                <w:highlight w:val="none"/>
              </w:rPr>
              <w:t>s</w:t>
            </w:r>
            <w:r>
              <w:rPr>
                <w:rFonts w:hint="eastAsia" w:cs="宋体"/>
                <w:color w:val="auto"/>
                <w:kern w:val="0"/>
                <w:sz w:val="21"/>
                <w:szCs w:val="21"/>
                <w:highlight w:val="none"/>
              </w:rPr>
              <w:t>的数据处理能力。</w:t>
            </w:r>
          </w:p>
          <w:p w14:paraId="536B5EC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提供可视化Flink SQL作业提交和任务管理能力, 支持同一套Flink SQL定义批量计算作业和流式计算作业，提供官方文档证明；</w:t>
            </w:r>
          </w:p>
          <w:p w14:paraId="506BB2BC">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Flink SQL支持写入多种数据源，包括Kafka、HDFS、HBase、ClickHouse、Hudi、Redis；</w:t>
            </w:r>
          </w:p>
          <w:p w14:paraId="2921D3E0">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支持同一个作业定义多个Flink SQL，多个指标合并在一个作业计算。支持一个作业窗口。</w:t>
            </w:r>
          </w:p>
        </w:tc>
        <w:tc>
          <w:tcPr>
            <w:tcW w:w="651" w:type="dxa"/>
            <w:tcBorders>
              <w:top w:val="nil"/>
              <w:left w:val="nil"/>
              <w:bottom w:val="single" w:color="000000" w:sz="4" w:space="0"/>
              <w:right w:val="single" w:color="000000" w:sz="4" w:space="0"/>
            </w:tcBorders>
            <w:noWrap/>
            <w:vAlign w:val="center"/>
          </w:tcPr>
          <w:p w14:paraId="11C9F9DE">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4</w:t>
            </w:r>
            <w:r>
              <w:rPr>
                <w:rFonts w:hint="eastAsia" w:cs="宋体"/>
                <w:color w:val="auto"/>
                <w:kern w:val="0"/>
                <w:sz w:val="21"/>
                <w:szCs w:val="21"/>
                <w:highlight w:val="none"/>
                <w:lang w:val="en-US" w:eastAsia="zh-CN"/>
              </w:rPr>
              <w:t>节点</w:t>
            </w:r>
          </w:p>
        </w:tc>
      </w:tr>
      <w:tr w14:paraId="34468520">
        <w:tblPrEx>
          <w:tblCellMar>
            <w:top w:w="0" w:type="dxa"/>
            <w:left w:w="108" w:type="dxa"/>
            <w:bottom w:w="0" w:type="dxa"/>
            <w:right w:w="108" w:type="dxa"/>
          </w:tblCellMar>
        </w:tblPrEx>
        <w:trPr>
          <w:trHeight w:val="315" w:hRule="atLeast"/>
        </w:trPr>
        <w:tc>
          <w:tcPr>
            <w:tcW w:w="391" w:type="dxa"/>
            <w:tcBorders>
              <w:top w:val="nil"/>
              <w:left w:val="single" w:color="000000" w:sz="4" w:space="0"/>
              <w:bottom w:val="single" w:color="000000" w:sz="4" w:space="0"/>
              <w:right w:val="single" w:color="000000" w:sz="4" w:space="0"/>
            </w:tcBorders>
            <w:vAlign w:val="center"/>
          </w:tcPr>
          <w:p w14:paraId="27940698">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9</w:t>
            </w:r>
          </w:p>
        </w:tc>
        <w:tc>
          <w:tcPr>
            <w:tcW w:w="757" w:type="dxa"/>
            <w:tcBorders>
              <w:top w:val="nil"/>
              <w:left w:val="nil"/>
              <w:bottom w:val="single" w:color="000000" w:sz="4" w:space="0"/>
              <w:right w:val="single" w:color="000000" w:sz="4" w:space="0"/>
            </w:tcBorders>
            <w:vAlign w:val="center"/>
          </w:tcPr>
          <w:p w14:paraId="74CDBCC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数据通道</w:t>
            </w:r>
          </w:p>
        </w:tc>
        <w:tc>
          <w:tcPr>
            <w:tcW w:w="6729" w:type="dxa"/>
            <w:tcBorders>
              <w:top w:val="single" w:color="000000" w:sz="4" w:space="0"/>
              <w:left w:val="nil"/>
              <w:bottom w:val="single" w:color="000000" w:sz="4" w:space="0"/>
              <w:right w:val="single" w:color="000000" w:sz="4" w:space="0"/>
            </w:tcBorders>
            <w:vAlign w:val="center"/>
          </w:tcPr>
          <w:p w14:paraId="70A14A3A">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每节点支持部署在不低于8</w:t>
            </w:r>
            <w:r>
              <w:rPr>
                <w:rFonts w:cs="宋体"/>
                <w:color w:val="auto"/>
                <w:kern w:val="0"/>
                <w:sz w:val="21"/>
                <w:szCs w:val="21"/>
                <w:highlight w:val="none"/>
              </w:rPr>
              <w:t>0vCPU</w:t>
            </w:r>
            <w:r>
              <w:rPr>
                <w:rFonts w:hint="eastAsia" w:cs="宋体"/>
                <w:color w:val="auto"/>
                <w:kern w:val="0"/>
                <w:sz w:val="21"/>
                <w:szCs w:val="21"/>
                <w:highlight w:val="none"/>
              </w:rPr>
              <w:t>的算力环境，每节点平均可提供不低于3</w:t>
            </w:r>
            <w:r>
              <w:rPr>
                <w:rFonts w:cs="宋体"/>
                <w:color w:val="auto"/>
                <w:kern w:val="0"/>
                <w:sz w:val="21"/>
                <w:szCs w:val="21"/>
                <w:highlight w:val="none"/>
              </w:rPr>
              <w:t>0MB</w:t>
            </w:r>
            <w:r>
              <w:rPr>
                <w:rFonts w:hint="eastAsia" w:cs="宋体"/>
                <w:color w:val="auto"/>
                <w:kern w:val="0"/>
                <w:sz w:val="21"/>
                <w:szCs w:val="21"/>
                <w:highlight w:val="none"/>
              </w:rPr>
              <w:t>p</w:t>
            </w:r>
            <w:r>
              <w:rPr>
                <w:rFonts w:cs="宋体"/>
                <w:color w:val="auto"/>
                <w:kern w:val="0"/>
                <w:sz w:val="21"/>
                <w:szCs w:val="21"/>
                <w:highlight w:val="none"/>
              </w:rPr>
              <w:t>s</w:t>
            </w:r>
            <w:r>
              <w:rPr>
                <w:rFonts w:hint="eastAsia" w:cs="宋体"/>
                <w:color w:val="auto"/>
                <w:kern w:val="0"/>
                <w:sz w:val="21"/>
                <w:szCs w:val="21"/>
                <w:highlight w:val="none"/>
              </w:rPr>
              <w:t>的数据处理能力。</w:t>
            </w:r>
          </w:p>
          <w:p w14:paraId="67DB4362">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 支持界面化管理Kafka Topic，支持页面化展示详细topic、broker、consumer信息；</w:t>
            </w:r>
          </w:p>
          <w:p w14:paraId="391ABBEA">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 提供监控告警等运维功能，支持Topic级别的监控指标显示，提供服务状态、Topic过载、内存使用率、GC时间等告警；</w:t>
            </w:r>
          </w:p>
          <w:p w14:paraId="209C4D29">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3. 提供用户权限控制功能，支持根据用户组进行鉴权，支持Delegation token机制，支持基于策略的访问控制。</w:t>
            </w:r>
          </w:p>
        </w:tc>
        <w:tc>
          <w:tcPr>
            <w:tcW w:w="651" w:type="dxa"/>
            <w:tcBorders>
              <w:top w:val="nil"/>
              <w:left w:val="nil"/>
              <w:bottom w:val="single" w:color="000000" w:sz="4" w:space="0"/>
              <w:right w:val="single" w:color="000000" w:sz="4" w:space="0"/>
            </w:tcBorders>
            <w:noWrap/>
            <w:vAlign w:val="center"/>
          </w:tcPr>
          <w:p w14:paraId="2748F0B1">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4</w:t>
            </w:r>
            <w:r>
              <w:rPr>
                <w:rFonts w:hint="eastAsia" w:cs="宋体"/>
                <w:color w:val="auto"/>
                <w:kern w:val="0"/>
                <w:sz w:val="21"/>
                <w:szCs w:val="21"/>
                <w:highlight w:val="none"/>
                <w:lang w:val="en-US" w:eastAsia="zh-CN"/>
              </w:rPr>
              <w:t>节点</w:t>
            </w:r>
          </w:p>
        </w:tc>
      </w:tr>
      <w:tr w14:paraId="1E496B17">
        <w:tblPrEx>
          <w:tblCellMar>
            <w:top w:w="0" w:type="dxa"/>
            <w:left w:w="108" w:type="dxa"/>
            <w:bottom w:w="0" w:type="dxa"/>
            <w:right w:w="108" w:type="dxa"/>
          </w:tblCellMar>
        </w:tblPrEx>
        <w:trPr>
          <w:trHeight w:val="315" w:hRule="atLeast"/>
        </w:trPr>
        <w:tc>
          <w:tcPr>
            <w:tcW w:w="391" w:type="dxa"/>
            <w:tcBorders>
              <w:top w:val="nil"/>
              <w:left w:val="single" w:color="000000" w:sz="4" w:space="0"/>
              <w:bottom w:val="single" w:color="000000" w:sz="4" w:space="0"/>
              <w:right w:val="single" w:color="000000" w:sz="4" w:space="0"/>
            </w:tcBorders>
            <w:vAlign w:val="center"/>
          </w:tcPr>
          <w:p w14:paraId="106DF9C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10</w:t>
            </w:r>
          </w:p>
        </w:tc>
        <w:tc>
          <w:tcPr>
            <w:tcW w:w="757" w:type="dxa"/>
            <w:tcBorders>
              <w:top w:val="nil"/>
              <w:left w:val="nil"/>
              <w:bottom w:val="single" w:color="000000" w:sz="4" w:space="0"/>
              <w:right w:val="single" w:color="000000" w:sz="4" w:space="0"/>
            </w:tcBorders>
            <w:vAlign w:val="center"/>
          </w:tcPr>
          <w:p w14:paraId="66137F3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全文检索</w:t>
            </w:r>
          </w:p>
        </w:tc>
        <w:tc>
          <w:tcPr>
            <w:tcW w:w="6729" w:type="dxa"/>
            <w:tcBorders>
              <w:top w:val="single" w:color="000000" w:sz="4" w:space="0"/>
              <w:left w:val="nil"/>
              <w:bottom w:val="single" w:color="000000" w:sz="4" w:space="0"/>
              <w:right w:val="single" w:color="000000" w:sz="4" w:space="0"/>
            </w:tcBorders>
            <w:vAlign w:val="center"/>
          </w:tcPr>
          <w:p w14:paraId="271D095F">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每节点支持部署在不低于8</w:t>
            </w:r>
            <w:r>
              <w:rPr>
                <w:rFonts w:cs="宋体"/>
                <w:color w:val="auto"/>
                <w:kern w:val="0"/>
                <w:sz w:val="21"/>
                <w:szCs w:val="21"/>
                <w:highlight w:val="none"/>
              </w:rPr>
              <w:t>0vCPU</w:t>
            </w:r>
            <w:r>
              <w:rPr>
                <w:rFonts w:hint="eastAsia" w:cs="宋体"/>
                <w:color w:val="auto"/>
                <w:kern w:val="0"/>
                <w:sz w:val="21"/>
                <w:szCs w:val="21"/>
                <w:highlight w:val="none"/>
              </w:rPr>
              <w:t>的算力环境，每节点平均可提供不低于</w:t>
            </w:r>
            <w:r>
              <w:rPr>
                <w:rFonts w:cs="宋体"/>
                <w:color w:val="auto"/>
                <w:kern w:val="0"/>
                <w:sz w:val="21"/>
                <w:szCs w:val="21"/>
                <w:highlight w:val="none"/>
              </w:rPr>
              <w:t>10TB</w:t>
            </w:r>
            <w:r>
              <w:rPr>
                <w:rFonts w:hint="eastAsia" w:cs="宋体"/>
                <w:color w:val="auto"/>
                <w:kern w:val="0"/>
                <w:sz w:val="21"/>
                <w:szCs w:val="21"/>
                <w:highlight w:val="none"/>
              </w:rPr>
              <w:t>的数据处理能力。</w:t>
            </w:r>
          </w:p>
          <w:p w14:paraId="1AD421D3">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1、实时分布式搜索与分析引擎，提供分布式服务，开箱即用；</w:t>
            </w:r>
          </w:p>
          <w:p w14:paraId="3363E0D5">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2、集成安全能力、中文分词器、SQL、向量检索、生命周期管理等能力；3、可以与kibana、logstash、beats组合使用处理分析日志，也可以与spark、hive等hadoop生态组件组合使用。</w:t>
            </w:r>
          </w:p>
        </w:tc>
        <w:tc>
          <w:tcPr>
            <w:tcW w:w="651" w:type="dxa"/>
            <w:tcBorders>
              <w:top w:val="nil"/>
              <w:left w:val="nil"/>
              <w:bottom w:val="single" w:color="000000" w:sz="4" w:space="0"/>
              <w:right w:val="single" w:color="000000" w:sz="4" w:space="0"/>
            </w:tcBorders>
            <w:noWrap/>
            <w:vAlign w:val="center"/>
          </w:tcPr>
          <w:p w14:paraId="5A12CCD8">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12</w:t>
            </w:r>
            <w:r>
              <w:rPr>
                <w:rFonts w:hint="eastAsia" w:cs="宋体"/>
                <w:color w:val="auto"/>
                <w:kern w:val="0"/>
                <w:sz w:val="21"/>
                <w:szCs w:val="21"/>
                <w:highlight w:val="none"/>
                <w:lang w:val="en-US" w:eastAsia="zh-CN"/>
              </w:rPr>
              <w:t>节点</w:t>
            </w:r>
          </w:p>
        </w:tc>
      </w:tr>
      <w:tr w14:paraId="1903B5E3">
        <w:tblPrEx>
          <w:tblCellMar>
            <w:top w:w="0" w:type="dxa"/>
            <w:left w:w="108" w:type="dxa"/>
            <w:bottom w:w="0" w:type="dxa"/>
            <w:right w:w="108" w:type="dxa"/>
          </w:tblCellMar>
        </w:tblPrEx>
        <w:trPr>
          <w:trHeight w:val="945" w:hRule="atLeast"/>
        </w:trPr>
        <w:tc>
          <w:tcPr>
            <w:tcW w:w="391" w:type="dxa"/>
            <w:tcBorders>
              <w:top w:val="nil"/>
              <w:left w:val="single" w:color="000000" w:sz="4" w:space="0"/>
              <w:bottom w:val="single" w:color="000000" w:sz="4" w:space="0"/>
              <w:right w:val="single" w:color="000000" w:sz="4" w:space="0"/>
            </w:tcBorders>
            <w:vAlign w:val="center"/>
          </w:tcPr>
          <w:p w14:paraId="019E050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11</w:t>
            </w:r>
          </w:p>
        </w:tc>
        <w:tc>
          <w:tcPr>
            <w:tcW w:w="757" w:type="dxa"/>
            <w:tcBorders>
              <w:top w:val="nil"/>
              <w:left w:val="nil"/>
              <w:bottom w:val="single" w:color="000000" w:sz="4" w:space="0"/>
              <w:right w:val="single" w:color="000000" w:sz="4" w:space="0"/>
            </w:tcBorders>
            <w:vAlign w:val="center"/>
          </w:tcPr>
          <w:p w14:paraId="2634D0A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应用与数据集成平台</w:t>
            </w:r>
          </w:p>
        </w:tc>
        <w:tc>
          <w:tcPr>
            <w:tcW w:w="6729" w:type="dxa"/>
            <w:tcBorders>
              <w:top w:val="single" w:color="000000" w:sz="4" w:space="0"/>
              <w:left w:val="nil"/>
              <w:bottom w:val="single" w:color="000000" w:sz="4" w:space="0"/>
              <w:right w:val="single" w:color="000000" w:sz="4" w:space="0"/>
            </w:tcBorders>
            <w:vAlign w:val="center"/>
          </w:tcPr>
          <w:p w14:paraId="14A4714F">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1套，支持</w:t>
            </w:r>
            <w:r>
              <w:rPr>
                <w:rFonts w:hint="eastAsia" w:cs="宋体"/>
                <w:color w:val="auto"/>
                <w:kern w:val="0"/>
                <w:sz w:val="21"/>
                <w:szCs w:val="21"/>
                <w:highlight w:val="none"/>
                <w:lang w:val="en-US" w:eastAsia="zh-CN"/>
              </w:rPr>
              <w:t>并提供</w:t>
            </w:r>
            <w:r>
              <w:rPr>
                <w:rFonts w:hint="eastAsia" w:cs="宋体"/>
                <w:color w:val="auto"/>
                <w:kern w:val="0"/>
                <w:sz w:val="21"/>
                <w:szCs w:val="21"/>
                <w:highlight w:val="none"/>
              </w:rPr>
              <w:t>以下功能：</w:t>
            </w:r>
          </w:p>
          <w:p w14:paraId="2B718933">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1、服务集成</w:t>
            </w:r>
            <w:r>
              <w:rPr>
                <w:rFonts w:hint="eastAsia" w:cs="宋体"/>
                <w:color w:val="auto"/>
                <w:kern w:val="0"/>
                <w:sz w:val="21"/>
                <w:szCs w:val="21"/>
                <w:highlight w:val="none"/>
              </w:rPr>
              <w:br w:type="textWrapping"/>
            </w:r>
            <w:r>
              <w:rPr>
                <w:rFonts w:hint="eastAsia" w:cs="宋体"/>
                <w:color w:val="auto"/>
                <w:kern w:val="0"/>
                <w:sz w:val="21"/>
                <w:szCs w:val="21"/>
                <w:highlight w:val="none"/>
              </w:rPr>
              <w:t>服务集成将数据和后端服务以API形式开放，简化分享数据或提供服务的过程，提供不同语言的SDK和示例代码，简化企业以API形式开放后端服务的过程。</w:t>
            </w:r>
            <w:r>
              <w:rPr>
                <w:rFonts w:hint="eastAsia" w:cs="宋体"/>
                <w:color w:val="auto"/>
                <w:kern w:val="0"/>
                <w:sz w:val="21"/>
                <w:szCs w:val="21"/>
                <w:highlight w:val="none"/>
              </w:rPr>
              <w:br w:type="textWrapping"/>
            </w:r>
            <w:r>
              <w:rPr>
                <w:rFonts w:hint="eastAsia" w:cs="宋体"/>
                <w:color w:val="auto"/>
                <w:kern w:val="0"/>
                <w:sz w:val="21"/>
                <w:szCs w:val="21"/>
                <w:highlight w:val="none"/>
              </w:rPr>
              <w:t>2、消息集成</w:t>
            </w:r>
            <w:r>
              <w:rPr>
                <w:rFonts w:hint="eastAsia" w:cs="宋体"/>
                <w:color w:val="auto"/>
                <w:kern w:val="0"/>
                <w:sz w:val="21"/>
                <w:szCs w:val="21"/>
                <w:highlight w:val="none"/>
              </w:rPr>
              <w:br w:type="textWrapping"/>
            </w:r>
            <w:r>
              <w:rPr>
                <w:rFonts w:hint="eastAsia" w:cs="宋体"/>
                <w:color w:val="auto"/>
                <w:kern w:val="0"/>
                <w:sz w:val="21"/>
                <w:szCs w:val="21"/>
                <w:highlight w:val="none"/>
              </w:rPr>
              <w:t>消息集成MQS支持Kafka和RocketMQ协议，使用统一的消息接入机制，提供跨网络访问的安全、标准化消息通道。</w:t>
            </w:r>
          </w:p>
        </w:tc>
        <w:tc>
          <w:tcPr>
            <w:tcW w:w="651" w:type="dxa"/>
            <w:tcBorders>
              <w:top w:val="nil"/>
              <w:left w:val="nil"/>
              <w:bottom w:val="single" w:color="000000" w:sz="4" w:space="0"/>
              <w:right w:val="single" w:color="000000" w:sz="4" w:space="0"/>
            </w:tcBorders>
            <w:noWrap/>
            <w:vAlign w:val="center"/>
          </w:tcPr>
          <w:p w14:paraId="537DB7DF">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套</w:t>
            </w:r>
          </w:p>
        </w:tc>
      </w:tr>
      <w:tr w14:paraId="69C3E744">
        <w:tblPrEx>
          <w:tblCellMar>
            <w:top w:w="0" w:type="dxa"/>
            <w:left w:w="108" w:type="dxa"/>
            <w:bottom w:w="0" w:type="dxa"/>
            <w:right w:w="108" w:type="dxa"/>
          </w:tblCellMar>
        </w:tblPrEx>
        <w:trPr>
          <w:trHeight w:val="630" w:hRule="atLeast"/>
        </w:trPr>
        <w:tc>
          <w:tcPr>
            <w:tcW w:w="391" w:type="dxa"/>
            <w:tcBorders>
              <w:top w:val="nil"/>
              <w:left w:val="single" w:color="000000" w:sz="4" w:space="0"/>
              <w:bottom w:val="single" w:color="000000" w:sz="4" w:space="0"/>
              <w:right w:val="single" w:color="000000" w:sz="4" w:space="0"/>
            </w:tcBorders>
            <w:vAlign w:val="center"/>
          </w:tcPr>
          <w:p w14:paraId="3E659111">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12</w:t>
            </w:r>
          </w:p>
        </w:tc>
        <w:tc>
          <w:tcPr>
            <w:tcW w:w="757" w:type="dxa"/>
            <w:tcBorders>
              <w:top w:val="nil"/>
              <w:left w:val="nil"/>
              <w:bottom w:val="single" w:color="000000" w:sz="4" w:space="0"/>
              <w:right w:val="single" w:color="000000" w:sz="4" w:space="0"/>
            </w:tcBorders>
            <w:vAlign w:val="center"/>
          </w:tcPr>
          <w:p w14:paraId="597B1D9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数据治理工具</w:t>
            </w:r>
          </w:p>
        </w:tc>
        <w:tc>
          <w:tcPr>
            <w:tcW w:w="6729" w:type="dxa"/>
            <w:tcBorders>
              <w:top w:val="single" w:color="000000" w:sz="4" w:space="0"/>
              <w:left w:val="nil"/>
              <w:bottom w:val="single" w:color="000000" w:sz="4" w:space="0"/>
              <w:right w:val="single" w:color="000000" w:sz="4" w:space="0"/>
            </w:tcBorders>
            <w:vAlign w:val="center"/>
          </w:tcPr>
          <w:p w14:paraId="518F5897">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1套，支持</w:t>
            </w:r>
            <w:r>
              <w:rPr>
                <w:rFonts w:hint="eastAsia" w:cs="宋体"/>
                <w:color w:val="auto"/>
                <w:kern w:val="0"/>
                <w:sz w:val="21"/>
                <w:szCs w:val="21"/>
                <w:highlight w:val="none"/>
                <w:lang w:val="en-US" w:eastAsia="zh-CN"/>
              </w:rPr>
              <w:t>并提供</w:t>
            </w:r>
            <w:r>
              <w:rPr>
                <w:rFonts w:hint="eastAsia" w:cs="宋体"/>
                <w:color w:val="auto"/>
                <w:kern w:val="0"/>
                <w:sz w:val="21"/>
                <w:szCs w:val="21"/>
                <w:highlight w:val="none"/>
              </w:rPr>
              <w:t>以下功能：</w:t>
            </w:r>
          </w:p>
          <w:p w14:paraId="0ACF3C5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1、数据开发（包含数据开发和任务调度管理）</w:t>
            </w:r>
            <w:r>
              <w:rPr>
                <w:rFonts w:hint="eastAsia" w:cs="宋体"/>
                <w:color w:val="auto"/>
                <w:kern w:val="0"/>
                <w:sz w:val="21"/>
                <w:szCs w:val="21"/>
                <w:highlight w:val="none"/>
              </w:rPr>
              <w:br w:type="textWrapping"/>
            </w:r>
            <w:r>
              <w:rPr>
                <w:rFonts w:hint="eastAsia" w:cs="宋体"/>
                <w:color w:val="auto"/>
                <w:kern w:val="0"/>
                <w:sz w:val="21"/>
                <w:szCs w:val="21"/>
                <w:highlight w:val="none"/>
              </w:rPr>
              <w:t>大数据开发环境，降低用户使用大数据的门槛，帮助用户快速构建大数据处理中心。支持数据建模、数据集成、脚本开发、工作流编排等操作，轻松完成整个数据的处理分析流程。</w:t>
            </w:r>
            <w:r>
              <w:rPr>
                <w:rFonts w:hint="eastAsia" w:cs="宋体"/>
                <w:color w:val="auto"/>
                <w:kern w:val="0"/>
                <w:sz w:val="21"/>
                <w:szCs w:val="21"/>
                <w:highlight w:val="none"/>
              </w:rPr>
              <w:br w:type="textWrapping"/>
            </w:r>
            <w:r>
              <w:rPr>
                <w:rFonts w:hint="eastAsia" w:cs="宋体"/>
                <w:color w:val="auto"/>
                <w:kern w:val="0"/>
                <w:sz w:val="21"/>
                <w:szCs w:val="21"/>
                <w:highlight w:val="none"/>
              </w:rPr>
              <w:t>2、数据架构（包括数据标准和数据建模）</w:t>
            </w:r>
            <w:r>
              <w:rPr>
                <w:rFonts w:hint="eastAsia" w:cs="宋体"/>
                <w:color w:val="auto"/>
                <w:kern w:val="0"/>
                <w:sz w:val="21"/>
                <w:szCs w:val="21"/>
                <w:highlight w:val="none"/>
              </w:rPr>
              <w:br w:type="textWrapping"/>
            </w:r>
            <w:r>
              <w:rPr>
                <w:rFonts w:hint="eastAsia" w:cs="宋体"/>
                <w:color w:val="auto"/>
                <w:kern w:val="0"/>
                <w:sz w:val="21"/>
                <w:szCs w:val="21"/>
                <w:highlight w:val="none"/>
              </w:rPr>
              <w:t>承担数据治理过程中的数据加工并业务化的功能，提供智能数据规划、自定义主题数据模型、统一数据标准、可视化数据建模、标注数据标签等功能，有利于改善数据质量，有效支撑经营决策。</w:t>
            </w:r>
            <w:r>
              <w:rPr>
                <w:rFonts w:hint="eastAsia" w:cs="宋体"/>
                <w:color w:val="auto"/>
                <w:kern w:val="0"/>
                <w:sz w:val="21"/>
                <w:szCs w:val="21"/>
                <w:highlight w:val="none"/>
              </w:rPr>
              <w:br w:type="textWrapping"/>
            </w:r>
            <w:r>
              <w:rPr>
                <w:rFonts w:hint="eastAsia" w:cs="宋体"/>
                <w:color w:val="auto"/>
                <w:kern w:val="0"/>
                <w:sz w:val="21"/>
                <w:szCs w:val="21"/>
                <w:highlight w:val="none"/>
              </w:rPr>
              <w:t>3、数据质量（包括业务指标和质量分析、管理）</w:t>
            </w:r>
            <w:r>
              <w:rPr>
                <w:rFonts w:hint="eastAsia" w:cs="宋体"/>
                <w:color w:val="auto"/>
                <w:kern w:val="0"/>
                <w:sz w:val="21"/>
                <w:szCs w:val="21"/>
                <w:highlight w:val="none"/>
              </w:rPr>
              <w:br w:type="textWrapping"/>
            </w:r>
            <w:r>
              <w:rPr>
                <w:rFonts w:hint="eastAsia" w:cs="宋体"/>
                <w:color w:val="auto"/>
                <w:kern w:val="0"/>
                <w:sz w:val="21"/>
                <w:szCs w:val="21"/>
                <w:highlight w:val="none"/>
              </w:rPr>
              <w:t>数据全生命周期质量管控，数据处理全流程质量监控，质量指标展示、异常事件实时通知。</w:t>
            </w:r>
            <w:r>
              <w:rPr>
                <w:rFonts w:hint="eastAsia" w:cs="宋体"/>
                <w:color w:val="auto"/>
                <w:kern w:val="0"/>
                <w:sz w:val="21"/>
                <w:szCs w:val="21"/>
                <w:highlight w:val="none"/>
              </w:rPr>
              <w:br w:type="textWrapping"/>
            </w:r>
            <w:r>
              <w:rPr>
                <w:rFonts w:hint="eastAsia" w:cs="宋体"/>
                <w:color w:val="auto"/>
                <w:kern w:val="0"/>
                <w:sz w:val="21"/>
                <w:szCs w:val="21"/>
                <w:highlight w:val="none"/>
              </w:rPr>
              <w:t>4、数据目录（包括元数据采集、数据血缘和数据资产）</w:t>
            </w:r>
            <w:r>
              <w:rPr>
                <w:rFonts w:hint="eastAsia" w:cs="宋体"/>
                <w:color w:val="auto"/>
                <w:kern w:val="0"/>
                <w:sz w:val="21"/>
                <w:szCs w:val="21"/>
                <w:highlight w:val="none"/>
              </w:rPr>
              <w:br w:type="textWrapping"/>
            </w:r>
            <w:r>
              <w:rPr>
                <w:rFonts w:hint="eastAsia" w:cs="宋体"/>
                <w:color w:val="auto"/>
                <w:kern w:val="0"/>
                <w:sz w:val="21"/>
                <w:szCs w:val="21"/>
                <w:highlight w:val="none"/>
              </w:rPr>
              <w:t>提供资产元数据管理，形成数据资产目录。</w:t>
            </w:r>
            <w:r>
              <w:rPr>
                <w:rFonts w:hint="eastAsia" w:cs="宋体"/>
                <w:color w:val="auto"/>
                <w:kern w:val="0"/>
                <w:sz w:val="21"/>
                <w:szCs w:val="21"/>
                <w:highlight w:val="none"/>
              </w:rPr>
              <w:br w:type="textWrapping"/>
            </w:r>
            <w:r>
              <w:rPr>
                <w:rFonts w:hint="eastAsia" w:cs="宋体"/>
                <w:color w:val="auto"/>
                <w:kern w:val="0"/>
                <w:sz w:val="21"/>
                <w:szCs w:val="21"/>
                <w:highlight w:val="none"/>
              </w:rPr>
              <w:t>通过数据地图，实现数据血缘和数据全景可视，提供数据智能搜索和运营监控。</w:t>
            </w:r>
            <w:r>
              <w:rPr>
                <w:rFonts w:hint="eastAsia" w:cs="宋体"/>
                <w:color w:val="auto"/>
                <w:kern w:val="0"/>
                <w:sz w:val="21"/>
                <w:szCs w:val="21"/>
                <w:highlight w:val="none"/>
              </w:rPr>
              <w:br w:type="textWrapping"/>
            </w:r>
            <w:r>
              <w:rPr>
                <w:rFonts w:hint="eastAsia" w:cs="宋体"/>
                <w:color w:val="auto"/>
                <w:kern w:val="0"/>
                <w:sz w:val="21"/>
                <w:szCs w:val="21"/>
                <w:highlight w:val="none"/>
              </w:rPr>
              <w:t>5、数据服务</w:t>
            </w:r>
            <w:r>
              <w:rPr>
                <w:rFonts w:hint="eastAsia" w:cs="宋体"/>
                <w:color w:val="auto"/>
                <w:kern w:val="0"/>
                <w:sz w:val="21"/>
                <w:szCs w:val="21"/>
                <w:highlight w:val="none"/>
              </w:rPr>
              <w:br w:type="textWrapping"/>
            </w:r>
            <w:r>
              <w:rPr>
                <w:rFonts w:hint="eastAsia" w:cs="宋体"/>
                <w:color w:val="auto"/>
                <w:kern w:val="0"/>
                <w:sz w:val="21"/>
                <w:szCs w:val="21"/>
                <w:highlight w:val="none"/>
              </w:rPr>
              <w:t>数据服务定位于标准化的数据服务平台，提供一站式数据服务开发、测试部署能力，实现数据服务敏捷响应，降低数据获取难度，提升数据消费体验和效率。</w:t>
            </w:r>
          </w:p>
        </w:tc>
        <w:tc>
          <w:tcPr>
            <w:tcW w:w="651" w:type="dxa"/>
            <w:tcBorders>
              <w:top w:val="nil"/>
              <w:left w:val="nil"/>
              <w:bottom w:val="single" w:color="000000" w:sz="4" w:space="0"/>
              <w:right w:val="single" w:color="000000" w:sz="4" w:space="0"/>
            </w:tcBorders>
            <w:noWrap/>
            <w:vAlign w:val="center"/>
          </w:tcPr>
          <w:p w14:paraId="7544C198">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套</w:t>
            </w:r>
          </w:p>
        </w:tc>
      </w:tr>
      <w:tr w14:paraId="16AC82CE">
        <w:tblPrEx>
          <w:tblCellMar>
            <w:top w:w="0" w:type="dxa"/>
            <w:left w:w="108" w:type="dxa"/>
            <w:bottom w:w="0" w:type="dxa"/>
            <w:right w:w="108" w:type="dxa"/>
          </w:tblCellMar>
        </w:tblPrEx>
        <w:trPr>
          <w:trHeight w:val="630" w:hRule="atLeast"/>
        </w:trPr>
        <w:tc>
          <w:tcPr>
            <w:tcW w:w="229" w:type="pct"/>
            <w:tcBorders>
              <w:top w:val="nil"/>
              <w:left w:val="single" w:color="000000" w:sz="4" w:space="0"/>
              <w:bottom w:val="single" w:color="000000" w:sz="4" w:space="0"/>
              <w:right w:val="single" w:color="000000" w:sz="4" w:space="0"/>
            </w:tcBorders>
            <w:vAlign w:val="center"/>
          </w:tcPr>
          <w:p w14:paraId="1B8C101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13</w:t>
            </w:r>
          </w:p>
        </w:tc>
        <w:tc>
          <w:tcPr>
            <w:tcW w:w="444" w:type="pct"/>
            <w:tcBorders>
              <w:top w:val="nil"/>
              <w:left w:val="nil"/>
              <w:bottom w:val="single" w:color="000000" w:sz="4" w:space="0"/>
              <w:right w:val="single" w:color="000000" w:sz="4" w:space="0"/>
            </w:tcBorders>
            <w:vAlign w:val="center"/>
          </w:tcPr>
          <w:p w14:paraId="6751396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大屏可视化软件</w:t>
            </w:r>
          </w:p>
        </w:tc>
        <w:tc>
          <w:tcPr>
            <w:tcW w:w="3943" w:type="pct"/>
            <w:tcBorders>
              <w:top w:val="single" w:color="000000" w:sz="4" w:space="0"/>
              <w:left w:val="nil"/>
              <w:bottom w:val="single" w:color="000000" w:sz="4" w:space="0"/>
              <w:right w:val="single" w:color="000000" w:sz="4" w:space="0"/>
            </w:tcBorders>
            <w:vAlign w:val="center"/>
          </w:tcPr>
          <w:p w14:paraId="3213634E">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大数据可视化快速构建平台，采用B/S架构，以VUE、VUEX、Webpack、ANTD为技术基础，将所有的核心基础服务封装到核心层中，包括服务基类、消息总线、事件总线、状态管理和日志管理，供上层服务使用。上层服务包括AI集成和服务层两大模块，对外提供平台的各项功能。通过通信层的数据通信及组件通信等技术对外提供整体框架应用。通过框架定制化开发可视化大屏，对政务、</w:t>
            </w:r>
            <w:r>
              <w:rPr>
                <w:rFonts w:hint="eastAsia" w:cs="宋体"/>
                <w:color w:val="auto"/>
                <w:kern w:val="0"/>
                <w:sz w:val="21"/>
                <w:szCs w:val="21"/>
                <w:highlight w:val="none"/>
                <w:lang w:val="en-US" w:eastAsia="zh-CN"/>
              </w:rPr>
              <w:t>卫生健康行业</w:t>
            </w:r>
            <w:r>
              <w:rPr>
                <w:rFonts w:hint="eastAsia" w:cs="宋体"/>
                <w:color w:val="auto"/>
                <w:kern w:val="0"/>
                <w:sz w:val="21"/>
                <w:szCs w:val="21"/>
                <w:highlight w:val="none"/>
              </w:rPr>
              <w:t>等各个行业领域赋能。在项目定制化开发过程中，资源集市</w:t>
            </w:r>
            <w:r>
              <w:rPr>
                <w:rFonts w:hint="eastAsia" w:cs="宋体"/>
                <w:color w:val="auto"/>
                <w:kern w:val="0"/>
                <w:sz w:val="21"/>
                <w:szCs w:val="21"/>
                <w:highlight w:val="none"/>
                <w:lang w:val="en-US" w:eastAsia="zh-CN"/>
              </w:rPr>
              <w:t>支持并</w:t>
            </w:r>
            <w:r>
              <w:rPr>
                <w:rFonts w:hint="eastAsia" w:cs="宋体"/>
                <w:color w:val="auto"/>
                <w:kern w:val="0"/>
                <w:sz w:val="21"/>
                <w:szCs w:val="21"/>
                <w:highlight w:val="none"/>
              </w:rPr>
              <w:t>提供海量优质可视化资源，包括组件、设计资源、3D模型、音效四大类，为定制开发和敏捷交付提供支撑，同时具有行业特性的图表、组件、设计等再沉淀到资源集市中，实现反哺，形成闭环</w:t>
            </w:r>
          </w:p>
        </w:tc>
        <w:tc>
          <w:tcPr>
            <w:tcW w:w="382" w:type="pct"/>
            <w:tcBorders>
              <w:top w:val="nil"/>
              <w:left w:val="nil"/>
              <w:bottom w:val="single" w:color="000000" w:sz="4" w:space="0"/>
              <w:right w:val="single" w:color="000000" w:sz="4" w:space="0"/>
            </w:tcBorders>
            <w:noWrap/>
            <w:vAlign w:val="center"/>
          </w:tcPr>
          <w:p w14:paraId="2CD58719">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1</w:t>
            </w:r>
            <w:r>
              <w:rPr>
                <w:rFonts w:hint="eastAsia" w:cs="宋体"/>
                <w:color w:val="auto"/>
                <w:kern w:val="0"/>
                <w:sz w:val="21"/>
                <w:szCs w:val="21"/>
                <w:highlight w:val="none"/>
                <w:lang w:val="en-US" w:eastAsia="zh-CN"/>
              </w:rPr>
              <w:t>套</w:t>
            </w:r>
          </w:p>
        </w:tc>
      </w:tr>
    </w:tbl>
    <w:p w14:paraId="6ECE4C3B">
      <w:pPr>
        <w:pStyle w:val="25"/>
        <w:rPr>
          <w:color w:val="auto"/>
          <w:highlight w:val="none"/>
        </w:rPr>
      </w:pPr>
    </w:p>
    <w:p w14:paraId="1BE7A980">
      <w:pPr>
        <w:numPr>
          <w:ilvl w:val="0"/>
          <w:numId w:val="53"/>
        </w:numPr>
        <w:ind w:firstLine="482"/>
        <w:rPr>
          <w:b/>
          <w:color w:val="auto"/>
          <w:highlight w:val="none"/>
        </w:rPr>
      </w:pPr>
      <w:r>
        <w:rPr>
          <w:rFonts w:hint="eastAsia"/>
          <w:b/>
          <w:color w:val="auto"/>
          <w:highlight w:val="none"/>
        </w:rPr>
        <w:t>安全产品</w:t>
      </w:r>
    </w:p>
    <w:tbl>
      <w:tblPr>
        <w:tblStyle w:val="59"/>
        <w:tblW w:w="5000" w:type="pct"/>
        <w:tblInd w:w="0" w:type="dxa"/>
        <w:tblLayout w:type="autofit"/>
        <w:tblCellMar>
          <w:top w:w="0" w:type="dxa"/>
          <w:left w:w="108" w:type="dxa"/>
          <w:bottom w:w="0" w:type="dxa"/>
          <w:right w:w="108" w:type="dxa"/>
        </w:tblCellMar>
      </w:tblPr>
      <w:tblGrid>
        <w:gridCol w:w="1015"/>
        <w:gridCol w:w="797"/>
        <w:gridCol w:w="5845"/>
        <w:gridCol w:w="871"/>
      </w:tblGrid>
      <w:tr w14:paraId="2C3FBB20">
        <w:tblPrEx>
          <w:tblCellMar>
            <w:top w:w="0" w:type="dxa"/>
            <w:left w:w="108" w:type="dxa"/>
            <w:bottom w:w="0" w:type="dxa"/>
            <w:right w:w="108" w:type="dxa"/>
          </w:tblCellMar>
        </w:tblPrEx>
        <w:trPr>
          <w:trHeight w:val="315" w:hRule="atLeast"/>
        </w:trPr>
        <w:tc>
          <w:tcPr>
            <w:tcW w:w="595" w:type="pct"/>
            <w:tcBorders>
              <w:top w:val="single" w:color="auto" w:sz="4" w:space="0"/>
              <w:left w:val="single" w:color="auto" w:sz="4" w:space="0"/>
              <w:bottom w:val="single" w:color="auto" w:sz="4" w:space="0"/>
              <w:right w:val="single" w:color="auto" w:sz="4" w:space="0"/>
            </w:tcBorders>
            <w:vAlign w:val="center"/>
          </w:tcPr>
          <w:p w14:paraId="215E55AA">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序号</w:t>
            </w:r>
          </w:p>
        </w:tc>
        <w:tc>
          <w:tcPr>
            <w:tcW w:w="467" w:type="pct"/>
            <w:tcBorders>
              <w:top w:val="single" w:color="auto" w:sz="4" w:space="0"/>
              <w:left w:val="nil"/>
              <w:bottom w:val="single" w:color="auto" w:sz="4" w:space="0"/>
              <w:right w:val="single" w:color="auto" w:sz="4" w:space="0"/>
            </w:tcBorders>
            <w:vAlign w:val="center"/>
          </w:tcPr>
          <w:p w14:paraId="3B091D25">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产品品牌</w:t>
            </w:r>
          </w:p>
        </w:tc>
        <w:tc>
          <w:tcPr>
            <w:tcW w:w="3426" w:type="pct"/>
            <w:tcBorders>
              <w:top w:val="single" w:color="auto" w:sz="4" w:space="0"/>
              <w:left w:val="nil"/>
              <w:bottom w:val="single" w:color="auto" w:sz="4" w:space="0"/>
              <w:right w:val="single" w:color="auto" w:sz="4" w:space="0"/>
            </w:tcBorders>
            <w:vAlign w:val="center"/>
          </w:tcPr>
          <w:p w14:paraId="67AFEBBB">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产品配置</w:t>
            </w:r>
          </w:p>
        </w:tc>
        <w:tc>
          <w:tcPr>
            <w:tcW w:w="510" w:type="pct"/>
            <w:tcBorders>
              <w:top w:val="single" w:color="auto" w:sz="4" w:space="0"/>
              <w:left w:val="nil"/>
              <w:bottom w:val="single" w:color="auto" w:sz="4" w:space="0"/>
              <w:right w:val="single" w:color="auto" w:sz="4" w:space="0"/>
            </w:tcBorders>
            <w:vAlign w:val="center"/>
          </w:tcPr>
          <w:p w14:paraId="62F35639">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数量</w:t>
            </w:r>
          </w:p>
        </w:tc>
      </w:tr>
      <w:tr w14:paraId="59D1F9ED">
        <w:tblPrEx>
          <w:tblCellMar>
            <w:top w:w="0" w:type="dxa"/>
            <w:left w:w="108" w:type="dxa"/>
            <w:bottom w:w="0" w:type="dxa"/>
            <w:right w:w="108" w:type="dxa"/>
          </w:tblCellMar>
        </w:tblPrEx>
        <w:trPr>
          <w:trHeight w:val="630" w:hRule="atLeast"/>
        </w:trPr>
        <w:tc>
          <w:tcPr>
            <w:tcW w:w="595" w:type="pct"/>
            <w:tcBorders>
              <w:top w:val="nil"/>
              <w:left w:val="single" w:color="000000" w:sz="4" w:space="0"/>
              <w:bottom w:val="single" w:color="000000" w:sz="4" w:space="0"/>
              <w:right w:val="single" w:color="000000" w:sz="4" w:space="0"/>
            </w:tcBorders>
            <w:vAlign w:val="center"/>
          </w:tcPr>
          <w:p w14:paraId="23FA7C1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w:t>
            </w:r>
          </w:p>
        </w:tc>
        <w:tc>
          <w:tcPr>
            <w:tcW w:w="467" w:type="pct"/>
            <w:tcBorders>
              <w:top w:val="nil"/>
              <w:left w:val="nil"/>
              <w:bottom w:val="single" w:color="000000" w:sz="4" w:space="0"/>
              <w:right w:val="single" w:color="000000" w:sz="4" w:space="0"/>
            </w:tcBorders>
            <w:vAlign w:val="center"/>
          </w:tcPr>
          <w:p w14:paraId="5B7834EF">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数据安全网关</w:t>
            </w:r>
          </w:p>
        </w:tc>
        <w:tc>
          <w:tcPr>
            <w:tcW w:w="3426" w:type="pct"/>
            <w:tcBorders>
              <w:top w:val="single" w:color="000000" w:sz="4" w:space="0"/>
              <w:left w:val="nil"/>
              <w:bottom w:val="single" w:color="000000" w:sz="4" w:space="0"/>
              <w:right w:val="single" w:color="000000" w:sz="4" w:space="0"/>
            </w:tcBorders>
            <w:vAlign w:val="center"/>
          </w:tcPr>
          <w:p w14:paraId="27F7B968">
            <w:pPr>
              <w:widowControl/>
              <w:spacing w:line="240" w:lineRule="auto"/>
              <w:ind w:firstLine="0" w:firstLineChars="0"/>
              <w:jc w:val="both"/>
              <w:rPr>
                <w:rFonts w:cs="宋体"/>
                <w:color w:val="auto"/>
                <w:kern w:val="0"/>
                <w:sz w:val="21"/>
                <w:szCs w:val="21"/>
                <w:highlight w:val="none"/>
              </w:rPr>
            </w:pPr>
            <w:r>
              <w:rPr>
                <w:rFonts w:hint="eastAsia" w:cs="宋体"/>
                <w:color w:val="auto"/>
                <w:kern w:val="0"/>
                <w:sz w:val="21"/>
                <w:szCs w:val="21"/>
                <w:highlight w:val="none"/>
              </w:rPr>
              <w:t>一、整体要求：</w:t>
            </w:r>
          </w:p>
          <w:p w14:paraId="79EA0D21">
            <w:pPr>
              <w:widowControl/>
              <w:spacing w:line="240" w:lineRule="auto"/>
              <w:ind w:firstLine="0" w:firstLineChars="0"/>
              <w:jc w:val="both"/>
              <w:rPr>
                <w:rFonts w:cs="宋体"/>
                <w:color w:val="auto"/>
                <w:sz w:val="21"/>
                <w:szCs w:val="21"/>
                <w:highlight w:val="none"/>
              </w:rPr>
            </w:pPr>
            <w:r>
              <w:rPr>
                <w:rFonts w:hint="eastAsia" w:cs="宋体"/>
                <w:color w:val="auto"/>
                <w:sz w:val="21"/>
                <w:szCs w:val="21"/>
                <w:highlight w:val="none"/>
              </w:rPr>
              <w:t>数据加密网关产品主要采用密码技术，通过提供数据库加解密插件，实现敏感数据字段在数据库中以密文存储，保障敏感数据在传输与数据处理环节的数据安全管控。</w:t>
            </w:r>
          </w:p>
          <w:p w14:paraId="4642284A">
            <w:pPr>
              <w:widowControl/>
              <w:spacing w:line="240" w:lineRule="auto"/>
              <w:ind w:firstLine="0" w:firstLineChars="0"/>
              <w:jc w:val="both"/>
              <w:rPr>
                <w:rFonts w:cs="宋体"/>
                <w:color w:val="auto"/>
                <w:sz w:val="21"/>
                <w:szCs w:val="21"/>
                <w:highlight w:val="none"/>
              </w:rPr>
            </w:pPr>
            <w:r>
              <w:rPr>
                <w:rFonts w:hint="eastAsia" w:cs="宋体"/>
                <w:color w:val="auto"/>
                <w:sz w:val="21"/>
                <w:szCs w:val="21"/>
                <w:highlight w:val="none"/>
              </w:rPr>
              <w:t>二、</w:t>
            </w:r>
            <w:r>
              <w:rPr>
                <w:rFonts w:hint="eastAsia" w:cs="宋体"/>
                <w:color w:val="auto"/>
                <w:sz w:val="21"/>
                <w:szCs w:val="21"/>
                <w:highlight w:val="none"/>
                <w:lang w:val="en-US" w:eastAsia="zh-CN"/>
              </w:rPr>
              <w:t>支持并提供以下</w:t>
            </w:r>
            <w:r>
              <w:rPr>
                <w:rFonts w:hint="eastAsia" w:cs="宋体"/>
                <w:color w:val="auto"/>
                <w:sz w:val="21"/>
                <w:szCs w:val="21"/>
                <w:highlight w:val="none"/>
              </w:rPr>
              <w:t>功能要求：</w:t>
            </w:r>
          </w:p>
          <w:p w14:paraId="17BC511C">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支持多种数据库类型，包括GaussDB、DWS、MRS-Hive、海量、MySQL、PostgreSQL等。</w:t>
            </w:r>
          </w:p>
          <w:p w14:paraId="5DAA75F8">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支持国密算法加解密，例如SM2、SM3、SM4等。</w:t>
            </w:r>
          </w:p>
          <w:p w14:paraId="3A089A62">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支持字段级别的加密，并支持对不同字段列设置不同的密钥和加密算法。</w:t>
            </w:r>
          </w:p>
          <w:p w14:paraId="404B041B">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加密后的数据以密文形态存储，DBA、root等特权或者管理用户默认情况下看见的也是密文；可以同时预防拔盘、复制文件、特权用户异常访问。</w:t>
            </w:r>
          </w:p>
          <w:p w14:paraId="6B9D6460">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支持包括但不限于CHAR、VARCHAR2、VARCHAR、LOB等数据类型的加密。</w:t>
            </w:r>
          </w:p>
          <w:p w14:paraId="4B7F9363">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系统支持三权分立，可以设定系统管理员、安全管理员和安全审计员，安全管理员可灵活配置加密策略。</w:t>
            </w:r>
          </w:p>
          <w:p w14:paraId="078DD0D2">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支持密钥备份与密钥恢复，支持极端情况下的数据库密文恢复。</w:t>
            </w:r>
          </w:p>
          <w:p w14:paraId="344D9EC8">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系统提供完善的日志记录，记录业务的操作、执行的情况，日志信息通过SYSLOG日志发送给外部监控平台，包括执行时间、数据源、数据库、目标数据库、目标数据库等。</w:t>
            </w:r>
          </w:p>
          <w:p w14:paraId="4E7EB1EE">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支持三层密钥体系，包括根密钥、KEK和DEK。</w:t>
            </w:r>
          </w:p>
          <w:p w14:paraId="30C625C6">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支持与客户现有密钥管理系统对接。</w:t>
            </w:r>
          </w:p>
          <w:p w14:paraId="20BBEEA8">
            <w:pPr>
              <w:pStyle w:val="91"/>
              <w:widowControl/>
              <w:numPr>
                <w:ilvl w:val="0"/>
                <w:numId w:val="54"/>
              </w:numPr>
              <w:spacing w:line="240" w:lineRule="auto"/>
              <w:ind w:firstLineChars="0"/>
              <w:rPr>
                <w:rFonts w:ascii="宋体" w:hAnsi="宋体" w:cs="宋体"/>
                <w:color w:val="auto"/>
                <w:highlight w:val="none"/>
              </w:rPr>
            </w:pPr>
            <w:r>
              <w:rPr>
                <w:rFonts w:hint="eastAsia" w:ascii="宋体" w:hAnsi="宋体" w:cs="宋体"/>
                <w:color w:val="auto"/>
                <w:highlight w:val="none"/>
              </w:rPr>
              <w:t>支持华为云数据底座生态，能够在数据库与大数据平台间的数据流转过程中直接提供加解密服务。</w:t>
            </w:r>
          </w:p>
          <w:p w14:paraId="74765469">
            <w:pPr>
              <w:widowControl/>
              <w:numPr>
                <w:ilvl w:val="0"/>
                <w:numId w:val="54"/>
              </w:numPr>
              <w:spacing w:line="240" w:lineRule="auto"/>
              <w:ind w:hanging="360" w:firstLineChars="0"/>
              <w:jc w:val="both"/>
              <w:rPr>
                <w:rFonts w:cs="宋体"/>
                <w:color w:val="auto"/>
                <w:sz w:val="21"/>
                <w:highlight w:val="none"/>
              </w:rPr>
            </w:pPr>
            <w:r>
              <w:rPr>
                <w:rFonts w:hint="eastAsia" w:cs="宋体"/>
                <w:color w:val="auto"/>
                <w:sz w:val="21"/>
                <w:highlight w:val="none"/>
              </w:rPr>
              <w:t>支持对华为云平台数据流转作业的数据流量与流向进行审计和监管，并具备风险操作识别与告警功能。</w:t>
            </w:r>
          </w:p>
          <w:p w14:paraId="5F6BDF5B">
            <w:pPr>
              <w:widowControl/>
              <w:numPr>
                <w:ilvl w:val="0"/>
                <w:numId w:val="55"/>
              </w:numPr>
              <w:spacing w:line="240" w:lineRule="auto"/>
              <w:ind w:firstLine="0" w:firstLineChars="0"/>
              <w:jc w:val="both"/>
              <w:rPr>
                <w:rFonts w:cs="宋体"/>
                <w:color w:val="auto"/>
                <w:kern w:val="0"/>
                <w:sz w:val="21"/>
                <w:szCs w:val="21"/>
                <w:highlight w:val="none"/>
              </w:rPr>
            </w:pPr>
            <w:r>
              <w:rPr>
                <w:rFonts w:hint="eastAsia" w:cs="宋体"/>
                <w:color w:val="auto"/>
                <w:kern w:val="0"/>
                <w:sz w:val="21"/>
                <w:szCs w:val="21"/>
                <w:highlight w:val="none"/>
              </w:rPr>
              <w:t>兼容性要求：</w:t>
            </w:r>
          </w:p>
          <w:p w14:paraId="70FA2CC0">
            <w:pPr>
              <w:widowControl/>
              <w:numPr>
                <w:ilvl w:val="255"/>
                <w:numId w:val="0"/>
              </w:numPr>
              <w:spacing w:line="240" w:lineRule="auto"/>
              <w:ind w:firstLine="420" w:firstLineChars="200"/>
              <w:jc w:val="both"/>
              <w:rPr>
                <w:rFonts w:cs="宋体"/>
                <w:color w:val="auto"/>
                <w:kern w:val="0"/>
                <w:sz w:val="21"/>
                <w:szCs w:val="21"/>
                <w:highlight w:val="none"/>
              </w:rPr>
            </w:pPr>
            <w:r>
              <w:rPr>
                <w:rFonts w:cs="宋体"/>
                <w:color w:val="auto"/>
                <w:sz w:val="21"/>
                <w:szCs w:val="21"/>
                <w:highlight w:val="none"/>
              </w:rPr>
              <w:t>适配</w:t>
            </w:r>
            <w:r>
              <w:rPr>
                <w:rFonts w:hint="eastAsia" w:cs="宋体"/>
                <w:color w:val="auto"/>
                <w:sz w:val="21"/>
                <w:szCs w:val="21"/>
                <w:highlight w:val="none"/>
                <w:lang w:eastAsia="zh-CN"/>
              </w:rPr>
              <w:t>XC</w:t>
            </w:r>
            <w:r>
              <w:rPr>
                <w:rFonts w:cs="宋体"/>
                <w:color w:val="auto"/>
                <w:sz w:val="21"/>
                <w:szCs w:val="21"/>
                <w:highlight w:val="none"/>
              </w:rPr>
              <w:t>环境</w:t>
            </w:r>
            <w:r>
              <w:rPr>
                <w:rFonts w:hint="eastAsia" w:cs="宋体"/>
                <w:color w:val="auto"/>
                <w:sz w:val="21"/>
                <w:szCs w:val="21"/>
                <w:highlight w:val="none"/>
              </w:rPr>
              <w:t>，</w:t>
            </w:r>
            <w:r>
              <w:rPr>
                <w:rFonts w:hint="eastAsia" w:cs="宋体"/>
                <w:color w:val="auto"/>
                <w:kern w:val="0"/>
                <w:sz w:val="21"/>
                <w:szCs w:val="21"/>
                <w:highlight w:val="none"/>
              </w:rPr>
              <w:t>支持X86及XC服务器，支持平滑升级</w:t>
            </w:r>
          </w:p>
          <w:p w14:paraId="3CD89075">
            <w:pPr>
              <w:widowControl/>
              <w:numPr>
                <w:ilvl w:val="255"/>
                <w:numId w:val="0"/>
              </w:numPr>
              <w:spacing w:line="240" w:lineRule="auto"/>
              <w:ind w:firstLine="420" w:firstLineChars="200"/>
              <w:jc w:val="both"/>
              <w:rPr>
                <w:rFonts w:cs="宋体"/>
                <w:color w:val="auto"/>
                <w:kern w:val="0"/>
                <w:sz w:val="21"/>
                <w:szCs w:val="21"/>
                <w:highlight w:val="none"/>
              </w:rPr>
            </w:pPr>
            <w:r>
              <w:rPr>
                <w:rFonts w:hint="eastAsia" w:cs="宋体"/>
                <w:color w:val="auto"/>
                <w:kern w:val="0"/>
                <w:sz w:val="21"/>
                <w:szCs w:val="21"/>
                <w:highlight w:val="none"/>
              </w:rPr>
              <w:t>四、性能要求：</w:t>
            </w:r>
          </w:p>
          <w:p w14:paraId="2D938AD8">
            <w:pPr>
              <w:widowControl/>
              <w:numPr>
                <w:ilvl w:val="255"/>
                <w:numId w:val="0"/>
              </w:numPr>
              <w:spacing w:line="240" w:lineRule="auto"/>
              <w:ind w:firstLine="420" w:firstLineChars="200"/>
              <w:jc w:val="both"/>
              <w:rPr>
                <w:rFonts w:cs="宋体"/>
                <w:color w:val="auto"/>
                <w:kern w:val="0"/>
                <w:sz w:val="21"/>
                <w:szCs w:val="21"/>
                <w:highlight w:val="none"/>
              </w:rPr>
            </w:pPr>
            <w:r>
              <w:rPr>
                <w:rFonts w:hint="eastAsia" w:cs="宋体"/>
                <w:color w:val="auto"/>
                <w:sz w:val="21"/>
                <w:szCs w:val="21"/>
                <w:highlight w:val="none"/>
              </w:rPr>
              <w:t>数据加密后，对加密数据的访问性能延迟控制在</w:t>
            </w:r>
            <w:r>
              <w:rPr>
                <w:rFonts w:cs="宋体"/>
                <w:color w:val="auto"/>
                <w:sz w:val="21"/>
                <w:szCs w:val="21"/>
                <w:highlight w:val="none"/>
              </w:rPr>
              <w:t>5%-8%，非加密数据库影响控制在小于&lt;2%；加解密速度200MBps</w:t>
            </w:r>
          </w:p>
        </w:tc>
        <w:tc>
          <w:tcPr>
            <w:tcW w:w="510" w:type="pct"/>
            <w:tcBorders>
              <w:top w:val="nil"/>
              <w:left w:val="nil"/>
              <w:bottom w:val="single" w:color="000000" w:sz="4" w:space="0"/>
              <w:right w:val="single" w:color="000000" w:sz="4" w:space="0"/>
            </w:tcBorders>
            <w:noWrap/>
            <w:vAlign w:val="center"/>
          </w:tcPr>
          <w:p w14:paraId="10424807">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4</w:t>
            </w:r>
            <w:r>
              <w:rPr>
                <w:rFonts w:hint="eastAsia" w:cs="宋体"/>
                <w:color w:val="auto"/>
                <w:kern w:val="0"/>
                <w:sz w:val="21"/>
                <w:szCs w:val="21"/>
                <w:highlight w:val="none"/>
                <w:lang w:val="en-US" w:eastAsia="zh-CN"/>
              </w:rPr>
              <w:t>套</w:t>
            </w:r>
          </w:p>
        </w:tc>
      </w:tr>
      <w:tr w14:paraId="3AF4C425">
        <w:tblPrEx>
          <w:tblCellMar>
            <w:top w:w="0" w:type="dxa"/>
            <w:left w:w="108" w:type="dxa"/>
            <w:bottom w:w="0" w:type="dxa"/>
            <w:right w:w="108" w:type="dxa"/>
          </w:tblCellMar>
        </w:tblPrEx>
        <w:trPr>
          <w:trHeight w:val="630" w:hRule="atLeast"/>
        </w:trPr>
        <w:tc>
          <w:tcPr>
            <w:tcW w:w="595" w:type="pct"/>
            <w:tcBorders>
              <w:top w:val="nil"/>
              <w:left w:val="single" w:color="000000" w:sz="4" w:space="0"/>
              <w:bottom w:val="single" w:color="000000" w:sz="4" w:space="0"/>
              <w:right w:val="single" w:color="000000" w:sz="4" w:space="0"/>
            </w:tcBorders>
            <w:vAlign w:val="center"/>
          </w:tcPr>
          <w:p w14:paraId="676DDA9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467" w:type="pct"/>
            <w:tcBorders>
              <w:top w:val="nil"/>
              <w:left w:val="nil"/>
              <w:bottom w:val="single" w:color="000000" w:sz="4" w:space="0"/>
              <w:right w:val="single" w:color="000000" w:sz="4" w:space="0"/>
            </w:tcBorders>
            <w:vAlign w:val="center"/>
          </w:tcPr>
          <w:p w14:paraId="7C6745AA">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数据加解密网关</w:t>
            </w:r>
          </w:p>
        </w:tc>
        <w:tc>
          <w:tcPr>
            <w:tcW w:w="3426" w:type="pct"/>
            <w:tcBorders>
              <w:top w:val="single" w:color="000000" w:sz="4" w:space="0"/>
              <w:left w:val="nil"/>
              <w:bottom w:val="single" w:color="000000" w:sz="4" w:space="0"/>
              <w:right w:val="single" w:color="000000" w:sz="4" w:space="0"/>
            </w:tcBorders>
            <w:vAlign w:val="center"/>
          </w:tcPr>
          <w:p w14:paraId="7507A0E0">
            <w:pPr>
              <w:widowControl/>
              <w:numPr>
                <w:ilvl w:val="255"/>
                <w:numId w:val="0"/>
              </w:numPr>
              <w:spacing w:line="240" w:lineRule="auto"/>
              <w:jc w:val="both"/>
              <w:rPr>
                <w:rFonts w:cs="宋体"/>
                <w:color w:val="auto"/>
                <w:kern w:val="0"/>
                <w:sz w:val="21"/>
                <w:szCs w:val="21"/>
                <w:highlight w:val="none"/>
              </w:rPr>
            </w:pPr>
            <w:r>
              <w:rPr>
                <w:rFonts w:hint="eastAsia" w:cs="宋体"/>
                <w:color w:val="auto"/>
                <w:kern w:val="0"/>
                <w:sz w:val="21"/>
                <w:szCs w:val="21"/>
                <w:highlight w:val="none"/>
              </w:rPr>
              <w:t>一、整体要求：</w:t>
            </w:r>
          </w:p>
          <w:p w14:paraId="36D78A88">
            <w:pPr>
              <w:widowControl/>
              <w:numPr>
                <w:ilvl w:val="255"/>
                <w:numId w:val="0"/>
              </w:numPr>
              <w:spacing w:line="240" w:lineRule="auto"/>
              <w:ind w:firstLine="420" w:firstLineChars="200"/>
              <w:jc w:val="both"/>
              <w:rPr>
                <w:rFonts w:cs="宋体"/>
                <w:color w:val="auto"/>
                <w:sz w:val="21"/>
                <w:szCs w:val="21"/>
                <w:highlight w:val="none"/>
              </w:rPr>
            </w:pPr>
            <w:r>
              <w:rPr>
                <w:rFonts w:hint="eastAsia" w:cs="宋体"/>
                <w:color w:val="auto"/>
                <w:sz w:val="21"/>
                <w:szCs w:val="21"/>
                <w:highlight w:val="none"/>
              </w:rPr>
              <w:t>主要实现敏感数据访问的安全管控，包含动态脱敏、风险识别、访问控制、访问审计等安全防护能力，实现批量删除、越权访问等高危操作的实时监控、拦截与细粒度审计，以及敏感数据实时脱敏，有效解决数据被误删除、篡改或敏感数据泄露等安全问题。</w:t>
            </w:r>
          </w:p>
          <w:p w14:paraId="72AA8432">
            <w:pPr>
              <w:widowControl/>
              <w:numPr>
                <w:ilvl w:val="0"/>
                <w:numId w:val="56"/>
              </w:numPr>
              <w:spacing w:line="240" w:lineRule="auto"/>
              <w:ind w:firstLine="0" w:firstLineChars="0"/>
              <w:jc w:val="both"/>
              <w:rPr>
                <w:rFonts w:cs="宋体"/>
                <w:color w:val="auto"/>
                <w:sz w:val="21"/>
                <w:szCs w:val="21"/>
                <w:highlight w:val="none"/>
              </w:rPr>
            </w:pPr>
            <w:r>
              <w:rPr>
                <w:rFonts w:hint="eastAsia" w:cs="宋体"/>
                <w:color w:val="auto"/>
                <w:sz w:val="21"/>
                <w:szCs w:val="21"/>
                <w:highlight w:val="none"/>
                <w:lang w:val="en-US" w:eastAsia="zh-CN"/>
              </w:rPr>
              <w:t>支持并提供以下</w:t>
            </w:r>
            <w:r>
              <w:rPr>
                <w:rFonts w:hint="eastAsia" w:cs="宋体"/>
                <w:color w:val="auto"/>
                <w:sz w:val="21"/>
                <w:szCs w:val="21"/>
                <w:highlight w:val="none"/>
              </w:rPr>
              <w:t>功能要求</w:t>
            </w:r>
          </w:p>
          <w:p w14:paraId="51F18008">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支持多种数据库类型，包括GaussDB、DWS、MRS-Hive、海量、MySQL、PostgreSQL等。</w:t>
            </w:r>
          </w:p>
          <w:p w14:paraId="49A8C2F3">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支持基于数据库的表字段设置脱敏规则，依据脱敏策略实现不同数据库账号可分别查看明文数据或脱敏数据，支持敏感数据掩蔽、按位屏蔽、随机数字、随机串替换、哈希-SHA-256等脱敏规则。</w:t>
            </w:r>
          </w:p>
          <w:p w14:paraId="02D2FC93">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支持数据库DML\DCL\DDL管控策略，实现数据库高危操作时（例如DROP、TRUNCATE等）的实时阻断访问。</w:t>
            </w:r>
          </w:p>
          <w:p w14:paraId="5D7B30E8">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支持基于数据访问时间、IP地址、数据库账号、SQL语句等属性设置的安全策略，策略类型包含阻断策略、替换策略、字段模糊匹配或精确匹配脱敏策略等。</w:t>
            </w:r>
          </w:p>
          <w:p w14:paraId="5A102B31">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支持基于IP、时间等属性的白名单安全策略。</w:t>
            </w:r>
          </w:p>
          <w:p w14:paraId="3955DAC1">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支持直接查询、多表关联查询，以及使用函数查询等复杂SQL场景的脱敏处理。</w:t>
            </w:r>
          </w:p>
          <w:p w14:paraId="2DB603CB">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支持对数据流量进行获取和分析,还原SQL语句中的“*”关键字涉及的库表字段，并与安全策略中配置的字段进行校验匹配。</w:t>
            </w:r>
          </w:p>
          <w:p w14:paraId="3ABC48E1">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支持行级别安全控制，能够控制返回数据的行数，以及过滤敏感行数据。</w:t>
            </w:r>
          </w:p>
          <w:p w14:paraId="6444BA2D">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支持对数据操作进行全面审计，审计日志至少包括：访问时间、SQL语句、数据库表、字段、影响行数、数据分类分级标签等。</w:t>
            </w:r>
          </w:p>
          <w:p w14:paraId="2220C03A">
            <w:pPr>
              <w:pStyle w:val="91"/>
              <w:widowControl/>
              <w:numPr>
                <w:ilvl w:val="0"/>
                <w:numId w:val="57"/>
              </w:numPr>
              <w:spacing w:line="240" w:lineRule="auto"/>
              <w:ind w:firstLineChars="0"/>
              <w:rPr>
                <w:rFonts w:ascii="宋体" w:hAnsi="宋体" w:cs="宋体"/>
                <w:color w:val="auto"/>
                <w:highlight w:val="none"/>
              </w:rPr>
            </w:pPr>
            <w:r>
              <w:rPr>
                <w:rFonts w:ascii="宋体" w:hAnsi="宋体" w:cs="宋体"/>
                <w:color w:val="auto"/>
                <w:highlight w:val="none"/>
              </w:rPr>
              <w:t>支持根据三权分立原则划分用户角色及权限，包括系统管理员、安全管理员、审计管理员</w:t>
            </w:r>
            <w:r>
              <w:rPr>
                <w:rFonts w:hint="eastAsia" w:ascii="宋体" w:hAnsi="宋体" w:cs="宋体"/>
                <w:color w:val="auto"/>
                <w:highlight w:val="none"/>
              </w:rPr>
              <w:t>。</w:t>
            </w:r>
          </w:p>
          <w:p w14:paraId="01200250">
            <w:pPr>
              <w:pStyle w:val="91"/>
              <w:widowControl/>
              <w:numPr>
                <w:ilvl w:val="0"/>
                <w:numId w:val="57"/>
              </w:numPr>
              <w:spacing w:line="240" w:lineRule="auto"/>
              <w:ind w:firstLineChars="0"/>
              <w:rPr>
                <w:rFonts w:ascii="宋体" w:hAnsi="宋体" w:cs="宋体"/>
                <w:color w:val="auto"/>
                <w:highlight w:val="none"/>
              </w:rPr>
            </w:pPr>
            <w:r>
              <w:rPr>
                <w:rFonts w:hint="eastAsia" w:ascii="宋体" w:hAnsi="宋体" w:cs="宋体"/>
                <w:color w:val="auto"/>
                <w:highlight w:val="none"/>
              </w:rPr>
              <w:t>支持对数据库操作进行实时监控，针对高危数据库操作行为进行实时告警。</w:t>
            </w:r>
          </w:p>
          <w:p w14:paraId="279A0661">
            <w:pPr>
              <w:pStyle w:val="91"/>
              <w:widowControl/>
              <w:numPr>
                <w:ilvl w:val="0"/>
                <w:numId w:val="57"/>
              </w:numPr>
              <w:spacing w:line="240" w:lineRule="auto"/>
              <w:ind w:firstLineChars="0"/>
              <w:jc w:val="left"/>
              <w:rPr>
                <w:rFonts w:ascii="宋体" w:hAnsi="宋体" w:cs="宋体"/>
                <w:color w:val="auto"/>
                <w:highlight w:val="none"/>
              </w:rPr>
            </w:pPr>
            <w:r>
              <w:rPr>
                <w:rFonts w:hint="eastAsia" w:ascii="宋体" w:hAnsi="宋体" w:cs="宋体"/>
                <w:color w:val="auto"/>
                <w:highlight w:val="none"/>
              </w:rPr>
              <w:t>支持实时监控部署主机系统的CPU、内存、硬盘等使用率，以及系统核心业务进程状态。</w:t>
            </w:r>
          </w:p>
          <w:p w14:paraId="0BBC0E40">
            <w:pPr>
              <w:pStyle w:val="91"/>
              <w:widowControl/>
              <w:numPr>
                <w:ilvl w:val="255"/>
                <w:numId w:val="0"/>
              </w:numPr>
              <w:ind w:firstLineChars="0"/>
              <w:jc w:val="left"/>
              <w:rPr>
                <w:rFonts w:cs="宋体"/>
                <w:color w:val="auto"/>
                <w:szCs w:val="21"/>
                <w:highlight w:val="none"/>
              </w:rPr>
            </w:pPr>
            <w:r>
              <w:rPr>
                <w:rFonts w:ascii="宋体" w:hAnsi="宋体" w:cs="宋体"/>
                <w:color w:val="auto"/>
                <w:szCs w:val="21"/>
                <w:highlight w:val="none"/>
              </w:rPr>
              <w:t>13.</w:t>
            </w:r>
            <w:r>
              <w:rPr>
                <w:rFonts w:hint="eastAsia" w:ascii="宋体" w:hAnsi="宋体" w:cs="宋体"/>
                <w:color w:val="auto"/>
                <w:szCs w:val="21"/>
                <w:highlight w:val="none"/>
              </w:rPr>
              <w:t>支持适配华为云大数据底座生态，能够通过数据网关访问华为云的</w:t>
            </w:r>
            <w:r>
              <w:rPr>
                <w:rFonts w:ascii="宋体" w:hAnsi="宋体" w:cs="宋体"/>
                <w:color w:val="auto"/>
                <w:szCs w:val="21"/>
                <w:highlight w:val="none"/>
              </w:rPr>
              <w:t>MRS服务。</w:t>
            </w:r>
          </w:p>
          <w:p w14:paraId="17CE5F0B">
            <w:pPr>
              <w:widowControl/>
              <w:numPr>
                <w:ilvl w:val="255"/>
                <w:numId w:val="0"/>
              </w:numPr>
              <w:spacing w:line="240" w:lineRule="auto"/>
              <w:ind w:firstLine="420" w:firstLineChars="200"/>
              <w:rPr>
                <w:rFonts w:cs="宋体"/>
                <w:color w:val="auto"/>
                <w:kern w:val="0"/>
                <w:sz w:val="21"/>
                <w:szCs w:val="21"/>
                <w:highlight w:val="none"/>
              </w:rPr>
            </w:pPr>
            <w:r>
              <w:rPr>
                <w:rFonts w:hint="eastAsia" w:cs="宋体"/>
                <w:color w:val="auto"/>
                <w:kern w:val="0"/>
                <w:sz w:val="21"/>
                <w:szCs w:val="21"/>
                <w:highlight w:val="none"/>
              </w:rPr>
              <w:t>三、兼容性要求：</w:t>
            </w:r>
          </w:p>
          <w:p w14:paraId="67279295">
            <w:pPr>
              <w:widowControl/>
              <w:numPr>
                <w:ilvl w:val="255"/>
                <w:numId w:val="0"/>
              </w:numPr>
              <w:spacing w:line="240" w:lineRule="auto"/>
              <w:rPr>
                <w:rFonts w:cs="宋体"/>
                <w:color w:val="auto"/>
                <w:kern w:val="0"/>
                <w:sz w:val="21"/>
                <w:szCs w:val="21"/>
                <w:highlight w:val="none"/>
              </w:rPr>
            </w:pPr>
            <w:r>
              <w:rPr>
                <w:rFonts w:cs="宋体"/>
                <w:color w:val="auto"/>
                <w:sz w:val="21"/>
                <w:szCs w:val="21"/>
                <w:highlight w:val="none"/>
              </w:rPr>
              <w:t>适配</w:t>
            </w:r>
            <w:r>
              <w:rPr>
                <w:rFonts w:hint="eastAsia" w:cs="宋体"/>
                <w:color w:val="auto"/>
                <w:sz w:val="21"/>
                <w:szCs w:val="21"/>
                <w:highlight w:val="none"/>
                <w:lang w:eastAsia="zh-CN"/>
              </w:rPr>
              <w:t>XC</w:t>
            </w:r>
            <w:r>
              <w:rPr>
                <w:rFonts w:cs="宋体"/>
                <w:color w:val="auto"/>
                <w:sz w:val="21"/>
                <w:szCs w:val="21"/>
                <w:highlight w:val="none"/>
              </w:rPr>
              <w:t>环境</w:t>
            </w:r>
            <w:r>
              <w:rPr>
                <w:rFonts w:hint="eastAsia" w:cs="宋体"/>
                <w:color w:val="auto"/>
                <w:sz w:val="21"/>
                <w:szCs w:val="21"/>
                <w:highlight w:val="none"/>
              </w:rPr>
              <w:t>，</w:t>
            </w:r>
            <w:r>
              <w:rPr>
                <w:rFonts w:hint="eastAsia" w:cs="宋体"/>
                <w:color w:val="auto"/>
                <w:kern w:val="0"/>
                <w:sz w:val="21"/>
                <w:szCs w:val="21"/>
                <w:highlight w:val="none"/>
              </w:rPr>
              <w:t>支持X86及XC服务器，支持平滑升级</w:t>
            </w:r>
          </w:p>
          <w:p w14:paraId="5911B40D">
            <w:pPr>
              <w:widowControl/>
              <w:numPr>
                <w:ilvl w:val="255"/>
                <w:numId w:val="0"/>
              </w:numPr>
              <w:spacing w:line="240" w:lineRule="auto"/>
              <w:rPr>
                <w:rFonts w:cs="宋体"/>
                <w:color w:val="auto"/>
                <w:kern w:val="0"/>
                <w:sz w:val="21"/>
                <w:szCs w:val="21"/>
                <w:highlight w:val="none"/>
              </w:rPr>
            </w:pPr>
            <w:r>
              <w:rPr>
                <w:rFonts w:hint="eastAsia" w:cs="宋体"/>
                <w:color w:val="auto"/>
                <w:kern w:val="0"/>
                <w:sz w:val="21"/>
                <w:szCs w:val="21"/>
                <w:highlight w:val="none"/>
              </w:rPr>
              <w:t>四、性能要求：</w:t>
            </w:r>
          </w:p>
          <w:p w14:paraId="20E88C29">
            <w:pPr>
              <w:widowControl/>
              <w:numPr>
                <w:ilvl w:val="255"/>
                <w:numId w:val="0"/>
              </w:numPr>
              <w:spacing w:line="240" w:lineRule="auto"/>
              <w:ind w:firstLine="420" w:firstLineChars="200"/>
              <w:jc w:val="both"/>
              <w:rPr>
                <w:rFonts w:cs="宋体"/>
                <w:color w:val="auto"/>
                <w:kern w:val="0"/>
                <w:sz w:val="21"/>
                <w:szCs w:val="21"/>
                <w:highlight w:val="none"/>
              </w:rPr>
            </w:pPr>
            <w:r>
              <w:rPr>
                <w:rFonts w:hint="eastAsia" w:cs="宋体"/>
                <w:color w:val="auto"/>
                <w:kern w:val="0"/>
                <w:sz w:val="21"/>
                <w:szCs w:val="21"/>
                <w:highlight w:val="none"/>
              </w:rPr>
              <w:t>数据库吞吐量≥5000条/秒；在线会话量≥3000个/秒。</w:t>
            </w:r>
          </w:p>
        </w:tc>
        <w:tc>
          <w:tcPr>
            <w:tcW w:w="510" w:type="pct"/>
            <w:tcBorders>
              <w:top w:val="nil"/>
              <w:left w:val="nil"/>
              <w:bottom w:val="single" w:color="000000" w:sz="4" w:space="0"/>
              <w:right w:val="single" w:color="000000" w:sz="4" w:space="0"/>
            </w:tcBorders>
            <w:noWrap/>
            <w:vAlign w:val="center"/>
          </w:tcPr>
          <w:p w14:paraId="1455CF0C">
            <w:pPr>
              <w:widowControl/>
              <w:spacing w:line="240" w:lineRule="auto"/>
              <w:ind w:firstLine="0" w:firstLineChars="0"/>
              <w:jc w:val="center"/>
              <w:rPr>
                <w:rFonts w:hint="eastAsia" w:eastAsia="宋体" w:cs="宋体"/>
                <w:color w:val="auto"/>
                <w:kern w:val="0"/>
                <w:sz w:val="21"/>
                <w:szCs w:val="21"/>
                <w:highlight w:val="none"/>
                <w:lang w:val="en-US" w:eastAsia="zh-CN"/>
              </w:rPr>
            </w:pPr>
            <w:r>
              <w:rPr>
                <w:rFonts w:hint="eastAsia" w:cs="宋体"/>
                <w:color w:val="auto"/>
                <w:kern w:val="0"/>
                <w:sz w:val="21"/>
                <w:szCs w:val="21"/>
                <w:highlight w:val="none"/>
              </w:rPr>
              <w:t>8</w:t>
            </w:r>
            <w:r>
              <w:rPr>
                <w:rFonts w:hint="eastAsia" w:cs="宋体"/>
                <w:color w:val="auto"/>
                <w:kern w:val="0"/>
                <w:sz w:val="21"/>
                <w:szCs w:val="21"/>
                <w:highlight w:val="none"/>
                <w:lang w:val="en-US" w:eastAsia="zh-CN"/>
              </w:rPr>
              <w:t>套</w:t>
            </w:r>
          </w:p>
        </w:tc>
      </w:tr>
    </w:tbl>
    <w:p w14:paraId="5B158F8A">
      <w:pPr>
        <w:pStyle w:val="25"/>
        <w:rPr>
          <w:color w:val="auto"/>
          <w:highlight w:val="none"/>
        </w:rPr>
      </w:pPr>
    </w:p>
    <w:p w14:paraId="653081A3">
      <w:pPr>
        <w:ind w:firstLine="482"/>
        <w:rPr>
          <w:b/>
          <w:color w:val="auto"/>
          <w:highlight w:val="none"/>
        </w:rPr>
      </w:pPr>
      <w:r>
        <w:rPr>
          <w:rFonts w:hint="eastAsia"/>
          <w:b/>
          <w:color w:val="auto"/>
          <w:highlight w:val="none"/>
        </w:rPr>
        <w:t>4、服务购置清单：</w:t>
      </w:r>
    </w:p>
    <w:tbl>
      <w:tblPr>
        <w:tblStyle w:val="59"/>
        <w:tblW w:w="5000" w:type="pct"/>
        <w:tblInd w:w="0" w:type="dxa"/>
        <w:tblLayout w:type="autofit"/>
        <w:tblCellMar>
          <w:top w:w="0" w:type="dxa"/>
          <w:left w:w="108" w:type="dxa"/>
          <w:bottom w:w="0" w:type="dxa"/>
          <w:right w:w="108" w:type="dxa"/>
        </w:tblCellMar>
      </w:tblPr>
      <w:tblGrid>
        <w:gridCol w:w="1015"/>
        <w:gridCol w:w="2330"/>
        <w:gridCol w:w="5183"/>
      </w:tblGrid>
      <w:tr w14:paraId="3FEDC2D3">
        <w:tblPrEx>
          <w:tblCellMar>
            <w:top w:w="0" w:type="dxa"/>
            <w:left w:w="108" w:type="dxa"/>
            <w:bottom w:w="0" w:type="dxa"/>
            <w:right w:w="108" w:type="dxa"/>
          </w:tblCellMar>
        </w:tblPrEx>
        <w:trPr>
          <w:trHeight w:val="315" w:hRule="atLeast"/>
        </w:trPr>
        <w:tc>
          <w:tcPr>
            <w:tcW w:w="595" w:type="pct"/>
            <w:tcBorders>
              <w:top w:val="single" w:color="auto" w:sz="4" w:space="0"/>
              <w:left w:val="single" w:color="auto" w:sz="4" w:space="0"/>
              <w:bottom w:val="single" w:color="auto" w:sz="4" w:space="0"/>
              <w:right w:val="single" w:color="auto" w:sz="4" w:space="0"/>
            </w:tcBorders>
            <w:vAlign w:val="center"/>
          </w:tcPr>
          <w:p w14:paraId="10EA489F">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序号</w:t>
            </w:r>
          </w:p>
        </w:tc>
        <w:tc>
          <w:tcPr>
            <w:tcW w:w="1366" w:type="pct"/>
            <w:tcBorders>
              <w:top w:val="single" w:color="auto" w:sz="4" w:space="0"/>
              <w:left w:val="nil"/>
              <w:bottom w:val="single" w:color="auto" w:sz="4" w:space="0"/>
              <w:right w:val="single" w:color="auto" w:sz="4" w:space="0"/>
            </w:tcBorders>
            <w:noWrap/>
            <w:vAlign w:val="center"/>
          </w:tcPr>
          <w:p w14:paraId="06F0BFA7">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科目名称</w:t>
            </w:r>
          </w:p>
        </w:tc>
        <w:tc>
          <w:tcPr>
            <w:tcW w:w="3039" w:type="pct"/>
            <w:tcBorders>
              <w:top w:val="single" w:color="auto" w:sz="4" w:space="0"/>
              <w:left w:val="nil"/>
              <w:bottom w:val="single" w:color="auto" w:sz="4" w:space="0"/>
              <w:right w:val="single" w:color="auto" w:sz="4" w:space="0"/>
            </w:tcBorders>
            <w:noWrap/>
            <w:vAlign w:val="center"/>
          </w:tcPr>
          <w:p w14:paraId="5CF50C82">
            <w:pPr>
              <w:widowControl/>
              <w:spacing w:line="240" w:lineRule="auto"/>
              <w:ind w:firstLine="0" w:firstLineChars="0"/>
              <w:jc w:val="center"/>
              <w:rPr>
                <w:rFonts w:cs="宋体"/>
                <w:b/>
                <w:bCs/>
                <w:color w:val="auto"/>
                <w:kern w:val="0"/>
                <w:sz w:val="21"/>
                <w:szCs w:val="21"/>
                <w:highlight w:val="none"/>
              </w:rPr>
            </w:pPr>
            <w:r>
              <w:rPr>
                <w:rFonts w:hint="eastAsia" w:cs="宋体"/>
                <w:b/>
                <w:bCs/>
                <w:color w:val="auto"/>
                <w:kern w:val="0"/>
                <w:sz w:val="21"/>
                <w:szCs w:val="21"/>
                <w:highlight w:val="none"/>
              </w:rPr>
              <w:t>服务内容</w:t>
            </w:r>
          </w:p>
        </w:tc>
      </w:tr>
      <w:tr w14:paraId="59271707">
        <w:tblPrEx>
          <w:tblCellMar>
            <w:top w:w="0" w:type="dxa"/>
            <w:left w:w="108" w:type="dxa"/>
            <w:bottom w:w="0" w:type="dxa"/>
            <w:right w:w="108" w:type="dxa"/>
          </w:tblCellMar>
        </w:tblPrEx>
        <w:trPr>
          <w:trHeight w:val="1213" w:hRule="atLeast"/>
        </w:trPr>
        <w:tc>
          <w:tcPr>
            <w:tcW w:w="595" w:type="pct"/>
            <w:tcBorders>
              <w:top w:val="nil"/>
              <w:left w:val="single" w:color="000000" w:sz="4" w:space="0"/>
              <w:bottom w:val="single" w:color="000000" w:sz="4" w:space="0"/>
              <w:right w:val="single" w:color="000000" w:sz="4" w:space="0"/>
            </w:tcBorders>
            <w:vAlign w:val="center"/>
          </w:tcPr>
          <w:p w14:paraId="1F57EC33">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1</w:t>
            </w:r>
          </w:p>
        </w:tc>
        <w:tc>
          <w:tcPr>
            <w:tcW w:w="1366" w:type="pct"/>
            <w:tcBorders>
              <w:top w:val="nil"/>
              <w:left w:val="nil"/>
              <w:bottom w:val="single" w:color="000000" w:sz="4" w:space="0"/>
              <w:right w:val="single" w:color="000000" w:sz="4" w:space="0"/>
            </w:tcBorders>
            <w:vAlign w:val="center"/>
          </w:tcPr>
          <w:p w14:paraId="0B0D2850">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数据加工</w:t>
            </w:r>
          </w:p>
        </w:tc>
        <w:tc>
          <w:tcPr>
            <w:tcW w:w="3039" w:type="pct"/>
            <w:tcBorders>
              <w:top w:val="nil"/>
              <w:left w:val="nil"/>
              <w:bottom w:val="single" w:color="000000" w:sz="4" w:space="0"/>
              <w:right w:val="single" w:color="000000" w:sz="4" w:space="0"/>
            </w:tcBorders>
            <w:vAlign w:val="center"/>
          </w:tcPr>
          <w:p w14:paraId="12D038FE">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 xml:space="preserve">标准化历史数据融合。约600亿条三医数据的融合。 </w:t>
            </w:r>
          </w:p>
        </w:tc>
      </w:tr>
      <w:tr w14:paraId="5BD73633">
        <w:tblPrEx>
          <w:tblCellMar>
            <w:top w:w="0" w:type="dxa"/>
            <w:left w:w="108" w:type="dxa"/>
            <w:bottom w:w="0" w:type="dxa"/>
            <w:right w:w="108" w:type="dxa"/>
          </w:tblCellMar>
        </w:tblPrEx>
        <w:trPr>
          <w:trHeight w:val="630" w:hRule="atLeast"/>
        </w:trPr>
        <w:tc>
          <w:tcPr>
            <w:tcW w:w="595" w:type="pct"/>
            <w:tcBorders>
              <w:top w:val="nil"/>
              <w:left w:val="single" w:color="000000" w:sz="4" w:space="0"/>
              <w:bottom w:val="single" w:color="000000" w:sz="4" w:space="0"/>
              <w:right w:val="single" w:color="000000" w:sz="4" w:space="0"/>
            </w:tcBorders>
            <w:vAlign w:val="center"/>
          </w:tcPr>
          <w:p w14:paraId="4BAB4E92">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2</w:t>
            </w:r>
          </w:p>
        </w:tc>
        <w:tc>
          <w:tcPr>
            <w:tcW w:w="1366" w:type="pct"/>
            <w:tcBorders>
              <w:top w:val="nil"/>
              <w:left w:val="nil"/>
              <w:bottom w:val="single" w:color="000000" w:sz="4" w:space="0"/>
              <w:right w:val="single" w:color="000000" w:sz="4" w:space="0"/>
            </w:tcBorders>
            <w:vAlign w:val="center"/>
          </w:tcPr>
          <w:p w14:paraId="05F2078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数据标签</w:t>
            </w:r>
          </w:p>
        </w:tc>
        <w:tc>
          <w:tcPr>
            <w:tcW w:w="3039" w:type="pct"/>
            <w:tcBorders>
              <w:top w:val="nil"/>
              <w:left w:val="nil"/>
              <w:bottom w:val="single" w:color="000000" w:sz="4" w:space="0"/>
              <w:right w:val="single" w:color="000000" w:sz="4" w:space="0"/>
            </w:tcBorders>
            <w:vAlign w:val="center"/>
          </w:tcPr>
          <w:p w14:paraId="3117099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历史数据标签。</w:t>
            </w:r>
          </w:p>
        </w:tc>
      </w:tr>
      <w:tr w14:paraId="65F0AAE9">
        <w:tblPrEx>
          <w:tblCellMar>
            <w:top w:w="0" w:type="dxa"/>
            <w:left w:w="108" w:type="dxa"/>
            <w:bottom w:w="0" w:type="dxa"/>
            <w:right w:w="108" w:type="dxa"/>
          </w:tblCellMar>
        </w:tblPrEx>
        <w:trPr>
          <w:trHeight w:val="1195" w:hRule="atLeast"/>
        </w:trPr>
        <w:tc>
          <w:tcPr>
            <w:tcW w:w="595" w:type="pct"/>
            <w:tcBorders>
              <w:top w:val="nil"/>
              <w:left w:val="single" w:color="000000" w:sz="4" w:space="0"/>
              <w:bottom w:val="single" w:color="000000" w:sz="4" w:space="0"/>
              <w:right w:val="single" w:color="000000" w:sz="4" w:space="0"/>
            </w:tcBorders>
            <w:vAlign w:val="center"/>
          </w:tcPr>
          <w:p w14:paraId="6A472EA6">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3</w:t>
            </w:r>
          </w:p>
        </w:tc>
        <w:tc>
          <w:tcPr>
            <w:tcW w:w="1366" w:type="pct"/>
            <w:tcBorders>
              <w:top w:val="nil"/>
              <w:left w:val="nil"/>
              <w:bottom w:val="single" w:color="000000" w:sz="4" w:space="0"/>
              <w:right w:val="single" w:color="000000" w:sz="4" w:space="0"/>
            </w:tcBorders>
            <w:vAlign w:val="center"/>
          </w:tcPr>
          <w:p w14:paraId="47D5744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数据采集</w:t>
            </w:r>
          </w:p>
        </w:tc>
        <w:tc>
          <w:tcPr>
            <w:tcW w:w="3039" w:type="pct"/>
            <w:tcBorders>
              <w:top w:val="nil"/>
              <w:left w:val="nil"/>
              <w:bottom w:val="single" w:color="000000" w:sz="4" w:space="0"/>
              <w:right w:val="single" w:color="000000" w:sz="4" w:space="0"/>
            </w:tcBorders>
            <w:vAlign w:val="center"/>
          </w:tcPr>
          <w:p w14:paraId="62DA2600">
            <w:pPr>
              <w:widowControl/>
              <w:spacing w:line="240" w:lineRule="auto"/>
              <w:ind w:firstLine="0" w:firstLineChars="0"/>
              <w:jc w:val="left"/>
              <w:rPr>
                <w:rFonts w:cs="宋体"/>
                <w:color w:val="auto"/>
                <w:kern w:val="0"/>
                <w:sz w:val="21"/>
                <w:szCs w:val="21"/>
                <w:highlight w:val="none"/>
              </w:rPr>
            </w:pPr>
            <w:r>
              <w:rPr>
                <w:rFonts w:hint="eastAsia" w:cs="宋体"/>
                <w:color w:val="auto"/>
                <w:kern w:val="0"/>
                <w:sz w:val="21"/>
                <w:szCs w:val="21"/>
                <w:highlight w:val="none"/>
              </w:rPr>
              <w:t>全市卫生健康医疗机构采集对接。按415家全市公立医疗机构计。</w:t>
            </w:r>
          </w:p>
        </w:tc>
      </w:tr>
      <w:tr w14:paraId="4B77545B">
        <w:tblPrEx>
          <w:tblCellMar>
            <w:top w:w="0" w:type="dxa"/>
            <w:left w:w="108" w:type="dxa"/>
            <w:bottom w:w="0" w:type="dxa"/>
            <w:right w:w="108" w:type="dxa"/>
          </w:tblCellMar>
        </w:tblPrEx>
        <w:trPr>
          <w:trHeight w:val="560" w:hRule="atLeast"/>
        </w:trPr>
        <w:tc>
          <w:tcPr>
            <w:tcW w:w="595" w:type="pct"/>
            <w:tcBorders>
              <w:top w:val="nil"/>
              <w:left w:val="single" w:color="000000" w:sz="4" w:space="0"/>
              <w:bottom w:val="single" w:color="000000" w:sz="4" w:space="0"/>
              <w:right w:val="single" w:color="000000" w:sz="4" w:space="0"/>
            </w:tcBorders>
            <w:vAlign w:val="center"/>
          </w:tcPr>
          <w:p w14:paraId="5CD98F79">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4</w:t>
            </w:r>
          </w:p>
        </w:tc>
        <w:tc>
          <w:tcPr>
            <w:tcW w:w="1366" w:type="pct"/>
            <w:tcBorders>
              <w:top w:val="nil"/>
              <w:left w:val="nil"/>
              <w:bottom w:val="single" w:color="000000" w:sz="4" w:space="0"/>
              <w:right w:val="single" w:color="000000" w:sz="4" w:space="0"/>
            </w:tcBorders>
            <w:vAlign w:val="center"/>
          </w:tcPr>
          <w:p w14:paraId="21620534">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在线安全检测</w:t>
            </w:r>
          </w:p>
        </w:tc>
        <w:tc>
          <w:tcPr>
            <w:tcW w:w="3039" w:type="pct"/>
            <w:tcBorders>
              <w:top w:val="nil"/>
              <w:left w:val="nil"/>
              <w:bottom w:val="single" w:color="000000" w:sz="4" w:space="0"/>
              <w:right w:val="single" w:color="000000" w:sz="4" w:space="0"/>
            </w:tcBorders>
            <w:vAlign w:val="center"/>
          </w:tcPr>
          <w:p w14:paraId="486E531D">
            <w:pPr>
              <w:widowControl/>
              <w:spacing w:line="240" w:lineRule="auto"/>
              <w:ind w:firstLine="0" w:firstLineChars="0"/>
              <w:jc w:val="center"/>
              <w:rPr>
                <w:rFonts w:cs="宋体"/>
                <w:color w:val="auto"/>
                <w:kern w:val="0"/>
                <w:sz w:val="21"/>
                <w:szCs w:val="21"/>
                <w:highlight w:val="none"/>
              </w:rPr>
            </w:pPr>
            <w:r>
              <w:rPr>
                <w:rFonts w:hint="eastAsia" w:cs="宋体"/>
                <w:color w:val="auto"/>
                <w:kern w:val="0"/>
                <w:sz w:val="21"/>
                <w:szCs w:val="21"/>
                <w:highlight w:val="none"/>
              </w:rPr>
              <w:t>代码审计费（安全加固）。</w:t>
            </w:r>
          </w:p>
        </w:tc>
      </w:tr>
    </w:tbl>
    <w:p w14:paraId="3BEBF236">
      <w:pPr>
        <w:ind w:firstLine="0" w:firstLineChars="0"/>
        <w:rPr>
          <w:color w:val="auto"/>
          <w:highlight w:val="none"/>
        </w:rPr>
      </w:pPr>
    </w:p>
    <w:p w14:paraId="65B7E293">
      <w:pPr>
        <w:pStyle w:val="2"/>
        <w:rPr>
          <w:color w:val="auto"/>
          <w:highlight w:val="none"/>
        </w:rPr>
      </w:pPr>
      <w:bookmarkStart w:id="28" w:name="_Toc63785502"/>
      <w:r>
        <w:rPr>
          <w:rFonts w:hint="eastAsia"/>
          <w:color w:val="auto"/>
          <w:highlight w:val="none"/>
        </w:rPr>
        <w:t>电子政务云资源需求</w:t>
      </w:r>
      <w:bookmarkEnd w:id="28"/>
    </w:p>
    <w:p w14:paraId="5A7BFCE3">
      <w:pPr>
        <w:rPr>
          <w:color w:val="auto"/>
          <w:highlight w:val="none"/>
        </w:rPr>
      </w:pPr>
      <w:r>
        <w:rPr>
          <w:rFonts w:hint="eastAsia"/>
          <w:color w:val="auto"/>
          <w:highlight w:val="none"/>
        </w:rPr>
        <w:t>本项目依托上海市电子政务云申请服务器资源建设</w:t>
      </w:r>
      <w:r>
        <w:rPr>
          <w:color w:val="auto"/>
          <w:highlight w:val="none"/>
        </w:rPr>
        <w:t>。项目实施过程中，按电子政务云平台提供的实际资源情况做调整。</w:t>
      </w:r>
    </w:p>
    <w:p w14:paraId="61A18859">
      <w:pPr>
        <w:pStyle w:val="2"/>
        <w:rPr>
          <w:color w:val="auto"/>
          <w:highlight w:val="none"/>
        </w:rPr>
      </w:pPr>
      <w:bookmarkStart w:id="29" w:name="_Toc63785503"/>
      <w:bookmarkStart w:id="30" w:name="_Hlk152590954"/>
      <w:r>
        <w:rPr>
          <w:rFonts w:hint="eastAsia"/>
          <w:color w:val="auto"/>
          <w:highlight w:val="none"/>
        </w:rPr>
        <w:t>其他工作要求</w:t>
      </w:r>
      <w:bookmarkEnd w:id="29"/>
      <w:bookmarkStart w:id="31" w:name="_Toc62209488"/>
      <w:bookmarkEnd w:id="31"/>
      <w:bookmarkStart w:id="32" w:name="_Toc61968111"/>
      <w:bookmarkEnd w:id="32"/>
      <w:bookmarkStart w:id="33" w:name="_Toc63762370"/>
      <w:bookmarkEnd w:id="33"/>
      <w:bookmarkStart w:id="34" w:name="_Toc63785439"/>
      <w:bookmarkEnd w:id="34"/>
      <w:bookmarkStart w:id="35" w:name="_Toc63585480"/>
      <w:bookmarkEnd w:id="35"/>
      <w:bookmarkStart w:id="36" w:name="_Toc62219358"/>
      <w:bookmarkEnd w:id="36"/>
      <w:bookmarkStart w:id="37" w:name="_Toc63785504"/>
      <w:bookmarkEnd w:id="37"/>
      <w:bookmarkStart w:id="38" w:name="_Toc63151871"/>
      <w:bookmarkEnd w:id="38"/>
    </w:p>
    <w:p w14:paraId="0CF8B027">
      <w:pPr>
        <w:pStyle w:val="3"/>
        <w:jc w:val="left"/>
        <w:rPr>
          <w:color w:val="auto"/>
          <w:highlight w:val="none"/>
        </w:rPr>
      </w:pPr>
      <w:bookmarkStart w:id="39" w:name="_Toc63785505"/>
      <w:r>
        <w:rPr>
          <w:rFonts w:hint="eastAsia"/>
          <w:color w:val="auto"/>
          <w:highlight w:val="none"/>
        </w:rPr>
        <w:t>售后服务要求</w:t>
      </w:r>
      <w:bookmarkEnd w:id="39"/>
    </w:p>
    <w:p w14:paraId="3B8A7846">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本项目从系统验收通过之日起1年内提供</w:t>
      </w:r>
      <w:r>
        <w:rPr>
          <w:rFonts w:ascii="宋体" w:hAnsi="宋体"/>
          <w:color w:val="auto"/>
          <w:sz w:val="24"/>
          <w:szCs w:val="24"/>
          <w:highlight w:val="none"/>
        </w:rPr>
        <w:t>7*24小时免费技术支持</w:t>
      </w:r>
      <w:r>
        <w:rPr>
          <w:rFonts w:hint="eastAsia" w:ascii="宋体" w:hAnsi="宋体"/>
          <w:color w:val="auto"/>
          <w:sz w:val="24"/>
          <w:szCs w:val="24"/>
          <w:highlight w:val="none"/>
        </w:rPr>
        <w:t>和售后服务，1年后进入有偿维护期。</w:t>
      </w:r>
    </w:p>
    <w:p w14:paraId="4A34E06F">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在质量保证期内，供应商将按照售后服务的承诺提供保修和运行维护服务。</w:t>
      </w:r>
    </w:p>
    <w:p w14:paraId="6992D558">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在质量保证期内，供应商负责信息系统的运行维护工作，确保信息系统安全、稳定、可靠地运行。本项目涉及的运行维护工作范围包括但不限于：远程技术支持、预防性维护、故障修复、重大活动现场保障、技术交流与培训、性能优化等。</w:t>
      </w:r>
    </w:p>
    <w:p w14:paraId="410F74B3">
      <w:pPr>
        <w:pStyle w:val="3"/>
        <w:rPr>
          <w:color w:val="auto"/>
          <w:highlight w:val="none"/>
        </w:rPr>
      </w:pPr>
      <w:bookmarkStart w:id="40" w:name="_Toc63785506"/>
      <w:r>
        <w:rPr>
          <w:rFonts w:hint="eastAsia"/>
          <w:color w:val="auto"/>
          <w:highlight w:val="none"/>
        </w:rPr>
        <w:t>应急响应要求</w:t>
      </w:r>
      <w:bookmarkEnd w:id="40"/>
    </w:p>
    <w:p w14:paraId="08FCC7CE">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供应商对系统故障应能够实时响应，若系统发生故障，接到通知后</w:t>
      </w:r>
      <w:r>
        <w:rPr>
          <w:rFonts w:ascii="宋体" w:hAnsi="宋体"/>
          <w:color w:val="auto"/>
          <w:sz w:val="24"/>
          <w:szCs w:val="24"/>
          <w:highlight w:val="none"/>
        </w:rPr>
        <w:t>30分钟之内响应，专业工程师2小时内到达现场</w:t>
      </w:r>
      <w:r>
        <w:rPr>
          <w:rFonts w:hint="eastAsia" w:ascii="宋体" w:hAnsi="宋体"/>
          <w:color w:val="auto"/>
          <w:sz w:val="24"/>
          <w:szCs w:val="24"/>
          <w:highlight w:val="none"/>
        </w:rPr>
        <w:t>。特殊故障与客户沟通协商后，按照协商的方式制定解决方案并进行处理。</w:t>
      </w:r>
    </w:p>
    <w:p w14:paraId="6489D5F8">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具体故障级别及对应的应急响应要求如下：</w:t>
      </w:r>
    </w:p>
    <w:p w14:paraId="16E26469">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一级故障：在</w:t>
      </w:r>
      <w:r>
        <w:rPr>
          <w:rFonts w:ascii="宋体" w:hAnsi="宋体"/>
          <w:color w:val="auto"/>
          <w:sz w:val="24"/>
          <w:szCs w:val="24"/>
          <w:highlight w:val="none"/>
        </w:rPr>
        <w:t>1小时内确诊，总故障解决时间不超过4小时。</w:t>
      </w:r>
    </w:p>
    <w:p w14:paraId="0632D768">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二级故障：在</w:t>
      </w:r>
      <w:r>
        <w:rPr>
          <w:rFonts w:ascii="宋体" w:hAnsi="宋体"/>
          <w:color w:val="auto"/>
          <w:sz w:val="24"/>
          <w:szCs w:val="24"/>
          <w:highlight w:val="none"/>
        </w:rPr>
        <w:t>2小时内确诊，并在4小时内由专家到达现场确诊并解决，总故障解决时间不超过8小时；</w:t>
      </w:r>
    </w:p>
    <w:p w14:paraId="677E5A4A">
      <w:pPr>
        <w:pStyle w:val="136"/>
        <w:snapToGrid w:val="0"/>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三、四级故障：在</w:t>
      </w:r>
      <w:r>
        <w:rPr>
          <w:rFonts w:ascii="宋体" w:hAnsi="宋体"/>
          <w:color w:val="auto"/>
          <w:sz w:val="24"/>
          <w:szCs w:val="24"/>
          <w:highlight w:val="none"/>
        </w:rPr>
        <w:t>4小时内确诊故障，总故障解决时间不超过16小时。</w:t>
      </w:r>
    </w:p>
    <w:p w14:paraId="755ABAD9">
      <w:pPr>
        <w:pStyle w:val="3"/>
        <w:rPr>
          <w:color w:val="auto"/>
          <w:highlight w:val="none"/>
        </w:rPr>
      </w:pPr>
      <w:bookmarkStart w:id="41" w:name="_Toc63785507"/>
      <w:r>
        <w:rPr>
          <w:rFonts w:hint="eastAsia"/>
          <w:color w:val="auto"/>
          <w:highlight w:val="none"/>
        </w:rPr>
        <w:t>培训要求</w:t>
      </w:r>
      <w:bookmarkEnd w:id="41"/>
    </w:p>
    <w:p w14:paraId="34BEFB3D">
      <w:pPr>
        <w:rPr>
          <w:color w:val="auto"/>
          <w:highlight w:val="none"/>
        </w:rPr>
      </w:pPr>
      <w:r>
        <w:rPr>
          <w:rFonts w:hint="eastAsia"/>
          <w:color w:val="auto"/>
          <w:highlight w:val="none"/>
        </w:rPr>
        <w:t>供应商应提供业务操作培训，应提供详细培训方案。</w:t>
      </w:r>
    </w:p>
    <w:p w14:paraId="1DB915EC">
      <w:pPr>
        <w:rPr>
          <w:color w:val="auto"/>
          <w:highlight w:val="none"/>
        </w:rPr>
      </w:pPr>
      <w:r>
        <w:rPr>
          <w:rFonts w:hint="eastAsia"/>
          <w:color w:val="auto"/>
          <w:highlight w:val="none"/>
        </w:rPr>
        <w:t>(1)项目验收前提供至少1次系统操作培训。在12个月的质量保证期内，至少提供</w:t>
      </w:r>
      <w:r>
        <w:rPr>
          <w:color w:val="auto"/>
          <w:highlight w:val="none"/>
        </w:rPr>
        <w:t>1</w:t>
      </w:r>
      <w:r>
        <w:rPr>
          <w:rFonts w:hint="eastAsia"/>
          <w:color w:val="auto"/>
          <w:highlight w:val="none"/>
        </w:rPr>
        <w:t>次与项目相关的必要培训。</w:t>
      </w:r>
    </w:p>
    <w:p w14:paraId="608AD281">
      <w:pPr>
        <w:rPr>
          <w:color w:val="auto"/>
          <w:highlight w:val="none"/>
        </w:rPr>
      </w:pPr>
      <w:r>
        <w:rPr>
          <w:rFonts w:hint="eastAsia"/>
          <w:color w:val="auto"/>
          <w:highlight w:val="none"/>
        </w:rPr>
        <w:t>(2)供应商需要开展分层次的人员培训工作，每次培训后应提供培训签到表、培训记录和培训报告。培训应具有培训教材、培训环境和高水平的培训讲师。</w:t>
      </w:r>
    </w:p>
    <w:p w14:paraId="48BA7B8D">
      <w:pPr>
        <w:rPr>
          <w:color w:val="auto"/>
          <w:highlight w:val="none"/>
        </w:rPr>
      </w:pPr>
      <w:r>
        <w:rPr>
          <w:rFonts w:hint="eastAsia"/>
          <w:color w:val="auto"/>
          <w:highlight w:val="none"/>
        </w:rPr>
        <w:t>(3)供应商应提供一般用户的基础操作培训和系统管理员的日常应用维护培训，确保用户对象能够掌握对应的操作技能。</w:t>
      </w:r>
    </w:p>
    <w:p w14:paraId="35229E26">
      <w:pPr>
        <w:pStyle w:val="3"/>
        <w:rPr>
          <w:color w:val="auto"/>
          <w:highlight w:val="none"/>
        </w:rPr>
      </w:pPr>
      <w:bookmarkStart w:id="42" w:name="_Toc63785508"/>
      <w:r>
        <w:rPr>
          <w:rFonts w:hint="eastAsia"/>
          <w:color w:val="auto"/>
          <w:highlight w:val="none"/>
        </w:rPr>
        <w:t>验收要求</w:t>
      </w:r>
      <w:bookmarkEnd w:id="42"/>
    </w:p>
    <w:p w14:paraId="0C19EE0D">
      <w:pPr>
        <w:rPr>
          <w:color w:val="auto"/>
          <w:szCs w:val="21"/>
          <w:highlight w:val="none"/>
        </w:rPr>
      </w:pPr>
      <w:r>
        <w:rPr>
          <w:rFonts w:hint="eastAsia"/>
          <w:color w:val="auto"/>
          <w:szCs w:val="21"/>
          <w:highlight w:val="none"/>
        </w:rPr>
        <w:t>本项目按下述方式开展验收。</w:t>
      </w:r>
    </w:p>
    <w:p w14:paraId="59CE1ED2">
      <w:pPr>
        <w:rPr>
          <w:color w:val="auto"/>
          <w:szCs w:val="21"/>
          <w:highlight w:val="none"/>
        </w:rPr>
      </w:pPr>
      <w:r>
        <w:rPr>
          <w:rFonts w:hint="eastAsia"/>
          <w:color w:val="auto"/>
          <w:szCs w:val="21"/>
          <w:highlight w:val="none"/>
        </w:rPr>
        <w:t>（</w:t>
      </w:r>
      <w:r>
        <w:rPr>
          <w:color w:val="auto"/>
          <w:szCs w:val="21"/>
          <w:highlight w:val="none"/>
        </w:rPr>
        <w:t>1）验收分初验和终验。</w:t>
      </w:r>
    </w:p>
    <w:p w14:paraId="53813DAC">
      <w:pPr>
        <w:rPr>
          <w:color w:val="auto"/>
          <w:szCs w:val="21"/>
          <w:highlight w:val="none"/>
        </w:rPr>
      </w:pPr>
      <w:r>
        <w:rPr>
          <w:rFonts w:hint="eastAsia"/>
          <w:color w:val="auto"/>
          <w:szCs w:val="21"/>
          <w:highlight w:val="none"/>
        </w:rPr>
        <w:t>（</w:t>
      </w:r>
      <w:r>
        <w:rPr>
          <w:color w:val="auto"/>
          <w:szCs w:val="21"/>
          <w:highlight w:val="none"/>
        </w:rPr>
        <w:t>2）初验前，供应商须完成软件开发和信息系统的调试等，并对本项目进行功能和运行检测，确保所有信息系统功能模块能够正常运行且已达到本项目约定的各类标准要求。供应商应以书面形式向招标方递交初验</w:t>
      </w:r>
      <w:r>
        <w:rPr>
          <w:rFonts w:hint="eastAsia"/>
          <w:color w:val="auto"/>
          <w:szCs w:val="21"/>
          <w:highlight w:val="none"/>
        </w:rPr>
        <w:t>申请，</w:t>
      </w:r>
      <w:r>
        <w:rPr>
          <w:color w:val="auto"/>
          <w:szCs w:val="21"/>
          <w:highlight w:val="none"/>
        </w:rPr>
        <w:t>招标方应当在接到通知后的</w:t>
      </w:r>
      <w:r>
        <w:rPr>
          <w:rFonts w:hint="eastAsia"/>
          <w:color w:val="auto"/>
          <w:szCs w:val="21"/>
          <w:highlight w:val="none"/>
        </w:rPr>
        <w:t>5</w:t>
      </w:r>
      <w:r>
        <w:rPr>
          <w:color w:val="auto"/>
          <w:szCs w:val="21"/>
          <w:highlight w:val="none"/>
        </w:rPr>
        <w:t>个工作日内确定初验的具体日期，由双方按照本项目的约定完成本项目的初验。招标方有权委托第三方检测机构进行验收，对此供应商应当配合。</w:t>
      </w:r>
    </w:p>
    <w:p w14:paraId="2027D218">
      <w:pPr>
        <w:rPr>
          <w:color w:val="auto"/>
          <w:szCs w:val="21"/>
          <w:highlight w:val="none"/>
        </w:rPr>
      </w:pPr>
      <w:r>
        <w:rPr>
          <w:rFonts w:hint="eastAsia"/>
          <w:color w:val="auto"/>
          <w:szCs w:val="21"/>
          <w:highlight w:val="none"/>
        </w:rPr>
        <w:t>（</w:t>
      </w:r>
      <w:r>
        <w:rPr>
          <w:color w:val="auto"/>
          <w:szCs w:val="21"/>
          <w:highlight w:val="none"/>
        </w:rPr>
        <w:t>3）初验时，供应商须提供软件文档包括《需求</w:t>
      </w:r>
      <w:r>
        <w:rPr>
          <w:rFonts w:hint="eastAsia"/>
          <w:color w:val="auto"/>
          <w:szCs w:val="21"/>
          <w:highlight w:val="none"/>
        </w:rPr>
        <w:t>规格</w:t>
      </w:r>
      <w:r>
        <w:rPr>
          <w:color w:val="auto"/>
          <w:szCs w:val="21"/>
          <w:highlight w:val="none"/>
        </w:rPr>
        <w:t>说明书》、《概要设计说明书》、《详细设计说明书》、</w:t>
      </w:r>
      <w:r>
        <w:rPr>
          <w:rFonts w:hint="eastAsia"/>
          <w:color w:val="auto"/>
          <w:szCs w:val="21"/>
          <w:highlight w:val="none"/>
        </w:rPr>
        <w:t>《三方功能需求确认单》、</w:t>
      </w:r>
      <w:r>
        <w:rPr>
          <w:color w:val="auto"/>
          <w:szCs w:val="21"/>
          <w:highlight w:val="none"/>
        </w:rPr>
        <w:t>《测试报告》、《用户使用手册》、《系统部署</w:t>
      </w:r>
      <w:r>
        <w:rPr>
          <w:rFonts w:hint="eastAsia"/>
          <w:color w:val="auto"/>
          <w:szCs w:val="21"/>
          <w:highlight w:val="none"/>
        </w:rPr>
        <w:t>手册</w:t>
      </w:r>
      <w:r>
        <w:rPr>
          <w:color w:val="auto"/>
          <w:szCs w:val="21"/>
          <w:highlight w:val="none"/>
        </w:rPr>
        <w:t>》等）及可安装的程序运行文件。所交付的文档与文件应当是可供自然人阅读的书面和电子文档。</w:t>
      </w:r>
      <w:r>
        <w:rPr>
          <w:rFonts w:hint="eastAsia"/>
          <w:color w:val="auto"/>
          <w:szCs w:val="21"/>
          <w:highlight w:val="none"/>
        </w:rPr>
        <w:t>项目通过招标方组织的初验评审，并且所有初验材料</w:t>
      </w:r>
      <w:r>
        <w:rPr>
          <w:color w:val="auto"/>
          <w:szCs w:val="21"/>
          <w:highlight w:val="none"/>
        </w:rPr>
        <w:t>通过验收后，视为初验通过。如有缺陷，招标方应向供应商出具书面</w:t>
      </w:r>
      <w:r>
        <w:rPr>
          <w:rFonts w:hint="eastAsia"/>
          <w:color w:val="auto"/>
          <w:szCs w:val="21"/>
          <w:highlight w:val="none"/>
        </w:rPr>
        <w:t>意见</w:t>
      </w:r>
      <w:r>
        <w:rPr>
          <w:color w:val="auto"/>
          <w:szCs w:val="21"/>
          <w:highlight w:val="none"/>
        </w:rPr>
        <w:t>，陈述需要改进的缺陷。供应商应立即严格依照招标方的书面报告中的要求改进缺陷，并再次进行初验。</w:t>
      </w:r>
    </w:p>
    <w:p w14:paraId="32B397B2">
      <w:pPr>
        <w:rPr>
          <w:color w:val="auto"/>
          <w:szCs w:val="21"/>
          <w:highlight w:val="none"/>
        </w:rPr>
      </w:pPr>
      <w:r>
        <w:rPr>
          <w:rFonts w:hint="eastAsia"/>
          <w:color w:val="auto"/>
          <w:szCs w:val="21"/>
          <w:highlight w:val="none"/>
        </w:rPr>
        <w:t>（</w:t>
      </w:r>
      <w:r>
        <w:rPr>
          <w:color w:val="auto"/>
          <w:szCs w:val="21"/>
          <w:highlight w:val="none"/>
        </w:rPr>
        <w:t>4）自初验通过之日起，招标方享有供应商免费提供的30天的信息系统试运行现场驻场服务期。该期间内，供应商应当按照招标方的要求提供现场技术支持服务，解决信息系统试运行期间可能出现的各类问题，或进一步提高与完善信息系统运行水平。</w:t>
      </w:r>
    </w:p>
    <w:p w14:paraId="2ECF4B40">
      <w:pPr>
        <w:rPr>
          <w:color w:val="auto"/>
          <w:szCs w:val="21"/>
          <w:highlight w:val="none"/>
        </w:rPr>
      </w:pPr>
      <w:r>
        <w:rPr>
          <w:rFonts w:hint="eastAsia"/>
          <w:color w:val="auto"/>
          <w:szCs w:val="21"/>
          <w:highlight w:val="none"/>
        </w:rPr>
        <w:t>（</w:t>
      </w:r>
      <w:r>
        <w:rPr>
          <w:color w:val="auto"/>
          <w:szCs w:val="21"/>
          <w:highlight w:val="none"/>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15个工作日内发起组织专家验收会。</w:t>
      </w:r>
    </w:p>
    <w:p w14:paraId="6186A9F1">
      <w:pPr>
        <w:rPr>
          <w:color w:val="auto"/>
          <w:szCs w:val="21"/>
          <w:highlight w:val="none"/>
        </w:rPr>
      </w:pPr>
      <w:r>
        <w:rPr>
          <w:rFonts w:hint="eastAsia"/>
          <w:color w:val="auto"/>
          <w:szCs w:val="21"/>
          <w:highlight w:val="none"/>
        </w:rPr>
        <w:t>（6</w:t>
      </w:r>
      <w:r>
        <w:rPr>
          <w:color w:val="auto"/>
          <w:szCs w:val="21"/>
          <w:highlight w:val="none"/>
        </w:rPr>
        <w:t>）如果属于供应商原因致使本项目未能通过终验，供应商应当排除缺陷，直至本项目完全符合验收标准，由上述情形而产生的相关费用应由供应商自行承担。</w:t>
      </w:r>
    </w:p>
    <w:p w14:paraId="06327EA3">
      <w:pPr>
        <w:rPr>
          <w:color w:val="auto"/>
          <w:szCs w:val="21"/>
          <w:highlight w:val="none"/>
        </w:rPr>
      </w:pPr>
      <w:r>
        <w:rPr>
          <w:rFonts w:hint="eastAsia"/>
          <w:color w:val="auto"/>
          <w:szCs w:val="21"/>
          <w:highlight w:val="none"/>
        </w:rPr>
        <w:t>（7</w:t>
      </w:r>
      <w:r>
        <w:rPr>
          <w:color w:val="auto"/>
          <w:szCs w:val="21"/>
          <w:highlight w:val="none"/>
        </w:rPr>
        <w:t>）如果由于招标方原因导致本项目在终验通过前出现故障或问题，供应商应及时配合排除该方面的故障或问题。</w:t>
      </w:r>
    </w:p>
    <w:p w14:paraId="5A30DEE6">
      <w:pPr>
        <w:rPr>
          <w:color w:val="auto"/>
          <w:szCs w:val="21"/>
          <w:highlight w:val="none"/>
        </w:rPr>
      </w:pPr>
      <w:r>
        <w:rPr>
          <w:rFonts w:hint="eastAsia"/>
          <w:color w:val="auto"/>
          <w:szCs w:val="21"/>
          <w:highlight w:val="none"/>
        </w:rPr>
        <w:t>（8</w:t>
      </w:r>
      <w:r>
        <w:rPr>
          <w:color w:val="auto"/>
          <w:szCs w:val="21"/>
          <w:highlight w:val="none"/>
        </w:rPr>
        <w:t>）如本项目连续3次验收未通过（含初验未通过或终验未通过），招标方有权解除项目，并有权依照本项目约定的违约条款追究供应商的违约责任。</w:t>
      </w:r>
    </w:p>
    <w:p w14:paraId="1FE3F36D">
      <w:pPr>
        <w:pStyle w:val="3"/>
        <w:rPr>
          <w:color w:val="auto"/>
          <w:highlight w:val="none"/>
        </w:rPr>
      </w:pPr>
      <w:bookmarkStart w:id="43" w:name="_Toc63785509"/>
      <w:r>
        <w:rPr>
          <w:rFonts w:hint="eastAsia"/>
          <w:color w:val="auto"/>
          <w:highlight w:val="none"/>
        </w:rPr>
        <w:t>进度要求</w:t>
      </w:r>
      <w:bookmarkEnd w:id="43"/>
    </w:p>
    <w:p w14:paraId="06FE5639">
      <w:pPr>
        <w:rPr>
          <w:color w:val="auto"/>
          <w:highlight w:val="none"/>
        </w:rPr>
      </w:pPr>
      <w:r>
        <w:rPr>
          <w:rFonts w:hint="eastAsia"/>
          <w:color w:val="auto"/>
          <w:highlight w:val="none"/>
        </w:rPr>
        <w:t>投标人应根据建设内容，分阶段制定合理的时间进度，并且应根据招标方要求进行调整和细化。</w:t>
      </w:r>
    </w:p>
    <w:p w14:paraId="663E6FF8">
      <w:pPr>
        <w:jc w:val="left"/>
        <w:rPr>
          <w:color w:val="auto"/>
          <w:highlight w:val="none"/>
        </w:rPr>
      </w:pPr>
      <w:r>
        <w:rPr>
          <w:rFonts w:hint="eastAsia"/>
          <w:color w:val="auto"/>
          <w:highlight w:val="none"/>
        </w:rPr>
        <w:t>项目总体建设周期计划分为</w:t>
      </w:r>
      <w:r>
        <w:rPr>
          <w:rFonts w:hint="eastAsia"/>
          <w:color w:val="auto"/>
          <w:highlight w:val="none"/>
          <w:lang w:val="en-US" w:eastAsia="zh-CN"/>
        </w:rPr>
        <w:t>3</w:t>
      </w:r>
      <w:r>
        <w:rPr>
          <w:rFonts w:hint="eastAsia"/>
          <w:color w:val="auto"/>
          <w:highlight w:val="none"/>
        </w:rPr>
        <w:t>个阶段：</w:t>
      </w:r>
    </w:p>
    <w:p w14:paraId="045A5DD5">
      <w:pPr>
        <w:jc w:val="left"/>
        <w:rPr>
          <w:color w:val="auto"/>
          <w:highlight w:val="none"/>
        </w:rPr>
      </w:pPr>
      <w:r>
        <w:rPr>
          <w:rFonts w:hint="eastAsia"/>
          <w:color w:val="auto"/>
          <w:highlight w:val="none"/>
        </w:rPr>
        <w:t>第一阶段为合同签订之日起三个月内，完成项目需求调研、设计等。</w:t>
      </w:r>
    </w:p>
    <w:p w14:paraId="68646813">
      <w:pPr>
        <w:jc w:val="left"/>
        <w:rPr>
          <w:color w:val="auto"/>
          <w:highlight w:val="none"/>
        </w:rPr>
      </w:pPr>
      <w:r>
        <w:rPr>
          <w:rFonts w:hint="eastAsia"/>
          <w:color w:val="auto"/>
          <w:highlight w:val="none"/>
        </w:rPr>
        <w:t>第二阶段为合同签订第四个月至第十个月，完成项目开发、测试等；</w:t>
      </w:r>
    </w:p>
    <w:p w14:paraId="19CE549A">
      <w:pPr>
        <w:jc w:val="left"/>
        <w:rPr>
          <w:color w:val="auto"/>
          <w:highlight w:val="none"/>
        </w:rPr>
      </w:pPr>
      <w:r>
        <w:rPr>
          <w:rFonts w:hint="eastAsia"/>
          <w:color w:val="auto"/>
          <w:highlight w:val="none"/>
        </w:rPr>
        <w:t>第三阶段为合同签订之日起至</w:t>
      </w:r>
      <w:r>
        <w:rPr>
          <w:rFonts w:hint="eastAsia"/>
          <w:color w:val="auto"/>
          <w:highlight w:val="none"/>
          <w:lang w:val="en-US" w:eastAsia="zh-CN"/>
        </w:rPr>
        <w:t>2026年11月30日</w:t>
      </w:r>
      <w:r>
        <w:rPr>
          <w:rFonts w:hint="eastAsia"/>
          <w:color w:val="auto"/>
          <w:highlight w:val="none"/>
        </w:rPr>
        <w:t>，完成项目试运行和验收。</w:t>
      </w:r>
    </w:p>
    <w:p w14:paraId="1B904F78">
      <w:pPr>
        <w:pStyle w:val="3"/>
        <w:rPr>
          <w:color w:val="auto"/>
          <w:highlight w:val="none"/>
        </w:rPr>
      </w:pPr>
      <w:bookmarkStart w:id="44" w:name="_Toc63785510"/>
      <w:r>
        <w:rPr>
          <w:rFonts w:hint="eastAsia"/>
          <w:color w:val="auto"/>
          <w:highlight w:val="none"/>
        </w:rPr>
        <w:t>项目团队及驻场人员要求</w:t>
      </w:r>
      <w:bookmarkEnd w:id="44"/>
    </w:p>
    <w:p w14:paraId="0A4578ED">
      <w:pPr>
        <w:rPr>
          <w:color w:val="auto"/>
          <w:highlight w:val="none"/>
        </w:rPr>
      </w:pPr>
      <w:r>
        <w:rPr>
          <w:color w:val="auto"/>
          <w:highlight w:val="none"/>
        </w:rPr>
        <w:t>1）投标人须具有稳定的在职技术保障力量，能够提供及时的技术支援或服务，应针对本项目提供不少于50人的项目服务团队（包括项目经理、产品经理、技术负责人、研发等），</w:t>
      </w:r>
      <w:r>
        <w:rPr>
          <w:rFonts w:hint="eastAsia"/>
          <w:color w:val="auto"/>
          <w:highlight w:val="none"/>
        </w:rPr>
        <w:t>其中至少25人驻场，</w:t>
      </w:r>
      <w:r>
        <w:rPr>
          <w:color w:val="auto"/>
          <w:highlight w:val="none"/>
        </w:rPr>
        <w:t>投标单位的相关服务人员需具备相应的服务能力，需提供相关证明。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363"/>
        <w:gridCol w:w="1276"/>
        <w:gridCol w:w="1565"/>
        <w:gridCol w:w="2148"/>
      </w:tblGrid>
      <w:tr w14:paraId="7B5B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14:paraId="263CD6C5">
            <w:pPr>
              <w:widowControl/>
              <w:spacing w:line="240" w:lineRule="auto"/>
              <w:ind w:firstLine="0" w:firstLineChars="0"/>
              <w:jc w:val="center"/>
              <w:rPr>
                <w:b/>
                <w:color w:val="auto"/>
                <w:highlight w:val="none"/>
              </w:rPr>
            </w:pPr>
            <w:r>
              <w:rPr>
                <w:rFonts w:hint="eastAsia"/>
                <w:b/>
                <w:color w:val="auto"/>
                <w:highlight w:val="none"/>
              </w:rPr>
              <w:t>角色</w:t>
            </w:r>
          </w:p>
        </w:tc>
        <w:tc>
          <w:tcPr>
            <w:tcW w:w="2363" w:type="dxa"/>
            <w:noWrap/>
            <w:vAlign w:val="center"/>
          </w:tcPr>
          <w:p w14:paraId="0707FFAA">
            <w:pPr>
              <w:widowControl/>
              <w:spacing w:line="240" w:lineRule="auto"/>
              <w:ind w:firstLine="0" w:firstLineChars="0"/>
              <w:jc w:val="center"/>
              <w:rPr>
                <w:b/>
                <w:color w:val="auto"/>
                <w:highlight w:val="none"/>
              </w:rPr>
            </w:pPr>
            <w:r>
              <w:rPr>
                <w:rFonts w:hint="eastAsia"/>
                <w:b/>
                <w:color w:val="auto"/>
                <w:highlight w:val="none"/>
              </w:rPr>
              <w:t>主要职责</w:t>
            </w:r>
          </w:p>
        </w:tc>
        <w:tc>
          <w:tcPr>
            <w:tcW w:w="1276" w:type="dxa"/>
            <w:noWrap/>
            <w:vAlign w:val="center"/>
          </w:tcPr>
          <w:p w14:paraId="58E7C3CB">
            <w:pPr>
              <w:widowControl/>
              <w:spacing w:line="240" w:lineRule="auto"/>
              <w:ind w:firstLine="0" w:firstLineChars="0"/>
              <w:jc w:val="center"/>
              <w:rPr>
                <w:b/>
                <w:color w:val="auto"/>
                <w:highlight w:val="none"/>
              </w:rPr>
            </w:pPr>
            <w:r>
              <w:rPr>
                <w:rFonts w:hint="eastAsia"/>
                <w:b/>
                <w:color w:val="auto"/>
                <w:highlight w:val="none"/>
              </w:rPr>
              <w:t>人员数量</w:t>
            </w:r>
          </w:p>
        </w:tc>
        <w:tc>
          <w:tcPr>
            <w:tcW w:w="1565" w:type="dxa"/>
            <w:vAlign w:val="center"/>
          </w:tcPr>
          <w:p w14:paraId="4E4F34F0">
            <w:pPr>
              <w:widowControl/>
              <w:spacing w:line="240" w:lineRule="auto"/>
              <w:ind w:firstLine="0" w:firstLineChars="0"/>
              <w:jc w:val="center"/>
              <w:rPr>
                <w:b/>
                <w:color w:val="auto"/>
                <w:highlight w:val="none"/>
              </w:rPr>
            </w:pPr>
            <w:r>
              <w:rPr>
                <w:rFonts w:hint="eastAsia"/>
                <w:b/>
                <w:color w:val="auto"/>
                <w:highlight w:val="none"/>
              </w:rPr>
              <w:t>人员要求</w:t>
            </w:r>
          </w:p>
        </w:tc>
        <w:tc>
          <w:tcPr>
            <w:tcW w:w="2148" w:type="dxa"/>
            <w:noWrap/>
            <w:vAlign w:val="center"/>
          </w:tcPr>
          <w:p w14:paraId="4FAEAE22">
            <w:pPr>
              <w:widowControl/>
              <w:spacing w:line="240" w:lineRule="auto"/>
              <w:ind w:firstLine="0" w:firstLineChars="0"/>
              <w:jc w:val="center"/>
              <w:rPr>
                <w:b/>
                <w:color w:val="auto"/>
                <w:highlight w:val="none"/>
              </w:rPr>
            </w:pPr>
            <w:r>
              <w:rPr>
                <w:rFonts w:hint="eastAsia"/>
                <w:b/>
                <w:color w:val="auto"/>
                <w:highlight w:val="none"/>
              </w:rPr>
              <w:t>驻场要求</w:t>
            </w:r>
          </w:p>
        </w:tc>
      </w:tr>
      <w:tr w14:paraId="50FF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14:paraId="6F3AA4B7">
            <w:pPr>
              <w:widowControl/>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项目负责人</w:t>
            </w:r>
          </w:p>
        </w:tc>
        <w:tc>
          <w:tcPr>
            <w:tcW w:w="2363" w:type="dxa"/>
            <w:vAlign w:val="center"/>
          </w:tcPr>
          <w:p w14:paraId="38C2DF55">
            <w:pPr>
              <w:widowControl/>
              <w:spacing w:line="240" w:lineRule="auto"/>
              <w:ind w:firstLine="0" w:firstLineChars="0"/>
              <w:jc w:val="center"/>
              <w:rPr>
                <w:rFonts w:hint="eastAsia" w:eastAsia="宋体"/>
                <w:color w:val="auto"/>
                <w:highlight w:val="none"/>
                <w:lang w:eastAsia="zh-CN"/>
              </w:rPr>
            </w:pPr>
            <w:r>
              <w:rPr>
                <w:rFonts w:hint="eastAsia"/>
                <w:color w:val="auto"/>
                <w:highlight w:val="none"/>
                <w:lang w:eastAsia="zh-CN"/>
              </w:rPr>
              <w:t>负责项目整体质量和进度控制</w:t>
            </w:r>
          </w:p>
        </w:tc>
        <w:tc>
          <w:tcPr>
            <w:tcW w:w="1276" w:type="dxa"/>
            <w:noWrap/>
            <w:vAlign w:val="center"/>
          </w:tcPr>
          <w:p w14:paraId="570CD543">
            <w:pPr>
              <w:widowControl/>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1人</w:t>
            </w:r>
          </w:p>
        </w:tc>
        <w:tc>
          <w:tcPr>
            <w:tcW w:w="1565" w:type="dxa"/>
            <w:vAlign w:val="center"/>
          </w:tcPr>
          <w:p w14:paraId="205AF93C">
            <w:pPr>
              <w:widowControl/>
              <w:spacing w:line="240" w:lineRule="auto"/>
              <w:ind w:firstLine="0" w:firstLineChars="0"/>
              <w:jc w:val="center"/>
              <w:rPr>
                <w:rFonts w:hint="eastAsia"/>
                <w:color w:val="auto"/>
                <w:highlight w:val="none"/>
              </w:rPr>
            </w:pPr>
            <w:r>
              <w:rPr>
                <w:rFonts w:hint="eastAsia"/>
                <w:color w:val="auto"/>
                <w:highlight w:val="none"/>
              </w:rPr>
              <w:t>具备信息系统项目管理师资质证书</w:t>
            </w:r>
          </w:p>
        </w:tc>
        <w:tc>
          <w:tcPr>
            <w:tcW w:w="2148" w:type="dxa"/>
            <w:noWrap/>
            <w:vAlign w:val="center"/>
          </w:tcPr>
          <w:p w14:paraId="11A0DF9D">
            <w:pPr>
              <w:widowControl/>
              <w:spacing w:line="240" w:lineRule="auto"/>
              <w:ind w:firstLine="0" w:firstLineChars="0"/>
              <w:jc w:val="center"/>
              <w:rPr>
                <w:rFonts w:hint="eastAsia"/>
                <w:color w:val="auto"/>
                <w:highlight w:val="none"/>
              </w:rPr>
            </w:pPr>
            <w:r>
              <w:rPr>
                <w:rFonts w:hint="eastAsia"/>
                <w:color w:val="auto"/>
                <w:highlight w:val="none"/>
              </w:rPr>
              <w:t>驻场</w:t>
            </w:r>
          </w:p>
        </w:tc>
      </w:tr>
      <w:tr w14:paraId="7FED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14:paraId="7391CC6D">
            <w:pPr>
              <w:widowControl/>
              <w:spacing w:line="240" w:lineRule="auto"/>
              <w:ind w:firstLine="0" w:firstLineChars="0"/>
              <w:jc w:val="center"/>
              <w:rPr>
                <w:color w:val="auto"/>
                <w:highlight w:val="none"/>
              </w:rPr>
            </w:pPr>
            <w:r>
              <w:rPr>
                <w:rFonts w:hint="eastAsia"/>
                <w:color w:val="auto"/>
                <w:highlight w:val="none"/>
              </w:rPr>
              <w:t>项目经理</w:t>
            </w:r>
          </w:p>
        </w:tc>
        <w:tc>
          <w:tcPr>
            <w:tcW w:w="2363" w:type="dxa"/>
            <w:vAlign w:val="center"/>
          </w:tcPr>
          <w:p w14:paraId="3B5C6A28">
            <w:pPr>
              <w:widowControl/>
              <w:spacing w:line="240" w:lineRule="auto"/>
              <w:ind w:firstLine="0" w:firstLineChars="0"/>
              <w:jc w:val="center"/>
              <w:rPr>
                <w:color w:val="auto"/>
                <w:highlight w:val="none"/>
              </w:rPr>
            </w:pPr>
            <w:r>
              <w:rPr>
                <w:rFonts w:hint="eastAsia"/>
                <w:color w:val="auto"/>
                <w:highlight w:val="none"/>
              </w:rPr>
              <w:t>负责</w:t>
            </w:r>
            <w:r>
              <w:rPr>
                <w:rFonts w:hint="eastAsia"/>
                <w:color w:val="auto"/>
                <w:highlight w:val="none"/>
                <w:lang w:eastAsia="zh-CN"/>
              </w:rPr>
              <w:t>模块部分</w:t>
            </w:r>
            <w:r>
              <w:rPr>
                <w:rFonts w:hint="eastAsia"/>
                <w:color w:val="auto"/>
                <w:highlight w:val="none"/>
              </w:rPr>
              <w:t>质量和进度控制</w:t>
            </w:r>
          </w:p>
        </w:tc>
        <w:tc>
          <w:tcPr>
            <w:tcW w:w="1276" w:type="dxa"/>
            <w:noWrap/>
            <w:vAlign w:val="center"/>
          </w:tcPr>
          <w:p w14:paraId="63616469">
            <w:pPr>
              <w:widowControl/>
              <w:spacing w:line="240" w:lineRule="auto"/>
              <w:ind w:firstLine="0" w:firstLineChars="0"/>
              <w:jc w:val="center"/>
              <w:rPr>
                <w:color w:val="auto"/>
                <w:highlight w:val="none"/>
              </w:rPr>
            </w:pPr>
            <w:r>
              <w:rPr>
                <w:rFonts w:hint="eastAsia"/>
                <w:color w:val="auto"/>
                <w:highlight w:val="none"/>
                <w:lang w:val="en-US" w:eastAsia="zh-CN"/>
              </w:rPr>
              <w:t>4</w:t>
            </w:r>
            <w:r>
              <w:rPr>
                <w:rFonts w:hint="eastAsia"/>
                <w:color w:val="auto"/>
                <w:highlight w:val="none"/>
              </w:rPr>
              <w:t>人</w:t>
            </w:r>
          </w:p>
        </w:tc>
        <w:tc>
          <w:tcPr>
            <w:tcW w:w="1565" w:type="dxa"/>
            <w:vAlign w:val="center"/>
          </w:tcPr>
          <w:p w14:paraId="2A55EEDB">
            <w:pPr>
              <w:widowControl/>
              <w:spacing w:line="240" w:lineRule="auto"/>
              <w:ind w:firstLine="0" w:firstLineChars="0"/>
              <w:jc w:val="center"/>
              <w:rPr>
                <w:color w:val="auto"/>
                <w:highlight w:val="none"/>
              </w:rPr>
            </w:pPr>
            <w:r>
              <w:rPr>
                <w:rFonts w:hint="eastAsia"/>
                <w:color w:val="auto"/>
                <w:highlight w:val="none"/>
              </w:rPr>
              <w:t>具备信息系统项目管理师资质证书</w:t>
            </w:r>
          </w:p>
        </w:tc>
        <w:tc>
          <w:tcPr>
            <w:tcW w:w="2148" w:type="dxa"/>
            <w:noWrap/>
            <w:vAlign w:val="center"/>
          </w:tcPr>
          <w:p w14:paraId="3DB911D0">
            <w:pPr>
              <w:widowControl/>
              <w:spacing w:line="240" w:lineRule="auto"/>
              <w:ind w:firstLine="0" w:firstLineChars="0"/>
              <w:jc w:val="center"/>
              <w:rPr>
                <w:color w:val="auto"/>
                <w:highlight w:val="none"/>
              </w:rPr>
            </w:pPr>
            <w:r>
              <w:rPr>
                <w:rFonts w:hint="eastAsia"/>
                <w:color w:val="auto"/>
                <w:highlight w:val="none"/>
              </w:rPr>
              <w:t>驻场</w:t>
            </w:r>
          </w:p>
        </w:tc>
      </w:tr>
      <w:tr w14:paraId="1E52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1176" w:type="dxa"/>
            <w:noWrap/>
            <w:vAlign w:val="center"/>
          </w:tcPr>
          <w:p w14:paraId="49BC0AB4">
            <w:pPr>
              <w:widowControl/>
              <w:spacing w:line="240" w:lineRule="auto"/>
              <w:ind w:firstLine="0" w:firstLineChars="0"/>
              <w:jc w:val="center"/>
              <w:rPr>
                <w:color w:val="auto"/>
                <w:highlight w:val="none"/>
              </w:rPr>
            </w:pPr>
            <w:r>
              <w:rPr>
                <w:rFonts w:hint="eastAsia"/>
                <w:color w:val="auto"/>
                <w:highlight w:val="none"/>
              </w:rPr>
              <w:t>产品经理</w:t>
            </w:r>
          </w:p>
        </w:tc>
        <w:tc>
          <w:tcPr>
            <w:tcW w:w="2363" w:type="dxa"/>
            <w:vAlign w:val="center"/>
          </w:tcPr>
          <w:p w14:paraId="4DF3687E">
            <w:pPr>
              <w:widowControl/>
              <w:spacing w:line="240" w:lineRule="auto"/>
              <w:ind w:firstLine="0" w:firstLineChars="0"/>
              <w:jc w:val="center"/>
              <w:rPr>
                <w:color w:val="auto"/>
                <w:highlight w:val="none"/>
              </w:rPr>
            </w:pPr>
            <w:r>
              <w:rPr>
                <w:rFonts w:hint="eastAsia"/>
                <w:color w:val="auto"/>
                <w:highlight w:val="none"/>
              </w:rPr>
              <w:t>负责项目需求评估与产品设计</w:t>
            </w:r>
          </w:p>
        </w:tc>
        <w:tc>
          <w:tcPr>
            <w:tcW w:w="1276" w:type="dxa"/>
            <w:noWrap/>
            <w:vAlign w:val="center"/>
          </w:tcPr>
          <w:p w14:paraId="0DFC8018">
            <w:pPr>
              <w:widowControl/>
              <w:spacing w:line="240" w:lineRule="auto"/>
              <w:ind w:firstLine="0" w:firstLineChars="0"/>
              <w:jc w:val="center"/>
              <w:rPr>
                <w:color w:val="auto"/>
                <w:highlight w:val="none"/>
              </w:rPr>
            </w:pPr>
            <w:r>
              <w:rPr>
                <w:rFonts w:hint="eastAsia"/>
                <w:color w:val="auto"/>
                <w:highlight w:val="none"/>
              </w:rPr>
              <w:t>10人</w:t>
            </w:r>
          </w:p>
        </w:tc>
        <w:tc>
          <w:tcPr>
            <w:tcW w:w="1565" w:type="dxa"/>
            <w:vAlign w:val="center"/>
          </w:tcPr>
          <w:p w14:paraId="2ACAD5C9">
            <w:pPr>
              <w:widowControl/>
              <w:spacing w:line="240" w:lineRule="auto"/>
              <w:ind w:firstLine="0" w:firstLineChars="0"/>
              <w:jc w:val="center"/>
              <w:rPr>
                <w:color w:val="auto"/>
                <w:highlight w:val="none"/>
              </w:rPr>
            </w:pPr>
            <w:r>
              <w:rPr>
                <w:color w:val="auto"/>
                <w:highlight w:val="none"/>
              </w:rPr>
              <w:t>具有计算机技术与软件专业相关证书</w:t>
            </w:r>
          </w:p>
        </w:tc>
        <w:tc>
          <w:tcPr>
            <w:tcW w:w="2148" w:type="dxa"/>
            <w:noWrap/>
            <w:vAlign w:val="center"/>
          </w:tcPr>
          <w:p w14:paraId="42785B48">
            <w:pPr>
              <w:widowControl/>
              <w:spacing w:line="240" w:lineRule="auto"/>
              <w:ind w:firstLine="0" w:firstLineChars="0"/>
              <w:jc w:val="center"/>
              <w:rPr>
                <w:color w:val="auto"/>
                <w:highlight w:val="none"/>
              </w:rPr>
            </w:pPr>
            <w:r>
              <w:rPr>
                <w:rFonts w:hint="eastAsia"/>
                <w:color w:val="auto"/>
                <w:highlight w:val="none"/>
              </w:rPr>
              <w:t>驻场不少于2人</w:t>
            </w:r>
          </w:p>
        </w:tc>
      </w:tr>
      <w:tr w14:paraId="2DB44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14:paraId="67086287">
            <w:pPr>
              <w:widowControl/>
              <w:spacing w:line="240" w:lineRule="auto"/>
              <w:ind w:firstLine="0" w:firstLineChars="0"/>
              <w:jc w:val="center"/>
              <w:rPr>
                <w:color w:val="auto"/>
                <w:highlight w:val="none"/>
              </w:rPr>
            </w:pPr>
            <w:r>
              <w:rPr>
                <w:rFonts w:hint="eastAsia"/>
                <w:color w:val="auto"/>
                <w:highlight w:val="none"/>
              </w:rPr>
              <w:t>研发</w:t>
            </w:r>
          </w:p>
        </w:tc>
        <w:tc>
          <w:tcPr>
            <w:tcW w:w="2363" w:type="dxa"/>
            <w:noWrap/>
            <w:vAlign w:val="center"/>
          </w:tcPr>
          <w:p w14:paraId="47B8D0C0">
            <w:pPr>
              <w:widowControl/>
              <w:spacing w:line="240" w:lineRule="auto"/>
              <w:ind w:firstLine="0" w:firstLineChars="0"/>
              <w:jc w:val="center"/>
              <w:rPr>
                <w:color w:val="auto"/>
                <w:highlight w:val="none"/>
              </w:rPr>
            </w:pPr>
            <w:r>
              <w:rPr>
                <w:rFonts w:hint="eastAsia"/>
                <w:color w:val="auto"/>
                <w:highlight w:val="none"/>
              </w:rPr>
              <w:t>负责项目具体开发与实施</w:t>
            </w:r>
          </w:p>
        </w:tc>
        <w:tc>
          <w:tcPr>
            <w:tcW w:w="1276" w:type="dxa"/>
            <w:noWrap/>
            <w:vAlign w:val="center"/>
          </w:tcPr>
          <w:p w14:paraId="182D2B52">
            <w:pPr>
              <w:widowControl/>
              <w:spacing w:line="240" w:lineRule="auto"/>
              <w:ind w:firstLine="0" w:firstLineChars="0"/>
              <w:jc w:val="center"/>
              <w:rPr>
                <w:color w:val="auto"/>
                <w:highlight w:val="none"/>
              </w:rPr>
            </w:pPr>
            <w:r>
              <w:rPr>
                <w:rFonts w:hint="eastAsia"/>
                <w:color w:val="auto"/>
                <w:highlight w:val="none"/>
              </w:rPr>
              <w:t>35人</w:t>
            </w:r>
          </w:p>
        </w:tc>
        <w:tc>
          <w:tcPr>
            <w:tcW w:w="1565" w:type="dxa"/>
            <w:vAlign w:val="center"/>
          </w:tcPr>
          <w:p w14:paraId="17E3ACE7">
            <w:pPr>
              <w:widowControl/>
              <w:spacing w:line="240" w:lineRule="auto"/>
              <w:ind w:firstLine="0" w:firstLineChars="0"/>
              <w:jc w:val="center"/>
              <w:rPr>
                <w:color w:val="auto"/>
                <w:highlight w:val="none"/>
              </w:rPr>
            </w:pPr>
            <w:r>
              <w:rPr>
                <w:rFonts w:hint="eastAsia"/>
                <w:color w:val="auto"/>
                <w:highlight w:val="none"/>
              </w:rPr>
              <w:t>具有相关工作经验</w:t>
            </w:r>
          </w:p>
        </w:tc>
        <w:tc>
          <w:tcPr>
            <w:tcW w:w="2148" w:type="dxa"/>
            <w:noWrap/>
            <w:vAlign w:val="center"/>
          </w:tcPr>
          <w:p w14:paraId="146CD1AB">
            <w:pPr>
              <w:widowControl/>
              <w:spacing w:line="240" w:lineRule="auto"/>
              <w:ind w:firstLine="0" w:firstLineChars="0"/>
              <w:jc w:val="center"/>
              <w:rPr>
                <w:color w:val="auto"/>
                <w:highlight w:val="none"/>
              </w:rPr>
            </w:pPr>
            <w:r>
              <w:rPr>
                <w:rFonts w:hint="eastAsia"/>
                <w:color w:val="auto"/>
                <w:highlight w:val="none"/>
              </w:rPr>
              <w:t>驻场不少于18人。</w:t>
            </w:r>
          </w:p>
        </w:tc>
      </w:tr>
    </w:tbl>
    <w:p w14:paraId="77EDF5F0">
      <w:pPr>
        <w:rPr>
          <w:color w:val="auto"/>
          <w:highlight w:val="none"/>
        </w:rPr>
      </w:pPr>
      <w:r>
        <w:rPr>
          <w:color w:val="auto"/>
          <w:highlight w:val="none"/>
        </w:rPr>
        <w:t>2）投标人应针对本项目提供不少于</w:t>
      </w:r>
      <w:r>
        <w:rPr>
          <w:rFonts w:hint="eastAsia"/>
          <w:color w:val="auto"/>
          <w:highlight w:val="none"/>
        </w:rPr>
        <w:t>15</w:t>
      </w:r>
      <w:r>
        <w:rPr>
          <w:color w:val="auto"/>
          <w:highlight w:val="none"/>
        </w:rPr>
        <w:t>人的质保期间支撑团队（其中技术经理</w:t>
      </w:r>
      <w:r>
        <w:rPr>
          <w:rFonts w:hint="eastAsia"/>
          <w:color w:val="auto"/>
          <w:highlight w:val="none"/>
        </w:rPr>
        <w:t>2</w:t>
      </w:r>
      <w:r>
        <w:rPr>
          <w:color w:val="auto"/>
          <w:highlight w:val="none"/>
        </w:rPr>
        <w:t>人，产品经理</w:t>
      </w:r>
      <w:r>
        <w:rPr>
          <w:rFonts w:hint="eastAsia"/>
          <w:color w:val="auto"/>
          <w:highlight w:val="none"/>
        </w:rPr>
        <w:t>4</w:t>
      </w:r>
      <w:r>
        <w:rPr>
          <w:color w:val="auto"/>
          <w:highlight w:val="none"/>
        </w:rPr>
        <w:t>人，技术工程师不少于</w:t>
      </w:r>
      <w:r>
        <w:rPr>
          <w:rFonts w:hint="eastAsia"/>
          <w:color w:val="auto"/>
          <w:highlight w:val="none"/>
        </w:rPr>
        <w:t>9人</w:t>
      </w:r>
      <w:r>
        <w:rPr>
          <w:color w:val="auto"/>
          <w:highlight w:val="none"/>
        </w:rPr>
        <w:t>）；投标人的相关服务人员需具备相应的服务能力，需提供相关证明（最近一个季度依法缴纳社保费的证明）。</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410"/>
        <w:gridCol w:w="1180"/>
        <w:gridCol w:w="2219"/>
        <w:gridCol w:w="1077"/>
      </w:tblGrid>
      <w:tr w14:paraId="2D7E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7F010221">
            <w:pPr>
              <w:widowControl/>
              <w:spacing w:line="240" w:lineRule="auto"/>
              <w:ind w:firstLine="0" w:firstLineChars="0"/>
              <w:jc w:val="center"/>
              <w:rPr>
                <w:b/>
                <w:color w:val="auto"/>
                <w:highlight w:val="none"/>
              </w:rPr>
            </w:pPr>
            <w:r>
              <w:rPr>
                <w:rFonts w:hint="eastAsia"/>
                <w:b/>
                <w:color w:val="auto"/>
                <w:highlight w:val="none"/>
              </w:rPr>
              <w:t>角色</w:t>
            </w:r>
          </w:p>
        </w:tc>
        <w:tc>
          <w:tcPr>
            <w:tcW w:w="2410" w:type="dxa"/>
            <w:noWrap/>
            <w:vAlign w:val="center"/>
          </w:tcPr>
          <w:p w14:paraId="64BB9543">
            <w:pPr>
              <w:widowControl/>
              <w:spacing w:line="240" w:lineRule="auto"/>
              <w:ind w:firstLine="0" w:firstLineChars="0"/>
              <w:jc w:val="center"/>
              <w:rPr>
                <w:b/>
                <w:color w:val="auto"/>
                <w:highlight w:val="none"/>
              </w:rPr>
            </w:pPr>
            <w:r>
              <w:rPr>
                <w:rFonts w:hint="eastAsia"/>
                <w:b/>
                <w:color w:val="auto"/>
                <w:highlight w:val="none"/>
              </w:rPr>
              <w:t>主要职责</w:t>
            </w:r>
          </w:p>
        </w:tc>
        <w:tc>
          <w:tcPr>
            <w:tcW w:w="1180" w:type="dxa"/>
            <w:noWrap/>
            <w:vAlign w:val="center"/>
          </w:tcPr>
          <w:p w14:paraId="0B5A0D20">
            <w:pPr>
              <w:widowControl/>
              <w:spacing w:line="240" w:lineRule="auto"/>
              <w:ind w:firstLine="0" w:firstLineChars="0"/>
              <w:jc w:val="center"/>
              <w:rPr>
                <w:b/>
                <w:color w:val="auto"/>
                <w:highlight w:val="none"/>
              </w:rPr>
            </w:pPr>
            <w:r>
              <w:rPr>
                <w:rFonts w:hint="eastAsia"/>
                <w:b/>
                <w:color w:val="auto"/>
                <w:highlight w:val="none"/>
              </w:rPr>
              <w:t>人员数量</w:t>
            </w:r>
          </w:p>
        </w:tc>
        <w:tc>
          <w:tcPr>
            <w:tcW w:w="2219" w:type="dxa"/>
            <w:vAlign w:val="center"/>
          </w:tcPr>
          <w:p w14:paraId="18B639AD">
            <w:pPr>
              <w:widowControl/>
              <w:spacing w:line="240" w:lineRule="auto"/>
              <w:ind w:firstLine="0" w:firstLineChars="0"/>
              <w:jc w:val="center"/>
              <w:rPr>
                <w:b/>
                <w:color w:val="auto"/>
                <w:highlight w:val="none"/>
              </w:rPr>
            </w:pPr>
            <w:r>
              <w:rPr>
                <w:rFonts w:hint="eastAsia"/>
                <w:b/>
                <w:color w:val="auto"/>
                <w:highlight w:val="none"/>
              </w:rPr>
              <w:t>人员要求</w:t>
            </w:r>
          </w:p>
        </w:tc>
        <w:tc>
          <w:tcPr>
            <w:tcW w:w="1077" w:type="dxa"/>
            <w:noWrap/>
            <w:vAlign w:val="center"/>
          </w:tcPr>
          <w:p w14:paraId="21CF6C67">
            <w:pPr>
              <w:widowControl/>
              <w:spacing w:line="240" w:lineRule="auto"/>
              <w:ind w:firstLine="0" w:firstLineChars="0"/>
              <w:jc w:val="center"/>
              <w:rPr>
                <w:b/>
                <w:color w:val="auto"/>
                <w:highlight w:val="none"/>
              </w:rPr>
            </w:pPr>
            <w:r>
              <w:rPr>
                <w:rFonts w:hint="eastAsia"/>
                <w:b/>
                <w:color w:val="auto"/>
                <w:highlight w:val="none"/>
              </w:rPr>
              <w:t>驻场要求</w:t>
            </w:r>
          </w:p>
        </w:tc>
      </w:tr>
      <w:tr w14:paraId="5EA2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6841385D">
            <w:pPr>
              <w:widowControl/>
              <w:spacing w:line="240" w:lineRule="auto"/>
              <w:ind w:firstLine="0" w:firstLineChars="0"/>
              <w:jc w:val="center"/>
              <w:rPr>
                <w:color w:val="auto"/>
                <w:highlight w:val="none"/>
              </w:rPr>
            </w:pPr>
            <w:r>
              <w:rPr>
                <w:rFonts w:hint="eastAsia"/>
                <w:color w:val="auto"/>
                <w:highlight w:val="none"/>
              </w:rPr>
              <w:t>项目经理</w:t>
            </w:r>
          </w:p>
        </w:tc>
        <w:tc>
          <w:tcPr>
            <w:tcW w:w="2410" w:type="dxa"/>
            <w:vAlign w:val="center"/>
          </w:tcPr>
          <w:p w14:paraId="291C3CAD">
            <w:pPr>
              <w:widowControl/>
              <w:spacing w:line="240" w:lineRule="auto"/>
              <w:ind w:firstLine="0" w:firstLineChars="0"/>
              <w:jc w:val="center"/>
              <w:rPr>
                <w:color w:val="auto"/>
                <w:highlight w:val="none"/>
              </w:rPr>
            </w:pPr>
            <w:r>
              <w:rPr>
                <w:rFonts w:hint="eastAsia"/>
                <w:color w:val="auto"/>
                <w:highlight w:val="none"/>
              </w:rPr>
              <w:t>负责项目质量和进度控制</w:t>
            </w:r>
          </w:p>
        </w:tc>
        <w:tc>
          <w:tcPr>
            <w:tcW w:w="1180" w:type="dxa"/>
            <w:noWrap/>
            <w:vAlign w:val="center"/>
          </w:tcPr>
          <w:p w14:paraId="3B507A1C">
            <w:pPr>
              <w:widowControl/>
              <w:spacing w:line="240" w:lineRule="auto"/>
              <w:ind w:firstLine="0" w:firstLineChars="0"/>
              <w:jc w:val="center"/>
              <w:rPr>
                <w:color w:val="auto"/>
                <w:highlight w:val="none"/>
              </w:rPr>
            </w:pPr>
            <w:r>
              <w:rPr>
                <w:rFonts w:hint="eastAsia"/>
                <w:color w:val="auto"/>
                <w:highlight w:val="none"/>
              </w:rPr>
              <w:t>2人</w:t>
            </w:r>
          </w:p>
        </w:tc>
        <w:tc>
          <w:tcPr>
            <w:tcW w:w="2219" w:type="dxa"/>
            <w:vAlign w:val="center"/>
          </w:tcPr>
          <w:p w14:paraId="19696608">
            <w:pPr>
              <w:widowControl/>
              <w:spacing w:line="240" w:lineRule="auto"/>
              <w:ind w:firstLine="0" w:firstLineChars="0"/>
              <w:jc w:val="center"/>
              <w:rPr>
                <w:color w:val="auto"/>
                <w:highlight w:val="none"/>
              </w:rPr>
            </w:pPr>
            <w:r>
              <w:rPr>
                <w:rFonts w:hint="eastAsia"/>
                <w:color w:val="auto"/>
                <w:highlight w:val="none"/>
              </w:rPr>
              <w:t>具备信息系统项目管理师资质证书</w:t>
            </w:r>
          </w:p>
        </w:tc>
        <w:tc>
          <w:tcPr>
            <w:tcW w:w="1077" w:type="dxa"/>
            <w:noWrap/>
            <w:vAlign w:val="center"/>
          </w:tcPr>
          <w:p w14:paraId="7B7BFCEC">
            <w:pPr>
              <w:widowControl/>
              <w:spacing w:line="240" w:lineRule="auto"/>
              <w:ind w:firstLine="0" w:firstLineChars="0"/>
              <w:jc w:val="center"/>
              <w:rPr>
                <w:color w:val="auto"/>
                <w:highlight w:val="none"/>
              </w:rPr>
            </w:pPr>
            <w:r>
              <w:rPr>
                <w:rFonts w:hint="eastAsia"/>
                <w:color w:val="auto"/>
                <w:highlight w:val="none"/>
              </w:rPr>
              <w:t>不驻场</w:t>
            </w:r>
          </w:p>
        </w:tc>
      </w:tr>
      <w:tr w14:paraId="0B80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280CEF5B">
            <w:pPr>
              <w:widowControl/>
              <w:spacing w:line="240" w:lineRule="auto"/>
              <w:ind w:firstLine="0" w:firstLineChars="0"/>
              <w:jc w:val="center"/>
              <w:rPr>
                <w:color w:val="auto"/>
                <w:highlight w:val="none"/>
              </w:rPr>
            </w:pPr>
            <w:r>
              <w:rPr>
                <w:rFonts w:hint="eastAsia"/>
                <w:color w:val="auto"/>
                <w:highlight w:val="none"/>
              </w:rPr>
              <w:t>产品经理</w:t>
            </w:r>
          </w:p>
        </w:tc>
        <w:tc>
          <w:tcPr>
            <w:tcW w:w="2410" w:type="dxa"/>
            <w:vAlign w:val="center"/>
          </w:tcPr>
          <w:p w14:paraId="134748A2">
            <w:pPr>
              <w:widowControl/>
              <w:spacing w:line="240" w:lineRule="auto"/>
              <w:ind w:firstLine="0" w:firstLineChars="0"/>
              <w:jc w:val="center"/>
              <w:rPr>
                <w:color w:val="auto"/>
                <w:highlight w:val="none"/>
              </w:rPr>
            </w:pPr>
            <w:r>
              <w:rPr>
                <w:rFonts w:hint="eastAsia"/>
                <w:color w:val="auto"/>
                <w:highlight w:val="none"/>
              </w:rPr>
              <w:t>负责项目需求评估与产品设计</w:t>
            </w:r>
          </w:p>
        </w:tc>
        <w:tc>
          <w:tcPr>
            <w:tcW w:w="1180" w:type="dxa"/>
            <w:noWrap/>
            <w:vAlign w:val="center"/>
          </w:tcPr>
          <w:p w14:paraId="30BA28C6">
            <w:pPr>
              <w:widowControl/>
              <w:spacing w:line="240" w:lineRule="auto"/>
              <w:ind w:firstLine="0" w:firstLineChars="0"/>
              <w:jc w:val="center"/>
              <w:rPr>
                <w:color w:val="auto"/>
                <w:highlight w:val="none"/>
              </w:rPr>
            </w:pPr>
            <w:r>
              <w:rPr>
                <w:rFonts w:hint="eastAsia"/>
                <w:color w:val="auto"/>
                <w:highlight w:val="none"/>
              </w:rPr>
              <w:t>4人</w:t>
            </w:r>
          </w:p>
        </w:tc>
        <w:tc>
          <w:tcPr>
            <w:tcW w:w="2219" w:type="dxa"/>
            <w:vAlign w:val="center"/>
          </w:tcPr>
          <w:p w14:paraId="70BAF710">
            <w:pPr>
              <w:widowControl/>
              <w:spacing w:line="240" w:lineRule="auto"/>
              <w:ind w:firstLine="0" w:firstLineChars="0"/>
              <w:jc w:val="center"/>
              <w:rPr>
                <w:color w:val="auto"/>
                <w:highlight w:val="none"/>
              </w:rPr>
            </w:pPr>
            <w:r>
              <w:rPr>
                <w:color w:val="auto"/>
                <w:highlight w:val="none"/>
              </w:rPr>
              <w:t>具有计算机技术与软件专业相关证书</w:t>
            </w:r>
          </w:p>
        </w:tc>
        <w:tc>
          <w:tcPr>
            <w:tcW w:w="1077" w:type="dxa"/>
            <w:noWrap/>
            <w:vAlign w:val="center"/>
          </w:tcPr>
          <w:p w14:paraId="4FA5176C">
            <w:pPr>
              <w:widowControl/>
              <w:spacing w:line="240" w:lineRule="auto"/>
              <w:ind w:firstLine="0" w:firstLineChars="0"/>
              <w:jc w:val="center"/>
              <w:rPr>
                <w:color w:val="auto"/>
                <w:highlight w:val="none"/>
              </w:rPr>
            </w:pPr>
            <w:r>
              <w:rPr>
                <w:rFonts w:hint="eastAsia"/>
                <w:color w:val="auto"/>
                <w:highlight w:val="none"/>
              </w:rPr>
              <w:t>1人驻场</w:t>
            </w:r>
          </w:p>
        </w:tc>
      </w:tr>
      <w:tr w14:paraId="70EA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14:paraId="5AA55AE1">
            <w:pPr>
              <w:widowControl/>
              <w:spacing w:line="240" w:lineRule="auto"/>
              <w:ind w:firstLine="0" w:firstLineChars="0"/>
              <w:jc w:val="center"/>
              <w:rPr>
                <w:color w:val="auto"/>
                <w:highlight w:val="none"/>
              </w:rPr>
            </w:pPr>
            <w:r>
              <w:rPr>
                <w:rFonts w:hint="eastAsia"/>
                <w:color w:val="auto"/>
                <w:highlight w:val="none"/>
              </w:rPr>
              <w:t>技术工程师</w:t>
            </w:r>
          </w:p>
        </w:tc>
        <w:tc>
          <w:tcPr>
            <w:tcW w:w="2410" w:type="dxa"/>
            <w:noWrap/>
            <w:vAlign w:val="center"/>
          </w:tcPr>
          <w:p w14:paraId="149C509E">
            <w:pPr>
              <w:widowControl/>
              <w:spacing w:line="240" w:lineRule="auto"/>
              <w:ind w:firstLine="0" w:firstLineChars="0"/>
              <w:jc w:val="center"/>
              <w:rPr>
                <w:color w:val="auto"/>
                <w:highlight w:val="none"/>
              </w:rPr>
            </w:pPr>
            <w:r>
              <w:rPr>
                <w:rFonts w:hint="eastAsia"/>
                <w:color w:val="auto"/>
                <w:highlight w:val="none"/>
              </w:rPr>
              <w:t>负责项目运行维护</w:t>
            </w:r>
          </w:p>
        </w:tc>
        <w:tc>
          <w:tcPr>
            <w:tcW w:w="1180" w:type="dxa"/>
            <w:noWrap/>
            <w:vAlign w:val="center"/>
          </w:tcPr>
          <w:p w14:paraId="4BCD7FEF">
            <w:pPr>
              <w:widowControl/>
              <w:spacing w:line="240" w:lineRule="auto"/>
              <w:ind w:firstLine="0" w:firstLineChars="0"/>
              <w:jc w:val="center"/>
              <w:rPr>
                <w:color w:val="auto"/>
                <w:highlight w:val="none"/>
              </w:rPr>
            </w:pPr>
            <w:r>
              <w:rPr>
                <w:rFonts w:hint="eastAsia"/>
                <w:color w:val="auto"/>
                <w:highlight w:val="none"/>
              </w:rPr>
              <w:t>9人</w:t>
            </w:r>
          </w:p>
        </w:tc>
        <w:tc>
          <w:tcPr>
            <w:tcW w:w="2219" w:type="dxa"/>
            <w:vAlign w:val="center"/>
          </w:tcPr>
          <w:p w14:paraId="25B1D90E">
            <w:pPr>
              <w:widowControl/>
              <w:spacing w:line="240" w:lineRule="auto"/>
              <w:ind w:firstLine="0" w:firstLineChars="0"/>
              <w:jc w:val="center"/>
              <w:rPr>
                <w:color w:val="auto"/>
                <w:highlight w:val="none"/>
              </w:rPr>
            </w:pPr>
            <w:r>
              <w:rPr>
                <w:color w:val="auto"/>
                <w:highlight w:val="none"/>
              </w:rPr>
              <w:t>具有</w:t>
            </w:r>
            <w:r>
              <w:rPr>
                <w:rFonts w:hint="eastAsia"/>
                <w:color w:val="auto"/>
                <w:highlight w:val="none"/>
              </w:rPr>
              <w:t>相关工作经验</w:t>
            </w:r>
          </w:p>
        </w:tc>
        <w:tc>
          <w:tcPr>
            <w:tcW w:w="1077" w:type="dxa"/>
            <w:noWrap/>
            <w:vAlign w:val="center"/>
          </w:tcPr>
          <w:p w14:paraId="32E0B0C6">
            <w:pPr>
              <w:widowControl/>
              <w:spacing w:line="240" w:lineRule="auto"/>
              <w:ind w:firstLine="0" w:firstLineChars="0"/>
              <w:jc w:val="center"/>
              <w:rPr>
                <w:color w:val="auto"/>
                <w:highlight w:val="none"/>
              </w:rPr>
            </w:pPr>
            <w:r>
              <w:rPr>
                <w:rFonts w:hint="eastAsia"/>
                <w:color w:val="auto"/>
                <w:highlight w:val="none"/>
              </w:rPr>
              <w:t>2人驻场</w:t>
            </w:r>
          </w:p>
        </w:tc>
      </w:tr>
    </w:tbl>
    <w:p w14:paraId="6BC0AEBD">
      <w:pPr>
        <w:pStyle w:val="3"/>
        <w:rPr>
          <w:color w:val="auto"/>
          <w:highlight w:val="none"/>
        </w:rPr>
      </w:pPr>
      <w:bookmarkStart w:id="45" w:name="_Toc63785511"/>
      <w:r>
        <w:rPr>
          <w:color w:val="auto"/>
          <w:highlight w:val="none"/>
        </w:rPr>
        <w:t>等级保护要求</w:t>
      </w:r>
      <w:bookmarkEnd w:id="45"/>
    </w:p>
    <w:p w14:paraId="59FC7C93">
      <w:pPr>
        <w:rPr>
          <w:rFonts w:cs="宋体"/>
          <w:color w:val="auto"/>
          <w:highlight w:val="none"/>
        </w:rPr>
      </w:pPr>
      <w:r>
        <w:rPr>
          <w:rFonts w:hint="eastAsia" w:cs="宋体"/>
          <w:color w:val="auto"/>
          <w:highlight w:val="none"/>
        </w:rPr>
        <w:t>本项目按照信息系统网络安全等级保护三级建设。</w:t>
      </w:r>
    </w:p>
    <w:p w14:paraId="4643ED3E">
      <w:pPr>
        <w:pStyle w:val="3"/>
        <w:rPr>
          <w:color w:val="auto"/>
          <w:highlight w:val="none"/>
        </w:rPr>
      </w:pPr>
      <w:r>
        <w:rPr>
          <w:rFonts w:hint="eastAsia"/>
          <w:color w:val="auto"/>
          <w:highlight w:val="none"/>
        </w:rPr>
        <w:t>商用密码应用需求</w:t>
      </w:r>
    </w:p>
    <w:p w14:paraId="36F13532">
      <w:pPr>
        <w:rPr>
          <w:color w:val="auto"/>
          <w:highlight w:val="none"/>
        </w:rPr>
      </w:pPr>
      <w:r>
        <w:rPr>
          <w:rFonts w:hint="eastAsia"/>
          <w:color w:val="auto"/>
          <w:highlight w:val="none"/>
        </w:rPr>
        <w:t>本项目应按照国家商用密码第三级的相关要求进行建设</w:t>
      </w:r>
      <w:r>
        <w:rPr>
          <w:rFonts w:hint="eastAsia" w:ascii="仿宋_GB2312" w:eastAsia="仿宋_GB2312" w:cs="仿宋_GB2312"/>
          <w:color w:val="auto"/>
          <w:kern w:val="0"/>
          <w:sz w:val="28"/>
          <w:szCs w:val="28"/>
          <w:highlight w:val="none"/>
        </w:rPr>
        <w:t>。</w:t>
      </w:r>
    </w:p>
    <w:p w14:paraId="5E92988D">
      <w:pPr>
        <w:pStyle w:val="3"/>
        <w:rPr>
          <w:color w:val="auto"/>
          <w:highlight w:val="none"/>
        </w:rPr>
      </w:pPr>
      <w:r>
        <w:rPr>
          <w:rFonts w:hint="eastAsia"/>
          <w:color w:val="auto"/>
          <w:highlight w:val="none"/>
        </w:rPr>
        <w:t>技术文件要求</w:t>
      </w:r>
    </w:p>
    <w:p w14:paraId="38F34DD0">
      <w:pPr>
        <w:rPr>
          <w:color w:val="auto"/>
          <w:highlight w:val="none"/>
        </w:rPr>
      </w:pPr>
      <w:r>
        <w:rPr>
          <w:rFonts w:hint="eastAsia"/>
          <w:color w:val="auto"/>
          <w:highlight w:val="none"/>
        </w:rPr>
        <w:t>投标人提供的书面技术资料应能确保系统正常运行所需的管理、运营及维护有关的全套文件。技术文件应该全面、完整、详细。投标人提供的技术文件至少应包括：</w:t>
      </w:r>
    </w:p>
    <w:p w14:paraId="68FCF050">
      <w:pPr>
        <w:rPr>
          <w:color w:val="auto"/>
          <w:highlight w:val="none"/>
        </w:rPr>
      </w:pPr>
      <w:r>
        <w:rPr>
          <w:rFonts w:hint="eastAsia"/>
          <w:color w:val="auto"/>
          <w:highlight w:val="none"/>
        </w:rPr>
        <w:t>－</w:t>
      </w:r>
      <w:r>
        <w:rPr>
          <w:color w:val="auto"/>
          <w:highlight w:val="none"/>
        </w:rPr>
        <w:t xml:space="preserve"> 系统说明文件； </w:t>
      </w:r>
    </w:p>
    <w:p w14:paraId="4A9C1F67">
      <w:pPr>
        <w:rPr>
          <w:color w:val="auto"/>
          <w:highlight w:val="none"/>
        </w:rPr>
      </w:pPr>
      <w:r>
        <w:rPr>
          <w:rFonts w:hint="eastAsia"/>
          <w:color w:val="auto"/>
          <w:highlight w:val="none"/>
        </w:rPr>
        <w:t>－</w:t>
      </w:r>
      <w:r>
        <w:rPr>
          <w:color w:val="auto"/>
          <w:highlight w:val="none"/>
        </w:rPr>
        <w:t xml:space="preserve"> 技术手册(安装、测试、操作、维护、故障排除等)； </w:t>
      </w:r>
    </w:p>
    <w:p w14:paraId="626D934C">
      <w:pPr>
        <w:rPr>
          <w:color w:val="auto"/>
          <w:highlight w:val="none"/>
        </w:rPr>
      </w:pPr>
      <w:r>
        <w:rPr>
          <w:rFonts w:hint="eastAsia"/>
          <w:color w:val="auto"/>
          <w:highlight w:val="none"/>
        </w:rPr>
        <w:t>－</w:t>
      </w:r>
      <w:r>
        <w:rPr>
          <w:color w:val="auto"/>
          <w:highlight w:val="none"/>
        </w:rPr>
        <w:t xml:space="preserve"> 项目文档，应该包括：</w:t>
      </w:r>
    </w:p>
    <w:p w14:paraId="20B8C57E">
      <w:pPr>
        <w:ind w:firstLine="720" w:firstLineChars="300"/>
        <w:rPr>
          <w:color w:val="auto"/>
          <w:highlight w:val="none"/>
        </w:rPr>
      </w:pPr>
      <w:r>
        <w:rPr>
          <w:rFonts w:hint="eastAsia"/>
          <w:color w:val="auto"/>
          <w:highlight w:val="none"/>
        </w:rPr>
        <w:t>（1）软件需求说明书</w:t>
      </w:r>
    </w:p>
    <w:p w14:paraId="6B7D486A">
      <w:pPr>
        <w:ind w:firstLine="720" w:firstLineChars="300"/>
        <w:rPr>
          <w:color w:val="auto"/>
          <w:highlight w:val="none"/>
        </w:rPr>
      </w:pPr>
      <w:r>
        <w:rPr>
          <w:rFonts w:hint="eastAsia"/>
          <w:color w:val="auto"/>
          <w:highlight w:val="none"/>
        </w:rPr>
        <w:t>（2）系统总体设计说明书</w:t>
      </w:r>
    </w:p>
    <w:p w14:paraId="404FFBF3">
      <w:pPr>
        <w:ind w:firstLine="720" w:firstLineChars="300"/>
        <w:rPr>
          <w:color w:val="auto"/>
          <w:highlight w:val="none"/>
        </w:rPr>
      </w:pPr>
      <w:r>
        <w:rPr>
          <w:rFonts w:hint="eastAsia"/>
          <w:color w:val="auto"/>
          <w:highlight w:val="none"/>
        </w:rPr>
        <w:t>（3）应用软件功能清单</w:t>
      </w:r>
    </w:p>
    <w:p w14:paraId="5781736A">
      <w:pPr>
        <w:ind w:firstLine="720" w:firstLineChars="300"/>
        <w:rPr>
          <w:color w:val="auto"/>
          <w:highlight w:val="none"/>
        </w:rPr>
      </w:pPr>
      <w:r>
        <w:rPr>
          <w:rFonts w:hint="eastAsia"/>
          <w:color w:val="auto"/>
          <w:highlight w:val="none"/>
        </w:rPr>
        <w:t>（4）产品软件说明书</w:t>
      </w:r>
    </w:p>
    <w:p w14:paraId="1C35970E">
      <w:pPr>
        <w:ind w:firstLine="720" w:firstLineChars="300"/>
        <w:rPr>
          <w:color w:val="auto"/>
          <w:highlight w:val="none"/>
        </w:rPr>
      </w:pPr>
      <w:r>
        <w:rPr>
          <w:rFonts w:hint="eastAsia"/>
          <w:color w:val="auto"/>
          <w:highlight w:val="none"/>
        </w:rPr>
        <w:t>（5）安全产品说明书</w:t>
      </w:r>
    </w:p>
    <w:p w14:paraId="4EF0BCFE">
      <w:pPr>
        <w:rPr>
          <w:color w:val="auto"/>
          <w:highlight w:val="none"/>
        </w:rPr>
      </w:pPr>
      <w:r>
        <w:rPr>
          <w:rFonts w:hint="eastAsia"/>
          <w:color w:val="auto"/>
          <w:highlight w:val="none"/>
        </w:rPr>
        <w:t>－招标人提出的其他项目验收文档。</w:t>
      </w:r>
    </w:p>
    <w:p w14:paraId="048F2C00">
      <w:pPr>
        <w:rPr>
          <w:color w:val="auto"/>
          <w:highlight w:val="none"/>
        </w:rPr>
      </w:pPr>
      <w:r>
        <w:rPr>
          <w:rFonts w:hint="eastAsia"/>
          <w:color w:val="auto"/>
          <w:highlight w:val="none"/>
        </w:rPr>
        <w:t>根据招标人项目验收要求，提供项目验收册纸质</w:t>
      </w:r>
      <w:r>
        <w:rPr>
          <w:color w:val="auto"/>
          <w:highlight w:val="none"/>
        </w:rPr>
        <w:t>5</w:t>
      </w:r>
      <w:r>
        <w:rPr>
          <w:rFonts w:hint="eastAsia"/>
          <w:color w:val="auto"/>
          <w:highlight w:val="none"/>
        </w:rPr>
        <w:t>套以上，项目全过程材料</w:t>
      </w:r>
      <w:r>
        <w:rPr>
          <w:color w:val="auto"/>
          <w:highlight w:val="none"/>
        </w:rPr>
        <w:t>1套以及电子文件2套</w:t>
      </w:r>
      <w:r>
        <w:rPr>
          <w:rFonts w:hint="eastAsia"/>
          <w:color w:val="auto"/>
          <w:highlight w:val="none"/>
        </w:rPr>
        <w:t>，源代码光盘等</w:t>
      </w:r>
      <w:r>
        <w:rPr>
          <w:color w:val="auto"/>
          <w:highlight w:val="none"/>
        </w:rPr>
        <w:t>。</w:t>
      </w:r>
    </w:p>
    <w:bookmarkEnd w:id="30"/>
    <w:p w14:paraId="0CEAC760">
      <w:pPr>
        <w:pStyle w:val="2"/>
        <w:rPr>
          <w:color w:val="auto"/>
          <w:highlight w:val="none"/>
        </w:rPr>
      </w:pPr>
      <w:r>
        <w:rPr>
          <w:rFonts w:hint="eastAsia"/>
          <w:color w:val="auto"/>
          <w:highlight w:val="none"/>
        </w:rPr>
        <w:t>供应商管理要求</w:t>
      </w:r>
    </w:p>
    <w:p w14:paraId="25EF65A0">
      <w:pPr>
        <w:pStyle w:val="110"/>
        <w:ind w:firstLine="480"/>
        <w:rPr>
          <w:color w:val="auto"/>
          <w:sz w:val="24"/>
          <w:szCs w:val="24"/>
          <w:highlight w:val="none"/>
        </w:rPr>
      </w:pPr>
      <w:r>
        <w:rPr>
          <w:rFonts w:hint="eastAsia"/>
          <w:color w:val="auto"/>
          <w:sz w:val="24"/>
          <w:szCs w:val="24"/>
          <w:highlight w:val="none"/>
        </w:rPr>
        <w:t>1、在项目实施期间，中标人应严格执行国家、地方、行业有关本项目业务管理和安全作业的法律、法规和制度并按规定承担相应的费用。中标人因违反规定等原因造成的一切损失和责任由中标人自行承担。</w:t>
      </w:r>
    </w:p>
    <w:p w14:paraId="6C1A63FE">
      <w:pPr>
        <w:pStyle w:val="110"/>
        <w:ind w:firstLine="480"/>
        <w:rPr>
          <w:color w:val="auto"/>
          <w:sz w:val="24"/>
          <w:szCs w:val="24"/>
          <w:highlight w:val="none"/>
        </w:rPr>
      </w:pPr>
      <w:r>
        <w:rPr>
          <w:rFonts w:hint="eastAsia"/>
          <w:color w:val="auto"/>
          <w:sz w:val="24"/>
          <w:szCs w:val="24"/>
          <w:highlight w:val="none"/>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4B7B024E">
      <w:pPr>
        <w:pStyle w:val="110"/>
        <w:ind w:firstLine="480"/>
        <w:rPr>
          <w:color w:val="auto"/>
          <w:sz w:val="24"/>
          <w:szCs w:val="24"/>
          <w:highlight w:val="none"/>
        </w:rPr>
      </w:pPr>
      <w:r>
        <w:rPr>
          <w:rFonts w:hint="eastAsia"/>
          <w:color w:val="auto"/>
          <w:sz w:val="24"/>
          <w:szCs w:val="24"/>
          <w:highlight w:val="none"/>
        </w:rPr>
        <w:t>3、中标人在项目实施期间，应按项目实际进度与环节落实所对应项目整体及各环节管理工作，按照规范做好项目实施期间相关管理与实施记录。</w:t>
      </w:r>
    </w:p>
    <w:p w14:paraId="49144E11">
      <w:pPr>
        <w:pStyle w:val="110"/>
        <w:ind w:firstLine="480"/>
        <w:rPr>
          <w:color w:val="auto"/>
          <w:sz w:val="24"/>
          <w:szCs w:val="24"/>
          <w:highlight w:val="none"/>
        </w:rPr>
      </w:pPr>
      <w:r>
        <w:rPr>
          <w:rFonts w:hint="eastAsia"/>
          <w:color w:val="auto"/>
          <w:sz w:val="24"/>
          <w:szCs w:val="24"/>
          <w:highlight w:val="none"/>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2B03B2F3">
      <w:pPr>
        <w:pStyle w:val="110"/>
        <w:ind w:firstLine="480"/>
        <w:rPr>
          <w:color w:val="auto"/>
          <w:sz w:val="24"/>
          <w:szCs w:val="24"/>
          <w:highlight w:val="none"/>
        </w:rPr>
      </w:pPr>
      <w:r>
        <w:rPr>
          <w:rFonts w:hint="eastAsia"/>
          <w:color w:val="auto"/>
          <w:sz w:val="24"/>
          <w:szCs w:val="24"/>
          <w:highlight w:val="none"/>
        </w:rPr>
        <w:t>5、中标人在项目实施期间必须遵守采购人的规章制度并提供实施人员名单。</w:t>
      </w:r>
    </w:p>
    <w:p w14:paraId="47F4E6C6">
      <w:pPr>
        <w:pStyle w:val="110"/>
        <w:ind w:firstLine="480"/>
        <w:rPr>
          <w:color w:val="auto"/>
          <w:sz w:val="24"/>
          <w:szCs w:val="24"/>
          <w:highlight w:val="none"/>
        </w:rPr>
      </w:pPr>
      <w:r>
        <w:rPr>
          <w:rFonts w:hint="eastAsia"/>
          <w:color w:val="auto"/>
          <w:sz w:val="24"/>
          <w:szCs w:val="24"/>
          <w:highlight w:val="none"/>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1946133F">
      <w:pPr>
        <w:pStyle w:val="110"/>
        <w:ind w:firstLine="480"/>
        <w:rPr>
          <w:color w:val="auto"/>
          <w:highlight w:val="none"/>
        </w:rPr>
      </w:pPr>
      <w:r>
        <w:rPr>
          <w:rFonts w:hint="eastAsia"/>
          <w:color w:val="auto"/>
          <w:sz w:val="24"/>
          <w:szCs w:val="24"/>
          <w:highlight w:val="none"/>
        </w:rPr>
        <w:t>7、本项目软件开发及调试将纳入采购人的管理范围，中标人在此过程中须服从上述单位的管理协调。</w:t>
      </w:r>
    </w:p>
    <w:p w14:paraId="04465508">
      <w:pPr>
        <w:pStyle w:val="2"/>
        <w:rPr>
          <w:color w:val="auto"/>
          <w:highlight w:val="none"/>
        </w:rPr>
      </w:pPr>
      <w:r>
        <w:rPr>
          <w:rFonts w:hint="eastAsia"/>
          <w:color w:val="auto"/>
          <w:highlight w:val="none"/>
        </w:rPr>
        <w:t>保密要求</w:t>
      </w:r>
    </w:p>
    <w:p w14:paraId="06D920D1">
      <w:pPr>
        <w:rPr>
          <w:rFonts w:hint="default" w:eastAsia="宋体"/>
          <w:color w:val="auto"/>
          <w:highlight w:val="none"/>
          <w:lang w:val="en-US" w:eastAsia="zh-CN"/>
        </w:rPr>
      </w:pPr>
      <w:r>
        <w:rPr>
          <w:rFonts w:hint="eastAsia"/>
          <w:color w:val="auto"/>
          <w:highlight w:val="none"/>
          <w:lang w:val="en-US" w:eastAsia="zh-CN"/>
        </w:rPr>
        <w:t>项目保密要求</w:t>
      </w:r>
    </w:p>
    <w:p w14:paraId="78AD9F84">
      <w:pPr>
        <w:rPr>
          <w:color w:val="auto"/>
          <w:highlight w:val="none"/>
        </w:rPr>
      </w:pPr>
      <w:r>
        <w:rPr>
          <w:rFonts w:hint="eastAsia"/>
          <w:color w:val="auto"/>
          <w:highlight w:val="none"/>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37CD969F">
      <w:pPr>
        <w:rPr>
          <w:color w:val="auto"/>
          <w:highlight w:val="none"/>
        </w:rPr>
      </w:pPr>
      <w:r>
        <w:rPr>
          <w:rFonts w:hint="eastAsia"/>
          <w:color w:val="auto"/>
          <w:highlight w:val="none"/>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65181B6A">
      <w:pPr>
        <w:rPr>
          <w:color w:val="auto"/>
          <w:highlight w:val="none"/>
        </w:rPr>
      </w:pPr>
      <w:r>
        <w:rPr>
          <w:rFonts w:hint="eastAsia"/>
          <w:color w:val="auto"/>
          <w:highlight w:val="none"/>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68E0A08D">
      <w:pPr>
        <w:rPr>
          <w:color w:val="auto"/>
          <w:highlight w:val="none"/>
        </w:rPr>
      </w:pPr>
      <w:r>
        <w:rPr>
          <w:rFonts w:hint="eastAsia"/>
          <w:color w:val="auto"/>
          <w:highlight w:val="none"/>
        </w:rPr>
        <w:t>以上内容的保密期限自中标人知悉保密信息起始至保密信息被合法公开之日止。</w:t>
      </w:r>
    </w:p>
    <w:p w14:paraId="0C7C2268">
      <w:pPr>
        <w:ind w:firstLine="482"/>
        <w:rPr>
          <w:b/>
          <w:color w:val="auto"/>
          <w:highlight w:val="none"/>
        </w:rPr>
      </w:pPr>
      <w:r>
        <w:rPr>
          <w:b/>
          <w:color w:val="auto"/>
          <w:highlight w:val="none"/>
        </w:rPr>
        <w:t>临时账号等使用要求</w:t>
      </w:r>
    </w:p>
    <w:p w14:paraId="1140B9D0">
      <w:pPr>
        <w:rPr>
          <w:color w:val="auto"/>
          <w:highlight w:val="none"/>
        </w:rPr>
      </w:pPr>
      <w:r>
        <w:rPr>
          <w:rFonts w:hint="eastAsia"/>
          <w:color w:val="auto"/>
          <w:highlight w:val="none"/>
        </w:rPr>
        <w:t>中标人对采购人提拱的临时使用账号要保密，不得公开，对组件开发的账号密码需进行加密，避免信息安全的泄露。中标人在项目建设期间应做好系统特权账号的管理和使用记录。未经采购人的同意不得利用采购人的网络及平台进行短信、彩信、微信发送</w:t>
      </w:r>
      <w:r>
        <w:rPr>
          <w:color w:val="auto"/>
          <w:highlight w:val="none"/>
        </w:rPr>
        <w:t>,造成的一切后果由中标人负责。</w:t>
      </w:r>
    </w:p>
    <w:p w14:paraId="7B2525B8">
      <w:pPr>
        <w:pStyle w:val="2"/>
        <w:rPr>
          <w:color w:val="auto"/>
          <w:highlight w:val="none"/>
        </w:rPr>
      </w:pPr>
      <w:r>
        <w:rPr>
          <w:color w:val="auto"/>
          <w:highlight w:val="none"/>
        </w:rPr>
        <w:t>项目的变更、解除和终止</w:t>
      </w:r>
    </w:p>
    <w:p w14:paraId="5B24F6C8">
      <w:pPr>
        <w:rPr>
          <w:color w:val="auto"/>
          <w:highlight w:val="none"/>
        </w:rPr>
      </w:pPr>
      <w:r>
        <w:rPr>
          <w:rFonts w:hint="eastAsia"/>
          <w:color w:val="auto"/>
          <w:highlight w:val="none"/>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341C4913">
      <w:pPr>
        <w:rPr>
          <w:color w:val="auto"/>
          <w:highlight w:val="none"/>
        </w:rPr>
      </w:pPr>
      <w:r>
        <w:rPr>
          <w:rFonts w:hint="eastAsia"/>
          <w:color w:val="auto"/>
          <w:highlight w:val="none"/>
        </w:rPr>
        <w:t>如遇国家、行业管理部门等机构的有关标准和规定调整的，导致本项目内容须做相应调整时，双方应按照公平、合理的原则共同协商修改本项目对应的合同的相关条款。</w:t>
      </w:r>
    </w:p>
    <w:p w14:paraId="5C0F302E">
      <w:pPr>
        <w:pStyle w:val="2"/>
        <w:rPr>
          <w:color w:val="auto"/>
          <w:highlight w:val="none"/>
        </w:rPr>
      </w:pPr>
      <w:bookmarkStart w:id="46" w:name="_Toc68798863"/>
      <w:bookmarkStart w:id="47" w:name="_Hlk152598452"/>
      <w:r>
        <w:rPr>
          <w:rFonts w:hint="eastAsia"/>
          <w:color w:val="auto"/>
          <w:highlight w:val="none"/>
        </w:rPr>
        <w:t>附录</w:t>
      </w:r>
      <w:bookmarkEnd w:id="46"/>
    </w:p>
    <w:p w14:paraId="4DB82B54">
      <w:pPr>
        <w:ind w:firstLine="482"/>
        <w:rPr>
          <w:b/>
          <w:color w:val="auto"/>
          <w:highlight w:val="none"/>
        </w:rPr>
      </w:pPr>
      <w:r>
        <w:rPr>
          <w:rFonts w:hint="eastAsia"/>
          <w:b/>
          <w:color w:val="auto"/>
          <w:highlight w:val="none"/>
        </w:rPr>
        <w:t>若项目建设过程中需符合相关技术标准或规范文件的要求，请将相关文件作为附件列出。</w:t>
      </w:r>
    </w:p>
    <w:p w14:paraId="2D630E75">
      <w:pPr>
        <w:ind w:firstLine="482"/>
        <w:rPr>
          <w:color w:val="auto"/>
          <w:highlight w:val="none"/>
        </w:rPr>
      </w:pPr>
      <w:r>
        <w:rPr>
          <w:rFonts w:hint="eastAsia"/>
          <w:b/>
          <w:color w:val="auto"/>
          <w:highlight w:val="none"/>
        </w:rPr>
        <w:t>参考如下：</w:t>
      </w:r>
    </w:p>
    <w:p w14:paraId="4C2E6948">
      <w:pPr>
        <w:ind w:firstLine="0" w:firstLineChars="0"/>
        <w:rPr>
          <w:color w:val="auto"/>
          <w:highlight w:val="none"/>
        </w:rPr>
      </w:pPr>
      <w:r>
        <w:rPr>
          <w:rFonts w:hint="eastAsia"/>
          <w:color w:val="auto"/>
          <w:highlight w:val="none"/>
        </w:rPr>
        <w:t>1、</w:t>
      </w:r>
      <w:r>
        <w:rPr>
          <w:color w:val="auto"/>
          <w:highlight w:val="none"/>
        </w:rPr>
        <w:t>《政务网络安全监测平台总体技术要求》</w:t>
      </w:r>
    </w:p>
    <w:p w14:paraId="2B89D3A3">
      <w:pPr>
        <w:ind w:firstLine="0" w:firstLineChars="0"/>
        <w:rPr>
          <w:color w:val="auto"/>
          <w:highlight w:val="none"/>
        </w:rPr>
      </w:pPr>
      <w:r>
        <w:rPr>
          <w:color w:val="auto"/>
          <w:highlight w:val="none"/>
        </w:rPr>
        <w:object>
          <v:shape id="_x0000_i1025" o:spt="75" type="#_x0000_t75" style="height:55.15pt;width:76.3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6188DDF1">
      <w:pPr>
        <w:ind w:firstLine="0" w:firstLineChars="0"/>
        <w:rPr>
          <w:color w:val="auto"/>
          <w:highlight w:val="none"/>
        </w:rPr>
      </w:pPr>
    </w:p>
    <w:p w14:paraId="5AB75C90">
      <w:pPr>
        <w:ind w:firstLine="0" w:firstLineChars="0"/>
        <w:jc w:val="left"/>
        <w:rPr>
          <w:color w:val="auto"/>
          <w:highlight w:val="none"/>
        </w:rPr>
      </w:pPr>
      <w:r>
        <w:rPr>
          <w:rFonts w:hint="eastAsia"/>
          <w:color w:val="auto"/>
          <w:highlight w:val="none"/>
        </w:rPr>
        <w:t>2、《上海市电子政务外网建设和运行管理指南（试行）》</w:t>
      </w:r>
    </w:p>
    <w:p w14:paraId="4766DD60">
      <w:pPr>
        <w:ind w:firstLine="0" w:firstLineChars="0"/>
        <w:jc w:val="left"/>
        <w:rPr>
          <w:color w:val="auto"/>
          <w:highlight w:val="none"/>
        </w:rPr>
      </w:pPr>
      <w:r>
        <w:rPr>
          <w:color w:val="auto"/>
          <w:highlight w:val="none"/>
        </w:rPr>
        <w:object>
          <v:shape id="_x0000_i1026" o:spt="75" type="#_x0000_t75" style="height:55.15pt;width:76.3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50477647">
      <w:pPr>
        <w:ind w:firstLine="0" w:firstLineChars="0"/>
        <w:jc w:val="left"/>
        <w:rPr>
          <w:b/>
          <w:bCs/>
          <w:color w:val="auto"/>
          <w:highlight w:val="none"/>
        </w:rPr>
      </w:pPr>
      <w:r>
        <w:rPr>
          <w:rFonts w:hint="eastAsia"/>
          <w:color w:val="auto"/>
          <w:highlight w:val="none"/>
        </w:rPr>
        <w:t>3、其他标准</w:t>
      </w:r>
      <w:bookmarkEnd w:id="47"/>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文泉驿微米黑">
    <w:panose1 w:val="020B0606030804020204"/>
    <w:charset w:val="86"/>
    <w:family w:val="auto"/>
    <w:pitch w:val="default"/>
    <w:sig w:usb0="E10002EF" w:usb1="6BDFFCFB" w:usb2="00800036" w:usb3="00000000" w:csb0="603E019F" w:csb1="DFD70000"/>
  </w:font>
  <w:font w:name="CESI黑体-GB13000">
    <w:panose1 w:val="02000500000000000000"/>
    <w:charset w:val="86"/>
    <w:family w:val="auto"/>
    <w:pitch w:val="default"/>
    <w:sig w:usb0="800002BF" w:usb1="38CF7CF8" w:usb2="00000016" w:usb3="00000000" w:csb0="0004000F"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_GB2312">
    <w:panose1 w:val="02010609030101010101"/>
    <w:charset w:val="86"/>
    <w:family w:val="modern"/>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200001FF" w:csb1="00000000"/>
  </w:font>
  <w:font w:name="微软雅黑">
    <w:altName w:val="文泉驿微米黑"/>
    <w:panose1 w:val="020B0503020204020204"/>
    <w:charset w:val="86"/>
    <w:family w:val="swiss"/>
    <w:pitch w:val="default"/>
    <w:sig w:usb0="00000000" w:usb1="00000000" w:usb2="00000016" w:usb3="00000000" w:csb0="0004001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方正小标宋简体"/>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Liberation Sans"/>
    <w:panose1 w:val="020B0604020202020204"/>
    <w:charset w:val="00"/>
    <w:family w:val="swiss"/>
    <w:pitch w:val="default"/>
    <w:sig w:usb0="00000000" w:usb1="00000000" w:usb2="00000029"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Segoe UI">
    <w:altName w:val="Noto Naskh Arabic"/>
    <w:panose1 w:val="020B0502040204020203"/>
    <w:charset w:val="00"/>
    <w:family w:val="swiss"/>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方正仿宋_GBK">
    <w:panose1 w:val="03000509000000000000"/>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imes">
    <w:altName w:val="DejaVu Sans"/>
    <w:panose1 w:val="02020603050405020304"/>
    <w:charset w:val="00"/>
    <w:family w:val="roman"/>
    <w:pitch w:val="default"/>
    <w:sig w:usb0="00000000" w:usb1="00000000" w:usb2="00000000" w:usb3="00000000" w:csb0="2000019F" w:csb1="4F010000"/>
  </w:font>
  <w:font w:name="Verdana">
    <w:altName w:val="DejaVu Sans"/>
    <w:panose1 w:val="020B0604030504040204"/>
    <w:charset w:val="00"/>
    <w:family w:val="swiss"/>
    <w:pitch w:val="default"/>
    <w:sig w:usb0="00000000" w:usb1="00000000" w:usb2="00000010" w:usb3="00000000" w:csb0="2000019F" w:csb1="00000000"/>
  </w:font>
  <w:font w:name="Tahoma">
    <w:altName w:val="noto sans thai"/>
    <w:panose1 w:val="020B0604030504040204"/>
    <w:charset w:val="00"/>
    <w:family w:val="swiss"/>
    <w:pitch w:val="default"/>
    <w:sig w:usb0="00000000" w:usb1="00000000" w:usb2="00000029" w:usb3="00000000" w:csb0="200101FF" w:csb1="20280000"/>
  </w:font>
  <w:font w:name="noto sans thai">
    <w:panose1 w:val="020B0502040504020204"/>
    <w:charset w:val="00"/>
    <w:family w:val="auto"/>
    <w:pitch w:val="default"/>
    <w:sig w:usb0="81000063" w:usb1="00002000" w:usb2="00000000" w:usb3="00000000" w:csb0="00010000" w:csb1="00000000"/>
  </w:font>
  <w:font w:name="Century Gothic">
    <w:altName w:val="Liberation Sans"/>
    <w:panose1 w:val="020B0502020202020204"/>
    <w:charset w:val="00"/>
    <w:family w:val="swiss"/>
    <w:pitch w:val="default"/>
    <w:sig w:usb0="00000000" w:usb1="00000000" w:usb2="00000000" w:usb3="00000000" w:csb0="2000009F" w:csb1="DFD70000"/>
  </w:font>
  <w:font w:name="Book Antiqua">
    <w:altName w:val="Liberation Serif"/>
    <w:panose1 w:val="02040602050305030304"/>
    <w:charset w:val="00"/>
    <w:family w:val="roman"/>
    <w:pitch w:val="default"/>
    <w:sig w:usb0="00000000" w:usb1="00000000" w:usb2="00000000" w:usb3="00000000" w:csb0="2000009F" w:csb1="DFD70000"/>
  </w:font>
  <w:font w:name="Liberation Serif">
    <w:panose1 w:val="02020603050405020304"/>
    <w:charset w:val="00"/>
    <w:family w:val="auto"/>
    <w:pitch w:val="default"/>
    <w:sig w:usb0="A00002AF" w:usb1="500078FB" w:usb2="00000000" w:usb3="00000000" w:csb0="6000009F" w:csb1="DFD70000"/>
  </w:font>
  <w:font w:name="DejaVu Sans Mono">
    <w:panose1 w:val="020B0609030804020204"/>
    <w:charset w:val="00"/>
    <w:family w:val="modern"/>
    <w:pitch w:val="default"/>
    <w:sig w:usb0="E70026FF" w:usb1="D200F9FB" w:usb2="02000028" w:usb3="00000000" w:csb0="600001DF" w:csb1="FFDF0000"/>
  </w:font>
  <w:font w:name="AvenirNext-Regular">
    <w:altName w:val="Liberation Sans"/>
    <w:panose1 w:val="020B0803020202020204"/>
    <w:charset w:val="00"/>
    <w:family w:val="swiss"/>
    <w:pitch w:val="default"/>
    <w:sig w:usb0="00000000" w:usb1="00000000" w:usb2="00000000" w:usb3="00000000" w:csb0="0000009B" w:csb1="00000000"/>
  </w:font>
  <w:font w:name="长城仿宋">
    <w:altName w:val="方正仿宋_GBK"/>
    <w:panose1 w:val="00000000000000000000"/>
    <w:charset w:val="86"/>
    <w:family w:val="modern"/>
    <w:pitch w:val="default"/>
    <w:sig w:usb0="00000000" w:usb1="00000000" w:usb2="00000010" w:usb3="00000000" w:csb0="00040000" w:csb1="00000000"/>
  </w:font>
  <w:font w:name="华文中宋">
    <w:altName w:val="Noto Serif CJK SC"/>
    <w:panose1 w:val="02010600040101010101"/>
    <w:charset w:val="86"/>
    <w:family w:val="auto"/>
    <w:pitch w:val="default"/>
    <w:sig w:usb0="00000000" w:usb1="00000000" w:usb2="00000000" w:usb3="00000000" w:csb0="0004009F" w:csb1="DFD70000"/>
  </w:font>
  <w:font w:name="Noto Serif CJK SC">
    <w:panose1 w:val="02020400000000000000"/>
    <w:charset w:val="86"/>
    <w:family w:val="auto"/>
    <w:pitch w:val="default"/>
    <w:sig w:usb0="30000083" w:usb1="2BDF3C10" w:usb2="00000016" w:usb3="00000000" w:csb0="602E0107"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407BE">
    <w:pPr>
      <w:ind w:firstLine="0" w:firstLineChars="0"/>
      <w:jc w:val="center"/>
    </w:pPr>
    <w:r>
      <w:fldChar w:fldCharType="begin"/>
    </w:r>
    <w:r>
      <w:instrText xml:space="preserve">PAGE   \* MERGEFORMAT</w:instrText>
    </w:r>
    <w:r>
      <w:fldChar w:fldCharType="separate"/>
    </w:r>
    <w:r>
      <w:rPr>
        <w:lang w:val="zh-CN"/>
      </w:rPr>
      <w:t>78</w:t>
    </w:r>
    <w:r>
      <w:rPr>
        <w:lang w:val="zh-CN"/>
      </w:rPr>
      <w:fldChar w:fldCharType="end"/>
    </w:r>
  </w:p>
  <w:p w14:paraId="54E9CB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439F4"/>
  <w:p w14:paraId="171035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9B32">
    <w:pPr>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55D9A">
    <w:pPr>
      <w:ind w:firstLine="0" w:firstLineChars="0"/>
      <w:jc w:val="center"/>
      <w:rPr>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2654C9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C24FB">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70502"/>
  <w:p w14:paraId="03E811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938BF">
    <w:pPr>
      <w:pStyle w:val="3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62EBFB"/>
    <w:multiLevelType w:val="singleLevel"/>
    <w:tmpl w:val="B262EBFB"/>
    <w:lvl w:ilvl="0" w:tentative="0">
      <w:start w:val="1"/>
      <w:numFmt w:val="chineseCounting"/>
      <w:suff w:val="nothing"/>
      <w:lvlText w:val="（%1）"/>
      <w:lvlJc w:val="left"/>
      <w:pPr>
        <w:ind w:left="0" w:firstLine="420"/>
      </w:pPr>
      <w:rPr>
        <w:rFonts w:hint="eastAsia"/>
      </w:rPr>
    </w:lvl>
  </w:abstractNum>
  <w:abstractNum w:abstractNumId="1">
    <w:nsid w:val="E51B7408"/>
    <w:multiLevelType w:val="multilevel"/>
    <w:tmpl w:val="E51B7408"/>
    <w:lvl w:ilvl="0" w:tentative="0">
      <w:start w:val="0"/>
      <w:numFmt w:val="decimal"/>
      <w:pStyle w:val="389"/>
      <w:lvlText w:val=""/>
      <w:lvlJc w:val="left"/>
      <w:pPr>
        <w:tabs>
          <w:tab w:val="left" w:pos="0"/>
        </w:tabs>
        <w:ind w:left="0" w:firstLine="0"/>
      </w:pPr>
    </w:lvl>
    <w:lvl w:ilvl="1" w:tentative="0">
      <w:start w:val="0"/>
      <w:numFmt w:val="decimal"/>
      <w:lvlText w:val=""/>
      <w:lvlJc w:val="left"/>
      <w:pPr>
        <w:tabs>
          <w:tab w:val="left" w:pos="0"/>
        </w:tabs>
        <w:ind w:left="0" w:firstLine="0"/>
      </w:pPr>
    </w:lvl>
    <w:lvl w:ilvl="2" w:tentative="0">
      <w:start w:val="0"/>
      <w:numFmt w:val="decimal"/>
      <w:lvlText w:val=""/>
      <w:lvlJc w:val="left"/>
      <w:pPr>
        <w:tabs>
          <w:tab w:val="left" w:pos="0"/>
        </w:tabs>
        <w:ind w:left="0" w:firstLine="0"/>
      </w:pPr>
    </w:lvl>
    <w:lvl w:ilvl="3" w:tentative="0">
      <w:start w:val="0"/>
      <w:numFmt w:val="decimal"/>
      <w:lvlText w:val=""/>
      <w:lvlJc w:val="left"/>
      <w:pPr>
        <w:tabs>
          <w:tab w:val="left" w:pos="0"/>
        </w:tabs>
        <w:ind w:left="0" w:firstLine="0"/>
      </w:pPr>
    </w:lvl>
    <w:lvl w:ilvl="4" w:tentative="0">
      <w:start w:val="0"/>
      <w:numFmt w:val="decimal"/>
      <w:lvlText w:val=""/>
      <w:lvlJc w:val="left"/>
      <w:pPr>
        <w:tabs>
          <w:tab w:val="left" w:pos="0"/>
        </w:tabs>
        <w:ind w:left="0" w:firstLine="0"/>
      </w:pPr>
    </w:lvl>
    <w:lvl w:ilvl="5" w:tentative="0">
      <w:start w:val="0"/>
      <w:numFmt w:val="decimal"/>
      <w:lvlText w:val=""/>
      <w:lvlJc w:val="left"/>
      <w:pPr>
        <w:tabs>
          <w:tab w:val="left" w:pos="0"/>
        </w:tabs>
        <w:ind w:left="0" w:firstLine="0"/>
      </w:pPr>
    </w:lvl>
    <w:lvl w:ilvl="6" w:tentative="0">
      <w:start w:val="0"/>
      <w:numFmt w:val="decimal"/>
      <w:lvlText w:val=""/>
      <w:lvlJc w:val="left"/>
      <w:pPr>
        <w:tabs>
          <w:tab w:val="left" w:pos="0"/>
        </w:tabs>
        <w:ind w:left="0" w:firstLine="0"/>
      </w:pPr>
    </w:lvl>
    <w:lvl w:ilvl="7" w:tentative="0">
      <w:start w:val="0"/>
      <w:numFmt w:val="decimal"/>
      <w:lvlText w:val=""/>
      <w:lvlJc w:val="left"/>
      <w:pPr>
        <w:tabs>
          <w:tab w:val="left" w:pos="0"/>
        </w:tabs>
        <w:ind w:left="0" w:firstLine="0"/>
      </w:pPr>
    </w:lvl>
    <w:lvl w:ilvl="8" w:tentative="0">
      <w:start w:val="0"/>
      <w:numFmt w:val="decimal"/>
      <w:lvlText w:val=""/>
      <w:lvlJc w:val="left"/>
      <w:pPr>
        <w:tabs>
          <w:tab w:val="left" w:pos="0"/>
        </w:tabs>
        <w:ind w:left="0" w:firstLine="0"/>
      </w:pPr>
    </w:lvl>
  </w:abstractNum>
  <w:abstractNum w:abstractNumId="2">
    <w:nsid w:val="EB2CAD30"/>
    <w:multiLevelType w:val="singleLevel"/>
    <w:tmpl w:val="EB2CAD30"/>
    <w:lvl w:ilvl="0" w:tentative="0">
      <w:start w:val="3"/>
      <w:numFmt w:val="decimal"/>
      <w:suff w:val="nothing"/>
      <w:lvlText w:val="%1、"/>
      <w:lvlJc w:val="left"/>
    </w:lvl>
  </w:abstractNum>
  <w:abstractNum w:abstractNumId="3">
    <w:nsid w:val="FFFFFF81"/>
    <w:multiLevelType w:val="singleLevel"/>
    <w:tmpl w:val="FFFFFF81"/>
    <w:lvl w:ilvl="0" w:tentative="0">
      <w:start w:val="1"/>
      <w:numFmt w:val="bullet"/>
      <w:pStyle w:val="13"/>
      <w:lvlText w:val=""/>
      <w:lvlJc w:val="left"/>
      <w:pPr>
        <w:tabs>
          <w:tab w:val="left" w:pos="1620"/>
        </w:tabs>
        <w:ind w:left="1620" w:leftChars="600" w:hanging="360" w:hangingChars="200"/>
      </w:pPr>
      <w:rPr>
        <w:rFonts w:hint="default" w:ascii="Wingdings" w:hAnsi="Wingdings"/>
      </w:rPr>
    </w:lvl>
  </w:abstractNum>
  <w:abstractNum w:abstractNumId="4">
    <w:nsid w:val="FFFFFF89"/>
    <w:multiLevelType w:val="singleLevel"/>
    <w:tmpl w:val="FFFFFF89"/>
    <w:lvl w:ilvl="0" w:tentative="0">
      <w:start w:val="1"/>
      <w:numFmt w:val="bullet"/>
      <w:pStyle w:val="19"/>
      <w:lvlText w:val=""/>
      <w:lvlJc w:val="left"/>
      <w:pPr>
        <w:tabs>
          <w:tab w:val="left" w:pos="748"/>
        </w:tabs>
        <w:ind w:left="748" w:hanging="374"/>
      </w:pPr>
      <w:rPr>
        <w:rFonts w:hint="default" w:ascii="Wingdings" w:hAnsi="Wingdings"/>
        <w:sz w:val="21"/>
      </w:rPr>
    </w:lvl>
  </w:abstractNum>
  <w:abstractNum w:abstractNumId="5">
    <w:nsid w:val="00000011"/>
    <w:multiLevelType w:val="multilevel"/>
    <w:tmpl w:val="00000011"/>
    <w:lvl w:ilvl="0" w:tentative="0">
      <w:start w:val="1"/>
      <w:numFmt w:val="bullet"/>
      <w:pStyle w:val="547"/>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6">
    <w:nsid w:val="023B3218"/>
    <w:multiLevelType w:val="multilevel"/>
    <w:tmpl w:val="023B3218"/>
    <w:lvl w:ilvl="0" w:tentative="0">
      <w:start w:val="1"/>
      <w:numFmt w:val="bullet"/>
      <w:pStyle w:val="4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6AE7411"/>
    <w:multiLevelType w:val="multilevel"/>
    <w:tmpl w:val="06AE7411"/>
    <w:lvl w:ilvl="0" w:tentative="0">
      <w:start w:val="1"/>
      <w:numFmt w:val="bullet"/>
      <w:pStyle w:val="317"/>
      <w:lvlText w:val=""/>
      <w:lvlJc w:val="left"/>
      <w:pPr>
        <w:ind w:left="817"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8">
    <w:nsid w:val="0AE367E9"/>
    <w:multiLevelType w:val="multilevel"/>
    <w:tmpl w:val="0AE367E9"/>
    <w:lvl w:ilvl="0" w:tentative="0">
      <w:start w:val="1"/>
      <w:numFmt w:val="none"/>
      <w:pStyle w:val="638"/>
      <w:suff w:val="nothing"/>
      <w:lvlText w:val="%1示例："/>
      <w:lvlJc w:val="left"/>
      <w:pPr>
        <w:ind w:left="0" w:firstLine="363"/>
      </w:pPr>
      <w:rPr>
        <w:rFonts w:hint="eastAsia" w:ascii="黑体" w:eastAsia="黑体"/>
        <w:b w:val="0"/>
        <w:i w:val="0"/>
        <w:sz w:val="18"/>
        <w:szCs w:val="18"/>
      </w:rPr>
    </w:lvl>
    <w:lvl w:ilvl="1" w:tentative="0">
      <w:start w:val="1"/>
      <w:numFmt w:val="lowerLetter"/>
      <w:pStyle w:val="643"/>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9">
    <w:nsid w:val="1B000663"/>
    <w:multiLevelType w:val="multilevel"/>
    <w:tmpl w:val="1B000663"/>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226"/>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0">
    <w:nsid w:val="1BE25B4A"/>
    <w:multiLevelType w:val="multilevel"/>
    <w:tmpl w:val="1BE25B4A"/>
    <w:lvl w:ilvl="0" w:tentative="0">
      <w:start w:val="1"/>
      <w:numFmt w:val="decimal"/>
      <w:pStyle w:val="371"/>
      <w:suff w:val="space"/>
      <w:lvlText w:val="%1"/>
      <w:lvlJc w:val="left"/>
      <w:pPr>
        <w:ind w:left="0" w:firstLine="0"/>
      </w:pPr>
    </w:lvl>
    <w:lvl w:ilvl="1" w:tentative="0">
      <w:start w:val="1"/>
      <w:numFmt w:val="decimal"/>
      <w:pStyle w:val="373"/>
      <w:suff w:val="space"/>
      <w:lvlText w:val="%1.%2"/>
      <w:lvlJc w:val="left"/>
      <w:pPr>
        <w:ind w:left="0" w:firstLine="0"/>
      </w:pPr>
    </w:lvl>
    <w:lvl w:ilvl="2" w:tentative="0">
      <w:start w:val="1"/>
      <w:numFmt w:val="decimal"/>
      <w:pStyle w:val="375"/>
      <w:suff w:val="space"/>
      <w:lvlText w:val="%1.%2.%3"/>
      <w:lvlJc w:val="left"/>
      <w:pPr>
        <w:ind w:left="0" w:firstLine="0"/>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1">
    <w:nsid w:val="1C5818EB"/>
    <w:multiLevelType w:val="multilevel"/>
    <w:tmpl w:val="1C5818EB"/>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pStyle w:val="188"/>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2">
    <w:nsid w:val="1E20621E"/>
    <w:multiLevelType w:val="singleLevel"/>
    <w:tmpl w:val="1E20621E"/>
    <w:lvl w:ilvl="0" w:tentative="0">
      <w:start w:val="2"/>
      <w:numFmt w:val="chineseCounting"/>
      <w:suff w:val="nothing"/>
      <w:lvlText w:val="%1、"/>
      <w:lvlJc w:val="left"/>
      <w:rPr>
        <w:rFonts w:hint="eastAsia"/>
      </w:rPr>
    </w:lvl>
  </w:abstractNum>
  <w:abstractNum w:abstractNumId="13">
    <w:nsid w:val="1F5404EC"/>
    <w:multiLevelType w:val="multilevel"/>
    <w:tmpl w:val="1F5404EC"/>
    <w:lvl w:ilvl="0" w:tentative="0">
      <w:start w:val="1"/>
      <w:numFmt w:val="chineseCountingThousand"/>
      <w:pStyle w:val="692"/>
      <w:suff w:val="space"/>
      <w:lvlText w:val="第%1章"/>
      <w:lvlJc w:val="left"/>
      <w:pPr>
        <w:ind w:left="0" w:firstLine="0"/>
      </w:pPr>
      <w:rPr>
        <w:rFonts w:hint="default" w:ascii="Times New Roman" w:hAnsi="Times New Roman" w:eastAsia="仿宋"/>
        <w:b/>
        <w:i w:val="0"/>
        <w:color w:val="ED7D31"/>
        <w:sz w:val="40"/>
      </w:rPr>
    </w:lvl>
    <w:lvl w:ilvl="1" w:tentative="0">
      <w:start w:val="1"/>
      <w:numFmt w:val="decimal"/>
      <w:pStyle w:val="693"/>
      <w:isLgl/>
      <w:suff w:val="space"/>
      <w:lvlText w:val="%1.%2"/>
      <w:lvlJc w:val="left"/>
      <w:pPr>
        <w:ind w:left="0" w:firstLine="0"/>
      </w:pPr>
      <w:rPr>
        <w:rFonts w:hint="default" w:ascii="Times New Roman" w:hAnsi="Times New Roman" w:eastAsia="仿宋"/>
        <w:b/>
        <w:i w:val="0"/>
        <w:color w:val="0066FF"/>
        <w:sz w:val="28"/>
      </w:rPr>
    </w:lvl>
    <w:lvl w:ilvl="2" w:tentative="0">
      <w:start w:val="1"/>
      <w:numFmt w:val="decimal"/>
      <w:pStyle w:val="694"/>
      <w:isLgl/>
      <w:suff w:val="space"/>
      <w:lvlText w:val="%1.%2.%3"/>
      <w:lvlJc w:val="left"/>
      <w:pPr>
        <w:ind w:left="0" w:firstLine="0"/>
      </w:pPr>
      <w:rPr>
        <w:rFonts w:hint="eastAsia"/>
      </w:rPr>
    </w:lvl>
    <w:lvl w:ilvl="3" w:tentative="0">
      <w:start w:val="1"/>
      <w:numFmt w:val="decimal"/>
      <w:pStyle w:val="695"/>
      <w:isLgl/>
      <w:suff w:val="space"/>
      <w:lvlText w:val="%1.%2.%3.%4"/>
      <w:lvlJc w:val="left"/>
      <w:pPr>
        <w:ind w:left="0" w:firstLine="0"/>
      </w:pPr>
      <w:rPr>
        <w:rFonts w:hint="eastAsia"/>
      </w:rPr>
    </w:lvl>
    <w:lvl w:ilvl="4" w:tentative="0">
      <w:start w:val="1"/>
      <w:numFmt w:val="decimal"/>
      <w:pStyle w:val="697"/>
      <w:isLgl/>
      <w:suff w:val="space"/>
      <w:lvlText w:val="%1.%2.%3.%4.%5"/>
      <w:lvlJc w:val="left"/>
      <w:pPr>
        <w:ind w:left="0" w:firstLine="0"/>
      </w:pPr>
      <w:rPr>
        <w:rFonts w:hint="eastAsia"/>
      </w:rPr>
    </w:lvl>
    <w:lvl w:ilvl="5" w:tentative="0">
      <w:start w:val="1"/>
      <w:numFmt w:val="decimal"/>
      <w:pStyle w:val="698"/>
      <w:isLgl/>
      <w:suff w:val="space"/>
      <w:lvlText w:val="%1.%2.%3.%4.%5.%6"/>
      <w:lvlJc w:val="left"/>
      <w:pPr>
        <w:ind w:left="0" w:firstLine="0"/>
      </w:pPr>
      <w:rPr>
        <w:rFonts w:hint="eastAsia"/>
      </w:rPr>
    </w:lvl>
    <w:lvl w:ilvl="6" w:tentative="0">
      <w:start w:val="1"/>
      <w:numFmt w:val="decimal"/>
      <w:pStyle w:val="701"/>
      <w:suff w:val="space"/>
      <w:lvlText w:val="%7、"/>
      <w:lvlJc w:val="right"/>
      <w:pPr>
        <w:ind w:left="851" w:firstLine="0"/>
      </w:pPr>
      <w:rPr>
        <w:rFonts w:hint="eastAsia"/>
      </w:rPr>
    </w:lvl>
    <w:lvl w:ilvl="7" w:tentative="0">
      <w:start w:val="1"/>
      <w:numFmt w:val="decimal"/>
      <w:pStyle w:val="703"/>
      <w:suff w:val="space"/>
      <w:lvlText w:val="%8)"/>
      <w:lvlJc w:val="right"/>
      <w:pPr>
        <w:ind w:left="1077" w:firstLine="0"/>
      </w:pPr>
      <w:rPr>
        <w:rFonts w:hint="eastAsia"/>
      </w:rPr>
    </w:lvl>
    <w:lvl w:ilvl="8" w:tentative="0">
      <w:start w:val="1"/>
      <w:numFmt w:val="decimal"/>
      <w:lvlText w:val="1.%2.%3.%4.%5.%6.%7.%8.%9"/>
      <w:lvlJc w:val="left"/>
      <w:pPr>
        <w:ind w:left="0" w:firstLine="0"/>
      </w:pPr>
      <w:rPr>
        <w:rFonts w:hint="eastAsia"/>
      </w:rPr>
    </w:lvl>
  </w:abstractNum>
  <w:abstractNum w:abstractNumId="14">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4"/>
      <w:numFmt w:val="decimal"/>
      <w:pStyle w:val="343"/>
      <w:suff w:val="nothing"/>
      <w:lvlText w:val="%1.%2　"/>
      <w:lvlJc w:val="left"/>
      <w:pPr>
        <w:ind w:left="142"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44"/>
      <w:suff w:val="nothing"/>
      <w:lvlText w:val="%1.%2.%3　"/>
      <w:lvlJc w:val="left"/>
      <w:pPr>
        <w:ind w:left="0" w:firstLine="0"/>
      </w:pPr>
      <w:rPr>
        <w:rFonts w:hint="eastAsia" w:ascii="黑体" w:hAnsi="Times New Roman" w:eastAsia="黑体"/>
        <w:b w:val="0"/>
        <w:i w:val="0"/>
        <w:sz w:val="21"/>
      </w:rPr>
    </w:lvl>
    <w:lvl w:ilvl="3" w:tentative="0">
      <w:start w:val="1"/>
      <w:numFmt w:val="decimal"/>
      <w:pStyle w:val="345"/>
      <w:suff w:val="nothing"/>
      <w:lvlText w:val="%1.%2.%3.%4　"/>
      <w:lvlJc w:val="left"/>
      <w:pPr>
        <w:ind w:left="840" w:firstLine="0"/>
      </w:pPr>
      <w:rPr>
        <w:rFonts w:hint="eastAsia" w:ascii="黑体" w:hAnsi="Times New Roman" w:eastAsia="黑体"/>
        <w:b w:val="0"/>
        <w:i w:val="0"/>
        <w:sz w:val="21"/>
      </w:rPr>
    </w:lvl>
    <w:lvl w:ilvl="4" w:tentative="0">
      <w:start w:val="1"/>
      <w:numFmt w:val="decimal"/>
      <w:pStyle w:val="346"/>
      <w:suff w:val="nothing"/>
      <w:lvlText w:val="%1.%2.%3.%4.%5　"/>
      <w:lvlJc w:val="left"/>
      <w:pPr>
        <w:ind w:left="0" w:firstLine="0"/>
      </w:pPr>
      <w:rPr>
        <w:rFonts w:hint="eastAsia" w:ascii="黑体" w:hAnsi="Times New Roman" w:eastAsia="黑体"/>
        <w:b w:val="0"/>
        <w:i w:val="0"/>
        <w:sz w:val="21"/>
      </w:rPr>
    </w:lvl>
    <w:lvl w:ilvl="5" w:tentative="0">
      <w:start w:val="1"/>
      <w:numFmt w:val="decimal"/>
      <w:pStyle w:val="34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5">
    <w:nsid w:val="22CF0F0C"/>
    <w:multiLevelType w:val="multilevel"/>
    <w:tmpl w:val="22CF0F0C"/>
    <w:lvl w:ilvl="0" w:tentative="0">
      <w:start w:val="1"/>
      <w:numFmt w:val="bullet"/>
      <w:pStyle w:val="394"/>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4BD0EB6"/>
    <w:multiLevelType w:val="multilevel"/>
    <w:tmpl w:val="24BD0EB6"/>
    <w:lvl w:ilvl="0" w:tentative="0">
      <w:start w:val="1"/>
      <w:numFmt w:val="chineseCountingThousand"/>
      <w:pStyle w:val="458"/>
      <w:lvlText w:val="(%1)"/>
      <w:lvlJc w:val="left"/>
      <w:pPr>
        <w:tabs>
          <w:tab w:val="left" w:pos="1247"/>
        </w:tabs>
        <w:ind w:left="1247" w:hanging="567"/>
      </w:pPr>
      <w:rPr>
        <w:rFonts w:hint="eastAsia" w:ascii="Times New Roman" w:hAnsi="Times New Roman"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7A10307"/>
    <w:multiLevelType w:val="multilevel"/>
    <w:tmpl w:val="27A10307"/>
    <w:lvl w:ilvl="0" w:tentative="0">
      <w:start w:val="1"/>
      <w:numFmt w:val="bullet"/>
      <w:pStyle w:val="503"/>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2A8F7113"/>
    <w:multiLevelType w:val="multilevel"/>
    <w:tmpl w:val="2A8F7113"/>
    <w:lvl w:ilvl="0" w:tentative="0">
      <w:start w:val="1"/>
      <w:numFmt w:val="upperLetter"/>
      <w:pStyle w:val="611"/>
      <w:suff w:val="space"/>
      <w:lvlText w:val="%1"/>
      <w:lvlJc w:val="left"/>
      <w:pPr>
        <w:ind w:left="623" w:hanging="425"/>
      </w:pPr>
      <w:rPr>
        <w:rFonts w:hint="eastAsia"/>
      </w:rPr>
    </w:lvl>
    <w:lvl w:ilvl="1" w:tentative="0">
      <w:start w:val="1"/>
      <w:numFmt w:val="decimal"/>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9">
    <w:nsid w:val="2BE34EC2"/>
    <w:multiLevelType w:val="multilevel"/>
    <w:tmpl w:val="2BE34EC2"/>
    <w:lvl w:ilvl="0" w:tentative="0">
      <w:start w:val="1"/>
      <w:numFmt w:val="decimal"/>
      <w:pStyle w:val="358"/>
      <w:lvlText w:val="%1"/>
      <w:lvlJc w:val="left"/>
      <w:pPr>
        <w:tabs>
          <w:tab w:val="left" w:pos="425"/>
        </w:tabs>
        <w:ind w:left="425" w:hanging="425"/>
      </w:pPr>
      <w:rPr>
        <w:rFonts w:hint="eastAsia" w:ascii="宋体" w:eastAsia="宋体"/>
      </w:rPr>
    </w:lvl>
    <w:lvl w:ilvl="1" w:tentative="0">
      <w:start w:val="1"/>
      <w:numFmt w:val="decimal"/>
      <w:pStyle w:val="359"/>
      <w:lvlText w:val="%1.%2"/>
      <w:lvlJc w:val="left"/>
      <w:pPr>
        <w:tabs>
          <w:tab w:val="left" w:pos="851"/>
        </w:tabs>
        <w:ind w:left="851" w:hanging="567"/>
      </w:pPr>
      <w:rPr>
        <w:rFonts w:hint="eastAsia" w:ascii="黑体" w:eastAsia="黑体"/>
        <w:sz w:val="30"/>
        <w:szCs w:val="30"/>
      </w:rPr>
    </w:lvl>
    <w:lvl w:ilvl="2" w:tentative="0">
      <w:start w:val="1"/>
      <w:numFmt w:val="decimal"/>
      <w:lvlText w:val="%1.%2.%3"/>
      <w:lvlJc w:val="left"/>
      <w:pPr>
        <w:tabs>
          <w:tab w:val="left" w:pos="567"/>
        </w:tabs>
        <w:ind w:left="567" w:hanging="567"/>
      </w:pPr>
      <w:rPr>
        <w:rFonts w:hint="eastAsia" w:eastAsia="黑体"/>
        <w:b w:val="0"/>
        <w:bCs w:val="0"/>
        <w:i w:val="0"/>
        <w:iCs w:val="0"/>
        <w:sz w:val="28"/>
        <w:szCs w:val="28"/>
      </w:rPr>
    </w:lvl>
    <w:lvl w:ilvl="3" w:tentative="0">
      <w:start w:val="1"/>
      <w:numFmt w:val="decimal"/>
      <w:lvlText w:val="%1.%2.%3.%4"/>
      <w:lvlJc w:val="left"/>
      <w:pPr>
        <w:tabs>
          <w:tab w:val="left" w:pos="948"/>
        </w:tabs>
        <w:ind w:left="948" w:hanging="708"/>
      </w:pPr>
      <w:rPr>
        <w:rFonts w:hint="eastAsia" w:ascii="宋体" w:eastAsia="宋体"/>
        <w:b/>
        <w:bCs w:val="0"/>
        <w:i w:val="0"/>
        <w:iCs w:val="0"/>
        <w:color w:val="auto"/>
        <w:sz w:val="24"/>
        <w:szCs w:val="24"/>
        <w:u w:val="none"/>
      </w:rPr>
    </w:lvl>
    <w:lvl w:ilvl="4" w:tentative="0">
      <w:start w:val="1"/>
      <w:numFmt w:val="decimal"/>
      <w:lvlText w:val="%1.%2.%3.%4.%5"/>
      <w:lvlJc w:val="left"/>
      <w:pPr>
        <w:tabs>
          <w:tab w:val="left" w:pos="2551"/>
        </w:tabs>
        <w:ind w:left="2551" w:hanging="850"/>
      </w:pPr>
      <w:rPr>
        <w:rFonts w:hint="eastAsia" w:eastAsia="宋体"/>
        <w:sz w:val="24"/>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0">
    <w:nsid w:val="2C56166E"/>
    <w:multiLevelType w:val="multilevel"/>
    <w:tmpl w:val="2C56166E"/>
    <w:lvl w:ilvl="0" w:tentative="0">
      <w:start w:val="1"/>
      <w:numFmt w:val="bullet"/>
      <w:pStyle w:val="613"/>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1">
    <w:nsid w:val="2F17497E"/>
    <w:multiLevelType w:val="multilevel"/>
    <w:tmpl w:val="2F17497E"/>
    <w:lvl w:ilvl="0" w:tentative="0">
      <w:start w:val="1"/>
      <w:numFmt w:val="decimal"/>
      <w:pStyle w:val="422"/>
      <w:lvlText w:val="%1"/>
      <w:lvlJc w:val="left"/>
      <w:pPr>
        <w:tabs>
          <w:tab w:val="left" w:pos="567"/>
        </w:tabs>
        <w:ind w:left="567" w:hanging="567"/>
      </w:pPr>
      <w:rPr>
        <w:rFonts w:hint="default" w:ascii="Times New Roman" w:hAnsi="Times New Roman" w:cs="Times New Roman"/>
        <w:b/>
        <w:i w:val="0"/>
        <w:iCs w:val="0"/>
        <w:caps w:val="0"/>
        <w:smallCaps w:val="0"/>
        <w:strike w:val="0"/>
        <w:dstrike w:val="0"/>
        <w:vanish w:val="0"/>
        <w:color w:val="000000"/>
        <w:spacing w:val="0"/>
        <w:position w:val="0"/>
        <w:sz w:val="32"/>
        <w:szCs w:val="32"/>
        <w:u w:val="none"/>
        <w:vertAlign w:val="baseline"/>
      </w:rPr>
    </w:lvl>
    <w:lvl w:ilvl="1" w:tentative="0">
      <w:start w:val="1"/>
      <w:numFmt w:val="decimal"/>
      <w:pStyle w:val="423"/>
      <w:isLgl/>
      <w:lvlText w:val="%1.%2"/>
      <w:lvlJc w:val="left"/>
      <w:pPr>
        <w:tabs>
          <w:tab w:val="left" w:pos="567"/>
        </w:tabs>
        <w:ind w:left="567" w:hanging="567"/>
      </w:pPr>
      <w:rPr>
        <w:rFonts w:hint="default" w:ascii="Times New Roman" w:hAnsi="Times New Roman"/>
        <w:b/>
        <w:i w:val="0"/>
        <w:sz w:val="30"/>
        <w:szCs w:val="30"/>
      </w:rPr>
    </w:lvl>
    <w:lvl w:ilvl="2" w:tentative="0">
      <w:start w:val="1"/>
      <w:numFmt w:val="decimal"/>
      <w:pStyle w:val="424"/>
      <w:isLgl/>
      <w:lvlText w:val="%1.%2.%3"/>
      <w:lvlJc w:val="left"/>
      <w:pPr>
        <w:tabs>
          <w:tab w:val="left" w:pos="567"/>
        </w:tabs>
        <w:ind w:left="567" w:hanging="567"/>
      </w:pPr>
      <w:rPr>
        <w:rFonts w:hint="eastAsia"/>
      </w:rPr>
    </w:lvl>
    <w:lvl w:ilvl="3" w:tentative="0">
      <w:start w:val="1"/>
      <w:numFmt w:val="decimal"/>
      <w:pStyle w:val="426"/>
      <w:isLgl/>
      <w:lvlText w:val="%1.%2.%3.%4"/>
      <w:lvlJc w:val="left"/>
      <w:pPr>
        <w:tabs>
          <w:tab w:val="left" w:pos="567"/>
        </w:tabs>
        <w:ind w:left="567" w:hanging="567"/>
      </w:pPr>
      <w:rPr>
        <w:rFonts w:hint="default" w:ascii="Times New Roman" w:hAnsi="Times New Roman" w:eastAsia="黑体"/>
        <w:b/>
        <w:i w:val="0"/>
        <w:sz w:val="28"/>
        <w:szCs w:val="28"/>
      </w:rPr>
    </w:lvl>
    <w:lvl w:ilvl="4" w:tentative="0">
      <w:start w:val="1"/>
      <w:numFmt w:val="decimal"/>
      <w:pStyle w:val="427"/>
      <w:lvlText w:val="%5）"/>
      <w:lvlJc w:val="left"/>
      <w:pPr>
        <w:tabs>
          <w:tab w:val="left" w:pos="767"/>
        </w:tabs>
        <w:ind w:left="767" w:hanging="567"/>
      </w:pPr>
      <w:rPr>
        <w:rFonts w:hint="default" w:ascii="Times New Roman" w:hAnsi="Times New Roman" w:eastAsia="仿宋_GB2312"/>
        <w:b/>
        <w:i w:val="0"/>
        <w:sz w:val="28"/>
        <w:szCs w:val="28"/>
      </w:rPr>
    </w:lvl>
    <w:lvl w:ilvl="5" w:tentative="0">
      <w:start w:val="1"/>
      <w:numFmt w:val="bullet"/>
      <w:pStyle w:val="428"/>
      <w:lvlText w:val=""/>
      <w:lvlJc w:val="left"/>
      <w:pPr>
        <w:tabs>
          <w:tab w:val="left" w:pos="284"/>
        </w:tabs>
        <w:ind w:left="0" w:firstLine="200"/>
      </w:pPr>
      <w:rPr>
        <w:rFonts w:hint="default" w:ascii="Wingdings" w:hAnsi="Wingdings" w:eastAsia="仿宋_GB2312"/>
        <w:b w:val="0"/>
        <w:i w:val="0"/>
        <w:sz w:val="24"/>
        <w:szCs w:val="24"/>
      </w:rPr>
    </w:lvl>
    <w:lvl w:ilvl="6" w:tentative="0">
      <w:start w:val="1"/>
      <w:numFmt w:val="lowerRoman"/>
      <w:pStyle w:val="429"/>
      <w:lvlText w:val="%7."/>
      <w:lvlJc w:val="left"/>
      <w:pPr>
        <w:tabs>
          <w:tab w:val="left" w:pos="907"/>
        </w:tabs>
        <w:ind w:left="907" w:hanging="507"/>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7" w:tentative="0">
      <w:start w:val="1"/>
      <w:numFmt w:val="decimal"/>
      <w:lvlText w:val="%1.%2.%3.%4.%5.%6.%7.%8."/>
      <w:lvlJc w:val="left"/>
      <w:pPr>
        <w:tabs>
          <w:tab w:val="left" w:pos="1618"/>
        </w:tabs>
        <w:ind w:left="1618" w:hanging="1418"/>
      </w:pPr>
      <w:rPr>
        <w:rFonts w:hint="eastAsia"/>
      </w:rPr>
    </w:lvl>
    <w:lvl w:ilvl="8" w:tentative="0">
      <w:start w:val="1"/>
      <w:numFmt w:val="decimal"/>
      <w:lvlText w:val="%1.%2.%3.%4.%5.%6.%7.%8.%9."/>
      <w:lvlJc w:val="left"/>
      <w:pPr>
        <w:tabs>
          <w:tab w:val="left" w:pos="1759"/>
        </w:tabs>
        <w:ind w:left="1759" w:hanging="1559"/>
      </w:pPr>
      <w:rPr>
        <w:rFonts w:hint="eastAsia"/>
      </w:rPr>
    </w:lvl>
  </w:abstractNum>
  <w:abstractNum w:abstractNumId="22">
    <w:nsid w:val="3D733618"/>
    <w:multiLevelType w:val="multilevel"/>
    <w:tmpl w:val="3D733618"/>
    <w:lvl w:ilvl="0" w:tentative="0">
      <w:start w:val="1"/>
      <w:numFmt w:val="decimal"/>
      <w:pStyle w:val="658"/>
      <w:lvlText w:val="%1)"/>
      <w:lvlJc w:val="left"/>
      <w:pPr>
        <w:tabs>
          <w:tab w:val="left" w:pos="0"/>
        </w:tabs>
        <w:ind w:left="720" w:hanging="357"/>
      </w:pPr>
      <w:rPr>
        <w:rFonts w:hint="eastAsia"/>
      </w:rPr>
    </w:lvl>
    <w:lvl w:ilvl="1" w:tentative="0">
      <w:start w:val="1"/>
      <w:numFmt w:val="lowerLetter"/>
      <w:pStyle w:val="657"/>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23">
    <w:nsid w:val="44C50F90"/>
    <w:multiLevelType w:val="multilevel"/>
    <w:tmpl w:val="44C50F90"/>
    <w:lvl w:ilvl="0" w:tentative="0">
      <w:start w:val="0"/>
      <w:numFmt w:val="decimal"/>
      <w:pStyle w:val="453"/>
      <w:lvlText w:val=""/>
      <w:lvlJc w:val="left"/>
    </w:lvl>
    <w:lvl w:ilvl="1" w:tentative="0">
      <w:start w:val="0"/>
      <w:numFmt w:val="decimal"/>
      <w:pStyle w:val="452"/>
      <w:lvlText w:val=""/>
      <w:lvlJc w:val="left"/>
    </w:lvl>
    <w:lvl w:ilvl="2" w:tentative="0">
      <w:start w:val="0"/>
      <w:numFmt w:val="decimal"/>
      <w:pStyle w:val="454"/>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485F2004"/>
    <w:multiLevelType w:val="multilevel"/>
    <w:tmpl w:val="485F2004"/>
    <w:lvl w:ilvl="0" w:tentative="0">
      <w:start w:val="1"/>
      <w:numFmt w:val="decimal"/>
      <w:suff w:val="space"/>
      <w:lvlText w:val="第%1章"/>
      <w:lvlJc w:val="left"/>
      <w:pPr>
        <w:ind w:left="0" w:firstLine="0"/>
      </w:pPr>
      <w:rPr>
        <w:rFonts w:hint="eastAsia" w:ascii="宋体" w:hAnsi="宋体" w:eastAsia="宋体"/>
      </w:rPr>
    </w:lvl>
    <w:lvl w:ilvl="1" w:tentative="0">
      <w:start w:val="1"/>
      <w:numFmt w:val="decimal"/>
      <w:suff w:val="space"/>
      <w:lvlText w:val="%1.%2"/>
      <w:lvlJc w:val="left"/>
      <w:pPr>
        <w:ind w:left="0" w:firstLine="0"/>
      </w:pPr>
      <w:rPr>
        <w:rFonts w:hint="eastAsia" w:ascii="宋体" w:hAnsi="宋体" w:eastAsia="宋体"/>
      </w:rPr>
    </w:lvl>
    <w:lvl w:ilvl="2" w:tentative="0">
      <w:start w:val="1"/>
      <w:numFmt w:val="decimal"/>
      <w:suff w:val="space"/>
      <w:lvlText w:val="%1.%2.%3"/>
      <w:lvlJc w:val="left"/>
      <w:pPr>
        <w:ind w:left="0" w:firstLine="0"/>
      </w:pPr>
      <w:rPr>
        <w:rFonts w:hint="eastAsia" w:ascii="宋体" w:hAnsi="宋体" w:eastAsia="宋体"/>
      </w:rPr>
    </w:lvl>
    <w:lvl w:ilvl="3" w:tentative="0">
      <w:start w:val="1"/>
      <w:numFmt w:val="decimal"/>
      <w:pStyle w:val="204"/>
      <w:suff w:val="space"/>
      <w:lvlText w:val="%1.%2.%3.%4"/>
      <w:lvlJc w:val="left"/>
      <w:pPr>
        <w:ind w:left="720" w:firstLine="0"/>
      </w:pPr>
      <w:rPr>
        <w:rFonts w:hint="eastAsia" w:ascii="宋体" w:hAnsi="宋体" w:eastAsia="宋体"/>
      </w:rPr>
    </w:lvl>
    <w:lvl w:ilvl="4" w:tentative="0">
      <w:start w:val="1"/>
      <w:numFmt w:val="decimal"/>
      <w:suff w:val="space"/>
      <w:lvlText w:val="%1.%2.%3.%4.%5"/>
      <w:lvlJc w:val="left"/>
      <w:pPr>
        <w:ind w:left="0" w:firstLine="0"/>
      </w:pPr>
      <w:rPr>
        <w:rFonts w:hint="eastAsia" w:ascii="宋体" w:hAnsi="宋体" w:eastAsia="宋体"/>
      </w:rPr>
    </w:lvl>
    <w:lvl w:ilvl="5" w:tentative="0">
      <w:start w:val="1"/>
      <w:numFmt w:val="none"/>
      <w:suff w:val="nothing"/>
      <w:lvlText w:val="%6."/>
      <w:lvlJc w:val="left"/>
      <w:pPr>
        <w:ind w:left="4320" w:hanging="360"/>
      </w:pPr>
      <w:rPr>
        <w:rFonts w:hint="eastAsia"/>
      </w:rPr>
    </w:lvl>
    <w:lvl w:ilvl="6" w:tentative="0">
      <w:start w:val="1"/>
      <w:numFmt w:val="none"/>
      <w:suff w:val="nothing"/>
      <w:lvlText w:val="%7."/>
      <w:lvlJc w:val="left"/>
      <w:pPr>
        <w:ind w:left="5040" w:hanging="360"/>
      </w:pPr>
      <w:rPr>
        <w:rFonts w:hint="eastAsia"/>
      </w:rPr>
    </w:lvl>
    <w:lvl w:ilvl="7" w:tentative="0">
      <w:start w:val="1"/>
      <w:numFmt w:val="none"/>
      <w:suff w:val="nothing"/>
      <w:lvlText w:val="%8."/>
      <w:lvlJc w:val="left"/>
      <w:pPr>
        <w:ind w:left="5760" w:hanging="360"/>
      </w:pPr>
      <w:rPr>
        <w:rFonts w:hint="eastAsia"/>
      </w:rPr>
    </w:lvl>
    <w:lvl w:ilvl="8" w:tentative="0">
      <w:start w:val="1"/>
      <w:numFmt w:val="none"/>
      <w:suff w:val="nothing"/>
      <w:lvlText w:val="%9."/>
      <w:lvlJc w:val="left"/>
      <w:pPr>
        <w:ind w:left="6480" w:hanging="360"/>
      </w:pPr>
      <w:rPr>
        <w:rFonts w:hint="eastAsia"/>
      </w:rPr>
    </w:lvl>
  </w:abstractNum>
  <w:abstractNum w:abstractNumId="25">
    <w:nsid w:val="48B5592E"/>
    <w:multiLevelType w:val="multilevel"/>
    <w:tmpl w:val="48B5592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49EEC1C9"/>
    <w:multiLevelType w:val="singleLevel"/>
    <w:tmpl w:val="49EEC1C9"/>
    <w:lvl w:ilvl="0" w:tentative="0">
      <w:start w:val="3"/>
      <w:numFmt w:val="chineseCounting"/>
      <w:suff w:val="nothing"/>
      <w:lvlText w:val="%1、"/>
      <w:lvlJc w:val="left"/>
      <w:rPr>
        <w:rFonts w:hint="eastAsia"/>
      </w:rPr>
    </w:lvl>
  </w:abstractNum>
  <w:abstractNum w:abstractNumId="27">
    <w:nsid w:val="4B733A5F"/>
    <w:multiLevelType w:val="multilevel"/>
    <w:tmpl w:val="4B733A5F"/>
    <w:lvl w:ilvl="0" w:tentative="0">
      <w:start w:val="1"/>
      <w:numFmt w:val="decimal"/>
      <w:pStyle w:val="640"/>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pStyle w:val="627"/>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8">
    <w:nsid w:val="4CA763EE"/>
    <w:multiLevelType w:val="multilevel"/>
    <w:tmpl w:val="4CA763EE"/>
    <w:lvl w:ilvl="0" w:tentative="0">
      <w:start w:val="1"/>
      <w:numFmt w:val="bullet"/>
      <w:pStyle w:val="433"/>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4E7107F0"/>
    <w:multiLevelType w:val="multilevel"/>
    <w:tmpl w:val="4E7107F0"/>
    <w:lvl w:ilvl="0" w:tentative="0">
      <w:start w:val="1"/>
      <w:numFmt w:val="bullet"/>
      <w:pStyle w:val="486"/>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30">
    <w:nsid w:val="53F22205"/>
    <w:multiLevelType w:val="multilevel"/>
    <w:tmpl w:val="53F22205"/>
    <w:lvl w:ilvl="0" w:tentative="0">
      <w:start w:val="1"/>
      <w:numFmt w:val="decimal"/>
      <w:pStyle w:val="15"/>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1">
    <w:nsid w:val="55E166D7"/>
    <w:multiLevelType w:val="multilevel"/>
    <w:tmpl w:val="55E166D7"/>
    <w:lvl w:ilvl="0" w:tentative="0">
      <w:start w:val="1"/>
      <w:numFmt w:val="bullet"/>
      <w:pStyle w:val="499"/>
      <w:lvlText w:val=""/>
      <w:lvlJc w:val="left"/>
      <w:pPr>
        <w:ind w:left="986" w:hanging="420"/>
      </w:pPr>
      <w:rPr>
        <w:rFonts w:hint="default" w:ascii="Wingdings" w:hAnsi="Wingdings"/>
      </w:rPr>
    </w:lvl>
    <w:lvl w:ilvl="1" w:tentative="0">
      <w:start w:val="1"/>
      <w:numFmt w:val="bullet"/>
      <w:lvlText w:val=""/>
      <w:lvlJc w:val="left"/>
      <w:pPr>
        <w:ind w:left="1406" w:hanging="420"/>
      </w:pPr>
      <w:rPr>
        <w:rFonts w:hint="default" w:ascii="Wingdings" w:hAnsi="Wingdings"/>
      </w:rPr>
    </w:lvl>
    <w:lvl w:ilvl="2" w:tentative="0">
      <w:start w:val="1"/>
      <w:numFmt w:val="bullet"/>
      <w:pStyle w:val="501"/>
      <w:lvlText w:val=""/>
      <w:lvlJc w:val="left"/>
      <w:pPr>
        <w:ind w:left="1826" w:hanging="420"/>
      </w:pPr>
      <w:rPr>
        <w:rFonts w:hint="default" w:ascii="Wingdings" w:hAnsi="Wingdings"/>
      </w:rPr>
    </w:lvl>
    <w:lvl w:ilvl="3" w:tentative="0">
      <w:start w:val="1"/>
      <w:numFmt w:val="bullet"/>
      <w:lvlText w:val=""/>
      <w:lvlJc w:val="left"/>
      <w:pPr>
        <w:ind w:left="2246" w:hanging="420"/>
      </w:pPr>
      <w:rPr>
        <w:rFonts w:hint="default" w:ascii="Wingdings" w:hAnsi="Wingdings"/>
      </w:rPr>
    </w:lvl>
    <w:lvl w:ilvl="4" w:tentative="0">
      <w:start w:val="1"/>
      <w:numFmt w:val="bullet"/>
      <w:lvlText w:val=""/>
      <w:lvlJc w:val="left"/>
      <w:pPr>
        <w:ind w:left="2666" w:hanging="420"/>
      </w:pPr>
      <w:rPr>
        <w:rFonts w:hint="default" w:ascii="Wingdings" w:hAnsi="Wingdings"/>
      </w:rPr>
    </w:lvl>
    <w:lvl w:ilvl="5" w:tentative="0">
      <w:start w:val="1"/>
      <w:numFmt w:val="bullet"/>
      <w:lvlText w:val=""/>
      <w:lvlJc w:val="left"/>
      <w:pPr>
        <w:ind w:left="3086" w:hanging="420"/>
      </w:pPr>
      <w:rPr>
        <w:rFonts w:hint="default" w:ascii="Wingdings" w:hAnsi="Wingdings"/>
      </w:rPr>
    </w:lvl>
    <w:lvl w:ilvl="6" w:tentative="0">
      <w:start w:val="1"/>
      <w:numFmt w:val="bullet"/>
      <w:lvlText w:val=""/>
      <w:lvlJc w:val="left"/>
      <w:pPr>
        <w:ind w:left="3506" w:hanging="420"/>
      </w:pPr>
      <w:rPr>
        <w:rFonts w:hint="default" w:ascii="Wingdings" w:hAnsi="Wingdings"/>
      </w:rPr>
    </w:lvl>
    <w:lvl w:ilvl="7" w:tentative="0">
      <w:start w:val="1"/>
      <w:numFmt w:val="bullet"/>
      <w:lvlText w:val=""/>
      <w:lvlJc w:val="left"/>
      <w:pPr>
        <w:ind w:left="3926" w:hanging="420"/>
      </w:pPr>
      <w:rPr>
        <w:rFonts w:hint="default" w:ascii="Wingdings" w:hAnsi="Wingdings"/>
      </w:rPr>
    </w:lvl>
    <w:lvl w:ilvl="8" w:tentative="0">
      <w:start w:val="1"/>
      <w:numFmt w:val="bullet"/>
      <w:lvlText w:val=""/>
      <w:lvlJc w:val="left"/>
      <w:pPr>
        <w:ind w:left="4346" w:hanging="420"/>
      </w:pPr>
      <w:rPr>
        <w:rFonts w:hint="default" w:ascii="Wingdings" w:hAnsi="Wingdings"/>
      </w:rPr>
    </w:lvl>
  </w:abstractNum>
  <w:abstractNum w:abstractNumId="32">
    <w:nsid w:val="57DC4EDD"/>
    <w:multiLevelType w:val="multilevel"/>
    <w:tmpl w:val="57DC4EDD"/>
    <w:lvl w:ilvl="0" w:tentative="0">
      <w:start w:val="1"/>
      <w:numFmt w:val="decimal"/>
      <w:pStyle w:val="36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3">
    <w:nsid w:val="594D164A"/>
    <w:multiLevelType w:val="multilevel"/>
    <w:tmpl w:val="594D164A"/>
    <w:lvl w:ilvl="0" w:tentative="0">
      <w:start w:val="1"/>
      <w:numFmt w:val="bullet"/>
      <w:pStyle w:val="37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34">
    <w:nsid w:val="5A7E523C"/>
    <w:multiLevelType w:val="multilevel"/>
    <w:tmpl w:val="5A7E523C"/>
    <w:lvl w:ilvl="0" w:tentative="0">
      <w:start w:val="1"/>
      <w:numFmt w:val="bullet"/>
      <w:pStyle w:val="480"/>
      <w:lvlText w:val=""/>
      <w:lvlJc w:val="left"/>
      <w:pPr>
        <w:ind w:left="1694" w:hanging="420"/>
      </w:pPr>
      <w:rPr>
        <w:rFonts w:hint="default" w:ascii="Wingdings" w:hAnsi="Wingdings"/>
      </w:rPr>
    </w:lvl>
    <w:lvl w:ilvl="1" w:tentative="0">
      <w:start w:val="1"/>
      <w:numFmt w:val="bullet"/>
      <w:lvlText w:val=""/>
      <w:lvlJc w:val="left"/>
      <w:pPr>
        <w:ind w:left="2114" w:hanging="420"/>
      </w:pPr>
      <w:rPr>
        <w:rFonts w:hint="default" w:ascii="Wingdings" w:hAnsi="Wingdings"/>
      </w:rPr>
    </w:lvl>
    <w:lvl w:ilvl="2" w:tentative="0">
      <w:start w:val="1"/>
      <w:numFmt w:val="bullet"/>
      <w:lvlText w:val=""/>
      <w:lvlJc w:val="left"/>
      <w:pPr>
        <w:ind w:left="2534" w:hanging="420"/>
      </w:pPr>
      <w:rPr>
        <w:rFonts w:hint="default" w:ascii="Wingdings" w:hAnsi="Wingdings"/>
      </w:rPr>
    </w:lvl>
    <w:lvl w:ilvl="3" w:tentative="0">
      <w:start w:val="1"/>
      <w:numFmt w:val="bullet"/>
      <w:lvlText w:val=""/>
      <w:lvlJc w:val="left"/>
      <w:pPr>
        <w:ind w:left="2954" w:hanging="420"/>
      </w:pPr>
      <w:rPr>
        <w:rFonts w:hint="default" w:ascii="Wingdings" w:hAnsi="Wingdings"/>
      </w:rPr>
    </w:lvl>
    <w:lvl w:ilvl="4" w:tentative="0">
      <w:start w:val="1"/>
      <w:numFmt w:val="bullet"/>
      <w:lvlText w:val=""/>
      <w:lvlJc w:val="left"/>
      <w:pPr>
        <w:ind w:left="3374" w:hanging="420"/>
      </w:pPr>
      <w:rPr>
        <w:rFonts w:hint="default" w:ascii="Wingdings" w:hAnsi="Wingdings"/>
      </w:rPr>
    </w:lvl>
    <w:lvl w:ilvl="5" w:tentative="0">
      <w:start w:val="1"/>
      <w:numFmt w:val="bullet"/>
      <w:lvlText w:val=""/>
      <w:lvlJc w:val="left"/>
      <w:pPr>
        <w:ind w:left="3794" w:hanging="420"/>
      </w:pPr>
      <w:rPr>
        <w:rFonts w:hint="default" w:ascii="Wingdings" w:hAnsi="Wingdings"/>
      </w:rPr>
    </w:lvl>
    <w:lvl w:ilvl="6" w:tentative="0">
      <w:start w:val="1"/>
      <w:numFmt w:val="bullet"/>
      <w:lvlText w:val=""/>
      <w:lvlJc w:val="left"/>
      <w:pPr>
        <w:ind w:left="4214" w:hanging="420"/>
      </w:pPr>
      <w:rPr>
        <w:rFonts w:hint="default" w:ascii="Wingdings" w:hAnsi="Wingdings"/>
      </w:rPr>
    </w:lvl>
    <w:lvl w:ilvl="7" w:tentative="0">
      <w:start w:val="1"/>
      <w:numFmt w:val="bullet"/>
      <w:lvlText w:val=""/>
      <w:lvlJc w:val="left"/>
      <w:pPr>
        <w:ind w:left="4634" w:hanging="420"/>
      </w:pPr>
      <w:rPr>
        <w:rFonts w:hint="default" w:ascii="Wingdings" w:hAnsi="Wingdings"/>
      </w:rPr>
    </w:lvl>
    <w:lvl w:ilvl="8" w:tentative="0">
      <w:start w:val="1"/>
      <w:numFmt w:val="bullet"/>
      <w:lvlText w:val=""/>
      <w:lvlJc w:val="left"/>
      <w:pPr>
        <w:ind w:left="5054" w:hanging="420"/>
      </w:pPr>
      <w:rPr>
        <w:rFonts w:hint="default" w:ascii="Wingdings" w:hAnsi="Wingdings"/>
      </w:rPr>
    </w:lvl>
  </w:abstractNum>
  <w:abstractNum w:abstractNumId="35">
    <w:nsid w:val="5B690C2B"/>
    <w:multiLevelType w:val="multilevel"/>
    <w:tmpl w:val="5B690C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5BDEA4DE"/>
    <w:multiLevelType w:val="singleLevel"/>
    <w:tmpl w:val="5BDEA4DE"/>
    <w:lvl w:ilvl="0" w:tentative="0">
      <w:start w:val="1"/>
      <w:numFmt w:val="decimal"/>
      <w:pStyle w:val="516"/>
      <w:lvlText w:val="%1)"/>
      <w:lvlJc w:val="left"/>
      <w:pPr>
        <w:ind w:left="425" w:hanging="425"/>
      </w:pPr>
      <w:rPr>
        <w:rFonts w:hint="default"/>
      </w:rPr>
    </w:lvl>
  </w:abstractNum>
  <w:abstractNum w:abstractNumId="37">
    <w:nsid w:val="5C7E2522"/>
    <w:multiLevelType w:val="multilevel"/>
    <w:tmpl w:val="5C7E2522"/>
    <w:lvl w:ilvl="0" w:tentative="0">
      <w:start w:val="1"/>
      <w:numFmt w:val="bullet"/>
      <w:pStyle w:val="49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8">
    <w:nsid w:val="60B55DC2"/>
    <w:multiLevelType w:val="multilevel"/>
    <w:tmpl w:val="60B55DC2"/>
    <w:lvl w:ilvl="0" w:tentative="0">
      <w:start w:val="1"/>
      <w:numFmt w:val="upperLetter"/>
      <w:pStyle w:val="44"/>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9">
    <w:nsid w:val="61164534"/>
    <w:multiLevelType w:val="multilevel"/>
    <w:tmpl w:val="61164534"/>
    <w:lvl w:ilvl="0" w:tentative="0">
      <w:start w:val="1"/>
      <w:numFmt w:val="bullet"/>
      <w:pStyle w:val="566"/>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927"/>
        </w:tabs>
        <w:ind w:left="927" w:hanging="420"/>
      </w:pPr>
      <w:rPr>
        <w:rFonts w:hint="default" w:ascii="Wingdings" w:hAnsi="Wingdings"/>
      </w:rPr>
    </w:lvl>
    <w:lvl w:ilvl="2" w:tentative="0">
      <w:start w:val="1"/>
      <w:numFmt w:val="bullet"/>
      <w:lvlText w:val=""/>
      <w:lvlJc w:val="left"/>
      <w:pPr>
        <w:tabs>
          <w:tab w:val="left" w:pos="1347"/>
        </w:tabs>
        <w:ind w:left="1347" w:hanging="420"/>
      </w:pPr>
      <w:rPr>
        <w:rFonts w:hint="default" w:ascii="Wingdings" w:hAnsi="Wingdings"/>
      </w:rPr>
    </w:lvl>
    <w:lvl w:ilvl="3" w:tentative="0">
      <w:start w:val="1"/>
      <w:numFmt w:val="bullet"/>
      <w:lvlText w:val=""/>
      <w:lvlJc w:val="left"/>
      <w:pPr>
        <w:tabs>
          <w:tab w:val="left" w:pos="1767"/>
        </w:tabs>
        <w:ind w:left="1767" w:hanging="420"/>
      </w:pPr>
      <w:rPr>
        <w:rFonts w:hint="default" w:ascii="Wingdings" w:hAnsi="Wingdings"/>
      </w:rPr>
    </w:lvl>
    <w:lvl w:ilvl="4" w:tentative="0">
      <w:start w:val="1"/>
      <w:numFmt w:val="bullet"/>
      <w:lvlText w:val=""/>
      <w:lvlJc w:val="left"/>
      <w:pPr>
        <w:tabs>
          <w:tab w:val="left" w:pos="2187"/>
        </w:tabs>
        <w:ind w:left="2187" w:hanging="420"/>
      </w:pPr>
      <w:rPr>
        <w:rFonts w:hint="default" w:ascii="Wingdings" w:hAnsi="Wingdings"/>
      </w:rPr>
    </w:lvl>
    <w:lvl w:ilvl="5" w:tentative="0">
      <w:start w:val="1"/>
      <w:numFmt w:val="bullet"/>
      <w:lvlText w:val=""/>
      <w:lvlJc w:val="left"/>
      <w:pPr>
        <w:tabs>
          <w:tab w:val="left" w:pos="2607"/>
        </w:tabs>
        <w:ind w:left="2607" w:hanging="420"/>
      </w:pPr>
      <w:rPr>
        <w:rFonts w:hint="default" w:ascii="Wingdings" w:hAnsi="Wingdings"/>
      </w:rPr>
    </w:lvl>
    <w:lvl w:ilvl="6" w:tentative="0">
      <w:start w:val="1"/>
      <w:numFmt w:val="bullet"/>
      <w:lvlText w:val=""/>
      <w:lvlJc w:val="left"/>
      <w:pPr>
        <w:tabs>
          <w:tab w:val="left" w:pos="3027"/>
        </w:tabs>
        <w:ind w:left="3027" w:hanging="420"/>
      </w:pPr>
      <w:rPr>
        <w:rFonts w:hint="default" w:ascii="Wingdings" w:hAnsi="Wingdings"/>
      </w:rPr>
    </w:lvl>
    <w:lvl w:ilvl="7" w:tentative="0">
      <w:start w:val="1"/>
      <w:numFmt w:val="bullet"/>
      <w:lvlText w:val=""/>
      <w:lvlJc w:val="left"/>
      <w:pPr>
        <w:tabs>
          <w:tab w:val="left" w:pos="3447"/>
        </w:tabs>
        <w:ind w:left="3447" w:hanging="420"/>
      </w:pPr>
      <w:rPr>
        <w:rFonts w:hint="default" w:ascii="Wingdings" w:hAnsi="Wingdings"/>
      </w:rPr>
    </w:lvl>
    <w:lvl w:ilvl="8" w:tentative="0">
      <w:start w:val="1"/>
      <w:numFmt w:val="bullet"/>
      <w:lvlText w:val=""/>
      <w:lvlJc w:val="left"/>
      <w:pPr>
        <w:tabs>
          <w:tab w:val="left" w:pos="3867"/>
        </w:tabs>
        <w:ind w:left="3867" w:hanging="420"/>
      </w:pPr>
      <w:rPr>
        <w:rFonts w:hint="default" w:ascii="Wingdings" w:hAnsi="Wingdings"/>
      </w:rPr>
    </w:lvl>
  </w:abstractNum>
  <w:abstractNum w:abstractNumId="40">
    <w:nsid w:val="61947298"/>
    <w:multiLevelType w:val="multilevel"/>
    <w:tmpl w:val="61947298"/>
    <w:lvl w:ilvl="0" w:tentative="0">
      <w:start w:val="1"/>
      <w:numFmt w:val="decimal"/>
      <w:lvlText w:val="第%1章."/>
      <w:lvlJc w:val="left"/>
      <w:pPr>
        <w:ind w:left="425" w:hanging="425"/>
      </w:pPr>
      <w:rPr>
        <w:rFonts w:hint="default"/>
        <w:b/>
        <w:i w:val="0"/>
        <w:color w:val="auto"/>
        <w:sz w:val="32"/>
        <w:szCs w:val="32"/>
      </w:rPr>
    </w:lvl>
    <w:lvl w:ilvl="1" w:tentative="0">
      <w:start w:val="1"/>
      <w:numFmt w:val="decimal"/>
      <w:lvlText w:val="%1.%2."/>
      <w:lvlJc w:val="left"/>
      <w:pPr>
        <w:ind w:left="567" w:hanging="567"/>
      </w:pPr>
      <w:rPr>
        <w:rFonts w:hint="default"/>
        <w:color w:val="auto"/>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rPr>
    </w:lvl>
    <w:lvl w:ilvl="5" w:tentative="0">
      <w:start w:val="1"/>
      <w:numFmt w:val="decimal"/>
      <w:lvlText w:val="%1.%2.%3.%4.%5.%6."/>
      <w:lvlJc w:val="left"/>
      <w:pPr>
        <w:ind w:left="1134" w:hanging="1134"/>
      </w:pPr>
      <w:rPr>
        <w:rFonts w:hint="default" w:ascii="宋体" w:hAnsi="宋体" w:eastAsia="宋体" w:cs="宋体"/>
      </w:rPr>
    </w:lvl>
    <w:lvl w:ilvl="6" w:tentative="0">
      <w:start w:val="1"/>
      <w:numFmt w:val="decimal"/>
      <w:lvlText w:val="%1.%2.%3.%4.%5.%6.%7."/>
      <w:lvlJc w:val="left"/>
      <w:pPr>
        <w:ind w:left="1276" w:hanging="1276"/>
      </w:pPr>
      <w:rPr>
        <w:rFonts w:hint="default" w:ascii="宋体" w:hAnsi="宋体" w:eastAsia="宋体" w:cs="宋体"/>
      </w:rPr>
    </w:lvl>
    <w:lvl w:ilvl="7" w:tentative="0">
      <w:start w:val="1"/>
      <w:numFmt w:val="decimal"/>
      <w:pStyle w:val="595"/>
      <w:lvlText w:val="%1.%2.%3.%4.%5.%6.%7.%8."/>
      <w:lvlJc w:val="left"/>
      <w:pPr>
        <w:ind w:left="1418" w:hanging="1418"/>
      </w:pPr>
      <w:rPr>
        <w:rFonts w:hint="default" w:ascii="宋体" w:hAnsi="宋体" w:eastAsia="宋体" w:cs="宋体"/>
      </w:rPr>
    </w:lvl>
    <w:lvl w:ilvl="8" w:tentative="0">
      <w:start w:val="1"/>
      <w:numFmt w:val="decimal"/>
      <w:lvlText w:val="%1.%2.%3.%4.%5.%6.%7.%8.%9."/>
      <w:lvlJc w:val="left"/>
      <w:pPr>
        <w:ind w:left="1559" w:hanging="1559"/>
      </w:pPr>
      <w:rPr>
        <w:rFonts w:hint="eastAsia"/>
      </w:rPr>
    </w:lvl>
  </w:abstractNum>
  <w:abstractNum w:abstractNumId="41">
    <w:nsid w:val="6314305D"/>
    <w:multiLevelType w:val="multilevel"/>
    <w:tmpl w:val="6314305D"/>
    <w:lvl w:ilvl="0" w:tentative="0">
      <w:start w:val="1"/>
      <w:numFmt w:val="bullet"/>
      <w:pStyle w:val="436"/>
      <w:lvlText w:val=""/>
      <w:lvlJc w:val="left"/>
      <w:pPr>
        <w:tabs>
          <w:tab w:val="left" w:pos="620"/>
        </w:tabs>
        <w:ind w:left="6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pStyle w:val="437"/>
      <w:lvlText w:val="%3."/>
      <w:lvlJc w:val="left"/>
      <w:pPr>
        <w:tabs>
          <w:tab w:val="left" w:pos="2160"/>
        </w:tabs>
        <w:ind w:left="2160" w:hanging="360"/>
      </w:p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6350366A"/>
    <w:multiLevelType w:val="multilevel"/>
    <w:tmpl w:val="6350366A"/>
    <w:lvl w:ilvl="0" w:tentative="0">
      <w:start w:val="1"/>
      <w:numFmt w:val="none"/>
      <w:pStyle w:val="14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3">
    <w:nsid w:val="646260FA"/>
    <w:multiLevelType w:val="multilevel"/>
    <w:tmpl w:val="646260FA"/>
    <w:lvl w:ilvl="0" w:tentative="0">
      <w:start w:val="1"/>
      <w:numFmt w:val="decimal"/>
      <w:pStyle w:val="350"/>
      <w:suff w:val="nothing"/>
      <w:lvlText w:val="表%1　"/>
      <w:lvlJc w:val="left"/>
      <w:pPr>
        <w:ind w:left="3675" w:firstLine="0"/>
      </w:pPr>
      <w:rPr>
        <w:rFonts w:hint="eastAsia" w:ascii="黑体" w:hAnsi="Times New Roman" w:eastAsia="黑体"/>
        <w:b w:val="0"/>
        <w:i w:val="0"/>
        <w:color w:val="000000"/>
        <w:sz w:val="21"/>
      </w:rPr>
    </w:lvl>
    <w:lvl w:ilvl="1" w:tentative="0">
      <w:start w:val="1"/>
      <w:numFmt w:val="decimal"/>
      <w:lvlText w:val="%1.%2"/>
      <w:lvlJc w:val="left"/>
      <w:pPr>
        <w:tabs>
          <w:tab w:val="left" w:pos="887"/>
        </w:tabs>
        <w:ind w:left="887" w:hanging="567"/>
      </w:pPr>
    </w:lvl>
    <w:lvl w:ilvl="2" w:tentative="0">
      <w:start w:val="1"/>
      <w:numFmt w:val="decimal"/>
      <w:lvlText w:val="%1.%2.%3"/>
      <w:lvlJc w:val="left"/>
      <w:pPr>
        <w:tabs>
          <w:tab w:val="left" w:pos="1313"/>
        </w:tabs>
        <w:ind w:left="1313" w:hanging="567"/>
      </w:pPr>
    </w:lvl>
    <w:lvl w:ilvl="3" w:tentative="0">
      <w:start w:val="1"/>
      <w:numFmt w:val="decimal"/>
      <w:lvlText w:val="%1.%2.%3.%4"/>
      <w:lvlJc w:val="left"/>
      <w:pPr>
        <w:tabs>
          <w:tab w:val="left" w:pos="1879"/>
        </w:tabs>
        <w:ind w:left="1879" w:hanging="708"/>
      </w:pPr>
    </w:lvl>
    <w:lvl w:ilvl="4" w:tentative="0">
      <w:start w:val="1"/>
      <w:numFmt w:val="decimal"/>
      <w:lvlText w:val="%1.%2.%3.%4.%5"/>
      <w:lvlJc w:val="left"/>
      <w:pPr>
        <w:tabs>
          <w:tab w:val="left" w:pos="2446"/>
        </w:tabs>
        <w:ind w:left="2446" w:hanging="850"/>
      </w:pPr>
    </w:lvl>
    <w:lvl w:ilvl="5" w:tentative="0">
      <w:start w:val="1"/>
      <w:numFmt w:val="decimal"/>
      <w:lvlText w:val="%1.%2.%3.%4.%5.%6"/>
      <w:lvlJc w:val="left"/>
      <w:pPr>
        <w:tabs>
          <w:tab w:val="left" w:pos="3155"/>
        </w:tabs>
        <w:ind w:left="3155" w:hanging="1134"/>
      </w:pPr>
    </w:lvl>
    <w:lvl w:ilvl="6" w:tentative="0">
      <w:start w:val="1"/>
      <w:numFmt w:val="decimal"/>
      <w:lvlText w:val="%1.%2.%3.%4.%5.%6.%7"/>
      <w:lvlJc w:val="left"/>
      <w:pPr>
        <w:tabs>
          <w:tab w:val="left" w:pos="3722"/>
        </w:tabs>
        <w:ind w:left="3722" w:hanging="1276"/>
      </w:pPr>
    </w:lvl>
    <w:lvl w:ilvl="7" w:tentative="0">
      <w:start w:val="1"/>
      <w:numFmt w:val="decimal"/>
      <w:lvlText w:val="%1.%2.%3.%4.%5.%6.%7.%8"/>
      <w:lvlJc w:val="left"/>
      <w:pPr>
        <w:tabs>
          <w:tab w:val="left" w:pos="4289"/>
        </w:tabs>
        <w:ind w:left="4289" w:hanging="1418"/>
      </w:pPr>
    </w:lvl>
    <w:lvl w:ilvl="8" w:tentative="0">
      <w:start w:val="1"/>
      <w:numFmt w:val="decimal"/>
      <w:lvlText w:val="%1.%2.%3.%4.%5.%6.%7.%8.%9"/>
      <w:lvlJc w:val="left"/>
      <w:pPr>
        <w:tabs>
          <w:tab w:val="left" w:pos="4997"/>
        </w:tabs>
        <w:ind w:left="4997" w:hanging="1700"/>
      </w:pPr>
    </w:lvl>
  </w:abstractNum>
  <w:abstractNum w:abstractNumId="44">
    <w:nsid w:val="653B5CB5"/>
    <w:multiLevelType w:val="multilevel"/>
    <w:tmpl w:val="653B5CB5"/>
    <w:lvl w:ilvl="0" w:tentative="0">
      <w:start w:val="1"/>
      <w:numFmt w:val="decimal"/>
      <w:pStyle w:val="198"/>
      <w:suff w:val="space"/>
      <w:lvlText w:val="第%1章"/>
      <w:lvlJc w:val="left"/>
      <w:pPr>
        <w:ind w:left="0" w:firstLine="0"/>
      </w:pPr>
      <w:rPr>
        <w:rFonts w:hint="eastAsia"/>
      </w:rPr>
    </w:lvl>
    <w:lvl w:ilvl="1" w:tentative="0">
      <w:start w:val="1"/>
      <w:numFmt w:val="decimal"/>
      <w:pStyle w:val="200"/>
      <w:suff w:val="space"/>
      <w:lvlText w:val="%1.%2"/>
      <w:lvlJc w:val="left"/>
      <w:pPr>
        <w:ind w:left="0" w:firstLine="0"/>
      </w:pPr>
      <w:rPr>
        <w:rFonts w:hint="default" w:ascii="Cambria" w:hAnsi="Cambria"/>
      </w:rPr>
    </w:lvl>
    <w:lvl w:ilvl="2" w:tentative="0">
      <w:start w:val="1"/>
      <w:numFmt w:val="decimal"/>
      <w:pStyle w:val="202"/>
      <w:suff w:val="space"/>
      <w:lvlText w:val="%1.%2.%3"/>
      <w:lvlJc w:val="left"/>
      <w:pPr>
        <w:ind w:left="0" w:firstLine="0"/>
      </w:pPr>
      <w:rPr>
        <w:rFonts w:hint="default" w:ascii="Cambria" w:hAnsi="Cambria"/>
      </w:rPr>
    </w:lvl>
    <w:lvl w:ilvl="3" w:tentative="0">
      <w:start w:val="1"/>
      <w:numFmt w:val="decimal"/>
      <w:lvlText w:val="%4."/>
      <w:lvlJc w:val="left"/>
      <w:pPr>
        <w:ind w:left="480" w:hanging="480"/>
      </w:pPr>
      <w:rPr>
        <w:rFonts w:hint="default"/>
      </w:rPr>
    </w:lvl>
    <w:lvl w:ilvl="4" w:tentative="0">
      <w:start w:val="1"/>
      <w:numFmt w:val="decimal"/>
      <w:pStyle w:val="206"/>
      <w:lvlText w:val="%1.%2.%3.%4.%5"/>
      <w:lvlJc w:val="left"/>
      <w:pPr>
        <w:ind w:left="2551" w:hanging="850"/>
      </w:pPr>
      <w:rPr>
        <w:rFonts w:hint="eastAsia"/>
      </w:rPr>
    </w:lvl>
    <w:lvl w:ilvl="5" w:tentative="0">
      <w:start w:val="1"/>
      <w:numFmt w:val="decimal"/>
      <w:pStyle w:val="208"/>
      <w:lvlText w:val="%1.%2.%3.%4.%5.%6"/>
      <w:lvlJc w:val="left"/>
      <w:pPr>
        <w:ind w:left="3260" w:hanging="1134"/>
      </w:pPr>
      <w:rPr>
        <w:rFonts w:hint="default" w:ascii="Cambria" w:hAnsi="Cambria"/>
      </w:rPr>
    </w:lvl>
    <w:lvl w:ilvl="6" w:tentative="0">
      <w:start w:val="1"/>
      <w:numFmt w:val="decimal"/>
      <w:lvlText w:val="%1.%2.%3.%4.%5.%6.%7"/>
      <w:lvlJc w:val="left"/>
      <w:pPr>
        <w:ind w:left="3827" w:hanging="1276"/>
      </w:pPr>
      <w:rPr>
        <w:rFonts w:hint="default" w:ascii="Cambria" w:hAnsi="Cambr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5">
    <w:nsid w:val="657D3FBC"/>
    <w:multiLevelType w:val="multilevel"/>
    <w:tmpl w:val="657D3FBC"/>
    <w:lvl w:ilvl="0" w:tentative="0">
      <w:start w:val="1"/>
      <w:numFmt w:val="upperLetter"/>
      <w:pStyle w:val="318"/>
      <w:suff w:val="nothing"/>
      <w:lvlText w:val="附　录　%1"/>
      <w:lvlJc w:val="left"/>
      <w:pPr>
        <w:ind w:left="0" w:firstLine="0"/>
      </w:pPr>
      <w:rPr>
        <w:rFonts w:hint="eastAsia" w:ascii="黑体" w:eastAsia="黑体" w:cs="Times New Roman"/>
        <w:b/>
        <w:bCs/>
        <w:i w:val="0"/>
        <w:iCs w:val="0"/>
        <w:caps w:val="0"/>
        <w:smallCaps w:val="0"/>
        <w:strike w:val="0"/>
        <w:dstrike w:val="0"/>
        <w:vanish w:val="0"/>
        <w:color w:val="auto"/>
        <w:spacing w:val="0"/>
        <w:w w:val="100"/>
        <w:kern w:val="0"/>
        <w:position w:val="0"/>
        <w:sz w:val="28"/>
        <w:u w:val="none"/>
        <w:shd w:val="clear" w:color="auto" w:fill="auto"/>
        <w:vertAlign w:val="baseline"/>
        <w:lang w:val="en-US"/>
      </w:rPr>
    </w:lvl>
    <w:lvl w:ilvl="1" w:tentative="0">
      <w:start w:val="1"/>
      <w:numFmt w:val="decimal"/>
      <w:suff w:val="nothing"/>
      <w:lvlText w:val="%1.%2　"/>
      <w:lvlJc w:val="left"/>
      <w:pPr>
        <w:ind w:left="0" w:firstLine="0"/>
      </w:pPr>
      <w:rPr>
        <w:rFonts w:hint="eastAsia" w:ascii="黑体" w:hAnsi="Times New Roman" w:eastAsia="黑体"/>
        <w:b/>
        <w:i w:val="0"/>
        <w:snapToGrid/>
        <w:spacing w:val="0"/>
        <w:w w:val="100"/>
        <w:kern w:val="21"/>
        <w:sz w:val="28"/>
      </w:rPr>
    </w:lvl>
    <w:lvl w:ilvl="2" w:tentative="0">
      <w:start w:val="1"/>
      <w:numFmt w:val="decimal"/>
      <w:suff w:val="nothing"/>
      <w:lvlText w:val="%1.%2.%3　"/>
      <w:lvlJc w:val="left"/>
      <w:pPr>
        <w:ind w:left="0" w:firstLine="0"/>
      </w:pPr>
      <w:rPr>
        <w:rFonts w:hint="eastAsia" w:ascii="黑体" w:hAnsi="Times New Roman" w:eastAsia="黑体"/>
        <w:b/>
        <w:i w:val="0"/>
        <w:sz w:val="28"/>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6">
    <w:nsid w:val="65E13960"/>
    <w:multiLevelType w:val="multilevel"/>
    <w:tmpl w:val="65E13960"/>
    <w:lvl w:ilvl="0" w:tentative="0">
      <w:start w:val="1"/>
      <w:numFmt w:val="bullet"/>
      <w:pStyle w:val="383"/>
      <w:lvlText w:val=""/>
      <w:lvlJc w:val="left"/>
      <w:pPr>
        <w:tabs>
          <w:tab w:val="left" w:pos="1350"/>
        </w:tabs>
        <w:ind w:left="1350" w:hanging="510"/>
      </w:pPr>
      <w:rPr>
        <w:rFonts w:hint="default" w:ascii="Wingdings" w:hAnsi="Wingdings" w:cs="Wingdings"/>
        <w:color w:val="000000"/>
        <w:sz w:val="13"/>
        <w:szCs w:val="13"/>
        <w:u w:val="none"/>
      </w:rPr>
    </w:lvl>
    <w:lvl w:ilvl="1" w:tentative="0">
      <w:start w:val="1"/>
      <w:numFmt w:val="bullet"/>
      <w:lvlText w:val=""/>
      <w:lvlJc w:val="left"/>
      <w:pPr>
        <w:tabs>
          <w:tab w:val="left" w:pos="546"/>
        </w:tabs>
        <w:ind w:left="546" w:hanging="420"/>
      </w:pPr>
      <w:rPr>
        <w:rFonts w:hint="default" w:ascii="Wingdings" w:hAnsi="Wingdings"/>
      </w:rPr>
    </w:lvl>
    <w:lvl w:ilvl="2" w:tentative="0">
      <w:start w:val="1"/>
      <w:numFmt w:val="bullet"/>
      <w:lvlText w:val=""/>
      <w:lvlJc w:val="left"/>
      <w:pPr>
        <w:tabs>
          <w:tab w:val="left" w:pos="966"/>
        </w:tabs>
        <w:ind w:left="966" w:hanging="420"/>
      </w:pPr>
      <w:rPr>
        <w:rFonts w:hint="default" w:ascii="Wingdings" w:hAnsi="Wingdings"/>
      </w:rPr>
    </w:lvl>
    <w:lvl w:ilvl="3" w:tentative="0">
      <w:start w:val="1"/>
      <w:numFmt w:val="bullet"/>
      <w:lvlText w:val=""/>
      <w:lvlJc w:val="left"/>
      <w:pPr>
        <w:tabs>
          <w:tab w:val="left" w:pos="1386"/>
        </w:tabs>
        <w:ind w:left="1386" w:hanging="420"/>
      </w:pPr>
      <w:rPr>
        <w:rFonts w:hint="default" w:ascii="Wingdings" w:hAnsi="Wingdings"/>
      </w:rPr>
    </w:lvl>
    <w:lvl w:ilvl="4" w:tentative="0">
      <w:start w:val="1"/>
      <w:numFmt w:val="bullet"/>
      <w:lvlText w:val=""/>
      <w:lvlJc w:val="left"/>
      <w:pPr>
        <w:tabs>
          <w:tab w:val="left" w:pos="1806"/>
        </w:tabs>
        <w:ind w:left="1806" w:hanging="420"/>
      </w:pPr>
      <w:rPr>
        <w:rFonts w:hint="default" w:ascii="Wingdings" w:hAnsi="Wingdings"/>
      </w:rPr>
    </w:lvl>
    <w:lvl w:ilvl="5" w:tentative="0">
      <w:start w:val="1"/>
      <w:numFmt w:val="bullet"/>
      <w:lvlText w:val=""/>
      <w:lvlJc w:val="left"/>
      <w:pPr>
        <w:tabs>
          <w:tab w:val="left" w:pos="2226"/>
        </w:tabs>
        <w:ind w:left="2226" w:hanging="420"/>
      </w:pPr>
      <w:rPr>
        <w:rFonts w:hint="default" w:ascii="Wingdings" w:hAnsi="Wingdings"/>
      </w:rPr>
    </w:lvl>
    <w:lvl w:ilvl="6" w:tentative="0">
      <w:start w:val="1"/>
      <w:numFmt w:val="bullet"/>
      <w:lvlText w:val=""/>
      <w:lvlJc w:val="left"/>
      <w:pPr>
        <w:tabs>
          <w:tab w:val="left" w:pos="2646"/>
        </w:tabs>
        <w:ind w:left="2646" w:hanging="420"/>
      </w:pPr>
      <w:rPr>
        <w:rFonts w:hint="default" w:ascii="Wingdings" w:hAnsi="Wingdings"/>
      </w:rPr>
    </w:lvl>
    <w:lvl w:ilvl="7" w:tentative="0">
      <w:start w:val="1"/>
      <w:numFmt w:val="bullet"/>
      <w:lvlText w:val=""/>
      <w:lvlJc w:val="left"/>
      <w:pPr>
        <w:tabs>
          <w:tab w:val="left" w:pos="3066"/>
        </w:tabs>
        <w:ind w:left="3066" w:hanging="420"/>
      </w:pPr>
      <w:rPr>
        <w:rFonts w:hint="default" w:ascii="Wingdings" w:hAnsi="Wingdings"/>
      </w:rPr>
    </w:lvl>
    <w:lvl w:ilvl="8" w:tentative="0">
      <w:start w:val="1"/>
      <w:numFmt w:val="bullet"/>
      <w:lvlText w:val=""/>
      <w:lvlJc w:val="left"/>
      <w:pPr>
        <w:tabs>
          <w:tab w:val="left" w:pos="3486"/>
        </w:tabs>
        <w:ind w:left="3486" w:hanging="420"/>
      </w:pPr>
      <w:rPr>
        <w:rFonts w:hint="default" w:ascii="Wingdings" w:hAnsi="Wingdings"/>
      </w:rPr>
    </w:lvl>
  </w:abstractNum>
  <w:abstractNum w:abstractNumId="47">
    <w:nsid w:val="67917FB3"/>
    <w:multiLevelType w:val="multilevel"/>
    <w:tmpl w:val="67917FB3"/>
    <w:lvl w:ilvl="0" w:tentative="0">
      <w:start w:val="1"/>
      <w:numFmt w:val="bullet"/>
      <w:pStyle w:val="568"/>
      <w:lvlText w:val=""/>
      <w:lvlJc w:val="left"/>
      <w:pPr>
        <w:ind w:left="980" w:hanging="420"/>
      </w:pPr>
      <w:rPr>
        <w:rFonts w:hint="default" w:ascii="Wingdings" w:hAnsi="Wingdings"/>
      </w:rPr>
    </w:lvl>
    <w:lvl w:ilvl="1" w:tentative="0">
      <w:start w:val="1"/>
      <w:numFmt w:val="bullet"/>
      <w:lvlText w:val=""/>
      <w:lvlJc w:val="left"/>
      <w:pPr>
        <w:ind w:left="1400" w:hanging="420"/>
      </w:pPr>
    </w:lvl>
    <w:lvl w:ilvl="2" w:tentative="0">
      <w:start w:val="1"/>
      <w:numFmt w:val="bullet"/>
      <w:lvlText w:val=""/>
      <w:lvlJc w:val="left"/>
      <w:pPr>
        <w:ind w:left="1820" w:hanging="420"/>
      </w:pPr>
    </w:lvl>
    <w:lvl w:ilvl="3" w:tentative="0">
      <w:start w:val="1"/>
      <w:numFmt w:val="bullet"/>
      <w:lvlText w:val=""/>
      <w:lvlJc w:val="left"/>
      <w:pPr>
        <w:ind w:left="2240" w:hanging="420"/>
      </w:pPr>
    </w:lvl>
    <w:lvl w:ilvl="4" w:tentative="0">
      <w:start w:val="1"/>
      <w:numFmt w:val="bullet"/>
      <w:lvlText w:val=""/>
      <w:lvlJc w:val="left"/>
      <w:pPr>
        <w:ind w:left="2660" w:hanging="420"/>
      </w:pPr>
    </w:lvl>
    <w:lvl w:ilvl="5" w:tentative="0">
      <w:start w:val="1"/>
      <w:numFmt w:val="bullet"/>
      <w:lvlText w:val=""/>
      <w:lvlJc w:val="left"/>
      <w:pPr>
        <w:ind w:left="3080" w:hanging="420"/>
      </w:pPr>
    </w:lvl>
    <w:lvl w:ilvl="6" w:tentative="0">
      <w:start w:val="1"/>
      <w:numFmt w:val="bullet"/>
      <w:lvlText w:val=""/>
      <w:lvlJc w:val="left"/>
      <w:pPr>
        <w:ind w:left="3500" w:hanging="420"/>
      </w:pPr>
    </w:lvl>
    <w:lvl w:ilvl="7" w:tentative="0">
      <w:start w:val="1"/>
      <w:numFmt w:val="bullet"/>
      <w:lvlText w:val=""/>
      <w:lvlJc w:val="left"/>
      <w:pPr>
        <w:ind w:left="3920" w:hanging="420"/>
      </w:pPr>
    </w:lvl>
    <w:lvl w:ilvl="8" w:tentative="0">
      <w:start w:val="1"/>
      <w:numFmt w:val="bullet"/>
      <w:lvlText w:val=""/>
      <w:lvlJc w:val="left"/>
      <w:pPr>
        <w:ind w:left="4340" w:hanging="420"/>
      </w:pPr>
    </w:lvl>
  </w:abstractNum>
  <w:abstractNum w:abstractNumId="48">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9">
    <w:nsid w:val="6BA85088"/>
    <w:multiLevelType w:val="multilevel"/>
    <w:tmpl w:val="6BA85088"/>
    <w:lvl w:ilvl="0" w:tentative="0">
      <w:start w:val="1"/>
      <w:numFmt w:val="bullet"/>
      <w:pStyle w:val="478"/>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0">
    <w:nsid w:val="6DBF04F4"/>
    <w:multiLevelType w:val="multilevel"/>
    <w:tmpl w:val="6DBF04F4"/>
    <w:lvl w:ilvl="0" w:tentative="0">
      <w:start w:val="1"/>
      <w:numFmt w:val="none"/>
      <w:pStyle w:val="67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51">
    <w:nsid w:val="6DD96184"/>
    <w:multiLevelType w:val="multilevel"/>
    <w:tmpl w:val="6DD96184"/>
    <w:lvl w:ilvl="0" w:tentative="0">
      <w:start w:val="1"/>
      <w:numFmt w:val="decimal"/>
      <w:pStyle w:val="411"/>
      <w:lvlText w:val="%1."/>
      <w:lvlJc w:val="left"/>
      <w:pPr>
        <w:ind w:left="425" w:hanging="425"/>
      </w:pPr>
      <w:rPr>
        <w:rFonts w:hint="eastAsia"/>
      </w:rPr>
    </w:lvl>
    <w:lvl w:ilvl="1" w:tentative="0">
      <w:start w:val="1"/>
      <w:numFmt w:val="decimal"/>
      <w:pStyle w:val="412"/>
      <w:lvlText w:val="%1.%2"/>
      <w:lvlJc w:val="left"/>
      <w:pPr>
        <w:ind w:left="454" w:hanging="454"/>
      </w:pPr>
      <w:rPr>
        <w:rFonts w:hint="eastAsia"/>
      </w:rPr>
    </w:lvl>
    <w:lvl w:ilvl="2" w:tentative="0">
      <w:start w:val="1"/>
      <w:numFmt w:val="decimal"/>
      <w:pStyle w:val="415"/>
      <w:lvlText w:val="%1.%2.%3"/>
      <w:lvlJc w:val="left"/>
      <w:pPr>
        <w:ind w:left="425" w:firstLine="29"/>
      </w:pPr>
      <w:rPr>
        <w:rFonts w:hint="eastAsia"/>
      </w:rPr>
    </w:lvl>
    <w:lvl w:ilvl="3" w:tentative="0">
      <w:start w:val="1"/>
      <w:numFmt w:val="decimal"/>
      <w:pStyle w:val="416"/>
      <w:lvlText w:val="%1.%2.%3.%4"/>
      <w:lvlJc w:val="left"/>
      <w:pPr>
        <w:tabs>
          <w:tab w:val="left" w:pos="709"/>
        </w:tabs>
        <w:ind w:left="851" w:hanging="142"/>
      </w:pPr>
      <w:rPr>
        <w:rFonts w:hint="eastAsia"/>
      </w:rPr>
    </w:lvl>
    <w:lvl w:ilvl="4" w:tentative="0">
      <w:start w:val="1"/>
      <w:numFmt w:val="decimal"/>
      <w:lvlText w:val="%1.%2.%3.%4.%5"/>
      <w:lvlJc w:val="left"/>
      <w:pPr>
        <w:ind w:left="90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52">
    <w:nsid w:val="77DC7C85"/>
    <w:multiLevelType w:val="multilevel"/>
    <w:tmpl w:val="77DC7C85"/>
    <w:lvl w:ilvl="0" w:tentative="0">
      <w:start w:val="1"/>
      <w:numFmt w:val="bullet"/>
      <w:pStyle w:val="387"/>
      <w:lvlText w:val=""/>
      <w:lvlJc w:val="left"/>
      <w:pPr>
        <w:ind w:left="0" w:firstLine="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3">
    <w:nsid w:val="79F74223"/>
    <w:multiLevelType w:val="multilevel"/>
    <w:tmpl w:val="79F74223"/>
    <w:lvl w:ilvl="0" w:tentative="0">
      <w:start w:val="1"/>
      <w:numFmt w:val="decimal"/>
      <w:pStyle w:val="450"/>
      <w:lvlText w:val="[%1]."/>
      <w:lvlJc w:val="left"/>
      <w:pPr>
        <w:tabs>
          <w:tab w:val="left" w:pos="200"/>
        </w:tabs>
        <w:ind w:left="397" w:hanging="39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7A1A191B"/>
    <w:multiLevelType w:val="multilevel"/>
    <w:tmpl w:val="7A1A191B"/>
    <w:lvl w:ilvl="0" w:tentative="0">
      <w:start w:val="1"/>
      <w:numFmt w:val="chineseCountingThousand"/>
      <w:pStyle w:val="573"/>
      <w:lvlText w:val="第%1章"/>
      <w:lvlJc w:val="left"/>
      <w:pPr>
        <w:ind w:left="0" w:firstLine="0"/>
      </w:pPr>
      <w:rPr>
        <w:rFonts w:hint="eastAsia" w:ascii="宋体" w:hAnsi="宋体" w:eastAsia="宋体"/>
        <w:b/>
        <w:bCs/>
        <w:i w:val="0"/>
        <w:color w:val="auto"/>
        <w:spacing w:val="0"/>
        <w:sz w:val="32"/>
        <w:szCs w:val="32"/>
        <w:lang w:val="en-US"/>
      </w:rPr>
    </w:lvl>
    <w:lvl w:ilvl="1" w:tentative="0">
      <w:start w:val="1"/>
      <w:numFmt w:val="chineseCountingThousand"/>
      <w:pStyle w:val="574"/>
      <w:suff w:val="space"/>
      <w:lvlText w:val="第%2节"/>
      <w:lvlJc w:val="left"/>
      <w:pPr>
        <w:ind w:left="0" w:firstLine="0"/>
      </w:pPr>
      <w:rPr>
        <w:rFonts w:hint="default" w:ascii="Times New Roman" w:hAnsi="Times New Roman" w:eastAsia="宋体" w:cs="Times New Roman"/>
        <w:b/>
        <w:bCs/>
        <w:i w:val="0"/>
        <w:color w:val="auto"/>
        <w:sz w:val="28"/>
        <w:szCs w:val="22"/>
      </w:rPr>
    </w:lvl>
    <w:lvl w:ilvl="2" w:tentative="0">
      <w:start w:val="2"/>
      <w:numFmt w:val="decimal"/>
      <w:pStyle w:val="575"/>
      <w:suff w:val="space"/>
      <w:lvlText w:val="%3."/>
      <w:lvlJc w:val="left"/>
      <w:pPr>
        <w:ind w:left="0" w:firstLine="0"/>
      </w:pPr>
    </w:lvl>
    <w:lvl w:ilvl="3" w:tentative="0">
      <w:start w:val="1"/>
      <w:numFmt w:val="decimal"/>
      <w:pStyle w:val="576"/>
      <w:suff w:val="space"/>
      <w:lvlText w:val="%3.%4"/>
      <w:lvlJc w:val="left"/>
      <w:pPr>
        <w:ind w:left="0" w:firstLine="0"/>
      </w:pPr>
    </w:lvl>
    <w:lvl w:ilvl="4" w:tentative="0">
      <w:start w:val="1"/>
      <w:numFmt w:val="decimal"/>
      <w:pStyle w:val="581"/>
      <w:suff w:val="space"/>
      <w:lvlText w:val="%3.%4.%5"/>
      <w:lvlJc w:val="left"/>
      <w:pPr>
        <w:ind w:left="0" w:firstLine="0"/>
      </w:pPr>
      <w:rPr>
        <w:rFonts w:hint="eastAsia" w:ascii="宋体" w:hAnsi="宋体" w:eastAsia="宋体"/>
        <w:b w:val="0"/>
        <w:bCs w:val="0"/>
        <w:i w:val="0"/>
        <w:iCs w:val="0"/>
        <w:caps w:val="0"/>
        <w:smallCaps w:val="0"/>
        <w:strike w:val="0"/>
        <w:dstrike w:val="0"/>
        <w:color w:val="auto"/>
        <w:spacing w:val="0"/>
        <w:w w:val="100"/>
        <w:kern w:val="2"/>
        <w:position w:val="0"/>
        <w:sz w:val="24"/>
        <w:u w:val="none"/>
        <w:vertAlign w:val="baseline"/>
      </w:rPr>
    </w:lvl>
    <w:lvl w:ilvl="5" w:tentative="0">
      <w:start w:val="1"/>
      <w:numFmt w:val="chineseCountingThousand"/>
      <w:pStyle w:val="577"/>
      <w:suff w:val="space"/>
      <w:lvlText w:val="%6、"/>
      <w:lvlJc w:val="left"/>
      <w:pPr>
        <w:ind w:left="0" w:firstLine="0"/>
      </w:pPr>
      <w:rPr>
        <w:rFonts w:hint="eastAsia" w:ascii="宋体" w:hAnsi="宋体" w:eastAsia="宋体"/>
        <w:b w:val="0"/>
        <w:i w:val="0"/>
        <w:color w:val="auto"/>
        <w:sz w:val="22"/>
      </w:rPr>
    </w:lvl>
    <w:lvl w:ilvl="6" w:tentative="0">
      <w:start w:val="1"/>
      <w:numFmt w:val="decimal"/>
      <w:lvlRestart w:val="1"/>
      <w:pStyle w:val="580"/>
      <w:suff w:val="space"/>
      <w:lvlText w:val="%7."/>
      <w:lvlJc w:val="left"/>
      <w:rPr>
        <w:rFonts w:hint="default" w:ascii="Times New Roman" w:hAnsi="Times New Roman" w:eastAsia="仿宋"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14:shadow w14:blurRad="0" w14:dist="0" w14:dir="0" w14:sx="0" w14:sy="0" w14:kx="0" w14:ky="0" w14:algn="none">
          <w14:srgbClr w14:val="000000"/>
        </w14:shadow>
      </w:rPr>
    </w:lvl>
    <w:lvl w:ilvl="7" w:tentative="0">
      <w:start w:val="1"/>
      <w:numFmt w:val="decimal"/>
      <w:lvlRestart w:val="1"/>
      <w:pStyle w:val="579"/>
      <w:suff w:val="space"/>
      <w:lvlText w:val="表-%8"/>
      <w:lvlJc w:val="left"/>
      <w:pPr>
        <w:ind w:left="0" w:firstLine="0"/>
      </w:pPr>
      <w:rPr>
        <w:rFonts w:hint="eastAsia" w:ascii="仿宋" w:hAnsi="Times New Roman" w:eastAsia="仿宋"/>
        <w:b w:val="0"/>
        <w:i w:val="0"/>
        <w:color w:val="auto"/>
        <w:sz w:val="20"/>
      </w:rPr>
    </w:lvl>
    <w:lvl w:ilvl="8" w:tentative="0">
      <w:start w:val="1"/>
      <w:numFmt w:val="decimal"/>
      <w:lvlRestart w:val="1"/>
      <w:pStyle w:val="578"/>
      <w:suff w:val="space"/>
      <w:lvlText w:val="图-%9"/>
      <w:lvlJc w:val="left"/>
      <w:pPr>
        <w:ind w:left="0" w:firstLine="0"/>
      </w:pPr>
      <w:rPr>
        <w:rFonts w:hint="eastAsia" w:ascii="仿宋" w:hAnsi="Times New Roman" w:eastAsia="仿宋"/>
        <w:b w:val="0"/>
        <w:i w:val="0"/>
        <w:color w:val="auto"/>
        <w:sz w:val="20"/>
      </w:rPr>
    </w:lvl>
  </w:abstractNum>
  <w:abstractNum w:abstractNumId="55">
    <w:nsid w:val="7C50593F"/>
    <w:multiLevelType w:val="multilevel"/>
    <w:tmpl w:val="7C50593F"/>
    <w:lvl w:ilvl="0" w:tentative="0">
      <w:start w:val="1"/>
      <w:numFmt w:val="decimal"/>
      <w:lvlText w:val="%1."/>
      <w:lvlJc w:val="left"/>
      <w:pPr>
        <w:tabs>
          <w:tab w:val="left" w:pos="210"/>
        </w:tabs>
        <w:ind w:left="210" w:hanging="425"/>
      </w:pPr>
      <w:rPr>
        <w:rFonts w:hint="eastAsia"/>
      </w:rPr>
    </w:lvl>
    <w:lvl w:ilvl="1" w:tentative="0">
      <w:start w:val="1"/>
      <w:numFmt w:val="decimal"/>
      <w:pStyle w:val="321"/>
      <w:lvlText w:val="%1.%2"/>
      <w:lvlJc w:val="left"/>
      <w:pPr>
        <w:tabs>
          <w:tab w:val="left" w:pos="210"/>
        </w:tabs>
        <w:ind w:left="210" w:firstLine="0"/>
      </w:pPr>
      <w:rPr>
        <w:rFonts w:hint="eastAsia"/>
      </w:rPr>
    </w:lvl>
    <w:lvl w:ilvl="2" w:tentative="0">
      <w:start w:val="1"/>
      <w:numFmt w:val="decimal"/>
      <w:lvlText w:val="%1.%2.%3"/>
      <w:lvlJc w:val="left"/>
      <w:pPr>
        <w:tabs>
          <w:tab w:val="left" w:pos="636"/>
        </w:tabs>
        <w:ind w:left="636" w:firstLine="0"/>
      </w:pPr>
      <w:rPr>
        <w:rFonts w:hint="eastAsia"/>
      </w:rPr>
    </w:lvl>
    <w:lvl w:ilvl="3" w:tentative="0">
      <w:start w:val="1"/>
      <w:numFmt w:val="decimal"/>
      <w:pStyle w:val="320"/>
      <w:lvlText w:val="%1.%2.%3.%4"/>
      <w:lvlJc w:val="left"/>
      <w:pPr>
        <w:tabs>
          <w:tab w:val="left" w:pos="2141"/>
        </w:tabs>
        <w:ind w:left="0" w:firstLine="1061"/>
      </w:pPr>
      <w:rPr>
        <w:rFonts w:hint="eastAsia"/>
      </w:rPr>
    </w:lvl>
    <w:lvl w:ilvl="4" w:tentative="0">
      <w:start w:val="1"/>
      <w:numFmt w:val="decimal"/>
      <w:lvlText w:val="%1.%2.%3.%4.%5"/>
      <w:lvlJc w:val="left"/>
      <w:pPr>
        <w:tabs>
          <w:tab w:val="left" w:pos="2566"/>
        </w:tabs>
        <w:ind w:left="2336" w:hanging="850"/>
      </w:pPr>
      <w:rPr>
        <w:rFonts w:hint="eastAsia"/>
      </w:rPr>
    </w:lvl>
    <w:lvl w:ilvl="5" w:tentative="0">
      <w:start w:val="1"/>
      <w:numFmt w:val="decimal"/>
      <w:lvlText w:val="%1.%2.%3.%4.%5.%6"/>
      <w:lvlJc w:val="left"/>
      <w:pPr>
        <w:tabs>
          <w:tab w:val="left" w:pos="3351"/>
        </w:tabs>
        <w:ind w:left="3045" w:hanging="1134"/>
      </w:pPr>
      <w:rPr>
        <w:rFonts w:hint="eastAsia"/>
      </w:rPr>
    </w:lvl>
    <w:lvl w:ilvl="6" w:tentative="0">
      <w:start w:val="1"/>
      <w:numFmt w:val="decimal"/>
      <w:lvlText w:val="%1.%2.%3.%4.%5.%6.%7"/>
      <w:lvlJc w:val="left"/>
      <w:pPr>
        <w:tabs>
          <w:tab w:val="left" w:pos="3776"/>
        </w:tabs>
        <w:ind w:left="3612" w:hanging="1276"/>
      </w:pPr>
      <w:rPr>
        <w:rFonts w:hint="eastAsia"/>
      </w:rPr>
    </w:lvl>
    <w:lvl w:ilvl="7" w:tentative="0">
      <w:start w:val="1"/>
      <w:numFmt w:val="decimal"/>
      <w:lvlText w:val="%1.%2.%3.%4.%5.%6.%7.%8"/>
      <w:lvlJc w:val="left"/>
      <w:pPr>
        <w:tabs>
          <w:tab w:val="left" w:pos="4561"/>
        </w:tabs>
        <w:ind w:left="4179" w:hanging="1418"/>
      </w:pPr>
      <w:rPr>
        <w:rFonts w:hint="eastAsia"/>
      </w:rPr>
    </w:lvl>
    <w:lvl w:ilvl="8" w:tentative="0">
      <w:start w:val="1"/>
      <w:numFmt w:val="decimal"/>
      <w:lvlText w:val="%1.%2.%3.%4.%5.%6.%7.%8.%9"/>
      <w:lvlJc w:val="left"/>
      <w:pPr>
        <w:tabs>
          <w:tab w:val="left" w:pos="5347"/>
        </w:tabs>
        <w:ind w:left="4887" w:hanging="1700"/>
      </w:pPr>
      <w:rPr>
        <w:rFonts w:hint="eastAsia"/>
      </w:rPr>
    </w:lvl>
  </w:abstractNum>
  <w:abstractNum w:abstractNumId="56">
    <w:nsid w:val="7CB7501E"/>
    <w:multiLevelType w:val="multilevel"/>
    <w:tmpl w:val="7CB7501E"/>
    <w:lvl w:ilvl="0" w:tentative="0">
      <w:start w:val="1"/>
      <w:numFmt w:val="decimal"/>
      <w:pStyle w:val="177"/>
      <w:lvlText w:val="第%1章"/>
      <w:lvlJc w:val="left"/>
      <w:pPr>
        <w:ind w:left="420" w:hanging="420"/>
      </w:pPr>
      <w:rPr>
        <w:rFonts w:hint="eastAsia"/>
      </w:rPr>
    </w:lvl>
    <w:lvl w:ilvl="1" w:tentative="0">
      <w:start w:val="1"/>
      <w:numFmt w:val="decimal"/>
      <w:pStyle w:val="179"/>
      <w:suff w:val="space"/>
      <w:lvlText w:val="%1.%2"/>
      <w:lvlJc w:val="left"/>
      <w:pPr>
        <w:ind w:left="0" w:firstLine="0"/>
      </w:pPr>
    </w:lvl>
    <w:lvl w:ilvl="2" w:tentative="0">
      <w:start w:val="1"/>
      <w:numFmt w:val="decimal"/>
      <w:pStyle w:val="181"/>
      <w:suff w:val="space"/>
      <w:lvlText w:val="%1.%2.%3"/>
      <w:lvlJc w:val="left"/>
      <w:pPr>
        <w:ind w:left="0" w:firstLine="0"/>
      </w:pPr>
    </w:lvl>
    <w:lvl w:ilvl="3" w:tentative="0">
      <w:start w:val="1"/>
      <w:numFmt w:val="decimal"/>
      <w:pStyle w:val="183"/>
      <w:suff w:val="space"/>
      <w:lvlText w:val="%1.%2.%3.%4"/>
      <w:lvlJc w:val="left"/>
      <w:pPr>
        <w:ind w:left="0" w:firstLine="0"/>
      </w:pPr>
    </w:lvl>
    <w:lvl w:ilvl="4" w:tentative="0">
      <w:start w:val="1"/>
      <w:numFmt w:val="decimal"/>
      <w:pStyle w:val="185"/>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8"/>
  </w:num>
  <w:num w:numId="2">
    <w:abstractNumId w:val="3"/>
  </w:num>
  <w:num w:numId="3">
    <w:abstractNumId w:val="30"/>
  </w:num>
  <w:num w:numId="4">
    <w:abstractNumId w:val="4"/>
  </w:num>
  <w:num w:numId="5">
    <w:abstractNumId w:val="38"/>
  </w:num>
  <w:num w:numId="6">
    <w:abstractNumId w:val="42"/>
  </w:num>
  <w:num w:numId="7">
    <w:abstractNumId w:val="56"/>
  </w:num>
  <w:num w:numId="8">
    <w:abstractNumId w:val="11"/>
  </w:num>
  <w:num w:numId="9">
    <w:abstractNumId w:val="44"/>
  </w:num>
  <w:num w:numId="10">
    <w:abstractNumId w:val="24"/>
  </w:num>
  <w:num w:numId="11">
    <w:abstractNumId w:val="9"/>
  </w:num>
  <w:num w:numId="12">
    <w:abstractNumId w:val="7"/>
  </w:num>
  <w:num w:numId="13">
    <w:abstractNumId w:val="45"/>
  </w:num>
  <w:num w:numId="14">
    <w:abstractNumId w:val="55"/>
  </w:num>
  <w:num w:numId="15">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2"/>
  </w:num>
  <w:num w:numId="19">
    <w:abstractNumId w:val="10"/>
  </w:num>
  <w:num w:numId="20">
    <w:abstractNumId w:val="33"/>
  </w:num>
  <w:num w:numId="21">
    <w:abstractNumId w:val="46"/>
  </w:num>
  <w:num w:numId="22">
    <w:abstractNumId w:val="52"/>
  </w:num>
  <w:num w:numId="23">
    <w:abstractNumId w:val="1"/>
  </w:num>
  <w:num w:numId="24">
    <w:abstractNumId w:val="1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5">
    <w:abstractNumId w:val="51"/>
  </w:num>
  <w:num w:numId="26">
    <w:abstractNumId w:val="21"/>
  </w:num>
  <w:num w:numId="27">
    <w:abstractNumId w:val="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28">
    <w:abstractNumId w:val="41"/>
    <w:lvlOverride w:ilvl="1">
      <w:startOverride w:val="1"/>
    </w:lvlOverride>
    <w:lvlOverride w:ilvl="2">
      <w:startOverride w:val="1"/>
    </w:lvlOverride>
  </w:num>
  <w:num w:numId="29">
    <w:abstractNumId w:val="53"/>
  </w:num>
  <w:num w:numId="30">
    <w:abstractNumId w:val="23"/>
  </w:num>
  <w:num w:numId="31">
    <w:abstractNumId w:val="16"/>
  </w:num>
  <w:num w:numId="32">
    <w:abstractNumId w:val="49"/>
  </w:num>
  <w:num w:numId="33">
    <w:abstractNumId w:val="34"/>
  </w:num>
  <w:num w:numId="34">
    <w:abstractNumId w:val="29"/>
  </w:num>
  <w:num w:numId="35">
    <w:abstractNumId w:val="37"/>
  </w:num>
  <w:num w:numId="36">
    <w:abstractNumId w:val="6"/>
  </w:num>
  <w:num w:numId="37">
    <w:abstractNumId w:val="31"/>
  </w:num>
  <w:num w:numId="38">
    <w:abstractNumId w:val="17"/>
  </w:num>
  <w:num w:numId="39">
    <w:abstractNumId w:val="36"/>
  </w:num>
  <w:num w:numId="40">
    <w:abstractNumId w:val="5"/>
  </w:num>
  <w:num w:numId="41">
    <w:abstractNumId w:val="39"/>
  </w:num>
  <w:num w:numId="42">
    <w:abstractNumId w:val="47"/>
  </w:num>
  <w:num w:numId="43">
    <w:abstractNumId w:val="5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18"/>
  </w:num>
  <w:num w:numId="46">
    <w:abstractNumId w:val="20"/>
  </w:num>
  <w:num w:numId="47">
    <w:abstractNumId w:val="27"/>
  </w:num>
  <w:num w:numId="48">
    <w:abstractNumId w:val="8"/>
  </w:num>
  <w:num w:numId="49">
    <w:abstractNumId w:val="22"/>
  </w:num>
  <w:num w:numId="50">
    <w:abstractNumId w:val="50"/>
  </w:num>
  <w:num w:numId="51">
    <w:abstractNumId w:val="13"/>
  </w:num>
  <w:num w:numId="52">
    <w:abstractNumId w:val="0"/>
  </w:num>
  <w:num w:numId="53">
    <w:abstractNumId w:val="2"/>
  </w:num>
  <w:num w:numId="54">
    <w:abstractNumId w:val="35"/>
  </w:num>
  <w:num w:numId="55">
    <w:abstractNumId w:val="26"/>
  </w:num>
  <w:num w:numId="56">
    <w:abstractNumId w:val="12"/>
  </w:num>
  <w:num w:numId="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yYTNiNjcyMzVjZGRmOTRjYTFhOTEyOWE4Nzg4ZjYifQ=="/>
  </w:docVars>
  <w:rsids>
    <w:rsidRoot w:val="006910C0"/>
    <w:rsid w:val="0000005A"/>
    <w:rsid w:val="000002D3"/>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5E3"/>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043B"/>
    <w:rsid w:val="0006231F"/>
    <w:rsid w:val="00062A05"/>
    <w:rsid w:val="00062EE6"/>
    <w:rsid w:val="0006344E"/>
    <w:rsid w:val="000649E6"/>
    <w:rsid w:val="00066669"/>
    <w:rsid w:val="0006794B"/>
    <w:rsid w:val="00067DCA"/>
    <w:rsid w:val="00070063"/>
    <w:rsid w:val="0007072E"/>
    <w:rsid w:val="0007087A"/>
    <w:rsid w:val="000710EC"/>
    <w:rsid w:val="000711B8"/>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2F8"/>
    <w:rsid w:val="000B5363"/>
    <w:rsid w:val="000B53BA"/>
    <w:rsid w:val="000B642F"/>
    <w:rsid w:val="000B6C99"/>
    <w:rsid w:val="000C2DEC"/>
    <w:rsid w:val="000C359C"/>
    <w:rsid w:val="000C3F3C"/>
    <w:rsid w:val="000C4772"/>
    <w:rsid w:val="000C5277"/>
    <w:rsid w:val="000C5A75"/>
    <w:rsid w:val="000C75F7"/>
    <w:rsid w:val="000C7B32"/>
    <w:rsid w:val="000D0AB2"/>
    <w:rsid w:val="000D225C"/>
    <w:rsid w:val="000D36F2"/>
    <w:rsid w:val="000D4B26"/>
    <w:rsid w:val="000D74DB"/>
    <w:rsid w:val="000D7E1F"/>
    <w:rsid w:val="000E24D6"/>
    <w:rsid w:val="000E24E4"/>
    <w:rsid w:val="000E6072"/>
    <w:rsid w:val="000E6D61"/>
    <w:rsid w:val="000E7A23"/>
    <w:rsid w:val="000F02D3"/>
    <w:rsid w:val="000F1C29"/>
    <w:rsid w:val="000F1E9E"/>
    <w:rsid w:val="000F2B10"/>
    <w:rsid w:val="000F3F72"/>
    <w:rsid w:val="001055B2"/>
    <w:rsid w:val="001068F0"/>
    <w:rsid w:val="00106AB8"/>
    <w:rsid w:val="00106C9E"/>
    <w:rsid w:val="00106E16"/>
    <w:rsid w:val="0010768B"/>
    <w:rsid w:val="00111701"/>
    <w:rsid w:val="00112A29"/>
    <w:rsid w:val="00112FE7"/>
    <w:rsid w:val="00113C17"/>
    <w:rsid w:val="00115917"/>
    <w:rsid w:val="001167F6"/>
    <w:rsid w:val="00116C86"/>
    <w:rsid w:val="00120A52"/>
    <w:rsid w:val="00121ACF"/>
    <w:rsid w:val="00121D8F"/>
    <w:rsid w:val="00122037"/>
    <w:rsid w:val="0012210C"/>
    <w:rsid w:val="00122A7F"/>
    <w:rsid w:val="00123788"/>
    <w:rsid w:val="00123F98"/>
    <w:rsid w:val="001242A5"/>
    <w:rsid w:val="00124531"/>
    <w:rsid w:val="00126EDF"/>
    <w:rsid w:val="00127BBE"/>
    <w:rsid w:val="00130705"/>
    <w:rsid w:val="00131D52"/>
    <w:rsid w:val="001329C1"/>
    <w:rsid w:val="00132C16"/>
    <w:rsid w:val="0013528A"/>
    <w:rsid w:val="00136320"/>
    <w:rsid w:val="00136FFA"/>
    <w:rsid w:val="00137AC6"/>
    <w:rsid w:val="0014288C"/>
    <w:rsid w:val="00145512"/>
    <w:rsid w:val="001465BD"/>
    <w:rsid w:val="00147B45"/>
    <w:rsid w:val="00150803"/>
    <w:rsid w:val="00151D83"/>
    <w:rsid w:val="001546C9"/>
    <w:rsid w:val="00154FAE"/>
    <w:rsid w:val="00155E77"/>
    <w:rsid w:val="00156A70"/>
    <w:rsid w:val="0016017F"/>
    <w:rsid w:val="00160A61"/>
    <w:rsid w:val="00160FC0"/>
    <w:rsid w:val="0016429B"/>
    <w:rsid w:val="00164525"/>
    <w:rsid w:val="00164C50"/>
    <w:rsid w:val="00165CB2"/>
    <w:rsid w:val="00166203"/>
    <w:rsid w:val="00166767"/>
    <w:rsid w:val="00166C3A"/>
    <w:rsid w:val="001707CB"/>
    <w:rsid w:val="00171477"/>
    <w:rsid w:val="00172A1A"/>
    <w:rsid w:val="00173251"/>
    <w:rsid w:val="00176BED"/>
    <w:rsid w:val="0017759D"/>
    <w:rsid w:val="001804A5"/>
    <w:rsid w:val="00181C94"/>
    <w:rsid w:val="00182C84"/>
    <w:rsid w:val="0018375F"/>
    <w:rsid w:val="0018674A"/>
    <w:rsid w:val="00187031"/>
    <w:rsid w:val="0019077C"/>
    <w:rsid w:val="00191EA4"/>
    <w:rsid w:val="00192B6C"/>
    <w:rsid w:val="00192C30"/>
    <w:rsid w:val="0019381E"/>
    <w:rsid w:val="00194CF5"/>
    <w:rsid w:val="0019503C"/>
    <w:rsid w:val="0019533B"/>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04A"/>
    <w:rsid w:val="001B5505"/>
    <w:rsid w:val="001C1502"/>
    <w:rsid w:val="001C2180"/>
    <w:rsid w:val="001C29CC"/>
    <w:rsid w:val="001C3217"/>
    <w:rsid w:val="001C3B98"/>
    <w:rsid w:val="001C6028"/>
    <w:rsid w:val="001C6365"/>
    <w:rsid w:val="001C7F57"/>
    <w:rsid w:val="001D0E79"/>
    <w:rsid w:val="001D6049"/>
    <w:rsid w:val="001D7339"/>
    <w:rsid w:val="001E05DA"/>
    <w:rsid w:val="001E2750"/>
    <w:rsid w:val="001E4343"/>
    <w:rsid w:val="001E52BB"/>
    <w:rsid w:val="001E565D"/>
    <w:rsid w:val="001E660A"/>
    <w:rsid w:val="001F05D6"/>
    <w:rsid w:val="001F5B0A"/>
    <w:rsid w:val="001F640F"/>
    <w:rsid w:val="001F6794"/>
    <w:rsid w:val="001F6F65"/>
    <w:rsid w:val="002002DF"/>
    <w:rsid w:val="00203A6F"/>
    <w:rsid w:val="002047AF"/>
    <w:rsid w:val="00205646"/>
    <w:rsid w:val="002063F7"/>
    <w:rsid w:val="002129E5"/>
    <w:rsid w:val="00212AA4"/>
    <w:rsid w:val="00212E13"/>
    <w:rsid w:val="002163C8"/>
    <w:rsid w:val="002179FE"/>
    <w:rsid w:val="00220CC0"/>
    <w:rsid w:val="00221A36"/>
    <w:rsid w:val="002220F4"/>
    <w:rsid w:val="00223296"/>
    <w:rsid w:val="0022329B"/>
    <w:rsid w:val="002239DB"/>
    <w:rsid w:val="002240F7"/>
    <w:rsid w:val="0022486F"/>
    <w:rsid w:val="00225314"/>
    <w:rsid w:val="00225DF4"/>
    <w:rsid w:val="00226C70"/>
    <w:rsid w:val="00230C8A"/>
    <w:rsid w:val="00231F98"/>
    <w:rsid w:val="002324F8"/>
    <w:rsid w:val="002348B0"/>
    <w:rsid w:val="00235CDC"/>
    <w:rsid w:val="00237E76"/>
    <w:rsid w:val="0024073C"/>
    <w:rsid w:val="00240BBE"/>
    <w:rsid w:val="00241525"/>
    <w:rsid w:val="00241D87"/>
    <w:rsid w:val="0024300E"/>
    <w:rsid w:val="00243AEE"/>
    <w:rsid w:val="00243C55"/>
    <w:rsid w:val="00243D5E"/>
    <w:rsid w:val="002451EC"/>
    <w:rsid w:val="00245ED4"/>
    <w:rsid w:val="00246B41"/>
    <w:rsid w:val="0025002B"/>
    <w:rsid w:val="002500DE"/>
    <w:rsid w:val="00252457"/>
    <w:rsid w:val="00252581"/>
    <w:rsid w:val="002535B5"/>
    <w:rsid w:val="002538CB"/>
    <w:rsid w:val="002542BD"/>
    <w:rsid w:val="0025674D"/>
    <w:rsid w:val="0025774E"/>
    <w:rsid w:val="00257752"/>
    <w:rsid w:val="00257D64"/>
    <w:rsid w:val="0026065C"/>
    <w:rsid w:val="0026340A"/>
    <w:rsid w:val="002654EA"/>
    <w:rsid w:val="002665D2"/>
    <w:rsid w:val="002704EA"/>
    <w:rsid w:val="0027061A"/>
    <w:rsid w:val="002719CC"/>
    <w:rsid w:val="002730C5"/>
    <w:rsid w:val="0027337C"/>
    <w:rsid w:val="0027602B"/>
    <w:rsid w:val="0027663E"/>
    <w:rsid w:val="00277F5E"/>
    <w:rsid w:val="00280084"/>
    <w:rsid w:val="00280490"/>
    <w:rsid w:val="002860B8"/>
    <w:rsid w:val="00290BF1"/>
    <w:rsid w:val="0029206E"/>
    <w:rsid w:val="00293382"/>
    <w:rsid w:val="00294F51"/>
    <w:rsid w:val="002A2342"/>
    <w:rsid w:val="002A279E"/>
    <w:rsid w:val="002A379A"/>
    <w:rsid w:val="002A4FA3"/>
    <w:rsid w:val="002A6210"/>
    <w:rsid w:val="002B3606"/>
    <w:rsid w:val="002B3D80"/>
    <w:rsid w:val="002B4402"/>
    <w:rsid w:val="002B4946"/>
    <w:rsid w:val="002B4C41"/>
    <w:rsid w:val="002B588D"/>
    <w:rsid w:val="002C1839"/>
    <w:rsid w:val="002C214A"/>
    <w:rsid w:val="002C28E8"/>
    <w:rsid w:val="002C3027"/>
    <w:rsid w:val="002C674D"/>
    <w:rsid w:val="002C7648"/>
    <w:rsid w:val="002C7DC4"/>
    <w:rsid w:val="002D00C5"/>
    <w:rsid w:val="002D0821"/>
    <w:rsid w:val="002D1929"/>
    <w:rsid w:val="002D1AD1"/>
    <w:rsid w:val="002D1B73"/>
    <w:rsid w:val="002D3CB0"/>
    <w:rsid w:val="002D4800"/>
    <w:rsid w:val="002D5B21"/>
    <w:rsid w:val="002D6F6D"/>
    <w:rsid w:val="002E021B"/>
    <w:rsid w:val="002E0B88"/>
    <w:rsid w:val="002E1FE6"/>
    <w:rsid w:val="002E2EA7"/>
    <w:rsid w:val="002E36D2"/>
    <w:rsid w:val="002E5B55"/>
    <w:rsid w:val="002E748B"/>
    <w:rsid w:val="002E77D9"/>
    <w:rsid w:val="002F2002"/>
    <w:rsid w:val="002F2D5F"/>
    <w:rsid w:val="002F335D"/>
    <w:rsid w:val="002F4E32"/>
    <w:rsid w:val="002F503F"/>
    <w:rsid w:val="002F51DD"/>
    <w:rsid w:val="002F5D08"/>
    <w:rsid w:val="002F6895"/>
    <w:rsid w:val="002F6D13"/>
    <w:rsid w:val="00301731"/>
    <w:rsid w:val="003038D3"/>
    <w:rsid w:val="003043A1"/>
    <w:rsid w:val="003049C7"/>
    <w:rsid w:val="00305F0E"/>
    <w:rsid w:val="0030667A"/>
    <w:rsid w:val="003106DE"/>
    <w:rsid w:val="00311530"/>
    <w:rsid w:val="00312D31"/>
    <w:rsid w:val="0031389A"/>
    <w:rsid w:val="00313B23"/>
    <w:rsid w:val="003151A6"/>
    <w:rsid w:val="00315216"/>
    <w:rsid w:val="003152C9"/>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5E30"/>
    <w:rsid w:val="003366D2"/>
    <w:rsid w:val="00337C79"/>
    <w:rsid w:val="00337FEF"/>
    <w:rsid w:val="0034084C"/>
    <w:rsid w:val="00340D5E"/>
    <w:rsid w:val="00340E2E"/>
    <w:rsid w:val="00341105"/>
    <w:rsid w:val="003420B5"/>
    <w:rsid w:val="00342CF7"/>
    <w:rsid w:val="0034320C"/>
    <w:rsid w:val="00343646"/>
    <w:rsid w:val="00344CCB"/>
    <w:rsid w:val="00345897"/>
    <w:rsid w:val="00351BFC"/>
    <w:rsid w:val="0035575E"/>
    <w:rsid w:val="003565B4"/>
    <w:rsid w:val="00361666"/>
    <w:rsid w:val="00362E75"/>
    <w:rsid w:val="003631AA"/>
    <w:rsid w:val="003632D5"/>
    <w:rsid w:val="00363575"/>
    <w:rsid w:val="00363E1B"/>
    <w:rsid w:val="00364E99"/>
    <w:rsid w:val="00364EF9"/>
    <w:rsid w:val="00367579"/>
    <w:rsid w:val="0036795B"/>
    <w:rsid w:val="00370A29"/>
    <w:rsid w:val="00371F5A"/>
    <w:rsid w:val="003722F9"/>
    <w:rsid w:val="00372349"/>
    <w:rsid w:val="00372CBC"/>
    <w:rsid w:val="00372DD9"/>
    <w:rsid w:val="00373A61"/>
    <w:rsid w:val="00374BDE"/>
    <w:rsid w:val="00376B39"/>
    <w:rsid w:val="003772C0"/>
    <w:rsid w:val="00377BAC"/>
    <w:rsid w:val="00380142"/>
    <w:rsid w:val="00380558"/>
    <w:rsid w:val="003818A4"/>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0C24"/>
    <w:rsid w:val="003B102E"/>
    <w:rsid w:val="003B2167"/>
    <w:rsid w:val="003B5F5D"/>
    <w:rsid w:val="003B62C8"/>
    <w:rsid w:val="003C0C62"/>
    <w:rsid w:val="003C12DC"/>
    <w:rsid w:val="003C2CDA"/>
    <w:rsid w:val="003D000A"/>
    <w:rsid w:val="003D31E9"/>
    <w:rsid w:val="003D44D5"/>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0EF2"/>
    <w:rsid w:val="004117AB"/>
    <w:rsid w:val="00412998"/>
    <w:rsid w:val="00412B2F"/>
    <w:rsid w:val="00415281"/>
    <w:rsid w:val="00415716"/>
    <w:rsid w:val="0041604D"/>
    <w:rsid w:val="00417842"/>
    <w:rsid w:val="00417A6E"/>
    <w:rsid w:val="0042285D"/>
    <w:rsid w:val="00423037"/>
    <w:rsid w:val="00423200"/>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2728"/>
    <w:rsid w:val="004658B0"/>
    <w:rsid w:val="0046614B"/>
    <w:rsid w:val="00467FD7"/>
    <w:rsid w:val="00470073"/>
    <w:rsid w:val="004730F8"/>
    <w:rsid w:val="00474353"/>
    <w:rsid w:val="00474555"/>
    <w:rsid w:val="004750F4"/>
    <w:rsid w:val="00476CB1"/>
    <w:rsid w:val="004802EC"/>
    <w:rsid w:val="00480A48"/>
    <w:rsid w:val="00482501"/>
    <w:rsid w:val="00482E7D"/>
    <w:rsid w:val="00484395"/>
    <w:rsid w:val="00484F13"/>
    <w:rsid w:val="004865FB"/>
    <w:rsid w:val="00486C03"/>
    <w:rsid w:val="00491AB3"/>
    <w:rsid w:val="00494588"/>
    <w:rsid w:val="00494FB4"/>
    <w:rsid w:val="00497A33"/>
    <w:rsid w:val="004A1112"/>
    <w:rsid w:val="004A1DA0"/>
    <w:rsid w:val="004A1F20"/>
    <w:rsid w:val="004A2393"/>
    <w:rsid w:val="004A3569"/>
    <w:rsid w:val="004A452A"/>
    <w:rsid w:val="004A5F2C"/>
    <w:rsid w:val="004A6E4F"/>
    <w:rsid w:val="004A720D"/>
    <w:rsid w:val="004B00D0"/>
    <w:rsid w:val="004B1003"/>
    <w:rsid w:val="004B6084"/>
    <w:rsid w:val="004B7AE0"/>
    <w:rsid w:val="004C0405"/>
    <w:rsid w:val="004C0BC4"/>
    <w:rsid w:val="004C260D"/>
    <w:rsid w:val="004C2D47"/>
    <w:rsid w:val="004C2D93"/>
    <w:rsid w:val="004C4357"/>
    <w:rsid w:val="004C4477"/>
    <w:rsid w:val="004C4936"/>
    <w:rsid w:val="004C5730"/>
    <w:rsid w:val="004C5908"/>
    <w:rsid w:val="004C6397"/>
    <w:rsid w:val="004C668F"/>
    <w:rsid w:val="004C682B"/>
    <w:rsid w:val="004D142C"/>
    <w:rsid w:val="004D29F7"/>
    <w:rsid w:val="004D36D8"/>
    <w:rsid w:val="004D404F"/>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4D9"/>
    <w:rsid w:val="004F7F1A"/>
    <w:rsid w:val="004F7FBB"/>
    <w:rsid w:val="005042B3"/>
    <w:rsid w:val="005045AB"/>
    <w:rsid w:val="005062B9"/>
    <w:rsid w:val="005062D4"/>
    <w:rsid w:val="00507D43"/>
    <w:rsid w:val="005103F2"/>
    <w:rsid w:val="00510E2C"/>
    <w:rsid w:val="00511FDC"/>
    <w:rsid w:val="005124C6"/>
    <w:rsid w:val="00512A9D"/>
    <w:rsid w:val="00513EBC"/>
    <w:rsid w:val="00514CE1"/>
    <w:rsid w:val="00517155"/>
    <w:rsid w:val="00517DB3"/>
    <w:rsid w:val="005200DC"/>
    <w:rsid w:val="005200F2"/>
    <w:rsid w:val="005229F5"/>
    <w:rsid w:val="0052369D"/>
    <w:rsid w:val="005271DB"/>
    <w:rsid w:val="0053083B"/>
    <w:rsid w:val="00530D2F"/>
    <w:rsid w:val="0053487C"/>
    <w:rsid w:val="005356E1"/>
    <w:rsid w:val="00536A8B"/>
    <w:rsid w:val="00540418"/>
    <w:rsid w:val="00541A96"/>
    <w:rsid w:val="00541C6A"/>
    <w:rsid w:val="00542C54"/>
    <w:rsid w:val="00543107"/>
    <w:rsid w:val="00546A43"/>
    <w:rsid w:val="00546C70"/>
    <w:rsid w:val="00547258"/>
    <w:rsid w:val="00550CF0"/>
    <w:rsid w:val="005559FE"/>
    <w:rsid w:val="00555D16"/>
    <w:rsid w:val="005560D6"/>
    <w:rsid w:val="00556D07"/>
    <w:rsid w:val="005577A1"/>
    <w:rsid w:val="005611F2"/>
    <w:rsid w:val="00561734"/>
    <w:rsid w:val="00561952"/>
    <w:rsid w:val="00564B9A"/>
    <w:rsid w:val="00565694"/>
    <w:rsid w:val="00565C25"/>
    <w:rsid w:val="00566DD6"/>
    <w:rsid w:val="00567343"/>
    <w:rsid w:val="005714EF"/>
    <w:rsid w:val="00571CEC"/>
    <w:rsid w:val="00572FCE"/>
    <w:rsid w:val="005750DB"/>
    <w:rsid w:val="005759FC"/>
    <w:rsid w:val="00575B85"/>
    <w:rsid w:val="00576DB9"/>
    <w:rsid w:val="0057738F"/>
    <w:rsid w:val="005805E4"/>
    <w:rsid w:val="0058202F"/>
    <w:rsid w:val="00584221"/>
    <w:rsid w:val="00584EB6"/>
    <w:rsid w:val="005865D0"/>
    <w:rsid w:val="00586B68"/>
    <w:rsid w:val="0058774E"/>
    <w:rsid w:val="005878CF"/>
    <w:rsid w:val="00590CA0"/>
    <w:rsid w:val="005915DB"/>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E77F4"/>
    <w:rsid w:val="005F38E2"/>
    <w:rsid w:val="005F3EE6"/>
    <w:rsid w:val="005F6736"/>
    <w:rsid w:val="00602C10"/>
    <w:rsid w:val="00602EBD"/>
    <w:rsid w:val="00604CF2"/>
    <w:rsid w:val="00606DFF"/>
    <w:rsid w:val="00606FB7"/>
    <w:rsid w:val="00610533"/>
    <w:rsid w:val="006110F6"/>
    <w:rsid w:val="00611FA1"/>
    <w:rsid w:val="00611FAA"/>
    <w:rsid w:val="00612522"/>
    <w:rsid w:val="00612DA6"/>
    <w:rsid w:val="0061365B"/>
    <w:rsid w:val="006138B6"/>
    <w:rsid w:val="00614BC6"/>
    <w:rsid w:val="00614E33"/>
    <w:rsid w:val="006158B8"/>
    <w:rsid w:val="0061706D"/>
    <w:rsid w:val="006173DA"/>
    <w:rsid w:val="00617EF9"/>
    <w:rsid w:val="00620295"/>
    <w:rsid w:val="00622F8E"/>
    <w:rsid w:val="00623309"/>
    <w:rsid w:val="00625789"/>
    <w:rsid w:val="00626AC8"/>
    <w:rsid w:val="00627912"/>
    <w:rsid w:val="0063195F"/>
    <w:rsid w:val="00636C0A"/>
    <w:rsid w:val="00637EC6"/>
    <w:rsid w:val="0064240C"/>
    <w:rsid w:val="00642FF5"/>
    <w:rsid w:val="006430FB"/>
    <w:rsid w:val="006436DD"/>
    <w:rsid w:val="00643992"/>
    <w:rsid w:val="006444E8"/>
    <w:rsid w:val="00644DBC"/>
    <w:rsid w:val="00646FE6"/>
    <w:rsid w:val="006474CD"/>
    <w:rsid w:val="00647744"/>
    <w:rsid w:val="006479A0"/>
    <w:rsid w:val="006500D9"/>
    <w:rsid w:val="00653B54"/>
    <w:rsid w:val="006541A3"/>
    <w:rsid w:val="00654FAD"/>
    <w:rsid w:val="0065532C"/>
    <w:rsid w:val="00655C9F"/>
    <w:rsid w:val="006567FF"/>
    <w:rsid w:val="00656867"/>
    <w:rsid w:val="0066109F"/>
    <w:rsid w:val="006620BC"/>
    <w:rsid w:val="00664B26"/>
    <w:rsid w:val="0066596B"/>
    <w:rsid w:val="00670295"/>
    <w:rsid w:val="006704F5"/>
    <w:rsid w:val="00672894"/>
    <w:rsid w:val="00674B47"/>
    <w:rsid w:val="0067609E"/>
    <w:rsid w:val="0067699D"/>
    <w:rsid w:val="006775BC"/>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0738"/>
    <w:rsid w:val="006A0B16"/>
    <w:rsid w:val="006A20D4"/>
    <w:rsid w:val="006A268D"/>
    <w:rsid w:val="006A350F"/>
    <w:rsid w:val="006A36F9"/>
    <w:rsid w:val="006A3957"/>
    <w:rsid w:val="006A39A4"/>
    <w:rsid w:val="006A41D6"/>
    <w:rsid w:val="006A669D"/>
    <w:rsid w:val="006A6E41"/>
    <w:rsid w:val="006B012F"/>
    <w:rsid w:val="006B27CF"/>
    <w:rsid w:val="006B41BD"/>
    <w:rsid w:val="006B5678"/>
    <w:rsid w:val="006B62B2"/>
    <w:rsid w:val="006C1C57"/>
    <w:rsid w:val="006C5760"/>
    <w:rsid w:val="006C6D6F"/>
    <w:rsid w:val="006C716C"/>
    <w:rsid w:val="006D0D78"/>
    <w:rsid w:val="006D1128"/>
    <w:rsid w:val="006D2848"/>
    <w:rsid w:val="006D2C49"/>
    <w:rsid w:val="006D30E0"/>
    <w:rsid w:val="006D32FE"/>
    <w:rsid w:val="006D5521"/>
    <w:rsid w:val="006D5FE9"/>
    <w:rsid w:val="006D6CBB"/>
    <w:rsid w:val="006D7378"/>
    <w:rsid w:val="006D76A9"/>
    <w:rsid w:val="006D77F4"/>
    <w:rsid w:val="006E0898"/>
    <w:rsid w:val="006E41CD"/>
    <w:rsid w:val="006F2C35"/>
    <w:rsid w:val="006F3BEC"/>
    <w:rsid w:val="0070129C"/>
    <w:rsid w:val="00702CBB"/>
    <w:rsid w:val="00703C00"/>
    <w:rsid w:val="007057CC"/>
    <w:rsid w:val="007066F2"/>
    <w:rsid w:val="00706AE5"/>
    <w:rsid w:val="0070740A"/>
    <w:rsid w:val="00711F93"/>
    <w:rsid w:val="007123DB"/>
    <w:rsid w:val="00712940"/>
    <w:rsid w:val="0071428C"/>
    <w:rsid w:val="00715733"/>
    <w:rsid w:val="00715A16"/>
    <w:rsid w:val="007164B0"/>
    <w:rsid w:val="007166FF"/>
    <w:rsid w:val="007260CC"/>
    <w:rsid w:val="00726543"/>
    <w:rsid w:val="00732D73"/>
    <w:rsid w:val="0073353E"/>
    <w:rsid w:val="00736633"/>
    <w:rsid w:val="00741EE7"/>
    <w:rsid w:val="00743A79"/>
    <w:rsid w:val="007444D4"/>
    <w:rsid w:val="00745674"/>
    <w:rsid w:val="0074594D"/>
    <w:rsid w:val="007459F3"/>
    <w:rsid w:val="00745DF0"/>
    <w:rsid w:val="00746E35"/>
    <w:rsid w:val="007470E2"/>
    <w:rsid w:val="00750724"/>
    <w:rsid w:val="0075232F"/>
    <w:rsid w:val="00753132"/>
    <w:rsid w:val="007550B3"/>
    <w:rsid w:val="00760451"/>
    <w:rsid w:val="0077182A"/>
    <w:rsid w:val="00771913"/>
    <w:rsid w:val="00771C88"/>
    <w:rsid w:val="00772718"/>
    <w:rsid w:val="00775BCF"/>
    <w:rsid w:val="0077700E"/>
    <w:rsid w:val="007818AA"/>
    <w:rsid w:val="00783140"/>
    <w:rsid w:val="007838B6"/>
    <w:rsid w:val="00783E77"/>
    <w:rsid w:val="00785622"/>
    <w:rsid w:val="007906F1"/>
    <w:rsid w:val="00790721"/>
    <w:rsid w:val="0079243D"/>
    <w:rsid w:val="00794A9B"/>
    <w:rsid w:val="0079583B"/>
    <w:rsid w:val="00796602"/>
    <w:rsid w:val="00797185"/>
    <w:rsid w:val="007976B7"/>
    <w:rsid w:val="00797A7E"/>
    <w:rsid w:val="00797D6F"/>
    <w:rsid w:val="007A110F"/>
    <w:rsid w:val="007A2519"/>
    <w:rsid w:val="007B014B"/>
    <w:rsid w:val="007B0D88"/>
    <w:rsid w:val="007B2941"/>
    <w:rsid w:val="007B306F"/>
    <w:rsid w:val="007B4714"/>
    <w:rsid w:val="007B4E82"/>
    <w:rsid w:val="007C1996"/>
    <w:rsid w:val="007C3773"/>
    <w:rsid w:val="007C3F1F"/>
    <w:rsid w:val="007D2D0D"/>
    <w:rsid w:val="007D3325"/>
    <w:rsid w:val="007D3818"/>
    <w:rsid w:val="007D5994"/>
    <w:rsid w:val="007D6DC5"/>
    <w:rsid w:val="007D7425"/>
    <w:rsid w:val="007E320E"/>
    <w:rsid w:val="007E3280"/>
    <w:rsid w:val="007E4A02"/>
    <w:rsid w:val="007E595C"/>
    <w:rsid w:val="007E59A5"/>
    <w:rsid w:val="007F3B8C"/>
    <w:rsid w:val="007F41D0"/>
    <w:rsid w:val="007F4B8B"/>
    <w:rsid w:val="007F5957"/>
    <w:rsid w:val="007F5ADC"/>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A42"/>
    <w:rsid w:val="00820BF5"/>
    <w:rsid w:val="008212B1"/>
    <w:rsid w:val="0082155A"/>
    <w:rsid w:val="0082209F"/>
    <w:rsid w:val="008223C2"/>
    <w:rsid w:val="00824906"/>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1B0A"/>
    <w:rsid w:val="00842A68"/>
    <w:rsid w:val="008435BA"/>
    <w:rsid w:val="0084558B"/>
    <w:rsid w:val="0084654A"/>
    <w:rsid w:val="00847654"/>
    <w:rsid w:val="00850442"/>
    <w:rsid w:val="00851064"/>
    <w:rsid w:val="00855543"/>
    <w:rsid w:val="008566B3"/>
    <w:rsid w:val="008576B7"/>
    <w:rsid w:val="00857F7B"/>
    <w:rsid w:val="00863DA1"/>
    <w:rsid w:val="008654A6"/>
    <w:rsid w:val="00865D86"/>
    <w:rsid w:val="00870495"/>
    <w:rsid w:val="00870EA1"/>
    <w:rsid w:val="008710C5"/>
    <w:rsid w:val="0087332A"/>
    <w:rsid w:val="00874438"/>
    <w:rsid w:val="00874E75"/>
    <w:rsid w:val="008767F3"/>
    <w:rsid w:val="00876CEF"/>
    <w:rsid w:val="00877342"/>
    <w:rsid w:val="008803C3"/>
    <w:rsid w:val="00881450"/>
    <w:rsid w:val="008817C7"/>
    <w:rsid w:val="00881875"/>
    <w:rsid w:val="00882E23"/>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053"/>
    <w:rsid w:val="008C69EA"/>
    <w:rsid w:val="008C6F8B"/>
    <w:rsid w:val="008C7AB7"/>
    <w:rsid w:val="008C7FB4"/>
    <w:rsid w:val="008D2C8C"/>
    <w:rsid w:val="008D3040"/>
    <w:rsid w:val="008D3ECD"/>
    <w:rsid w:val="008D44D6"/>
    <w:rsid w:val="008D5C03"/>
    <w:rsid w:val="008D7580"/>
    <w:rsid w:val="008D7C35"/>
    <w:rsid w:val="008E5698"/>
    <w:rsid w:val="008E5733"/>
    <w:rsid w:val="008E77D2"/>
    <w:rsid w:val="008E78FD"/>
    <w:rsid w:val="008E7A78"/>
    <w:rsid w:val="008F199D"/>
    <w:rsid w:val="008F38A0"/>
    <w:rsid w:val="008F39C9"/>
    <w:rsid w:val="008F5EB5"/>
    <w:rsid w:val="008F678C"/>
    <w:rsid w:val="008F75A7"/>
    <w:rsid w:val="008F7B6F"/>
    <w:rsid w:val="008F7E5A"/>
    <w:rsid w:val="00900A7F"/>
    <w:rsid w:val="009036EE"/>
    <w:rsid w:val="00905815"/>
    <w:rsid w:val="00905D1D"/>
    <w:rsid w:val="009079A1"/>
    <w:rsid w:val="0091016D"/>
    <w:rsid w:val="00910C98"/>
    <w:rsid w:val="00911910"/>
    <w:rsid w:val="00912A58"/>
    <w:rsid w:val="00913908"/>
    <w:rsid w:val="00913D26"/>
    <w:rsid w:val="0091438B"/>
    <w:rsid w:val="009147E3"/>
    <w:rsid w:val="00914C9F"/>
    <w:rsid w:val="00915956"/>
    <w:rsid w:val="00920FD2"/>
    <w:rsid w:val="00923A43"/>
    <w:rsid w:val="0092439C"/>
    <w:rsid w:val="0092498E"/>
    <w:rsid w:val="00925B91"/>
    <w:rsid w:val="009328A7"/>
    <w:rsid w:val="00934461"/>
    <w:rsid w:val="00934F7E"/>
    <w:rsid w:val="00936A1C"/>
    <w:rsid w:val="0093713B"/>
    <w:rsid w:val="00943E35"/>
    <w:rsid w:val="00945278"/>
    <w:rsid w:val="0094658D"/>
    <w:rsid w:val="00947678"/>
    <w:rsid w:val="00947878"/>
    <w:rsid w:val="009504C2"/>
    <w:rsid w:val="00951F14"/>
    <w:rsid w:val="0095254A"/>
    <w:rsid w:val="0095273B"/>
    <w:rsid w:val="009559E1"/>
    <w:rsid w:val="009568D5"/>
    <w:rsid w:val="00957CD3"/>
    <w:rsid w:val="0096269B"/>
    <w:rsid w:val="00962DA6"/>
    <w:rsid w:val="0096319D"/>
    <w:rsid w:val="00963FB0"/>
    <w:rsid w:val="00964C86"/>
    <w:rsid w:val="009657E3"/>
    <w:rsid w:val="00965E82"/>
    <w:rsid w:val="009664BB"/>
    <w:rsid w:val="009669F8"/>
    <w:rsid w:val="00966F89"/>
    <w:rsid w:val="00973B5D"/>
    <w:rsid w:val="009751EB"/>
    <w:rsid w:val="0097755E"/>
    <w:rsid w:val="00981467"/>
    <w:rsid w:val="00981C24"/>
    <w:rsid w:val="009852F6"/>
    <w:rsid w:val="00985DE5"/>
    <w:rsid w:val="00986254"/>
    <w:rsid w:val="0098729E"/>
    <w:rsid w:val="00990067"/>
    <w:rsid w:val="009908B0"/>
    <w:rsid w:val="00990FA1"/>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4D1C"/>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46B8"/>
    <w:rsid w:val="009F54F2"/>
    <w:rsid w:val="009F63E1"/>
    <w:rsid w:val="00A0056B"/>
    <w:rsid w:val="00A005ED"/>
    <w:rsid w:val="00A01657"/>
    <w:rsid w:val="00A01C65"/>
    <w:rsid w:val="00A0213D"/>
    <w:rsid w:val="00A04C73"/>
    <w:rsid w:val="00A0679A"/>
    <w:rsid w:val="00A07A2B"/>
    <w:rsid w:val="00A12375"/>
    <w:rsid w:val="00A125B8"/>
    <w:rsid w:val="00A13124"/>
    <w:rsid w:val="00A15370"/>
    <w:rsid w:val="00A156AB"/>
    <w:rsid w:val="00A16B8D"/>
    <w:rsid w:val="00A1733F"/>
    <w:rsid w:val="00A21293"/>
    <w:rsid w:val="00A2134B"/>
    <w:rsid w:val="00A21623"/>
    <w:rsid w:val="00A220EB"/>
    <w:rsid w:val="00A22302"/>
    <w:rsid w:val="00A23840"/>
    <w:rsid w:val="00A24982"/>
    <w:rsid w:val="00A25F1B"/>
    <w:rsid w:val="00A30BDF"/>
    <w:rsid w:val="00A325F3"/>
    <w:rsid w:val="00A33103"/>
    <w:rsid w:val="00A33294"/>
    <w:rsid w:val="00A35DCB"/>
    <w:rsid w:val="00A3690E"/>
    <w:rsid w:val="00A37751"/>
    <w:rsid w:val="00A406B1"/>
    <w:rsid w:val="00A4099E"/>
    <w:rsid w:val="00A40A20"/>
    <w:rsid w:val="00A4113E"/>
    <w:rsid w:val="00A42435"/>
    <w:rsid w:val="00A438BA"/>
    <w:rsid w:val="00A442C3"/>
    <w:rsid w:val="00A446FD"/>
    <w:rsid w:val="00A456FA"/>
    <w:rsid w:val="00A46F46"/>
    <w:rsid w:val="00A508CB"/>
    <w:rsid w:val="00A52CB6"/>
    <w:rsid w:val="00A52F77"/>
    <w:rsid w:val="00A52F99"/>
    <w:rsid w:val="00A538BB"/>
    <w:rsid w:val="00A54164"/>
    <w:rsid w:val="00A56737"/>
    <w:rsid w:val="00A60002"/>
    <w:rsid w:val="00A603D8"/>
    <w:rsid w:val="00A60AE2"/>
    <w:rsid w:val="00A61834"/>
    <w:rsid w:val="00A618B0"/>
    <w:rsid w:val="00A62790"/>
    <w:rsid w:val="00A6291F"/>
    <w:rsid w:val="00A63F53"/>
    <w:rsid w:val="00A67B92"/>
    <w:rsid w:val="00A7111E"/>
    <w:rsid w:val="00A72A05"/>
    <w:rsid w:val="00A755B6"/>
    <w:rsid w:val="00A75B1A"/>
    <w:rsid w:val="00A80ED4"/>
    <w:rsid w:val="00A816C4"/>
    <w:rsid w:val="00A82981"/>
    <w:rsid w:val="00A86F10"/>
    <w:rsid w:val="00A87AF2"/>
    <w:rsid w:val="00A90B23"/>
    <w:rsid w:val="00A93193"/>
    <w:rsid w:val="00A93C2B"/>
    <w:rsid w:val="00A94556"/>
    <w:rsid w:val="00A95937"/>
    <w:rsid w:val="00A974CB"/>
    <w:rsid w:val="00AA1EAC"/>
    <w:rsid w:val="00AA45E2"/>
    <w:rsid w:val="00AA7A65"/>
    <w:rsid w:val="00AA7AC1"/>
    <w:rsid w:val="00AB0220"/>
    <w:rsid w:val="00AB6327"/>
    <w:rsid w:val="00AB6B8F"/>
    <w:rsid w:val="00AC0C65"/>
    <w:rsid w:val="00AC0FB2"/>
    <w:rsid w:val="00AC3721"/>
    <w:rsid w:val="00AC41C6"/>
    <w:rsid w:val="00AC59F9"/>
    <w:rsid w:val="00AC70C7"/>
    <w:rsid w:val="00AC76B7"/>
    <w:rsid w:val="00AD0223"/>
    <w:rsid w:val="00AD123A"/>
    <w:rsid w:val="00AD15FF"/>
    <w:rsid w:val="00AD1AA5"/>
    <w:rsid w:val="00AD261F"/>
    <w:rsid w:val="00AD2920"/>
    <w:rsid w:val="00AD2CD5"/>
    <w:rsid w:val="00AD2DFC"/>
    <w:rsid w:val="00AD38C4"/>
    <w:rsid w:val="00AD468A"/>
    <w:rsid w:val="00AD5A4A"/>
    <w:rsid w:val="00AD60EE"/>
    <w:rsid w:val="00AD6A2B"/>
    <w:rsid w:val="00AD73D4"/>
    <w:rsid w:val="00AE1EA2"/>
    <w:rsid w:val="00AE2874"/>
    <w:rsid w:val="00AE2BA2"/>
    <w:rsid w:val="00AE2F98"/>
    <w:rsid w:val="00AE3602"/>
    <w:rsid w:val="00AE5342"/>
    <w:rsid w:val="00AE5987"/>
    <w:rsid w:val="00AE6472"/>
    <w:rsid w:val="00AF1345"/>
    <w:rsid w:val="00AF145D"/>
    <w:rsid w:val="00AF275E"/>
    <w:rsid w:val="00AF354D"/>
    <w:rsid w:val="00AF38A8"/>
    <w:rsid w:val="00AF3F1F"/>
    <w:rsid w:val="00AF63EB"/>
    <w:rsid w:val="00B016D2"/>
    <w:rsid w:val="00B018D9"/>
    <w:rsid w:val="00B018EC"/>
    <w:rsid w:val="00B027E6"/>
    <w:rsid w:val="00B0592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0D69"/>
    <w:rsid w:val="00B4232D"/>
    <w:rsid w:val="00B42682"/>
    <w:rsid w:val="00B43065"/>
    <w:rsid w:val="00B44784"/>
    <w:rsid w:val="00B449D0"/>
    <w:rsid w:val="00B456AB"/>
    <w:rsid w:val="00B46C2A"/>
    <w:rsid w:val="00B47E8B"/>
    <w:rsid w:val="00B51C67"/>
    <w:rsid w:val="00B53F86"/>
    <w:rsid w:val="00B53FDC"/>
    <w:rsid w:val="00B55431"/>
    <w:rsid w:val="00B5549F"/>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2BB3"/>
    <w:rsid w:val="00BA0A14"/>
    <w:rsid w:val="00BA1324"/>
    <w:rsid w:val="00BA228D"/>
    <w:rsid w:val="00BA398D"/>
    <w:rsid w:val="00BA39D3"/>
    <w:rsid w:val="00BA5C56"/>
    <w:rsid w:val="00BA5D39"/>
    <w:rsid w:val="00BA776F"/>
    <w:rsid w:val="00BB0C0D"/>
    <w:rsid w:val="00BB0D69"/>
    <w:rsid w:val="00BB366E"/>
    <w:rsid w:val="00BB3AF0"/>
    <w:rsid w:val="00BB4F70"/>
    <w:rsid w:val="00BB67FF"/>
    <w:rsid w:val="00BB700E"/>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5813"/>
    <w:rsid w:val="00BD65FC"/>
    <w:rsid w:val="00BD7660"/>
    <w:rsid w:val="00BE0666"/>
    <w:rsid w:val="00BE24B9"/>
    <w:rsid w:val="00BE2AE8"/>
    <w:rsid w:val="00BE2D55"/>
    <w:rsid w:val="00BE38DD"/>
    <w:rsid w:val="00BE4AB1"/>
    <w:rsid w:val="00BE61EA"/>
    <w:rsid w:val="00BE7F34"/>
    <w:rsid w:val="00BF16C3"/>
    <w:rsid w:val="00BF268D"/>
    <w:rsid w:val="00BF2F90"/>
    <w:rsid w:val="00BF38E0"/>
    <w:rsid w:val="00BF44FA"/>
    <w:rsid w:val="00BF57E1"/>
    <w:rsid w:val="00C003B4"/>
    <w:rsid w:val="00C00A5F"/>
    <w:rsid w:val="00C042E0"/>
    <w:rsid w:val="00C051D9"/>
    <w:rsid w:val="00C06333"/>
    <w:rsid w:val="00C06B37"/>
    <w:rsid w:val="00C06F68"/>
    <w:rsid w:val="00C075BA"/>
    <w:rsid w:val="00C10A3A"/>
    <w:rsid w:val="00C11E20"/>
    <w:rsid w:val="00C15D16"/>
    <w:rsid w:val="00C20015"/>
    <w:rsid w:val="00C21765"/>
    <w:rsid w:val="00C2279D"/>
    <w:rsid w:val="00C247DD"/>
    <w:rsid w:val="00C25B43"/>
    <w:rsid w:val="00C26A54"/>
    <w:rsid w:val="00C31CB6"/>
    <w:rsid w:val="00C3261C"/>
    <w:rsid w:val="00C3318B"/>
    <w:rsid w:val="00C33C20"/>
    <w:rsid w:val="00C35362"/>
    <w:rsid w:val="00C357EA"/>
    <w:rsid w:val="00C379F8"/>
    <w:rsid w:val="00C37A1C"/>
    <w:rsid w:val="00C414DE"/>
    <w:rsid w:val="00C42323"/>
    <w:rsid w:val="00C4316E"/>
    <w:rsid w:val="00C453A9"/>
    <w:rsid w:val="00C465D5"/>
    <w:rsid w:val="00C4756A"/>
    <w:rsid w:val="00C47C39"/>
    <w:rsid w:val="00C50649"/>
    <w:rsid w:val="00C50E1F"/>
    <w:rsid w:val="00C51AB3"/>
    <w:rsid w:val="00C51C09"/>
    <w:rsid w:val="00C52BB6"/>
    <w:rsid w:val="00C53471"/>
    <w:rsid w:val="00C547CC"/>
    <w:rsid w:val="00C55143"/>
    <w:rsid w:val="00C5611B"/>
    <w:rsid w:val="00C5695E"/>
    <w:rsid w:val="00C61528"/>
    <w:rsid w:val="00C63457"/>
    <w:rsid w:val="00C64964"/>
    <w:rsid w:val="00C6631E"/>
    <w:rsid w:val="00C67473"/>
    <w:rsid w:val="00C67AA4"/>
    <w:rsid w:val="00C7148C"/>
    <w:rsid w:val="00C72192"/>
    <w:rsid w:val="00C732B1"/>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A6369"/>
    <w:rsid w:val="00CB100F"/>
    <w:rsid w:val="00CB218A"/>
    <w:rsid w:val="00CB225A"/>
    <w:rsid w:val="00CB69E6"/>
    <w:rsid w:val="00CB761B"/>
    <w:rsid w:val="00CB7E33"/>
    <w:rsid w:val="00CC13DF"/>
    <w:rsid w:val="00CC1EEE"/>
    <w:rsid w:val="00CC4BE1"/>
    <w:rsid w:val="00CC562B"/>
    <w:rsid w:val="00CC6C15"/>
    <w:rsid w:val="00CC7FCF"/>
    <w:rsid w:val="00CD2749"/>
    <w:rsid w:val="00CD2A60"/>
    <w:rsid w:val="00CD306F"/>
    <w:rsid w:val="00CD3971"/>
    <w:rsid w:val="00CD3DAB"/>
    <w:rsid w:val="00CD3E73"/>
    <w:rsid w:val="00CD7DAB"/>
    <w:rsid w:val="00CE0DF1"/>
    <w:rsid w:val="00CE3786"/>
    <w:rsid w:val="00CE4027"/>
    <w:rsid w:val="00CE47CC"/>
    <w:rsid w:val="00CE5939"/>
    <w:rsid w:val="00CE5C4C"/>
    <w:rsid w:val="00CE68F6"/>
    <w:rsid w:val="00CE7E27"/>
    <w:rsid w:val="00CF22AC"/>
    <w:rsid w:val="00CF2F0A"/>
    <w:rsid w:val="00CF67F4"/>
    <w:rsid w:val="00CF79E8"/>
    <w:rsid w:val="00D00211"/>
    <w:rsid w:val="00D0023F"/>
    <w:rsid w:val="00D015AA"/>
    <w:rsid w:val="00D021B8"/>
    <w:rsid w:val="00D03D23"/>
    <w:rsid w:val="00D03D90"/>
    <w:rsid w:val="00D04024"/>
    <w:rsid w:val="00D043EB"/>
    <w:rsid w:val="00D06705"/>
    <w:rsid w:val="00D06A9B"/>
    <w:rsid w:val="00D07472"/>
    <w:rsid w:val="00D0750D"/>
    <w:rsid w:val="00D07DD8"/>
    <w:rsid w:val="00D1038F"/>
    <w:rsid w:val="00D10BF7"/>
    <w:rsid w:val="00D10FEB"/>
    <w:rsid w:val="00D140A0"/>
    <w:rsid w:val="00D203D1"/>
    <w:rsid w:val="00D2057A"/>
    <w:rsid w:val="00D21D98"/>
    <w:rsid w:val="00D2317F"/>
    <w:rsid w:val="00D231A9"/>
    <w:rsid w:val="00D24391"/>
    <w:rsid w:val="00D2472B"/>
    <w:rsid w:val="00D2511B"/>
    <w:rsid w:val="00D253DD"/>
    <w:rsid w:val="00D26FFA"/>
    <w:rsid w:val="00D3215D"/>
    <w:rsid w:val="00D33352"/>
    <w:rsid w:val="00D347D9"/>
    <w:rsid w:val="00D35565"/>
    <w:rsid w:val="00D36A19"/>
    <w:rsid w:val="00D40DCF"/>
    <w:rsid w:val="00D41075"/>
    <w:rsid w:val="00D417FA"/>
    <w:rsid w:val="00D41C76"/>
    <w:rsid w:val="00D41DD8"/>
    <w:rsid w:val="00D4222C"/>
    <w:rsid w:val="00D425CE"/>
    <w:rsid w:val="00D42F40"/>
    <w:rsid w:val="00D4396C"/>
    <w:rsid w:val="00D4446F"/>
    <w:rsid w:val="00D44B55"/>
    <w:rsid w:val="00D45490"/>
    <w:rsid w:val="00D457B8"/>
    <w:rsid w:val="00D457E1"/>
    <w:rsid w:val="00D47753"/>
    <w:rsid w:val="00D47BEB"/>
    <w:rsid w:val="00D50487"/>
    <w:rsid w:val="00D50563"/>
    <w:rsid w:val="00D50F50"/>
    <w:rsid w:val="00D5235F"/>
    <w:rsid w:val="00D52D25"/>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0E02"/>
    <w:rsid w:val="00D91419"/>
    <w:rsid w:val="00D919C4"/>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B5962"/>
    <w:rsid w:val="00DC0176"/>
    <w:rsid w:val="00DC043F"/>
    <w:rsid w:val="00DC093E"/>
    <w:rsid w:val="00DC0E29"/>
    <w:rsid w:val="00DC0E7A"/>
    <w:rsid w:val="00DC2A65"/>
    <w:rsid w:val="00DC2A86"/>
    <w:rsid w:val="00DC3631"/>
    <w:rsid w:val="00DC37F7"/>
    <w:rsid w:val="00DC65DF"/>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E75F7"/>
    <w:rsid w:val="00DF10B1"/>
    <w:rsid w:val="00DF1FDA"/>
    <w:rsid w:val="00DF3DD0"/>
    <w:rsid w:val="00DF4D50"/>
    <w:rsid w:val="00DF538C"/>
    <w:rsid w:val="00DF5A44"/>
    <w:rsid w:val="00DF79FC"/>
    <w:rsid w:val="00E00EDE"/>
    <w:rsid w:val="00E021C2"/>
    <w:rsid w:val="00E024A3"/>
    <w:rsid w:val="00E02ECD"/>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5F55"/>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476FD"/>
    <w:rsid w:val="00E507A6"/>
    <w:rsid w:val="00E52CB3"/>
    <w:rsid w:val="00E5375C"/>
    <w:rsid w:val="00E561AD"/>
    <w:rsid w:val="00E57FAF"/>
    <w:rsid w:val="00E60BA9"/>
    <w:rsid w:val="00E63510"/>
    <w:rsid w:val="00E635EA"/>
    <w:rsid w:val="00E645BC"/>
    <w:rsid w:val="00E655E5"/>
    <w:rsid w:val="00E65F4E"/>
    <w:rsid w:val="00E662E0"/>
    <w:rsid w:val="00E67D5D"/>
    <w:rsid w:val="00E71C7A"/>
    <w:rsid w:val="00E73119"/>
    <w:rsid w:val="00E73E1E"/>
    <w:rsid w:val="00E767FF"/>
    <w:rsid w:val="00E76DA3"/>
    <w:rsid w:val="00E8362E"/>
    <w:rsid w:val="00E84C91"/>
    <w:rsid w:val="00E84E60"/>
    <w:rsid w:val="00E8556E"/>
    <w:rsid w:val="00E86B2D"/>
    <w:rsid w:val="00E86F4D"/>
    <w:rsid w:val="00E87D08"/>
    <w:rsid w:val="00E90D0E"/>
    <w:rsid w:val="00E91B2D"/>
    <w:rsid w:val="00E92FCA"/>
    <w:rsid w:val="00E9473D"/>
    <w:rsid w:val="00E95CAA"/>
    <w:rsid w:val="00EA0A39"/>
    <w:rsid w:val="00EA0EB2"/>
    <w:rsid w:val="00EA236F"/>
    <w:rsid w:val="00EA29D4"/>
    <w:rsid w:val="00EA3023"/>
    <w:rsid w:val="00EA3E49"/>
    <w:rsid w:val="00EA3FC8"/>
    <w:rsid w:val="00EA42CF"/>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06DC"/>
    <w:rsid w:val="00ED1866"/>
    <w:rsid w:val="00ED2E92"/>
    <w:rsid w:val="00ED3134"/>
    <w:rsid w:val="00ED38E2"/>
    <w:rsid w:val="00ED5C44"/>
    <w:rsid w:val="00ED635B"/>
    <w:rsid w:val="00EE742D"/>
    <w:rsid w:val="00EF0A22"/>
    <w:rsid w:val="00EF1267"/>
    <w:rsid w:val="00EF17A4"/>
    <w:rsid w:val="00EF180C"/>
    <w:rsid w:val="00EF3261"/>
    <w:rsid w:val="00EF3B6B"/>
    <w:rsid w:val="00EF4B43"/>
    <w:rsid w:val="00EF6750"/>
    <w:rsid w:val="00EF770B"/>
    <w:rsid w:val="00F02836"/>
    <w:rsid w:val="00F02FB5"/>
    <w:rsid w:val="00F0534E"/>
    <w:rsid w:val="00F05C30"/>
    <w:rsid w:val="00F065FC"/>
    <w:rsid w:val="00F10F1B"/>
    <w:rsid w:val="00F1214A"/>
    <w:rsid w:val="00F12418"/>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6269"/>
    <w:rsid w:val="00F5785C"/>
    <w:rsid w:val="00F65E3C"/>
    <w:rsid w:val="00F66C6A"/>
    <w:rsid w:val="00F67076"/>
    <w:rsid w:val="00F677FA"/>
    <w:rsid w:val="00F7115A"/>
    <w:rsid w:val="00F717AA"/>
    <w:rsid w:val="00F72714"/>
    <w:rsid w:val="00F744C3"/>
    <w:rsid w:val="00F75EE2"/>
    <w:rsid w:val="00F75F69"/>
    <w:rsid w:val="00F76014"/>
    <w:rsid w:val="00F802D3"/>
    <w:rsid w:val="00F80F94"/>
    <w:rsid w:val="00F81BA2"/>
    <w:rsid w:val="00F823A4"/>
    <w:rsid w:val="00F83CC2"/>
    <w:rsid w:val="00F8412F"/>
    <w:rsid w:val="00F84791"/>
    <w:rsid w:val="00F85995"/>
    <w:rsid w:val="00F85FC5"/>
    <w:rsid w:val="00F86C22"/>
    <w:rsid w:val="00F901D6"/>
    <w:rsid w:val="00F90CB3"/>
    <w:rsid w:val="00F912A2"/>
    <w:rsid w:val="00F913A3"/>
    <w:rsid w:val="00F925C3"/>
    <w:rsid w:val="00F942BC"/>
    <w:rsid w:val="00FA0109"/>
    <w:rsid w:val="00FA458B"/>
    <w:rsid w:val="00FA5EC5"/>
    <w:rsid w:val="00FA7016"/>
    <w:rsid w:val="00FA7174"/>
    <w:rsid w:val="00FA76E7"/>
    <w:rsid w:val="00FA793D"/>
    <w:rsid w:val="00FB020E"/>
    <w:rsid w:val="00FB0F17"/>
    <w:rsid w:val="00FB46B2"/>
    <w:rsid w:val="00FB4B9D"/>
    <w:rsid w:val="00FB50ED"/>
    <w:rsid w:val="00FB6E18"/>
    <w:rsid w:val="00FB7618"/>
    <w:rsid w:val="00FC144B"/>
    <w:rsid w:val="00FC2169"/>
    <w:rsid w:val="00FC28E2"/>
    <w:rsid w:val="00FC3BF6"/>
    <w:rsid w:val="00FC3D22"/>
    <w:rsid w:val="00FC6FE1"/>
    <w:rsid w:val="00FD0386"/>
    <w:rsid w:val="00FD0C3D"/>
    <w:rsid w:val="00FD2F6B"/>
    <w:rsid w:val="00FD5C92"/>
    <w:rsid w:val="00FE064A"/>
    <w:rsid w:val="00FE0B55"/>
    <w:rsid w:val="00FE1E98"/>
    <w:rsid w:val="00FE2452"/>
    <w:rsid w:val="00FE34A6"/>
    <w:rsid w:val="00FE3B09"/>
    <w:rsid w:val="00FE5469"/>
    <w:rsid w:val="00FE6484"/>
    <w:rsid w:val="00FE66C2"/>
    <w:rsid w:val="00FE684A"/>
    <w:rsid w:val="00FE6F23"/>
    <w:rsid w:val="00FF0F8C"/>
    <w:rsid w:val="00FF408B"/>
    <w:rsid w:val="00FF43E1"/>
    <w:rsid w:val="00FF522A"/>
    <w:rsid w:val="00FF6039"/>
    <w:rsid w:val="020D4A91"/>
    <w:rsid w:val="026277FB"/>
    <w:rsid w:val="03430854"/>
    <w:rsid w:val="039F5FA6"/>
    <w:rsid w:val="04F8686E"/>
    <w:rsid w:val="09305ADA"/>
    <w:rsid w:val="0E8013B7"/>
    <w:rsid w:val="0FBF2C09"/>
    <w:rsid w:val="0FD6FAB7"/>
    <w:rsid w:val="10D604C6"/>
    <w:rsid w:val="11B515E0"/>
    <w:rsid w:val="120B0450"/>
    <w:rsid w:val="13A53267"/>
    <w:rsid w:val="13F970D2"/>
    <w:rsid w:val="14AA4136"/>
    <w:rsid w:val="163A420B"/>
    <w:rsid w:val="16BB7627"/>
    <w:rsid w:val="19413B26"/>
    <w:rsid w:val="19E63F92"/>
    <w:rsid w:val="1BEB2909"/>
    <w:rsid w:val="1C6D3688"/>
    <w:rsid w:val="1CC63D0A"/>
    <w:rsid w:val="1DC2081A"/>
    <w:rsid w:val="1DD94266"/>
    <w:rsid w:val="1F9D0947"/>
    <w:rsid w:val="1FFB29C6"/>
    <w:rsid w:val="22AF3620"/>
    <w:rsid w:val="22E70AD4"/>
    <w:rsid w:val="24F1508D"/>
    <w:rsid w:val="266F634F"/>
    <w:rsid w:val="291059EA"/>
    <w:rsid w:val="2BBF12EC"/>
    <w:rsid w:val="2BC649D9"/>
    <w:rsid w:val="33EB7A8A"/>
    <w:rsid w:val="342C7624"/>
    <w:rsid w:val="3515160D"/>
    <w:rsid w:val="3B4F2220"/>
    <w:rsid w:val="3C7D00D8"/>
    <w:rsid w:val="3CA06C0C"/>
    <w:rsid w:val="3D9BDD43"/>
    <w:rsid w:val="3EA25851"/>
    <w:rsid w:val="3EADF410"/>
    <w:rsid w:val="3EFD5568"/>
    <w:rsid w:val="3F6C3757"/>
    <w:rsid w:val="3F991CD9"/>
    <w:rsid w:val="3FFFEB0E"/>
    <w:rsid w:val="405D6A10"/>
    <w:rsid w:val="415F6B00"/>
    <w:rsid w:val="41DA6594"/>
    <w:rsid w:val="444C1A75"/>
    <w:rsid w:val="44A3526F"/>
    <w:rsid w:val="44B032F4"/>
    <w:rsid w:val="457D25F7"/>
    <w:rsid w:val="468341CD"/>
    <w:rsid w:val="472C2589"/>
    <w:rsid w:val="496F704B"/>
    <w:rsid w:val="497C069A"/>
    <w:rsid w:val="4A760AEB"/>
    <w:rsid w:val="4B2B5207"/>
    <w:rsid w:val="4F3162CA"/>
    <w:rsid w:val="4FBD7836"/>
    <w:rsid w:val="4FDB03CC"/>
    <w:rsid w:val="50D95873"/>
    <w:rsid w:val="526102AF"/>
    <w:rsid w:val="528444DA"/>
    <w:rsid w:val="537745D5"/>
    <w:rsid w:val="53B95916"/>
    <w:rsid w:val="552306F6"/>
    <w:rsid w:val="55371145"/>
    <w:rsid w:val="56E352D5"/>
    <w:rsid w:val="57E435FE"/>
    <w:rsid w:val="582D0655"/>
    <w:rsid w:val="587D3687"/>
    <w:rsid w:val="5951205C"/>
    <w:rsid w:val="59D079E8"/>
    <w:rsid w:val="59D40847"/>
    <w:rsid w:val="5AE37F25"/>
    <w:rsid w:val="5B8214E7"/>
    <w:rsid w:val="5BB57F47"/>
    <w:rsid w:val="5BDFD0C1"/>
    <w:rsid w:val="5CB23D47"/>
    <w:rsid w:val="5FAF09C4"/>
    <w:rsid w:val="5FFFC6AC"/>
    <w:rsid w:val="608C4642"/>
    <w:rsid w:val="62795572"/>
    <w:rsid w:val="642134CE"/>
    <w:rsid w:val="64AB4DE4"/>
    <w:rsid w:val="64DD6417"/>
    <w:rsid w:val="64FE0F10"/>
    <w:rsid w:val="66004745"/>
    <w:rsid w:val="6A567F20"/>
    <w:rsid w:val="6CD97953"/>
    <w:rsid w:val="6D6F6F8F"/>
    <w:rsid w:val="6DE474E6"/>
    <w:rsid w:val="6E5F2C16"/>
    <w:rsid w:val="6ED30FD7"/>
    <w:rsid w:val="727D78FD"/>
    <w:rsid w:val="730275C0"/>
    <w:rsid w:val="73CC655F"/>
    <w:rsid w:val="74D31A63"/>
    <w:rsid w:val="74E5774F"/>
    <w:rsid w:val="75957445"/>
    <w:rsid w:val="759A4F6B"/>
    <w:rsid w:val="75D01AE1"/>
    <w:rsid w:val="76BF544F"/>
    <w:rsid w:val="77524363"/>
    <w:rsid w:val="776EFDA0"/>
    <w:rsid w:val="77B917B5"/>
    <w:rsid w:val="77FD42D4"/>
    <w:rsid w:val="78703975"/>
    <w:rsid w:val="7A8229B4"/>
    <w:rsid w:val="7BE420FD"/>
    <w:rsid w:val="7D0D296B"/>
    <w:rsid w:val="7D4E0B54"/>
    <w:rsid w:val="7D503E78"/>
    <w:rsid w:val="7D6B6E9E"/>
    <w:rsid w:val="7DF77810"/>
    <w:rsid w:val="7E0160D4"/>
    <w:rsid w:val="7FBA211F"/>
    <w:rsid w:val="7FBF61F2"/>
    <w:rsid w:val="7FCFB00A"/>
    <w:rsid w:val="7FE14438"/>
    <w:rsid w:val="BB9B6E02"/>
    <w:rsid w:val="BEFCABC3"/>
    <w:rsid w:val="CB5D9946"/>
    <w:rsid w:val="D6FFA961"/>
    <w:rsid w:val="DDA54D44"/>
    <w:rsid w:val="DDFE4F2E"/>
    <w:rsid w:val="DEBBFF37"/>
    <w:rsid w:val="DF6F4CA7"/>
    <w:rsid w:val="DF79C930"/>
    <w:rsid w:val="DFFA2868"/>
    <w:rsid w:val="E8F79A08"/>
    <w:rsid w:val="ED8FEBB4"/>
    <w:rsid w:val="EEDD1A31"/>
    <w:rsid w:val="F5FF3043"/>
    <w:rsid w:val="F68D2476"/>
    <w:rsid w:val="F7FA797B"/>
    <w:rsid w:val="F9EFC294"/>
    <w:rsid w:val="FAF3E1E0"/>
    <w:rsid w:val="FB6FE209"/>
    <w:rsid w:val="FDFDF957"/>
    <w:rsid w:val="FFE79247"/>
    <w:rsid w:val="FFF3A7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qFormat="1" w:unhideWhenUsed="0" w:uiPriority="0" w:semiHidden="0" w:name="table of authorities"/>
    <w:lsdException w:uiPriority="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99"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qFormat="1"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99"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iPriority="99"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10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11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111"/>
    <w:autoRedefine/>
    <w:qFormat/>
    <w:uiPriority w:val="9"/>
    <w:pPr>
      <w:keepNext/>
      <w:keepLines/>
      <w:numPr>
        <w:ilvl w:val="2"/>
        <w:numId w:val="1"/>
      </w:numPr>
      <w:spacing w:before="120" w:after="120"/>
      <w:ind w:firstLine="0" w:firstLineChars="0"/>
      <w:outlineLvl w:val="2"/>
    </w:pPr>
    <w:rPr>
      <w:b/>
      <w:bCs/>
      <w:szCs w:val="28"/>
    </w:rPr>
  </w:style>
  <w:style w:type="paragraph" w:styleId="5">
    <w:name w:val="heading 4"/>
    <w:basedOn w:val="1"/>
    <w:next w:val="1"/>
    <w:link w:val="8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11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2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102"/>
    <w:autoRedefine/>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128"/>
    <w:autoRedefine/>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78"/>
    <w:autoRedefine/>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63">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等线" w:hAnsi="等线" w:eastAsia="等线"/>
      <w:szCs w:val="22"/>
    </w:rPr>
  </w:style>
  <w:style w:type="paragraph" w:styleId="12">
    <w:name w:val="table of authorities"/>
    <w:basedOn w:val="1"/>
    <w:next w:val="1"/>
    <w:autoRedefine/>
    <w:qFormat/>
    <w:uiPriority w:val="0"/>
    <w:pPr>
      <w:widowControl/>
      <w:spacing w:line="240" w:lineRule="auto"/>
      <w:ind w:left="420" w:leftChars="200" w:firstLine="0" w:firstLineChars="0"/>
      <w:jc w:val="left"/>
    </w:pPr>
    <w:rPr>
      <w:rFonts w:ascii="Times New Roman" w:hAnsi="Times New Roman"/>
      <w:kern w:val="0"/>
    </w:rPr>
  </w:style>
  <w:style w:type="paragraph" w:styleId="13">
    <w:name w:val="List Bullet 4"/>
    <w:basedOn w:val="1"/>
    <w:autoRedefine/>
    <w:unhideWhenUsed/>
    <w:qFormat/>
    <w:uiPriority w:val="0"/>
    <w:pPr>
      <w:widowControl/>
      <w:numPr>
        <w:ilvl w:val="0"/>
        <w:numId w:val="2"/>
      </w:numPr>
      <w:tabs>
        <w:tab w:val="clear" w:pos="1620"/>
      </w:tabs>
      <w:spacing w:line="240" w:lineRule="auto"/>
      <w:ind w:left="420" w:leftChars="0" w:hanging="420" w:firstLineChars="0"/>
      <w:contextualSpacing/>
      <w:jc w:val="left"/>
    </w:pPr>
    <w:rPr>
      <w:rFonts w:ascii="Calibri" w:hAnsi="Calibri"/>
      <w:kern w:val="0"/>
    </w:rPr>
  </w:style>
  <w:style w:type="paragraph" w:styleId="14">
    <w:name w:val="index 8"/>
    <w:basedOn w:val="1"/>
    <w:next w:val="1"/>
    <w:autoRedefine/>
    <w:qFormat/>
    <w:uiPriority w:val="0"/>
    <w:pPr>
      <w:widowControl/>
      <w:ind w:left="1680" w:hanging="210" w:firstLineChars="0"/>
      <w:jc w:val="left"/>
    </w:pPr>
    <w:rPr>
      <w:rFonts w:ascii="Calibri" w:hAnsi="Calibri"/>
      <w:kern w:val="0"/>
      <w:sz w:val="20"/>
      <w:szCs w:val="20"/>
    </w:rPr>
  </w:style>
  <w:style w:type="paragraph" w:styleId="15">
    <w:name w:val="List Number"/>
    <w:basedOn w:val="1"/>
    <w:autoRedefine/>
    <w:qFormat/>
    <w:uiPriority w:val="99"/>
    <w:pPr>
      <w:widowControl/>
      <w:numPr>
        <w:ilvl w:val="0"/>
        <w:numId w:val="3"/>
      </w:numPr>
      <w:ind w:firstLine="0"/>
      <w:contextualSpacing/>
      <w:jc w:val="left"/>
    </w:pPr>
    <w:rPr>
      <w:rFonts w:ascii="Arial" w:hAnsi="Arial" w:eastAsia="仿宋_GB2312"/>
      <w:kern w:val="0"/>
      <w:sz w:val="28"/>
      <w:szCs w:val="28"/>
    </w:rPr>
  </w:style>
  <w:style w:type="paragraph" w:styleId="16">
    <w:name w:val="Normal Indent"/>
    <w:basedOn w:val="1"/>
    <w:link w:val="192"/>
    <w:autoRedefine/>
    <w:unhideWhenUsed/>
    <w:qFormat/>
    <w:uiPriority w:val="99"/>
    <w:pPr>
      <w:spacing w:line="240" w:lineRule="auto"/>
      <w:ind w:firstLine="420"/>
    </w:pPr>
    <w:rPr>
      <w:rFonts w:ascii="Calibri" w:hAnsi="Calibri"/>
      <w:sz w:val="21"/>
    </w:rPr>
  </w:style>
  <w:style w:type="paragraph" w:styleId="17">
    <w:name w:val="caption"/>
    <w:basedOn w:val="1"/>
    <w:next w:val="1"/>
    <w:link w:val="84"/>
    <w:autoRedefine/>
    <w:qFormat/>
    <w:uiPriority w:val="0"/>
    <w:pPr>
      <w:spacing w:afterLines="50"/>
      <w:ind w:firstLine="200"/>
    </w:pPr>
    <w:rPr>
      <w:rFonts w:ascii="Arial" w:hAnsi="Arial" w:eastAsia="黑体"/>
      <w:sz w:val="20"/>
      <w:szCs w:val="20"/>
    </w:rPr>
  </w:style>
  <w:style w:type="paragraph" w:styleId="18">
    <w:name w:val="index 5"/>
    <w:basedOn w:val="1"/>
    <w:next w:val="1"/>
    <w:autoRedefine/>
    <w:qFormat/>
    <w:uiPriority w:val="0"/>
    <w:pPr>
      <w:widowControl/>
      <w:ind w:left="1050" w:hanging="210" w:firstLineChars="0"/>
      <w:jc w:val="left"/>
    </w:pPr>
    <w:rPr>
      <w:rFonts w:ascii="Calibri" w:hAnsi="Calibri"/>
      <w:kern w:val="0"/>
      <w:sz w:val="20"/>
      <w:szCs w:val="20"/>
    </w:rPr>
  </w:style>
  <w:style w:type="paragraph" w:styleId="19">
    <w:name w:val="List Bullet"/>
    <w:basedOn w:val="1"/>
    <w:autoRedefine/>
    <w:qFormat/>
    <w:uiPriority w:val="0"/>
    <w:pPr>
      <w:widowControl/>
      <w:numPr>
        <w:ilvl w:val="0"/>
        <w:numId w:val="4"/>
      </w:numPr>
      <w:ind w:firstLine="0" w:firstLineChars="0"/>
      <w:jc w:val="left"/>
    </w:pPr>
    <w:rPr>
      <w:rFonts w:ascii="Times New Roman" w:hAnsi="Times New Roman"/>
      <w:kern w:val="0"/>
    </w:rPr>
  </w:style>
  <w:style w:type="paragraph" w:styleId="20">
    <w:name w:val="Document Map"/>
    <w:basedOn w:val="1"/>
    <w:link w:val="121"/>
    <w:autoRedefine/>
    <w:qFormat/>
    <w:uiPriority w:val="0"/>
    <w:rPr>
      <w:rFonts w:hAnsi="Times New Roman"/>
      <w:sz w:val="18"/>
      <w:szCs w:val="18"/>
    </w:rPr>
  </w:style>
  <w:style w:type="paragraph" w:styleId="21">
    <w:name w:val="toa heading"/>
    <w:basedOn w:val="1"/>
    <w:next w:val="1"/>
    <w:autoRedefine/>
    <w:qFormat/>
    <w:uiPriority w:val="0"/>
    <w:pPr>
      <w:widowControl/>
      <w:spacing w:line="240" w:lineRule="auto"/>
      <w:ind w:firstLine="0" w:firstLineChars="0"/>
      <w:jc w:val="left"/>
    </w:pPr>
    <w:rPr>
      <w:rFonts w:ascii="Arial" w:hAnsi="Arial"/>
      <w:kern w:val="0"/>
    </w:rPr>
  </w:style>
  <w:style w:type="paragraph" w:styleId="22">
    <w:name w:val="annotation text"/>
    <w:basedOn w:val="1"/>
    <w:link w:val="75"/>
    <w:autoRedefine/>
    <w:qFormat/>
    <w:uiPriority w:val="0"/>
    <w:pPr>
      <w:jc w:val="left"/>
    </w:pPr>
    <w:rPr>
      <w:rFonts w:ascii="Times New Roman" w:hAnsi="Times New Roman" w:eastAsia="仿宋"/>
      <w:sz w:val="28"/>
    </w:rPr>
  </w:style>
  <w:style w:type="paragraph" w:styleId="23">
    <w:name w:val="index 6"/>
    <w:basedOn w:val="1"/>
    <w:next w:val="1"/>
    <w:autoRedefine/>
    <w:qFormat/>
    <w:uiPriority w:val="0"/>
    <w:pPr>
      <w:widowControl/>
      <w:ind w:left="1260" w:hanging="210" w:firstLineChars="0"/>
      <w:jc w:val="left"/>
    </w:pPr>
    <w:rPr>
      <w:rFonts w:ascii="Calibri" w:hAnsi="Calibri"/>
      <w:kern w:val="0"/>
      <w:sz w:val="20"/>
      <w:szCs w:val="20"/>
    </w:rPr>
  </w:style>
  <w:style w:type="paragraph" w:styleId="24">
    <w:name w:val="Body Text 3"/>
    <w:basedOn w:val="1"/>
    <w:link w:val="168"/>
    <w:autoRedefine/>
    <w:qFormat/>
    <w:uiPriority w:val="0"/>
    <w:pPr>
      <w:widowControl/>
      <w:spacing w:after="120" w:line="240" w:lineRule="auto"/>
      <w:ind w:firstLine="0" w:firstLineChars="0"/>
      <w:jc w:val="left"/>
    </w:pPr>
    <w:rPr>
      <w:rFonts w:ascii="Times New Roman" w:hAnsi="Times New Roman"/>
      <w:kern w:val="0"/>
      <w:sz w:val="16"/>
      <w:szCs w:val="16"/>
    </w:rPr>
  </w:style>
  <w:style w:type="paragraph" w:styleId="25">
    <w:name w:val="Body Text"/>
    <w:basedOn w:val="1"/>
    <w:next w:val="1"/>
    <w:link w:val="89"/>
    <w:autoRedefine/>
    <w:unhideWhenUsed/>
    <w:qFormat/>
    <w:uiPriority w:val="99"/>
    <w:pPr>
      <w:spacing w:after="120" w:line="240" w:lineRule="auto"/>
      <w:ind w:firstLine="0" w:firstLineChars="0"/>
    </w:pPr>
    <w:rPr>
      <w:rFonts w:ascii="Times New Roman" w:hAnsi="Times New Roman"/>
      <w:sz w:val="21"/>
    </w:rPr>
  </w:style>
  <w:style w:type="paragraph" w:styleId="26">
    <w:name w:val="Body Text Indent"/>
    <w:basedOn w:val="1"/>
    <w:link w:val="115"/>
    <w:autoRedefine/>
    <w:qFormat/>
    <w:uiPriority w:val="99"/>
    <w:pPr>
      <w:spacing w:after="120"/>
      <w:ind w:firstLine="200"/>
    </w:pPr>
    <w:rPr>
      <w:rFonts w:ascii="Times New Roman" w:hAnsi="Times New Roman"/>
      <w:sz w:val="21"/>
      <w:szCs w:val="20"/>
    </w:rPr>
  </w:style>
  <w:style w:type="paragraph" w:styleId="27">
    <w:name w:val="index 4"/>
    <w:basedOn w:val="1"/>
    <w:next w:val="1"/>
    <w:autoRedefine/>
    <w:qFormat/>
    <w:uiPriority w:val="0"/>
    <w:pPr>
      <w:widowControl/>
      <w:ind w:left="840" w:hanging="210" w:firstLineChars="0"/>
      <w:jc w:val="left"/>
    </w:pPr>
    <w:rPr>
      <w:rFonts w:ascii="Calibri" w:hAnsi="Calibri"/>
      <w:kern w:val="0"/>
      <w:sz w:val="20"/>
      <w:szCs w:val="20"/>
    </w:rPr>
  </w:style>
  <w:style w:type="paragraph" w:styleId="28">
    <w:name w:val="toc 5"/>
    <w:basedOn w:val="1"/>
    <w:next w:val="1"/>
    <w:autoRedefine/>
    <w:unhideWhenUsed/>
    <w:qFormat/>
    <w:uiPriority w:val="39"/>
    <w:pPr>
      <w:ind w:left="1680" w:leftChars="800"/>
    </w:pPr>
    <w:rPr>
      <w:rFonts w:ascii="等线" w:hAnsi="等线" w:eastAsia="等线"/>
      <w:szCs w:val="22"/>
    </w:rPr>
  </w:style>
  <w:style w:type="paragraph" w:styleId="29">
    <w:name w:val="toc 3"/>
    <w:basedOn w:val="1"/>
    <w:next w:val="1"/>
    <w:autoRedefine/>
    <w:qFormat/>
    <w:uiPriority w:val="39"/>
    <w:pPr>
      <w:tabs>
        <w:tab w:val="right" w:leader="dot" w:pos="8302"/>
      </w:tabs>
      <w:ind w:left="840" w:leftChars="400"/>
    </w:pPr>
  </w:style>
  <w:style w:type="paragraph" w:styleId="30">
    <w:name w:val="Plain Text"/>
    <w:basedOn w:val="1"/>
    <w:link w:val="96"/>
    <w:autoRedefine/>
    <w:qFormat/>
    <w:uiPriority w:val="0"/>
    <w:pPr>
      <w:spacing w:line="240" w:lineRule="auto"/>
      <w:ind w:firstLine="0" w:firstLineChars="0"/>
    </w:pPr>
    <w:rPr>
      <w:rFonts w:hAnsi="Courier New"/>
      <w:sz w:val="21"/>
      <w:szCs w:val="20"/>
    </w:rPr>
  </w:style>
  <w:style w:type="paragraph" w:styleId="31">
    <w:name w:val="toc 8"/>
    <w:basedOn w:val="1"/>
    <w:next w:val="1"/>
    <w:autoRedefine/>
    <w:unhideWhenUsed/>
    <w:qFormat/>
    <w:uiPriority w:val="39"/>
    <w:pPr>
      <w:ind w:left="2940" w:leftChars="1400"/>
    </w:pPr>
    <w:rPr>
      <w:rFonts w:ascii="等线" w:hAnsi="等线" w:eastAsia="等线"/>
      <w:szCs w:val="22"/>
    </w:rPr>
  </w:style>
  <w:style w:type="paragraph" w:styleId="32">
    <w:name w:val="index 3"/>
    <w:basedOn w:val="1"/>
    <w:next w:val="1"/>
    <w:autoRedefine/>
    <w:qFormat/>
    <w:uiPriority w:val="0"/>
    <w:pPr>
      <w:widowControl/>
      <w:ind w:left="630" w:hanging="210" w:firstLineChars="0"/>
      <w:jc w:val="left"/>
    </w:pPr>
    <w:rPr>
      <w:rFonts w:ascii="Calibri" w:hAnsi="Calibri"/>
      <w:kern w:val="0"/>
      <w:sz w:val="20"/>
      <w:szCs w:val="20"/>
    </w:rPr>
  </w:style>
  <w:style w:type="paragraph" w:styleId="33">
    <w:name w:val="Date"/>
    <w:basedOn w:val="1"/>
    <w:next w:val="1"/>
    <w:link w:val="77"/>
    <w:autoRedefine/>
    <w:qFormat/>
    <w:uiPriority w:val="0"/>
    <w:pPr>
      <w:ind w:left="100" w:leftChars="2500"/>
    </w:pPr>
    <w:rPr>
      <w:rFonts w:ascii="Times New Roman" w:hAnsi="Times New Roman"/>
      <w:sz w:val="21"/>
    </w:rPr>
  </w:style>
  <w:style w:type="paragraph" w:styleId="34">
    <w:name w:val="Body Text Indent 2"/>
    <w:basedOn w:val="1"/>
    <w:link w:val="169"/>
    <w:autoRedefine/>
    <w:qFormat/>
    <w:uiPriority w:val="99"/>
    <w:pPr>
      <w:widowControl/>
      <w:spacing w:beforeLines="50"/>
      <w:jc w:val="left"/>
    </w:pPr>
    <w:rPr>
      <w:kern w:val="0"/>
    </w:rPr>
  </w:style>
  <w:style w:type="paragraph" w:styleId="35">
    <w:name w:val="endnote text"/>
    <w:basedOn w:val="1"/>
    <w:link w:val="170"/>
    <w:autoRedefine/>
    <w:semiHidden/>
    <w:qFormat/>
    <w:uiPriority w:val="0"/>
    <w:pPr>
      <w:widowControl/>
      <w:snapToGrid w:val="0"/>
      <w:ind w:firstLine="0" w:firstLineChars="0"/>
      <w:jc w:val="left"/>
    </w:pPr>
    <w:rPr>
      <w:rFonts w:ascii="Calibri" w:hAnsi="Calibri"/>
      <w:kern w:val="0"/>
      <w:sz w:val="28"/>
    </w:rPr>
  </w:style>
  <w:style w:type="paragraph" w:styleId="36">
    <w:name w:val="Balloon Text"/>
    <w:basedOn w:val="1"/>
    <w:link w:val="126"/>
    <w:autoRedefine/>
    <w:qFormat/>
    <w:uiPriority w:val="0"/>
    <w:rPr>
      <w:rFonts w:ascii="Times New Roman" w:hAnsi="Times New Roman"/>
      <w:sz w:val="18"/>
      <w:szCs w:val="18"/>
    </w:rPr>
  </w:style>
  <w:style w:type="paragraph" w:styleId="37">
    <w:name w:val="footer"/>
    <w:basedOn w:val="1"/>
    <w:link w:val="119"/>
    <w:autoRedefine/>
    <w:qFormat/>
    <w:uiPriority w:val="99"/>
    <w:pPr>
      <w:tabs>
        <w:tab w:val="center" w:pos="4153"/>
        <w:tab w:val="right" w:pos="8306"/>
      </w:tabs>
      <w:snapToGrid w:val="0"/>
      <w:jc w:val="center"/>
    </w:pPr>
    <w:rPr>
      <w:rFonts w:ascii="Times New Roman" w:hAnsi="Times New Roman"/>
      <w:sz w:val="18"/>
      <w:szCs w:val="18"/>
    </w:rPr>
  </w:style>
  <w:style w:type="paragraph" w:styleId="38">
    <w:name w:val="header"/>
    <w:basedOn w:val="1"/>
    <w:link w:val="127"/>
    <w:autoRedefine/>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39">
    <w:name w:val="toc 1"/>
    <w:basedOn w:val="1"/>
    <w:next w:val="1"/>
    <w:autoRedefine/>
    <w:qFormat/>
    <w:uiPriority w:val="39"/>
  </w:style>
  <w:style w:type="paragraph" w:styleId="40">
    <w:name w:val="toc 4"/>
    <w:basedOn w:val="1"/>
    <w:next w:val="1"/>
    <w:unhideWhenUsed/>
    <w:qFormat/>
    <w:uiPriority w:val="39"/>
    <w:pPr>
      <w:ind w:left="1260" w:leftChars="600"/>
    </w:pPr>
    <w:rPr>
      <w:rFonts w:ascii="等线" w:hAnsi="等线" w:eastAsia="等线"/>
      <w:szCs w:val="22"/>
    </w:rPr>
  </w:style>
  <w:style w:type="paragraph" w:styleId="41">
    <w:name w:val="index heading"/>
    <w:basedOn w:val="1"/>
    <w:next w:val="42"/>
    <w:autoRedefine/>
    <w:qFormat/>
    <w:uiPriority w:val="0"/>
    <w:pPr>
      <w:widowControl/>
      <w:spacing w:before="120" w:after="120"/>
      <w:ind w:firstLine="0" w:firstLineChars="0"/>
      <w:jc w:val="center"/>
    </w:pPr>
    <w:rPr>
      <w:rFonts w:ascii="Calibri" w:hAnsi="Calibri"/>
      <w:b/>
      <w:bCs/>
      <w:iCs/>
      <w:kern w:val="0"/>
      <w:sz w:val="28"/>
      <w:szCs w:val="20"/>
    </w:rPr>
  </w:style>
  <w:style w:type="paragraph" w:styleId="42">
    <w:name w:val="index 1"/>
    <w:basedOn w:val="1"/>
    <w:next w:val="1"/>
    <w:autoRedefine/>
    <w:unhideWhenUsed/>
    <w:qFormat/>
    <w:uiPriority w:val="0"/>
    <w:pPr>
      <w:ind w:firstLine="0"/>
    </w:pPr>
  </w:style>
  <w:style w:type="paragraph" w:styleId="43">
    <w:name w:val="Subtitle"/>
    <w:basedOn w:val="1"/>
    <w:next w:val="1"/>
    <w:link w:val="117"/>
    <w:qFormat/>
    <w:uiPriority w:val="99"/>
    <w:pPr>
      <w:spacing w:before="240" w:after="60" w:line="312" w:lineRule="auto"/>
      <w:jc w:val="center"/>
      <w:outlineLvl w:val="1"/>
    </w:pPr>
    <w:rPr>
      <w:rFonts w:ascii="Calibri Light" w:hAnsi="Calibri Light"/>
      <w:b/>
      <w:bCs/>
      <w:kern w:val="28"/>
      <w:sz w:val="32"/>
      <w:szCs w:val="32"/>
    </w:rPr>
  </w:style>
  <w:style w:type="paragraph" w:styleId="44">
    <w:name w:val="footnote text"/>
    <w:basedOn w:val="1"/>
    <w:link w:val="171"/>
    <w:autoRedefine/>
    <w:qFormat/>
    <w:uiPriority w:val="0"/>
    <w:pPr>
      <w:widowControl/>
      <w:numPr>
        <w:ilvl w:val="0"/>
        <w:numId w:val="5"/>
      </w:numPr>
      <w:snapToGrid w:val="0"/>
      <w:ind w:firstLine="0" w:firstLineChars="0"/>
      <w:jc w:val="left"/>
    </w:pPr>
    <w:rPr>
      <w:rFonts w:hAnsi="Calibri"/>
      <w:kern w:val="0"/>
      <w:sz w:val="18"/>
      <w:szCs w:val="18"/>
    </w:rPr>
  </w:style>
  <w:style w:type="paragraph" w:styleId="45">
    <w:name w:val="toc 6"/>
    <w:basedOn w:val="1"/>
    <w:next w:val="1"/>
    <w:autoRedefine/>
    <w:unhideWhenUsed/>
    <w:qFormat/>
    <w:uiPriority w:val="39"/>
    <w:pPr>
      <w:ind w:left="2100" w:leftChars="1000"/>
    </w:pPr>
    <w:rPr>
      <w:rFonts w:ascii="等线" w:hAnsi="等线" w:eastAsia="等线"/>
      <w:szCs w:val="22"/>
    </w:rPr>
  </w:style>
  <w:style w:type="paragraph" w:styleId="46">
    <w:name w:val="index 7"/>
    <w:basedOn w:val="1"/>
    <w:next w:val="1"/>
    <w:autoRedefine/>
    <w:qFormat/>
    <w:uiPriority w:val="0"/>
    <w:pPr>
      <w:widowControl/>
      <w:ind w:left="1470" w:hanging="210" w:firstLineChars="0"/>
      <w:jc w:val="left"/>
    </w:pPr>
    <w:rPr>
      <w:rFonts w:ascii="Calibri" w:hAnsi="Calibri"/>
      <w:kern w:val="0"/>
      <w:sz w:val="20"/>
      <w:szCs w:val="20"/>
    </w:rPr>
  </w:style>
  <w:style w:type="paragraph" w:styleId="47">
    <w:name w:val="index 9"/>
    <w:basedOn w:val="1"/>
    <w:next w:val="1"/>
    <w:autoRedefine/>
    <w:qFormat/>
    <w:uiPriority w:val="0"/>
    <w:pPr>
      <w:widowControl/>
      <w:ind w:left="1890" w:hanging="210" w:firstLineChars="0"/>
      <w:jc w:val="left"/>
    </w:pPr>
    <w:rPr>
      <w:rFonts w:ascii="Calibri" w:hAnsi="Calibri"/>
      <w:kern w:val="0"/>
      <w:sz w:val="20"/>
      <w:szCs w:val="20"/>
    </w:rPr>
  </w:style>
  <w:style w:type="paragraph" w:styleId="48">
    <w:name w:val="table of figures"/>
    <w:basedOn w:val="1"/>
    <w:next w:val="1"/>
    <w:autoRedefine/>
    <w:unhideWhenUsed/>
    <w:qFormat/>
    <w:uiPriority w:val="0"/>
    <w:pPr>
      <w:widowControl/>
      <w:spacing w:line="240" w:lineRule="auto"/>
      <w:ind w:left="200" w:leftChars="200" w:hanging="200" w:hangingChars="200"/>
      <w:jc w:val="left"/>
    </w:pPr>
    <w:rPr>
      <w:rFonts w:ascii="Arial" w:hAnsi="Arial" w:eastAsia="微软雅黑"/>
      <w:kern w:val="0"/>
    </w:rPr>
  </w:style>
  <w:style w:type="paragraph" w:styleId="49">
    <w:name w:val="toc 2"/>
    <w:basedOn w:val="1"/>
    <w:next w:val="1"/>
    <w:autoRedefine/>
    <w:qFormat/>
    <w:uiPriority w:val="39"/>
    <w:pPr>
      <w:tabs>
        <w:tab w:val="right" w:leader="dot" w:pos="8302"/>
      </w:tabs>
      <w:ind w:left="420" w:leftChars="200"/>
    </w:pPr>
  </w:style>
  <w:style w:type="paragraph" w:styleId="50">
    <w:name w:val="toc 9"/>
    <w:basedOn w:val="1"/>
    <w:next w:val="1"/>
    <w:autoRedefine/>
    <w:unhideWhenUsed/>
    <w:qFormat/>
    <w:uiPriority w:val="39"/>
    <w:pPr>
      <w:ind w:left="3360" w:leftChars="1600"/>
    </w:pPr>
    <w:rPr>
      <w:rFonts w:ascii="等线" w:hAnsi="等线" w:eastAsia="等线"/>
      <w:szCs w:val="22"/>
    </w:rPr>
  </w:style>
  <w:style w:type="paragraph" w:styleId="51">
    <w:name w:val="Body Text 2"/>
    <w:basedOn w:val="1"/>
    <w:link w:val="172"/>
    <w:semiHidden/>
    <w:unhideWhenUsed/>
    <w:qFormat/>
    <w:uiPriority w:val="99"/>
    <w:pPr>
      <w:widowControl/>
      <w:spacing w:after="120" w:line="480" w:lineRule="auto"/>
      <w:ind w:firstLine="0" w:firstLineChars="0"/>
      <w:jc w:val="left"/>
    </w:pPr>
    <w:rPr>
      <w:rFonts w:cs="宋体"/>
      <w:kern w:val="0"/>
    </w:rPr>
  </w:style>
  <w:style w:type="paragraph" w:styleId="52">
    <w:name w:val="HTML Preformatted"/>
    <w:basedOn w:val="1"/>
    <w:link w:val="173"/>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line="300" w:lineRule="auto"/>
      <w:ind w:firstLine="0" w:firstLineChars="0"/>
      <w:jc w:val="left"/>
    </w:pPr>
    <w:rPr>
      <w:kern w:val="0"/>
      <w:lang w:val="zh-CN"/>
    </w:rPr>
  </w:style>
  <w:style w:type="paragraph" w:styleId="53">
    <w:name w:val="Normal (Web)"/>
    <w:basedOn w:val="1"/>
    <w:link w:val="193"/>
    <w:qFormat/>
    <w:uiPriority w:val="99"/>
    <w:pPr>
      <w:widowControl/>
      <w:spacing w:before="100" w:after="100"/>
      <w:jc w:val="left"/>
    </w:pPr>
    <w:rPr>
      <w:rFonts w:hint="eastAsia" w:ascii="Arial Unicode MS" w:hAnsi="Arial Unicode MS" w:eastAsia="Arial Unicode MS"/>
      <w:kern w:val="0"/>
    </w:rPr>
  </w:style>
  <w:style w:type="paragraph" w:styleId="54">
    <w:name w:val="index 2"/>
    <w:basedOn w:val="1"/>
    <w:next w:val="1"/>
    <w:autoRedefine/>
    <w:qFormat/>
    <w:uiPriority w:val="0"/>
    <w:pPr>
      <w:widowControl/>
      <w:ind w:left="420" w:hanging="210" w:firstLineChars="0"/>
      <w:jc w:val="left"/>
    </w:pPr>
    <w:rPr>
      <w:rFonts w:ascii="Calibri" w:hAnsi="Calibri"/>
      <w:kern w:val="0"/>
      <w:sz w:val="20"/>
      <w:szCs w:val="20"/>
    </w:rPr>
  </w:style>
  <w:style w:type="paragraph" w:styleId="55">
    <w:name w:val="Title"/>
    <w:basedOn w:val="1"/>
    <w:next w:val="1"/>
    <w:link w:val="125"/>
    <w:autoRedefine/>
    <w:qFormat/>
    <w:uiPriority w:val="10"/>
    <w:pPr>
      <w:spacing w:before="240" w:after="60" w:line="960" w:lineRule="auto"/>
      <w:jc w:val="center"/>
    </w:pPr>
    <w:rPr>
      <w:rFonts w:ascii="Cambria" w:hAnsi="Cambria" w:eastAsia="黑体"/>
      <w:b/>
      <w:bCs/>
      <w:sz w:val="52"/>
      <w:szCs w:val="32"/>
    </w:rPr>
  </w:style>
  <w:style w:type="paragraph" w:styleId="56">
    <w:name w:val="annotation subject"/>
    <w:basedOn w:val="22"/>
    <w:next w:val="22"/>
    <w:link w:val="113"/>
    <w:autoRedefine/>
    <w:qFormat/>
    <w:uiPriority w:val="99"/>
    <w:rPr>
      <w:b/>
      <w:bCs/>
      <w:sz w:val="21"/>
    </w:rPr>
  </w:style>
  <w:style w:type="paragraph" w:styleId="57">
    <w:name w:val="Body Text First Indent"/>
    <w:basedOn w:val="25"/>
    <w:link w:val="167"/>
    <w:autoRedefine/>
    <w:unhideWhenUsed/>
    <w:qFormat/>
    <w:uiPriority w:val="0"/>
    <w:pPr>
      <w:spacing w:line="360" w:lineRule="auto"/>
      <w:ind w:firstLine="420" w:firstLineChars="100"/>
    </w:pPr>
    <w:rPr>
      <w:rFonts w:ascii="宋体" w:hAnsi="宋体"/>
      <w:sz w:val="24"/>
    </w:rPr>
  </w:style>
  <w:style w:type="paragraph" w:styleId="58">
    <w:name w:val="Body Text First Indent 2"/>
    <w:basedOn w:val="1"/>
    <w:link w:val="174"/>
    <w:autoRedefine/>
    <w:qFormat/>
    <w:uiPriority w:val="0"/>
    <w:pPr>
      <w:widowControl/>
      <w:spacing w:afterLines="50" w:line="336" w:lineRule="auto"/>
      <w:ind w:firstLine="200"/>
      <w:jc w:val="left"/>
    </w:pPr>
    <w:rPr>
      <w:rFonts w:ascii="Times New Roman" w:hAnsi="Times New Roman"/>
      <w:kern w:val="0"/>
      <w:szCs w:val="28"/>
      <w:lang w:val="zh-CN"/>
    </w:rPr>
  </w:style>
  <w:style w:type="table" w:styleId="60">
    <w:name w:val="Table Grid"/>
    <w:basedOn w:val="59"/>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Grid 5"/>
    <w:basedOn w:val="59"/>
    <w:autoRedefine/>
    <w:semiHidden/>
    <w:unhideWhenUsed/>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62">
    <w:name w:val="Colorful List Accent 1"/>
    <w:basedOn w:val="59"/>
    <w:semiHidden/>
    <w:unhideWhenUsed/>
    <w:qFormat/>
    <w:uiPriority w:val="0"/>
    <w:rPr>
      <w:rFonts w:ascii="Calibri" w:hAnsi="Calibri"/>
      <w:kern w:val="2"/>
      <w:sz w:val="21"/>
      <w:szCs w:val="22"/>
    </w:rPr>
    <w:tblPr>
      <w:tblStyleRowBandSize w:val="1"/>
      <w:tblStyleColBandSize w:val="1"/>
    </w:tblPr>
    <w:tcPr>
      <w:shd w:val="clear" w:color="auto" w:fill="EDF2F8" w:themeFill="accent1" w:themeFillTint="19"/>
    </w:tcPr>
    <w:tblStylePr w:type="firstRow">
      <w:rPr>
        <w:b/>
        <w:bCs/>
        <w:color w:val="FFFFFF"/>
      </w:rPr>
      <w:tblPr/>
      <w:tcPr>
        <w:tcBorders>
          <w:bottom w:val="single" w:color="FFFFFF" w:themeColor="background1" w:sz="12" w:space="0"/>
        </w:tcBorders>
        <w:shd w:val="clear" w:color="auto" w:fill="9E3A38" w:themeFill="accent2" w:themeFillShade="CC"/>
      </w:tcPr>
    </w:tblStylePr>
    <w:tblStylePr w:type="lastRow">
      <w:rPr>
        <w:b/>
        <w:bCs/>
        <w:color w:val="9E3A38"/>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64">
    <w:name w:val="Strong"/>
    <w:basedOn w:val="63"/>
    <w:qFormat/>
    <w:uiPriority w:val="0"/>
    <w:rPr>
      <w:b/>
      <w:bCs/>
    </w:rPr>
  </w:style>
  <w:style w:type="character" w:styleId="65">
    <w:name w:val="endnote reference"/>
    <w:semiHidden/>
    <w:qFormat/>
    <w:uiPriority w:val="0"/>
    <w:rPr>
      <w:vertAlign w:val="superscript"/>
    </w:rPr>
  </w:style>
  <w:style w:type="character" w:styleId="66">
    <w:name w:val="page number"/>
    <w:basedOn w:val="63"/>
    <w:qFormat/>
    <w:uiPriority w:val="0"/>
  </w:style>
  <w:style w:type="character" w:styleId="67">
    <w:name w:val="FollowedHyperlink"/>
    <w:unhideWhenUsed/>
    <w:qFormat/>
    <w:uiPriority w:val="99"/>
    <w:rPr>
      <w:color w:val="954F72"/>
      <w:u w:val="single"/>
    </w:rPr>
  </w:style>
  <w:style w:type="character" w:styleId="68">
    <w:name w:val="Emphasis"/>
    <w:qFormat/>
    <w:uiPriority w:val="20"/>
    <w:rPr>
      <w:rFonts w:ascii="Calibri" w:hAnsi="Calibri"/>
      <w:b/>
      <w:i/>
      <w:iCs/>
    </w:rPr>
  </w:style>
  <w:style w:type="character" w:styleId="69">
    <w:name w:val="Hyperlink"/>
    <w:qFormat/>
    <w:uiPriority w:val="99"/>
    <w:rPr>
      <w:color w:val="0000FF"/>
      <w:u w:val="single"/>
    </w:rPr>
  </w:style>
  <w:style w:type="character" w:styleId="70">
    <w:name w:val="annotation reference"/>
    <w:autoRedefine/>
    <w:qFormat/>
    <w:uiPriority w:val="0"/>
    <w:rPr>
      <w:sz w:val="21"/>
      <w:szCs w:val="21"/>
    </w:rPr>
  </w:style>
  <w:style w:type="character" w:styleId="71">
    <w:name w:val="footnote reference"/>
    <w:semiHidden/>
    <w:qFormat/>
    <w:uiPriority w:val="0"/>
    <w:rPr>
      <w:vertAlign w:val="superscript"/>
    </w:rPr>
  </w:style>
  <w:style w:type="character" w:customStyle="1" w:styleId="72">
    <w:name w:val="标题 3 字符1"/>
    <w:autoRedefine/>
    <w:qFormat/>
    <w:uiPriority w:val="0"/>
    <w:rPr>
      <w:rFonts w:ascii="宋体" w:hAnsi="宋体"/>
      <w:b/>
      <w:bCs/>
      <w:kern w:val="2"/>
      <w:sz w:val="28"/>
      <w:szCs w:val="28"/>
    </w:rPr>
  </w:style>
  <w:style w:type="character" w:customStyle="1" w:styleId="73">
    <w:name w:val="首行缩进正文 Char"/>
    <w:link w:val="74"/>
    <w:qFormat/>
    <w:uiPriority w:val="0"/>
    <w:rPr>
      <w:kern w:val="2"/>
      <w:sz w:val="24"/>
    </w:rPr>
  </w:style>
  <w:style w:type="paragraph" w:customStyle="1" w:styleId="74">
    <w:name w:val="首行缩进正文"/>
    <w:basedOn w:val="1"/>
    <w:link w:val="7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75">
    <w:name w:val="批注文字 字符1"/>
    <w:link w:val="22"/>
    <w:autoRedefine/>
    <w:qFormat/>
    <w:uiPriority w:val="99"/>
    <w:rPr>
      <w:rFonts w:eastAsia="仿宋"/>
      <w:kern w:val="2"/>
      <w:sz w:val="28"/>
      <w:szCs w:val="24"/>
    </w:rPr>
  </w:style>
  <w:style w:type="character" w:customStyle="1" w:styleId="76">
    <w:name w:val="日期 字符"/>
    <w:qFormat/>
    <w:uiPriority w:val="99"/>
    <w:rPr>
      <w:rFonts w:ascii="宋体" w:hAnsi="宋体"/>
      <w:kern w:val="2"/>
      <w:sz w:val="24"/>
      <w:szCs w:val="24"/>
    </w:rPr>
  </w:style>
  <w:style w:type="character" w:customStyle="1" w:styleId="77">
    <w:name w:val="日期 字符1"/>
    <w:link w:val="33"/>
    <w:qFormat/>
    <w:uiPriority w:val="0"/>
    <w:rPr>
      <w:kern w:val="2"/>
      <w:sz w:val="21"/>
      <w:szCs w:val="24"/>
    </w:rPr>
  </w:style>
  <w:style w:type="character" w:customStyle="1" w:styleId="78">
    <w:name w:val="标题 9 字符"/>
    <w:link w:val="10"/>
    <w:qFormat/>
    <w:uiPriority w:val="9"/>
    <w:rPr>
      <w:rFonts w:ascii="Cambria" w:hAnsi="Cambria"/>
      <w:kern w:val="2"/>
      <w:sz w:val="21"/>
      <w:szCs w:val="21"/>
    </w:rPr>
  </w:style>
  <w:style w:type="character" w:customStyle="1" w:styleId="79">
    <w:name w:val="未处理的提及1"/>
    <w:unhideWhenUsed/>
    <w:qFormat/>
    <w:uiPriority w:val="99"/>
    <w:rPr>
      <w:color w:val="605E5C"/>
      <w:shd w:val="clear" w:color="auto" w:fill="E1DFDD"/>
    </w:rPr>
  </w:style>
  <w:style w:type="character" w:customStyle="1" w:styleId="80">
    <w:name w:val="标题 1 字符"/>
    <w:qFormat/>
    <w:uiPriority w:val="9"/>
    <w:rPr>
      <w:rFonts w:ascii="宋体" w:hAnsi="宋体"/>
      <w:b/>
      <w:bCs/>
      <w:kern w:val="44"/>
      <w:sz w:val="44"/>
      <w:szCs w:val="44"/>
    </w:rPr>
  </w:style>
  <w:style w:type="character" w:customStyle="1" w:styleId="81">
    <w:name w:val="标题 3 字符"/>
    <w:qFormat/>
    <w:uiPriority w:val="0"/>
    <w:rPr>
      <w:rFonts w:ascii="宋体" w:hAnsi="宋体"/>
      <w:b/>
      <w:bCs/>
      <w:kern w:val="2"/>
      <w:sz w:val="32"/>
      <w:szCs w:val="32"/>
    </w:rPr>
  </w:style>
  <w:style w:type="character" w:customStyle="1" w:styleId="82">
    <w:name w:val="页脚 字符"/>
    <w:qFormat/>
    <w:uiPriority w:val="99"/>
  </w:style>
  <w:style w:type="character" w:customStyle="1" w:styleId="83">
    <w:name w:val="标题 5 字符"/>
    <w:qFormat/>
    <w:uiPriority w:val="0"/>
    <w:rPr>
      <w:rFonts w:ascii="宋体" w:hAnsi="宋体"/>
      <w:b/>
      <w:bCs/>
      <w:kern w:val="2"/>
      <w:sz w:val="28"/>
      <w:szCs w:val="28"/>
    </w:rPr>
  </w:style>
  <w:style w:type="character" w:customStyle="1" w:styleId="84">
    <w:name w:val="题注 字符"/>
    <w:link w:val="17"/>
    <w:qFormat/>
    <w:locked/>
    <w:uiPriority w:val="0"/>
    <w:rPr>
      <w:rFonts w:ascii="Arial" w:hAnsi="Arial" w:eastAsia="黑体"/>
      <w:kern w:val="2"/>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纯文本 字符"/>
    <w:qFormat/>
    <w:uiPriority w:val="0"/>
    <w:rPr>
      <w:rFonts w:ascii="宋体" w:hAnsi="Courier New" w:cs="Courier New"/>
      <w:kern w:val="2"/>
      <w:sz w:val="21"/>
      <w:szCs w:val="21"/>
    </w:rPr>
  </w:style>
  <w:style w:type="character" w:customStyle="1" w:styleId="87">
    <w:name w:val="列表段落 字符"/>
    <w:qFormat/>
    <w:uiPriority w:val="34"/>
    <w:rPr>
      <w:kern w:val="2"/>
      <w:sz w:val="21"/>
      <w:szCs w:val="22"/>
    </w:rPr>
  </w:style>
  <w:style w:type="character" w:customStyle="1" w:styleId="88">
    <w:name w:val="标题 4 字符1"/>
    <w:link w:val="5"/>
    <w:qFormat/>
    <w:uiPriority w:val="9"/>
    <w:rPr>
      <w:rFonts w:ascii="宋体" w:hAnsi="宋体"/>
      <w:b/>
      <w:bCs/>
      <w:kern w:val="2"/>
      <w:sz w:val="30"/>
      <w:szCs w:val="30"/>
    </w:rPr>
  </w:style>
  <w:style w:type="character" w:customStyle="1" w:styleId="89">
    <w:name w:val="正文文本 字符"/>
    <w:link w:val="25"/>
    <w:qFormat/>
    <w:uiPriority w:val="99"/>
    <w:rPr>
      <w:kern w:val="2"/>
      <w:sz w:val="21"/>
      <w:szCs w:val="24"/>
    </w:rPr>
  </w:style>
  <w:style w:type="character" w:customStyle="1" w:styleId="90">
    <w:name w:val="列出段落 字符1"/>
    <w:link w:val="91"/>
    <w:autoRedefine/>
    <w:qFormat/>
    <w:uiPriority w:val="34"/>
    <w:rPr>
      <w:kern w:val="2"/>
      <w:sz w:val="21"/>
      <w:szCs w:val="24"/>
    </w:rPr>
  </w:style>
  <w:style w:type="paragraph" w:styleId="91">
    <w:name w:val="List Paragraph"/>
    <w:basedOn w:val="1"/>
    <w:link w:val="90"/>
    <w:autoRedefine/>
    <w:qFormat/>
    <w:uiPriority w:val="34"/>
    <w:pPr>
      <w:ind w:firstLine="420"/>
    </w:pPr>
    <w:rPr>
      <w:rFonts w:ascii="Times New Roman" w:hAnsi="Times New Roman"/>
      <w:sz w:val="21"/>
    </w:rPr>
  </w:style>
  <w:style w:type="character" w:customStyle="1" w:styleId="92">
    <w:name w:val="font21"/>
    <w:autoRedefine/>
    <w:qFormat/>
    <w:uiPriority w:val="0"/>
    <w:rPr>
      <w:rFonts w:ascii="Calibri" w:hAnsi="Calibri" w:cs="Calibri"/>
      <w:color w:val="000000"/>
      <w:sz w:val="21"/>
      <w:szCs w:val="21"/>
      <w:u w:val="none"/>
    </w:rPr>
  </w:style>
  <w:style w:type="character" w:customStyle="1" w:styleId="93">
    <w:name w:val="*正文 Char"/>
    <w:link w:val="94"/>
    <w:autoRedefine/>
    <w:qFormat/>
    <w:uiPriority w:val="0"/>
    <w:rPr>
      <w:rFonts w:ascii="time" w:hAnsi="time"/>
      <w:sz w:val="24"/>
      <w:szCs w:val="24"/>
      <w:lang w:bidi="en-US"/>
    </w:rPr>
  </w:style>
  <w:style w:type="paragraph" w:customStyle="1" w:styleId="94">
    <w:name w:val="*正文"/>
    <w:basedOn w:val="1"/>
    <w:link w:val="93"/>
    <w:autoRedefine/>
    <w:qFormat/>
    <w:uiPriority w:val="0"/>
    <w:pPr>
      <w:widowControl/>
      <w:ind w:firstLine="200"/>
      <w:contextualSpacing/>
    </w:pPr>
    <w:rPr>
      <w:rFonts w:ascii="time" w:hAnsi="time"/>
      <w:kern w:val="0"/>
      <w:lang w:bidi="en-US"/>
    </w:rPr>
  </w:style>
  <w:style w:type="character" w:customStyle="1" w:styleId="95">
    <w:name w:val="正文文本缩进 字符"/>
    <w:autoRedefine/>
    <w:qFormat/>
    <w:uiPriority w:val="99"/>
    <w:rPr>
      <w:rFonts w:ascii="宋体" w:hAnsi="宋体"/>
      <w:kern w:val="2"/>
      <w:sz w:val="24"/>
      <w:szCs w:val="24"/>
    </w:rPr>
  </w:style>
  <w:style w:type="character" w:customStyle="1" w:styleId="96">
    <w:name w:val="纯文本 字符1"/>
    <w:link w:val="30"/>
    <w:autoRedefine/>
    <w:qFormat/>
    <w:locked/>
    <w:uiPriority w:val="0"/>
    <w:rPr>
      <w:rFonts w:ascii="宋体" w:hAnsi="Courier New"/>
      <w:kern w:val="2"/>
      <w:sz w:val="21"/>
    </w:rPr>
  </w:style>
  <w:style w:type="character" w:customStyle="1" w:styleId="97">
    <w:name w:val="my正文 Char"/>
    <w:link w:val="98"/>
    <w:qFormat/>
    <w:uiPriority w:val="0"/>
    <w:rPr>
      <w:kern w:val="2"/>
      <w:sz w:val="21"/>
      <w:szCs w:val="24"/>
    </w:rPr>
  </w:style>
  <w:style w:type="paragraph" w:customStyle="1" w:styleId="98">
    <w:name w:val="my正文"/>
    <w:basedOn w:val="1"/>
    <w:link w:val="97"/>
    <w:qFormat/>
    <w:uiPriority w:val="0"/>
    <w:pPr>
      <w:spacing w:line="240" w:lineRule="auto"/>
      <w:ind w:firstLine="0" w:firstLineChars="0"/>
    </w:pPr>
    <w:rPr>
      <w:rFonts w:ascii="Times New Roman" w:hAnsi="Times New Roman"/>
      <w:sz w:val="21"/>
    </w:rPr>
  </w:style>
  <w:style w:type="character" w:customStyle="1" w:styleId="99">
    <w:name w:val="正文2 字符"/>
    <w:link w:val="100"/>
    <w:autoRedefine/>
    <w:qFormat/>
    <w:uiPriority w:val="0"/>
    <w:rPr>
      <w:kern w:val="2"/>
      <w:sz w:val="21"/>
      <w:szCs w:val="24"/>
    </w:rPr>
  </w:style>
  <w:style w:type="paragraph" w:customStyle="1" w:styleId="100">
    <w:name w:val="正文2"/>
    <w:basedOn w:val="1"/>
    <w:link w:val="99"/>
    <w:autoRedefine/>
    <w:qFormat/>
    <w:uiPriority w:val="0"/>
    <w:pPr>
      <w:ind w:firstLine="420"/>
    </w:pPr>
    <w:rPr>
      <w:rFonts w:ascii="Times New Roman" w:hAnsi="Times New Roman"/>
      <w:sz w:val="21"/>
    </w:rPr>
  </w:style>
  <w:style w:type="character" w:customStyle="1" w:styleId="101">
    <w:name w:val="font41"/>
    <w:autoRedefine/>
    <w:qFormat/>
    <w:uiPriority w:val="0"/>
    <w:rPr>
      <w:rFonts w:hint="eastAsia" w:ascii="宋体" w:hAnsi="宋体" w:eastAsia="宋体" w:cs="宋体"/>
      <w:color w:val="000000"/>
      <w:sz w:val="21"/>
      <w:szCs w:val="21"/>
      <w:u w:val="none"/>
    </w:rPr>
  </w:style>
  <w:style w:type="character" w:customStyle="1" w:styleId="102">
    <w:name w:val="标题 7 字符"/>
    <w:link w:val="8"/>
    <w:autoRedefine/>
    <w:qFormat/>
    <w:uiPriority w:val="9"/>
    <w:rPr>
      <w:b/>
      <w:bCs/>
      <w:kern w:val="2"/>
      <w:sz w:val="21"/>
      <w:szCs w:val="24"/>
    </w:rPr>
  </w:style>
  <w:style w:type="character" w:customStyle="1" w:styleId="103">
    <w:name w:val="批注框文本 字符"/>
    <w:autoRedefine/>
    <w:qFormat/>
    <w:uiPriority w:val="0"/>
    <w:rPr>
      <w:rFonts w:ascii="宋体" w:hAnsi="宋体"/>
      <w:kern w:val="2"/>
      <w:sz w:val="18"/>
      <w:szCs w:val="18"/>
    </w:rPr>
  </w:style>
  <w:style w:type="character" w:customStyle="1" w:styleId="104">
    <w:name w:val="副标题 Char1"/>
    <w:autoRedefine/>
    <w:qFormat/>
    <w:uiPriority w:val="0"/>
    <w:rPr>
      <w:rFonts w:ascii="Calibri Light" w:hAnsi="Calibri Light" w:cs="Times New Roman"/>
      <w:b/>
      <w:bCs/>
      <w:kern w:val="28"/>
      <w:sz w:val="32"/>
      <w:szCs w:val="32"/>
    </w:rPr>
  </w:style>
  <w:style w:type="character" w:customStyle="1" w:styleId="105">
    <w:name w:val="标题 1 字符1"/>
    <w:link w:val="2"/>
    <w:autoRedefine/>
    <w:qFormat/>
    <w:uiPriority w:val="9"/>
    <w:rPr>
      <w:rFonts w:ascii="宋体" w:hAnsi="宋体" w:eastAsia="黑体"/>
      <w:b/>
      <w:bCs/>
      <w:kern w:val="44"/>
      <w:sz w:val="32"/>
      <w:szCs w:val="28"/>
    </w:rPr>
  </w:style>
  <w:style w:type="character" w:customStyle="1" w:styleId="106">
    <w:name w:val="批注文字 字符"/>
    <w:autoRedefine/>
    <w:qFormat/>
    <w:uiPriority w:val="99"/>
    <w:rPr>
      <w:rFonts w:ascii="宋体" w:hAnsi="宋体"/>
      <w:kern w:val="2"/>
      <w:sz w:val="24"/>
      <w:szCs w:val="24"/>
    </w:rPr>
  </w:style>
  <w:style w:type="character" w:customStyle="1" w:styleId="107">
    <w:name w:val="文档结构图 字符"/>
    <w:autoRedefine/>
    <w:qFormat/>
    <w:uiPriority w:val="0"/>
    <w:rPr>
      <w:rFonts w:ascii="Microsoft YaHei UI" w:hAnsi="宋体" w:eastAsia="Microsoft YaHei UI"/>
      <w:kern w:val="2"/>
      <w:sz w:val="18"/>
      <w:szCs w:val="18"/>
    </w:rPr>
  </w:style>
  <w:style w:type="character" w:customStyle="1" w:styleId="108">
    <w:name w:val="标题 6 字符"/>
    <w:qFormat/>
    <w:uiPriority w:val="9"/>
    <w:rPr>
      <w:rFonts w:ascii="等线 Light" w:hAnsi="等线 Light" w:eastAsia="等线 Light" w:cs="Times New Roman"/>
      <w:b/>
      <w:bCs/>
      <w:kern w:val="2"/>
      <w:sz w:val="24"/>
      <w:szCs w:val="24"/>
    </w:rPr>
  </w:style>
  <w:style w:type="character" w:customStyle="1" w:styleId="109">
    <w:name w:val="正文正文2 Char"/>
    <w:link w:val="110"/>
    <w:qFormat/>
    <w:uiPriority w:val="0"/>
    <w:rPr>
      <w:rFonts w:ascii="宋体" w:hAnsi="宋体"/>
      <w:kern w:val="2"/>
      <w:sz w:val="21"/>
      <w:szCs w:val="21"/>
    </w:rPr>
  </w:style>
  <w:style w:type="paragraph" w:customStyle="1" w:styleId="110">
    <w:name w:val="正文正文2"/>
    <w:basedOn w:val="1"/>
    <w:link w:val="109"/>
    <w:qFormat/>
    <w:uiPriority w:val="0"/>
    <w:pPr>
      <w:ind w:firstLine="460"/>
    </w:pPr>
    <w:rPr>
      <w:sz w:val="21"/>
      <w:szCs w:val="21"/>
    </w:rPr>
  </w:style>
  <w:style w:type="character" w:customStyle="1" w:styleId="111">
    <w:name w:val="标题 3 字符2"/>
    <w:link w:val="4"/>
    <w:autoRedefine/>
    <w:qFormat/>
    <w:uiPriority w:val="9"/>
    <w:rPr>
      <w:rFonts w:ascii="宋体" w:hAnsi="宋体"/>
      <w:b/>
      <w:bCs/>
      <w:kern w:val="2"/>
      <w:sz w:val="24"/>
      <w:szCs w:val="28"/>
    </w:rPr>
  </w:style>
  <w:style w:type="character" w:customStyle="1" w:styleId="112">
    <w:name w:val="标题 4 字符"/>
    <w:autoRedefine/>
    <w:qFormat/>
    <w:uiPriority w:val="0"/>
    <w:rPr>
      <w:rFonts w:ascii="等线 Light" w:hAnsi="等线 Light" w:eastAsia="等线 Light" w:cs="Times New Roman"/>
      <w:b/>
      <w:bCs/>
      <w:kern w:val="2"/>
      <w:sz w:val="28"/>
      <w:szCs w:val="28"/>
    </w:rPr>
  </w:style>
  <w:style w:type="character" w:customStyle="1" w:styleId="113">
    <w:name w:val="批注主题 字符1"/>
    <w:link w:val="56"/>
    <w:autoRedefine/>
    <w:qFormat/>
    <w:uiPriority w:val="99"/>
    <w:rPr>
      <w:rFonts w:eastAsia="仿宋"/>
      <w:b/>
      <w:bCs/>
      <w:kern w:val="2"/>
      <w:sz w:val="21"/>
      <w:szCs w:val="24"/>
    </w:rPr>
  </w:style>
  <w:style w:type="character" w:customStyle="1" w:styleId="114">
    <w:name w:val="页眉 字符"/>
    <w:autoRedefine/>
    <w:qFormat/>
    <w:uiPriority w:val="99"/>
    <w:rPr>
      <w:rFonts w:ascii="宋体" w:hAnsi="宋体"/>
      <w:kern w:val="2"/>
      <w:sz w:val="18"/>
      <w:szCs w:val="18"/>
    </w:rPr>
  </w:style>
  <w:style w:type="character" w:customStyle="1" w:styleId="115">
    <w:name w:val="正文文本缩进 字符1"/>
    <w:link w:val="26"/>
    <w:autoRedefine/>
    <w:qFormat/>
    <w:uiPriority w:val="0"/>
    <w:rPr>
      <w:kern w:val="2"/>
      <w:sz w:val="21"/>
    </w:rPr>
  </w:style>
  <w:style w:type="character" w:customStyle="1" w:styleId="116">
    <w:name w:val="标题 5 字符1"/>
    <w:link w:val="6"/>
    <w:autoRedefine/>
    <w:qFormat/>
    <w:uiPriority w:val="9"/>
    <w:rPr>
      <w:rFonts w:ascii="宋体" w:hAnsi="宋体"/>
      <w:b/>
      <w:bCs/>
      <w:kern w:val="2"/>
      <w:sz w:val="24"/>
      <w:szCs w:val="28"/>
    </w:rPr>
  </w:style>
  <w:style w:type="character" w:customStyle="1" w:styleId="117">
    <w:name w:val="副标题 字符1"/>
    <w:link w:val="43"/>
    <w:autoRedefine/>
    <w:qFormat/>
    <w:uiPriority w:val="0"/>
    <w:rPr>
      <w:rFonts w:ascii="Calibri Light" w:hAnsi="Calibri Light"/>
      <w:b/>
      <w:bCs/>
      <w:kern w:val="28"/>
      <w:sz w:val="32"/>
      <w:szCs w:val="32"/>
    </w:rPr>
  </w:style>
  <w:style w:type="character" w:customStyle="1" w:styleId="118">
    <w:name w:val="标题 2 字符1"/>
    <w:link w:val="3"/>
    <w:autoRedefine/>
    <w:qFormat/>
    <w:uiPriority w:val="9"/>
    <w:rPr>
      <w:rFonts w:ascii="宋体" w:hAnsi="宋体"/>
      <w:b/>
      <w:bCs/>
      <w:kern w:val="2"/>
      <w:sz w:val="30"/>
      <w:szCs w:val="32"/>
    </w:rPr>
  </w:style>
  <w:style w:type="character" w:customStyle="1" w:styleId="119">
    <w:name w:val="页脚 字符1"/>
    <w:link w:val="37"/>
    <w:autoRedefine/>
    <w:qFormat/>
    <w:uiPriority w:val="99"/>
    <w:rPr>
      <w:kern w:val="2"/>
      <w:sz w:val="18"/>
      <w:szCs w:val="18"/>
    </w:rPr>
  </w:style>
  <w:style w:type="character" w:customStyle="1" w:styleId="120">
    <w:name w:val="批注主题 字符"/>
    <w:autoRedefine/>
    <w:qFormat/>
    <w:uiPriority w:val="99"/>
    <w:rPr>
      <w:rFonts w:ascii="宋体" w:hAnsi="宋体"/>
      <w:b/>
      <w:bCs/>
      <w:kern w:val="2"/>
      <w:sz w:val="24"/>
      <w:szCs w:val="24"/>
    </w:rPr>
  </w:style>
  <w:style w:type="character" w:customStyle="1" w:styleId="121">
    <w:name w:val="文档结构图 字符1"/>
    <w:link w:val="20"/>
    <w:autoRedefine/>
    <w:qFormat/>
    <w:uiPriority w:val="0"/>
    <w:rPr>
      <w:rFonts w:ascii="宋体"/>
      <w:kern w:val="2"/>
      <w:sz w:val="18"/>
      <w:szCs w:val="18"/>
    </w:rPr>
  </w:style>
  <w:style w:type="character" w:customStyle="1" w:styleId="122">
    <w:name w:val="font31"/>
    <w:autoRedefine/>
    <w:qFormat/>
    <w:uiPriority w:val="0"/>
    <w:rPr>
      <w:rFonts w:hint="eastAsia" w:ascii="宋体" w:hAnsi="宋体" w:eastAsia="宋体" w:cs="宋体"/>
      <w:color w:val="000000"/>
      <w:sz w:val="21"/>
      <w:szCs w:val="21"/>
      <w:u w:val="none"/>
    </w:rPr>
  </w:style>
  <w:style w:type="character" w:customStyle="1" w:styleId="123">
    <w:name w:val="标准正文 Char"/>
    <w:link w:val="124"/>
    <w:qFormat/>
    <w:uiPriority w:val="0"/>
    <w:rPr>
      <w:rFonts w:ascii="Arial" w:hAnsi="Arial"/>
      <w:kern w:val="2"/>
      <w:sz w:val="24"/>
    </w:rPr>
  </w:style>
  <w:style w:type="paragraph" w:customStyle="1" w:styleId="124">
    <w:name w:val="标准正文"/>
    <w:basedOn w:val="26"/>
    <w:link w:val="123"/>
    <w:autoRedefine/>
    <w:qFormat/>
    <w:uiPriority w:val="0"/>
    <w:pPr>
      <w:spacing w:before="60" w:after="60"/>
      <w:ind w:firstLine="482" w:firstLineChars="0"/>
    </w:pPr>
    <w:rPr>
      <w:rFonts w:ascii="Arial" w:hAnsi="Arial"/>
      <w:sz w:val="24"/>
    </w:rPr>
  </w:style>
  <w:style w:type="character" w:customStyle="1" w:styleId="125">
    <w:name w:val="标题 字符1"/>
    <w:link w:val="55"/>
    <w:autoRedefine/>
    <w:qFormat/>
    <w:uiPriority w:val="0"/>
    <w:rPr>
      <w:rFonts w:ascii="Cambria" w:hAnsi="Cambria" w:eastAsia="黑体"/>
      <w:b/>
      <w:bCs/>
      <w:kern w:val="2"/>
      <w:sz w:val="52"/>
      <w:szCs w:val="32"/>
    </w:rPr>
  </w:style>
  <w:style w:type="character" w:customStyle="1" w:styleId="126">
    <w:name w:val="批注框文本 字符1"/>
    <w:link w:val="36"/>
    <w:autoRedefine/>
    <w:qFormat/>
    <w:uiPriority w:val="99"/>
    <w:rPr>
      <w:kern w:val="2"/>
      <w:sz w:val="18"/>
      <w:szCs w:val="18"/>
    </w:rPr>
  </w:style>
  <w:style w:type="character" w:customStyle="1" w:styleId="127">
    <w:name w:val="页眉 字符1"/>
    <w:link w:val="38"/>
    <w:autoRedefine/>
    <w:qFormat/>
    <w:uiPriority w:val="99"/>
    <w:rPr>
      <w:kern w:val="2"/>
      <w:sz w:val="18"/>
      <w:szCs w:val="18"/>
    </w:rPr>
  </w:style>
  <w:style w:type="character" w:customStyle="1" w:styleId="128">
    <w:name w:val="标题 8 字符"/>
    <w:link w:val="9"/>
    <w:autoRedefine/>
    <w:qFormat/>
    <w:uiPriority w:val="9"/>
    <w:rPr>
      <w:rFonts w:ascii="Cambria" w:hAnsi="Cambria"/>
      <w:kern w:val="2"/>
      <w:sz w:val="21"/>
      <w:szCs w:val="24"/>
    </w:rPr>
  </w:style>
  <w:style w:type="character" w:customStyle="1" w:styleId="129">
    <w:name w:val="标题 6 字符1"/>
    <w:link w:val="7"/>
    <w:qFormat/>
    <w:uiPriority w:val="9"/>
    <w:rPr>
      <w:rFonts w:ascii="Cambria" w:hAnsi="Cambria"/>
      <w:b/>
      <w:bCs/>
      <w:kern w:val="2"/>
      <w:sz w:val="24"/>
      <w:szCs w:val="24"/>
    </w:rPr>
  </w:style>
  <w:style w:type="character" w:customStyle="1" w:styleId="130">
    <w:name w:val="标题 字符"/>
    <w:autoRedefine/>
    <w:qFormat/>
    <w:uiPriority w:val="10"/>
    <w:rPr>
      <w:rFonts w:ascii="等线 Light" w:hAnsi="等线 Light" w:eastAsia="等线 Light" w:cs="Times New Roman"/>
      <w:b/>
      <w:bCs/>
      <w:kern w:val="2"/>
      <w:sz w:val="32"/>
      <w:szCs w:val="32"/>
    </w:rPr>
  </w:style>
  <w:style w:type="character" w:customStyle="1" w:styleId="131">
    <w:name w:val="副标题 字符"/>
    <w:autoRedefine/>
    <w:qFormat/>
    <w:uiPriority w:val="99"/>
    <w:rPr>
      <w:rFonts w:ascii="等线" w:hAnsi="等线" w:eastAsia="等线" w:cs="Times New Roman"/>
      <w:b/>
      <w:bCs/>
      <w:kern w:val="28"/>
      <w:sz w:val="32"/>
      <w:szCs w:val="32"/>
    </w:rPr>
  </w:style>
  <w:style w:type="paragraph" w:customStyle="1" w:styleId="132">
    <w:name w:val="xl72"/>
    <w:basedOn w:val="1"/>
    <w:autoRedefine/>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33">
    <w:name w:val="正文（深信服）"/>
    <w:autoRedefine/>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34">
    <w:name w:val="xl70"/>
    <w:basedOn w:val="1"/>
    <w:autoRedefine/>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35">
    <w:name w:val="_Style 2"/>
    <w:basedOn w:val="2"/>
    <w:next w:val="1"/>
    <w:autoRedefine/>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36">
    <w:name w:val="正文缩进1"/>
    <w:basedOn w:val="1"/>
    <w:autoRedefine/>
    <w:qFormat/>
    <w:uiPriority w:val="0"/>
    <w:pPr>
      <w:spacing w:line="240" w:lineRule="auto"/>
      <w:ind w:firstLine="420"/>
    </w:pPr>
    <w:rPr>
      <w:rFonts w:ascii="Times New Roman" w:hAnsi="Times New Roman"/>
      <w:sz w:val="21"/>
      <w:szCs w:val="20"/>
    </w:rPr>
  </w:style>
  <w:style w:type="paragraph" w:customStyle="1" w:styleId="13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38">
    <w:name w:val="前言、引言标题"/>
    <w:next w:val="1"/>
    <w:autoRedefine/>
    <w:qFormat/>
    <w:uiPriority w:val="0"/>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39">
    <w:name w:val="Indent Normal"/>
    <w:basedOn w:val="1"/>
    <w:autoRedefine/>
    <w:qFormat/>
    <w:uiPriority w:val="0"/>
    <w:pPr>
      <w:ind w:firstLine="150" w:firstLineChars="150"/>
    </w:pPr>
  </w:style>
  <w:style w:type="paragraph" w:customStyle="1" w:styleId="14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41">
    <w:name w:val="正文 缩进2字符"/>
    <w:basedOn w:val="1"/>
    <w:autoRedefine/>
    <w:qFormat/>
    <w:uiPriority w:val="0"/>
    <w:pPr>
      <w:spacing w:afterLines="50" w:line="240" w:lineRule="auto"/>
      <w:ind w:firstLine="0" w:firstLineChars="0"/>
    </w:pPr>
    <w:rPr>
      <w:rFonts w:ascii="Times New Roman" w:hAnsi="Times New Roman" w:cs="宋体"/>
      <w:sz w:val="21"/>
      <w:szCs w:val="20"/>
    </w:rPr>
  </w:style>
  <w:style w:type="paragraph" w:customStyle="1" w:styleId="142">
    <w:name w:val="列项●（二级）"/>
    <w:autoRedefine/>
    <w:qFormat/>
    <w:uiPriority w:val="0"/>
    <w:pPr>
      <w:numPr>
        <w:ilvl w:val="0"/>
        <w:numId w:val="6"/>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43">
    <w:name w:val="助手文本"/>
    <w:basedOn w:val="1"/>
    <w:autoRedefine/>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44">
    <w:name w:val="xl6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45">
    <w:name w:val="段"/>
    <w:link w:val="220"/>
    <w:autoRedefine/>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46">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47">
    <w:name w:val="Char Char Char Char Char Char1 Char"/>
    <w:basedOn w:val="1"/>
    <w:autoRedefine/>
    <w:qFormat/>
    <w:uiPriority w:val="0"/>
    <w:pPr>
      <w:widowControl/>
      <w:spacing w:after="160" w:line="240" w:lineRule="exact"/>
      <w:jc w:val="left"/>
    </w:pPr>
  </w:style>
  <w:style w:type="paragraph" w:customStyle="1" w:styleId="148">
    <w:name w:val="PM_Body"/>
    <w:basedOn w:val="1"/>
    <w:autoRedefine/>
    <w:qFormat/>
    <w:locked/>
    <w:uiPriority w:val="0"/>
    <w:rPr>
      <w:szCs w:val="21"/>
    </w:rPr>
  </w:style>
  <w:style w:type="paragraph" w:customStyle="1" w:styleId="149">
    <w:name w:val="Char Char1"/>
    <w:basedOn w:val="1"/>
    <w:autoRedefine/>
    <w:qFormat/>
    <w:uiPriority w:val="0"/>
    <w:pPr>
      <w:widowControl/>
      <w:spacing w:before="120" w:after="120"/>
    </w:pPr>
    <w:rPr>
      <w:rFonts w:ascii="Times New Roman" w:hAnsi="Times New Roman" w:cs="宋体"/>
    </w:rPr>
  </w:style>
  <w:style w:type="paragraph" w:customStyle="1" w:styleId="15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51">
    <w:name w:val="修订1"/>
    <w:unhideWhenUsed/>
    <w:qFormat/>
    <w:uiPriority w:val="99"/>
    <w:rPr>
      <w:rFonts w:ascii="宋体" w:hAnsi="宋体" w:eastAsia="宋体" w:cs="Times New Roman"/>
      <w:kern w:val="2"/>
      <w:sz w:val="24"/>
      <w:szCs w:val="24"/>
      <w:lang w:val="en-US" w:eastAsia="zh-CN" w:bidi="ar-SA"/>
    </w:rPr>
  </w:style>
  <w:style w:type="paragraph" w:customStyle="1" w:styleId="152">
    <w:name w:val="列出段落2"/>
    <w:basedOn w:val="1"/>
    <w:qFormat/>
    <w:uiPriority w:val="0"/>
    <w:pPr>
      <w:spacing w:line="240" w:lineRule="auto"/>
      <w:ind w:firstLine="420"/>
    </w:pPr>
    <w:rPr>
      <w:rFonts w:ascii="等线" w:hAnsi="等线" w:eastAsia="等线" w:cs="等线"/>
      <w:sz w:val="21"/>
      <w:szCs w:val="21"/>
    </w:rPr>
  </w:style>
  <w:style w:type="paragraph" w:customStyle="1" w:styleId="15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5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5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5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57">
    <w:name w:val="正文样式"/>
    <w:link w:val="565"/>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5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5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60">
    <w:name w:val="!我的表格1"/>
    <w:basedOn w:val="5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1"/>
    <w:basedOn w:val="59"/>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标题 1 Char"/>
    <w:qFormat/>
    <w:uiPriority w:val="0"/>
    <w:rPr>
      <w:rFonts w:ascii="宋体" w:hAnsi="宋体" w:eastAsia="黑体"/>
      <w:b/>
      <w:bCs/>
      <w:kern w:val="44"/>
      <w:sz w:val="32"/>
      <w:szCs w:val="28"/>
    </w:rPr>
  </w:style>
  <w:style w:type="character" w:customStyle="1" w:styleId="163">
    <w:name w:val="纯文本 Char2"/>
    <w:qFormat/>
    <w:uiPriority w:val="0"/>
    <w:rPr>
      <w:rFonts w:ascii="宋体" w:hAnsi="宋体" w:eastAsia="宋体" w:cs="Times New Roman"/>
      <w:color w:val="000000"/>
      <w:kern w:val="0"/>
      <w:sz w:val="24"/>
      <w:szCs w:val="24"/>
    </w:rPr>
  </w:style>
  <w:style w:type="paragraph" w:customStyle="1" w:styleId="164">
    <w:name w:val="可研正文"/>
    <w:basedOn w:val="1"/>
    <w:link w:val="165"/>
    <w:qFormat/>
    <w:uiPriority w:val="0"/>
    <w:pPr>
      <w:widowControl/>
      <w:ind w:firstLine="200"/>
      <w:jc w:val="left"/>
    </w:pPr>
    <w:rPr>
      <w:rFonts w:ascii="仿宋" w:hAnsi="仿宋" w:eastAsia="仿宋" w:cs="宋体"/>
      <w:kern w:val="0"/>
      <w:sz w:val="28"/>
      <w:szCs w:val="28"/>
    </w:rPr>
  </w:style>
  <w:style w:type="character" w:customStyle="1" w:styleId="165">
    <w:name w:val="可研正文 Char"/>
    <w:link w:val="164"/>
    <w:qFormat/>
    <w:uiPriority w:val="0"/>
    <w:rPr>
      <w:rFonts w:ascii="仿宋" w:hAnsi="仿宋" w:eastAsia="仿宋" w:cs="宋体"/>
      <w:sz w:val="28"/>
      <w:szCs w:val="28"/>
    </w:rPr>
  </w:style>
  <w:style w:type="paragraph" w:customStyle="1" w:styleId="166">
    <w:name w:val="修订2"/>
    <w:hidden/>
    <w:unhideWhenUsed/>
    <w:qFormat/>
    <w:uiPriority w:val="99"/>
    <w:rPr>
      <w:rFonts w:ascii="宋体" w:hAnsi="宋体" w:eastAsia="宋体" w:cs="Times New Roman"/>
      <w:kern w:val="2"/>
      <w:sz w:val="24"/>
      <w:szCs w:val="24"/>
      <w:lang w:val="en-US" w:eastAsia="zh-CN" w:bidi="ar-SA"/>
    </w:rPr>
  </w:style>
  <w:style w:type="character" w:customStyle="1" w:styleId="167">
    <w:name w:val="正文首行缩进 字符"/>
    <w:basedOn w:val="89"/>
    <w:link w:val="57"/>
    <w:qFormat/>
    <w:uiPriority w:val="0"/>
    <w:rPr>
      <w:rFonts w:ascii="宋体" w:hAnsi="宋体"/>
      <w:kern w:val="2"/>
      <w:sz w:val="24"/>
      <w:szCs w:val="24"/>
    </w:rPr>
  </w:style>
  <w:style w:type="character" w:customStyle="1" w:styleId="168">
    <w:name w:val="正文文本 3 字符"/>
    <w:basedOn w:val="63"/>
    <w:link w:val="24"/>
    <w:qFormat/>
    <w:uiPriority w:val="0"/>
    <w:rPr>
      <w:sz w:val="16"/>
      <w:szCs w:val="16"/>
    </w:rPr>
  </w:style>
  <w:style w:type="character" w:customStyle="1" w:styleId="169">
    <w:name w:val="正文文本缩进 2 字符"/>
    <w:basedOn w:val="63"/>
    <w:link w:val="34"/>
    <w:qFormat/>
    <w:uiPriority w:val="99"/>
    <w:rPr>
      <w:rFonts w:ascii="宋体" w:hAnsi="宋体"/>
      <w:sz w:val="24"/>
      <w:szCs w:val="24"/>
    </w:rPr>
  </w:style>
  <w:style w:type="character" w:customStyle="1" w:styleId="170">
    <w:name w:val="尾注文本 字符"/>
    <w:basedOn w:val="63"/>
    <w:link w:val="35"/>
    <w:semiHidden/>
    <w:qFormat/>
    <w:uiPriority w:val="0"/>
    <w:rPr>
      <w:rFonts w:ascii="Calibri" w:hAnsi="Calibri"/>
      <w:sz w:val="28"/>
      <w:szCs w:val="24"/>
    </w:rPr>
  </w:style>
  <w:style w:type="character" w:customStyle="1" w:styleId="171">
    <w:name w:val="脚注文本 字符"/>
    <w:basedOn w:val="63"/>
    <w:link w:val="44"/>
    <w:qFormat/>
    <w:uiPriority w:val="0"/>
    <w:rPr>
      <w:rFonts w:ascii="宋体" w:hAnsi="Calibri"/>
      <w:sz w:val="18"/>
      <w:szCs w:val="18"/>
    </w:rPr>
  </w:style>
  <w:style w:type="character" w:customStyle="1" w:styleId="172">
    <w:name w:val="正文文本 2 字符"/>
    <w:basedOn w:val="63"/>
    <w:link w:val="51"/>
    <w:semiHidden/>
    <w:qFormat/>
    <w:uiPriority w:val="99"/>
    <w:rPr>
      <w:rFonts w:ascii="宋体" w:hAnsi="宋体" w:cs="宋体"/>
      <w:sz w:val="24"/>
      <w:szCs w:val="24"/>
    </w:rPr>
  </w:style>
  <w:style w:type="character" w:customStyle="1" w:styleId="173">
    <w:name w:val="HTML 预设格式 字符"/>
    <w:basedOn w:val="63"/>
    <w:link w:val="52"/>
    <w:qFormat/>
    <w:uiPriority w:val="0"/>
    <w:rPr>
      <w:rFonts w:ascii="宋体" w:hAnsi="宋体"/>
      <w:sz w:val="24"/>
      <w:szCs w:val="24"/>
      <w:lang w:val="zh-CN"/>
    </w:rPr>
  </w:style>
  <w:style w:type="character" w:customStyle="1" w:styleId="174">
    <w:name w:val="正文首行缩进 2 字符"/>
    <w:basedOn w:val="115"/>
    <w:link w:val="58"/>
    <w:qFormat/>
    <w:uiPriority w:val="0"/>
    <w:rPr>
      <w:kern w:val="2"/>
      <w:sz w:val="24"/>
      <w:szCs w:val="28"/>
      <w:lang w:val="zh-CN"/>
    </w:rPr>
  </w:style>
  <w:style w:type="paragraph" w:customStyle="1" w:styleId="175">
    <w:name w:val="可研标题"/>
    <w:basedOn w:val="55"/>
    <w:link w:val="176"/>
    <w:qFormat/>
    <w:uiPriority w:val="0"/>
    <w:pPr>
      <w:widowControl/>
      <w:spacing w:line="360" w:lineRule="auto"/>
      <w:ind w:firstLine="0" w:firstLineChars="0"/>
      <w:outlineLvl w:val="0"/>
    </w:pPr>
    <w:rPr>
      <w:rFonts w:ascii="微软雅黑" w:hAnsi="微软雅黑" w:eastAsia="微软雅黑" w:cstheme="majorBidi"/>
      <w:b w:val="0"/>
      <w:szCs w:val="52"/>
    </w:rPr>
  </w:style>
  <w:style w:type="character" w:customStyle="1" w:styleId="176">
    <w:name w:val="可研标题 Char"/>
    <w:basedOn w:val="130"/>
    <w:link w:val="175"/>
    <w:qFormat/>
    <w:uiPriority w:val="0"/>
    <w:rPr>
      <w:rFonts w:ascii="微软雅黑" w:hAnsi="微软雅黑" w:eastAsia="微软雅黑" w:cstheme="majorBidi"/>
      <w:b w:val="0"/>
      <w:kern w:val="2"/>
      <w:sz w:val="52"/>
      <w:szCs w:val="52"/>
    </w:rPr>
  </w:style>
  <w:style w:type="paragraph" w:customStyle="1" w:styleId="177">
    <w:name w:val="可研标题1级"/>
    <w:basedOn w:val="2"/>
    <w:next w:val="1"/>
    <w:link w:val="178"/>
    <w:qFormat/>
    <w:uiPriority w:val="0"/>
    <w:pPr>
      <w:pageBreakBefore/>
      <w:widowControl/>
      <w:numPr>
        <w:numId w:val="7"/>
      </w:numPr>
      <w:spacing w:before="400" w:after="400"/>
      <w:jc w:val="center"/>
    </w:pPr>
    <w:rPr>
      <w:rFonts w:eastAsia="宋体" w:cs="宋体"/>
      <w:sz w:val="44"/>
      <w:szCs w:val="44"/>
    </w:rPr>
  </w:style>
  <w:style w:type="character" w:customStyle="1" w:styleId="178">
    <w:name w:val="可研标题1级 Char"/>
    <w:basedOn w:val="80"/>
    <w:link w:val="177"/>
    <w:qFormat/>
    <w:uiPriority w:val="0"/>
    <w:rPr>
      <w:rFonts w:ascii="宋体" w:hAnsi="宋体" w:cs="宋体"/>
      <w:kern w:val="44"/>
      <w:sz w:val="44"/>
      <w:szCs w:val="44"/>
    </w:rPr>
  </w:style>
  <w:style w:type="paragraph" w:customStyle="1" w:styleId="179">
    <w:name w:val="可研标题2级"/>
    <w:basedOn w:val="3"/>
    <w:next w:val="164"/>
    <w:link w:val="180"/>
    <w:qFormat/>
    <w:uiPriority w:val="0"/>
    <w:pPr>
      <w:widowControl/>
      <w:numPr>
        <w:numId w:val="7"/>
      </w:numPr>
      <w:spacing w:before="260" w:after="260" w:line="416" w:lineRule="auto"/>
      <w:jc w:val="left"/>
    </w:pPr>
    <w:rPr>
      <w:rFonts w:ascii="黑体" w:hAnsi="黑体" w:eastAsia="黑体" w:cstheme="majorBidi"/>
      <w:sz w:val="36"/>
      <w:szCs w:val="36"/>
    </w:rPr>
  </w:style>
  <w:style w:type="character" w:customStyle="1" w:styleId="180">
    <w:name w:val="可研标题2级 Char"/>
    <w:basedOn w:val="85"/>
    <w:link w:val="179"/>
    <w:qFormat/>
    <w:uiPriority w:val="0"/>
    <w:rPr>
      <w:rFonts w:ascii="黑体" w:hAnsi="黑体" w:eastAsia="黑体" w:cstheme="majorBidi"/>
      <w:kern w:val="2"/>
      <w:sz w:val="36"/>
      <w:szCs w:val="36"/>
    </w:rPr>
  </w:style>
  <w:style w:type="paragraph" w:customStyle="1" w:styleId="181">
    <w:name w:val="可研标题3级"/>
    <w:basedOn w:val="4"/>
    <w:next w:val="164"/>
    <w:link w:val="182"/>
    <w:qFormat/>
    <w:uiPriority w:val="0"/>
    <w:pPr>
      <w:widowControl/>
      <w:numPr>
        <w:numId w:val="7"/>
      </w:numPr>
      <w:spacing w:before="260" w:after="260" w:line="416" w:lineRule="auto"/>
      <w:jc w:val="left"/>
    </w:pPr>
    <w:rPr>
      <w:rFonts w:ascii="黑体" w:hAnsi="黑体" w:eastAsia="黑体" w:cstheme="majorBidi"/>
      <w:sz w:val="32"/>
      <w:szCs w:val="32"/>
    </w:rPr>
  </w:style>
  <w:style w:type="character" w:customStyle="1" w:styleId="182">
    <w:name w:val="可研标题3级 Char"/>
    <w:basedOn w:val="81"/>
    <w:link w:val="181"/>
    <w:qFormat/>
    <w:uiPriority w:val="0"/>
    <w:rPr>
      <w:rFonts w:ascii="黑体" w:hAnsi="黑体" w:eastAsia="黑体" w:cstheme="majorBidi"/>
      <w:kern w:val="2"/>
      <w:sz w:val="32"/>
      <w:szCs w:val="32"/>
    </w:rPr>
  </w:style>
  <w:style w:type="paragraph" w:customStyle="1" w:styleId="183">
    <w:name w:val="可研标题4级"/>
    <w:basedOn w:val="5"/>
    <w:next w:val="164"/>
    <w:link w:val="184"/>
    <w:qFormat/>
    <w:uiPriority w:val="0"/>
    <w:pPr>
      <w:widowControl/>
      <w:numPr>
        <w:numId w:val="7"/>
      </w:numPr>
      <w:spacing w:before="240" w:after="240"/>
      <w:ind w:right="100" w:rightChars="100"/>
      <w:jc w:val="left"/>
    </w:pPr>
    <w:rPr>
      <w:rFonts w:ascii="黑体" w:hAnsi="黑体" w:eastAsia="黑体" w:cstheme="majorBidi"/>
      <w:b w:val="0"/>
    </w:rPr>
  </w:style>
  <w:style w:type="character" w:customStyle="1" w:styleId="184">
    <w:name w:val="可研标题4级 Char"/>
    <w:basedOn w:val="112"/>
    <w:link w:val="183"/>
    <w:qFormat/>
    <w:uiPriority w:val="0"/>
    <w:rPr>
      <w:rFonts w:ascii="黑体" w:hAnsi="黑体" w:eastAsia="黑体" w:cstheme="majorBidi"/>
      <w:b w:val="0"/>
      <w:kern w:val="2"/>
      <w:sz w:val="30"/>
      <w:szCs w:val="30"/>
    </w:rPr>
  </w:style>
  <w:style w:type="paragraph" w:customStyle="1" w:styleId="185">
    <w:name w:val="可研标题5级"/>
    <w:basedOn w:val="6"/>
    <w:next w:val="164"/>
    <w:link w:val="186"/>
    <w:qFormat/>
    <w:uiPriority w:val="0"/>
    <w:pPr>
      <w:numPr>
        <w:numId w:val="7"/>
      </w:numPr>
      <w:spacing w:before="0" w:beforeLines="50" w:after="0"/>
    </w:pPr>
    <w:rPr>
      <w:rFonts w:ascii="仿宋" w:hAnsi="仿宋" w:eastAsia="仿宋" w:cs="宋体"/>
      <w:sz w:val="28"/>
    </w:rPr>
  </w:style>
  <w:style w:type="character" w:customStyle="1" w:styleId="186">
    <w:name w:val="可研标题5级 Char"/>
    <w:basedOn w:val="83"/>
    <w:link w:val="185"/>
    <w:qFormat/>
    <w:uiPriority w:val="0"/>
    <w:rPr>
      <w:rFonts w:ascii="仿宋" w:hAnsi="仿宋" w:eastAsia="仿宋" w:cs="宋体"/>
      <w:kern w:val="2"/>
      <w:sz w:val="28"/>
      <w:szCs w:val="28"/>
    </w:rPr>
  </w:style>
  <w:style w:type="paragraph" w:customStyle="1" w:styleId="187">
    <w:name w:val="图表题注"/>
    <w:basedOn w:val="17"/>
    <w:next w:val="1"/>
    <w:qFormat/>
    <w:uiPriority w:val="0"/>
    <w:pPr>
      <w:widowControl/>
      <w:spacing w:afterLines="0" w:line="240" w:lineRule="auto"/>
      <w:ind w:firstLine="0" w:firstLineChars="0"/>
      <w:jc w:val="center"/>
    </w:pPr>
    <w:rPr>
      <w:rFonts w:ascii="仿宋" w:hAnsi="仿宋" w:eastAsia="仿宋" w:cstheme="majorBidi"/>
      <w:kern w:val="0"/>
      <w:sz w:val="28"/>
      <w:szCs w:val="28"/>
    </w:rPr>
  </w:style>
  <w:style w:type="paragraph" w:customStyle="1" w:styleId="188">
    <w:name w:val="N-4"/>
    <w:basedOn w:val="5"/>
    <w:qFormat/>
    <w:uiPriority w:val="0"/>
    <w:pPr>
      <w:widowControl/>
      <w:numPr>
        <w:numId w:val="8"/>
      </w:numPr>
      <w:tabs>
        <w:tab w:val="left" w:pos="2160"/>
      </w:tabs>
      <w:spacing w:before="160" w:after="160" w:line="240" w:lineRule="auto"/>
      <w:ind w:right="100" w:rightChars="100"/>
      <w:jc w:val="left"/>
    </w:pPr>
    <w:rPr>
      <w:rFonts w:ascii="Arial" w:hAnsi="Arial" w:eastAsia="黑体"/>
      <w:b w:val="0"/>
      <w:kern w:val="0"/>
      <w:sz w:val="21"/>
      <w:szCs w:val="20"/>
    </w:rPr>
  </w:style>
  <w:style w:type="paragraph" w:customStyle="1" w:styleId="189">
    <w:name w:val="正文内容"/>
    <w:basedOn w:val="1"/>
    <w:link w:val="190"/>
    <w:qFormat/>
    <w:uiPriority w:val="0"/>
    <w:pPr>
      <w:widowControl/>
      <w:ind w:firstLine="0" w:firstLineChars="0"/>
      <w:jc w:val="left"/>
    </w:pPr>
    <w:rPr>
      <w:rFonts w:ascii="黑体" w:hAnsi="黑体" w:cs="宋体"/>
      <w:kern w:val="0"/>
      <w:szCs w:val="40"/>
    </w:rPr>
  </w:style>
  <w:style w:type="character" w:customStyle="1" w:styleId="190">
    <w:name w:val="正文内容 字符"/>
    <w:basedOn w:val="63"/>
    <w:link w:val="189"/>
    <w:qFormat/>
    <w:uiPriority w:val="0"/>
    <w:rPr>
      <w:rFonts w:ascii="黑体" w:hAnsi="黑体" w:cs="宋体"/>
      <w:sz w:val="24"/>
      <w:szCs w:val="40"/>
    </w:rPr>
  </w:style>
  <w:style w:type="paragraph" w:customStyle="1" w:styleId="191">
    <w:name w:val="彩色列表 - 着色 11"/>
    <w:basedOn w:val="1"/>
    <w:link w:val="582"/>
    <w:qFormat/>
    <w:uiPriority w:val="34"/>
    <w:pPr>
      <w:widowControl/>
      <w:spacing w:line="240" w:lineRule="auto"/>
      <w:ind w:firstLine="420"/>
      <w:jc w:val="left"/>
    </w:pPr>
    <w:rPr>
      <w:rFonts w:ascii="Segoe UI" w:hAnsi="Segoe UI"/>
      <w:kern w:val="0"/>
    </w:rPr>
  </w:style>
  <w:style w:type="character" w:customStyle="1" w:styleId="192">
    <w:name w:val="正文缩进 字符"/>
    <w:link w:val="16"/>
    <w:qFormat/>
    <w:uiPriority w:val="99"/>
    <w:rPr>
      <w:rFonts w:ascii="Calibri" w:hAnsi="Calibri"/>
      <w:kern w:val="2"/>
      <w:sz w:val="21"/>
      <w:szCs w:val="24"/>
    </w:rPr>
  </w:style>
  <w:style w:type="character" w:customStyle="1" w:styleId="193">
    <w:name w:val="普通(网站) 字符"/>
    <w:link w:val="53"/>
    <w:qFormat/>
    <w:uiPriority w:val="99"/>
    <w:rPr>
      <w:rFonts w:ascii="Arial Unicode MS" w:hAnsi="Arial Unicode MS" w:eastAsia="Arial Unicode MS"/>
      <w:sz w:val="24"/>
      <w:szCs w:val="24"/>
    </w:rPr>
  </w:style>
  <w:style w:type="paragraph" w:customStyle="1" w:styleId="194">
    <w:name w:val="TOC 标题11"/>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character" w:customStyle="1" w:styleId="195">
    <w:name w:val="*正文 Char Char"/>
    <w:qFormat/>
    <w:locked/>
    <w:uiPriority w:val="0"/>
    <w:rPr>
      <w:rFonts w:ascii="宋体" w:hAnsi="宋体"/>
      <w:sz w:val="22"/>
    </w:rPr>
  </w:style>
  <w:style w:type="paragraph" w:customStyle="1" w:styleId="196">
    <w:name w:val="列出段落1"/>
    <w:basedOn w:val="1"/>
    <w:link w:val="197"/>
    <w:qFormat/>
    <w:uiPriority w:val="34"/>
    <w:pPr>
      <w:widowControl/>
      <w:spacing w:line="240" w:lineRule="auto"/>
      <w:ind w:firstLine="420"/>
      <w:jc w:val="left"/>
    </w:pPr>
    <w:rPr>
      <w:rFonts w:ascii="等线" w:hAnsi="等线" w:eastAsia="等线"/>
      <w:kern w:val="0"/>
    </w:rPr>
  </w:style>
  <w:style w:type="character" w:customStyle="1" w:styleId="197">
    <w:name w:val="列出段落字符"/>
    <w:link w:val="196"/>
    <w:qFormat/>
    <w:uiPriority w:val="34"/>
    <w:rPr>
      <w:rFonts w:ascii="等线" w:hAnsi="等线" w:eastAsia="等线"/>
      <w:sz w:val="24"/>
      <w:szCs w:val="24"/>
    </w:rPr>
  </w:style>
  <w:style w:type="paragraph" w:customStyle="1" w:styleId="198">
    <w:name w:val="1级"/>
    <w:basedOn w:val="1"/>
    <w:next w:val="1"/>
    <w:link w:val="199"/>
    <w:qFormat/>
    <w:uiPriority w:val="0"/>
    <w:pPr>
      <w:widowControl/>
      <w:numPr>
        <w:ilvl w:val="0"/>
        <w:numId w:val="9"/>
      </w:numPr>
      <w:spacing w:before="240" w:after="240" w:line="240" w:lineRule="auto"/>
      <w:ind w:firstLineChars="0"/>
      <w:jc w:val="center"/>
      <w:outlineLvl w:val="0"/>
    </w:pPr>
    <w:rPr>
      <w:rFonts w:ascii="Cambria" w:hAnsi="Cambria"/>
      <w:b/>
      <w:bCs/>
      <w:kern w:val="0"/>
      <w:sz w:val="44"/>
      <w:szCs w:val="44"/>
    </w:rPr>
  </w:style>
  <w:style w:type="character" w:customStyle="1" w:styleId="199">
    <w:name w:val="1级 Char"/>
    <w:basedOn w:val="63"/>
    <w:link w:val="198"/>
    <w:qFormat/>
    <w:uiPriority w:val="0"/>
    <w:rPr>
      <w:rFonts w:ascii="Cambria" w:hAnsi="Cambria"/>
      <w:b/>
      <w:bCs/>
      <w:sz w:val="44"/>
      <w:szCs w:val="44"/>
    </w:rPr>
  </w:style>
  <w:style w:type="paragraph" w:customStyle="1" w:styleId="200">
    <w:name w:val="2级"/>
    <w:basedOn w:val="1"/>
    <w:next w:val="1"/>
    <w:link w:val="201"/>
    <w:qFormat/>
    <w:uiPriority w:val="0"/>
    <w:pPr>
      <w:keepNext/>
      <w:keepLines/>
      <w:widowControl/>
      <w:numPr>
        <w:ilvl w:val="1"/>
        <w:numId w:val="9"/>
      </w:numPr>
      <w:spacing w:before="260" w:after="260" w:line="415" w:lineRule="auto"/>
      <w:ind w:firstLineChars="0"/>
      <w:jc w:val="left"/>
      <w:outlineLvl w:val="2"/>
    </w:pPr>
    <w:rPr>
      <w:rFonts w:eastAsia="等线 Light"/>
      <w:b/>
      <w:bCs/>
      <w:sz w:val="32"/>
      <w:szCs w:val="32"/>
      <w:lang w:val="zh-CN"/>
    </w:rPr>
  </w:style>
  <w:style w:type="character" w:customStyle="1" w:styleId="201">
    <w:name w:val="2级 Char"/>
    <w:basedOn w:val="85"/>
    <w:link w:val="200"/>
    <w:qFormat/>
    <w:uiPriority w:val="0"/>
    <w:rPr>
      <w:rFonts w:ascii="宋体" w:hAnsi="宋体" w:eastAsia="等线 Light" w:cs="Times New Roman"/>
      <w:kern w:val="2"/>
      <w:sz w:val="32"/>
      <w:szCs w:val="32"/>
      <w:lang w:val="zh-CN"/>
    </w:rPr>
  </w:style>
  <w:style w:type="paragraph" w:customStyle="1" w:styleId="202">
    <w:name w:val="3级"/>
    <w:basedOn w:val="1"/>
    <w:next w:val="1"/>
    <w:link w:val="203"/>
    <w:qFormat/>
    <w:uiPriority w:val="0"/>
    <w:pPr>
      <w:keepNext/>
      <w:keepLines/>
      <w:widowControl/>
      <w:numPr>
        <w:ilvl w:val="2"/>
        <w:numId w:val="9"/>
      </w:numPr>
      <w:spacing w:before="280" w:after="290" w:line="377" w:lineRule="auto"/>
      <w:ind w:firstLineChars="0"/>
      <w:jc w:val="left"/>
      <w:outlineLvl w:val="3"/>
    </w:pPr>
    <w:rPr>
      <w:rFonts w:eastAsia="等线 Light"/>
      <w:b/>
      <w:bCs/>
      <w:sz w:val="32"/>
      <w:szCs w:val="32"/>
    </w:rPr>
  </w:style>
  <w:style w:type="character" w:customStyle="1" w:styleId="203">
    <w:name w:val="3级 Char"/>
    <w:basedOn w:val="85"/>
    <w:link w:val="202"/>
    <w:qFormat/>
    <w:uiPriority w:val="0"/>
    <w:rPr>
      <w:rFonts w:ascii="宋体" w:hAnsi="宋体" w:eastAsia="等线 Light" w:cs="Times New Roman"/>
      <w:kern w:val="2"/>
      <w:sz w:val="32"/>
      <w:szCs w:val="32"/>
    </w:rPr>
  </w:style>
  <w:style w:type="paragraph" w:customStyle="1" w:styleId="204">
    <w:name w:val="4级"/>
    <w:basedOn w:val="5"/>
    <w:next w:val="1"/>
    <w:link w:val="205"/>
    <w:qFormat/>
    <w:uiPriority w:val="0"/>
    <w:pPr>
      <w:widowControl/>
      <w:numPr>
        <w:numId w:val="10"/>
      </w:numPr>
      <w:spacing w:before="280" w:after="290" w:line="377" w:lineRule="auto"/>
      <w:ind w:right="100" w:rightChars="100"/>
      <w:jc w:val="left"/>
      <w:outlineLvl w:val="4"/>
    </w:pPr>
    <w:rPr>
      <w:kern w:val="0"/>
      <w:sz w:val="28"/>
      <w:szCs w:val="28"/>
    </w:rPr>
  </w:style>
  <w:style w:type="character" w:customStyle="1" w:styleId="205">
    <w:name w:val="4级 Char"/>
    <w:link w:val="204"/>
    <w:qFormat/>
    <w:uiPriority w:val="0"/>
    <w:rPr>
      <w:rFonts w:ascii="宋体" w:hAnsi="宋体"/>
      <w:b/>
      <w:bCs/>
      <w:sz w:val="28"/>
      <w:szCs w:val="28"/>
    </w:rPr>
  </w:style>
  <w:style w:type="paragraph" w:customStyle="1" w:styleId="206">
    <w:name w:val="5级"/>
    <w:basedOn w:val="1"/>
    <w:next w:val="1"/>
    <w:link w:val="207"/>
    <w:qFormat/>
    <w:uiPriority w:val="0"/>
    <w:pPr>
      <w:keepNext/>
      <w:keepLines/>
      <w:widowControl/>
      <w:numPr>
        <w:ilvl w:val="4"/>
        <w:numId w:val="9"/>
      </w:numPr>
      <w:spacing w:before="240" w:after="64" w:line="319" w:lineRule="auto"/>
      <w:ind w:firstLine="0" w:firstLineChars="0"/>
      <w:jc w:val="left"/>
      <w:outlineLvl w:val="5"/>
    </w:pPr>
    <w:rPr>
      <w:rFonts w:ascii="Cambria" w:hAnsi="Cambria"/>
      <w:b/>
      <w:bCs/>
      <w:kern w:val="0"/>
      <w:sz w:val="28"/>
      <w:szCs w:val="28"/>
    </w:rPr>
  </w:style>
  <w:style w:type="character" w:customStyle="1" w:styleId="207">
    <w:name w:val="5级 Char"/>
    <w:basedOn w:val="63"/>
    <w:link w:val="206"/>
    <w:qFormat/>
    <w:uiPriority w:val="0"/>
    <w:rPr>
      <w:rFonts w:ascii="Cambria" w:hAnsi="Cambria"/>
      <w:b/>
      <w:bCs/>
      <w:sz w:val="28"/>
      <w:szCs w:val="28"/>
    </w:rPr>
  </w:style>
  <w:style w:type="paragraph" w:customStyle="1" w:styleId="208">
    <w:name w:val="6级"/>
    <w:basedOn w:val="1"/>
    <w:next w:val="1"/>
    <w:qFormat/>
    <w:uiPriority w:val="0"/>
    <w:pPr>
      <w:keepNext/>
      <w:keepLines/>
      <w:widowControl/>
      <w:numPr>
        <w:ilvl w:val="5"/>
        <w:numId w:val="9"/>
      </w:numPr>
      <w:spacing w:before="240" w:after="64" w:line="319" w:lineRule="auto"/>
      <w:ind w:firstLine="0" w:firstLineChars="0"/>
      <w:jc w:val="left"/>
      <w:outlineLvl w:val="6"/>
    </w:pPr>
    <w:rPr>
      <w:b/>
      <w:bCs/>
      <w:kern w:val="0"/>
    </w:rPr>
  </w:style>
  <w:style w:type="paragraph" w:customStyle="1" w:styleId="209">
    <w:name w:val="7级"/>
    <w:basedOn w:val="1"/>
    <w:next w:val="1"/>
    <w:qFormat/>
    <w:uiPriority w:val="0"/>
    <w:pPr>
      <w:keepNext/>
      <w:keepLines/>
      <w:widowControl/>
      <w:spacing w:before="240" w:after="64" w:line="319" w:lineRule="auto"/>
      <w:ind w:left="3827" w:hanging="1276" w:firstLineChars="0"/>
      <w:jc w:val="left"/>
      <w:outlineLvl w:val="7"/>
    </w:pPr>
    <w:rPr>
      <w:b/>
      <w:kern w:val="0"/>
    </w:rPr>
  </w:style>
  <w:style w:type="paragraph" w:customStyle="1" w:styleId="21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11">
    <w:name w:val="正文文本首行缩进1"/>
    <w:basedOn w:val="25"/>
    <w:qFormat/>
    <w:uiPriority w:val="0"/>
    <w:pPr>
      <w:widowControl/>
      <w:spacing w:before="100" w:beforeAutospacing="1" w:line="360" w:lineRule="auto"/>
      <w:ind w:firstLine="420" w:firstLineChars="100"/>
      <w:jc w:val="left"/>
    </w:pPr>
    <w:rPr>
      <w:rFonts w:ascii="Calibri" w:hAnsi="Calibri"/>
      <w:kern w:val="0"/>
      <w:sz w:val="24"/>
    </w:rPr>
  </w:style>
  <w:style w:type="paragraph" w:customStyle="1" w:styleId="212">
    <w:name w:val="列表段落1"/>
    <w:basedOn w:val="1"/>
    <w:qFormat/>
    <w:uiPriority w:val="34"/>
    <w:pPr>
      <w:widowControl/>
      <w:spacing w:line="240" w:lineRule="auto"/>
      <w:ind w:firstLine="420"/>
      <w:jc w:val="left"/>
    </w:pPr>
    <w:rPr>
      <w:rFonts w:ascii="Calibri" w:hAnsi="Calibri"/>
      <w:kern w:val="0"/>
      <w:szCs w:val="21"/>
    </w:rPr>
  </w:style>
  <w:style w:type="paragraph" w:customStyle="1" w:styleId="213">
    <w:name w:val="正文Z"/>
    <w:basedOn w:val="1"/>
    <w:qFormat/>
    <w:uiPriority w:val="0"/>
    <w:pPr>
      <w:widowControl/>
      <w:spacing w:line="600" w:lineRule="exact"/>
      <w:ind w:firstLine="640"/>
      <w:jc w:val="left"/>
    </w:pPr>
    <w:rPr>
      <w:rFonts w:ascii="方正仿宋_GBK" w:hAnsi="仿宋" w:cs="仿宋"/>
      <w:color w:val="000000"/>
      <w:kern w:val="0"/>
      <w:sz w:val="32"/>
      <w:szCs w:val="32"/>
    </w:rPr>
  </w:style>
  <w:style w:type="paragraph" w:customStyle="1" w:styleId="214">
    <w:name w:val="插图居中"/>
    <w:next w:val="1"/>
    <w:qFormat/>
    <w:uiPriority w:val="0"/>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215">
    <w:name w:val="图片居中"/>
    <w:basedOn w:val="1"/>
    <w:qFormat/>
    <w:uiPriority w:val="0"/>
    <w:pPr>
      <w:widowControl/>
      <w:spacing w:line="240" w:lineRule="auto"/>
      <w:ind w:firstLine="0" w:firstLineChars="0"/>
      <w:jc w:val="center"/>
    </w:pPr>
    <w:rPr>
      <w:rFonts w:ascii="Times New Roman" w:hAnsi="Times New Roman" w:eastAsia="仿宋_GB2312" w:cs="宋体"/>
      <w:kern w:val="0"/>
      <w:sz w:val="32"/>
    </w:rPr>
  </w:style>
  <w:style w:type="paragraph" w:customStyle="1" w:styleId="216">
    <w:name w:val="标准正文样式"/>
    <w:basedOn w:val="213"/>
    <w:link w:val="217"/>
    <w:qFormat/>
    <w:uiPriority w:val="0"/>
    <w:pPr>
      <w:spacing w:line="560" w:lineRule="exact"/>
    </w:pPr>
    <w:rPr>
      <w:rFonts w:ascii="Times New Roman" w:hAnsi="Times New Roman" w:eastAsia="仿宋_GB2312" w:cs="Times New Roman"/>
      <w:color w:val="auto"/>
      <w:u w:color="000000"/>
    </w:rPr>
  </w:style>
  <w:style w:type="character" w:customStyle="1" w:styleId="217">
    <w:name w:val="标准正文样式 Char"/>
    <w:link w:val="216"/>
    <w:qFormat/>
    <w:uiPriority w:val="0"/>
    <w:rPr>
      <w:rFonts w:eastAsia="仿宋_GB2312"/>
      <w:sz w:val="32"/>
      <w:szCs w:val="32"/>
      <w:u w:color="000000"/>
    </w:rPr>
  </w:style>
  <w:style w:type="paragraph" w:customStyle="1" w:styleId="218">
    <w:name w:val="标准图样式"/>
    <w:basedOn w:val="216"/>
    <w:autoRedefine/>
    <w:qFormat/>
    <w:uiPriority w:val="0"/>
    <w:pPr>
      <w:spacing w:line="360" w:lineRule="auto"/>
      <w:ind w:firstLine="0" w:firstLineChars="0"/>
      <w:jc w:val="center"/>
    </w:pPr>
    <w:rPr>
      <w:rFonts w:eastAsia="方正仿宋_GBK"/>
      <w:color w:val="000000"/>
      <w:lang w:val="zh-TW" w:eastAsia="zh-TW"/>
    </w:rPr>
  </w:style>
  <w:style w:type="paragraph" w:customStyle="1" w:styleId="219">
    <w:name w:val="正文 sosopeng"/>
    <w:basedOn w:val="1"/>
    <w:qFormat/>
    <w:uiPriority w:val="0"/>
    <w:pPr>
      <w:widowControl/>
      <w:spacing w:line="520" w:lineRule="exact"/>
      <w:ind w:firstLine="200"/>
      <w:jc w:val="left"/>
    </w:pPr>
    <w:rPr>
      <w:color w:val="000000"/>
      <w:kern w:val="0"/>
      <w:shd w:val="clear" w:color="auto" w:fill="FFFFFF"/>
    </w:rPr>
  </w:style>
  <w:style w:type="character" w:customStyle="1" w:styleId="220">
    <w:name w:val="段 Char"/>
    <w:link w:val="145"/>
    <w:qFormat/>
    <w:uiPriority w:val="0"/>
    <w:rPr>
      <w:rFonts w:ascii="宋体" w:cs="Calibri"/>
      <w:sz w:val="21"/>
    </w:rPr>
  </w:style>
  <w:style w:type="paragraph" w:customStyle="1" w:styleId="221">
    <w:name w:val="列出段落11"/>
    <w:basedOn w:val="1"/>
    <w:qFormat/>
    <w:uiPriority w:val="0"/>
    <w:pPr>
      <w:widowControl/>
      <w:ind w:firstLine="420"/>
      <w:jc w:val="left"/>
    </w:pPr>
    <w:rPr>
      <w:rFonts w:eastAsia="仿宋"/>
      <w:kern w:val="0"/>
      <w:sz w:val="28"/>
      <w:szCs w:val="28"/>
    </w:rPr>
  </w:style>
  <w:style w:type="paragraph" w:customStyle="1" w:styleId="222">
    <w:name w:val="表格"/>
    <w:basedOn w:val="1"/>
    <w:next w:val="1"/>
    <w:link w:val="597"/>
    <w:qFormat/>
    <w:uiPriority w:val="9"/>
    <w:pPr>
      <w:widowControl/>
      <w:adjustRightInd w:val="0"/>
      <w:snapToGrid w:val="0"/>
      <w:spacing w:line="240" w:lineRule="auto"/>
      <w:ind w:firstLine="0" w:firstLineChars="0"/>
      <w:jc w:val="left"/>
    </w:pPr>
    <w:rPr>
      <w:rFonts w:cs="宋体"/>
      <w:kern w:val="0"/>
      <w:szCs w:val="20"/>
    </w:rPr>
  </w:style>
  <w:style w:type="paragraph" w:customStyle="1" w:styleId="223">
    <w:name w:val="图表样式"/>
    <w:basedOn w:val="1"/>
    <w:next w:val="1"/>
    <w:link w:val="224"/>
    <w:qFormat/>
    <w:uiPriority w:val="0"/>
    <w:pPr>
      <w:widowControl/>
      <w:spacing w:line="240" w:lineRule="auto"/>
      <w:ind w:firstLine="0" w:firstLineChars="0"/>
      <w:contextualSpacing/>
      <w:jc w:val="center"/>
    </w:pPr>
    <w:rPr>
      <w:rFonts w:ascii="仿宋" w:hAnsi="仿宋" w:eastAsia="仿宋"/>
      <w:kern w:val="0"/>
      <w:sz w:val="28"/>
      <w:szCs w:val="28"/>
      <w:lang w:val="zh-CN"/>
    </w:rPr>
  </w:style>
  <w:style w:type="character" w:customStyle="1" w:styleId="224">
    <w:name w:val="图表样式 字符"/>
    <w:basedOn w:val="63"/>
    <w:link w:val="223"/>
    <w:qFormat/>
    <w:uiPriority w:val="0"/>
    <w:rPr>
      <w:rFonts w:ascii="仿宋" w:hAnsi="仿宋" w:eastAsia="仿宋"/>
      <w:sz w:val="28"/>
      <w:szCs w:val="28"/>
      <w:lang w:val="zh-CN"/>
    </w:rPr>
  </w:style>
  <w:style w:type="paragraph" w:customStyle="1" w:styleId="225">
    <w:name w:val="TOC 标题2"/>
    <w:basedOn w:val="2"/>
    <w:next w:val="1"/>
    <w:unhideWhenUsed/>
    <w:qFormat/>
    <w:uiPriority w:val="39"/>
    <w:pPr>
      <w:pageBreakBefore/>
      <w:widowControl/>
      <w:numPr>
        <w:numId w:val="0"/>
      </w:numPr>
      <w:spacing w:before="240" w:after="0" w:line="259" w:lineRule="auto"/>
      <w:jc w:val="center"/>
      <w:outlineLvl w:val="9"/>
    </w:pPr>
    <w:rPr>
      <w:rFonts w:asciiTheme="majorHAnsi" w:hAnsiTheme="majorHAnsi" w:eastAsiaTheme="majorEastAsia" w:cstheme="majorBidi"/>
      <w:b w:val="0"/>
      <w:bCs w:val="0"/>
      <w:color w:val="376092" w:themeColor="accent1" w:themeShade="BF"/>
      <w:kern w:val="0"/>
      <w:szCs w:val="32"/>
      <w:lang w:val="zh-CN"/>
    </w:rPr>
  </w:style>
  <w:style w:type="paragraph" w:customStyle="1" w:styleId="226">
    <w:name w:val="标题三"/>
    <w:basedOn w:val="1"/>
    <w:link w:val="227"/>
    <w:qFormat/>
    <w:uiPriority w:val="0"/>
    <w:pPr>
      <w:keepNext/>
      <w:keepLines/>
      <w:widowControl/>
      <w:numPr>
        <w:ilvl w:val="2"/>
        <w:numId w:val="11"/>
      </w:numPr>
      <w:tabs>
        <w:tab w:val="left" w:pos="432"/>
        <w:tab w:val="left" w:pos="720"/>
      </w:tabs>
      <w:spacing w:before="260" w:after="260" w:line="240" w:lineRule="auto"/>
      <w:ind w:firstLine="0" w:firstLineChars="0"/>
      <w:jc w:val="left"/>
      <w:outlineLvl w:val="2"/>
    </w:pPr>
    <w:rPr>
      <w:rFonts w:ascii="Times New Roman" w:hAnsi="Times New Roman" w:eastAsia="华文仿宋"/>
      <w:b/>
      <w:bCs/>
      <w:color w:val="000000" w:themeColor="text1"/>
      <w:kern w:val="28"/>
      <w:sz w:val="30"/>
      <w:szCs w:val="32"/>
      <w:lang w:eastAsia="en-US"/>
      <w14:textFill>
        <w14:solidFill>
          <w14:schemeClr w14:val="tx1"/>
        </w14:solidFill>
      </w14:textFill>
    </w:rPr>
  </w:style>
  <w:style w:type="character" w:customStyle="1" w:styleId="227">
    <w:name w:val="标题三 字符"/>
    <w:basedOn w:val="63"/>
    <w:link w:val="226"/>
    <w:qFormat/>
    <w:uiPriority w:val="0"/>
    <w:rPr>
      <w:rFonts w:eastAsia="华文仿宋"/>
      <w:b/>
      <w:bCs/>
      <w:color w:val="000000" w:themeColor="text1"/>
      <w:kern w:val="28"/>
      <w:sz w:val="30"/>
      <w:szCs w:val="32"/>
      <w:lang w:eastAsia="en-US"/>
      <w14:textFill>
        <w14:solidFill>
          <w14:schemeClr w14:val="tx1"/>
        </w14:solidFill>
      </w14:textFill>
    </w:rPr>
  </w:style>
  <w:style w:type="paragraph" w:customStyle="1" w:styleId="228">
    <w:name w:val="font5"/>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29">
    <w:name w:val="xl64"/>
    <w:basedOn w:val="1"/>
    <w:qFormat/>
    <w:uiPriority w:val="0"/>
    <w:pPr>
      <w:widowControl/>
      <w:spacing w:before="100" w:beforeAutospacing="1" w:after="100" w:afterAutospacing="1" w:line="240" w:lineRule="auto"/>
      <w:ind w:firstLine="0" w:firstLineChars="0"/>
      <w:jc w:val="left"/>
    </w:pPr>
    <w:rPr>
      <w:rFonts w:cs="宋体"/>
      <w:kern w:val="0"/>
      <w:sz w:val="20"/>
      <w:szCs w:val="20"/>
    </w:rPr>
  </w:style>
  <w:style w:type="paragraph" w:customStyle="1" w:styleId="230">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31">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B8CCE4"/>
      <w:spacing w:before="100" w:beforeAutospacing="1" w:after="100" w:afterAutospacing="1" w:line="240" w:lineRule="auto"/>
      <w:ind w:firstLine="0" w:firstLineChars="0"/>
      <w:jc w:val="left"/>
    </w:pPr>
    <w:rPr>
      <w:rFonts w:cs="宋体"/>
      <w:kern w:val="0"/>
      <w:sz w:val="20"/>
      <w:szCs w:val="20"/>
    </w:rPr>
  </w:style>
  <w:style w:type="paragraph" w:customStyle="1" w:styleId="23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3">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34">
    <w:name w:val="xl7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5">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36">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3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sz w:val="20"/>
      <w:szCs w:val="20"/>
    </w:rPr>
  </w:style>
  <w:style w:type="paragraph" w:customStyle="1" w:styleId="24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color w:val="000000"/>
      <w:kern w:val="0"/>
      <w:sz w:val="18"/>
      <w:szCs w:val="18"/>
    </w:rPr>
  </w:style>
  <w:style w:type="paragraph" w:customStyle="1" w:styleId="24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ascii="仿宋_GB2312" w:eastAsia="仿宋_GB2312" w:cs="宋体"/>
      <w:kern w:val="0"/>
      <w:sz w:val="18"/>
      <w:szCs w:val="18"/>
    </w:rPr>
  </w:style>
  <w:style w:type="paragraph" w:customStyle="1" w:styleId="24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18"/>
      <w:szCs w:val="18"/>
    </w:rPr>
  </w:style>
  <w:style w:type="paragraph" w:customStyle="1" w:styleId="24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kern w:val="0"/>
      <w:sz w:val="20"/>
      <w:szCs w:val="20"/>
    </w:rPr>
  </w:style>
  <w:style w:type="paragraph" w:customStyle="1" w:styleId="24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center"/>
    </w:pPr>
    <w:rPr>
      <w:rFonts w:ascii="仿宋_GB2312" w:eastAsia="仿宋_GB2312" w:cs="宋体"/>
      <w:b/>
      <w:bCs/>
      <w:color w:val="000000"/>
      <w:kern w:val="0"/>
      <w:sz w:val="20"/>
      <w:szCs w:val="20"/>
    </w:rPr>
  </w:style>
  <w:style w:type="paragraph" w:customStyle="1" w:styleId="247">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ascii="仿宋_GB2312" w:eastAsia="仿宋_GB2312" w:cs="宋体"/>
      <w:b/>
      <w:bCs/>
      <w:kern w:val="0"/>
      <w:sz w:val="20"/>
      <w:szCs w:val="20"/>
    </w:rPr>
  </w:style>
  <w:style w:type="paragraph" w:customStyle="1" w:styleId="248">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49">
    <w:name w:val="xl93"/>
    <w:basedOn w:val="1"/>
    <w:qFormat/>
    <w:uiPriority w:val="0"/>
    <w:pPr>
      <w:widowControl/>
      <w:shd w:val="clear" w:color="000000" w:fill="FFFFFF"/>
      <w:spacing w:before="100" w:beforeAutospacing="1" w:after="100" w:afterAutospacing="1" w:line="240" w:lineRule="auto"/>
      <w:ind w:firstLine="0" w:firstLineChars="0"/>
      <w:jc w:val="left"/>
    </w:pPr>
    <w:rPr>
      <w:rFonts w:ascii="仿宋_GB2312" w:eastAsia="仿宋_GB2312" w:cs="宋体"/>
      <w:kern w:val="0"/>
      <w:sz w:val="20"/>
      <w:szCs w:val="20"/>
    </w:rPr>
  </w:style>
  <w:style w:type="paragraph" w:customStyle="1" w:styleId="250">
    <w:name w:val="xl9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51">
    <w:name w:val="xl95"/>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kern w:val="0"/>
      <w:sz w:val="18"/>
      <w:szCs w:val="18"/>
    </w:rPr>
  </w:style>
  <w:style w:type="paragraph" w:customStyle="1" w:styleId="252">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5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color w:val="000000"/>
      <w:kern w:val="0"/>
      <w:sz w:val="18"/>
      <w:szCs w:val="18"/>
    </w:rPr>
  </w:style>
  <w:style w:type="paragraph" w:customStyle="1" w:styleId="2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微软雅黑" w:hAnsi="微软雅黑" w:eastAsia="微软雅黑" w:cs="宋体"/>
      <w:kern w:val="0"/>
      <w:sz w:val="18"/>
      <w:szCs w:val="18"/>
    </w:rPr>
  </w:style>
  <w:style w:type="paragraph" w:customStyle="1" w:styleId="255">
    <w:name w:val="xl99"/>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6">
    <w:name w:val="xl100"/>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7">
    <w:name w:val="xl101"/>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8">
    <w:name w:val="xl102"/>
    <w:basedOn w:val="1"/>
    <w:qFormat/>
    <w:uiPriority w:val="0"/>
    <w:pPr>
      <w:widowControl/>
      <w:spacing w:before="100" w:beforeAutospacing="1" w:after="100" w:afterAutospacing="1" w:line="240" w:lineRule="auto"/>
      <w:ind w:firstLine="0" w:firstLineChars="0"/>
      <w:jc w:val="left"/>
    </w:pPr>
    <w:rPr>
      <w:rFonts w:cs="宋体"/>
      <w:color w:val="000000"/>
      <w:kern w:val="0"/>
      <w:sz w:val="20"/>
      <w:szCs w:val="20"/>
    </w:rPr>
  </w:style>
  <w:style w:type="paragraph" w:customStyle="1" w:styleId="259">
    <w:name w:val="xl103"/>
    <w:basedOn w:val="1"/>
    <w:qFormat/>
    <w:uiPriority w:val="0"/>
    <w:pPr>
      <w:widowControl/>
      <w:spacing w:before="100" w:beforeAutospacing="1" w:after="100" w:afterAutospacing="1" w:line="240" w:lineRule="auto"/>
      <w:ind w:firstLine="0" w:firstLineChars="0"/>
      <w:jc w:val="right"/>
    </w:pPr>
    <w:rPr>
      <w:rFonts w:cs="宋体"/>
      <w:color w:val="000000"/>
      <w:kern w:val="0"/>
      <w:sz w:val="20"/>
      <w:szCs w:val="20"/>
    </w:rPr>
  </w:style>
  <w:style w:type="paragraph" w:customStyle="1" w:styleId="260">
    <w:name w:val="xl104"/>
    <w:basedOn w:val="1"/>
    <w:qFormat/>
    <w:uiPriority w:val="0"/>
    <w:pPr>
      <w:widowControl/>
      <w:spacing w:before="100" w:beforeAutospacing="1" w:after="100" w:afterAutospacing="1" w:line="240" w:lineRule="auto"/>
      <w:ind w:firstLine="0" w:firstLineChars="0"/>
      <w:jc w:val="center"/>
    </w:pPr>
    <w:rPr>
      <w:rFonts w:cs="宋体"/>
      <w:b/>
      <w:bCs/>
      <w:kern w:val="0"/>
      <w:sz w:val="20"/>
      <w:szCs w:val="20"/>
    </w:rPr>
  </w:style>
  <w:style w:type="paragraph" w:customStyle="1" w:styleId="261">
    <w:name w:val="xl105"/>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62">
    <w:name w:val="xl10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3">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64">
    <w:name w:val="xl10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65">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67">
    <w:name w:val="xl111"/>
    <w:basedOn w:val="1"/>
    <w:qFormat/>
    <w:uiPriority w:val="0"/>
    <w:pPr>
      <w:widowControl/>
      <w:pBdr>
        <w:top w:val="single" w:color="auto" w:sz="4" w:space="0"/>
        <w:left w:val="single" w:color="auto" w:sz="4" w:space="0"/>
        <w:bottom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68">
    <w:name w:val="xl112"/>
    <w:basedOn w:val="1"/>
    <w:qFormat/>
    <w:uiPriority w:val="0"/>
    <w:pPr>
      <w:widowControl/>
      <w:pBdr>
        <w:top w:val="single" w:color="auto" w:sz="4" w:space="0"/>
        <w:bottom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69">
    <w:name w:val="xl113"/>
    <w:basedOn w:val="1"/>
    <w:qFormat/>
    <w:uiPriority w:val="0"/>
    <w:pPr>
      <w:widowControl/>
      <w:pBdr>
        <w:top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70">
    <w:name w:val="xl114"/>
    <w:basedOn w:val="1"/>
    <w:qFormat/>
    <w:uiPriority w:val="0"/>
    <w:pPr>
      <w:widowControl/>
      <w:spacing w:before="100" w:beforeAutospacing="1" w:after="100" w:afterAutospacing="1" w:line="240" w:lineRule="auto"/>
      <w:ind w:firstLine="0" w:firstLineChars="0"/>
      <w:jc w:val="left"/>
    </w:pPr>
    <w:rPr>
      <w:rFonts w:cs="宋体"/>
      <w:b/>
      <w:bCs/>
      <w:kern w:val="0"/>
      <w:sz w:val="20"/>
      <w:szCs w:val="20"/>
    </w:rPr>
  </w:style>
  <w:style w:type="paragraph" w:customStyle="1" w:styleId="271">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2">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3">
    <w:name w:val="xl117"/>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4">
    <w:name w:val="xl118"/>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5">
    <w:name w:val="xl11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sz w:val="20"/>
      <w:szCs w:val="20"/>
    </w:rPr>
  </w:style>
  <w:style w:type="paragraph" w:customStyle="1" w:styleId="2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sz w:val="20"/>
      <w:szCs w:val="20"/>
    </w:rPr>
  </w:style>
  <w:style w:type="paragraph" w:customStyle="1" w:styleId="27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cs="宋体"/>
      <w:kern w:val="0"/>
    </w:rPr>
  </w:style>
  <w:style w:type="paragraph" w:customStyle="1" w:styleId="278">
    <w:name w:val="xl122"/>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center"/>
    </w:pPr>
    <w:rPr>
      <w:rFonts w:cs="宋体"/>
      <w:kern w:val="0"/>
      <w:sz w:val="20"/>
      <w:szCs w:val="20"/>
    </w:rPr>
  </w:style>
  <w:style w:type="paragraph" w:customStyle="1" w:styleId="279">
    <w:name w:val="xl123"/>
    <w:basedOn w:val="1"/>
    <w:qFormat/>
    <w:uiPriority w:val="0"/>
    <w:pPr>
      <w:widowControl/>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line="240" w:lineRule="auto"/>
      <w:ind w:firstLine="0" w:firstLineChars="0"/>
      <w:jc w:val="left"/>
    </w:pPr>
    <w:rPr>
      <w:rFonts w:cs="宋体"/>
      <w:kern w:val="0"/>
    </w:rPr>
  </w:style>
  <w:style w:type="paragraph" w:customStyle="1" w:styleId="280">
    <w:name w:val="xl124"/>
    <w:basedOn w:val="1"/>
    <w:qFormat/>
    <w:uiPriority w:val="0"/>
    <w:pPr>
      <w:widowControl/>
      <w:pBdr>
        <w:top w:val="single" w:color="auto" w:sz="4" w:space="0"/>
        <w:left w:val="single" w:color="auto" w:sz="4" w:space="0"/>
        <w:bottom w:val="single" w:color="auto" w:sz="4" w:space="0"/>
      </w:pBdr>
      <w:shd w:val="clear" w:color="000000" w:fill="8DB4E2"/>
      <w:spacing w:before="100" w:beforeAutospacing="1" w:after="100" w:afterAutospacing="1" w:line="240" w:lineRule="auto"/>
      <w:ind w:firstLine="0" w:firstLineChars="0"/>
      <w:jc w:val="center"/>
    </w:pPr>
    <w:rPr>
      <w:rFonts w:cs="宋体"/>
      <w:b/>
      <w:bCs/>
      <w:kern w:val="0"/>
      <w:sz w:val="20"/>
      <w:szCs w:val="20"/>
    </w:rPr>
  </w:style>
  <w:style w:type="paragraph" w:customStyle="1" w:styleId="281">
    <w:name w:val="xl125"/>
    <w:basedOn w:val="1"/>
    <w:qFormat/>
    <w:uiPriority w:val="0"/>
    <w:pPr>
      <w:widowControl/>
      <w:pBdr>
        <w:top w:val="single" w:color="auto" w:sz="4" w:space="0"/>
        <w:bottom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2">
    <w:name w:val="xl126"/>
    <w:basedOn w:val="1"/>
    <w:qFormat/>
    <w:uiPriority w:val="0"/>
    <w:pPr>
      <w:widowControl/>
      <w:pBdr>
        <w:top w:val="single" w:color="auto" w:sz="4" w:space="0"/>
        <w:bottom w:val="single" w:color="auto" w:sz="4" w:space="0"/>
        <w:right w:val="single" w:color="auto" w:sz="4" w:space="0"/>
      </w:pBdr>
      <w:shd w:val="clear" w:color="000000" w:fill="8DB4E2"/>
      <w:spacing w:before="100" w:beforeAutospacing="1" w:after="100" w:afterAutospacing="1" w:line="240" w:lineRule="auto"/>
      <w:ind w:firstLine="0" w:firstLineChars="0"/>
      <w:jc w:val="left"/>
    </w:pPr>
    <w:rPr>
      <w:rFonts w:cs="宋体"/>
      <w:b/>
      <w:bCs/>
      <w:kern w:val="0"/>
    </w:rPr>
  </w:style>
  <w:style w:type="paragraph" w:customStyle="1" w:styleId="28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4">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85">
    <w:name w:val="xl129"/>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pPr>
    <w:rPr>
      <w:rFonts w:cs="宋体"/>
      <w:kern w:val="0"/>
      <w:sz w:val="20"/>
      <w:szCs w:val="20"/>
    </w:rPr>
  </w:style>
  <w:style w:type="paragraph" w:customStyle="1" w:styleId="286">
    <w:name w:val="xl13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7">
    <w:name w:val="xl131"/>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88">
    <w:name w:val="xl13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b/>
      <w:bCs/>
      <w:color w:val="000000"/>
      <w:kern w:val="0"/>
      <w:sz w:val="20"/>
      <w:szCs w:val="20"/>
    </w:rPr>
  </w:style>
  <w:style w:type="paragraph" w:customStyle="1" w:styleId="289">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0">
    <w:name w:val="xl134"/>
    <w:basedOn w:val="1"/>
    <w:qFormat/>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1">
    <w:name w:val="xl13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仿宋_GB2312" w:eastAsia="仿宋_GB2312" w:cs="宋体"/>
      <w:kern w:val="0"/>
      <w:sz w:val="18"/>
      <w:szCs w:val="18"/>
    </w:rPr>
  </w:style>
  <w:style w:type="paragraph" w:customStyle="1" w:styleId="293">
    <w:name w:val="xl137"/>
    <w:basedOn w:val="1"/>
    <w:qFormat/>
    <w:uiPriority w:val="0"/>
    <w:pPr>
      <w:widowControl/>
      <w:pBdr>
        <w:top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cs="宋体"/>
      <w:kern w:val="0"/>
      <w:sz w:val="20"/>
      <w:szCs w:val="20"/>
    </w:rPr>
  </w:style>
  <w:style w:type="paragraph" w:customStyle="1" w:styleId="294">
    <w:name w:val="xl138"/>
    <w:basedOn w:val="1"/>
    <w:qFormat/>
    <w:uiPriority w:val="0"/>
    <w:pPr>
      <w:widowControl/>
      <w:pBdr>
        <w:right w:val="single" w:color="auto" w:sz="4" w:space="0"/>
      </w:pBdr>
      <w:shd w:val="clear" w:color="000000" w:fill="FFFFFF"/>
      <w:spacing w:before="100" w:beforeAutospacing="1" w:after="100" w:afterAutospacing="1" w:line="240" w:lineRule="auto"/>
      <w:ind w:firstLine="0" w:firstLineChars="0"/>
      <w:jc w:val="left"/>
    </w:pPr>
    <w:rPr>
      <w:rFonts w:cs="宋体"/>
      <w:kern w:val="0"/>
    </w:rPr>
  </w:style>
  <w:style w:type="paragraph" w:customStyle="1" w:styleId="295">
    <w:name w:val="font6"/>
    <w:basedOn w:val="1"/>
    <w:qFormat/>
    <w:uiPriority w:val="0"/>
    <w:pPr>
      <w:widowControl/>
      <w:spacing w:before="100" w:beforeAutospacing="1" w:after="100" w:afterAutospacing="1" w:line="240" w:lineRule="auto"/>
      <w:ind w:firstLine="0" w:firstLineChars="0"/>
      <w:jc w:val="left"/>
    </w:pPr>
    <w:rPr>
      <w:rFonts w:cs="宋体"/>
      <w:kern w:val="0"/>
      <w:sz w:val="18"/>
      <w:szCs w:val="18"/>
    </w:rPr>
  </w:style>
  <w:style w:type="paragraph" w:customStyle="1" w:styleId="29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cs="宋体"/>
      <w:kern w:val="0"/>
    </w:rPr>
  </w:style>
  <w:style w:type="paragraph" w:customStyle="1" w:styleId="297">
    <w:name w:val="xl14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cs="宋体"/>
      <w:color w:val="000000"/>
      <w:kern w:val="0"/>
      <w:sz w:val="20"/>
      <w:szCs w:val="20"/>
    </w:rPr>
  </w:style>
  <w:style w:type="paragraph" w:customStyle="1" w:styleId="298">
    <w:name w:val="Default"/>
    <w:link w:val="299"/>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299">
    <w:name w:val="Default Char"/>
    <w:link w:val="298"/>
    <w:qFormat/>
    <w:uiPriority w:val="0"/>
    <w:rPr>
      <w:rFonts w:ascii="仿宋" w:eastAsia="仿宋" w:cs="仿宋" w:hAnsiTheme="minorHAnsi"/>
      <w:color w:val="000000"/>
      <w:sz w:val="24"/>
      <w:szCs w:val="24"/>
    </w:rPr>
  </w:style>
  <w:style w:type="paragraph" w:customStyle="1" w:styleId="300">
    <w:name w:val="nomal正文5号"/>
    <w:basedOn w:val="1"/>
    <w:link w:val="301"/>
    <w:qFormat/>
    <w:uiPriority w:val="0"/>
    <w:pPr>
      <w:widowControl/>
      <w:ind w:firstLine="200"/>
      <w:jc w:val="left"/>
    </w:pPr>
    <w:rPr>
      <w:rFonts w:ascii="Times" w:hAnsi="Times" w:cs="Times"/>
      <w:color w:val="080808"/>
      <w:kern w:val="0"/>
      <w:szCs w:val="21"/>
    </w:rPr>
  </w:style>
  <w:style w:type="character" w:customStyle="1" w:styleId="301">
    <w:name w:val="nomal正文5号 Char"/>
    <w:basedOn w:val="63"/>
    <w:link w:val="300"/>
    <w:qFormat/>
    <w:uiPriority w:val="0"/>
    <w:rPr>
      <w:rFonts w:ascii="Times" w:hAnsi="Times" w:cs="Times"/>
      <w:color w:val="080808"/>
      <w:sz w:val="24"/>
      <w:szCs w:val="21"/>
    </w:rPr>
  </w:style>
  <w:style w:type="paragraph" w:customStyle="1" w:styleId="302">
    <w:name w:val="正文缩进2字符"/>
    <w:basedOn w:val="1"/>
    <w:link w:val="303"/>
    <w:qFormat/>
    <w:uiPriority w:val="0"/>
    <w:pPr>
      <w:widowControl/>
      <w:jc w:val="left"/>
    </w:pPr>
    <w:rPr>
      <w:rFonts w:ascii="Times New Roman" w:hAnsi="Times New Roman"/>
      <w:kern w:val="0"/>
    </w:rPr>
  </w:style>
  <w:style w:type="character" w:customStyle="1" w:styleId="303">
    <w:name w:val="正文缩进2字符 Char"/>
    <w:link w:val="302"/>
    <w:qFormat/>
    <w:uiPriority w:val="0"/>
    <w:rPr>
      <w:sz w:val="24"/>
      <w:szCs w:val="24"/>
    </w:rPr>
  </w:style>
  <w:style w:type="character" w:customStyle="1" w:styleId="304">
    <w:name w:val="正文文本缩进 2 Char1"/>
    <w:qFormat/>
    <w:uiPriority w:val="0"/>
    <w:rPr>
      <w:kern w:val="2"/>
      <w:sz w:val="21"/>
      <w:szCs w:val="24"/>
    </w:rPr>
  </w:style>
  <w:style w:type="paragraph" w:customStyle="1" w:styleId="305">
    <w:name w:val="样式 小四 行距: 1.5 倍行距"/>
    <w:basedOn w:val="1"/>
    <w:qFormat/>
    <w:uiPriority w:val="0"/>
    <w:pPr>
      <w:widowControl/>
      <w:tabs>
        <w:tab w:val="left" w:pos="720"/>
      </w:tabs>
      <w:ind w:left="720" w:hanging="720" w:firstLineChars="0"/>
      <w:jc w:val="left"/>
    </w:pPr>
    <w:rPr>
      <w:rFonts w:ascii="Times New Roman" w:hAnsi="Times New Roman"/>
      <w:kern w:val="0"/>
      <w:szCs w:val="20"/>
      <w:lang w:val="zh-CN"/>
    </w:rPr>
  </w:style>
  <w:style w:type="paragraph" w:customStyle="1" w:styleId="306">
    <w:name w:val="Char Char Char Char Char Char Char"/>
    <w:basedOn w:val="1"/>
    <w:qFormat/>
    <w:uiPriority w:val="0"/>
    <w:pPr>
      <w:widowControl/>
      <w:spacing w:after="160" w:line="240" w:lineRule="exact"/>
      <w:ind w:firstLine="0" w:firstLineChars="0"/>
      <w:jc w:val="left"/>
    </w:pPr>
    <w:rPr>
      <w:rFonts w:ascii="Arial" w:hAnsi="Arial" w:eastAsia="Times New Roman" w:cs="Verdana"/>
      <w:b/>
      <w:kern w:val="0"/>
      <w:lang w:eastAsia="en-US"/>
    </w:rPr>
  </w:style>
  <w:style w:type="paragraph" w:customStyle="1" w:styleId="307">
    <w:name w:val="样式 标题 2 + 段前: 0.5 行"/>
    <w:basedOn w:val="3"/>
    <w:qFormat/>
    <w:uiPriority w:val="0"/>
    <w:pPr>
      <w:widowControl/>
      <w:numPr>
        <w:ilvl w:val="0"/>
        <w:numId w:val="0"/>
      </w:numPr>
      <w:tabs>
        <w:tab w:val="left" w:pos="576"/>
        <w:tab w:val="left" w:pos="992"/>
      </w:tabs>
      <w:snapToGrid w:val="0"/>
      <w:spacing w:before="260" w:beforeLines="50" w:after="0" w:line="415" w:lineRule="auto"/>
      <w:ind w:left="992" w:hanging="567"/>
      <w:jc w:val="left"/>
    </w:pPr>
    <w:rPr>
      <w:rFonts w:ascii="Arial" w:hAnsi="Arial" w:eastAsia="黑体" w:cs="Arial"/>
      <w:b w:val="0"/>
      <w:bCs w:val="0"/>
      <w:kern w:val="0"/>
      <w:szCs w:val="30"/>
      <w:lang w:val="zh-CN"/>
    </w:rPr>
  </w:style>
  <w:style w:type="paragraph" w:customStyle="1" w:styleId="308">
    <w:name w:val="ECS正文1"/>
    <w:basedOn w:val="1"/>
    <w:qFormat/>
    <w:uiPriority w:val="0"/>
    <w:pPr>
      <w:widowControl/>
      <w:adjustRightInd w:val="0"/>
      <w:snapToGrid w:val="0"/>
      <w:ind w:firstLine="0" w:firstLineChars="0"/>
      <w:jc w:val="left"/>
    </w:pPr>
    <w:rPr>
      <w:kern w:val="0"/>
      <w:szCs w:val="20"/>
    </w:rPr>
  </w:style>
  <w:style w:type="paragraph" w:customStyle="1" w:styleId="309">
    <w:name w:val="样式 小四 段前: 1.55 磅 段后: 1.55 磅 行距: 1.5 倍行距"/>
    <w:basedOn w:val="1"/>
    <w:qFormat/>
    <w:uiPriority w:val="0"/>
    <w:pPr>
      <w:widowControl/>
      <w:spacing w:before="31" w:after="31"/>
      <w:ind w:firstLine="0" w:firstLineChars="0"/>
      <w:jc w:val="left"/>
    </w:pPr>
    <w:rPr>
      <w:rFonts w:ascii="Times New Roman" w:hAnsi="Times New Roman"/>
      <w:kern w:val="0"/>
      <w:sz w:val="28"/>
      <w:szCs w:val="20"/>
    </w:rPr>
  </w:style>
  <w:style w:type="paragraph" w:customStyle="1" w:styleId="310">
    <w:name w:val="表正文"/>
    <w:basedOn w:val="1"/>
    <w:qFormat/>
    <w:uiPriority w:val="0"/>
    <w:pPr>
      <w:widowControl/>
      <w:spacing w:line="240" w:lineRule="auto"/>
      <w:ind w:firstLine="0" w:firstLineChars="0"/>
      <w:jc w:val="left"/>
    </w:pPr>
    <w:rPr>
      <w:rFonts w:hAnsi="Courier New" w:cs="宋体"/>
      <w:kern w:val="0"/>
      <w:szCs w:val="21"/>
    </w:rPr>
  </w:style>
  <w:style w:type="character" w:customStyle="1" w:styleId="311">
    <w:name w:val="样式 仿宋_GB2312"/>
    <w:qFormat/>
    <w:uiPriority w:val="0"/>
    <w:rPr>
      <w:rFonts w:ascii="仿宋_GB2312" w:eastAsia="仿宋_GB2312" w:cs="Times New Roman"/>
      <w:sz w:val="30"/>
      <w:szCs w:val="30"/>
    </w:rPr>
  </w:style>
  <w:style w:type="character" w:customStyle="1" w:styleId="312">
    <w:name w:val="论文正文 Char Char"/>
    <w:link w:val="313"/>
    <w:qFormat/>
    <w:uiPriority w:val="0"/>
    <w:rPr>
      <w:sz w:val="24"/>
    </w:rPr>
  </w:style>
  <w:style w:type="paragraph" w:customStyle="1" w:styleId="313">
    <w:name w:val="论文正文"/>
    <w:basedOn w:val="1"/>
    <w:link w:val="312"/>
    <w:qFormat/>
    <w:uiPriority w:val="0"/>
    <w:pPr>
      <w:widowControl/>
      <w:adjustRightInd w:val="0"/>
      <w:spacing w:line="300" w:lineRule="auto"/>
      <w:ind w:firstLine="420" w:firstLineChars="0"/>
      <w:jc w:val="left"/>
    </w:pPr>
    <w:rPr>
      <w:rFonts w:ascii="Times New Roman" w:hAnsi="Times New Roman"/>
      <w:kern w:val="0"/>
      <w:szCs w:val="20"/>
    </w:rPr>
  </w:style>
  <w:style w:type="paragraph" w:customStyle="1" w:styleId="314">
    <w:name w:val="正文＋小四＋缩进2字符"/>
    <w:basedOn w:val="1"/>
    <w:qFormat/>
    <w:uiPriority w:val="0"/>
    <w:pPr>
      <w:widowControl/>
      <w:ind w:firstLine="200"/>
      <w:jc w:val="left"/>
    </w:pPr>
    <w:rPr>
      <w:rFonts w:ascii="Times New Roman" w:hAnsi="Times New Roman"/>
      <w:kern w:val="0"/>
    </w:rPr>
  </w:style>
  <w:style w:type="paragraph" w:customStyle="1" w:styleId="315">
    <w:name w:val="样式 标题 4 + 段前: 0.5 行 段后: 0.5 行"/>
    <w:basedOn w:val="5"/>
    <w:qFormat/>
    <w:uiPriority w:val="99"/>
    <w:pPr>
      <w:widowControl/>
      <w:numPr>
        <w:ilvl w:val="0"/>
        <w:numId w:val="0"/>
      </w:numPr>
      <w:tabs>
        <w:tab w:val="left" w:pos="1574"/>
      </w:tabs>
      <w:adjustRightInd w:val="0"/>
      <w:snapToGrid w:val="0"/>
      <w:spacing w:before="240" w:beforeLines="50" w:after="0" w:line="376" w:lineRule="auto"/>
      <w:ind w:left="1574" w:right="100" w:rightChars="100" w:hanging="864"/>
      <w:jc w:val="left"/>
    </w:pPr>
    <w:rPr>
      <w:rFonts w:ascii="Arial" w:hAnsi="Arial" w:cs="宋体" w:eastAsiaTheme="minorEastAsia"/>
      <w:b w:val="0"/>
      <w:bCs w:val="0"/>
      <w:kern w:val="0"/>
      <w:sz w:val="28"/>
      <w:szCs w:val="20"/>
      <w:lang w:val="zh-CN"/>
    </w:rPr>
  </w:style>
  <w:style w:type="paragraph" w:customStyle="1" w:styleId="316">
    <w:name w:val="样式 (西文) Times New Roman 四号 段后: 6 磅 行距: 固定值 20 磅"/>
    <w:basedOn w:val="1"/>
    <w:qFormat/>
    <w:uiPriority w:val="0"/>
    <w:pPr>
      <w:widowControl/>
      <w:spacing w:beforeLines="50" w:afterLines="50"/>
      <w:ind w:firstLine="0" w:firstLineChars="0"/>
      <w:jc w:val="left"/>
    </w:pPr>
    <w:rPr>
      <w:rFonts w:ascii="Times New Roman" w:hAnsi="Times New Roman" w:cs="宋体"/>
      <w:kern w:val="0"/>
      <w:sz w:val="28"/>
      <w:szCs w:val="20"/>
    </w:rPr>
  </w:style>
  <w:style w:type="paragraph" w:customStyle="1" w:styleId="317">
    <w:name w:val="项目 1"/>
    <w:qFormat/>
    <w:uiPriority w:val="0"/>
    <w:pPr>
      <w:numPr>
        <w:ilvl w:val="0"/>
        <w:numId w:val="12"/>
      </w:numPr>
      <w:spacing w:line="360" w:lineRule="auto"/>
    </w:pPr>
    <w:rPr>
      <w:rFonts w:ascii="Arial" w:hAnsi="Arial" w:eastAsia="宋体" w:cs="Times New Roman"/>
      <w:b/>
      <w:snapToGrid w:val="0"/>
      <w:sz w:val="24"/>
      <w:szCs w:val="21"/>
      <w:lang w:val="en-US" w:eastAsia="zh-CN" w:bidi="ar-SA"/>
    </w:rPr>
  </w:style>
  <w:style w:type="paragraph" w:customStyle="1" w:styleId="318">
    <w:name w:val="附录标识"/>
    <w:basedOn w:val="1"/>
    <w:qFormat/>
    <w:uiPriority w:val="0"/>
    <w:pPr>
      <w:widowControl/>
      <w:numPr>
        <w:ilvl w:val="0"/>
        <w:numId w:val="13"/>
      </w:numPr>
      <w:shd w:val="clear" w:color="FFFFFF" w:fill="FFFFFF"/>
      <w:tabs>
        <w:tab w:val="left" w:pos="6405"/>
      </w:tabs>
      <w:spacing w:beforeLines="50" w:afterLines="50" w:line="240" w:lineRule="auto"/>
      <w:ind w:firstLineChars="0"/>
      <w:jc w:val="center"/>
      <w:outlineLvl w:val="0"/>
    </w:pPr>
    <w:rPr>
      <w:rFonts w:ascii="黑体" w:hAnsi="Calibri" w:eastAsia="黑体"/>
      <w:kern w:val="0"/>
      <w:sz w:val="28"/>
    </w:rPr>
  </w:style>
  <w:style w:type="paragraph" w:customStyle="1" w:styleId="319">
    <w:name w:val="样式 首行缩进:  1.5 字符"/>
    <w:basedOn w:val="1"/>
    <w:qFormat/>
    <w:uiPriority w:val="0"/>
    <w:pPr>
      <w:widowControl/>
      <w:jc w:val="center"/>
    </w:pPr>
    <w:rPr>
      <w:kern w:val="0"/>
    </w:rPr>
  </w:style>
  <w:style w:type="paragraph" w:customStyle="1" w:styleId="320">
    <w:name w:val="样式 标题 4 + 左侧:  0.37 厘米 右侧:  0.37 厘米"/>
    <w:basedOn w:val="5"/>
    <w:qFormat/>
    <w:uiPriority w:val="0"/>
    <w:pPr>
      <w:widowControl/>
      <w:numPr>
        <w:numId w:val="14"/>
      </w:numPr>
      <w:tabs>
        <w:tab w:val="left" w:pos="210"/>
        <w:tab w:val="left" w:pos="2141"/>
      </w:tabs>
      <w:spacing w:before="60" w:after="60"/>
      <w:ind w:right="210" w:rightChars="100"/>
      <w:jc w:val="left"/>
    </w:pPr>
    <w:rPr>
      <w:rFonts w:ascii="Times New Roman" w:hAnsi="Times New Roman" w:cs="宋体"/>
      <w:kern w:val="0"/>
      <w:sz w:val="24"/>
      <w:szCs w:val="20"/>
      <w:lang w:val="zh-CN"/>
    </w:rPr>
  </w:style>
  <w:style w:type="paragraph" w:customStyle="1" w:styleId="321">
    <w:name w:val="样式 标题 2 + (符号) Times New Roman 两端对齐 段前: 13 磅 段后: 6 磅 行距: 多倍行..."/>
    <w:basedOn w:val="1"/>
    <w:qFormat/>
    <w:uiPriority w:val="0"/>
    <w:pPr>
      <w:widowControl/>
      <w:numPr>
        <w:ilvl w:val="1"/>
        <w:numId w:val="14"/>
      </w:numPr>
      <w:spacing w:line="240" w:lineRule="auto"/>
      <w:ind w:firstLineChars="0"/>
      <w:jc w:val="left"/>
    </w:pPr>
    <w:rPr>
      <w:rFonts w:ascii="Times New Roman" w:hAnsi="Times New Roman"/>
      <w:kern w:val="0"/>
    </w:rPr>
  </w:style>
  <w:style w:type="paragraph" w:customStyle="1" w:styleId="322">
    <w:name w:val="样式 正文首行缩进 2 + 首行缩进:  2 字符 段后: 0.5 行"/>
    <w:basedOn w:val="58"/>
    <w:qFormat/>
    <w:uiPriority w:val="0"/>
    <w:pPr>
      <w:spacing w:after="156"/>
      <w:ind w:firstLine="480"/>
    </w:pPr>
    <w:rPr>
      <w:rFonts w:cs="宋体"/>
      <w:szCs w:val="20"/>
    </w:rPr>
  </w:style>
  <w:style w:type="paragraph" w:customStyle="1" w:styleId="323">
    <w:name w:val="封面-扉页文本"/>
    <w:qFormat/>
    <w:uiPriority w:val="0"/>
    <w:pPr>
      <w:jc w:val="center"/>
    </w:pPr>
    <w:rPr>
      <w:rFonts w:ascii="宋体" w:hAnsi="Times New Roman" w:eastAsia="宋体" w:cs="Times New Roman"/>
      <w:kern w:val="2"/>
      <w:sz w:val="32"/>
      <w:szCs w:val="28"/>
      <w:lang w:val="en-US" w:eastAsia="zh-CN" w:bidi="ar-SA"/>
    </w:rPr>
  </w:style>
  <w:style w:type="character" w:customStyle="1" w:styleId="324">
    <w:name w:val="Char Char10"/>
    <w:qFormat/>
    <w:uiPriority w:val="0"/>
    <w:rPr>
      <w:sz w:val="18"/>
      <w:szCs w:val="18"/>
    </w:rPr>
  </w:style>
  <w:style w:type="paragraph" w:customStyle="1" w:styleId="325">
    <w:name w:val="TOC 标题3"/>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lang w:val="zh-CN"/>
    </w:rPr>
  </w:style>
  <w:style w:type="paragraph" w:customStyle="1" w:styleId="326">
    <w:name w:val="样式 文本样式 + Arial 段后: 0.5 行"/>
    <w:basedOn w:val="1"/>
    <w:link w:val="327"/>
    <w:qFormat/>
    <w:uiPriority w:val="0"/>
    <w:pPr>
      <w:widowControl/>
      <w:adjustRightInd w:val="0"/>
      <w:spacing w:afterLines="50"/>
      <w:ind w:firstLine="560"/>
      <w:jc w:val="left"/>
      <w:textAlignment w:val="baseline"/>
    </w:pPr>
    <w:rPr>
      <w:rFonts w:ascii="Arial" w:hAnsi="Arial"/>
      <w:kern w:val="0"/>
      <w:sz w:val="28"/>
      <w:szCs w:val="20"/>
      <w:lang w:val="zh-CN"/>
    </w:rPr>
  </w:style>
  <w:style w:type="character" w:customStyle="1" w:styleId="327">
    <w:name w:val="样式 文本样式 + Arial 段后: 0.5 行 Char"/>
    <w:link w:val="326"/>
    <w:qFormat/>
    <w:uiPriority w:val="0"/>
    <w:rPr>
      <w:rFonts w:ascii="Arial" w:hAnsi="Arial"/>
      <w:sz w:val="28"/>
      <w:lang w:val="zh-CN"/>
    </w:rPr>
  </w:style>
  <w:style w:type="paragraph" w:customStyle="1" w:styleId="328">
    <w:name w:val="列项——（一级）"/>
    <w:qFormat/>
    <w:uiPriority w:val="0"/>
    <w:pPr>
      <w:widowControl w:val="0"/>
      <w:ind w:left="833" w:hanging="408"/>
      <w:jc w:val="both"/>
    </w:pPr>
    <w:rPr>
      <w:rFonts w:ascii="宋体" w:hAnsi="Times New Roman" w:eastAsia="宋体" w:cs="Times New Roman"/>
      <w:sz w:val="22"/>
      <w:lang w:val="en-US" w:eastAsia="zh-CN" w:bidi="ar-SA"/>
    </w:rPr>
  </w:style>
  <w:style w:type="paragraph" w:customStyle="1" w:styleId="329">
    <w:name w:val="列项◆（三级）"/>
    <w:basedOn w:val="1"/>
    <w:qFormat/>
    <w:uiPriority w:val="0"/>
    <w:pPr>
      <w:widowControl/>
      <w:tabs>
        <w:tab w:val="left" w:pos="1678"/>
      </w:tabs>
      <w:spacing w:beforeLines="50" w:line="300" w:lineRule="auto"/>
      <w:ind w:left="1678" w:hanging="414" w:firstLineChars="0"/>
      <w:jc w:val="left"/>
    </w:pPr>
    <w:rPr>
      <w:rFonts w:hAnsi="Times New Roman"/>
      <w:kern w:val="0"/>
      <w:szCs w:val="21"/>
    </w:rPr>
  </w:style>
  <w:style w:type="paragraph" w:styleId="330">
    <w:name w:val="No Spacing"/>
    <w:basedOn w:val="1"/>
    <w:link w:val="331"/>
    <w:qFormat/>
    <w:uiPriority w:val="99"/>
    <w:pPr>
      <w:widowControl/>
      <w:spacing w:beforeLines="50" w:line="300" w:lineRule="auto"/>
      <w:ind w:firstLine="0" w:firstLineChars="0"/>
      <w:jc w:val="left"/>
    </w:pPr>
    <w:rPr>
      <w:rFonts w:ascii="Calibri" w:hAnsi="Calibri"/>
      <w:kern w:val="0"/>
      <w:szCs w:val="32"/>
      <w:lang w:val="zh-CN"/>
    </w:rPr>
  </w:style>
  <w:style w:type="character" w:customStyle="1" w:styleId="331">
    <w:name w:val="无间隔 字符"/>
    <w:link w:val="330"/>
    <w:qFormat/>
    <w:uiPriority w:val="99"/>
    <w:rPr>
      <w:rFonts w:ascii="Calibri" w:hAnsi="Calibri"/>
      <w:sz w:val="24"/>
      <w:szCs w:val="32"/>
      <w:lang w:val="zh-CN"/>
    </w:rPr>
  </w:style>
  <w:style w:type="paragraph" w:styleId="332">
    <w:name w:val="Quote"/>
    <w:basedOn w:val="1"/>
    <w:next w:val="1"/>
    <w:link w:val="333"/>
    <w:qFormat/>
    <w:uiPriority w:val="0"/>
    <w:pPr>
      <w:widowControl/>
      <w:spacing w:beforeLines="50" w:line="300" w:lineRule="auto"/>
      <w:ind w:firstLine="0" w:firstLineChars="0"/>
      <w:jc w:val="left"/>
    </w:pPr>
    <w:rPr>
      <w:rFonts w:ascii="Calibri" w:hAnsi="Calibri"/>
      <w:i/>
      <w:kern w:val="0"/>
      <w:lang w:val="zh-CN"/>
    </w:rPr>
  </w:style>
  <w:style w:type="character" w:customStyle="1" w:styleId="333">
    <w:name w:val="引用 字符"/>
    <w:basedOn w:val="63"/>
    <w:link w:val="332"/>
    <w:qFormat/>
    <w:uiPriority w:val="0"/>
    <w:rPr>
      <w:rFonts w:ascii="Calibri" w:hAnsi="Calibri"/>
      <w:i/>
      <w:sz w:val="24"/>
      <w:szCs w:val="24"/>
      <w:lang w:val="zh-CN"/>
    </w:rPr>
  </w:style>
  <w:style w:type="paragraph" w:styleId="334">
    <w:name w:val="Intense Quote"/>
    <w:basedOn w:val="1"/>
    <w:next w:val="1"/>
    <w:link w:val="335"/>
    <w:qFormat/>
    <w:uiPriority w:val="0"/>
    <w:pPr>
      <w:widowControl/>
      <w:spacing w:beforeLines="50" w:line="300" w:lineRule="auto"/>
      <w:ind w:left="720" w:right="720" w:firstLine="0" w:firstLineChars="0"/>
      <w:jc w:val="left"/>
    </w:pPr>
    <w:rPr>
      <w:rFonts w:ascii="Calibri" w:hAnsi="Calibri"/>
      <w:b/>
      <w:i/>
      <w:kern w:val="0"/>
      <w:szCs w:val="20"/>
      <w:lang w:val="zh-CN"/>
    </w:rPr>
  </w:style>
  <w:style w:type="character" w:customStyle="1" w:styleId="335">
    <w:name w:val="明显引用 字符"/>
    <w:basedOn w:val="63"/>
    <w:link w:val="334"/>
    <w:qFormat/>
    <w:uiPriority w:val="0"/>
    <w:rPr>
      <w:rFonts w:ascii="Calibri" w:hAnsi="Calibri"/>
      <w:b/>
      <w:i/>
      <w:sz w:val="24"/>
      <w:lang w:val="zh-CN"/>
    </w:rPr>
  </w:style>
  <w:style w:type="character" w:customStyle="1" w:styleId="336">
    <w:name w:val="不明显强调1"/>
    <w:qFormat/>
    <w:uiPriority w:val="19"/>
    <w:rPr>
      <w:i/>
      <w:color w:val="5A5A5A"/>
    </w:rPr>
  </w:style>
  <w:style w:type="character" w:customStyle="1" w:styleId="337">
    <w:name w:val="明显强调1"/>
    <w:qFormat/>
    <w:uiPriority w:val="0"/>
    <w:rPr>
      <w:b/>
      <w:i/>
      <w:sz w:val="24"/>
      <w:szCs w:val="24"/>
      <w:u w:val="single"/>
    </w:rPr>
  </w:style>
  <w:style w:type="character" w:customStyle="1" w:styleId="338">
    <w:name w:val="不明显参考1"/>
    <w:qFormat/>
    <w:uiPriority w:val="0"/>
    <w:rPr>
      <w:sz w:val="24"/>
      <w:szCs w:val="24"/>
      <w:u w:val="single"/>
    </w:rPr>
  </w:style>
  <w:style w:type="character" w:customStyle="1" w:styleId="339">
    <w:name w:val="明显参考1"/>
    <w:qFormat/>
    <w:uiPriority w:val="0"/>
    <w:rPr>
      <w:b/>
      <w:sz w:val="24"/>
      <w:u w:val="single"/>
    </w:rPr>
  </w:style>
  <w:style w:type="character" w:customStyle="1" w:styleId="340">
    <w:name w:val="书籍标题1"/>
    <w:qFormat/>
    <w:uiPriority w:val="0"/>
    <w:rPr>
      <w:rFonts w:ascii="Cambria" w:hAnsi="Cambria" w:eastAsia="宋体"/>
      <w:b/>
      <w:i/>
      <w:sz w:val="24"/>
      <w:szCs w:val="24"/>
    </w:rPr>
  </w:style>
  <w:style w:type="paragraph" w:customStyle="1" w:styleId="341">
    <w:name w:val="评估结论"/>
    <w:basedOn w:val="91"/>
    <w:link w:val="342"/>
    <w:qFormat/>
    <w:uiPriority w:val="0"/>
    <w:pPr>
      <w:widowControl/>
      <w:spacing w:before="100" w:beforeAutospacing="1" w:after="100" w:afterAutospacing="1"/>
      <w:ind w:firstLine="0" w:firstLineChars="0"/>
      <w:jc w:val="left"/>
    </w:pPr>
    <w:rPr>
      <w:rFonts w:ascii="Arial" w:hAnsi="Arial"/>
      <w:kern w:val="0"/>
      <w:sz w:val="24"/>
      <w:lang w:val="zh-CN"/>
    </w:rPr>
  </w:style>
  <w:style w:type="character" w:customStyle="1" w:styleId="342">
    <w:name w:val="评估结论 Char"/>
    <w:link w:val="341"/>
    <w:qFormat/>
    <w:uiPriority w:val="0"/>
    <w:rPr>
      <w:rFonts w:ascii="Arial" w:hAnsi="Arial"/>
      <w:sz w:val="24"/>
      <w:szCs w:val="24"/>
      <w:lang w:val="zh-CN"/>
    </w:rPr>
  </w:style>
  <w:style w:type="paragraph" w:customStyle="1" w:styleId="343">
    <w:name w:val="一级条标题"/>
    <w:next w:val="1"/>
    <w:qFormat/>
    <w:uiPriority w:val="0"/>
    <w:pPr>
      <w:numPr>
        <w:ilvl w:val="1"/>
        <w:numId w:val="15"/>
      </w:numPr>
      <w:spacing w:beforeLines="50" w:afterLines="50"/>
      <w:ind w:left="284"/>
      <w:outlineLvl w:val="2"/>
    </w:pPr>
    <w:rPr>
      <w:rFonts w:ascii="黑体" w:hAnsi="Times New Roman" w:eastAsia="黑体" w:cs="Times New Roman"/>
      <w:sz w:val="21"/>
      <w:szCs w:val="21"/>
      <w:lang w:val="en-US" w:eastAsia="zh-CN" w:bidi="ar-SA"/>
    </w:rPr>
  </w:style>
  <w:style w:type="paragraph" w:customStyle="1" w:styleId="344">
    <w:name w:val="章标题"/>
    <w:next w:val="1"/>
    <w:qFormat/>
    <w:uiPriority w:val="0"/>
    <w:pPr>
      <w:numPr>
        <w:ilvl w:val="2"/>
        <w:numId w:val="15"/>
      </w:numPr>
      <w:spacing w:beforeLines="100" w:afterLines="100"/>
      <w:jc w:val="both"/>
      <w:outlineLvl w:val="1"/>
    </w:pPr>
    <w:rPr>
      <w:rFonts w:ascii="黑体" w:hAnsi="Times New Roman" w:eastAsia="黑体" w:cs="Times New Roman"/>
      <w:sz w:val="21"/>
      <w:lang w:val="en-US" w:eastAsia="zh-CN" w:bidi="ar-SA"/>
    </w:rPr>
  </w:style>
  <w:style w:type="paragraph" w:customStyle="1" w:styleId="345">
    <w:name w:val="二级条标题"/>
    <w:basedOn w:val="343"/>
    <w:next w:val="1"/>
    <w:qFormat/>
    <w:uiPriority w:val="0"/>
    <w:pPr>
      <w:numPr>
        <w:ilvl w:val="3"/>
      </w:numPr>
      <w:ind w:left="0"/>
      <w:outlineLvl w:val="3"/>
    </w:pPr>
  </w:style>
  <w:style w:type="paragraph" w:customStyle="1" w:styleId="346">
    <w:name w:val="三级条标题"/>
    <w:basedOn w:val="345"/>
    <w:next w:val="1"/>
    <w:qFormat/>
    <w:uiPriority w:val="0"/>
    <w:pPr>
      <w:numPr>
        <w:ilvl w:val="4"/>
      </w:numPr>
      <w:ind w:left="1680"/>
      <w:outlineLvl w:val="4"/>
    </w:pPr>
  </w:style>
  <w:style w:type="paragraph" w:customStyle="1" w:styleId="347">
    <w:name w:val="四级条标题"/>
    <w:basedOn w:val="346"/>
    <w:next w:val="1"/>
    <w:qFormat/>
    <w:uiPriority w:val="0"/>
    <w:pPr>
      <w:numPr>
        <w:ilvl w:val="5"/>
      </w:numPr>
      <w:outlineLvl w:val="5"/>
    </w:pPr>
  </w:style>
  <w:style w:type="paragraph" w:customStyle="1" w:styleId="348">
    <w:name w:val="五级条标题"/>
    <w:basedOn w:val="347"/>
    <w:next w:val="1"/>
    <w:qFormat/>
    <w:uiPriority w:val="0"/>
    <w:pPr>
      <w:outlineLvl w:val="6"/>
    </w:pPr>
  </w:style>
  <w:style w:type="paragraph" w:customStyle="1" w:styleId="349">
    <w:name w:val="正文表标题"/>
    <w:next w:val="145"/>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0">
    <w:name w:val="正文图标题"/>
    <w:next w:val="145"/>
    <w:qFormat/>
    <w:uiPriority w:val="0"/>
    <w:pPr>
      <w:numPr>
        <w:ilvl w:val="0"/>
        <w:numId w:val="16"/>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51">
    <w:name w:val="Char"/>
    <w:basedOn w:val="1"/>
    <w:qFormat/>
    <w:uiPriority w:val="0"/>
    <w:pPr>
      <w:widowControl/>
      <w:spacing w:line="240" w:lineRule="auto"/>
      <w:ind w:firstLine="0" w:firstLineChars="0"/>
      <w:jc w:val="left"/>
    </w:pPr>
    <w:rPr>
      <w:rFonts w:ascii="Tahoma" w:hAnsi="Tahoma"/>
      <w:kern w:val="0"/>
      <w:szCs w:val="20"/>
    </w:rPr>
  </w:style>
  <w:style w:type="paragraph" w:customStyle="1" w:styleId="352">
    <w:name w:val="标题19"/>
    <w:basedOn w:val="1"/>
    <w:qFormat/>
    <w:uiPriority w:val="0"/>
    <w:pPr>
      <w:widowControl/>
      <w:ind w:left="-6" w:leftChars="-3" w:firstLine="0" w:firstLineChars="0"/>
      <w:jc w:val="center"/>
    </w:pPr>
    <w:rPr>
      <w:kern w:val="0"/>
    </w:rPr>
  </w:style>
  <w:style w:type="paragraph" w:customStyle="1" w:styleId="353">
    <w:name w:val="样式 标题 511 Char标题 51标题 5 Char1 Char Char Char Char1 Char Ch...2"/>
    <w:basedOn w:val="6"/>
    <w:link w:val="354"/>
    <w:qFormat/>
    <w:uiPriority w:val="0"/>
    <w:pPr>
      <w:keepNext w:val="0"/>
      <w:keepLines w:val="0"/>
      <w:widowControl/>
      <w:numPr>
        <w:ilvl w:val="0"/>
        <w:numId w:val="0"/>
      </w:numPr>
      <w:adjustRightInd w:val="0"/>
      <w:spacing w:before="0" w:after="0"/>
      <w:ind w:left="561"/>
      <w:jc w:val="left"/>
      <w:textAlignment w:val="baseline"/>
    </w:pPr>
    <w:rPr>
      <w:rFonts w:ascii="Arial" w:hAnsi="Arial"/>
      <w:b w:val="0"/>
      <w:bCs w:val="0"/>
      <w:kern w:val="0"/>
      <w:szCs w:val="24"/>
      <w:lang w:val="zh-CN"/>
    </w:rPr>
  </w:style>
  <w:style w:type="character" w:customStyle="1" w:styleId="354">
    <w:name w:val="样式 标题 511 Char标题 51标题 5 Char1 Char Char Char Char1 Char Ch...2 Char"/>
    <w:link w:val="353"/>
    <w:qFormat/>
    <w:uiPriority w:val="0"/>
    <w:rPr>
      <w:rFonts w:ascii="Arial" w:hAnsi="Arial"/>
      <w:sz w:val="24"/>
      <w:szCs w:val="24"/>
      <w:lang w:val="zh-CN"/>
    </w:rPr>
  </w:style>
  <w:style w:type="paragraph" w:customStyle="1" w:styleId="355">
    <w:name w:val="样式 标题 3一style3条(C+F3)Final－标题 3头标题 3 Char Char Char标题 3 ..."/>
    <w:basedOn w:val="4"/>
    <w:qFormat/>
    <w:uiPriority w:val="0"/>
    <w:pPr>
      <w:keepNext w:val="0"/>
      <w:keepLines w:val="0"/>
      <w:widowControl/>
      <w:numPr>
        <w:ilvl w:val="0"/>
        <w:numId w:val="0"/>
      </w:numPr>
      <w:adjustRightInd w:val="0"/>
      <w:spacing w:before="0"/>
      <w:ind w:left="607" w:hanging="607"/>
      <w:jc w:val="left"/>
      <w:textAlignment w:val="baseline"/>
    </w:pPr>
    <w:rPr>
      <w:rFonts w:ascii="Arial" w:hAnsi="Arial" w:eastAsia="黑体"/>
      <w:kern w:val="0"/>
      <w:szCs w:val="21"/>
      <w:lang w:val="zh-CN"/>
    </w:rPr>
  </w:style>
  <w:style w:type="paragraph" w:customStyle="1" w:styleId="356">
    <w:name w:val="CM13"/>
    <w:basedOn w:val="1"/>
    <w:next w:val="1"/>
    <w:qFormat/>
    <w:uiPriority w:val="99"/>
    <w:pPr>
      <w:widowControl/>
      <w:autoSpaceDE w:val="0"/>
      <w:autoSpaceDN w:val="0"/>
      <w:adjustRightInd w:val="0"/>
      <w:spacing w:line="468" w:lineRule="atLeast"/>
      <w:ind w:firstLine="0" w:firstLineChars="0"/>
      <w:jc w:val="left"/>
    </w:pPr>
    <w:rPr>
      <w:rFonts w:hAnsi="Times New Roman"/>
      <w:kern w:val="0"/>
    </w:rPr>
  </w:style>
  <w:style w:type="paragraph" w:customStyle="1" w:styleId="357">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58">
    <w:name w:val="标题 11"/>
    <w:basedOn w:val="1"/>
    <w:next w:val="1"/>
    <w:qFormat/>
    <w:uiPriority w:val="0"/>
    <w:pPr>
      <w:keepNext/>
      <w:keepLines/>
      <w:widowControl/>
      <w:numPr>
        <w:ilvl w:val="0"/>
        <w:numId w:val="17"/>
      </w:numPr>
      <w:spacing w:line="339" w:lineRule="auto"/>
      <w:ind w:firstLine="0" w:firstLineChars="0"/>
      <w:jc w:val="left"/>
      <w:outlineLvl w:val="0"/>
    </w:pPr>
    <w:rPr>
      <w:rFonts w:ascii="Times New Roman" w:hAnsi="Times New Roman"/>
      <w:b/>
      <w:bCs/>
      <w:kern w:val="44"/>
      <w:sz w:val="32"/>
      <w:szCs w:val="44"/>
    </w:rPr>
  </w:style>
  <w:style w:type="paragraph" w:customStyle="1" w:styleId="359">
    <w:name w:val="标题 21"/>
    <w:basedOn w:val="1"/>
    <w:next w:val="1"/>
    <w:unhideWhenUsed/>
    <w:qFormat/>
    <w:uiPriority w:val="0"/>
    <w:pPr>
      <w:keepNext/>
      <w:keepLines/>
      <w:widowControl/>
      <w:numPr>
        <w:ilvl w:val="1"/>
        <w:numId w:val="17"/>
      </w:numPr>
      <w:tabs>
        <w:tab w:val="left" w:pos="425"/>
      </w:tabs>
      <w:spacing w:line="296" w:lineRule="auto"/>
      <w:ind w:firstLine="0" w:firstLineChars="0"/>
      <w:jc w:val="left"/>
      <w:outlineLvl w:val="1"/>
    </w:pPr>
    <w:rPr>
      <w:rFonts w:ascii="Cambria" w:hAnsi="Cambria" w:cs="黑体"/>
      <w:b/>
      <w:bCs/>
      <w:kern w:val="0"/>
      <w:szCs w:val="32"/>
    </w:rPr>
  </w:style>
  <w:style w:type="paragraph" w:customStyle="1" w:styleId="360">
    <w:name w:val="普通(网站)1"/>
    <w:basedOn w:val="1"/>
    <w:unhideWhenUsed/>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361">
    <w:name w:val="标题 31"/>
    <w:basedOn w:val="1"/>
    <w:next w:val="1"/>
    <w:unhideWhenUsed/>
    <w:qFormat/>
    <w:uiPriority w:val="0"/>
    <w:pPr>
      <w:keepNext/>
      <w:keepLines/>
      <w:widowControl/>
      <w:spacing w:line="296" w:lineRule="auto"/>
      <w:ind w:firstLine="0" w:firstLineChars="0"/>
      <w:jc w:val="left"/>
      <w:outlineLvl w:val="2"/>
    </w:pPr>
    <w:rPr>
      <w:rFonts w:ascii="Times New Roman" w:hAnsi="Times New Roman"/>
      <w:b/>
      <w:bCs/>
      <w:kern w:val="0"/>
      <w:szCs w:val="32"/>
    </w:rPr>
  </w:style>
  <w:style w:type="paragraph" w:customStyle="1" w:styleId="362">
    <w:name w:val="样式 正文缩进正文（首行缩进两字）identicationBody text ident 1特点特点 Char水上软..."/>
    <w:basedOn w:val="16"/>
    <w:link w:val="363"/>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3">
    <w:name w:val="样式 正文缩进正文（首行缩进两字）identicationBody text ident 1特点特点 Char水上软... Char"/>
    <w:link w:val="362"/>
    <w:qFormat/>
    <w:uiPriority w:val="0"/>
    <w:rPr>
      <w:sz w:val="24"/>
      <w:lang w:val="zh-CN"/>
    </w:rPr>
  </w:style>
  <w:style w:type="paragraph" w:customStyle="1" w:styleId="364">
    <w:name w:val="样式 正文缩进正文（首行缩进两字）identicationBody text ident 1特点特点 Char水上软...1"/>
    <w:basedOn w:val="16"/>
    <w:link w:val="365"/>
    <w:qFormat/>
    <w:uiPriority w:val="0"/>
    <w:pPr>
      <w:widowControl/>
      <w:spacing w:line="312" w:lineRule="auto"/>
      <w:ind w:firstLine="0" w:firstLineChars="0"/>
      <w:jc w:val="left"/>
    </w:pPr>
    <w:rPr>
      <w:rFonts w:ascii="Times New Roman" w:hAnsi="Times New Roman"/>
      <w:kern w:val="0"/>
      <w:sz w:val="24"/>
      <w:szCs w:val="20"/>
      <w:lang w:val="zh-CN"/>
    </w:rPr>
  </w:style>
  <w:style w:type="character" w:customStyle="1" w:styleId="365">
    <w:name w:val="样式 正文缩进正文（首行缩进两字）identicationBody text ident 1特点特点 Char水上软...1 Char"/>
    <w:link w:val="364"/>
    <w:qFormat/>
    <w:uiPriority w:val="0"/>
    <w:rPr>
      <w:sz w:val="24"/>
      <w:lang w:val="zh-CN"/>
    </w:rPr>
  </w:style>
  <w:style w:type="character" w:customStyle="1" w:styleId="366">
    <w:name w:val="Char Char13"/>
    <w:qFormat/>
    <w:uiPriority w:val="0"/>
    <w:rPr>
      <w:rFonts w:eastAsia="宋体"/>
      <w:b/>
      <w:bCs/>
      <w:kern w:val="2"/>
      <w:sz w:val="24"/>
      <w:szCs w:val="28"/>
      <w:lang w:val="en-US" w:eastAsia="zh-CN" w:bidi="ar-SA"/>
    </w:rPr>
  </w:style>
  <w:style w:type="character" w:customStyle="1" w:styleId="367">
    <w:name w:val="Char Char14"/>
    <w:qFormat/>
    <w:uiPriority w:val="0"/>
    <w:rPr>
      <w:rFonts w:eastAsia="宋体"/>
      <w:b/>
      <w:bCs/>
      <w:kern w:val="2"/>
      <w:sz w:val="24"/>
      <w:szCs w:val="28"/>
      <w:lang w:val="en-US" w:eastAsia="zh-CN" w:bidi="ar-SA"/>
    </w:rPr>
  </w:style>
  <w:style w:type="paragraph" w:customStyle="1" w:styleId="368">
    <w:name w:val="样式 首行缩进:  2.25 字符"/>
    <w:basedOn w:val="1"/>
    <w:qFormat/>
    <w:uiPriority w:val="0"/>
    <w:pPr>
      <w:widowControl/>
      <w:snapToGrid w:val="0"/>
      <w:ind w:firstLine="225" w:firstLineChars="225"/>
      <w:jc w:val="left"/>
    </w:pPr>
    <w:rPr>
      <w:rFonts w:ascii="Calibri" w:hAnsi="Calibri" w:cs="宋体"/>
      <w:kern w:val="0"/>
      <w:sz w:val="28"/>
      <w:szCs w:val="20"/>
    </w:rPr>
  </w:style>
  <w:style w:type="paragraph" w:customStyle="1" w:styleId="369">
    <w:name w:val="标题 2h2sect"/>
    <w:next w:val="1"/>
    <w:qFormat/>
    <w:uiPriority w:val="0"/>
    <w:pPr>
      <w:numPr>
        <w:ilvl w:val="0"/>
        <w:numId w:val="18"/>
      </w:numPr>
      <w:spacing w:before="120" w:after="120" w:line="360" w:lineRule="auto"/>
    </w:pPr>
    <w:rPr>
      <w:rFonts w:ascii="Times New Roman" w:hAnsi="宋体" w:eastAsia="宋体" w:cs="宋体"/>
      <w:b/>
      <w:bCs/>
      <w:color w:val="000000"/>
      <w:kern w:val="2"/>
      <w:sz w:val="30"/>
      <w:szCs w:val="30"/>
      <w:lang w:val="en-US" w:eastAsia="zh-CN" w:bidi="ar-SA"/>
    </w:rPr>
  </w:style>
  <w:style w:type="paragraph" w:customStyle="1" w:styleId="370">
    <w:name w:val="表格文字"/>
    <w:basedOn w:val="1"/>
    <w:qFormat/>
    <w:uiPriority w:val="0"/>
    <w:pPr>
      <w:widowControl/>
      <w:spacing w:line="240" w:lineRule="auto"/>
      <w:ind w:firstLine="0" w:firstLineChars="0"/>
      <w:jc w:val="left"/>
    </w:pPr>
    <w:rPr>
      <w:rFonts w:cs="宋体"/>
      <w:kern w:val="0"/>
      <w:sz w:val="18"/>
      <w:szCs w:val="18"/>
    </w:rPr>
  </w:style>
  <w:style w:type="paragraph" w:customStyle="1" w:styleId="371">
    <w:name w:val="MM Topic 1"/>
    <w:basedOn w:val="2"/>
    <w:next w:val="1"/>
    <w:link w:val="372"/>
    <w:qFormat/>
    <w:uiPriority w:val="0"/>
    <w:pPr>
      <w:widowControl/>
      <w:numPr>
        <w:numId w:val="19"/>
      </w:numPr>
      <w:spacing w:before="340" w:after="330" w:line="578" w:lineRule="auto"/>
    </w:pPr>
    <w:rPr>
      <w:rFonts w:ascii="Calibri" w:hAnsi="Calibri" w:eastAsia="宋体"/>
      <w:b w:val="0"/>
      <w:sz w:val="28"/>
      <w:szCs w:val="44"/>
      <w:lang w:val="zh-CN"/>
    </w:rPr>
  </w:style>
  <w:style w:type="character" w:customStyle="1" w:styleId="372">
    <w:name w:val="MM Topic 1 Char"/>
    <w:basedOn w:val="63"/>
    <w:link w:val="371"/>
    <w:qFormat/>
    <w:uiPriority w:val="0"/>
    <w:rPr>
      <w:rFonts w:ascii="Calibri" w:hAnsi="Calibri"/>
      <w:bCs/>
      <w:kern w:val="44"/>
      <w:sz w:val="28"/>
      <w:szCs w:val="44"/>
      <w:lang w:val="zh-CN"/>
    </w:rPr>
  </w:style>
  <w:style w:type="paragraph" w:customStyle="1" w:styleId="373">
    <w:name w:val="MM Topic 2"/>
    <w:basedOn w:val="3"/>
    <w:next w:val="1"/>
    <w:link w:val="374"/>
    <w:qFormat/>
    <w:uiPriority w:val="0"/>
    <w:pPr>
      <w:widowControl/>
      <w:numPr>
        <w:numId w:val="19"/>
      </w:numPr>
      <w:spacing w:before="0" w:after="0" w:line="240" w:lineRule="auto"/>
      <w:jc w:val="left"/>
    </w:pPr>
    <w:rPr>
      <w:rFonts w:ascii="Cambria" w:hAnsi="Cambria"/>
      <w:kern w:val="0"/>
      <w:sz w:val="21"/>
      <w:szCs w:val="21"/>
      <w:lang w:val="zh-CN"/>
    </w:rPr>
  </w:style>
  <w:style w:type="character" w:customStyle="1" w:styleId="374">
    <w:name w:val="MM Topic 2 Char"/>
    <w:basedOn w:val="63"/>
    <w:link w:val="373"/>
    <w:qFormat/>
    <w:uiPriority w:val="0"/>
    <w:rPr>
      <w:rFonts w:ascii="Cambria" w:hAnsi="Cambria"/>
      <w:b/>
      <w:bCs/>
      <w:sz w:val="21"/>
      <w:szCs w:val="21"/>
      <w:lang w:val="zh-CN"/>
    </w:rPr>
  </w:style>
  <w:style w:type="paragraph" w:customStyle="1" w:styleId="375">
    <w:name w:val="MM Topic 3"/>
    <w:basedOn w:val="4"/>
    <w:next w:val="1"/>
    <w:qFormat/>
    <w:uiPriority w:val="0"/>
    <w:pPr>
      <w:widowControl/>
      <w:numPr>
        <w:numId w:val="19"/>
      </w:numPr>
      <w:spacing w:before="0" w:after="0" w:line="240" w:lineRule="auto"/>
      <w:jc w:val="left"/>
    </w:pPr>
    <w:rPr>
      <w:rFonts w:ascii="Calibri" w:hAnsi="Calibri" w:eastAsia="黑体"/>
      <w:kern w:val="0"/>
      <w:sz w:val="21"/>
      <w:szCs w:val="21"/>
      <w:lang w:val="zh-CN"/>
    </w:rPr>
  </w:style>
  <w:style w:type="paragraph" w:customStyle="1" w:styleId="376">
    <w:name w:val="标志"/>
    <w:basedOn w:val="26"/>
    <w:qFormat/>
    <w:uiPriority w:val="0"/>
    <w:pPr>
      <w:widowControl/>
      <w:numPr>
        <w:ilvl w:val="0"/>
        <w:numId w:val="20"/>
      </w:numPr>
      <w:tabs>
        <w:tab w:val="left" w:pos="980"/>
        <w:tab w:val="clear" w:pos="840"/>
      </w:tabs>
      <w:spacing w:after="0"/>
      <w:ind w:left="980" w:firstLine="357" w:firstLineChars="0"/>
      <w:jc w:val="left"/>
    </w:pPr>
    <w:rPr>
      <w:b/>
      <w:kern w:val="0"/>
      <w:sz w:val="24"/>
      <w:szCs w:val="24"/>
    </w:rPr>
  </w:style>
  <w:style w:type="paragraph" w:customStyle="1" w:styleId="377">
    <w:name w:val="普通类型无格式"/>
    <w:basedOn w:val="1"/>
    <w:link w:val="378"/>
    <w:qFormat/>
    <w:uiPriority w:val="0"/>
    <w:pPr>
      <w:widowControl/>
      <w:spacing w:line="240" w:lineRule="auto"/>
      <w:ind w:firstLine="0" w:firstLineChars="0"/>
      <w:jc w:val="center"/>
    </w:pPr>
    <w:rPr>
      <w:rFonts w:ascii="Times New Roman" w:hAnsi="Times New Roman" w:eastAsia="Century Gothic"/>
      <w:kern w:val="0"/>
      <w:lang w:val="zh-CN"/>
    </w:rPr>
  </w:style>
  <w:style w:type="character" w:customStyle="1" w:styleId="378">
    <w:name w:val="普通类型无格式 Char"/>
    <w:link w:val="377"/>
    <w:qFormat/>
    <w:uiPriority w:val="0"/>
    <w:rPr>
      <w:rFonts w:eastAsia="Century Gothic"/>
      <w:sz w:val="24"/>
      <w:szCs w:val="24"/>
      <w:lang w:val="zh-CN"/>
    </w:rPr>
  </w:style>
  <w:style w:type="character" w:customStyle="1" w:styleId="379">
    <w:name w:val="样式 正文 +"/>
    <w:qFormat/>
    <w:uiPriority w:val="0"/>
    <w:rPr>
      <w:b/>
      <w:bCs/>
      <w:sz w:val="28"/>
    </w:rPr>
  </w:style>
  <w:style w:type="character" w:customStyle="1" w:styleId="380">
    <w:name w:val="已访问的超链接1"/>
    <w:basedOn w:val="63"/>
    <w:qFormat/>
    <w:uiPriority w:val="0"/>
    <w:rPr>
      <w:color w:val="800080"/>
      <w:u w:val="single"/>
    </w:rPr>
  </w:style>
  <w:style w:type="character" w:customStyle="1" w:styleId="381">
    <w:name w:val="列出段落 Char1"/>
    <w:qFormat/>
    <w:uiPriority w:val="34"/>
    <w:rPr>
      <w:rFonts w:eastAsiaTheme="minorEastAsia" w:cstheme="minorBidi"/>
      <w:kern w:val="0"/>
    </w:rPr>
  </w:style>
  <w:style w:type="paragraph" w:customStyle="1" w:styleId="382">
    <w:name w:val="圆点列表1（Alt+A）"/>
    <w:basedOn w:val="1"/>
    <w:qFormat/>
    <w:uiPriority w:val="0"/>
    <w:pPr>
      <w:widowControl/>
      <w:ind w:firstLine="0" w:firstLineChars="0"/>
      <w:jc w:val="left"/>
    </w:pPr>
    <w:rPr>
      <w:rFonts w:hAnsi="Times New Roman"/>
      <w:kern w:val="0"/>
      <w:szCs w:val="20"/>
    </w:rPr>
  </w:style>
  <w:style w:type="paragraph" w:customStyle="1" w:styleId="383">
    <w:name w:val="Item List"/>
    <w:link w:val="384"/>
    <w:qFormat/>
    <w:uiPriority w:val="0"/>
    <w:pPr>
      <w:numPr>
        <w:ilvl w:val="0"/>
        <w:numId w:val="21"/>
      </w:numPr>
      <w:spacing w:line="300" w:lineRule="auto"/>
      <w:jc w:val="both"/>
    </w:pPr>
    <w:rPr>
      <w:rFonts w:ascii="Arial" w:hAnsi="Arial" w:eastAsia="宋体" w:cs="Arial"/>
      <w:kern w:val="2"/>
      <w:sz w:val="21"/>
      <w:szCs w:val="21"/>
      <w:lang w:val="en-US" w:eastAsia="zh-CN" w:bidi="ar-SA"/>
    </w:rPr>
  </w:style>
  <w:style w:type="character" w:customStyle="1" w:styleId="384">
    <w:name w:val="Item List Char Char"/>
    <w:link w:val="383"/>
    <w:qFormat/>
    <w:uiPriority w:val="0"/>
    <w:rPr>
      <w:rFonts w:ascii="Arial" w:hAnsi="Arial" w:cs="Arial"/>
      <w:kern w:val="2"/>
      <w:sz w:val="21"/>
      <w:szCs w:val="21"/>
    </w:rPr>
  </w:style>
  <w:style w:type="paragraph" w:customStyle="1" w:styleId="385">
    <w:name w:val="正文34"/>
    <w:basedOn w:val="25"/>
    <w:link w:val="386"/>
    <w:qFormat/>
    <w:uiPriority w:val="0"/>
    <w:pPr>
      <w:widowControl/>
      <w:spacing w:after="0" w:line="360" w:lineRule="auto"/>
      <w:ind w:left="100" w:leftChars="100" w:right="100" w:rightChars="100" w:firstLine="510"/>
      <w:jc w:val="left"/>
    </w:pPr>
    <w:rPr>
      <w:rFonts w:ascii="Arial" w:hAnsi="Arial"/>
      <w:kern w:val="0"/>
      <w:sz w:val="24"/>
    </w:rPr>
  </w:style>
  <w:style w:type="character" w:customStyle="1" w:styleId="386">
    <w:name w:val="正文34 Char"/>
    <w:basedOn w:val="63"/>
    <w:link w:val="385"/>
    <w:qFormat/>
    <w:uiPriority w:val="0"/>
    <w:rPr>
      <w:rFonts w:ascii="Arial" w:hAnsi="Arial"/>
      <w:sz w:val="24"/>
      <w:szCs w:val="24"/>
    </w:rPr>
  </w:style>
  <w:style w:type="paragraph" w:customStyle="1" w:styleId="387">
    <w:name w:val="符号样式2"/>
    <w:basedOn w:val="16"/>
    <w:link w:val="388"/>
    <w:qFormat/>
    <w:uiPriority w:val="0"/>
    <w:pPr>
      <w:widowControl/>
      <w:numPr>
        <w:ilvl w:val="0"/>
        <w:numId w:val="22"/>
      </w:numPr>
      <w:spacing w:line="360" w:lineRule="auto"/>
      <w:ind w:firstLine="0" w:firstLineChars="0"/>
      <w:jc w:val="left"/>
    </w:pPr>
    <w:rPr>
      <w:rFonts w:ascii="宋体" w:hAnsi="宋体" w:cs="Arial"/>
      <w:kern w:val="0"/>
      <w:sz w:val="24"/>
    </w:rPr>
  </w:style>
  <w:style w:type="character" w:customStyle="1" w:styleId="388">
    <w:name w:val="符号样式2 Char"/>
    <w:basedOn w:val="63"/>
    <w:link w:val="387"/>
    <w:qFormat/>
    <w:uiPriority w:val="0"/>
    <w:rPr>
      <w:rFonts w:ascii="宋体" w:hAnsi="宋体" w:cs="Arial"/>
      <w:sz w:val="24"/>
      <w:szCs w:val="24"/>
    </w:rPr>
  </w:style>
  <w:style w:type="paragraph" w:customStyle="1" w:styleId="389">
    <w:name w:val="样式1"/>
    <w:basedOn w:val="1"/>
    <w:link w:val="390"/>
    <w:qFormat/>
    <w:uiPriority w:val="0"/>
    <w:pPr>
      <w:widowControl/>
      <w:numPr>
        <w:ilvl w:val="0"/>
        <w:numId w:val="23"/>
      </w:numPr>
      <w:adjustRightInd w:val="0"/>
      <w:spacing w:line="240" w:lineRule="auto"/>
      <w:ind w:firstLineChars="0"/>
      <w:jc w:val="left"/>
      <w:textAlignment w:val="baseline"/>
    </w:pPr>
    <w:rPr>
      <w:rFonts w:hAnsi="仿宋" w:eastAsia="仿宋" w:cs="宋体"/>
      <w:kern w:val="0"/>
      <w:sz w:val="28"/>
      <w:szCs w:val="21"/>
    </w:rPr>
  </w:style>
  <w:style w:type="character" w:customStyle="1" w:styleId="390">
    <w:name w:val="样式1 字符"/>
    <w:basedOn w:val="165"/>
    <w:link w:val="389"/>
    <w:qFormat/>
    <w:uiPriority w:val="0"/>
    <w:rPr>
      <w:rFonts w:ascii="宋体" w:hAnsi="仿宋" w:eastAsia="仿宋" w:cs="宋体"/>
      <w:sz w:val="28"/>
      <w:szCs w:val="21"/>
    </w:rPr>
  </w:style>
  <w:style w:type="paragraph" w:customStyle="1" w:styleId="391">
    <w:name w:val="!RepPar_alt+p"/>
    <w:basedOn w:val="1"/>
    <w:link w:val="392"/>
    <w:qFormat/>
    <w:uiPriority w:val="0"/>
    <w:pPr>
      <w:widowControl/>
      <w:spacing w:line="240" w:lineRule="auto"/>
      <w:ind w:firstLine="0" w:firstLineChars="0"/>
      <w:jc w:val="center"/>
    </w:pPr>
    <w:rPr>
      <w:rFonts w:asciiTheme="minorEastAsia" w:hAnsiTheme="minorEastAsia"/>
      <w:b/>
      <w:color w:val="000000"/>
      <w:kern w:val="0"/>
      <w:lang w:val="zh-CN"/>
    </w:rPr>
  </w:style>
  <w:style w:type="character" w:customStyle="1" w:styleId="392">
    <w:name w:val="!RepPar_alt+p Char"/>
    <w:link w:val="391"/>
    <w:qFormat/>
    <w:uiPriority w:val="0"/>
    <w:rPr>
      <w:rFonts w:asciiTheme="minorEastAsia" w:hAnsiTheme="minorEastAsia"/>
      <w:b/>
      <w:color w:val="000000"/>
      <w:sz w:val="24"/>
      <w:szCs w:val="24"/>
      <w:lang w:val="zh-CN"/>
    </w:rPr>
  </w:style>
  <w:style w:type="paragraph" w:customStyle="1" w:styleId="393">
    <w:name w:val="列出段落4"/>
    <w:basedOn w:val="1"/>
    <w:qFormat/>
    <w:uiPriority w:val="34"/>
    <w:pPr>
      <w:widowControl/>
      <w:spacing w:line="240" w:lineRule="auto"/>
      <w:ind w:firstLine="420"/>
      <w:jc w:val="left"/>
    </w:pPr>
    <w:rPr>
      <w:rFonts w:ascii="Times New Roman" w:hAnsi="Times New Roman"/>
      <w:kern w:val="0"/>
      <w:szCs w:val="20"/>
    </w:rPr>
  </w:style>
  <w:style w:type="paragraph" w:customStyle="1" w:styleId="394">
    <w:name w:val="样式 标题 3市检方案标题3第二层条level_3PIM 3H3Level 3 Headh3sect1.2.3..."/>
    <w:basedOn w:val="1"/>
    <w:qFormat/>
    <w:uiPriority w:val="0"/>
    <w:pPr>
      <w:widowControl/>
      <w:numPr>
        <w:ilvl w:val="0"/>
        <w:numId w:val="24"/>
      </w:numPr>
      <w:ind w:firstLine="0" w:firstLineChars="0"/>
      <w:jc w:val="left"/>
    </w:pPr>
    <w:rPr>
      <w:rFonts w:ascii="Times New Roman" w:hAnsi="Times New Roman"/>
      <w:kern w:val="0"/>
    </w:rPr>
  </w:style>
  <w:style w:type="paragraph" w:customStyle="1" w:styleId="395">
    <w:name w:val="样式0110-07正文"/>
    <w:basedOn w:val="1"/>
    <w:link w:val="396"/>
    <w:qFormat/>
    <w:uiPriority w:val="0"/>
    <w:pPr>
      <w:widowControl/>
      <w:ind w:firstLine="200"/>
      <w:jc w:val="left"/>
    </w:pPr>
    <w:rPr>
      <w:kern w:val="0"/>
      <w:szCs w:val="20"/>
    </w:rPr>
  </w:style>
  <w:style w:type="character" w:customStyle="1" w:styleId="396">
    <w:name w:val="样式0110-07正文 Char"/>
    <w:link w:val="395"/>
    <w:qFormat/>
    <w:uiPriority w:val="0"/>
    <w:rPr>
      <w:rFonts w:ascii="宋体" w:hAnsi="宋体"/>
      <w:sz w:val="24"/>
    </w:rPr>
  </w:style>
  <w:style w:type="character" w:customStyle="1" w:styleId="397">
    <w:name w:val="建行正文 Char Char"/>
    <w:link w:val="398"/>
    <w:qFormat/>
    <w:uiPriority w:val="0"/>
    <w:rPr>
      <w:rFonts w:eastAsia="楷体_GB2312"/>
      <w:sz w:val="24"/>
      <w:szCs w:val="24"/>
    </w:rPr>
  </w:style>
  <w:style w:type="paragraph" w:customStyle="1" w:styleId="398">
    <w:name w:val="建行正文"/>
    <w:basedOn w:val="1"/>
    <w:link w:val="397"/>
    <w:qFormat/>
    <w:uiPriority w:val="0"/>
    <w:pPr>
      <w:widowControl/>
      <w:spacing w:after="120"/>
      <w:ind w:firstLine="100" w:firstLineChars="100"/>
      <w:jc w:val="left"/>
    </w:pPr>
    <w:rPr>
      <w:rFonts w:ascii="Times New Roman" w:hAnsi="Times New Roman" w:eastAsia="楷体_GB2312"/>
      <w:kern w:val="0"/>
    </w:rPr>
  </w:style>
  <w:style w:type="paragraph" w:customStyle="1" w:styleId="399">
    <w:name w:val="样式 建行正文 + 楷体_GB2312"/>
    <w:basedOn w:val="398"/>
    <w:qFormat/>
    <w:uiPriority w:val="0"/>
    <w:pPr>
      <w:ind w:firstLine="420" w:firstLineChars="0"/>
    </w:pPr>
    <w:rPr>
      <w:rFonts w:ascii="Book Antiqua" w:hAnsi="Book Antiqua"/>
      <w:szCs w:val="20"/>
      <w:lang w:val="zh-CN"/>
    </w:rPr>
  </w:style>
  <w:style w:type="character" w:customStyle="1" w:styleId="400">
    <w:name w:val="!RepPar_alt+p Char Char"/>
    <w:qFormat/>
    <w:uiPriority w:val="0"/>
    <w:rPr>
      <w:rFonts w:ascii="Times New Roman" w:hAnsi="Times New Roman"/>
      <w:kern w:val="2"/>
      <w:sz w:val="24"/>
      <w:szCs w:val="24"/>
    </w:rPr>
  </w:style>
  <w:style w:type="paragraph" w:customStyle="1" w:styleId="401">
    <w:name w:val="缩进_五号_1.5行距"/>
    <w:basedOn w:val="1"/>
    <w:qFormat/>
    <w:uiPriority w:val="0"/>
    <w:pPr>
      <w:widowControl/>
      <w:ind w:firstLine="420"/>
      <w:jc w:val="left"/>
    </w:pPr>
    <w:rPr>
      <w:rFonts w:ascii="Times New Roman" w:hAnsi="Times New Roman" w:cs="宋体"/>
      <w:kern w:val="0"/>
      <w:szCs w:val="20"/>
    </w:rPr>
  </w:style>
  <w:style w:type="paragraph" w:customStyle="1" w:styleId="402">
    <w:name w:val="缩进_小四号_1.5行距"/>
    <w:basedOn w:val="1"/>
    <w:autoRedefine/>
    <w:qFormat/>
    <w:uiPriority w:val="0"/>
    <w:pPr>
      <w:widowControl/>
      <w:jc w:val="left"/>
    </w:pPr>
    <w:rPr>
      <w:rFonts w:ascii="Times New Roman" w:hAnsi="Times New Roman" w:cs="宋体"/>
      <w:kern w:val="0"/>
      <w:szCs w:val="20"/>
    </w:rPr>
  </w:style>
  <w:style w:type="character" w:customStyle="1" w:styleId="403">
    <w:name w:val="样式 正文首行缩进正文首行缩进 Char Char Char Char Char Char Char Char Char Ch... Char Char"/>
    <w:link w:val="404"/>
    <w:qFormat/>
    <w:uiPriority w:val="0"/>
    <w:rPr>
      <w:rFonts w:ascii="Tahoma" w:hAnsi="Tahoma"/>
      <w:sz w:val="24"/>
    </w:rPr>
  </w:style>
  <w:style w:type="paragraph" w:customStyle="1" w:styleId="404">
    <w:name w:val="样式 正文首行缩进正文首行缩进 Char Char Char Char Char Char Char Char Char Ch..."/>
    <w:basedOn w:val="57"/>
    <w:link w:val="403"/>
    <w:qFormat/>
    <w:uiPriority w:val="0"/>
    <w:pPr>
      <w:widowControl/>
      <w:spacing w:after="0"/>
      <w:ind w:firstLine="476" w:firstLineChars="0"/>
      <w:jc w:val="left"/>
    </w:pPr>
    <w:rPr>
      <w:rFonts w:ascii="Tahoma" w:hAnsi="Tahoma"/>
      <w:kern w:val="0"/>
      <w:szCs w:val="20"/>
    </w:rPr>
  </w:style>
  <w:style w:type="paragraph" w:customStyle="1" w:styleId="405">
    <w:name w:val="四号正文"/>
    <w:basedOn w:val="1"/>
    <w:qFormat/>
    <w:uiPriority w:val="0"/>
    <w:pPr>
      <w:widowControl/>
      <w:ind w:firstLine="560"/>
      <w:jc w:val="left"/>
    </w:pPr>
    <w:rPr>
      <w:kern w:val="0"/>
      <w:sz w:val="28"/>
      <w:szCs w:val="28"/>
    </w:rPr>
  </w:style>
  <w:style w:type="paragraph" w:customStyle="1" w:styleId="406">
    <w:name w:val="Preformatted Text"/>
    <w:basedOn w:val="1"/>
    <w:qFormat/>
    <w:uiPriority w:val="0"/>
    <w:pPr>
      <w:widowControl/>
      <w:suppressAutoHyphens/>
      <w:spacing w:line="240" w:lineRule="auto"/>
      <w:ind w:firstLine="0" w:firstLineChars="0"/>
      <w:jc w:val="left"/>
    </w:pPr>
    <w:rPr>
      <w:rFonts w:ascii="DejaVu Sans Mono" w:hAnsi="DejaVu Sans Mono" w:eastAsia="DejaVu Sans Mono" w:cs="DejaVu Sans Mono"/>
      <w:kern w:val="1"/>
      <w:sz w:val="20"/>
      <w:lang w:eastAsia="ar-SA"/>
    </w:rPr>
  </w:style>
  <w:style w:type="paragraph" w:customStyle="1" w:styleId="407">
    <w:name w:val="Table Contents"/>
    <w:basedOn w:val="1"/>
    <w:qFormat/>
    <w:uiPriority w:val="0"/>
    <w:pPr>
      <w:widowControl/>
      <w:suppressLineNumbers/>
      <w:suppressAutoHyphens/>
      <w:spacing w:line="240" w:lineRule="auto"/>
      <w:ind w:firstLine="0" w:firstLineChars="0"/>
      <w:jc w:val="left"/>
    </w:pPr>
    <w:rPr>
      <w:kern w:val="1"/>
      <w:lang w:eastAsia="ar-SA"/>
    </w:rPr>
  </w:style>
  <w:style w:type="paragraph" w:customStyle="1" w:styleId="408">
    <w:name w:val="图说"/>
    <w:basedOn w:val="1"/>
    <w:qFormat/>
    <w:uiPriority w:val="0"/>
    <w:pPr>
      <w:widowControl/>
      <w:adjustRightInd w:val="0"/>
      <w:spacing w:line="480" w:lineRule="auto"/>
      <w:ind w:firstLine="0" w:firstLineChars="0"/>
      <w:jc w:val="center"/>
    </w:pPr>
    <w:rPr>
      <w:kern w:val="0"/>
      <w:sz w:val="18"/>
    </w:rPr>
  </w:style>
  <w:style w:type="paragraph" w:customStyle="1" w:styleId="409">
    <w:name w:val="Table Text"/>
    <w:qFormat/>
    <w:uiPriority w:val="0"/>
    <w:pPr>
      <w:spacing w:before="60" w:after="240"/>
      <w:ind w:left="113"/>
    </w:pPr>
    <w:rPr>
      <w:rFonts w:ascii="Arial" w:hAnsi="Arial" w:eastAsia="Times" w:cs="Times New Roman"/>
      <w:kern w:val="2"/>
      <w:sz w:val="18"/>
      <w:szCs w:val="18"/>
      <w:lang w:val="en-US" w:eastAsia="en-US" w:bidi="ar-SA"/>
    </w:rPr>
  </w:style>
  <w:style w:type="paragraph" w:customStyle="1" w:styleId="410">
    <w:name w:val="Table Head"/>
    <w:basedOn w:val="409"/>
    <w:next w:val="409"/>
    <w:qFormat/>
    <w:uiPriority w:val="0"/>
    <w:pPr>
      <w:widowControl w:val="0"/>
      <w:spacing w:after="60" w:line="240" w:lineRule="atLeast"/>
      <w:ind w:left="0"/>
    </w:pPr>
    <w:rPr>
      <w:rFonts w:eastAsia="Times New Roman"/>
      <w:b/>
      <w:bCs/>
    </w:rPr>
  </w:style>
  <w:style w:type="paragraph" w:customStyle="1" w:styleId="411">
    <w:name w:val="标题 1（nari）"/>
    <w:basedOn w:val="2"/>
    <w:next w:val="1"/>
    <w:qFormat/>
    <w:uiPriority w:val="0"/>
    <w:pPr>
      <w:widowControl/>
      <w:numPr>
        <w:numId w:val="25"/>
      </w:numPr>
      <w:spacing w:before="240" w:after="200" w:line="240" w:lineRule="auto"/>
      <w:jc w:val="left"/>
    </w:pPr>
    <w:rPr>
      <w:rFonts w:ascii="Arial" w:hAnsi="Arial" w:cs="宋体"/>
      <w:bCs w:val="0"/>
      <w:sz w:val="28"/>
      <w:szCs w:val="36"/>
    </w:rPr>
  </w:style>
  <w:style w:type="paragraph" w:customStyle="1" w:styleId="412">
    <w:name w:val="标题 2（nari）"/>
    <w:basedOn w:val="3"/>
    <w:next w:val="1"/>
    <w:qFormat/>
    <w:uiPriority w:val="0"/>
    <w:pPr>
      <w:widowControl/>
      <w:numPr>
        <w:numId w:val="25"/>
      </w:numPr>
      <w:spacing w:before="320" w:after="160" w:line="240" w:lineRule="auto"/>
      <w:jc w:val="left"/>
    </w:pPr>
    <w:rPr>
      <w:rFonts w:cs="宋体"/>
      <w:kern w:val="0"/>
      <w:sz w:val="24"/>
      <w:szCs w:val="24"/>
    </w:rPr>
  </w:style>
  <w:style w:type="paragraph" w:customStyle="1" w:styleId="413">
    <w:name w:val="正文（nari）"/>
    <w:basedOn w:val="1"/>
    <w:link w:val="414"/>
    <w:qFormat/>
    <w:uiPriority w:val="0"/>
    <w:pPr>
      <w:widowControl/>
      <w:spacing w:beforeLines="50" w:afterLines="50" w:line="500" w:lineRule="exact"/>
      <w:ind w:firstLine="200"/>
      <w:jc w:val="left"/>
    </w:pPr>
    <w:rPr>
      <w:rFonts w:cs="宋体"/>
      <w:kern w:val="0"/>
    </w:rPr>
  </w:style>
  <w:style w:type="character" w:customStyle="1" w:styleId="414">
    <w:name w:val="正文（nari） Char"/>
    <w:basedOn w:val="63"/>
    <w:link w:val="413"/>
    <w:qFormat/>
    <w:uiPriority w:val="0"/>
    <w:rPr>
      <w:rFonts w:ascii="宋体" w:hAnsi="宋体" w:cs="宋体"/>
      <w:sz w:val="24"/>
      <w:szCs w:val="24"/>
    </w:rPr>
  </w:style>
  <w:style w:type="paragraph" w:customStyle="1" w:styleId="415">
    <w:name w:val="标题 3（nari）"/>
    <w:basedOn w:val="4"/>
    <w:next w:val="1"/>
    <w:qFormat/>
    <w:uiPriority w:val="0"/>
    <w:pPr>
      <w:widowControl/>
      <w:numPr>
        <w:numId w:val="25"/>
      </w:numPr>
      <w:tabs>
        <w:tab w:val="left" w:pos="960"/>
      </w:tabs>
      <w:spacing w:before="240"/>
      <w:jc w:val="left"/>
    </w:pPr>
    <w:rPr>
      <w:rFonts w:ascii="Arial" w:hAnsi="Arial" w:eastAsia="黑体" w:cstheme="majorBidi"/>
      <w:b w:val="0"/>
      <w:kern w:val="0"/>
      <w:szCs w:val="30"/>
      <w:lang w:val="zh-CN"/>
    </w:rPr>
  </w:style>
  <w:style w:type="paragraph" w:customStyle="1" w:styleId="416">
    <w:name w:val="标题 4（nari）"/>
    <w:basedOn w:val="5"/>
    <w:next w:val="1"/>
    <w:qFormat/>
    <w:uiPriority w:val="0"/>
    <w:pPr>
      <w:widowControl/>
      <w:numPr>
        <w:numId w:val="25"/>
      </w:numPr>
      <w:tabs>
        <w:tab w:val="left" w:pos="709"/>
      </w:tabs>
      <w:spacing w:before="200" w:line="240" w:lineRule="auto"/>
      <w:ind w:right="100" w:rightChars="100"/>
      <w:jc w:val="left"/>
    </w:pPr>
    <w:rPr>
      <w:rFonts w:ascii="Arial" w:hAnsi="Arial"/>
      <w:b w:val="0"/>
      <w:bCs w:val="0"/>
      <w:kern w:val="0"/>
      <w:sz w:val="24"/>
      <w:szCs w:val="28"/>
    </w:rPr>
  </w:style>
  <w:style w:type="paragraph" w:customStyle="1" w:styleId="417">
    <w:name w:val="封面-公司名称"/>
    <w:basedOn w:val="1"/>
    <w:next w:val="1"/>
    <w:qFormat/>
    <w:uiPriority w:val="0"/>
    <w:pPr>
      <w:widowControl/>
      <w:snapToGrid w:val="0"/>
      <w:spacing w:before="80" w:after="80" w:line="300" w:lineRule="auto"/>
      <w:ind w:firstLine="0" w:firstLineChars="0"/>
      <w:jc w:val="center"/>
    </w:pPr>
    <w:rPr>
      <w:rFonts w:ascii="Arial" w:hAnsi="Arial" w:cs="Arial"/>
      <w:b/>
      <w:kern w:val="0"/>
      <w:sz w:val="30"/>
      <w:szCs w:val="30"/>
    </w:rPr>
  </w:style>
  <w:style w:type="paragraph" w:customStyle="1" w:styleId="418">
    <w:name w:val="封面-文档名称"/>
    <w:basedOn w:val="1"/>
    <w:next w:val="1"/>
    <w:qFormat/>
    <w:uiPriority w:val="0"/>
    <w:pPr>
      <w:widowControl/>
      <w:pBdr>
        <w:bottom w:val="single" w:color="auto" w:sz="4" w:space="1"/>
      </w:pBdr>
      <w:snapToGrid w:val="0"/>
      <w:spacing w:before="80" w:after="80" w:line="300" w:lineRule="auto"/>
      <w:ind w:firstLine="0" w:firstLineChars="0"/>
      <w:jc w:val="center"/>
    </w:pPr>
    <w:rPr>
      <w:rFonts w:ascii="Arial" w:hAnsi="Arial" w:cs="Arial"/>
      <w:b/>
      <w:bCs/>
      <w:kern w:val="0"/>
      <w:sz w:val="36"/>
      <w:szCs w:val="21"/>
    </w:rPr>
  </w:style>
  <w:style w:type="paragraph" w:customStyle="1" w:styleId="419">
    <w:name w:val="封面-文档类型"/>
    <w:basedOn w:val="1"/>
    <w:next w:val="1"/>
    <w:qFormat/>
    <w:uiPriority w:val="0"/>
    <w:pPr>
      <w:widowControl/>
      <w:snapToGrid w:val="0"/>
      <w:spacing w:before="80" w:after="80" w:line="300" w:lineRule="auto"/>
      <w:ind w:firstLine="0" w:firstLineChars="0"/>
      <w:jc w:val="center"/>
    </w:pPr>
    <w:rPr>
      <w:rFonts w:ascii="Arial" w:hAnsi="Arial" w:cs="Arial"/>
      <w:b/>
      <w:bCs/>
      <w:kern w:val="0"/>
      <w:sz w:val="52"/>
      <w:szCs w:val="44"/>
    </w:rPr>
  </w:style>
  <w:style w:type="paragraph" w:customStyle="1" w:styleId="420">
    <w:name w:val="方案正文"/>
    <w:basedOn w:val="1"/>
    <w:link w:val="421"/>
    <w:qFormat/>
    <w:uiPriority w:val="0"/>
    <w:pPr>
      <w:widowControl/>
      <w:spacing w:before="156"/>
      <w:ind w:firstLine="359" w:firstLineChars="171"/>
      <w:jc w:val="left"/>
    </w:pPr>
    <w:rPr>
      <w:rFonts w:ascii="Arial" w:hAnsi="Arial" w:cs="宋体"/>
      <w:kern w:val="0"/>
      <w:szCs w:val="21"/>
    </w:rPr>
  </w:style>
  <w:style w:type="character" w:customStyle="1" w:styleId="421">
    <w:name w:val="方案正文 Char"/>
    <w:link w:val="420"/>
    <w:qFormat/>
    <w:uiPriority w:val="0"/>
    <w:rPr>
      <w:rFonts w:ascii="Arial" w:hAnsi="Arial" w:cs="宋体"/>
      <w:sz w:val="24"/>
      <w:szCs w:val="21"/>
    </w:rPr>
  </w:style>
  <w:style w:type="paragraph" w:customStyle="1" w:styleId="422">
    <w:name w:val="!title1_alt+1"/>
    <w:basedOn w:val="2"/>
    <w:next w:val="391"/>
    <w:qFormat/>
    <w:uiPriority w:val="0"/>
    <w:pPr>
      <w:widowControl/>
      <w:numPr>
        <w:numId w:val="26"/>
      </w:numPr>
      <w:tabs>
        <w:tab w:val="left" w:pos="567"/>
      </w:tabs>
      <w:spacing w:before="100" w:beforeAutospacing="1" w:after="100" w:afterAutospacing="1"/>
    </w:pPr>
    <w:rPr>
      <w:rFonts w:ascii="Times New Roman" w:hAnsi="Times New Roman" w:eastAsia="宋体"/>
      <w:szCs w:val="32"/>
    </w:rPr>
  </w:style>
  <w:style w:type="paragraph" w:customStyle="1" w:styleId="423">
    <w:name w:val="!title2_alt+2"/>
    <w:basedOn w:val="3"/>
    <w:next w:val="391"/>
    <w:qFormat/>
    <w:uiPriority w:val="0"/>
    <w:pPr>
      <w:widowControl/>
      <w:numPr>
        <w:numId w:val="26"/>
      </w:numPr>
      <w:tabs>
        <w:tab w:val="left" w:pos="567"/>
      </w:tabs>
      <w:spacing w:before="100" w:beforeAutospacing="1" w:after="100" w:afterAutospacing="1" w:line="480" w:lineRule="auto"/>
      <w:jc w:val="left"/>
    </w:pPr>
    <w:rPr>
      <w:rFonts w:ascii="Times New Roman" w:hAnsi="Times New Roman" w:eastAsia="黑体"/>
      <w:b w:val="0"/>
      <w:kern w:val="0"/>
      <w:szCs w:val="30"/>
    </w:rPr>
  </w:style>
  <w:style w:type="paragraph" w:customStyle="1" w:styleId="424">
    <w:name w:val="!title3_alt+3"/>
    <w:basedOn w:val="4"/>
    <w:next w:val="391"/>
    <w:link w:val="425"/>
    <w:qFormat/>
    <w:uiPriority w:val="0"/>
    <w:pPr>
      <w:widowControl/>
      <w:numPr>
        <w:numId w:val="26"/>
      </w:numPr>
      <w:tabs>
        <w:tab w:val="left" w:pos="567"/>
      </w:tabs>
      <w:spacing w:before="100" w:beforeAutospacing="1" w:after="100" w:afterAutospacing="1"/>
      <w:jc w:val="left"/>
    </w:pPr>
    <w:rPr>
      <w:rFonts w:ascii="Times New Roman" w:hAnsi="Times New Roman"/>
      <w:kern w:val="0"/>
    </w:rPr>
  </w:style>
  <w:style w:type="character" w:customStyle="1" w:styleId="425">
    <w:name w:val="!title3_alt+3 Char"/>
    <w:basedOn w:val="63"/>
    <w:link w:val="424"/>
    <w:qFormat/>
    <w:uiPriority w:val="0"/>
    <w:rPr>
      <w:b/>
      <w:bCs/>
      <w:sz w:val="24"/>
      <w:szCs w:val="28"/>
    </w:rPr>
  </w:style>
  <w:style w:type="paragraph" w:customStyle="1" w:styleId="426">
    <w:name w:val="!title4_alt+4"/>
    <w:basedOn w:val="5"/>
    <w:next w:val="391"/>
    <w:qFormat/>
    <w:uiPriority w:val="0"/>
    <w:pPr>
      <w:widowControl/>
      <w:numPr>
        <w:numId w:val="26"/>
      </w:numPr>
      <w:tabs>
        <w:tab w:val="left" w:pos="567"/>
      </w:tabs>
      <w:spacing w:before="100" w:beforeAutospacing="1" w:after="100" w:afterAutospacing="1"/>
      <w:ind w:right="100" w:rightChars="100"/>
      <w:jc w:val="left"/>
    </w:pPr>
    <w:rPr>
      <w:rFonts w:ascii="Times New Roman" w:hAnsi="Times New Roman" w:eastAsiaTheme="minorEastAsia"/>
      <w:b w:val="0"/>
      <w:kern w:val="0"/>
      <w:sz w:val="28"/>
      <w:szCs w:val="24"/>
    </w:rPr>
  </w:style>
  <w:style w:type="paragraph" w:customStyle="1" w:styleId="427">
    <w:name w:val="!title1insec_alt+5"/>
    <w:basedOn w:val="6"/>
    <w:next w:val="391"/>
    <w:qFormat/>
    <w:uiPriority w:val="0"/>
    <w:pPr>
      <w:numPr>
        <w:numId w:val="26"/>
      </w:numPr>
      <w:tabs>
        <w:tab w:val="left" w:pos="567"/>
        <w:tab w:val="left" w:pos="767"/>
      </w:tabs>
      <w:spacing w:before="0" w:beforeAutospacing="1" w:after="100" w:afterAutospacing="1" w:line="288" w:lineRule="auto"/>
    </w:pPr>
    <w:rPr>
      <w:rFonts w:ascii="Times New Roman" w:hAnsi="Times New Roman"/>
      <w:kern w:val="0"/>
      <w:sz w:val="28"/>
      <w:szCs w:val="24"/>
    </w:rPr>
  </w:style>
  <w:style w:type="paragraph" w:customStyle="1" w:styleId="428">
    <w:name w:val="!title2insec_alt+6"/>
    <w:basedOn w:val="7"/>
    <w:next w:val="391"/>
    <w:qFormat/>
    <w:uiPriority w:val="0"/>
    <w:pPr>
      <w:widowControl/>
      <w:numPr>
        <w:numId w:val="26"/>
      </w:numPr>
      <w:tabs>
        <w:tab w:val="left" w:pos="284"/>
      </w:tabs>
      <w:spacing w:before="100" w:beforeAutospacing="1" w:after="100" w:afterAutospacing="1" w:line="288" w:lineRule="auto"/>
      <w:jc w:val="left"/>
    </w:pPr>
    <w:rPr>
      <w:rFonts w:ascii="Times New Roman" w:hAnsi="Times New Roman"/>
      <w:kern w:val="0"/>
      <w:sz w:val="28"/>
    </w:rPr>
  </w:style>
  <w:style w:type="paragraph" w:customStyle="1" w:styleId="429">
    <w:name w:val="!title3insec_alt+7"/>
    <w:basedOn w:val="8"/>
    <w:next w:val="391"/>
    <w:qFormat/>
    <w:uiPriority w:val="0"/>
    <w:pPr>
      <w:widowControl/>
      <w:numPr>
        <w:ilvl w:val="6"/>
        <w:numId w:val="26"/>
      </w:numPr>
      <w:spacing w:before="100" w:beforeAutospacing="1" w:after="100" w:afterAutospacing="1" w:line="288" w:lineRule="auto"/>
      <w:jc w:val="left"/>
    </w:pPr>
    <w:rPr>
      <w:b w:val="0"/>
      <w:kern w:val="0"/>
      <w:sz w:val="24"/>
    </w:rPr>
  </w:style>
  <w:style w:type="paragraph" w:customStyle="1" w:styleId="430">
    <w:name w:val="book正文"/>
    <w:basedOn w:val="1"/>
    <w:link w:val="431"/>
    <w:qFormat/>
    <w:uiPriority w:val="0"/>
    <w:pPr>
      <w:widowControl/>
      <w:adjustRightInd w:val="0"/>
      <w:spacing w:line="300" w:lineRule="auto"/>
      <w:ind w:firstLine="200"/>
      <w:jc w:val="left"/>
      <w:textAlignment w:val="baseline"/>
    </w:pPr>
    <w:rPr>
      <w:rFonts w:ascii="Times New Roman" w:hAnsi="Times New Roman"/>
      <w:kern w:val="0"/>
    </w:rPr>
  </w:style>
  <w:style w:type="character" w:customStyle="1" w:styleId="431">
    <w:name w:val="book正文 Char"/>
    <w:basedOn w:val="63"/>
    <w:link w:val="430"/>
    <w:qFormat/>
    <w:uiPriority w:val="0"/>
    <w:rPr>
      <w:sz w:val="24"/>
      <w:szCs w:val="24"/>
    </w:rPr>
  </w:style>
  <w:style w:type="character" w:customStyle="1" w:styleId="432">
    <w:name w:val="Item List Char"/>
    <w:qFormat/>
    <w:uiPriority w:val="0"/>
    <w:rPr>
      <w:rFonts w:ascii="Arial" w:hAnsi="Arial" w:eastAsia="仿宋_GB2312" w:cs="Times New Roman"/>
      <w:i/>
      <w:szCs w:val="21"/>
    </w:rPr>
  </w:style>
  <w:style w:type="paragraph" w:customStyle="1" w:styleId="433">
    <w:name w:val="项目编号B"/>
    <w:basedOn w:val="1"/>
    <w:qFormat/>
    <w:uiPriority w:val="0"/>
    <w:pPr>
      <w:widowControl/>
      <w:numPr>
        <w:ilvl w:val="0"/>
        <w:numId w:val="27"/>
      </w:numPr>
      <w:ind w:hanging="200" w:hangingChars="200"/>
      <w:jc w:val="left"/>
    </w:pPr>
    <w:rPr>
      <w:rFonts w:ascii="Times New Roman" w:hAnsi="Times New Roman"/>
      <w:kern w:val="0"/>
    </w:rPr>
  </w:style>
  <w:style w:type="paragraph" w:customStyle="1" w:styleId="434">
    <w:name w:val="正文 + Arial"/>
    <w:basedOn w:val="1"/>
    <w:qFormat/>
    <w:uiPriority w:val="0"/>
    <w:pPr>
      <w:widowControl/>
      <w:spacing w:line="360" w:lineRule="atLeast"/>
      <w:ind w:firstLine="420"/>
      <w:jc w:val="left"/>
    </w:pPr>
    <w:rPr>
      <w:rFonts w:ascii="Arial" w:hAnsi="Arial"/>
      <w:kern w:val="0"/>
      <w:szCs w:val="21"/>
    </w:rPr>
  </w:style>
  <w:style w:type="paragraph" w:customStyle="1" w:styleId="435">
    <w:name w:val="表格文本"/>
    <w:basedOn w:val="1"/>
    <w:qFormat/>
    <w:uiPriority w:val="0"/>
    <w:pPr>
      <w:widowControl/>
      <w:tabs>
        <w:tab w:val="decimal" w:pos="0"/>
      </w:tabs>
      <w:autoSpaceDE w:val="0"/>
      <w:autoSpaceDN w:val="0"/>
      <w:adjustRightInd w:val="0"/>
      <w:spacing w:line="240" w:lineRule="auto"/>
      <w:ind w:firstLine="0" w:firstLineChars="0"/>
      <w:jc w:val="left"/>
    </w:pPr>
    <w:rPr>
      <w:rFonts w:ascii="Arial" w:hAnsi="Arial"/>
      <w:kern w:val="0"/>
      <w:szCs w:val="21"/>
    </w:rPr>
  </w:style>
  <w:style w:type="paragraph" w:customStyle="1" w:styleId="436">
    <w:name w:val="项目编号A"/>
    <w:basedOn w:val="1"/>
    <w:qFormat/>
    <w:uiPriority w:val="0"/>
    <w:pPr>
      <w:widowControl/>
      <w:numPr>
        <w:ilvl w:val="0"/>
        <w:numId w:val="28"/>
      </w:numPr>
      <w:ind w:left="618" w:firstLine="0" w:firstLineChars="0"/>
      <w:jc w:val="left"/>
    </w:pPr>
    <w:rPr>
      <w:rFonts w:ascii="Times New Roman" w:hAnsi="Times New Roman"/>
      <w:kern w:val="0"/>
    </w:rPr>
  </w:style>
  <w:style w:type="paragraph" w:customStyle="1" w:styleId="437">
    <w:name w:val="CheckList"/>
    <w:basedOn w:val="1"/>
    <w:qFormat/>
    <w:uiPriority w:val="0"/>
    <w:pPr>
      <w:widowControl/>
      <w:numPr>
        <w:ilvl w:val="2"/>
        <w:numId w:val="28"/>
      </w:numPr>
      <w:tabs>
        <w:tab w:val="left" w:pos="1260"/>
      </w:tabs>
      <w:spacing w:before="120" w:after="120" w:line="240" w:lineRule="auto"/>
      <w:ind w:left="720" w:firstLine="0" w:firstLineChars="0"/>
      <w:jc w:val="left"/>
    </w:pPr>
    <w:rPr>
      <w:rFonts w:ascii="Times New Roman" w:hAnsi="Times New Roman"/>
      <w:b/>
      <w:kern w:val="0"/>
      <w:szCs w:val="20"/>
    </w:rPr>
  </w:style>
  <w:style w:type="paragraph" w:customStyle="1" w:styleId="438">
    <w:name w:val="Char Char Char1 Char"/>
    <w:basedOn w:val="1"/>
    <w:qFormat/>
    <w:uiPriority w:val="0"/>
    <w:pPr>
      <w:widowControl/>
      <w:spacing w:after="160" w:line="240" w:lineRule="exact"/>
      <w:ind w:firstLine="0" w:firstLineChars="0"/>
      <w:jc w:val="left"/>
    </w:pPr>
    <w:rPr>
      <w:rFonts w:ascii="Arial" w:hAnsi="Arial" w:eastAsia="Times New Roman"/>
      <w:kern w:val="0"/>
      <w:sz w:val="20"/>
      <w:szCs w:val="20"/>
      <w:lang w:eastAsia="en-US"/>
    </w:rPr>
  </w:style>
  <w:style w:type="paragraph" w:customStyle="1" w:styleId="439">
    <w:name w:val="!cell"/>
    <w:basedOn w:val="1"/>
    <w:qFormat/>
    <w:uiPriority w:val="0"/>
    <w:pPr>
      <w:widowControl/>
      <w:spacing w:line="240" w:lineRule="auto"/>
      <w:ind w:firstLine="0" w:firstLineChars="0"/>
      <w:jc w:val="center"/>
    </w:pPr>
    <w:rPr>
      <w:rFonts w:ascii="Times New Roman" w:hAnsi="Times New Roman"/>
      <w:kern w:val="0"/>
    </w:rPr>
  </w:style>
  <w:style w:type="paragraph" w:customStyle="1" w:styleId="440">
    <w:name w:val="!header"/>
    <w:basedOn w:val="38"/>
    <w:qFormat/>
    <w:uiPriority w:val="0"/>
    <w:pPr>
      <w:widowControl/>
      <w:pBdr>
        <w:bottom w:val="single" w:color="auto" w:sz="6" w:space="1"/>
      </w:pBdr>
      <w:spacing w:line="240" w:lineRule="auto"/>
      <w:ind w:firstLine="0" w:firstLineChars="0"/>
      <w:jc w:val="left"/>
    </w:pPr>
    <w:rPr>
      <w:rFonts w:eastAsia="楷体_GB2312"/>
      <w:smallCaps/>
      <w:kern w:val="0"/>
    </w:rPr>
  </w:style>
  <w:style w:type="paragraph" w:customStyle="1" w:styleId="441">
    <w:name w:val="!code_alt+C"/>
    <w:basedOn w:val="1"/>
    <w:qFormat/>
    <w:uiPriority w:val="0"/>
    <w:pPr>
      <w:keepLines/>
      <w:widowControl/>
      <w:pBdr>
        <w:top w:val="single" w:color="auto" w:sz="4" w:space="1"/>
        <w:left w:val="single" w:color="auto" w:sz="4" w:space="4"/>
        <w:bottom w:val="single" w:color="auto" w:sz="4" w:space="1"/>
        <w:right w:val="single" w:color="auto" w:sz="4" w:space="4"/>
      </w:pBdr>
      <w:kinsoku w:val="0"/>
      <w:spacing w:beforeLines="20" w:afterLines="20" w:line="240" w:lineRule="auto"/>
      <w:ind w:left="219" w:leftChars="200" w:right="100" w:rightChars="100" w:hanging="19" w:hangingChars="19"/>
      <w:jc w:val="left"/>
    </w:pPr>
    <w:rPr>
      <w:rFonts w:ascii="time" w:hAnsi="time" w:cs="宋体"/>
      <w:spacing w:val="-5"/>
      <w:kern w:val="0"/>
      <w:szCs w:val="20"/>
      <w:lang w:bidi="he-IL"/>
    </w:rPr>
  </w:style>
  <w:style w:type="paragraph" w:customStyle="1" w:styleId="442">
    <w:name w:val="!desc_alt+D"/>
    <w:basedOn w:val="1"/>
    <w:qFormat/>
    <w:uiPriority w:val="0"/>
    <w:pPr>
      <w:widowControl/>
      <w:spacing w:after="100" w:afterAutospacing="1" w:line="288" w:lineRule="auto"/>
      <w:jc w:val="left"/>
    </w:pPr>
    <w:rPr>
      <w:rFonts w:ascii="Times New Roman" w:hAnsi="Times New Roman" w:cs="宋体"/>
      <w:color w:val="3366FF"/>
      <w:kern w:val="0"/>
    </w:rPr>
  </w:style>
  <w:style w:type="character" w:customStyle="1" w:styleId="443">
    <w:name w:val="!keyword_alt+K"/>
    <w:qFormat/>
    <w:uiPriority w:val="0"/>
    <w:rPr>
      <w:rFonts w:eastAsia="Times New Roman"/>
      <w:b/>
      <w:i/>
      <w:color w:val="000080"/>
      <w:sz w:val="21"/>
      <w:szCs w:val="21"/>
    </w:rPr>
  </w:style>
  <w:style w:type="character" w:customStyle="1" w:styleId="444">
    <w:name w:val="!VarName_alt+v"/>
    <w:qFormat/>
    <w:uiPriority w:val="0"/>
    <w:rPr>
      <w:rFonts w:ascii="Arial" w:hAnsi="Arial" w:eastAsia="黑体"/>
      <w:bCs/>
      <w:color w:val="auto"/>
      <w:sz w:val="21"/>
      <w:szCs w:val="21"/>
      <w:lang w:val="en-US" w:eastAsia="en-US" w:bidi="ar-SA"/>
    </w:rPr>
  </w:style>
  <w:style w:type="paragraph" w:customStyle="1" w:styleId="445">
    <w:name w:val="!caption_alt+t"/>
    <w:basedOn w:val="17"/>
    <w:qFormat/>
    <w:uiPriority w:val="0"/>
    <w:pPr>
      <w:keepNext/>
      <w:widowControl/>
      <w:tabs>
        <w:tab w:val="left" w:pos="841"/>
      </w:tabs>
      <w:spacing w:afterLines="0"/>
      <w:ind w:firstLine="0" w:firstLineChars="0"/>
      <w:jc w:val="center"/>
    </w:pPr>
    <w:rPr>
      <w:rFonts w:ascii="Times New Roman" w:hAnsi="Times New Roman" w:eastAsia="宋体" w:cs="Arial"/>
      <w:kern w:val="0"/>
      <w:sz w:val="21"/>
      <w:szCs w:val="21"/>
    </w:rPr>
  </w:style>
  <w:style w:type="paragraph" w:customStyle="1" w:styleId="446">
    <w:name w:val="!glossary_alt+g"/>
    <w:basedOn w:val="1"/>
    <w:qFormat/>
    <w:uiPriority w:val="0"/>
    <w:pPr>
      <w:widowControl/>
      <w:spacing w:after="100" w:afterAutospacing="1" w:line="288" w:lineRule="auto"/>
      <w:ind w:left="903" w:leftChars="100" w:hanging="693" w:hangingChars="300"/>
      <w:jc w:val="left"/>
    </w:pPr>
    <w:rPr>
      <w:rFonts w:ascii="Times New Roman" w:hAnsi="Times New Roman"/>
      <w:spacing w:val="-5"/>
      <w:kern w:val="0"/>
      <w:lang w:bidi="he-IL"/>
    </w:rPr>
  </w:style>
  <w:style w:type="paragraph" w:customStyle="1" w:styleId="447">
    <w:name w:val="!cellc_alt+."/>
    <w:basedOn w:val="1"/>
    <w:qFormat/>
    <w:uiPriority w:val="0"/>
    <w:pPr>
      <w:widowControl/>
      <w:spacing w:line="240" w:lineRule="auto"/>
      <w:ind w:firstLine="0" w:firstLineChars="0"/>
      <w:jc w:val="center"/>
    </w:pPr>
    <w:rPr>
      <w:rFonts w:ascii="Times New Roman" w:hAnsi="Times New Roman"/>
      <w:kern w:val="0"/>
    </w:rPr>
  </w:style>
  <w:style w:type="paragraph" w:customStyle="1" w:styleId="448">
    <w:name w:val="!celll_alt+["/>
    <w:basedOn w:val="447"/>
    <w:qFormat/>
    <w:uiPriority w:val="0"/>
    <w:pPr>
      <w:jc w:val="left"/>
    </w:pPr>
  </w:style>
  <w:style w:type="paragraph" w:customStyle="1" w:styleId="449">
    <w:name w:val="!cellr"/>
    <w:basedOn w:val="447"/>
    <w:qFormat/>
    <w:uiPriority w:val="0"/>
    <w:pPr>
      <w:jc w:val="right"/>
    </w:pPr>
  </w:style>
  <w:style w:type="paragraph" w:customStyle="1" w:styleId="450">
    <w:name w:val="!reference"/>
    <w:basedOn w:val="1"/>
    <w:qFormat/>
    <w:uiPriority w:val="0"/>
    <w:pPr>
      <w:widowControl/>
      <w:numPr>
        <w:ilvl w:val="0"/>
        <w:numId w:val="29"/>
      </w:numPr>
      <w:tabs>
        <w:tab w:val="left" w:pos="360"/>
        <w:tab w:val="clear" w:pos="200"/>
      </w:tabs>
      <w:spacing w:after="100" w:afterAutospacing="1" w:line="240" w:lineRule="auto"/>
      <w:ind w:left="360" w:hanging="360" w:hangingChars="150"/>
      <w:jc w:val="left"/>
    </w:pPr>
    <w:rPr>
      <w:rFonts w:ascii="Times New Roman" w:hAnsi="Times New Roman"/>
      <w:kern w:val="0"/>
    </w:rPr>
  </w:style>
  <w:style w:type="paragraph" w:customStyle="1" w:styleId="451">
    <w:name w:val="!ucheader"/>
    <w:basedOn w:val="1"/>
    <w:qFormat/>
    <w:uiPriority w:val="0"/>
    <w:pPr>
      <w:widowControl/>
      <w:spacing w:afterLines="50" w:line="288" w:lineRule="auto"/>
      <w:ind w:firstLine="0" w:firstLineChars="0"/>
      <w:jc w:val="distribute"/>
    </w:pPr>
    <w:rPr>
      <w:rFonts w:ascii="Times New Roman" w:hAnsi="Times New Roman" w:eastAsia="仿宋_GB2312" w:cs="宋体"/>
      <w:b/>
      <w:kern w:val="0"/>
      <w:lang w:val="fr-FR"/>
    </w:rPr>
  </w:style>
  <w:style w:type="paragraph" w:customStyle="1" w:styleId="452">
    <w:name w:val="数字编号列项（二级）"/>
    <w:qFormat/>
    <w:uiPriority w:val="0"/>
    <w:pPr>
      <w:numPr>
        <w:ilvl w:val="1"/>
        <w:numId w:val="30"/>
      </w:numPr>
      <w:jc w:val="both"/>
    </w:pPr>
    <w:rPr>
      <w:rFonts w:ascii="宋体" w:hAnsi="Times New Roman" w:eastAsia="宋体" w:cs="Times New Roman"/>
      <w:sz w:val="21"/>
      <w:lang w:val="en-US" w:eastAsia="zh-CN" w:bidi="ar-SA"/>
    </w:rPr>
  </w:style>
  <w:style w:type="paragraph" w:customStyle="1" w:styleId="453">
    <w:name w:val="字母编号列项（一级）"/>
    <w:qFormat/>
    <w:uiPriority w:val="0"/>
    <w:pPr>
      <w:numPr>
        <w:ilvl w:val="0"/>
        <w:numId w:val="30"/>
      </w:numPr>
      <w:jc w:val="both"/>
    </w:pPr>
    <w:rPr>
      <w:rFonts w:ascii="宋体" w:hAnsi="Times New Roman" w:eastAsia="宋体" w:cs="Times New Roman"/>
      <w:sz w:val="21"/>
      <w:lang w:val="en-US" w:eastAsia="zh-CN" w:bidi="ar-SA"/>
    </w:rPr>
  </w:style>
  <w:style w:type="paragraph" w:customStyle="1" w:styleId="454">
    <w:name w:val="编号列项（三级）"/>
    <w:qFormat/>
    <w:uiPriority w:val="0"/>
    <w:pPr>
      <w:numPr>
        <w:ilvl w:val="2"/>
        <w:numId w:val="30"/>
      </w:numPr>
    </w:pPr>
    <w:rPr>
      <w:rFonts w:ascii="宋体" w:hAnsi="Times New Roman" w:eastAsia="宋体" w:cs="Times New Roman"/>
      <w:sz w:val="21"/>
      <w:lang w:val="en-US" w:eastAsia="zh-CN" w:bidi="ar-SA"/>
    </w:rPr>
  </w:style>
  <w:style w:type="paragraph" w:customStyle="1" w:styleId="455">
    <w:name w:val="reader-word-layer"/>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456">
    <w:name w:val="标题四"/>
    <w:basedOn w:val="5"/>
    <w:link w:val="457"/>
    <w:qFormat/>
    <w:uiPriority w:val="0"/>
    <w:pPr>
      <w:keepNext w:val="0"/>
      <w:widowControl/>
      <w:numPr>
        <w:ilvl w:val="0"/>
        <w:numId w:val="0"/>
      </w:numPr>
      <w:tabs>
        <w:tab w:val="left" w:pos="1260"/>
      </w:tabs>
      <w:spacing w:before="240" w:beforeLines="100" w:after="240" w:afterLines="100"/>
      <w:ind w:right="100" w:rightChars="100"/>
      <w:jc w:val="left"/>
    </w:pPr>
    <w:rPr>
      <w:bCs w:val="0"/>
      <w:kern w:val="0"/>
      <w:sz w:val="28"/>
      <w:szCs w:val="21"/>
    </w:rPr>
  </w:style>
  <w:style w:type="character" w:customStyle="1" w:styleId="457">
    <w:name w:val="标题四 Char"/>
    <w:link w:val="456"/>
    <w:qFormat/>
    <w:uiPriority w:val="0"/>
    <w:rPr>
      <w:rFonts w:ascii="宋体" w:hAnsi="宋体"/>
      <w:b/>
      <w:sz w:val="28"/>
      <w:szCs w:val="21"/>
    </w:rPr>
  </w:style>
  <w:style w:type="paragraph" w:customStyle="1" w:styleId="458">
    <w:name w:val="条目样式"/>
    <w:basedOn w:val="1"/>
    <w:qFormat/>
    <w:uiPriority w:val="0"/>
    <w:pPr>
      <w:widowControl/>
      <w:numPr>
        <w:ilvl w:val="0"/>
        <w:numId w:val="31"/>
      </w:numPr>
      <w:ind w:firstLine="0" w:firstLineChars="0"/>
      <w:jc w:val="left"/>
    </w:pPr>
    <w:rPr>
      <w:rFonts w:ascii="Times New Roman" w:hAnsi="Times New Roman"/>
      <w:kern w:val="0"/>
      <w:szCs w:val="20"/>
    </w:rPr>
  </w:style>
  <w:style w:type="paragraph" w:customStyle="1" w:styleId="459">
    <w:name w:val="一级目录"/>
    <w:basedOn w:val="2"/>
    <w:qFormat/>
    <w:uiPriority w:val="0"/>
    <w:pPr>
      <w:widowControl/>
      <w:numPr>
        <w:numId w:val="0"/>
      </w:numPr>
      <w:tabs>
        <w:tab w:val="left" w:pos="432"/>
      </w:tabs>
      <w:snapToGrid w:val="0"/>
      <w:spacing w:before="0" w:after="0"/>
      <w:ind w:left="425" w:hanging="425"/>
    </w:pPr>
    <w:rPr>
      <w:rFonts w:eastAsia="宋体"/>
      <w:sz w:val="36"/>
      <w:szCs w:val="36"/>
    </w:rPr>
  </w:style>
  <w:style w:type="paragraph" w:customStyle="1" w:styleId="460">
    <w:name w:val="样式 段后: 6 磅 行距: 1.5 倍行距1"/>
    <w:basedOn w:val="1"/>
    <w:qFormat/>
    <w:uiPriority w:val="0"/>
    <w:pPr>
      <w:widowControl/>
      <w:spacing w:before="100" w:beforeAutospacing="1" w:after="100" w:afterAutospacing="1"/>
      <w:ind w:firstLine="0" w:firstLineChars="0"/>
      <w:jc w:val="left"/>
    </w:pPr>
    <w:rPr>
      <w:rFonts w:ascii="Times New Roman" w:hAnsi="Times New Roman"/>
      <w:kern w:val="0"/>
    </w:rPr>
  </w:style>
  <w:style w:type="paragraph" w:customStyle="1" w:styleId="461">
    <w:name w:val="样式0110-04"/>
    <w:basedOn w:val="5"/>
    <w:qFormat/>
    <w:uiPriority w:val="0"/>
    <w:pPr>
      <w:keepNext w:val="0"/>
      <w:widowControl/>
      <w:numPr>
        <w:ilvl w:val="0"/>
        <w:numId w:val="0"/>
      </w:numPr>
      <w:tabs>
        <w:tab w:val="left" w:pos="1260"/>
      </w:tabs>
      <w:spacing w:before="240" w:beforeLines="100" w:after="240" w:afterLines="100" w:line="240" w:lineRule="auto"/>
      <w:ind w:left="1573" w:right="100" w:rightChars="100" w:hanging="851"/>
      <w:jc w:val="left"/>
    </w:pPr>
    <w:rPr>
      <w:rFonts w:ascii="黑体"/>
      <w:bCs w:val="0"/>
      <w:kern w:val="0"/>
      <w:sz w:val="28"/>
      <w:szCs w:val="20"/>
    </w:rPr>
  </w:style>
  <w:style w:type="paragraph" w:customStyle="1" w:styleId="462">
    <w:name w:val="样式0110-03"/>
    <w:basedOn w:val="4"/>
    <w:qFormat/>
    <w:uiPriority w:val="0"/>
    <w:pPr>
      <w:widowControl/>
      <w:numPr>
        <w:ilvl w:val="0"/>
        <w:numId w:val="0"/>
      </w:numPr>
      <w:spacing w:before="260" w:beforeLines="100" w:after="260" w:line="413" w:lineRule="auto"/>
      <w:ind w:left="862" w:right="34" w:hanging="709"/>
      <w:jc w:val="left"/>
    </w:pPr>
    <w:rPr>
      <w:rFonts w:ascii="Arial" w:hAnsi="Arial"/>
      <w:bCs w:val="0"/>
      <w:kern w:val="0"/>
      <w:sz w:val="30"/>
      <w:szCs w:val="20"/>
    </w:rPr>
  </w:style>
  <w:style w:type="paragraph" w:customStyle="1" w:styleId="463">
    <w:name w:val="正文对中"/>
    <w:basedOn w:val="1"/>
    <w:qFormat/>
    <w:uiPriority w:val="0"/>
    <w:pPr>
      <w:widowControl/>
      <w:adjustRightInd w:val="0"/>
      <w:spacing w:line="400" w:lineRule="atLeast"/>
      <w:ind w:firstLine="0" w:firstLineChars="0"/>
      <w:jc w:val="center"/>
      <w:textAlignment w:val="baseline"/>
    </w:pPr>
    <w:rPr>
      <w:rFonts w:hAnsi="Times New Roman"/>
      <w:kern w:val="0"/>
      <w:szCs w:val="20"/>
    </w:rPr>
  </w:style>
  <w:style w:type="paragraph" w:customStyle="1" w:styleId="464">
    <w:name w:val="段落"/>
    <w:qFormat/>
    <w:uiPriority w:val="0"/>
    <w:pPr>
      <w:ind w:firstLine="480"/>
    </w:pPr>
    <w:rPr>
      <w:rFonts w:ascii="宋体" w:hAnsi="宋体" w:eastAsia="宋体" w:cs="Times New Roman"/>
      <w:lang w:val="en-US" w:eastAsia="zh-CN" w:bidi="ar-SA"/>
    </w:rPr>
  </w:style>
  <w:style w:type="paragraph" w:customStyle="1" w:styleId="465">
    <w:name w:val="列出段落3"/>
    <w:basedOn w:val="1"/>
    <w:qFormat/>
    <w:uiPriority w:val="34"/>
    <w:pPr>
      <w:widowControl/>
      <w:spacing w:line="240" w:lineRule="auto"/>
      <w:ind w:firstLine="420"/>
      <w:jc w:val="left"/>
    </w:pPr>
    <w:rPr>
      <w:rFonts w:ascii="Times New Roman" w:hAnsi="Times New Roman"/>
      <w:kern w:val="0"/>
      <w:szCs w:val="20"/>
    </w:rPr>
  </w:style>
  <w:style w:type="character" w:customStyle="1" w:styleId="466">
    <w:name w:val="title-text"/>
    <w:basedOn w:val="63"/>
    <w:qFormat/>
    <w:uiPriority w:val="0"/>
  </w:style>
  <w:style w:type="paragraph" w:customStyle="1" w:styleId="467">
    <w:name w:val="标题二"/>
    <w:basedOn w:val="3"/>
    <w:link w:val="468"/>
    <w:qFormat/>
    <w:uiPriority w:val="0"/>
    <w:pPr>
      <w:widowControl/>
      <w:numPr>
        <w:ilvl w:val="0"/>
        <w:numId w:val="0"/>
      </w:numPr>
      <w:spacing w:before="260" w:beforeLines="100" w:after="260"/>
      <w:jc w:val="left"/>
    </w:pPr>
    <w:rPr>
      <w:bCs w:val="0"/>
      <w:kern w:val="0"/>
      <w:sz w:val="32"/>
      <w:szCs w:val="21"/>
    </w:rPr>
  </w:style>
  <w:style w:type="character" w:customStyle="1" w:styleId="468">
    <w:name w:val="标题二 Char"/>
    <w:link w:val="467"/>
    <w:qFormat/>
    <w:uiPriority w:val="0"/>
    <w:rPr>
      <w:rFonts w:ascii="宋体" w:hAnsi="宋体"/>
      <w:b/>
      <w:sz w:val="32"/>
      <w:szCs w:val="21"/>
    </w:rPr>
  </w:style>
  <w:style w:type="character" w:customStyle="1" w:styleId="469">
    <w:name w:val="标题三 Char"/>
    <w:qFormat/>
    <w:uiPriority w:val="0"/>
    <w:rPr>
      <w:rFonts w:ascii="宋体" w:hAnsi="宋体" w:cs="Arial"/>
      <w:b/>
      <w:color w:val="000000"/>
      <w:sz w:val="30"/>
      <w:szCs w:val="21"/>
    </w:rPr>
  </w:style>
  <w:style w:type="paragraph" w:customStyle="1" w:styleId="470">
    <w:name w:val="标题一"/>
    <w:basedOn w:val="2"/>
    <w:qFormat/>
    <w:uiPriority w:val="0"/>
    <w:pPr>
      <w:widowControl/>
      <w:numPr>
        <w:numId w:val="0"/>
      </w:numPr>
      <w:spacing w:before="340" w:beforeLines="100" w:after="330"/>
    </w:pPr>
    <w:rPr>
      <w:bCs w:val="0"/>
      <w:sz w:val="44"/>
      <w:szCs w:val="21"/>
    </w:rPr>
  </w:style>
  <w:style w:type="paragraph" w:customStyle="1" w:styleId="471">
    <w:name w:val="正文+20磅"/>
    <w:basedOn w:val="1"/>
    <w:qFormat/>
    <w:uiPriority w:val="0"/>
    <w:pPr>
      <w:widowControl/>
      <w:spacing w:before="120" w:after="120" w:line="400" w:lineRule="exact"/>
      <w:jc w:val="left"/>
    </w:pPr>
    <w:rPr>
      <w:rFonts w:ascii="Times New Roman" w:hAnsi="Times New Roman"/>
      <w:kern w:val="0"/>
    </w:rPr>
  </w:style>
  <w:style w:type="paragraph" w:customStyle="1" w:styleId="472">
    <w:name w:val="五级目录"/>
    <w:basedOn w:val="221"/>
    <w:next w:val="1"/>
    <w:link w:val="473"/>
    <w:qFormat/>
    <w:uiPriority w:val="0"/>
    <w:pPr>
      <w:adjustRightInd w:val="0"/>
      <w:snapToGrid w:val="0"/>
      <w:spacing w:beforeLines="50" w:afterLines="50"/>
      <w:ind w:firstLine="0" w:firstLineChars="0"/>
      <w:jc w:val="both"/>
      <w:outlineLvl w:val="4"/>
    </w:pPr>
    <w:rPr>
      <w:rFonts w:ascii="Arial" w:hAnsi="Arial" w:eastAsia="宋体"/>
      <w:b/>
      <w:kern w:val="2"/>
      <w:sz w:val="24"/>
    </w:rPr>
  </w:style>
  <w:style w:type="character" w:customStyle="1" w:styleId="473">
    <w:name w:val="五级目录 Char"/>
    <w:link w:val="472"/>
    <w:qFormat/>
    <w:uiPriority w:val="0"/>
    <w:rPr>
      <w:rFonts w:ascii="Arial" w:hAnsi="Arial"/>
      <w:b/>
      <w:kern w:val="2"/>
      <w:sz w:val="24"/>
      <w:szCs w:val="28"/>
    </w:rPr>
  </w:style>
  <w:style w:type="paragraph" w:customStyle="1" w:styleId="474">
    <w:name w:val="MM Topic 4"/>
    <w:basedOn w:val="5"/>
    <w:link w:val="475"/>
    <w:qFormat/>
    <w:uiPriority w:val="0"/>
    <w:pPr>
      <w:widowControl/>
      <w:numPr>
        <w:numId w:val="0"/>
      </w:numPr>
      <w:tabs>
        <w:tab w:val="left" w:pos="864"/>
      </w:tabs>
      <w:spacing w:before="240" w:beforeLines="50" w:after="240" w:afterLines="50"/>
      <w:ind w:right="100" w:rightChars="100"/>
      <w:jc w:val="left"/>
    </w:pPr>
    <w:rPr>
      <w:rFonts w:ascii="Arial" w:hAnsi="Arial" w:eastAsiaTheme="minorEastAsia"/>
      <w:kern w:val="0"/>
      <w:sz w:val="28"/>
      <w:szCs w:val="28"/>
    </w:rPr>
  </w:style>
  <w:style w:type="character" w:customStyle="1" w:styleId="475">
    <w:name w:val="MM Topic 4 Char"/>
    <w:link w:val="474"/>
    <w:qFormat/>
    <w:uiPriority w:val="0"/>
    <w:rPr>
      <w:rFonts w:ascii="Arial" w:hAnsi="Arial" w:eastAsiaTheme="minorEastAsia"/>
      <w:b/>
      <w:bCs/>
      <w:sz w:val="28"/>
      <w:szCs w:val="28"/>
    </w:rPr>
  </w:style>
  <w:style w:type="paragraph" w:customStyle="1" w:styleId="476">
    <w:name w:val="正文小4"/>
    <w:basedOn w:val="1"/>
    <w:link w:val="477"/>
    <w:qFormat/>
    <w:uiPriority w:val="0"/>
    <w:pPr>
      <w:widowControl/>
      <w:ind w:firstLine="485" w:firstLineChars="0"/>
      <w:jc w:val="left"/>
    </w:pPr>
    <w:rPr>
      <w:rFonts w:asciiTheme="minorEastAsia" w:hAnsiTheme="minorEastAsia"/>
      <w:kern w:val="0"/>
    </w:rPr>
  </w:style>
  <w:style w:type="character" w:customStyle="1" w:styleId="477">
    <w:name w:val="正文小4 Char"/>
    <w:basedOn w:val="63"/>
    <w:link w:val="476"/>
    <w:qFormat/>
    <w:uiPriority w:val="0"/>
    <w:rPr>
      <w:rFonts w:asciiTheme="minorEastAsia" w:hAnsiTheme="minorEastAsia"/>
      <w:sz w:val="24"/>
      <w:szCs w:val="24"/>
    </w:rPr>
  </w:style>
  <w:style w:type="paragraph" w:customStyle="1" w:styleId="478">
    <w:name w:val="小标题1"/>
    <w:basedOn w:val="391"/>
    <w:link w:val="479"/>
    <w:qFormat/>
    <w:uiPriority w:val="0"/>
    <w:pPr>
      <w:numPr>
        <w:ilvl w:val="0"/>
        <w:numId w:val="32"/>
      </w:numPr>
      <w:jc w:val="left"/>
    </w:pPr>
  </w:style>
  <w:style w:type="character" w:customStyle="1" w:styleId="479">
    <w:name w:val="小标题1 Char"/>
    <w:basedOn w:val="392"/>
    <w:link w:val="478"/>
    <w:qFormat/>
    <w:uiPriority w:val="0"/>
    <w:rPr>
      <w:rFonts w:asciiTheme="minorEastAsia" w:hAnsiTheme="minorEastAsia"/>
      <w:color w:val="000000"/>
      <w:sz w:val="24"/>
      <w:szCs w:val="24"/>
      <w:lang w:val="zh-CN"/>
    </w:rPr>
  </w:style>
  <w:style w:type="paragraph" w:customStyle="1" w:styleId="480">
    <w:name w:val="小标题2"/>
    <w:basedOn w:val="391"/>
    <w:link w:val="481"/>
    <w:qFormat/>
    <w:uiPriority w:val="0"/>
    <w:pPr>
      <w:numPr>
        <w:ilvl w:val="0"/>
        <w:numId w:val="33"/>
      </w:numPr>
      <w:ind w:left="709" w:firstLine="0"/>
      <w:jc w:val="left"/>
    </w:pPr>
    <w:rPr>
      <w:b w:val="0"/>
    </w:rPr>
  </w:style>
  <w:style w:type="character" w:customStyle="1" w:styleId="481">
    <w:name w:val="小标题2 Char"/>
    <w:basedOn w:val="392"/>
    <w:link w:val="480"/>
    <w:qFormat/>
    <w:uiPriority w:val="0"/>
    <w:rPr>
      <w:rFonts w:asciiTheme="minorEastAsia" w:hAnsiTheme="minorEastAsia"/>
      <w:b w:val="0"/>
      <w:color w:val="000000"/>
      <w:sz w:val="24"/>
      <w:szCs w:val="24"/>
      <w:lang w:val="zh-CN"/>
    </w:rPr>
  </w:style>
  <w:style w:type="paragraph" w:customStyle="1" w:styleId="482">
    <w:name w:val="table正文"/>
    <w:basedOn w:val="1"/>
    <w:link w:val="483"/>
    <w:qFormat/>
    <w:uiPriority w:val="0"/>
    <w:pPr>
      <w:widowControl/>
      <w:spacing w:line="240" w:lineRule="auto"/>
      <w:ind w:firstLine="0" w:firstLineChars="0"/>
      <w:jc w:val="left"/>
    </w:pPr>
    <w:rPr>
      <w:rFonts w:asciiTheme="minorEastAsia" w:hAnsiTheme="minorEastAsia"/>
      <w:kern w:val="0"/>
    </w:rPr>
  </w:style>
  <w:style w:type="character" w:customStyle="1" w:styleId="483">
    <w:name w:val="table正文 Char"/>
    <w:basedOn w:val="63"/>
    <w:link w:val="482"/>
    <w:qFormat/>
    <w:uiPriority w:val="0"/>
    <w:rPr>
      <w:rFonts w:asciiTheme="minorEastAsia" w:hAnsiTheme="minorEastAsia"/>
      <w:sz w:val="24"/>
      <w:szCs w:val="24"/>
    </w:rPr>
  </w:style>
  <w:style w:type="paragraph" w:customStyle="1" w:styleId="484">
    <w:name w:val="_正文段落"/>
    <w:basedOn w:val="1"/>
    <w:qFormat/>
    <w:uiPriority w:val="0"/>
    <w:pPr>
      <w:widowControl/>
      <w:spacing w:beforeLines="15" w:afterLines="15"/>
      <w:jc w:val="left"/>
    </w:pPr>
    <w:rPr>
      <w:kern w:val="0"/>
    </w:rPr>
  </w:style>
  <w:style w:type="paragraph" w:customStyle="1" w:styleId="485">
    <w:name w:val="正文3"/>
    <w:basedOn w:val="1"/>
    <w:qFormat/>
    <w:uiPriority w:val="0"/>
    <w:pPr>
      <w:widowControl/>
      <w:spacing w:before="60" w:after="60"/>
      <w:ind w:firstLine="0" w:firstLineChars="0"/>
      <w:jc w:val="left"/>
      <w:outlineLvl w:val="8"/>
    </w:pPr>
    <w:rPr>
      <w:rFonts w:ascii="Times New Roman" w:hAnsi="Times New Roman"/>
      <w:kern w:val="0"/>
      <w:szCs w:val="21"/>
    </w:rPr>
  </w:style>
  <w:style w:type="paragraph" w:customStyle="1" w:styleId="486">
    <w:name w:val="正文4"/>
    <w:basedOn w:val="1"/>
    <w:qFormat/>
    <w:uiPriority w:val="0"/>
    <w:pPr>
      <w:widowControl/>
      <w:numPr>
        <w:ilvl w:val="0"/>
        <w:numId w:val="34"/>
      </w:numPr>
      <w:spacing w:before="60" w:after="60"/>
      <w:ind w:left="820" w:leftChars="400" w:firstLine="0" w:firstLineChars="0"/>
      <w:jc w:val="left"/>
    </w:pPr>
    <w:rPr>
      <w:rFonts w:ascii="Times New Roman" w:hAnsi="Times New Roman"/>
      <w:kern w:val="0"/>
    </w:rPr>
  </w:style>
  <w:style w:type="character" w:customStyle="1" w:styleId="487">
    <w:name w:val="QB正文 Char"/>
    <w:link w:val="488"/>
    <w:qFormat/>
    <w:uiPriority w:val="0"/>
    <w:rPr>
      <w:rFonts w:ascii="宋体"/>
    </w:rPr>
  </w:style>
  <w:style w:type="paragraph" w:customStyle="1" w:styleId="488">
    <w:name w:val="QB正文"/>
    <w:basedOn w:val="1"/>
    <w:link w:val="487"/>
    <w:qFormat/>
    <w:uiPriority w:val="0"/>
    <w:pPr>
      <w:widowControl/>
      <w:autoSpaceDE w:val="0"/>
      <w:autoSpaceDN w:val="0"/>
      <w:spacing w:line="240" w:lineRule="auto"/>
      <w:ind w:firstLine="200"/>
      <w:jc w:val="left"/>
    </w:pPr>
    <w:rPr>
      <w:rFonts w:hAnsi="Times New Roman"/>
      <w:kern w:val="0"/>
      <w:sz w:val="20"/>
      <w:szCs w:val="20"/>
    </w:rPr>
  </w:style>
  <w:style w:type="paragraph" w:customStyle="1" w:styleId="489">
    <w:name w:val="正文5号"/>
    <w:basedOn w:val="1"/>
    <w:link w:val="490"/>
    <w:qFormat/>
    <w:uiPriority w:val="0"/>
    <w:pPr>
      <w:widowControl/>
      <w:spacing w:line="240" w:lineRule="auto"/>
      <w:ind w:firstLine="424" w:firstLineChars="202"/>
      <w:jc w:val="left"/>
    </w:pPr>
    <w:rPr>
      <w:rFonts w:asciiTheme="minorEastAsia" w:hAnsiTheme="minorEastAsia"/>
      <w:kern w:val="0"/>
    </w:rPr>
  </w:style>
  <w:style w:type="character" w:customStyle="1" w:styleId="490">
    <w:name w:val="正文5号 Char"/>
    <w:basedOn w:val="63"/>
    <w:link w:val="489"/>
    <w:qFormat/>
    <w:uiPriority w:val="0"/>
    <w:rPr>
      <w:rFonts w:asciiTheme="minorEastAsia" w:hAnsiTheme="minorEastAsia"/>
      <w:sz w:val="24"/>
      <w:szCs w:val="24"/>
    </w:rPr>
  </w:style>
  <w:style w:type="paragraph" w:customStyle="1" w:styleId="491">
    <w:name w:val="小标题 1"/>
    <w:basedOn w:val="1"/>
    <w:link w:val="492"/>
    <w:qFormat/>
    <w:uiPriority w:val="0"/>
    <w:pPr>
      <w:widowControl/>
      <w:numPr>
        <w:ilvl w:val="0"/>
        <w:numId w:val="35"/>
      </w:numPr>
      <w:spacing w:line="240" w:lineRule="auto"/>
      <w:ind w:firstLine="0" w:firstLineChars="0"/>
      <w:jc w:val="left"/>
    </w:pPr>
    <w:rPr>
      <w:color w:val="000000"/>
      <w:kern w:val="0"/>
      <w:lang w:val="zh-CN"/>
    </w:rPr>
  </w:style>
  <w:style w:type="character" w:customStyle="1" w:styleId="492">
    <w:name w:val="小标题 1 Char"/>
    <w:basedOn w:val="392"/>
    <w:link w:val="491"/>
    <w:qFormat/>
    <w:uiPriority w:val="0"/>
    <w:rPr>
      <w:rFonts w:ascii="宋体" w:hAnsi="宋体"/>
      <w:b w:val="0"/>
      <w:color w:val="000000"/>
      <w:sz w:val="24"/>
      <w:szCs w:val="24"/>
      <w:lang w:val="zh-CN"/>
    </w:rPr>
  </w:style>
  <w:style w:type="paragraph" w:customStyle="1" w:styleId="493">
    <w:name w:val="正文 表格"/>
    <w:basedOn w:val="489"/>
    <w:link w:val="494"/>
    <w:qFormat/>
    <w:uiPriority w:val="0"/>
    <w:pPr>
      <w:ind w:left="-2" w:leftChars="-1" w:firstLine="0" w:firstLineChars="0"/>
    </w:pPr>
  </w:style>
  <w:style w:type="character" w:customStyle="1" w:styleId="494">
    <w:name w:val="正文 表格 Char"/>
    <w:basedOn w:val="490"/>
    <w:link w:val="493"/>
    <w:qFormat/>
    <w:uiPriority w:val="0"/>
    <w:rPr>
      <w:rFonts w:asciiTheme="minorEastAsia" w:hAnsiTheme="minorEastAsia"/>
      <w:sz w:val="24"/>
      <w:szCs w:val="24"/>
    </w:rPr>
  </w:style>
  <w:style w:type="paragraph" w:customStyle="1" w:styleId="495">
    <w:name w:val="小标题 2"/>
    <w:basedOn w:val="491"/>
    <w:link w:val="496"/>
    <w:qFormat/>
    <w:uiPriority w:val="0"/>
    <w:pPr>
      <w:numPr>
        <w:numId w:val="36"/>
      </w:numPr>
      <w:ind w:firstLine="6"/>
    </w:pPr>
  </w:style>
  <w:style w:type="character" w:customStyle="1" w:styleId="496">
    <w:name w:val="小标题 2 Char"/>
    <w:basedOn w:val="492"/>
    <w:link w:val="495"/>
    <w:qFormat/>
    <w:uiPriority w:val="0"/>
    <w:rPr>
      <w:rFonts w:ascii="宋体" w:hAnsi="宋体"/>
      <w:color w:val="000000"/>
      <w:sz w:val="24"/>
      <w:szCs w:val="24"/>
      <w:lang w:val="zh-CN"/>
    </w:rPr>
  </w:style>
  <w:style w:type="paragraph" w:customStyle="1" w:styleId="497">
    <w:name w:val="[正文]"/>
    <w:basedOn w:val="1"/>
    <w:link w:val="498"/>
    <w:qFormat/>
    <w:uiPriority w:val="0"/>
    <w:pPr>
      <w:widowControl/>
      <w:jc w:val="left"/>
    </w:pPr>
    <w:rPr>
      <w:rFonts w:ascii="Times New Roman" w:hAnsi="Times New Roman" w:cs="宋体"/>
      <w:kern w:val="0"/>
      <w:szCs w:val="20"/>
    </w:rPr>
  </w:style>
  <w:style w:type="character" w:customStyle="1" w:styleId="498">
    <w:name w:val="[正文] Char"/>
    <w:basedOn w:val="63"/>
    <w:link w:val="497"/>
    <w:qFormat/>
    <w:uiPriority w:val="0"/>
    <w:rPr>
      <w:rFonts w:cs="宋体"/>
      <w:sz w:val="24"/>
    </w:rPr>
  </w:style>
  <w:style w:type="paragraph" w:customStyle="1" w:styleId="499">
    <w:name w:val="●副标题1"/>
    <w:next w:val="1"/>
    <w:link w:val="500"/>
    <w:qFormat/>
    <w:uiPriority w:val="0"/>
    <w:pPr>
      <w:numPr>
        <w:ilvl w:val="0"/>
        <w:numId w:val="37"/>
      </w:numPr>
      <w:spacing w:line="360" w:lineRule="auto"/>
    </w:pPr>
    <w:rPr>
      <w:rFonts w:ascii="宋体" w:hAnsi="宋体" w:eastAsia="宋体" w:cstheme="minorBidi"/>
      <w:kern w:val="2"/>
      <w:sz w:val="24"/>
      <w:szCs w:val="24"/>
      <w:lang w:val="en-US" w:eastAsia="zh-CN" w:bidi="ar-SA"/>
    </w:rPr>
  </w:style>
  <w:style w:type="character" w:customStyle="1" w:styleId="500">
    <w:name w:val="●副标题1 Char"/>
    <w:basedOn w:val="63"/>
    <w:link w:val="499"/>
    <w:qFormat/>
    <w:uiPriority w:val="0"/>
    <w:rPr>
      <w:rFonts w:ascii="宋体" w:hAnsi="宋体" w:cstheme="minorBidi"/>
      <w:kern w:val="2"/>
      <w:sz w:val="24"/>
      <w:szCs w:val="24"/>
    </w:rPr>
  </w:style>
  <w:style w:type="paragraph" w:customStyle="1" w:styleId="501">
    <w:name w:val="样式 标题 3第二层条Level 3 HeadH3h3l3CTHeading 3 - oldFab-3Aria...1"/>
    <w:basedOn w:val="4"/>
    <w:qFormat/>
    <w:uiPriority w:val="0"/>
    <w:pPr>
      <w:widowControl/>
      <w:numPr>
        <w:numId w:val="37"/>
      </w:numPr>
      <w:tabs>
        <w:tab w:val="left" w:pos="578"/>
      </w:tabs>
      <w:spacing w:before="0" w:after="260"/>
      <w:ind w:left="578" w:hanging="578"/>
      <w:jc w:val="left"/>
    </w:pPr>
    <w:rPr>
      <w:rFonts w:ascii="Arial" w:hAnsi="Arial"/>
      <w:kern w:val="0"/>
      <w:szCs w:val="32"/>
    </w:rPr>
  </w:style>
  <w:style w:type="character" w:customStyle="1" w:styleId="502">
    <w:name w:val="小标题 Char"/>
    <w:basedOn w:val="63"/>
    <w:link w:val="503"/>
    <w:qFormat/>
    <w:uiPriority w:val="0"/>
    <w:rPr>
      <w:rFonts w:ascii="Calibri" w:hAnsi="Calibri"/>
      <w:sz w:val="24"/>
      <w:szCs w:val="24"/>
    </w:rPr>
  </w:style>
  <w:style w:type="paragraph" w:customStyle="1" w:styleId="503">
    <w:name w:val="小标题"/>
    <w:basedOn w:val="91"/>
    <w:link w:val="502"/>
    <w:qFormat/>
    <w:uiPriority w:val="0"/>
    <w:pPr>
      <w:widowControl/>
      <w:numPr>
        <w:ilvl w:val="0"/>
        <w:numId w:val="38"/>
      </w:numPr>
      <w:ind w:firstLine="0" w:firstLineChars="0"/>
      <w:jc w:val="left"/>
    </w:pPr>
    <w:rPr>
      <w:rFonts w:ascii="Calibri" w:hAnsi="Calibri"/>
      <w:kern w:val="0"/>
      <w:sz w:val="24"/>
    </w:rPr>
  </w:style>
  <w:style w:type="paragraph" w:customStyle="1" w:styleId="504">
    <w:name w:val="表格文本居中 +加重"/>
    <w:basedOn w:val="1"/>
    <w:link w:val="505"/>
    <w:qFormat/>
    <w:uiPriority w:val="0"/>
    <w:pPr>
      <w:widowControl/>
      <w:spacing w:line="240" w:lineRule="auto"/>
      <w:ind w:firstLine="0" w:firstLineChars="0"/>
      <w:jc w:val="center"/>
    </w:pPr>
    <w:rPr>
      <w:rFonts w:ascii="Times New Roman" w:hAnsi="Times New Roman"/>
      <w:b/>
      <w:kern w:val="0"/>
    </w:rPr>
  </w:style>
  <w:style w:type="character" w:customStyle="1" w:styleId="505">
    <w:name w:val="表格文本居中 +加重 Char"/>
    <w:link w:val="504"/>
    <w:qFormat/>
    <w:uiPriority w:val="0"/>
    <w:rPr>
      <w:b/>
      <w:sz w:val="24"/>
      <w:szCs w:val="24"/>
    </w:rPr>
  </w:style>
  <w:style w:type="character" w:customStyle="1" w:styleId="506">
    <w:name w:val="正文首行缩进 Char1"/>
    <w:basedOn w:val="89"/>
    <w:qFormat/>
    <w:uiPriority w:val="0"/>
    <w:rPr>
      <w:rFonts w:asciiTheme="minorHAnsi" w:hAnsiTheme="minorHAnsi" w:eastAsiaTheme="minorEastAsia" w:cstheme="minorBidi"/>
      <w:kern w:val="2"/>
      <w:sz w:val="21"/>
      <w:szCs w:val="24"/>
      <w:lang w:val="zh-CN" w:eastAsia="zh-CN"/>
    </w:rPr>
  </w:style>
  <w:style w:type="paragraph" w:customStyle="1" w:styleId="507">
    <w:name w:val="[new]正文"/>
    <w:basedOn w:val="1"/>
    <w:link w:val="508"/>
    <w:qFormat/>
    <w:uiPriority w:val="0"/>
    <w:pPr>
      <w:widowControl/>
      <w:ind w:firstLine="420"/>
      <w:jc w:val="left"/>
    </w:pPr>
    <w:rPr>
      <w:rFonts w:cs="Arial"/>
      <w:kern w:val="0"/>
      <w:szCs w:val="21"/>
    </w:rPr>
  </w:style>
  <w:style w:type="character" w:customStyle="1" w:styleId="508">
    <w:name w:val="[new]正文 Char"/>
    <w:basedOn w:val="63"/>
    <w:link w:val="507"/>
    <w:qFormat/>
    <w:uiPriority w:val="0"/>
    <w:rPr>
      <w:rFonts w:ascii="宋体" w:hAnsi="宋体" w:cs="Arial"/>
      <w:sz w:val="24"/>
      <w:szCs w:val="21"/>
    </w:rPr>
  </w:style>
  <w:style w:type="paragraph" w:customStyle="1" w:styleId="509">
    <w:name w:val="[new]题图居中"/>
    <w:basedOn w:val="1"/>
    <w:next w:val="1"/>
    <w:link w:val="510"/>
    <w:qFormat/>
    <w:uiPriority w:val="0"/>
    <w:pPr>
      <w:widowControl/>
      <w:spacing w:line="240" w:lineRule="auto"/>
      <w:ind w:firstLine="0" w:firstLineChars="0"/>
      <w:jc w:val="center"/>
    </w:pPr>
    <w:rPr>
      <w:rFonts w:eastAsia="黑体"/>
      <w:b/>
      <w:kern w:val="0"/>
      <w:sz w:val="20"/>
      <w:szCs w:val="20"/>
    </w:rPr>
  </w:style>
  <w:style w:type="character" w:customStyle="1" w:styleId="510">
    <w:name w:val="[new]题图居中 Char"/>
    <w:basedOn w:val="63"/>
    <w:link w:val="509"/>
    <w:qFormat/>
    <w:uiPriority w:val="0"/>
    <w:rPr>
      <w:rFonts w:ascii="宋体" w:hAnsi="宋体" w:eastAsia="黑体"/>
      <w:b/>
    </w:rPr>
  </w:style>
  <w:style w:type="paragraph" w:customStyle="1" w:styleId="511">
    <w:name w:val="Style Outline numbered 楷体_GB2312 小四 Bold"/>
    <w:basedOn w:val="5"/>
    <w:qFormat/>
    <w:uiPriority w:val="0"/>
    <w:pPr>
      <w:widowControl/>
      <w:numPr>
        <w:ilvl w:val="0"/>
        <w:numId w:val="0"/>
      </w:numPr>
      <w:tabs>
        <w:tab w:val="left" w:pos="2356"/>
      </w:tabs>
      <w:ind w:left="1984" w:right="100" w:rightChars="100" w:hanging="708"/>
      <w:jc w:val="left"/>
    </w:pPr>
    <w:rPr>
      <w:rFonts w:ascii="楷体_GB2312" w:hAnsi="楷体_GB2312" w:eastAsia="楷体_GB2312"/>
      <w:kern w:val="0"/>
      <w:sz w:val="24"/>
      <w:szCs w:val="28"/>
    </w:rPr>
  </w:style>
  <w:style w:type="character" w:customStyle="1" w:styleId="512">
    <w:name w:val="正文（绿盟科技） Char"/>
    <w:link w:val="513"/>
    <w:qFormat/>
    <w:uiPriority w:val="0"/>
    <w:rPr>
      <w:rFonts w:ascii="Arial" w:hAnsi="Arial"/>
      <w:sz w:val="24"/>
      <w:szCs w:val="21"/>
    </w:rPr>
  </w:style>
  <w:style w:type="paragraph" w:customStyle="1" w:styleId="513">
    <w:name w:val="正文（绿盟科技）"/>
    <w:link w:val="512"/>
    <w:qFormat/>
    <w:uiPriority w:val="0"/>
    <w:pPr>
      <w:spacing w:line="300" w:lineRule="auto"/>
    </w:pPr>
    <w:rPr>
      <w:rFonts w:ascii="Arial" w:hAnsi="Arial" w:eastAsia="宋体" w:cs="Times New Roman"/>
      <w:sz w:val="24"/>
      <w:szCs w:val="21"/>
      <w:lang w:val="en-US" w:eastAsia="zh-CN" w:bidi="ar-SA"/>
    </w:rPr>
  </w:style>
  <w:style w:type="paragraph" w:customStyle="1" w:styleId="514">
    <w:name w:val="标题 3（绿盟科技）"/>
    <w:basedOn w:val="4"/>
    <w:next w:val="513"/>
    <w:qFormat/>
    <w:uiPriority w:val="0"/>
    <w:pPr>
      <w:widowControl/>
      <w:numPr>
        <w:ilvl w:val="0"/>
        <w:numId w:val="0"/>
      </w:numPr>
      <w:tabs>
        <w:tab w:val="left" w:pos="960"/>
        <w:tab w:val="left" w:pos="2160"/>
      </w:tabs>
      <w:spacing w:before="260" w:after="260" w:line="415" w:lineRule="auto"/>
      <w:ind w:left="2160" w:hanging="720"/>
      <w:jc w:val="left"/>
    </w:pPr>
    <w:rPr>
      <w:rFonts w:ascii="Arial" w:hAnsi="Arial" w:eastAsia="黑体"/>
      <w:bCs w:val="0"/>
      <w:kern w:val="0"/>
      <w:sz w:val="30"/>
      <w:szCs w:val="30"/>
    </w:rPr>
  </w:style>
  <w:style w:type="paragraph" w:customStyle="1" w:styleId="515">
    <w:name w:val="标题 4（绿盟科技）"/>
    <w:basedOn w:val="5"/>
    <w:next w:val="513"/>
    <w:qFormat/>
    <w:uiPriority w:val="0"/>
    <w:pPr>
      <w:widowControl/>
      <w:numPr>
        <w:ilvl w:val="0"/>
        <w:numId w:val="0"/>
      </w:numPr>
      <w:tabs>
        <w:tab w:val="left" w:pos="2880"/>
      </w:tabs>
      <w:spacing w:before="280" w:after="156" w:line="376" w:lineRule="auto"/>
      <w:ind w:left="2880" w:right="100" w:rightChars="100" w:hanging="720"/>
      <w:jc w:val="left"/>
    </w:pPr>
    <w:rPr>
      <w:rFonts w:ascii="Arial" w:hAnsi="Arial" w:eastAsia="黑体"/>
      <w:bCs w:val="0"/>
      <w:kern w:val="0"/>
      <w:sz w:val="28"/>
      <w:szCs w:val="28"/>
    </w:rPr>
  </w:style>
  <w:style w:type="paragraph" w:customStyle="1" w:styleId="516">
    <w:name w:val="标题 5（有编号）（绿盟科技）"/>
    <w:basedOn w:val="1"/>
    <w:next w:val="513"/>
    <w:qFormat/>
    <w:uiPriority w:val="0"/>
    <w:pPr>
      <w:keepNext/>
      <w:keepLines/>
      <w:widowControl/>
      <w:numPr>
        <w:ilvl w:val="0"/>
        <w:numId w:val="39"/>
      </w:numPr>
      <w:spacing w:before="280" w:after="156" w:line="377" w:lineRule="auto"/>
      <w:ind w:firstLine="0" w:firstLineChars="0"/>
      <w:jc w:val="left"/>
      <w:outlineLvl w:val="4"/>
    </w:pPr>
    <w:rPr>
      <w:rFonts w:ascii="Arial" w:hAnsi="Arial" w:eastAsia="黑体"/>
      <w:b/>
      <w:kern w:val="0"/>
      <w:szCs w:val="28"/>
    </w:rPr>
  </w:style>
  <w:style w:type="paragraph" w:customStyle="1" w:styleId="517">
    <w:name w:val="Paragraph"/>
    <w:qFormat/>
    <w:uiPriority w:val="99"/>
    <w:pPr>
      <w:widowControl w:val="0"/>
      <w:suppressAutoHyphens/>
      <w:autoSpaceDE w:val="0"/>
      <w:autoSpaceDN w:val="0"/>
      <w:adjustRightInd w:val="0"/>
      <w:spacing w:line="480" w:lineRule="atLeast"/>
    </w:pPr>
    <w:rPr>
      <w:rFonts w:ascii="AvenirNext-Regular" w:hAnsi="AvenirNext-Regular" w:cs="AvenirNext-Regular" w:eastAsiaTheme="minorEastAsia"/>
      <w:sz w:val="24"/>
      <w:szCs w:val="24"/>
      <w:lang w:val="en-US" w:eastAsia="zh-CN" w:bidi="ar-SA"/>
    </w:rPr>
  </w:style>
  <w:style w:type="paragraph" w:customStyle="1" w:styleId="518">
    <w:name w:val="舟式样-正文"/>
    <w:basedOn w:val="1"/>
    <w:qFormat/>
    <w:uiPriority w:val="0"/>
    <w:pPr>
      <w:widowControl/>
      <w:ind w:firstLine="560"/>
      <w:jc w:val="left"/>
    </w:pPr>
    <w:rPr>
      <w:rFonts w:ascii="仿宋_GB2312" w:hAnsi="Times New Roman" w:eastAsia="仿宋_GB2312"/>
      <w:kern w:val="0"/>
      <w:sz w:val="28"/>
      <w:szCs w:val="28"/>
    </w:rPr>
  </w:style>
  <w:style w:type="paragraph" w:customStyle="1" w:styleId="519">
    <w:name w:val="文档正文 Char"/>
    <w:basedOn w:val="1"/>
    <w:link w:val="520"/>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20">
    <w:name w:val="文档正文 Char Char"/>
    <w:basedOn w:val="63"/>
    <w:link w:val="519"/>
    <w:qFormat/>
    <w:uiPriority w:val="0"/>
    <w:rPr>
      <w:rFonts w:ascii="长城仿宋"/>
      <w:sz w:val="24"/>
    </w:rPr>
  </w:style>
  <w:style w:type="paragraph" w:customStyle="1" w:styleId="521">
    <w:name w:val="首行缩进2字符"/>
    <w:basedOn w:val="1"/>
    <w:link w:val="522"/>
    <w:qFormat/>
    <w:locked/>
    <w:uiPriority w:val="0"/>
    <w:pPr>
      <w:widowControl/>
      <w:jc w:val="left"/>
    </w:pPr>
    <w:rPr>
      <w:rFonts w:cs="宋体" w:asciiTheme="minorEastAsia" w:hAnsiTheme="minorEastAsia"/>
      <w:kern w:val="0"/>
      <w:szCs w:val="20"/>
    </w:rPr>
  </w:style>
  <w:style w:type="character" w:customStyle="1" w:styleId="522">
    <w:name w:val="首行缩进2字符 Char"/>
    <w:basedOn w:val="63"/>
    <w:link w:val="521"/>
    <w:qFormat/>
    <w:uiPriority w:val="0"/>
    <w:rPr>
      <w:rFonts w:cs="宋体" w:asciiTheme="minorEastAsia" w:hAnsiTheme="minorEastAsia"/>
      <w:sz w:val="24"/>
    </w:rPr>
  </w:style>
  <w:style w:type="paragraph" w:customStyle="1" w:styleId="523">
    <w:name w:val="单行距居中"/>
    <w:basedOn w:val="1"/>
    <w:qFormat/>
    <w:locked/>
    <w:uiPriority w:val="0"/>
    <w:pPr>
      <w:widowControl/>
      <w:spacing w:line="240" w:lineRule="auto"/>
      <w:ind w:firstLine="0" w:firstLineChars="0"/>
      <w:jc w:val="center"/>
    </w:pPr>
    <w:rPr>
      <w:rFonts w:cs="宋体"/>
      <w:snapToGrid w:val="0"/>
      <w:color w:val="000000"/>
      <w:kern w:val="0"/>
      <w:szCs w:val="20"/>
    </w:rPr>
  </w:style>
  <w:style w:type="character" w:customStyle="1" w:styleId="524">
    <w:name w:val="y7044boycrn"/>
    <w:basedOn w:val="63"/>
    <w:qFormat/>
    <w:uiPriority w:val="0"/>
  </w:style>
  <w:style w:type="character" w:customStyle="1" w:styleId="525">
    <w:name w:val="u8823vz71ed"/>
    <w:basedOn w:val="63"/>
    <w:qFormat/>
    <w:uiPriority w:val="0"/>
  </w:style>
  <w:style w:type="character" w:customStyle="1" w:styleId="526">
    <w:name w:val="yg5rjj64xkc"/>
    <w:basedOn w:val="63"/>
    <w:qFormat/>
    <w:uiPriority w:val="0"/>
  </w:style>
  <w:style w:type="character" w:customStyle="1" w:styleId="527">
    <w:name w:val="ag5d1f4cqwu"/>
    <w:basedOn w:val="63"/>
    <w:qFormat/>
    <w:uiPriority w:val="0"/>
  </w:style>
  <w:style w:type="character" w:customStyle="1" w:styleId="528">
    <w:name w:val="dwwk9epdxxc"/>
    <w:basedOn w:val="63"/>
    <w:qFormat/>
    <w:uiPriority w:val="0"/>
  </w:style>
  <w:style w:type="character" w:customStyle="1" w:styleId="529">
    <w:name w:val="fnxuls44um2"/>
    <w:basedOn w:val="63"/>
    <w:qFormat/>
    <w:uiPriority w:val="0"/>
  </w:style>
  <w:style w:type="character" w:customStyle="1" w:styleId="530">
    <w:name w:val="xhbuw7praxq"/>
    <w:basedOn w:val="63"/>
    <w:qFormat/>
    <w:uiPriority w:val="0"/>
  </w:style>
  <w:style w:type="character" w:customStyle="1" w:styleId="531">
    <w:name w:val="fs9xgk5wc0a"/>
    <w:basedOn w:val="63"/>
    <w:qFormat/>
    <w:uiPriority w:val="0"/>
  </w:style>
  <w:style w:type="character" w:customStyle="1" w:styleId="532">
    <w:name w:val="zm6olrabive"/>
    <w:basedOn w:val="63"/>
    <w:qFormat/>
    <w:uiPriority w:val="0"/>
  </w:style>
  <w:style w:type="character" w:customStyle="1" w:styleId="533">
    <w:name w:val="bntuc41i1za"/>
    <w:basedOn w:val="63"/>
    <w:qFormat/>
    <w:uiPriority w:val="0"/>
  </w:style>
  <w:style w:type="character" w:customStyle="1" w:styleId="534">
    <w:name w:val="标题 1 Char1"/>
    <w:qFormat/>
    <w:locked/>
    <w:uiPriority w:val="99"/>
    <w:rPr>
      <w:b/>
      <w:bCs/>
      <w:kern w:val="44"/>
      <w:sz w:val="44"/>
      <w:szCs w:val="44"/>
      <w:lang w:val="zh-CN" w:eastAsia="zh-CN"/>
    </w:rPr>
  </w:style>
  <w:style w:type="character" w:customStyle="1" w:styleId="535">
    <w:name w:val="标题 2 Char1"/>
    <w:qFormat/>
    <w:locked/>
    <w:uiPriority w:val="99"/>
    <w:rPr>
      <w:rFonts w:ascii="Cambria" w:hAnsi="Cambria"/>
      <w:b/>
      <w:bCs/>
      <w:kern w:val="2"/>
      <w:sz w:val="28"/>
      <w:szCs w:val="28"/>
      <w:lang w:val="zh-CN" w:eastAsia="zh-CN"/>
    </w:rPr>
  </w:style>
  <w:style w:type="character" w:customStyle="1" w:styleId="536">
    <w:name w:val="标题 3 Char1"/>
    <w:qFormat/>
    <w:locked/>
    <w:uiPriority w:val="99"/>
    <w:rPr>
      <w:b/>
      <w:bCs/>
      <w:kern w:val="2"/>
      <w:sz w:val="28"/>
      <w:szCs w:val="28"/>
      <w:lang w:val="zh-CN" w:eastAsia="zh-CN"/>
    </w:rPr>
  </w:style>
  <w:style w:type="character" w:customStyle="1" w:styleId="537">
    <w:name w:val="标题 4 Char1"/>
    <w:qFormat/>
    <w:locked/>
    <w:uiPriority w:val="99"/>
    <w:rPr>
      <w:rFonts w:ascii="Cambria" w:hAnsi="Cambria"/>
      <w:b/>
      <w:bCs/>
      <w:kern w:val="2"/>
      <w:sz w:val="28"/>
      <w:szCs w:val="28"/>
      <w:lang w:val="zh-CN" w:eastAsia="zh-CN"/>
    </w:rPr>
  </w:style>
  <w:style w:type="character" w:customStyle="1" w:styleId="538">
    <w:name w:val="标题 5 Char1"/>
    <w:qFormat/>
    <w:locked/>
    <w:uiPriority w:val="99"/>
    <w:rPr>
      <w:b/>
      <w:bCs/>
      <w:kern w:val="2"/>
      <w:sz w:val="28"/>
      <w:szCs w:val="28"/>
      <w:lang w:val="zh-CN" w:eastAsia="zh-CN"/>
    </w:rPr>
  </w:style>
  <w:style w:type="character" w:customStyle="1" w:styleId="539">
    <w:name w:val="批注文字 Char1"/>
    <w:qFormat/>
    <w:locked/>
    <w:uiPriority w:val="99"/>
    <w:rPr>
      <w:kern w:val="2"/>
      <w:sz w:val="24"/>
      <w:szCs w:val="24"/>
    </w:rPr>
  </w:style>
  <w:style w:type="paragraph" w:customStyle="1" w:styleId="540">
    <w:name w:val="Normal0"/>
    <w:qFormat/>
    <w:uiPriority w:val="99"/>
    <w:rPr>
      <w:rFonts w:ascii="Times New Roman" w:hAnsi="Times New Roman" w:eastAsia="宋体" w:cs="Times New Roman"/>
      <w:lang w:val="en-US" w:eastAsia="en-US" w:bidi="ar-SA"/>
    </w:rPr>
  </w:style>
  <w:style w:type="character" w:customStyle="1" w:styleId="541">
    <w:name w:val="normal__char1"/>
    <w:qFormat/>
    <w:uiPriority w:val="99"/>
    <w:rPr>
      <w:rFonts w:ascii="Calibri" w:hAnsi="Calibri" w:cs="Calibri"/>
      <w:sz w:val="20"/>
      <w:szCs w:val="20"/>
    </w:rPr>
  </w:style>
  <w:style w:type="paragraph" w:customStyle="1" w:styleId="542">
    <w:name w:val="CM21"/>
    <w:basedOn w:val="298"/>
    <w:next w:val="298"/>
    <w:qFormat/>
    <w:uiPriority w:val="99"/>
  </w:style>
  <w:style w:type="paragraph" w:customStyle="1" w:styleId="543">
    <w:name w:val="CM12+1"/>
    <w:basedOn w:val="298"/>
    <w:next w:val="298"/>
    <w:qFormat/>
    <w:uiPriority w:val="99"/>
  </w:style>
  <w:style w:type="character" w:customStyle="1" w:styleId="544">
    <w:name w:val="正文文本 字符1"/>
    <w:basedOn w:val="63"/>
    <w:qFormat/>
    <w:uiPriority w:val="0"/>
    <w:rPr>
      <w:rFonts w:ascii="Times New Roman" w:hAnsi="Times New Roman" w:eastAsia="仿宋_GB2312" w:cs="Times New Roman"/>
      <w:sz w:val="24"/>
      <w:szCs w:val="24"/>
      <w:lang w:val="zh-CN" w:eastAsia="zh-CN"/>
    </w:rPr>
  </w:style>
  <w:style w:type="character" w:customStyle="1" w:styleId="545">
    <w:name w:val="mini-tab-text1"/>
    <w:basedOn w:val="63"/>
    <w:qFormat/>
    <w:uiPriority w:val="0"/>
  </w:style>
  <w:style w:type="character" w:customStyle="1" w:styleId="546">
    <w:name w:val="彩色底纹 - 强调文字颜色 3字符"/>
    <w:qFormat/>
    <w:uiPriority w:val="34"/>
    <w:rPr>
      <w:rFonts w:ascii="Calibri" w:hAnsi="Calibri" w:eastAsia="宋体" w:cs="Times New Roman"/>
      <w:lang w:val="zh-CN" w:eastAsia="zh-CN"/>
    </w:rPr>
  </w:style>
  <w:style w:type="paragraph" w:customStyle="1" w:styleId="547">
    <w:name w:val="科维正文❤"/>
    <w:basedOn w:val="53"/>
    <w:qFormat/>
    <w:uiPriority w:val="0"/>
    <w:pPr>
      <w:numPr>
        <w:ilvl w:val="0"/>
        <w:numId w:val="40"/>
      </w:numPr>
      <w:tabs>
        <w:tab w:val="clear" w:pos="900"/>
      </w:tabs>
      <w:spacing w:before="0" w:beforeLines="50" w:after="0" w:afterLines="50"/>
      <w:ind w:left="0" w:firstLine="200"/>
    </w:pPr>
    <w:rPr>
      <w:rFonts w:hint="default" w:ascii="Times New Roman" w:hAnsi="Times New Roman" w:eastAsia="宋体"/>
      <w:b/>
      <w:color w:val="000000"/>
    </w:rPr>
  </w:style>
  <w:style w:type="character" w:customStyle="1" w:styleId="548">
    <w:name w:val="批注文字 Char"/>
    <w:qFormat/>
    <w:uiPriority w:val="99"/>
    <w:rPr>
      <w:rFonts w:ascii="Calibri" w:hAnsi="Calibri"/>
      <w:kern w:val="2"/>
      <w:sz w:val="21"/>
      <w:szCs w:val="22"/>
    </w:rPr>
  </w:style>
  <w:style w:type="character" w:customStyle="1" w:styleId="549">
    <w:name w:val="批注框文本 Char"/>
    <w:qFormat/>
    <w:uiPriority w:val="0"/>
    <w:rPr>
      <w:rFonts w:ascii="宋体" w:hAnsi="Arial"/>
      <w:sz w:val="18"/>
      <w:szCs w:val="18"/>
      <w:lang w:eastAsia="en-US"/>
    </w:rPr>
  </w:style>
  <w:style w:type="character" w:customStyle="1" w:styleId="550">
    <w:name w:val="标题 2 Char"/>
    <w:qFormat/>
    <w:uiPriority w:val="99"/>
    <w:rPr>
      <w:rFonts w:ascii="等线 Light" w:hAnsi="等线 Light" w:eastAsia="等线 Light"/>
      <w:b/>
      <w:bCs/>
      <w:sz w:val="32"/>
      <w:szCs w:val="32"/>
      <w:lang w:val="zh-CN" w:eastAsia="en-US"/>
    </w:rPr>
  </w:style>
  <w:style w:type="character" w:customStyle="1" w:styleId="551">
    <w:name w:val="批注主题 Char"/>
    <w:qFormat/>
    <w:uiPriority w:val="0"/>
    <w:rPr>
      <w:rFonts w:ascii="Arial" w:hAnsi="Arial"/>
      <w:b/>
      <w:bCs/>
      <w:kern w:val="2"/>
      <w:sz w:val="21"/>
      <w:szCs w:val="24"/>
      <w:lang w:eastAsia="en-US"/>
    </w:rPr>
  </w:style>
  <w:style w:type="character" w:customStyle="1" w:styleId="552">
    <w:name w:val="页眉 Char"/>
    <w:qFormat/>
    <w:uiPriority w:val="0"/>
    <w:rPr>
      <w:rFonts w:ascii="Arial" w:hAnsi="Arial"/>
      <w:sz w:val="18"/>
      <w:szCs w:val="18"/>
      <w:lang w:eastAsia="en-US"/>
    </w:rPr>
  </w:style>
  <w:style w:type="character" w:customStyle="1" w:styleId="553">
    <w:name w:val="页脚 Char"/>
    <w:qFormat/>
    <w:uiPriority w:val="0"/>
    <w:rPr>
      <w:rFonts w:ascii="Arial" w:hAnsi="Arial"/>
      <w:sz w:val="18"/>
      <w:szCs w:val="18"/>
      <w:lang w:eastAsia="en-US"/>
    </w:rPr>
  </w:style>
  <w:style w:type="character" w:customStyle="1" w:styleId="554">
    <w:name w:val="标题 3 Char"/>
    <w:qFormat/>
    <w:uiPriority w:val="99"/>
    <w:rPr>
      <w:rFonts w:ascii="Arial" w:hAnsi="Arial"/>
      <w:b/>
      <w:bCs/>
      <w:sz w:val="32"/>
      <w:szCs w:val="32"/>
      <w:lang w:eastAsia="en-US"/>
    </w:rPr>
  </w:style>
  <w:style w:type="paragraph" w:customStyle="1" w:styleId="555">
    <w:name w:val="文档正文"/>
    <w:basedOn w:val="1"/>
    <w:qFormat/>
    <w:uiPriority w:val="0"/>
    <w:pPr>
      <w:widowControl/>
      <w:adjustRightInd w:val="0"/>
      <w:spacing w:line="480" w:lineRule="atLeast"/>
      <w:ind w:firstLine="567" w:firstLineChars="0"/>
      <w:jc w:val="left"/>
      <w:textAlignment w:val="baseline"/>
    </w:pPr>
    <w:rPr>
      <w:rFonts w:ascii="长城仿宋" w:hAnsi="Times New Roman"/>
      <w:kern w:val="0"/>
      <w:szCs w:val="20"/>
    </w:rPr>
  </w:style>
  <w:style w:type="character" w:customStyle="1" w:styleId="556">
    <w:name w:val="列出段落 Char"/>
    <w:qFormat/>
    <w:uiPriority w:val="34"/>
    <w:rPr>
      <w:rFonts w:ascii="仿宋_GB2312" w:hAnsi="宋体" w:eastAsia="仿宋_GB2312" w:cs="Times New Roman"/>
      <w:color w:val="FF0000"/>
      <w:kern w:val="0"/>
      <w:sz w:val="28"/>
      <w:szCs w:val="28"/>
      <w:lang w:val="zh-CN" w:eastAsia="zh-CN"/>
    </w:rPr>
  </w:style>
  <w:style w:type="character" w:customStyle="1" w:styleId="557">
    <w:name w:val="标题 4 Char"/>
    <w:qFormat/>
    <w:uiPriority w:val="99"/>
    <w:rPr>
      <w:rFonts w:ascii="Calibri" w:hAnsi="Calibri" w:eastAsia="微软雅黑"/>
      <w:bCs/>
      <w:kern w:val="2"/>
      <w:sz w:val="28"/>
      <w:szCs w:val="28"/>
    </w:rPr>
  </w:style>
  <w:style w:type="character" w:customStyle="1" w:styleId="558">
    <w:name w:val="标题 5 Char"/>
    <w:qFormat/>
    <w:uiPriority w:val="99"/>
    <w:rPr>
      <w:rFonts w:ascii="Calibri" w:hAnsi="Calibri" w:eastAsia="微软雅黑"/>
      <w:bCs/>
      <w:kern w:val="2"/>
      <w:sz w:val="28"/>
      <w:szCs w:val="28"/>
    </w:rPr>
  </w:style>
  <w:style w:type="character" w:customStyle="1" w:styleId="559">
    <w:name w:val="标题 6 Char"/>
    <w:qFormat/>
    <w:uiPriority w:val="99"/>
    <w:rPr>
      <w:rFonts w:ascii="Calibri" w:hAnsi="Calibri" w:eastAsia="微软雅黑"/>
      <w:bCs/>
      <w:kern w:val="2"/>
      <w:sz w:val="24"/>
      <w:szCs w:val="24"/>
    </w:rPr>
  </w:style>
  <w:style w:type="character" w:customStyle="1" w:styleId="560">
    <w:name w:val="标题 7 Char"/>
    <w:qFormat/>
    <w:uiPriority w:val="99"/>
    <w:rPr>
      <w:rFonts w:ascii="Calibri" w:hAnsi="Calibri" w:eastAsia="微软雅黑"/>
      <w:bCs/>
      <w:kern w:val="2"/>
      <w:sz w:val="24"/>
      <w:szCs w:val="24"/>
    </w:rPr>
  </w:style>
  <w:style w:type="character" w:customStyle="1" w:styleId="561">
    <w:name w:val="标题 8 Char"/>
    <w:qFormat/>
    <w:uiPriority w:val="99"/>
    <w:rPr>
      <w:rFonts w:ascii="Calibri" w:hAnsi="Calibri"/>
      <w:kern w:val="2"/>
      <w:sz w:val="24"/>
      <w:szCs w:val="24"/>
    </w:rPr>
  </w:style>
  <w:style w:type="character" w:customStyle="1" w:styleId="562">
    <w:name w:val="标题 9 Char"/>
    <w:qFormat/>
    <w:uiPriority w:val="0"/>
    <w:rPr>
      <w:rFonts w:ascii="Cambria" w:hAnsi="Cambria"/>
      <w:kern w:val="2"/>
      <w:sz w:val="21"/>
      <w:szCs w:val="21"/>
    </w:rPr>
  </w:style>
  <w:style w:type="paragraph" w:customStyle="1" w:styleId="563">
    <w:name w:val="表格正文"/>
    <w:link w:val="570"/>
    <w:qFormat/>
    <w:uiPriority w:val="0"/>
    <w:pPr>
      <w:widowControl w:val="0"/>
    </w:pPr>
    <w:rPr>
      <w:rFonts w:ascii="宋体" w:hAnsi="宋体" w:eastAsia="宋体" w:cs="Times New Roman"/>
      <w:color w:val="000000"/>
      <w:lang w:val="en-US" w:eastAsia="zh-CN" w:bidi="ar-SA"/>
    </w:rPr>
  </w:style>
  <w:style w:type="character" w:customStyle="1" w:styleId="564">
    <w:name w:val="正文文本首行缩进 字符1"/>
    <w:basedOn w:val="544"/>
    <w:qFormat/>
    <w:uiPriority w:val="0"/>
    <w:rPr>
      <w:rFonts w:ascii="Times New Roman" w:hAnsi="Times New Roman" w:eastAsia="仿宋_GB2312" w:cs="Times New Roman"/>
      <w:sz w:val="24"/>
      <w:szCs w:val="24"/>
      <w:lang w:val="zh-CN" w:eastAsia="zh-CN"/>
    </w:rPr>
  </w:style>
  <w:style w:type="character" w:customStyle="1" w:styleId="565">
    <w:name w:val="正文样式 Char"/>
    <w:link w:val="157"/>
    <w:qFormat/>
    <w:uiPriority w:val="0"/>
    <w:rPr>
      <w:bCs/>
      <w:snapToGrid w:val="0"/>
      <w:sz w:val="24"/>
      <w:szCs w:val="44"/>
    </w:rPr>
  </w:style>
  <w:style w:type="paragraph" w:customStyle="1" w:styleId="566">
    <w:name w:val="项目排列"/>
    <w:basedOn w:val="1"/>
    <w:link w:val="567"/>
    <w:qFormat/>
    <w:uiPriority w:val="0"/>
    <w:pPr>
      <w:widowControl/>
      <w:numPr>
        <w:ilvl w:val="0"/>
        <w:numId w:val="41"/>
      </w:numPr>
      <w:spacing w:beforeLines="50" w:afterLines="50" w:line="300" w:lineRule="auto"/>
      <w:ind w:firstLine="0" w:firstLineChars="0"/>
      <w:jc w:val="left"/>
    </w:pPr>
    <w:rPr>
      <w:rFonts w:ascii="Times New Roman" w:hAnsi="Times New Roman" w:eastAsia="仿宋"/>
      <w:kern w:val="0"/>
    </w:rPr>
  </w:style>
  <w:style w:type="character" w:customStyle="1" w:styleId="567">
    <w:name w:val="项目排列 Char"/>
    <w:link w:val="566"/>
    <w:qFormat/>
    <w:uiPriority w:val="0"/>
    <w:rPr>
      <w:rFonts w:eastAsia="仿宋"/>
      <w:sz w:val="24"/>
      <w:szCs w:val="24"/>
    </w:rPr>
  </w:style>
  <w:style w:type="paragraph" w:customStyle="1" w:styleId="568">
    <w:name w:val="Style Heading 2第一层条第二层论文标题 1Heading 2 HiddenHeading 2 CCBSTit..."/>
    <w:basedOn w:val="3"/>
    <w:qFormat/>
    <w:uiPriority w:val="99"/>
    <w:pPr>
      <w:widowControl/>
      <w:numPr>
        <w:ilvl w:val="0"/>
        <w:numId w:val="42"/>
      </w:numPr>
      <w:tabs>
        <w:tab w:val="left" w:pos="567"/>
      </w:tabs>
      <w:spacing w:before="260" w:after="260"/>
      <w:ind w:hanging="567"/>
      <w:jc w:val="left"/>
    </w:pPr>
    <w:rPr>
      <w:rFonts w:eastAsia="仿宋" w:cstheme="minorBidi"/>
      <w:bCs w:val="0"/>
      <w:color w:val="000000"/>
      <w:kern w:val="0"/>
      <w:sz w:val="40"/>
      <w:szCs w:val="40"/>
    </w:rPr>
  </w:style>
  <w:style w:type="character" w:customStyle="1" w:styleId="569">
    <w:name w:val="列出段落 字符"/>
    <w:qFormat/>
    <w:locked/>
    <w:uiPriority w:val="34"/>
    <w:rPr>
      <w:rFonts w:ascii="等线" w:hAnsi="等线" w:eastAsia="等线"/>
      <w:kern w:val="2"/>
      <w:sz w:val="24"/>
      <w:szCs w:val="24"/>
    </w:rPr>
  </w:style>
  <w:style w:type="character" w:customStyle="1" w:styleId="570">
    <w:name w:val="表格正文 Char"/>
    <w:link w:val="563"/>
    <w:qFormat/>
    <w:uiPriority w:val="0"/>
    <w:rPr>
      <w:rFonts w:ascii="宋体" w:hAnsi="宋体"/>
      <w:color w:val="000000"/>
    </w:rPr>
  </w:style>
  <w:style w:type="character" w:customStyle="1" w:styleId="571">
    <w:name w:val="正文8 字符"/>
    <w:link w:val="572"/>
    <w:qFormat/>
    <w:locked/>
    <w:uiPriority w:val="0"/>
    <w:rPr>
      <w:sz w:val="24"/>
      <w:szCs w:val="24"/>
    </w:rPr>
  </w:style>
  <w:style w:type="paragraph" w:customStyle="1" w:styleId="572">
    <w:name w:val="正文8"/>
    <w:basedOn w:val="1"/>
    <w:link w:val="571"/>
    <w:qFormat/>
    <w:uiPriority w:val="0"/>
    <w:pPr>
      <w:widowControl/>
      <w:jc w:val="left"/>
    </w:pPr>
    <w:rPr>
      <w:rFonts w:ascii="Times New Roman" w:hAnsi="Times New Roman"/>
      <w:kern w:val="0"/>
    </w:rPr>
  </w:style>
  <w:style w:type="paragraph" w:customStyle="1" w:styleId="573">
    <w:name w:val="11-章级目录"/>
    <w:basedOn w:val="1"/>
    <w:next w:val="1"/>
    <w:qFormat/>
    <w:uiPriority w:val="0"/>
    <w:pPr>
      <w:pageBreakBefore/>
      <w:widowControl/>
      <w:numPr>
        <w:ilvl w:val="0"/>
        <w:numId w:val="43"/>
      </w:numPr>
      <w:spacing w:before="480" w:after="480" w:line="240" w:lineRule="auto"/>
      <w:ind w:firstLineChars="0"/>
      <w:jc w:val="left"/>
      <w:outlineLvl w:val="0"/>
    </w:pPr>
    <w:rPr>
      <w:b/>
      <w:bCs/>
      <w:kern w:val="0"/>
      <w:sz w:val="40"/>
    </w:rPr>
  </w:style>
  <w:style w:type="paragraph" w:customStyle="1" w:styleId="574">
    <w:name w:val="12-2级目录"/>
    <w:basedOn w:val="1"/>
    <w:next w:val="1"/>
    <w:qFormat/>
    <w:uiPriority w:val="0"/>
    <w:pPr>
      <w:widowControl/>
      <w:numPr>
        <w:ilvl w:val="1"/>
        <w:numId w:val="43"/>
      </w:numPr>
      <w:spacing w:before="240" w:after="240"/>
      <w:ind w:firstLineChars="0"/>
      <w:jc w:val="left"/>
      <w:outlineLvl w:val="1"/>
    </w:pPr>
    <w:rPr>
      <w:b/>
      <w:bCs/>
      <w:kern w:val="0"/>
      <w:sz w:val="32"/>
    </w:rPr>
  </w:style>
  <w:style w:type="paragraph" w:customStyle="1" w:styleId="575">
    <w:name w:val="21-3级目录"/>
    <w:basedOn w:val="1"/>
    <w:next w:val="1"/>
    <w:qFormat/>
    <w:uiPriority w:val="0"/>
    <w:pPr>
      <w:widowControl/>
      <w:numPr>
        <w:ilvl w:val="2"/>
        <w:numId w:val="43"/>
      </w:numPr>
      <w:ind w:firstLineChars="0"/>
      <w:jc w:val="left"/>
      <w:outlineLvl w:val="2"/>
    </w:pPr>
    <w:rPr>
      <w:b/>
      <w:bCs/>
      <w:kern w:val="0"/>
      <w:sz w:val="28"/>
    </w:rPr>
  </w:style>
  <w:style w:type="paragraph" w:customStyle="1" w:styleId="576">
    <w:name w:val="22-4级目录"/>
    <w:basedOn w:val="1"/>
    <w:next w:val="1"/>
    <w:qFormat/>
    <w:uiPriority w:val="0"/>
    <w:pPr>
      <w:widowControl/>
      <w:numPr>
        <w:ilvl w:val="3"/>
        <w:numId w:val="43"/>
      </w:numPr>
      <w:spacing w:before="120" w:after="120"/>
      <w:ind w:firstLineChars="0"/>
      <w:jc w:val="left"/>
      <w:outlineLvl w:val="3"/>
    </w:pPr>
    <w:rPr>
      <w:b/>
      <w:bCs/>
      <w:kern w:val="0"/>
      <w:sz w:val="28"/>
      <w:szCs w:val="28"/>
      <w:lang w:val="zh-CN"/>
    </w:rPr>
  </w:style>
  <w:style w:type="paragraph" w:customStyle="1" w:styleId="577">
    <w:name w:val="24-正文1级目录"/>
    <w:basedOn w:val="1"/>
    <w:next w:val="1"/>
    <w:qFormat/>
    <w:uiPriority w:val="0"/>
    <w:pPr>
      <w:widowControl/>
      <w:numPr>
        <w:ilvl w:val="5"/>
        <w:numId w:val="43"/>
      </w:numPr>
      <w:spacing w:before="120" w:after="120" w:line="360" w:lineRule="exact"/>
      <w:ind w:firstLineChars="0"/>
      <w:jc w:val="left"/>
    </w:pPr>
    <w:rPr>
      <w:rFonts w:ascii="微软雅黑" w:hAnsi="Times New Roman" w:eastAsia="仿宋"/>
      <w:kern w:val="0"/>
    </w:rPr>
  </w:style>
  <w:style w:type="paragraph" w:customStyle="1" w:styleId="578">
    <w:name w:val="31-图片编号"/>
    <w:basedOn w:val="1"/>
    <w:next w:val="1"/>
    <w:qFormat/>
    <w:uiPriority w:val="0"/>
    <w:pPr>
      <w:widowControl/>
      <w:numPr>
        <w:ilvl w:val="8"/>
        <w:numId w:val="43"/>
      </w:numPr>
      <w:spacing w:line="360" w:lineRule="exact"/>
      <w:ind w:firstLineChars="0"/>
      <w:jc w:val="center"/>
    </w:pPr>
    <w:rPr>
      <w:rFonts w:ascii="Times New Roman" w:hAnsi="Times New Roman" w:eastAsia="微软雅黑"/>
      <w:b/>
      <w:kern w:val="0"/>
      <w:sz w:val="18"/>
    </w:rPr>
  </w:style>
  <w:style w:type="paragraph" w:customStyle="1" w:styleId="579">
    <w:name w:val="44-表格编号"/>
    <w:basedOn w:val="578"/>
    <w:next w:val="1"/>
    <w:qFormat/>
    <w:uiPriority w:val="0"/>
    <w:pPr>
      <w:numPr>
        <w:ilvl w:val="7"/>
      </w:numPr>
      <w:spacing w:after="120"/>
    </w:pPr>
    <w:rPr>
      <w:rFonts w:eastAsia="仿宋"/>
    </w:rPr>
  </w:style>
  <w:style w:type="paragraph" w:customStyle="1" w:styleId="580">
    <w:name w:val="25-正文2级目录"/>
    <w:basedOn w:val="1"/>
    <w:qFormat/>
    <w:uiPriority w:val="0"/>
    <w:pPr>
      <w:widowControl/>
      <w:numPr>
        <w:ilvl w:val="6"/>
        <w:numId w:val="43"/>
      </w:numPr>
      <w:spacing w:line="360" w:lineRule="exact"/>
      <w:ind w:firstLine="0" w:firstLineChars="0"/>
      <w:jc w:val="left"/>
    </w:pPr>
    <w:rPr>
      <w:rFonts w:ascii="Times New Roman" w:hAnsi="Times New Roman" w:eastAsia="仿宋"/>
      <w:kern w:val="0"/>
    </w:rPr>
  </w:style>
  <w:style w:type="paragraph" w:customStyle="1" w:styleId="581">
    <w:name w:val="23-5级目录"/>
    <w:basedOn w:val="1"/>
    <w:qFormat/>
    <w:uiPriority w:val="0"/>
    <w:pPr>
      <w:widowControl/>
      <w:numPr>
        <w:ilvl w:val="4"/>
        <w:numId w:val="43"/>
      </w:numPr>
      <w:spacing w:before="120" w:after="120" w:line="240" w:lineRule="auto"/>
      <w:ind w:firstLineChars="0"/>
      <w:jc w:val="left"/>
      <w:outlineLvl w:val="4"/>
    </w:pPr>
    <w:rPr>
      <w:kern w:val="0"/>
      <w:szCs w:val="32"/>
    </w:rPr>
  </w:style>
  <w:style w:type="character" w:customStyle="1" w:styleId="582">
    <w:name w:val="彩色列表 - 着色 1 字符"/>
    <w:link w:val="191"/>
    <w:qFormat/>
    <w:locked/>
    <w:uiPriority w:val="34"/>
    <w:rPr>
      <w:rFonts w:ascii="Segoe UI" w:hAnsi="Segoe UI"/>
      <w:sz w:val="24"/>
      <w:szCs w:val="24"/>
    </w:rPr>
  </w:style>
  <w:style w:type="paragraph" w:customStyle="1" w:styleId="583">
    <w:name w:val="List Paragraph1"/>
    <w:basedOn w:val="1"/>
    <w:qFormat/>
    <w:uiPriority w:val="0"/>
    <w:pPr>
      <w:widowControl/>
      <w:spacing w:line="240" w:lineRule="auto"/>
      <w:ind w:firstLine="420"/>
      <w:jc w:val="left"/>
    </w:pPr>
    <w:rPr>
      <w:rFonts w:ascii="Calibri" w:hAnsi="Calibri"/>
      <w:kern w:val="0"/>
      <w:szCs w:val="21"/>
    </w:rPr>
  </w:style>
  <w:style w:type="character" w:customStyle="1" w:styleId="584">
    <w:name w:val="未处理的提及2"/>
    <w:basedOn w:val="63"/>
    <w:semiHidden/>
    <w:unhideWhenUsed/>
    <w:qFormat/>
    <w:uiPriority w:val="99"/>
    <w:rPr>
      <w:color w:val="605E5C"/>
      <w:shd w:val="clear" w:color="auto" w:fill="E1DFDD"/>
    </w:rPr>
  </w:style>
  <w:style w:type="character" w:customStyle="1" w:styleId="585">
    <w:name w:val="正文文本缩进 2 字符1"/>
    <w:basedOn w:val="63"/>
    <w:semiHidden/>
    <w:qFormat/>
    <w:uiPriority w:val="99"/>
    <w:rPr>
      <w:rFonts w:asciiTheme="minorHAnsi" w:hAnsiTheme="minorHAnsi" w:eastAsiaTheme="minorEastAsia" w:cstheme="minorBidi"/>
      <w:kern w:val="2"/>
      <w:sz w:val="21"/>
      <w:szCs w:val="22"/>
    </w:rPr>
  </w:style>
  <w:style w:type="character" w:customStyle="1" w:styleId="586">
    <w:name w:val="正文文本 Char1"/>
    <w:basedOn w:val="63"/>
    <w:semiHidden/>
    <w:qFormat/>
    <w:uiPriority w:val="99"/>
  </w:style>
  <w:style w:type="character" w:customStyle="1" w:styleId="587">
    <w:name w:val="文档结构图 Char1"/>
    <w:semiHidden/>
    <w:qFormat/>
    <w:uiPriority w:val="99"/>
    <w:rPr>
      <w:rFonts w:ascii="Microsoft YaHei UI" w:eastAsia="Microsoft YaHei UI" w:cs="Times New Roman"/>
      <w:sz w:val="18"/>
      <w:szCs w:val="18"/>
    </w:rPr>
  </w:style>
  <w:style w:type="table" w:customStyle="1" w:styleId="588">
    <w:name w:val="网格型 53"/>
    <w:basedOn w:val="59"/>
    <w:qFormat/>
    <w:locked/>
    <w:uiPriority w:val="0"/>
    <w:pPr>
      <w:widowControl w:val="0"/>
      <w:adjustRightInd w:val="0"/>
      <w:snapToGrid w:val="0"/>
      <w:spacing w:line="360" w:lineRule="auto"/>
      <w:ind w:right="240" w:firstLine="480" w:firstLineChars="20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character" w:customStyle="1" w:styleId="589">
    <w:name w:val="页眉 Char1"/>
    <w:semiHidden/>
    <w:qFormat/>
    <w:locked/>
    <w:uiPriority w:val="99"/>
    <w:rPr>
      <w:sz w:val="18"/>
      <w:szCs w:val="18"/>
    </w:rPr>
  </w:style>
  <w:style w:type="character" w:customStyle="1" w:styleId="590">
    <w:name w:val="页脚 Char1"/>
    <w:semiHidden/>
    <w:qFormat/>
    <w:locked/>
    <w:uiPriority w:val="99"/>
    <w:rPr>
      <w:sz w:val="18"/>
      <w:szCs w:val="18"/>
    </w:rPr>
  </w:style>
  <w:style w:type="character" w:customStyle="1" w:styleId="591">
    <w:name w:val="批注主题 Char1"/>
    <w:semiHidden/>
    <w:qFormat/>
    <w:locked/>
    <w:uiPriority w:val="99"/>
    <w:rPr>
      <w:b/>
      <w:bCs/>
      <w:kern w:val="2"/>
      <w:sz w:val="24"/>
      <w:szCs w:val="24"/>
    </w:rPr>
  </w:style>
  <w:style w:type="character" w:customStyle="1" w:styleId="592">
    <w:name w:val="批注框文本 Char1"/>
    <w:semiHidden/>
    <w:qFormat/>
    <w:locked/>
    <w:uiPriority w:val="99"/>
    <w:rPr>
      <w:kern w:val="2"/>
      <w:sz w:val="18"/>
      <w:szCs w:val="18"/>
    </w:rPr>
  </w:style>
  <w:style w:type="character" w:customStyle="1" w:styleId="593">
    <w:name w:val="彩色列表 - 强调文字颜色 1 Char"/>
    <w:semiHidden/>
    <w:qFormat/>
    <w:uiPriority w:val="0"/>
    <w:rPr>
      <w:rFonts w:ascii="Calibri" w:hAnsi="Calibri"/>
      <w:kern w:val="2"/>
      <w:sz w:val="21"/>
      <w:szCs w:val="22"/>
    </w:rPr>
  </w:style>
  <w:style w:type="paragraph" w:customStyle="1" w:styleId="594">
    <w:name w:val="标题6"/>
    <w:basedOn w:val="6"/>
    <w:next w:val="94"/>
    <w:qFormat/>
    <w:uiPriority w:val="0"/>
    <w:pPr>
      <w:spacing w:before="0" w:beforeLines="50" w:after="0"/>
    </w:pPr>
    <w:rPr>
      <w:rFonts w:ascii="仿宋" w:hAnsi="仿宋" w:eastAsia="仿宋" w:cs="宋体"/>
      <w:kern w:val="0"/>
      <w:sz w:val="28"/>
    </w:rPr>
  </w:style>
  <w:style w:type="paragraph" w:customStyle="1" w:styleId="595">
    <w:name w:val="H8"/>
    <w:basedOn w:val="1"/>
    <w:qFormat/>
    <w:uiPriority w:val="0"/>
    <w:pPr>
      <w:keepNext/>
      <w:keepLines/>
      <w:widowControl/>
      <w:numPr>
        <w:ilvl w:val="7"/>
        <w:numId w:val="44"/>
      </w:numPr>
      <w:tabs>
        <w:tab w:val="left" w:pos="2880"/>
      </w:tabs>
      <w:ind w:firstLine="0" w:firstLineChars="0"/>
      <w:jc w:val="left"/>
      <w:outlineLvl w:val="7"/>
    </w:pPr>
    <w:rPr>
      <w:rFonts w:cs="华文中宋"/>
      <w:snapToGrid w:val="0"/>
      <w:kern w:val="0"/>
    </w:rPr>
  </w:style>
  <w:style w:type="character" w:customStyle="1" w:styleId="596">
    <w:name w:val="题注 字符1"/>
    <w:qFormat/>
    <w:uiPriority w:val="0"/>
    <w:rPr>
      <w:rFonts w:ascii="Times New Roman" w:hAnsi="Times New Roman"/>
      <w:b/>
      <w:bCs/>
      <w:sz w:val="16"/>
      <w:szCs w:val="16"/>
    </w:rPr>
  </w:style>
  <w:style w:type="character" w:customStyle="1" w:styleId="597">
    <w:name w:val="表格 字符"/>
    <w:link w:val="222"/>
    <w:qFormat/>
    <w:uiPriority w:val="9"/>
    <w:rPr>
      <w:rFonts w:ascii="宋体" w:hAnsi="宋体" w:cs="宋体"/>
      <w:sz w:val="24"/>
    </w:rPr>
  </w:style>
  <w:style w:type="paragraph" w:customStyle="1" w:styleId="598">
    <w:name w:val="TOC 标题4"/>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599">
    <w:name w:val="修订21"/>
    <w:hidden/>
    <w:qFormat/>
    <w:uiPriority w:val="99"/>
    <w:rPr>
      <w:rFonts w:asciiTheme="minorHAnsi" w:hAnsiTheme="minorHAnsi" w:eastAsiaTheme="minorEastAsia" w:cstheme="minorBidi"/>
      <w:kern w:val="2"/>
      <w:sz w:val="21"/>
      <w:szCs w:val="21"/>
      <w:lang w:val="en-US" w:eastAsia="zh-CN" w:bidi="ar-SA"/>
    </w:rPr>
  </w:style>
  <w:style w:type="character" w:customStyle="1" w:styleId="600">
    <w:name w:val="未处理的提及3"/>
    <w:basedOn w:val="63"/>
    <w:semiHidden/>
    <w:unhideWhenUsed/>
    <w:qFormat/>
    <w:uiPriority w:val="99"/>
    <w:rPr>
      <w:color w:val="605E5C"/>
      <w:shd w:val="clear" w:color="auto" w:fill="E1DFDD"/>
    </w:rPr>
  </w:style>
  <w:style w:type="paragraph" w:customStyle="1" w:styleId="601">
    <w:name w:val="正文 A"/>
    <w:qFormat/>
    <w:uiPriority w:val="0"/>
    <w:pPr>
      <w:widowControl w:val="0"/>
      <w:jc w:val="both"/>
    </w:pPr>
    <w:rPr>
      <w:rFonts w:ascii="Calibri" w:hAnsi="Arial Unicode MS" w:eastAsia="Arial Unicode MS" w:cs="Arial Unicode MS"/>
      <w:color w:val="000000"/>
      <w:kern w:val="2"/>
      <w:sz w:val="21"/>
      <w:szCs w:val="21"/>
      <w:u w:color="000000"/>
      <w:lang w:val="en-US" w:eastAsia="zh-CN" w:bidi="ar-SA"/>
    </w:rPr>
  </w:style>
  <w:style w:type="paragraph" w:customStyle="1" w:styleId="602">
    <w:name w:val="样式 左侧:  0.85 厘米 首行缩进:  0.85 厘米"/>
    <w:basedOn w:val="1"/>
    <w:qFormat/>
    <w:uiPriority w:val="0"/>
    <w:pPr>
      <w:widowControl/>
      <w:ind w:firstLine="200"/>
      <w:jc w:val="left"/>
    </w:pPr>
    <w:rPr>
      <w:rFonts w:ascii="Times New Roman" w:hAnsi="Times New Roman" w:cs="宋体"/>
      <w:kern w:val="0"/>
      <w:szCs w:val="20"/>
    </w:rPr>
  </w:style>
  <w:style w:type="paragraph" w:customStyle="1" w:styleId="603">
    <w:name w:val="导读"/>
    <w:basedOn w:val="1"/>
    <w:next w:val="3"/>
    <w:qFormat/>
    <w:uiPriority w:val="0"/>
    <w:pPr>
      <w:widowControl/>
      <w:ind w:right="204"/>
      <w:jc w:val="left"/>
    </w:pPr>
    <w:rPr>
      <w:kern w:val="0"/>
    </w:rPr>
  </w:style>
  <w:style w:type="paragraph" w:customStyle="1" w:styleId="604">
    <w:name w:val="内容with编号"/>
    <w:basedOn w:val="1"/>
    <w:qFormat/>
    <w:uiPriority w:val="0"/>
    <w:pPr>
      <w:widowControl/>
      <w:tabs>
        <w:tab w:val="left" w:pos="840"/>
        <w:tab w:val="left" w:pos="987"/>
      </w:tabs>
      <w:ind w:left="840" w:hanging="360" w:firstLineChars="0"/>
      <w:jc w:val="left"/>
    </w:pPr>
    <w:rPr>
      <w:rFonts w:hAnsi="Times New Roman"/>
      <w:kern w:val="0"/>
      <w:szCs w:val="20"/>
    </w:rPr>
  </w:style>
  <w:style w:type="paragraph" w:customStyle="1" w:styleId="605">
    <w:name w:val="样式 正文格式 + 行距: 多倍行距 1.25 字行"/>
    <w:basedOn w:val="1"/>
    <w:qFormat/>
    <w:uiPriority w:val="0"/>
    <w:pPr>
      <w:widowControl/>
      <w:adjustRightInd w:val="0"/>
      <w:snapToGrid w:val="0"/>
      <w:spacing w:line="300" w:lineRule="auto"/>
      <w:ind w:firstLine="482" w:firstLineChars="0"/>
      <w:jc w:val="left"/>
      <w:textAlignment w:val="baseline"/>
    </w:pPr>
    <w:rPr>
      <w:rFonts w:ascii="Times New Roman" w:hAnsi="Times New Roman" w:cs="宋体"/>
      <w:kern w:val="0"/>
      <w:szCs w:val="20"/>
    </w:rPr>
  </w:style>
  <w:style w:type="character" w:customStyle="1" w:styleId="606">
    <w:name w:val="未处理的提及4"/>
    <w:basedOn w:val="63"/>
    <w:semiHidden/>
    <w:unhideWhenUsed/>
    <w:qFormat/>
    <w:uiPriority w:val="99"/>
    <w:rPr>
      <w:color w:val="605E5C"/>
      <w:shd w:val="clear" w:color="auto" w:fill="E1DFDD"/>
    </w:rPr>
  </w:style>
  <w:style w:type="character" w:customStyle="1" w:styleId="607">
    <w:name w:val="附录公式 Char"/>
    <w:basedOn w:val="220"/>
    <w:link w:val="608"/>
    <w:qFormat/>
    <w:uiPriority w:val="0"/>
    <w:rPr>
      <w:rFonts w:ascii="宋体" w:cs="Calibri"/>
      <w:sz w:val="21"/>
    </w:rPr>
  </w:style>
  <w:style w:type="paragraph" w:customStyle="1" w:styleId="608">
    <w:name w:val="附录公式"/>
    <w:basedOn w:val="145"/>
    <w:next w:val="145"/>
    <w:link w:val="607"/>
    <w:qFormat/>
    <w:uiPriority w:val="0"/>
    <w:pPr>
      <w:tabs>
        <w:tab w:val="center" w:pos="4201"/>
        <w:tab w:val="right" w:leader="dot" w:pos="9298"/>
      </w:tabs>
      <w:ind w:firstLine="420"/>
      <w:jc w:val="left"/>
    </w:pPr>
  </w:style>
  <w:style w:type="character" w:customStyle="1" w:styleId="609">
    <w:name w:val="发布"/>
    <w:qFormat/>
    <w:uiPriority w:val="0"/>
    <w:rPr>
      <w:rFonts w:ascii="黑体" w:eastAsia="黑体"/>
      <w:spacing w:val="85"/>
      <w:w w:val="100"/>
      <w:position w:val="3"/>
      <w:sz w:val="28"/>
      <w:szCs w:val="28"/>
    </w:rPr>
  </w:style>
  <w:style w:type="character" w:customStyle="1" w:styleId="610">
    <w:name w:val="首示例 Char"/>
    <w:link w:val="611"/>
    <w:qFormat/>
    <w:uiPriority w:val="0"/>
    <w:rPr>
      <w:rFonts w:ascii="宋体" w:hAnsi="宋体"/>
      <w:sz w:val="18"/>
      <w:szCs w:val="18"/>
    </w:rPr>
  </w:style>
  <w:style w:type="paragraph" w:customStyle="1" w:styleId="611">
    <w:name w:val="首示例"/>
    <w:next w:val="145"/>
    <w:link w:val="610"/>
    <w:qFormat/>
    <w:uiPriority w:val="0"/>
    <w:pPr>
      <w:numPr>
        <w:ilvl w:val="0"/>
        <w:numId w:val="45"/>
      </w:numPr>
      <w:tabs>
        <w:tab w:val="left" w:pos="360"/>
      </w:tabs>
      <w:ind w:firstLine="0"/>
    </w:pPr>
    <w:rPr>
      <w:rFonts w:ascii="宋体" w:hAnsi="宋体" w:eastAsia="宋体" w:cs="Times New Roman"/>
      <w:sz w:val="18"/>
      <w:szCs w:val="18"/>
      <w:lang w:val="en-US" w:eastAsia="zh-CN" w:bidi="ar-SA"/>
    </w:rPr>
  </w:style>
  <w:style w:type="paragraph" w:customStyle="1" w:styleId="612">
    <w:name w:val="注×："/>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13">
    <w:name w:val="示例×："/>
    <w:basedOn w:val="344"/>
    <w:qFormat/>
    <w:uiPriority w:val="0"/>
    <w:pPr>
      <w:numPr>
        <w:ilvl w:val="0"/>
        <w:numId w:val="46"/>
      </w:numPr>
      <w:spacing w:beforeLines="0" w:afterLines="0"/>
      <w:outlineLvl w:val="9"/>
    </w:pPr>
    <w:rPr>
      <w:rFonts w:ascii="宋体" w:hAnsi="Calibri" w:eastAsia="宋体"/>
      <w:sz w:val="18"/>
      <w:szCs w:val="18"/>
    </w:rPr>
  </w:style>
  <w:style w:type="paragraph" w:customStyle="1" w:styleId="614">
    <w:name w:val="参考文献"/>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15">
    <w:name w:val="附录公式编号制表符"/>
    <w:basedOn w:val="1"/>
    <w:next w:val="145"/>
    <w:qFormat/>
    <w:uiPriority w:val="0"/>
    <w:pPr>
      <w:widowControl/>
      <w:tabs>
        <w:tab w:val="center" w:pos="4201"/>
        <w:tab w:val="right" w:leader="dot" w:pos="9298"/>
      </w:tabs>
      <w:autoSpaceDE w:val="0"/>
      <w:autoSpaceDN w:val="0"/>
      <w:ind w:firstLine="0" w:firstLineChars="0"/>
      <w:jc w:val="left"/>
    </w:pPr>
    <w:rPr>
      <w:rFonts w:hAnsi="Calibri"/>
      <w:kern w:val="0"/>
      <w:sz w:val="28"/>
      <w:szCs w:val="20"/>
    </w:rPr>
  </w:style>
  <w:style w:type="paragraph" w:customStyle="1" w:styleId="616">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617">
    <w:name w:val="封面标准文稿类别"/>
    <w:basedOn w:val="618"/>
    <w:qFormat/>
    <w:uiPriority w:val="0"/>
    <w:pPr>
      <w:framePr w:wrap="around"/>
      <w:spacing w:after="160" w:line="240" w:lineRule="auto"/>
    </w:pPr>
    <w:rPr>
      <w:sz w:val="24"/>
    </w:rPr>
  </w:style>
  <w:style w:type="paragraph" w:customStyle="1" w:styleId="618">
    <w:name w:val="封面一致性程度标识"/>
    <w:basedOn w:val="619"/>
    <w:qFormat/>
    <w:uiPriority w:val="0"/>
    <w:pPr>
      <w:framePr w:wrap="around"/>
      <w:spacing w:before="440"/>
    </w:pPr>
    <w:rPr>
      <w:rFonts w:ascii="宋体" w:eastAsia="宋体"/>
    </w:rPr>
  </w:style>
  <w:style w:type="paragraph" w:customStyle="1" w:styleId="619">
    <w:name w:val="封面标准英文名称"/>
    <w:basedOn w:val="620"/>
    <w:qFormat/>
    <w:uiPriority w:val="0"/>
    <w:pPr>
      <w:framePr w:wrap="around"/>
      <w:spacing w:before="370" w:line="400" w:lineRule="exact"/>
    </w:pPr>
    <w:rPr>
      <w:rFonts w:ascii="Times New Roman"/>
      <w:sz w:val="28"/>
      <w:szCs w:val="28"/>
    </w:rPr>
  </w:style>
  <w:style w:type="paragraph" w:customStyle="1" w:styleId="62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621">
    <w:name w:val="封面标准文稿编辑信息2"/>
    <w:basedOn w:val="622"/>
    <w:qFormat/>
    <w:uiPriority w:val="0"/>
    <w:pPr>
      <w:framePr w:wrap="around" w:y="4469"/>
    </w:pPr>
  </w:style>
  <w:style w:type="paragraph" w:customStyle="1" w:styleId="622">
    <w:name w:val="封面标准文稿编辑信息"/>
    <w:basedOn w:val="617"/>
    <w:qFormat/>
    <w:uiPriority w:val="0"/>
    <w:pPr>
      <w:framePr w:wrap="around"/>
      <w:spacing w:before="180" w:line="180" w:lineRule="exact"/>
    </w:pPr>
    <w:rPr>
      <w:sz w:val="21"/>
    </w:rPr>
  </w:style>
  <w:style w:type="paragraph" w:customStyle="1" w:styleId="623">
    <w:name w:val="封面标准代替信息"/>
    <w:qFormat/>
    <w:uiPriority w:val="0"/>
    <w:pPr>
      <w:framePr w:w="9140" w:h="1242" w:hRule="exact" w:hSpace="284" w:wrap="around" w:vAnchor="page" w:hAnchor="page" w:x="1645" w:y="2910" w:anchorLock="1"/>
      <w:spacing w:before="57" w:line="280" w:lineRule="exact"/>
      <w:jc w:val="right"/>
    </w:pPr>
    <w:rPr>
      <w:rFonts w:ascii="宋体" w:hAnsi="Calibri" w:eastAsia="宋体" w:cs="Times New Roman"/>
      <w:sz w:val="21"/>
      <w:szCs w:val="21"/>
      <w:lang w:val="en-US" w:eastAsia="zh-CN" w:bidi="ar-SA"/>
    </w:rPr>
  </w:style>
  <w:style w:type="paragraph" w:customStyle="1" w:styleId="624">
    <w:name w:val="条文脚注"/>
    <w:basedOn w:val="44"/>
    <w:qFormat/>
    <w:uiPriority w:val="0"/>
    <w:pPr>
      <w:numPr>
        <w:numId w:val="0"/>
      </w:numPr>
      <w:jc w:val="both"/>
    </w:pPr>
  </w:style>
  <w:style w:type="paragraph" w:customStyle="1" w:styleId="625">
    <w:name w:val="列项说明"/>
    <w:basedOn w:val="1"/>
    <w:qFormat/>
    <w:uiPriority w:val="0"/>
    <w:pPr>
      <w:widowControl/>
      <w:adjustRightInd w:val="0"/>
      <w:spacing w:line="320" w:lineRule="exact"/>
      <w:ind w:left="400" w:leftChars="200" w:hanging="200" w:hangingChars="200"/>
      <w:jc w:val="left"/>
      <w:textAlignment w:val="baseline"/>
    </w:pPr>
    <w:rPr>
      <w:rFonts w:hAnsi="Calibri"/>
      <w:kern w:val="0"/>
      <w:sz w:val="28"/>
      <w:szCs w:val="20"/>
    </w:rPr>
  </w:style>
  <w:style w:type="paragraph" w:customStyle="1" w:styleId="626">
    <w:name w:val="参考文献、索引标题"/>
    <w:basedOn w:val="1"/>
    <w:next w:val="145"/>
    <w:qFormat/>
    <w:uiPriority w:val="0"/>
    <w:pPr>
      <w:keepNext/>
      <w:pageBreakBefore/>
      <w:widowControl/>
      <w:shd w:val="clear" w:color="FFFFFF" w:fill="FFFFFF"/>
      <w:spacing w:before="640" w:after="200"/>
      <w:ind w:firstLine="0" w:firstLineChars="0"/>
      <w:jc w:val="center"/>
      <w:outlineLvl w:val="0"/>
    </w:pPr>
    <w:rPr>
      <w:rFonts w:ascii="黑体" w:hAnsi="Calibri" w:eastAsia="黑体"/>
      <w:kern w:val="0"/>
      <w:sz w:val="28"/>
      <w:szCs w:val="20"/>
    </w:rPr>
  </w:style>
  <w:style w:type="paragraph" w:customStyle="1" w:styleId="627">
    <w:name w:val="附录表标题"/>
    <w:basedOn w:val="1"/>
    <w:next w:val="145"/>
    <w:qFormat/>
    <w:uiPriority w:val="0"/>
    <w:pPr>
      <w:widowControl/>
      <w:numPr>
        <w:ilvl w:val="1"/>
        <w:numId w:val="47"/>
      </w:numPr>
      <w:tabs>
        <w:tab w:val="left" w:pos="180"/>
      </w:tabs>
      <w:spacing w:before="50" w:beforeLines="50" w:after="50" w:afterLines="50"/>
      <w:ind w:firstLineChars="0"/>
      <w:jc w:val="center"/>
    </w:pPr>
    <w:rPr>
      <w:rFonts w:ascii="黑体" w:hAnsi="Calibri" w:eastAsia="黑体"/>
      <w:kern w:val="0"/>
      <w:sz w:val="28"/>
      <w:szCs w:val="21"/>
    </w:rPr>
  </w:style>
  <w:style w:type="paragraph" w:customStyle="1" w:styleId="628">
    <w:name w:val="正文公式编号制表符"/>
    <w:basedOn w:val="145"/>
    <w:next w:val="145"/>
    <w:qFormat/>
    <w:uiPriority w:val="0"/>
    <w:pPr>
      <w:tabs>
        <w:tab w:val="center" w:pos="4201"/>
        <w:tab w:val="right" w:leader="dot" w:pos="9298"/>
      </w:tabs>
      <w:ind w:firstLine="0" w:firstLineChars="0"/>
      <w:jc w:val="left"/>
    </w:pPr>
    <w:rPr>
      <w:rFonts w:hAnsiTheme="minorHAnsi" w:eastAsiaTheme="minorEastAsia" w:cstheme="minorBidi"/>
      <w:kern w:val="2"/>
      <w:sz w:val="24"/>
      <w:szCs w:val="22"/>
    </w:rPr>
  </w:style>
  <w:style w:type="paragraph" w:customStyle="1" w:styleId="629">
    <w:name w:val="注：（正文）"/>
    <w:basedOn w:val="630"/>
    <w:next w:val="145"/>
    <w:qFormat/>
    <w:uiPriority w:val="0"/>
  </w:style>
  <w:style w:type="paragraph" w:customStyle="1" w:styleId="630">
    <w:name w:val="注："/>
    <w:next w:val="145"/>
    <w:qFormat/>
    <w:uiPriority w:val="0"/>
    <w:pPr>
      <w:widowControl w:val="0"/>
      <w:autoSpaceDE w:val="0"/>
      <w:autoSpaceDN w:val="0"/>
      <w:jc w:val="both"/>
    </w:pPr>
    <w:rPr>
      <w:rFonts w:ascii="宋体" w:hAnsi="Calibri" w:eastAsia="宋体" w:cs="Times New Roman"/>
      <w:sz w:val="18"/>
      <w:szCs w:val="18"/>
      <w:lang w:val="en-US" w:eastAsia="zh-CN" w:bidi="ar-SA"/>
    </w:rPr>
  </w:style>
  <w:style w:type="paragraph" w:customStyle="1" w:styleId="631">
    <w:name w:val="附录章标题"/>
    <w:next w:val="145"/>
    <w:qFormat/>
    <w:uiPriority w:val="0"/>
    <w:pPr>
      <w:tabs>
        <w:tab w:val="left" w:pos="360"/>
        <w:tab w:val="left" w:pos="992"/>
      </w:tabs>
      <w:wordWrap w:val="0"/>
      <w:overflowPunct w:val="0"/>
      <w:autoSpaceDE w:val="0"/>
      <w:spacing w:before="100" w:beforeLines="100" w:after="100" w:afterLines="100"/>
      <w:ind w:left="992" w:hanging="567"/>
      <w:jc w:val="both"/>
      <w:textAlignment w:val="baseline"/>
      <w:outlineLvl w:val="1"/>
    </w:pPr>
    <w:rPr>
      <w:rFonts w:ascii="黑体" w:hAnsi="Calibri" w:eastAsia="黑体" w:cs="Times New Roman"/>
      <w:kern w:val="21"/>
      <w:sz w:val="21"/>
      <w:lang w:val="en-US" w:eastAsia="zh-CN" w:bidi="ar-SA"/>
    </w:rPr>
  </w:style>
  <w:style w:type="paragraph" w:customStyle="1" w:styleId="632">
    <w:name w:val="附录三级条标题"/>
    <w:basedOn w:val="633"/>
    <w:next w:val="145"/>
    <w:qFormat/>
    <w:uiPriority w:val="0"/>
    <w:pPr>
      <w:tabs>
        <w:tab w:val="left" w:pos="360"/>
        <w:tab w:val="left" w:pos="1984"/>
        <w:tab w:val="left" w:pos="2551"/>
      </w:tabs>
      <w:ind w:left="2551" w:hanging="850"/>
      <w:outlineLvl w:val="4"/>
    </w:pPr>
  </w:style>
  <w:style w:type="paragraph" w:customStyle="1" w:styleId="633">
    <w:name w:val="附录二级条标题"/>
    <w:basedOn w:val="1"/>
    <w:next w:val="145"/>
    <w:qFormat/>
    <w:uiPriority w:val="0"/>
    <w:pPr>
      <w:widowControl/>
      <w:tabs>
        <w:tab w:val="left" w:pos="360"/>
        <w:tab w:val="left" w:pos="1984"/>
      </w:tabs>
      <w:wordWrap w:val="0"/>
      <w:overflowPunct w:val="0"/>
      <w:autoSpaceDE w:val="0"/>
      <w:autoSpaceDN w:val="0"/>
      <w:spacing w:before="50" w:beforeLines="50" w:after="50" w:afterLines="50"/>
      <w:ind w:left="1984" w:hanging="708" w:firstLineChars="0"/>
      <w:jc w:val="left"/>
      <w:textAlignment w:val="baseline"/>
      <w:outlineLvl w:val="3"/>
    </w:pPr>
    <w:rPr>
      <w:rFonts w:ascii="黑体" w:hAnsi="Calibri" w:eastAsia="黑体"/>
      <w:kern w:val="21"/>
      <w:sz w:val="28"/>
      <w:szCs w:val="20"/>
    </w:rPr>
  </w:style>
  <w:style w:type="paragraph" w:customStyle="1" w:styleId="634">
    <w:name w:val="示例"/>
    <w:next w:val="635"/>
    <w:qFormat/>
    <w:uiPriority w:val="0"/>
    <w:pPr>
      <w:widowControl w:val="0"/>
      <w:tabs>
        <w:tab w:val="left" w:pos="840"/>
      </w:tabs>
      <w:ind w:left="839" w:hanging="419"/>
      <w:jc w:val="both"/>
    </w:pPr>
    <w:rPr>
      <w:rFonts w:ascii="宋体" w:hAnsi="Calibri" w:eastAsia="宋体" w:cs="Times New Roman"/>
      <w:sz w:val="18"/>
      <w:szCs w:val="18"/>
      <w:lang w:val="en-US" w:eastAsia="zh-CN" w:bidi="ar-SA"/>
    </w:rPr>
  </w:style>
  <w:style w:type="paragraph" w:customStyle="1" w:styleId="635">
    <w:name w:val="示例内容"/>
    <w:qFormat/>
    <w:uiPriority w:val="0"/>
    <w:pPr>
      <w:ind w:firstLine="200" w:firstLineChars="200"/>
    </w:pPr>
    <w:rPr>
      <w:rFonts w:ascii="宋体" w:hAnsi="Calibri" w:eastAsia="宋体" w:cs="Times New Roman"/>
      <w:sz w:val="18"/>
      <w:szCs w:val="18"/>
      <w:lang w:val="en-US" w:eastAsia="zh-CN" w:bidi="ar-SA"/>
    </w:rPr>
  </w:style>
  <w:style w:type="paragraph" w:customStyle="1" w:styleId="636">
    <w:name w:val="标准书眉_偶数页"/>
    <w:basedOn w:val="637"/>
    <w:next w:val="1"/>
    <w:qFormat/>
    <w:uiPriority w:val="0"/>
    <w:pPr>
      <w:tabs>
        <w:tab w:val="center" w:pos="4154"/>
        <w:tab w:val="right" w:pos="8306"/>
      </w:tabs>
      <w:jc w:val="left"/>
    </w:pPr>
  </w:style>
  <w:style w:type="paragraph" w:customStyle="1" w:styleId="637">
    <w:name w:val="标准书眉_奇数页"/>
    <w:next w:val="1"/>
    <w:qFormat/>
    <w:uiPriority w:val="0"/>
    <w:pPr>
      <w:tabs>
        <w:tab w:val="center" w:pos="4154"/>
        <w:tab w:val="right" w:pos="8306"/>
      </w:tabs>
      <w:spacing w:after="220"/>
      <w:jc w:val="right"/>
    </w:pPr>
    <w:rPr>
      <w:rFonts w:ascii="黑体" w:hAnsi="Calibri" w:eastAsia="黑体" w:cs="Times New Roman"/>
      <w:sz w:val="21"/>
      <w:szCs w:val="21"/>
      <w:lang w:val="en-US" w:eastAsia="zh-CN" w:bidi="ar-SA"/>
    </w:rPr>
  </w:style>
  <w:style w:type="paragraph" w:customStyle="1" w:styleId="638">
    <w:name w:val="附录图标号"/>
    <w:basedOn w:val="1"/>
    <w:qFormat/>
    <w:uiPriority w:val="0"/>
    <w:pPr>
      <w:keepNext/>
      <w:pageBreakBefore/>
      <w:widowControl/>
      <w:numPr>
        <w:ilvl w:val="0"/>
        <w:numId w:val="48"/>
      </w:numPr>
      <w:spacing w:line="14" w:lineRule="exact"/>
      <w:ind w:firstLine="0" w:firstLineChars="0"/>
      <w:jc w:val="center"/>
      <w:outlineLvl w:val="0"/>
    </w:pPr>
    <w:rPr>
      <w:rFonts w:ascii="Calibri" w:hAnsi="Calibri"/>
      <w:color w:val="FFFFFF"/>
      <w:kern w:val="0"/>
      <w:sz w:val="28"/>
    </w:rPr>
  </w:style>
  <w:style w:type="paragraph" w:customStyle="1" w:styleId="639">
    <w:name w:val="封面正文"/>
    <w:qFormat/>
    <w:uiPriority w:val="0"/>
    <w:pPr>
      <w:jc w:val="both"/>
    </w:pPr>
    <w:rPr>
      <w:rFonts w:ascii="Calibri" w:hAnsi="Calibri" w:eastAsia="宋体" w:cs="Times New Roman"/>
      <w:lang w:val="en-US" w:eastAsia="zh-CN" w:bidi="ar-SA"/>
    </w:rPr>
  </w:style>
  <w:style w:type="paragraph" w:customStyle="1" w:styleId="640">
    <w:name w:val="附录表标号"/>
    <w:basedOn w:val="1"/>
    <w:next w:val="145"/>
    <w:qFormat/>
    <w:uiPriority w:val="0"/>
    <w:pPr>
      <w:widowControl/>
      <w:numPr>
        <w:ilvl w:val="0"/>
        <w:numId w:val="47"/>
      </w:numPr>
      <w:spacing w:line="14" w:lineRule="exact"/>
      <w:ind w:left="811" w:hanging="448" w:firstLineChars="0"/>
      <w:jc w:val="center"/>
      <w:outlineLvl w:val="0"/>
    </w:pPr>
    <w:rPr>
      <w:rFonts w:ascii="Calibri" w:hAnsi="Calibri"/>
      <w:color w:val="FFFFFF"/>
      <w:kern w:val="0"/>
      <w:sz w:val="28"/>
    </w:rPr>
  </w:style>
  <w:style w:type="paragraph" w:customStyle="1" w:styleId="641">
    <w:name w:val="终结线"/>
    <w:basedOn w:val="1"/>
    <w:qFormat/>
    <w:uiPriority w:val="0"/>
    <w:pPr>
      <w:framePr w:hSpace="181" w:vSpace="181" w:wrap="around" w:vAnchor="text" w:hAnchor="margin" w:xAlign="center" w:y="285"/>
      <w:widowControl/>
      <w:ind w:firstLine="0" w:firstLineChars="0"/>
      <w:jc w:val="left"/>
    </w:pPr>
    <w:rPr>
      <w:rFonts w:ascii="Calibri" w:hAnsi="Calibri"/>
      <w:kern w:val="0"/>
      <w:sz w:val="28"/>
    </w:rPr>
  </w:style>
  <w:style w:type="paragraph" w:customStyle="1" w:styleId="642">
    <w:name w:val="发布部门"/>
    <w:next w:val="145"/>
    <w:qFormat/>
    <w:uiPriority w:val="0"/>
    <w:pPr>
      <w:framePr w:w="7938" w:h="1134" w:hRule="exact" w:hSpace="125" w:vSpace="181" w:wrap="around" w:vAnchor="page" w:hAnchor="page" w:x="2150" w:y="14630" w:anchorLock="1"/>
      <w:jc w:val="center"/>
    </w:pPr>
    <w:rPr>
      <w:rFonts w:ascii="宋体" w:hAnsi="Calibri" w:eastAsia="宋体" w:cs="Times New Roman"/>
      <w:b/>
      <w:spacing w:val="20"/>
      <w:w w:val="135"/>
      <w:sz w:val="28"/>
      <w:lang w:val="en-US" w:eastAsia="zh-CN" w:bidi="ar-SA"/>
    </w:rPr>
  </w:style>
  <w:style w:type="paragraph" w:customStyle="1" w:styleId="643">
    <w:name w:val="附录图标题"/>
    <w:basedOn w:val="1"/>
    <w:next w:val="145"/>
    <w:qFormat/>
    <w:uiPriority w:val="0"/>
    <w:pPr>
      <w:widowControl/>
      <w:numPr>
        <w:ilvl w:val="1"/>
        <w:numId w:val="48"/>
      </w:numPr>
      <w:spacing w:before="50" w:beforeLines="50" w:after="50" w:afterLines="50"/>
      <w:ind w:firstLine="0" w:firstLineChars="0"/>
      <w:jc w:val="center"/>
    </w:pPr>
    <w:rPr>
      <w:rFonts w:ascii="黑体" w:hAnsi="Calibri" w:eastAsia="黑体"/>
      <w:kern w:val="0"/>
      <w:sz w:val="28"/>
      <w:szCs w:val="21"/>
    </w:rPr>
  </w:style>
  <w:style w:type="paragraph" w:customStyle="1" w:styleId="644">
    <w:name w:val="附录三级无"/>
    <w:basedOn w:val="632"/>
    <w:qFormat/>
    <w:uiPriority w:val="0"/>
    <w:pPr>
      <w:tabs>
        <w:tab w:val="clear" w:pos="360"/>
      </w:tabs>
      <w:spacing w:before="0" w:beforeLines="0" w:after="0" w:afterLines="0"/>
    </w:pPr>
    <w:rPr>
      <w:rFonts w:ascii="宋体" w:eastAsia="宋体"/>
      <w:szCs w:val="21"/>
    </w:rPr>
  </w:style>
  <w:style w:type="paragraph" w:customStyle="1" w:styleId="645">
    <w:name w:val="附录一级无"/>
    <w:basedOn w:val="646"/>
    <w:qFormat/>
    <w:uiPriority w:val="0"/>
    <w:pPr>
      <w:tabs>
        <w:tab w:val="left" w:pos="360"/>
        <w:tab w:val="left" w:pos="1418"/>
      </w:tabs>
      <w:spacing w:before="0" w:beforeLines="0" w:after="0" w:afterLines="0"/>
    </w:pPr>
    <w:rPr>
      <w:rFonts w:ascii="宋体" w:eastAsia="宋体"/>
      <w:szCs w:val="21"/>
    </w:rPr>
  </w:style>
  <w:style w:type="paragraph" w:customStyle="1" w:styleId="646">
    <w:name w:val="附录一级条标题"/>
    <w:basedOn w:val="631"/>
    <w:next w:val="145"/>
    <w:qFormat/>
    <w:uiPriority w:val="0"/>
    <w:pPr>
      <w:tabs>
        <w:tab w:val="left" w:pos="1418"/>
        <w:tab w:val="clear" w:pos="992"/>
      </w:tabs>
      <w:autoSpaceDN w:val="0"/>
      <w:spacing w:before="50" w:beforeLines="50" w:after="50" w:afterLines="50"/>
      <w:ind w:left="1418"/>
      <w:outlineLvl w:val="2"/>
    </w:pPr>
  </w:style>
  <w:style w:type="paragraph" w:customStyle="1" w:styleId="647">
    <w:name w:val="图标脚注说明"/>
    <w:basedOn w:val="145"/>
    <w:qFormat/>
    <w:uiPriority w:val="0"/>
    <w:pPr>
      <w:tabs>
        <w:tab w:val="center" w:pos="4201"/>
        <w:tab w:val="right" w:leader="dot" w:pos="9298"/>
      </w:tabs>
      <w:ind w:left="840" w:hanging="420" w:firstLineChars="0"/>
      <w:jc w:val="left"/>
    </w:pPr>
    <w:rPr>
      <w:rFonts w:hAnsiTheme="minorHAnsi" w:eastAsiaTheme="minorEastAsia" w:cstheme="minorBidi"/>
      <w:kern w:val="2"/>
      <w:sz w:val="18"/>
      <w:szCs w:val="18"/>
    </w:rPr>
  </w:style>
  <w:style w:type="paragraph" w:customStyle="1" w:styleId="648">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649">
    <w:name w:val="封面标准名称2"/>
    <w:basedOn w:val="620"/>
    <w:qFormat/>
    <w:uiPriority w:val="0"/>
    <w:pPr>
      <w:framePr w:wrap="around" w:y="4469"/>
      <w:spacing w:before="630" w:beforeLines="630"/>
    </w:pPr>
  </w:style>
  <w:style w:type="paragraph" w:customStyle="1" w:styleId="650">
    <w:name w:val="附录四级条标题"/>
    <w:basedOn w:val="632"/>
    <w:next w:val="145"/>
    <w:qFormat/>
    <w:uiPriority w:val="0"/>
    <w:pPr>
      <w:tabs>
        <w:tab w:val="left" w:pos="3260"/>
        <w:tab w:val="clear" w:pos="2551"/>
      </w:tabs>
      <w:ind w:left="3260" w:hanging="1134"/>
      <w:outlineLvl w:val="5"/>
    </w:pPr>
  </w:style>
  <w:style w:type="paragraph" w:customStyle="1" w:styleId="651">
    <w:name w:val="附录五级条标题"/>
    <w:basedOn w:val="650"/>
    <w:next w:val="145"/>
    <w:qFormat/>
    <w:uiPriority w:val="0"/>
    <w:pPr>
      <w:tabs>
        <w:tab w:val="left" w:pos="3827"/>
        <w:tab w:val="clear" w:pos="3260"/>
      </w:tabs>
      <w:ind w:left="3827" w:hanging="1276"/>
      <w:outlineLvl w:val="6"/>
    </w:pPr>
  </w:style>
  <w:style w:type="paragraph" w:customStyle="1" w:styleId="652">
    <w:name w:val="附录标题"/>
    <w:basedOn w:val="145"/>
    <w:next w:val="145"/>
    <w:qFormat/>
    <w:uiPriority w:val="0"/>
    <w:pPr>
      <w:tabs>
        <w:tab w:val="center" w:pos="4201"/>
        <w:tab w:val="right" w:leader="dot" w:pos="9298"/>
      </w:tabs>
      <w:ind w:firstLine="0" w:firstLineChars="0"/>
      <w:jc w:val="center"/>
    </w:pPr>
    <w:rPr>
      <w:rFonts w:ascii="黑体" w:eastAsia="黑体" w:hAnsiTheme="minorHAnsi" w:cstheme="minorBidi"/>
      <w:kern w:val="2"/>
      <w:sz w:val="24"/>
      <w:szCs w:val="22"/>
    </w:rPr>
  </w:style>
  <w:style w:type="paragraph" w:customStyle="1" w:styleId="653">
    <w:name w:val="封面标准文稿类别2"/>
    <w:basedOn w:val="617"/>
    <w:qFormat/>
    <w:uiPriority w:val="0"/>
    <w:pPr>
      <w:framePr w:wrap="around" w:y="4469"/>
    </w:pPr>
  </w:style>
  <w:style w:type="paragraph" w:customStyle="1" w:styleId="654">
    <w:name w:val="封面标准英文名称2"/>
    <w:basedOn w:val="619"/>
    <w:qFormat/>
    <w:uiPriority w:val="0"/>
    <w:pPr>
      <w:framePr w:wrap="around" w:y="4469"/>
    </w:pPr>
  </w:style>
  <w:style w:type="paragraph" w:customStyle="1" w:styleId="655">
    <w:name w:val="封面标准号2"/>
    <w:qFormat/>
    <w:uiPriority w:val="0"/>
    <w:pPr>
      <w:framePr w:w="9140" w:h="1242" w:hRule="exact" w:hSpace="284" w:wrap="around" w:vAnchor="page" w:hAnchor="page" w:x="1645" w:y="2910" w:anchorLock="1"/>
      <w:spacing w:before="357" w:line="280" w:lineRule="exact"/>
      <w:jc w:val="right"/>
    </w:pPr>
    <w:rPr>
      <w:rFonts w:ascii="黑体" w:hAnsi="Calibri" w:eastAsia="黑体" w:cs="Times New Roman"/>
      <w:sz w:val="28"/>
      <w:szCs w:val="28"/>
      <w:lang w:val="en-US" w:eastAsia="zh-CN" w:bidi="ar-SA"/>
    </w:rPr>
  </w:style>
  <w:style w:type="paragraph" w:customStyle="1" w:styleId="656">
    <w:name w:val="三级无"/>
    <w:basedOn w:val="346"/>
    <w:qFormat/>
    <w:uiPriority w:val="0"/>
    <w:pPr>
      <w:numPr>
        <w:ilvl w:val="0"/>
        <w:numId w:val="0"/>
      </w:numPr>
      <w:spacing w:beforeLines="0" w:afterLines="0"/>
    </w:pPr>
    <w:rPr>
      <w:rFonts w:ascii="宋体" w:hAnsi="Calibri" w:eastAsia="宋体"/>
    </w:rPr>
  </w:style>
  <w:style w:type="paragraph" w:customStyle="1" w:styleId="657">
    <w:name w:val="附录数字编号列项（二级）"/>
    <w:qFormat/>
    <w:uiPriority w:val="0"/>
    <w:pPr>
      <w:numPr>
        <w:ilvl w:val="1"/>
        <w:numId w:val="49"/>
      </w:numPr>
      <w:tabs>
        <w:tab w:val="left" w:pos="840"/>
      </w:tabs>
    </w:pPr>
    <w:rPr>
      <w:rFonts w:ascii="宋体" w:hAnsi="Calibri" w:eastAsia="宋体" w:cs="Times New Roman"/>
      <w:sz w:val="21"/>
      <w:lang w:val="en-US" w:eastAsia="zh-CN" w:bidi="ar-SA"/>
    </w:rPr>
  </w:style>
  <w:style w:type="paragraph" w:customStyle="1" w:styleId="658">
    <w:name w:val="附录字母编号列项（一级）"/>
    <w:qFormat/>
    <w:uiPriority w:val="0"/>
    <w:pPr>
      <w:numPr>
        <w:ilvl w:val="0"/>
        <w:numId w:val="49"/>
      </w:numPr>
      <w:tabs>
        <w:tab w:val="left" w:pos="839"/>
      </w:tabs>
    </w:pPr>
    <w:rPr>
      <w:rFonts w:ascii="宋体" w:hAnsi="Calibri" w:eastAsia="宋体" w:cs="Times New Roman"/>
      <w:sz w:val="21"/>
      <w:lang w:val="en-US" w:eastAsia="zh-CN" w:bidi="ar-SA"/>
    </w:rPr>
  </w:style>
  <w:style w:type="paragraph" w:customStyle="1" w:styleId="659">
    <w:name w:val="发布日期"/>
    <w:qFormat/>
    <w:uiPriority w:val="0"/>
    <w:pPr>
      <w:framePr w:w="3997" w:h="471" w:hRule="exact" w:vSpace="181" w:wrap="around" w:vAnchor="margin" w:hAnchor="page" w:x="7089" w:y="14097" w:anchorLock="1"/>
    </w:pPr>
    <w:rPr>
      <w:rFonts w:ascii="Calibri" w:hAnsi="Calibri" w:eastAsia="黑体" w:cs="Times New Roman"/>
      <w:sz w:val="28"/>
      <w:lang w:val="en-US" w:eastAsia="zh-CN" w:bidi="ar-SA"/>
    </w:rPr>
  </w:style>
  <w:style w:type="paragraph" w:customStyle="1" w:styleId="660">
    <w:name w:val="文献分类号"/>
    <w:qFormat/>
    <w:uiPriority w:val="0"/>
    <w:pPr>
      <w:framePr w:hSpace="180" w:vSpace="180" w:wrap="around" w:vAnchor="margin" w:hAnchor="margin" w:y="1" w:anchorLock="1"/>
      <w:widowControl w:val="0"/>
      <w:textAlignment w:val="center"/>
    </w:pPr>
    <w:rPr>
      <w:rFonts w:ascii="黑体" w:hAnsi="Calibri" w:eastAsia="黑体" w:cs="Times New Roman"/>
      <w:sz w:val="21"/>
      <w:szCs w:val="21"/>
      <w:lang w:val="en-US" w:eastAsia="zh-CN" w:bidi="ar-SA"/>
    </w:rPr>
  </w:style>
  <w:style w:type="paragraph" w:customStyle="1" w:styleId="661">
    <w:name w:val="附录四级无"/>
    <w:basedOn w:val="650"/>
    <w:qFormat/>
    <w:uiPriority w:val="0"/>
    <w:pPr>
      <w:tabs>
        <w:tab w:val="clear" w:pos="360"/>
      </w:tabs>
      <w:spacing w:before="0" w:beforeLines="0" w:after="0" w:afterLines="0"/>
    </w:pPr>
    <w:rPr>
      <w:rFonts w:ascii="宋体" w:eastAsia="宋体"/>
      <w:szCs w:val="21"/>
    </w:rPr>
  </w:style>
  <w:style w:type="paragraph" w:customStyle="1" w:styleId="662">
    <w:name w:val="封面一致性程度标识2"/>
    <w:basedOn w:val="618"/>
    <w:qFormat/>
    <w:uiPriority w:val="0"/>
    <w:pPr>
      <w:framePr w:wrap="around" w:y="4469"/>
    </w:pPr>
  </w:style>
  <w:style w:type="paragraph" w:customStyle="1" w:styleId="663">
    <w:name w:val="实施日期"/>
    <w:basedOn w:val="659"/>
    <w:qFormat/>
    <w:uiPriority w:val="0"/>
    <w:pPr>
      <w:framePr w:wrap="around" w:vAnchor="page" w:hAnchor="text"/>
      <w:jc w:val="right"/>
    </w:pPr>
  </w:style>
  <w:style w:type="paragraph" w:customStyle="1" w:styleId="664">
    <w:name w:val="注×：（正文）"/>
    <w:qFormat/>
    <w:uiPriority w:val="0"/>
    <w:pPr>
      <w:ind w:left="833" w:hanging="408"/>
      <w:jc w:val="both"/>
    </w:pPr>
    <w:rPr>
      <w:rFonts w:ascii="宋体" w:hAnsi="Calibri" w:eastAsia="宋体" w:cs="Times New Roman"/>
      <w:sz w:val="18"/>
      <w:szCs w:val="18"/>
      <w:lang w:val="en-US" w:eastAsia="zh-CN" w:bidi="ar-SA"/>
    </w:rPr>
  </w:style>
  <w:style w:type="paragraph" w:customStyle="1" w:styleId="66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Calibri" w:hAnsi="Calibri" w:eastAsia="宋体" w:cs="Times New Roman"/>
      <w:b/>
      <w:w w:val="170"/>
      <w:sz w:val="96"/>
      <w:szCs w:val="96"/>
      <w:lang w:val="en-US" w:eastAsia="zh-CN" w:bidi="ar-SA"/>
    </w:rPr>
  </w:style>
  <w:style w:type="paragraph" w:customStyle="1" w:styleId="666">
    <w:name w:val="标准书脚_奇数页"/>
    <w:qFormat/>
    <w:uiPriority w:val="0"/>
    <w:pPr>
      <w:spacing w:before="120"/>
      <w:ind w:right="198"/>
      <w:jc w:val="right"/>
    </w:pPr>
    <w:rPr>
      <w:rFonts w:ascii="宋体" w:hAnsi="Calibri" w:eastAsia="宋体" w:cs="Times New Roman"/>
      <w:sz w:val="18"/>
      <w:szCs w:val="18"/>
      <w:lang w:val="en-US" w:eastAsia="zh-CN" w:bidi="ar-SA"/>
    </w:rPr>
  </w:style>
  <w:style w:type="paragraph" w:customStyle="1" w:styleId="667">
    <w:name w:val="示例后文字"/>
    <w:basedOn w:val="145"/>
    <w:next w:val="145"/>
    <w:qFormat/>
    <w:uiPriority w:val="0"/>
    <w:pPr>
      <w:tabs>
        <w:tab w:val="center" w:pos="4201"/>
        <w:tab w:val="right" w:leader="dot" w:pos="9298"/>
      </w:tabs>
      <w:ind w:firstLine="360"/>
      <w:jc w:val="left"/>
    </w:pPr>
    <w:rPr>
      <w:rFonts w:hAnsiTheme="minorHAnsi" w:eastAsiaTheme="minorEastAsia" w:cstheme="minorBidi"/>
      <w:kern w:val="2"/>
      <w:sz w:val="18"/>
      <w:szCs w:val="22"/>
    </w:rPr>
  </w:style>
  <w:style w:type="paragraph" w:customStyle="1" w:styleId="668">
    <w:name w:val="附录五级无"/>
    <w:basedOn w:val="651"/>
    <w:qFormat/>
    <w:uiPriority w:val="0"/>
    <w:pPr>
      <w:tabs>
        <w:tab w:val="clear" w:pos="360"/>
      </w:tabs>
      <w:spacing w:before="0" w:beforeLines="0" w:after="0" w:afterLines="0"/>
    </w:pPr>
    <w:rPr>
      <w:rFonts w:ascii="宋体" w:eastAsia="宋体"/>
      <w:szCs w:val="21"/>
    </w:rPr>
  </w:style>
  <w:style w:type="paragraph" w:customStyle="1" w:styleId="66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48"/>
      <w:lang w:val="en-US" w:eastAsia="zh-CN" w:bidi="ar-SA"/>
    </w:rPr>
  </w:style>
  <w:style w:type="paragraph" w:customStyle="1" w:styleId="670">
    <w:name w:val="目次、标准名称标题"/>
    <w:basedOn w:val="1"/>
    <w:next w:val="145"/>
    <w:qFormat/>
    <w:uiPriority w:val="0"/>
    <w:pPr>
      <w:keepNext/>
      <w:pageBreakBefore/>
      <w:widowControl/>
      <w:shd w:val="clear" w:color="FFFFFF" w:fill="FFFFFF"/>
      <w:spacing w:before="640" w:after="560" w:line="460" w:lineRule="exact"/>
      <w:ind w:firstLine="0" w:firstLineChars="0"/>
      <w:jc w:val="center"/>
      <w:outlineLvl w:val="0"/>
    </w:pPr>
    <w:rPr>
      <w:rFonts w:ascii="黑体" w:hAnsi="Calibri" w:eastAsia="黑体"/>
      <w:kern w:val="0"/>
      <w:sz w:val="32"/>
      <w:szCs w:val="20"/>
    </w:rPr>
  </w:style>
  <w:style w:type="paragraph" w:customStyle="1" w:styleId="671">
    <w:name w:val="四级无"/>
    <w:basedOn w:val="347"/>
    <w:qFormat/>
    <w:uiPriority w:val="0"/>
    <w:pPr>
      <w:numPr>
        <w:ilvl w:val="4"/>
        <w:numId w:val="0"/>
      </w:numPr>
      <w:spacing w:beforeLines="0" w:afterLines="0"/>
    </w:pPr>
    <w:rPr>
      <w:rFonts w:ascii="宋体" w:hAnsi="Calibri" w:eastAsia="宋体"/>
    </w:rPr>
  </w:style>
  <w:style w:type="paragraph" w:customStyle="1" w:styleId="672">
    <w:name w:val="其他发布部门"/>
    <w:basedOn w:val="642"/>
    <w:qFormat/>
    <w:uiPriority w:val="0"/>
    <w:pPr>
      <w:framePr w:wrap="around" w:y="15310"/>
      <w:spacing w:line="0" w:lineRule="atLeast"/>
    </w:pPr>
    <w:rPr>
      <w:rFonts w:ascii="黑体" w:eastAsia="黑体"/>
      <w:b w:val="0"/>
    </w:rPr>
  </w:style>
  <w:style w:type="paragraph" w:customStyle="1" w:styleId="673">
    <w:name w:val="图表脚注说明"/>
    <w:basedOn w:val="1"/>
    <w:qFormat/>
    <w:uiPriority w:val="0"/>
    <w:pPr>
      <w:widowControl/>
      <w:numPr>
        <w:ilvl w:val="0"/>
        <w:numId w:val="50"/>
      </w:numPr>
      <w:ind w:firstLine="0" w:firstLineChars="0"/>
      <w:jc w:val="left"/>
    </w:pPr>
    <w:rPr>
      <w:rFonts w:hAnsi="Calibri"/>
      <w:kern w:val="0"/>
      <w:sz w:val="18"/>
      <w:szCs w:val="18"/>
    </w:rPr>
  </w:style>
  <w:style w:type="paragraph" w:customStyle="1" w:styleId="674">
    <w:name w:val="二级无"/>
    <w:basedOn w:val="345"/>
    <w:qFormat/>
    <w:uiPriority w:val="0"/>
    <w:pPr>
      <w:numPr>
        <w:ilvl w:val="0"/>
        <w:numId w:val="0"/>
      </w:numPr>
      <w:spacing w:beforeLines="0" w:afterLines="0"/>
    </w:pPr>
    <w:rPr>
      <w:rFonts w:ascii="宋体" w:hAnsi="Calibri" w:eastAsia="宋体"/>
    </w:rPr>
  </w:style>
  <w:style w:type="paragraph" w:customStyle="1" w:styleId="675">
    <w:name w:val="其他发布日期"/>
    <w:basedOn w:val="659"/>
    <w:qFormat/>
    <w:uiPriority w:val="0"/>
    <w:pPr>
      <w:framePr w:wrap="around" w:vAnchor="page" w:hAnchor="text" w:x="1419"/>
    </w:pPr>
  </w:style>
  <w:style w:type="paragraph" w:customStyle="1" w:styleId="676">
    <w:name w:val="一级无"/>
    <w:basedOn w:val="343"/>
    <w:qFormat/>
    <w:uiPriority w:val="0"/>
    <w:pPr>
      <w:spacing w:beforeLines="0" w:afterLines="0"/>
      <w:ind w:left="0"/>
    </w:pPr>
    <w:rPr>
      <w:rFonts w:ascii="宋体" w:hAnsi="Calibri" w:eastAsia="宋体"/>
    </w:rPr>
  </w:style>
  <w:style w:type="paragraph" w:customStyle="1" w:styleId="677">
    <w:name w:val="标准书眉一"/>
    <w:qFormat/>
    <w:uiPriority w:val="0"/>
    <w:pPr>
      <w:jc w:val="both"/>
    </w:pPr>
    <w:rPr>
      <w:rFonts w:ascii="Calibri" w:hAnsi="Calibri" w:eastAsia="宋体" w:cs="Times New Roman"/>
      <w:lang w:val="en-US" w:eastAsia="zh-CN" w:bidi="ar-SA"/>
    </w:rPr>
  </w:style>
  <w:style w:type="paragraph" w:customStyle="1" w:styleId="678">
    <w:name w:val="列项说明数字编号"/>
    <w:qFormat/>
    <w:uiPriority w:val="0"/>
    <w:pPr>
      <w:ind w:left="600" w:leftChars="400" w:hanging="200" w:hangingChars="200"/>
    </w:pPr>
    <w:rPr>
      <w:rFonts w:ascii="宋体" w:hAnsi="Calibri" w:eastAsia="宋体" w:cs="Times New Roman"/>
      <w:sz w:val="21"/>
      <w:lang w:val="en-US" w:eastAsia="zh-CN" w:bidi="ar-SA"/>
    </w:rPr>
  </w:style>
  <w:style w:type="paragraph" w:customStyle="1" w:styleId="679">
    <w:name w:val="其他实施日期"/>
    <w:basedOn w:val="663"/>
    <w:qFormat/>
    <w:uiPriority w:val="0"/>
    <w:pPr>
      <w:framePr w:wrap="around"/>
    </w:pPr>
  </w:style>
  <w:style w:type="paragraph" w:customStyle="1" w:styleId="680">
    <w:name w:val="图的脚注"/>
    <w:next w:val="145"/>
    <w:qFormat/>
    <w:uiPriority w:val="0"/>
    <w:pPr>
      <w:widowControl w:val="0"/>
      <w:ind w:left="840" w:leftChars="200" w:hanging="420" w:hangingChars="200"/>
      <w:jc w:val="both"/>
    </w:pPr>
    <w:rPr>
      <w:rFonts w:ascii="宋体" w:hAnsi="Calibri" w:eastAsia="宋体" w:cs="Times New Roman"/>
      <w:sz w:val="18"/>
      <w:lang w:val="en-US" w:eastAsia="zh-CN" w:bidi="ar-SA"/>
    </w:rPr>
  </w:style>
  <w:style w:type="paragraph" w:customStyle="1" w:styleId="681">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682">
    <w:name w:val="其他标准标志"/>
    <w:basedOn w:val="665"/>
    <w:qFormat/>
    <w:uiPriority w:val="0"/>
    <w:pPr>
      <w:framePr w:w="6101" w:wrap="around" w:vAnchor="page" w:hAnchor="page" w:x="4673" w:y="942"/>
    </w:pPr>
    <w:rPr>
      <w:w w:val="130"/>
    </w:rPr>
  </w:style>
  <w:style w:type="paragraph" w:customStyle="1" w:styleId="683">
    <w:name w:val="附录二级无"/>
    <w:basedOn w:val="633"/>
    <w:qFormat/>
    <w:uiPriority w:val="0"/>
    <w:pPr>
      <w:tabs>
        <w:tab w:val="clear" w:pos="360"/>
      </w:tabs>
      <w:spacing w:before="0" w:beforeLines="0" w:after="0" w:afterLines="0"/>
    </w:pPr>
    <w:rPr>
      <w:rFonts w:ascii="宋体" w:eastAsia="宋体"/>
      <w:szCs w:val="21"/>
    </w:rPr>
  </w:style>
  <w:style w:type="paragraph" w:customStyle="1" w:styleId="684">
    <w:name w:val="标准书脚_偶数页"/>
    <w:qFormat/>
    <w:uiPriority w:val="0"/>
    <w:pPr>
      <w:spacing w:before="120"/>
      <w:ind w:left="221"/>
    </w:pPr>
    <w:rPr>
      <w:rFonts w:ascii="宋体" w:hAnsi="Calibri" w:eastAsia="宋体" w:cs="Times New Roman"/>
      <w:sz w:val="18"/>
      <w:szCs w:val="18"/>
      <w:lang w:val="en-US" w:eastAsia="zh-CN" w:bidi="ar-SA"/>
    </w:rPr>
  </w:style>
  <w:style w:type="paragraph" w:customStyle="1" w:styleId="685">
    <w:name w:val="五级无"/>
    <w:basedOn w:val="348"/>
    <w:qFormat/>
    <w:uiPriority w:val="0"/>
    <w:pPr>
      <w:numPr>
        <w:numId w:val="0"/>
      </w:numPr>
      <w:spacing w:beforeLines="0" w:afterLines="0"/>
    </w:pPr>
    <w:rPr>
      <w:rFonts w:ascii="宋体" w:hAnsi="Calibri" w:eastAsia="宋体"/>
    </w:rPr>
  </w:style>
  <w:style w:type="paragraph" w:customStyle="1" w:styleId="686">
    <w:name w:val="font7"/>
    <w:basedOn w:val="1"/>
    <w:qFormat/>
    <w:uiPriority w:val="0"/>
    <w:pPr>
      <w:widowControl/>
      <w:spacing w:before="100" w:beforeAutospacing="1" w:after="100" w:afterAutospacing="1" w:line="240" w:lineRule="auto"/>
      <w:ind w:firstLine="0" w:firstLineChars="0"/>
      <w:jc w:val="left"/>
    </w:pPr>
    <w:rPr>
      <w:rFonts w:ascii="Calibri" w:hAnsi="Calibri" w:cs="Calibri"/>
      <w:color w:val="000000"/>
      <w:kern w:val="0"/>
      <w:szCs w:val="21"/>
    </w:rPr>
  </w:style>
  <w:style w:type="character" w:customStyle="1" w:styleId="687">
    <w:name w:val="正文YK Char"/>
    <w:link w:val="688"/>
    <w:qFormat/>
    <w:uiPriority w:val="0"/>
    <w:rPr>
      <w:rFonts w:ascii="仿宋_GB2312" w:hAnsi="宋体" w:eastAsia="仿宋_GB2312"/>
      <w:sz w:val="32"/>
      <w:szCs w:val="18"/>
    </w:rPr>
  </w:style>
  <w:style w:type="paragraph" w:customStyle="1" w:styleId="688">
    <w:name w:val="正文YK"/>
    <w:basedOn w:val="1"/>
    <w:link w:val="687"/>
    <w:qFormat/>
    <w:uiPriority w:val="0"/>
    <w:pPr>
      <w:widowControl/>
      <w:ind w:firstLine="601" w:firstLineChars="0"/>
      <w:jc w:val="left"/>
    </w:pPr>
    <w:rPr>
      <w:rFonts w:ascii="仿宋_GB2312" w:eastAsia="仿宋_GB2312"/>
      <w:kern w:val="0"/>
      <w:sz w:val="32"/>
      <w:szCs w:val="18"/>
    </w:rPr>
  </w:style>
  <w:style w:type="paragraph" w:customStyle="1" w:styleId="689">
    <w:name w:val="段落正文"/>
    <w:basedOn w:val="1"/>
    <w:link w:val="690"/>
    <w:qFormat/>
    <w:uiPriority w:val="0"/>
    <w:pPr>
      <w:widowControl/>
      <w:ind w:firstLine="200"/>
      <w:jc w:val="left"/>
    </w:pPr>
    <w:rPr>
      <w:rFonts w:ascii="Times New Roman" w:hAnsi="Times New Roman"/>
      <w:kern w:val="0"/>
    </w:rPr>
  </w:style>
  <w:style w:type="character" w:customStyle="1" w:styleId="690">
    <w:name w:val="段落正文 Char"/>
    <w:link w:val="689"/>
    <w:qFormat/>
    <w:uiPriority w:val="0"/>
    <w:rPr>
      <w:sz w:val="24"/>
      <w:szCs w:val="24"/>
    </w:rPr>
  </w:style>
  <w:style w:type="table" w:customStyle="1" w:styleId="691">
    <w:name w:val="无格式表格 11"/>
    <w:basedOn w:val="59"/>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692">
    <w:name w:val="二期1级标题"/>
    <w:basedOn w:val="2"/>
    <w:next w:val="1"/>
    <w:qFormat/>
    <w:uiPriority w:val="0"/>
    <w:pPr>
      <w:pageBreakBefore/>
      <w:widowControl/>
      <w:numPr>
        <w:ilvl w:val="0"/>
        <w:numId w:val="51"/>
      </w:numPr>
      <w:pBdr>
        <w:top w:val="single" w:color="ED7D31" w:sz="18" w:space="1"/>
      </w:pBdr>
      <w:spacing w:before="240" w:after="240" w:line="240" w:lineRule="auto"/>
    </w:pPr>
    <w:rPr>
      <w:rFonts w:ascii="Times New Roman" w:hAnsi="Times New Roman" w:eastAsia="仿宋"/>
      <w:color w:val="ED7D31"/>
      <w:sz w:val="40"/>
      <w:szCs w:val="44"/>
    </w:rPr>
  </w:style>
  <w:style w:type="paragraph" w:customStyle="1" w:styleId="693">
    <w:name w:val="二期2级标题"/>
    <w:basedOn w:val="3"/>
    <w:next w:val="1"/>
    <w:qFormat/>
    <w:uiPriority w:val="0"/>
    <w:pPr>
      <w:widowControl/>
      <w:numPr>
        <w:numId w:val="51"/>
      </w:numPr>
      <w:pBdr>
        <w:top w:val="dashSmallGap" w:color="0066FF" w:sz="12" w:space="1"/>
      </w:pBdr>
      <w:spacing w:line="240" w:lineRule="auto"/>
      <w:jc w:val="left"/>
    </w:pPr>
    <w:rPr>
      <w:rFonts w:ascii="Times New Roman" w:hAnsi="Times New Roman"/>
      <w:color w:val="0066FF"/>
      <w:kern w:val="0"/>
      <w:sz w:val="28"/>
    </w:rPr>
  </w:style>
  <w:style w:type="paragraph" w:customStyle="1" w:styleId="694">
    <w:name w:val="二期3级标题"/>
    <w:basedOn w:val="4"/>
    <w:next w:val="1"/>
    <w:qFormat/>
    <w:uiPriority w:val="0"/>
    <w:pPr>
      <w:widowControl/>
      <w:numPr>
        <w:numId w:val="51"/>
      </w:numPr>
      <w:pBdr>
        <w:top w:val="dashSmallGap" w:color="AEAAAA" w:sz="4" w:space="1"/>
      </w:pBdr>
      <w:spacing w:before="60" w:after="60" w:line="240" w:lineRule="auto"/>
      <w:jc w:val="left"/>
    </w:pPr>
    <w:rPr>
      <w:rFonts w:ascii="Times New Roman" w:hAnsi="Times New Roman" w:eastAsia="仿宋"/>
      <w:kern w:val="0"/>
      <w:szCs w:val="32"/>
    </w:rPr>
  </w:style>
  <w:style w:type="paragraph" w:customStyle="1" w:styleId="695">
    <w:name w:val="二期4级标题"/>
    <w:basedOn w:val="5"/>
    <w:next w:val="1"/>
    <w:link w:val="696"/>
    <w:qFormat/>
    <w:uiPriority w:val="0"/>
    <w:pPr>
      <w:widowControl/>
      <w:numPr>
        <w:numId w:val="51"/>
      </w:numPr>
      <w:spacing w:before="60" w:after="60" w:line="240" w:lineRule="auto"/>
      <w:jc w:val="left"/>
    </w:pPr>
    <w:rPr>
      <w:rFonts w:ascii="Times New Roman" w:hAnsi="Times New Roman" w:eastAsia="仿宋"/>
      <w:b w:val="0"/>
      <w:color w:val="000000"/>
      <w:kern w:val="0"/>
      <w:sz w:val="28"/>
      <w:szCs w:val="28"/>
    </w:rPr>
  </w:style>
  <w:style w:type="character" w:customStyle="1" w:styleId="696">
    <w:name w:val="二期4级标题 Char"/>
    <w:link w:val="695"/>
    <w:qFormat/>
    <w:uiPriority w:val="0"/>
    <w:rPr>
      <w:rFonts w:eastAsia="仿宋"/>
      <w:bCs/>
      <w:color w:val="000000"/>
      <w:sz w:val="28"/>
      <w:szCs w:val="28"/>
    </w:rPr>
  </w:style>
  <w:style w:type="paragraph" w:customStyle="1" w:styleId="697">
    <w:name w:val="二期5级标题"/>
    <w:basedOn w:val="6"/>
    <w:next w:val="1"/>
    <w:qFormat/>
    <w:uiPriority w:val="0"/>
    <w:pPr>
      <w:numPr>
        <w:numId w:val="51"/>
      </w:numPr>
      <w:spacing w:before="60" w:after="60" w:line="240" w:lineRule="auto"/>
    </w:pPr>
    <w:rPr>
      <w:rFonts w:ascii="Times New Roman" w:hAnsi="Times New Roman" w:eastAsia="仿宋"/>
      <w:b w:val="0"/>
      <w:color w:val="000000"/>
      <w:kern w:val="0"/>
    </w:rPr>
  </w:style>
  <w:style w:type="paragraph" w:customStyle="1" w:styleId="698">
    <w:name w:val="二期6级标题"/>
    <w:basedOn w:val="7"/>
    <w:next w:val="1"/>
    <w:qFormat/>
    <w:uiPriority w:val="0"/>
    <w:pPr>
      <w:widowControl/>
      <w:numPr>
        <w:numId w:val="51"/>
      </w:numPr>
      <w:spacing w:before="60" w:after="60" w:line="240" w:lineRule="auto"/>
      <w:jc w:val="left"/>
    </w:pPr>
    <w:rPr>
      <w:rFonts w:ascii="Times New Roman" w:hAnsi="Times New Roman" w:eastAsia="仿宋"/>
      <w:b w:val="0"/>
      <w:color w:val="000000"/>
      <w:kern w:val="0"/>
    </w:rPr>
  </w:style>
  <w:style w:type="paragraph" w:customStyle="1" w:styleId="699">
    <w:name w:val="二期正文（缩进）"/>
    <w:basedOn w:val="1"/>
    <w:link w:val="700"/>
    <w:qFormat/>
    <w:uiPriority w:val="0"/>
    <w:pPr>
      <w:widowControl/>
      <w:spacing w:after="120" w:line="300" w:lineRule="auto"/>
      <w:jc w:val="left"/>
    </w:pPr>
    <w:rPr>
      <w:rFonts w:ascii="Times New Roman" w:hAnsi="Times New Roman"/>
      <w:kern w:val="0"/>
      <w:szCs w:val="20"/>
    </w:rPr>
  </w:style>
  <w:style w:type="character" w:customStyle="1" w:styleId="700">
    <w:name w:val="二期正文（缩进） Char"/>
    <w:basedOn w:val="63"/>
    <w:link w:val="699"/>
    <w:qFormat/>
    <w:uiPriority w:val="0"/>
    <w:rPr>
      <w:sz w:val="24"/>
    </w:rPr>
  </w:style>
  <w:style w:type="paragraph" w:customStyle="1" w:styleId="701">
    <w:name w:val="二期正文列表1级序号"/>
    <w:basedOn w:val="1"/>
    <w:link w:val="702"/>
    <w:qFormat/>
    <w:uiPriority w:val="0"/>
    <w:pPr>
      <w:widowControl/>
      <w:numPr>
        <w:ilvl w:val="6"/>
        <w:numId w:val="51"/>
      </w:numPr>
      <w:spacing w:line="300" w:lineRule="auto"/>
      <w:ind w:firstLineChars="0"/>
      <w:jc w:val="left"/>
    </w:pPr>
    <w:rPr>
      <w:rFonts w:ascii="Times New Roman" w:hAnsi="Times New Roman"/>
      <w:kern w:val="0"/>
      <w:szCs w:val="20"/>
    </w:rPr>
  </w:style>
  <w:style w:type="character" w:customStyle="1" w:styleId="702">
    <w:name w:val="二期正文列表1级序号 Char"/>
    <w:link w:val="701"/>
    <w:qFormat/>
    <w:uiPriority w:val="0"/>
    <w:rPr>
      <w:sz w:val="24"/>
    </w:rPr>
  </w:style>
  <w:style w:type="paragraph" w:customStyle="1" w:styleId="703">
    <w:name w:val="二期正文列表2级序号"/>
    <w:basedOn w:val="1"/>
    <w:link w:val="704"/>
    <w:qFormat/>
    <w:uiPriority w:val="0"/>
    <w:pPr>
      <w:widowControl/>
      <w:numPr>
        <w:ilvl w:val="7"/>
        <w:numId w:val="51"/>
      </w:numPr>
      <w:spacing w:line="300" w:lineRule="auto"/>
      <w:ind w:firstLineChars="0"/>
      <w:jc w:val="left"/>
    </w:pPr>
    <w:rPr>
      <w:rFonts w:ascii="Times New Roman" w:hAnsi="Times New Roman"/>
      <w:kern w:val="0"/>
      <w:szCs w:val="20"/>
    </w:rPr>
  </w:style>
  <w:style w:type="character" w:customStyle="1" w:styleId="704">
    <w:name w:val="二期正文列表2级序号 Char"/>
    <w:link w:val="703"/>
    <w:qFormat/>
    <w:uiPriority w:val="0"/>
    <w:rPr>
      <w:sz w:val="24"/>
    </w:rPr>
  </w:style>
  <w:style w:type="paragraph" w:customStyle="1" w:styleId="705">
    <w:name w:val="0可研正文"/>
    <w:basedOn w:val="1"/>
    <w:link w:val="706"/>
    <w:qFormat/>
    <w:uiPriority w:val="0"/>
    <w:pPr>
      <w:widowControl/>
      <w:ind w:firstLine="200"/>
      <w:jc w:val="left"/>
    </w:pPr>
    <w:rPr>
      <w:rFonts w:ascii="仿宋" w:hAnsi="仿宋" w:eastAsia="仿宋" w:cs="宋体"/>
      <w:kern w:val="0"/>
      <w:sz w:val="28"/>
      <w:szCs w:val="28"/>
    </w:rPr>
  </w:style>
  <w:style w:type="character" w:customStyle="1" w:styleId="706">
    <w:name w:val="0可研正文 字符"/>
    <w:link w:val="705"/>
    <w:qFormat/>
    <w:uiPriority w:val="0"/>
    <w:rPr>
      <w:rFonts w:ascii="仿宋" w:hAnsi="仿宋" w:eastAsia="仿宋" w:cs="宋体"/>
      <w:sz w:val="28"/>
      <w:szCs w:val="28"/>
    </w:rPr>
  </w:style>
  <w:style w:type="paragraph" w:customStyle="1" w:styleId="707">
    <w:name w:val="0表格"/>
    <w:basedOn w:val="1"/>
    <w:link w:val="708"/>
    <w:qFormat/>
    <w:uiPriority w:val="0"/>
    <w:pPr>
      <w:widowControl/>
      <w:ind w:firstLine="0" w:firstLineChars="0"/>
      <w:jc w:val="left"/>
    </w:pPr>
    <w:rPr>
      <w:rFonts w:ascii="仿宋" w:eastAsia="仿宋" w:cs="宋体"/>
      <w:kern w:val="0"/>
    </w:rPr>
  </w:style>
  <w:style w:type="character" w:customStyle="1" w:styleId="708">
    <w:name w:val="0表格 Char"/>
    <w:basedOn w:val="63"/>
    <w:link w:val="707"/>
    <w:qFormat/>
    <w:uiPriority w:val="0"/>
    <w:rPr>
      <w:rFonts w:ascii="仿宋" w:hAnsi="宋体" w:eastAsia="仿宋" w:cs="宋体"/>
      <w:sz w:val="24"/>
      <w:szCs w:val="24"/>
    </w:rPr>
  </w:style>
  <w:style w:type="table" w:customStyle="1" w:styleId="709">
    <w:name w:val="Gridding1"/>
    <w:basedOn w:val="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0">
    <w:name w:val="网格型2"/>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1">
    <w:name w:val="FA正文"/>
    <w:basedOn w:val="1"/>
    <w:qFormat/>
    <w:uiPriority w:val="0"/>
    <w:pPr>
      <w:widowControl/>
      <w:jc w:val="left"/>
    </w:pPr>
    <w:rPr>
      <w:rFonts w:cs="宋体"/>
      <w:kern w:val="0"/>
      <w:szCs w:val="21"/>
    </w:rPr>
  </w:style>
  <w:style w:type="character" w:customStyle="1" w:styleId="712">
    <w:name w:val="未处理的提及5"/>
    <w:basedOn w:val="63"/>
    <w:semiHidden/>
    <w:unhideWhenUsed/>
    <w:qFormat/>
    <w:uiPriority w:val="99"/>
    <w:rPr>
      <w:color w:val="605E5C"/>
      <w:shd w:val="clear" w:color="auto" w:fill="E1DFDD"/>
    </w:rPr>
  </w:style>
  <w:style w:type="character" w:customStyle="1" w:styleId="713">
    <w:name w:val="font11"/>
    <w:basedOn w:val="63"/>
    <w:qFormat/>
    <w:uiPriority w:val="0"/>
    <w:rPr>
      <w:rFonts w:hint="eastAsia" w:ascii="宋体" w:hAnsi="宋体" w:eastAsia="宋体" w:cs="宋体"/>
      <w:b/>
      <w:bCs/>
      <w:color w:val="000000"/>
      <w:sz w:val="22"/>
      <w:szCs w:val="22"/>
      <w:u w:val="none"/>
    </w:rPr>
  </w:style>
  <w:style w:type="paragraph" w:customStyle="1" w:styleId="714">
    <w:name w:val="样式 标题 4 + 右侧:  0.42 厘米"/>
    <w:basedOn w:val="5"/>
    <w:qFormat/>
    <w:uiPriority w:val="0"/>
    <w:pPr>
      <w:spacing w:before="0" w:after="0"/>
      <w:ind w:left="0"/>
    </w:pPr>
    <w:rPr>
      <w:rFonts w:cs="宋体"/>
      <w:sz w:val="22"/>
      <w:szCs w:val="20"/>
    </w:rPr>
  </w:style>
  <w:style w:type="paragraph" w:customStyle="1" w:styleId="715">
    <w:name w:val="修订3"/>
    <w:hidden/>
    <w:unhideWhenUsed/>
    <w:qFormat/>
    <w:uiPriority w:val="99"/>
    <w:rPr>
      <w:rFonts w:ascii="宋体" w:hAnsi="宋体" w:eastAsia="宋体" w:cs="Times New Roman"/>
      <w:kern w:val="2"/>
      <w:sz w:val="24"/>
      <w:szCs w:val="24"/>
      <w:lang w:val="en-US" w:eastAsia="zh-CN" w:bidi="ar-SA"/>
    </w:rPr>
  </w:style>
  <w:style w:type="paragraph" w:customStyle="1" w:styleId="716">
    <w:name w:val="修订4"/>
    <w:hidden/>
    <w:unhideWhenUsed/>
    <w:qFormat/>
    <w:uiPriority w:val="99"/>
    <w:rPr>
      <w:rFonts w:ascii="宋体" w:hAnsi="宋体" w:eastAsia="宋体" w:cs="Times New Roman"/>
      <w:kern w:val="2"/>
      <w:sz w:val="24"/>
      <w:szCs w:val="24"/>
      <w:lang w:val="en-US" w:eastAsia="zh-CN" w:bidi="ar-SA"/>
    </w:rPr>
  </w:style>
  <w:style w:type="paragraph" w:customStyle="1" w:styleId="717">
    <w:name w:val="修订5"/>
    <w:hidden/>
    <w:semiHidden/>
    <w:qFormat/>
    <w:uiPriority w:val="99"/>
    <w:rPr>
      <w:rFonts w:ascii="宋体" w:hAnsi="宋体" w:eastAsia="宋体" w:cs="Times New Roman"/>
      <w:kern w:val="2"/>
      <w:sz w:val="24"/>
      <w:szCs w:val="24"/>
      <w:lang w:val="en-US" w:eastAsia="zh-CN" w:bidi="ar-SA"/>
    </w:rPr>
  </w:style>
  <w:style w:type="paragraph" w:customStyle="1" w:styleId="718">
    <w:name w:val="修订6"/>
    <w:hidden/>
    <w:unhideWhenUsed/>
    <w:qFormat/>
    <w:uiPriority w:val="99"/>
    <w:rPr>
      <w:rFonts w:ascii="宋体" w:hAnsi="宋体" w:eastAsia="宋体" w:cs="Times New Roman"/>
      <w:kern w:val="2"/>
      <w:sz w:val="24"/>
      <w:szCs w:val="24"/>
      <w:lang w:val="en-US" w:eastAsia="zh-CN" w:bidi="ar-SA"/>
    </w:rPr>
  </w:style>
  <w:style w:type="paragraph" w:customStyle="1" w:styleId="719">
    <w:name w:val="修订7"/>
    <w:hidden/>
    <w:semiHidden/>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66</Pages>
  <Words>1473</Words>
  <Characters>1514</Characters>
  <Lines>529</Lines>
  <Paragraphs>148</Paragraphs>
  <TotalTime>14</TotalTime>
  <ScaleCrop>false</ScaleCrop>
  <LinksUpToDate>false</LinksUpToDate>
  <CharactersWithSpaces>1514</CharactersWithSpaces>
  <Application>WPS Office_12.1.2.22550_F1E327BC-269C-435d-A152-05C5408002CA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2024-12-12T04:32:00Z</dcterms:created>
  <dc:creator>gtig_tzb</dc:creator>
  <cp:lastModifiedBy>顾文林</cp:lastModifiedBy>
  <cp:lastPrinted>2020-08-15T20:08:00Z</cp:lastPrinted>
  <dcterms:modified xsi:type="dcterms:W3CDTF">2025-10-27T09:12:29Z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2052-12.1.2.22550</vt:lpwstr>
  </property>
  <property fmtid="{D5CDD505-2E9C-101B-9397-08002B2CF9AE}" pid="3" name="ICV">
    <vt:lpwstr>BC43F0D7DD4526D5D88CEC68A16EB6F3_43</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1733125438</vt:lpwstr>
  </property>
  <property fmtid="{D5CDD505-2E9C-101B-9397-08002B2CF9AE}" pid="8" name="KSOTemplateDocerSaveRecord">
    <vt:lpwstr>eyJoZGlkIjoiN2YzNjBkOTgyNWQ1YTMxYzM3MzMwNWFiODNmOWIzYWMiLCJ1c2VySWQiOiIxMDI4MzYwMjQwIn0=</vt:lpwstr>
  </property>
</Properties>
</file>