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15815">
      <w:pPr>
        <w:spacing w:line="600" w:lineRule="exact"/>
        <w:jc w:val="center"/>
        <w:rPr>
          <w:rFonts w:hint="eastAsia" w:ascii="黑体" w:hAnsi="黑体" w:eastAsia="黑体" w:cs="方正小标宋_GBK"/>
          <w:sz w:val="40"/>
          <w:szCs w:val="40"/>
        </w:rPr>
      </w:pPr>
      <w:r>
        <w:rPr>
          <w:rFonts w:hint="eastAsia" w:ascii="黑体" w:hAnsi="黑体" w:eastAsia="黑体" w:cs="方正小标宋_GBK"/>
          <w:sz w:val="40"/>
          <w:szCs w:val="40"/>
        </w:rPr>
        <w:t>大都市圈跨界协同单元和基础设施专项规划</w:t>
      </w:r>
      <w:r>
        <w:rPr>
          <w:rFonts w:hint="eastAsia" w:ascii="黑体" w:hAnsi="黑体" w:eastAsia="黑体" w:cs="方正小标宋_GBK"/>
          <w:sz w:val="40"/>
          <w:szCs w:val="40"/>
          <w:lang w:eastAsia="zh-CN"/>
        </w:rPr>
        <w:t>—沪甬嘉跨界协同单元</w:t>
      </w:r>
      <w:r>
        <w:rPr>
          <w:rFonts w:hint="eastAsia" w:ascii="黑体" w:hAnsi="黑体" w:eastAsia="黑体" w:cs="方正小标宋_GBK"/>
          <w:sz w:val="40"/>
          <w:szCs w:val="40"/>
          <w:lang w:val="en-US" w:eastAsia="zh-CN"/>
        </w:rPr>
        <w:t xml:space="preserve"> </w:t>
      </w:r>
      <w:r>
        <w:rPr>
          <w:rFonts w:hint="eastAsia" w:ascii="黑体" w:hAnsi="黑体" w:eastAsia="黑体" w:cs="方正小标宋_GBK"/>
          <w:sz w:val="40"/>
          <w:szCs w:val="40"/>
        </w:rPr>
        <w:t>采购需求</w:t>
      </w:r>
    </w:p>
    <w:p w14:paraId="7C35B9F0">
      <w:pPr>
        <w:spacing w:line="600" w:lineRule="exact"/>
        <w:jc w:val="center"/>
        <w:rPr>
          <w:rFonts w:hint="eastAsia" w:ascii="黑体" w:hAnsi="黑体" w:eastAsia="黑体" w:cs="方正小标宋_GBK"/>
          <w:sz w:val="44"/>
          <w:szCs w:val="44"/>
        </w:rPr>
      </w:pPr>
    </w:p>
    <w:p w14:paraId="76C5F07C">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工作背景</w:t>
      </w:r>
    </w:p>
    <w:p w14:paraId="0351EBC7">
      <w:pPr>
        <w:ind w:firstLine="560" w:firstLineChars="200"/>
        <w:rPr>
          <w:rFonts w:ascii="仿宋_GB2312" w:eastAsia="仿宋_GB2312"/>
          <w:sz w:val="28"/>
          <w:szCs w:val="32"/>
        </w:rPr>
      </w:pPr>
      <w:r>
        <w:rPr>
          <w:rFonts w:hint="eastAsia" w:ascii="仿宋_GB2312" w:eastAsia="仿宋_GB2312"/>
          <w:sz w:val="28"/>
          <w:szCs w:val="32"/>
        </w:rPr>
        <w:t>为深入贯彻党的二十大和二十届二中、三中全会精神，深入落实习</w:t>
      </w:r>
      <w:bookmarkStart w:id="0" w:name="_GoBack"/>
      <w:bookmarkEnd w:id="0"/>
      <w:r>
        <w:rPr>
          <w:rFonts w:hint="eastAsia" w:ascii="仿宋_GB2312" w:eastAsia="仿宋_GB2312"/>
          <w:sz w:val="28"/>
          <w:szCs w:val="32"/>
        </w:rPr>
        <w:t>总书记关于长三角一体化发展的重要论述，特别是在深入推进长三角一体化发展座谈会上的重要讲话和考察上海重要讲话精神，贯彻落实中央城市工作会议精神，按照2023年度长三角地区主要领导座谈会工作部署，在自然资源部指导下，上海市规划和自然资源局会同江苏省、浙江省、安徽省自然资源厅共同牵头，联合江苏省苏州市、无锡市、常州市、南通市、盐城市、泰州市，浙江省杭州市、宁波市、湖州市、嘉兴市、绍兴市、舟山市，安徽省宣城市人民政府，与发展改革、工业和信息化、住房城乡建设、交通运输、生态环境、水利水务（海洋）、文化旅游等相关部门，共同组织编制了《上海大都市圈国土空间总体规划（2025–2035年）》。</w:t>
      </w:r>
    </w:p>
    <w:p w14:paraId="33F2ED10">
      <w:pPr>
        <w:ind w:firstLine="560" w:firstLineChars="200"/>
        <w:rPr>
          <w:rFonts w:ascii="仿宋_GB2312" w:eastAsia="仿宋_GB2312"/>
          <w:sz w:val="28"/>
          <w:szCs w:val="32"/>
        </w:rPr>
      </w:pPr>
      <w:r>
        <w:rPr>
          <w:rFonts w:hint="eastAsia" w:ascii="仿宋_GB2312" w:eastAsia="仿宋_GB2312"/>
          <w:sz w:val="28"/>
          <w:szCs w:val="32"/>
        </w:rPr>
        <w:t>聚焦省际毗邻地区，将其中功能紧密联动、生态高度敏感、安全风险突出，且有明确协同需求的邻近县（市、区）单元，组合确定为跨界协同单元。落实区域一体化的发展目标，解决毗邻地区的现实瓶颈与核心发展诉求，进一步增强空间引领与协同共治，开展《沪甬嘉（原名松奉金慈平）跨界协同单元专项规划》，针对跨界单元的协同需求，因地制宜制定差别化的规划策略和关键行动，探索打破行政壁垒、推动共同实施。沪甬嘉跨界协同单元具备独特的田园乡村、生态海湾以及先进制造业集聚的地区，是世界级湾区的重点跨界协同地区。贯彻落实长三角一体化发展等国家战略要求，加快推进长三角G60走廊高质量发展，全面统筹高质量发展和高水平协同，共建“湾区经济合作发展先行区”。</w:t>
      </w:r>
    </w:p>
    <w:p w14:paraId="2CE64E18">
      <w:pPr>
        <w:ind w:firstLine="560" w:firstLineChars="200"/>
        <w:rPr>
          <w:rFonts w:ascii="仿宋_GB2312" w:eastAsia="仿宋_GB2312"/>
          <w:sz w:val="28"/>
          <w:szCs w:val="32"/>
        </w:rPr>
      </w:pPr>
      <w:r>
        <w:rPr>
          <w:rFonts w:hint="eastAsia" w:ascii="仿宋_GB2312" w:eastAsia="仿宋_GB2312"/>
          <w:sz w:val="28"/>
          <w:szCs w:val="32"/>
        </w:rPr>
        <w:t>随着长三角一体化发展国家战略的纵深推进，上海大都市圈内人口、产业、创新要素加速集聚，城镇空间与产业空间持续拓展，对基础设施网络的系统性、协同性、高效性提出了更高要求。然而，既有规划的轨道交通、航道、高速公路网络在覆盖广度、服务深度、衔接效率等方面仍存在部分短板，难以充分匹配区域高质量发展的现实需求，亟需通过专项规划统筹优化，为上海大都市圈的能级跃升提供战略性支撑。开展大都市圈交通网络与城镇空间、产业空间协同统筹，聚焦轨道交通、航道、高速公路网络的系统性优化，通过跨区域统筹、多维度研判、精准化提升，构建与城镇空间体系、产业空间布局深度适配的基础设施网络。推动大都市圈从“物理叠加”向“化学融合”转变，为打造具有全球影响力的现代化大都市圈提供坚实保障。</w:t>
      </w:r>
    </w:p>
    <w:p w14:paraId="5DF72BF5">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工作内容</w:t>
      </w:r>
    </w:p>
    <w:p w14:paraId="18E97C56">
      <w:pPr>
        <w:ind w:firstLine="562" w:firstLineChars="200"/>
        <w:rPr>
          <w:rFonts w:ascii="仿宋_GB2312" w:eastAsia="仿宋_GB2312"/>
          <w:sz w:val="28"/>
          <w:szCs w:val="32"/>
        </w:rPr>
      </w:pPr>
      <w:r>
        <w:rPr>
          <w:rFonts w:hint="eastAsia" w:ascii="楷体_GB2312" w:eastAsia="楷体_GB2312"/>
          <w:b/>
          <w:bCs/>
          <w:sz w:val="28"/>
          <w:szCs w:val="32"/>
        </w:rPr>
        <w:t>1、跨界协同单元专项规划</w:t>
      </w:r>
    </w:p>
    <w:p w14:paraId="53A33952">
      <w:pPr>
        <w:ind w:firstLine="560" w:firstLineChars="200"/>
        <w:rPr>
          <w:rFonts w:ascii="楷体_GB2312" w:eastAsia="楷体_GB2312"/>
          <w:b/>
          <w:bCs/>
          <w:sz w:val="28"/>
          <w:szCs w:val="32"/>
        </w:rPr>
      </w:pPr>
      <w:r>
        <w:rPr>
          <w:rFonts w:hint="eastAsia" w:ascii="仿宋_GB2312" w:eastAsia="仿宋_GB2312"/>
          <w:sz w:val="28"/>
          <w:szCs w:val="32"/>
        </w:rPr>
        <w:t>本次工作内容包括：</w:t>
      </w:r>
      <w:r>
        <w:rPr>
          <w:rFonts w:ascii="楷体_GB2312" w:eastAsia="楷体_GB2312"/>
          <w:b/>
          <w:bCs/>
          <w:sz w:val="28"/>
          <w:szCs w:val="32"/>
        </w:rPr>
        <w:t xml:space="preserve"> </w:t>
      </w:r>
    </w:p>
    <w:p w14:paraId="71D9B5CB">
      <w:pPr>
        <w:ind w:firstLine="560" w:firstLineChars="200"/>
        <w:rPr>
          <w:rFonts w:ascii="仿宋_GB2312" w:eastAsia="仿宋_GB2312"/>
          <w:sz w:val="28"/>
          <w:szCs w:val="32"/>
        </w:rPr>
      </w:pPr>
      <w:r>
        <w:rPr>
          <w:rFonts w:hint="eastAsia" w:ascii="仿宋_GB2312" w:eastAsia="仿宋_GB2312"/>
          <w:sz w:val="28"/>
          <w:szCs w:val="32"/>
        </w:rPr>
        <w:t>沪甬嘉跨界协同单元专项规划突出战略引领与跨界协同，全面统筹高质量发展和高水平协同，探索跨省域空间协同的发展样本，主要聚焦五项内容。</w:t>
      </w:r>
    </w:p>
    <w:p w14:paraId="48201DBD">
      <w:pPr>
        <w:ind w:firstLine="560" w:firstLineChars="200"/>
        <w:rPr>
          <w:rFonts w:ascii="仿宋_GB2312" w:eastAsia="仿宋_GB2312"/>
          <w:sz w:val="28"/>
          <w:szCs w:val="32"/>
        </w:rPr>
      </w:pPr>
      <w:r>
        <w:rPr>
          <w:rFonts w:hint="eastAsia" w:ascii="仿宋_GB2312" w:eastAsia="仿宋_GB2312"/>
          <w:sz w:val="28"/>
          <w:szCs w:val="32"/>
        </w:rPr>
        <w:t>一是建立统一工作底图。全面梳理沪甬嘉跨界协同单元全要素空间资源，统一现状底版，对接“三区三线”划定成果，形成稳定统一的基本空间要素底版，作为推进专项规划工作的“一张底图”。</w:t>
      </w:r>
    </w:p>
    <w:p w14:paraId="1321B235">
      <w:pPr>
        <w:ind w:firstLine="560" w:firstLineChars="200"/>
        <w:rPr>
          <w:rFonts w:ascii="仿宋_GB2312" w:eastAsia="仿宋_GB2312"/>
          <w:sz w:val="28"/>
          <w:szCs w:val="32"/>
        </w:rPr>
      </w:pPr>
      <w:r>
        <w:rPr>
          <w:rFonts w:hint="eastAsia" w:ascii="仿宋_GB2312" w:eastAsia="仿宋_GB2312"/>
          <w:sz w:val="28"/>
          <w:szCs w:val="32"/>
        </w:rPr>
        <w:t>二是研判协同重点。加强现状及规划整合分析，从空间格局、功能布局、生态格局、基础设施等方面，研究毗邻地区的发展问题和核心诉求，作为推进专项规划工作的重点内容。</w:t>
      </w:r>
    </w:p>
    <w:p w14:paraId="0EBE46DE">
      <w:pPr>
        <w:ind w:firstLine="560" w:firstLineChars="200"/>
        <w:rPr>
          <w:rFonts w:ascii="仿宋_GB2312" w:eastAsia="仿宋_GB2312"/>
          <w:sz w:val="28"/>
          <w:szCs w:val="32"/>
        </w:rPr>
      </w:pPr>
      <w:r>
        <w:rPr>
          <w:rFonts w:hint="eastAsia" w:ascii="仿宋_GB2312" w:eastAsia="仿宋_GB2312"/>
          <w:sz w:val="28"/>
          <w:szCs w:val="32"/>
        </w:rPr>
        <w:t>三是深化区域发展空间格局。对照国家和区域发展的新形势、新任务，以“一张底图”为基础、以空间落地为重点，深化跨界单元空间格局。优化人口、产业、城镇空间布局；加强轨道交通、产业与城镇的联动发展；推动公共服务均衡布局、基础设施互联互通、生态环境共保共治。邻界协同范围内防止贴边发展，保障各类功能用地一体化布局和推进基础设施跨界对接互联的；同城联动范围内强化空间同城效应，加强产业链和创新链融合协同发展。</w:t>
      </w:r>
    </w:p>
    <w:p w14:paraId="1AEE9EA4">
      <w:pPr>
        <w:ind w:firstLine="560" w:firstLineChars="200"/>
        <w:rPr>
          <w:rFonts w:ascii="仿宋_GB2312" w:eastAsia="仿宋_GB2312"/>
          <w:sz w:val="28"/>
          <w:szCs w:val="32"/>
        </w:rPr>
      </w:pPr>
      <w:r>
        <w:rPr>
          <w:rFonts w:hint="eastAsia" w:ascii="仿宋_GB2312" w:eastAsia="仿宋_GB2312"/>
          <w:sz w:val="28"/>
          <w:szCs w:val="32"/>
        </w:rPr>
        <w:t>四是加强系统支撑与协同。聚焦交通互联、产业创新、生态共治三个方面，强化跨界协同单元的系统对接。交通方面，重点研究战略廊道构建与重点沿湾跨湾通道规划建设，促进区域交通网络的一体化。产业方面，突出科技创新与整体区域产业发展的关系，强化创新平台与产业园区的联动。生态方面，强化湾区与城区共生融合，促进美丽海湾建设，统筹湾区生态维育与特色风景共生，加强湾区生态网络构建。</w:t>
      </w:r>
    </w:p>
    <w:p w14:paraId="261B482B">
      <w:pPr>
        <w:ind w:firstLine="560" w:firstLineChars="200"/>
        <w:rPr>
          <w:rFonts w:ascii="仿宋_GB2312" w:eastAsia="仿宋_GB2312"/>
          <w:sz w:val="28"/>
          <w:szCs w:val="32"/>
        </w:rPr>
      </w:pPr>
      <w:r>
        <w:rPr>
          <w:rFonts w:hint="eastAsia" w:ascii="仿宋_GB2312" w:eastAsia="仿宋_GB2312"/>
          <w:sz w:val="28"/>
          <w:szCs w:val="32"/>
        </w:rPr>
        <w:t>五是引导邻沪地区空间优化。以生态优先、共同发展为原则优化邻沪5公里范围的空间布局。强化跨界地区贴边率等建设管控，推进蓝绿空间共建。</w:t>
      </w:r>
    </w:p>
    <w:p w14:paraId="57994FFA">
      <w:pPr>
        <w:ind w:firstLine="562" w:firstLineChars="200"/>
        <w:rPr>
          <w:rFonts w:ascii="仿宋_GB2312" w:eastAsia="仿宋_GB2312"/>
          <w:b/>
          <w:bCs/>
          <w:sz w:val="28"/>
          <w:szCs w:val="32"/>
        </w:rPr>
      </w:pPr>
      <w:r>
        <w:rPr>
          <w:rFonts w:hint="eastAsia" w:ascii="楷体_GB2312" w:eastAsia="楷体_GB2312"/>
          <w:b/>
          <w:bCs/>
          <w:sz w:val="28"/>
          <w:szCs w:val="32"/>
        </w:rPr>
        <w:t>2、大都市圈交通网络与城镇空间、产业空间协同统筹</w:t>
      </w:r>
    </w:p>
    <w:p w14:paraId="75566DF5">
      <w:pPr>
        <w:ind w:firstLine="560" w:firstLineChars="200"/>
        <w:rPr>
          <w:rFonts w:ascii="楷体_GB2312" w:eastAsia="楷体_GB2312"/>
          <w:b/>
          <w:bCs/>
          <w:sz w:val="28"/>
          <w:szCs w:val="32"/>
        </w:rPr>
      </w:pPr>
      <w:r>
        <w:rPr>
          <w:rFonts w:hint="eastAsia" w:ascii="仿宋_GB2312" w:eastAsia="仿宋_GB2312"/>
          <w:sz w:val="28"/>
          <w:szCs w:val="32"/>
        </w:rPr>
        <w:t>本次工作内容包括：</w:t>
      </w:r>
      <w:r>
        <w:rPr>
          <w:rFonts w:ascii="楷体_GB2312" w:eastAsia="楷体_GB2312"/>
          <w:b/>
          <w:bCs/>
          <w:sz w:val="28"/>
          <w:szCs w:val="32"/>
        </w:rPr>
        <w:t xml:space="preserve"> </w:t>
      </w:r>
    </w:p>
    <w:p w14:paraId="755A01D4">
      <w:pPr>
        <w:ind w:firstLine="560" w:firstLineChars="200"/>
        <w:rPr>
          <w:rFonts w:ascii="仿宋_GB2312" w:eastAsia="仿宋_GB2312"/>
          <w:sz w:val="28"/>
          <w:szCs w:val="32"/>
        </w:rPr>
      </w:pPr>
      <w:r>
        <w:rPr>
          <w:rFonts w:hint="eastAsia" w:ascii="仿宋_GB2312" w:eastAsia="仿宋_GB2312"/>
          <w:sz w:val="28"/>
          <w:szCs w:val="32"/>
        </w:rPr>
        <w:t>大都市圈交通网络（即轨道交通网、航道网、高速公路网）与城镇空间、产业空间的协同统筹成为推动区域一体化、提升综合竞争力的关键任务，以此实现大都市圈内各种资源的优化配置，促进人流、物流、信息流的高效流动，促进产业链、供应链、创新链深度融合，为大都市圈产业转型升级提供坚实的基础设施保障。主要聚焦三项内容。</w:t>
      </w:r>
    </w:p>
    <w:p w14:paraId="78AADCB8">
      <w:pPr>
        <w:ind w:firstLine="560" w:firstLineChars="200"/>
        <w:rPr>
          <w:rFonts w:ascii="仿宋_GB2312" w:eastAsia="仿宋_GB2312"/>
          <w:sz w:val="28"/>
          <w:szCs w:val="32"/>
        </w:rPr>
      </w:pPr>
      <w:r>
        <w:rPr>
          <w:rFonts w:hint="eastAsia" w:ascii="仿宋_GB2312" w:eastAsia="仿宋_GB2312"/>
          <w:sz w:val="28"/>
          <w:szCs w:val="32"/>
        </w:rPr>
        <w:t>一是保障轨道交通网实现主要城镇空间全覆盖。依据各城市既有规划，识别规划人口十万人以上的核心城镇。研判上海大都市圈综合交通规划，客运轨道交通站点对核心城镇的覆盖水平，通过区域统筹判断，提出客运轨道交通网络优化建议。</w:t>
      </w:r>
    </w:p>
    <w:p w14:paraId="4DE27143">
      <w:pPr>
        <w:ind w:firstLine="560" w:firstLineChars="200"/>
        <w:rPr>
          <w:rFonts w:ascii="仿宋_GB2312" w:eastAsia="仿宋_GB2312"/>
          <w:sz w:val="28"/>
          <w:szCs w:val="32"/>
        </w:rPr>
      </w:pPr>
      <w:r>
        <w:rPr>
          <w:rFonts w:hint="eastAsia" w:ascii="仿宋_GB2312" w:eastAsia="仿宋_GB2312"/>
          <w:sz w:val="28"/>
          <w:szCs w:val="32"/>
        </w:rPr>
        <w:t>二是提升航道网络对核心产业园区的服务能力。识别上海大都市圈内部沿江、沿海重点产业园区。研判上海大都市圈干线航道网规划中，三级及以上航道对重点产业园区的覆盖服务水平。通过区域视角出发，提出干线航道网络优化建议。</w:t>
      </w:r>
    </w:p>
    <w:p w14:paraId="12D15296">
      <w:pPr>
        <w:ind w:firstLine="560" w:firstLineChars="200"/>
        <w:rPr>
          <w:rFonts w:ascii="仿宋_GB2312" w:eastAsia="仿宋_GB2312"/>
          <w:sz w:val="28"/>
          <w:szCs w:val="32"/>
        </w:rPr>
      </w:pPr>
      <w:r>
        <w:rPr>
          <w:rFonts w:hint="eastAsia" w:ascii="仿宋_GB2312" w:eastAsia="仿宋_GB2312"/>
          <w:sz w:val="28"/>
          <w:szCs w:val="32"/>
        </w:rPr>
        <w:t>三是提高高速公路网对主要城镇空间、产业空间的联通水平。判断上海大都市圈规划高速公路网与主要城镇空间以及产业空间的适配能力。在区域视角下，综合分析规划高速公路网的服务范围，识别可以进一步优化的道路线位。加强高速公路与城市快速路的连接，提高主要交通枢纽的换乘效率。</w:t>
      </w:r>
    </w:p>
    <w:p w14:paraId="010551FF">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成果要求</w:t>
      </w:r>
    </w:p>
    <w:p w14:paraId="2ACFC309">
      <w:pPr>
        <w:ind w:firstLine="560" w:firstLineChars="200"/>
        <w:rPr>
          <w:rFonts w:ascii="仿宋_GB2312" w:eastAsia="仿宋_GB2312"/>
          <w:sz w:val="28"/>
          <w:szCs w:val="32"/>
        </w:rPr>
      </w:pPr>
      <w:r>
        <w:rPr>
          <w:rFonts w:hint="eastAsia" w:ascii="仿宋_GB2312" w:eastAsia="仿宋_GB2312"/>
          <w:sz w:val="28"/>
          <w:szCs w:val="32"/>
        </w:rPr>
        <w:t>完成1份沪甬嘉跨界协同单元专项规划主体成果与1份大都市圈交通网络与城镇空间、产业空间协同统筹专项报告。</w:t>
      </w:r>
    </w:p>
    <w:p w14:paraId="2B19132A">
      <w:pPr>
        <w:ind w:firstLine="560" w:firstLineChars="200"/>
        <w:rPr>
          <w:rFonts w:ascii="仿宋_GB2312" w:eastAsia="仿宋_GB2312"/>
          <w:sz w:val="28"/>
          <w:szCs w:val="32"/>
        </w:rPr>
      </w:pPr>
      <w:r>
        <w:rPr>
          <w:rFonts w:hint="eastAsia" w:ascii="仿宋_GB2312" w:eastAsia="仿宋_GB2312"/>
          <w:sz w:val="28"/>
          <w:szCs w:val="32"/>
        </w:rPr>
        <w:t>成果形式包括打印的纸质文本和电子文件，电子文件应包括PDF文件和可编辑的WORD格式文件等。</w:t>
      </w:r>
    </w:p>
    <w:p w14:paraId="56D4017D">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工作进度安排</w:t>
      </w:r>
    </w:p>
    <w:p w14:paraId="30C5FEC6">
      <w:pPr>
        <w:ind w:firstLine="560" w:firstLineChars="200"/>
        <w:rPr>
          <w:rFonts w:ascii="仿宋_GB2312" w:eastAsia="仿宋_GB2312"/>
          <w:sz w:val="28"/>
          <w:szCs w:val="32"/>
        </w:rPr>
      </w:pPr>
      <w:r>
        <w:rPr>
          <w:rFonts w:hint="eastAsia" w:ascii="仿宋_GB2312" w:eastAsia="仿宋_GB2312"/>
          <w:sz w:val="28"/>
          <w:szCs w:val="32"/>
          <w:lang w:val="en-US" w:eastAsia="zh-CN"/>
        </w:rPr>
        <w:t>1.</w:t>
      </w:r>
      <w:r>
        <w:rPr>
          <w:rFonts w:hint="eastAsia" w:ascii="仿宋_GB2312" w:eastAsia="仿宋_GB2312"/>
          <w:sz w:val="28"/>
          <w:szCs w:val="32"/>
        </w:rPr>
        <w:t>初步研究阶段</w:t>
      </w:r>
      <w:r>
        <w:rPr>
          <w:rFonts w:hint="eastAsia" w:ascii="仿宋_GB2312" w:eastAsia="仿宋_GB2312"/>
          <w:sz w:val="28"/>
          <w:szCs w:val="32"/>
          <w:lang w:eastAsia="zh-CN"/>
        </w:rPr>
        <w:t>。</w:t>
      </w:r>
      <w:r>
        <w:rPr>
          <w:rFonts w:hint="eastAsia" w:ascii="仿宋_GB2312" w:eastAsia="仿宋_GB2312"/>
          <w:sz w:val="28"/>
          <w:szCs w:val="32"/>
        </w:rPr>
        <w:t>编制工作方案，开展相关调研，收集各项基础资料，布置启动相关研究工作形成初步成果。</w:t>
      </w:r>
    </w:p>
    <w:p w14:paraId="3801E201">
      <w:pPr>
        <w:ind w:firstLine="560" w:firstLineChars="200"/>
        <w:rPr>
          <w:rFonts w:ascii="仿宋_GB2312" w:eastAsia="仿宋_GB2312"/>
          <w:sz w:val="28"/>
          <w:szCs w:val="32"/>
        </w:rPr>
      </w:pPr>
      <w:r>
        <w:rPr>
          <w:rFonts w:hint="eastAsia" w:ascii="仿宋_GB2312" w:eastAsia="仿宋_GB2312"/>
          <w:sz w:val="28"/>
          <w:szCs w:val="32"/>
          <w:lang w:val="en-US" w:eastAsia="zh-CN"/>
        </w:rPr>
        <w:t>2.</w:t>
      </w:r>
      <w:r>
        <w:rPr>
          <w:rFonts w:hint="eastAsia" w:ascii="仿宋_GB2312" w:eastAsia="仿宋_GB2312"/>
          <w:sz w:val="28"/>
          <w:szCs w:val="32"/>
        </w:rPr>
        <w:t>方案深化阶段</w:t>
      </w:r>
      <w:r>
        <w:rPr>
          <w:rFonts w:hint="eastAsia" w:ascii="仿宋_GB2312" w:eastAsia="仿宋_GB2312"/>
          <w:sz w:val="28"/>
          <w:szCs w:val="32"/>
          <w:lang w:eastAsia="zh-CN"/>
        </w:rPr>
        <w:t>。</w:t>
      </w:r>
      <w:r>
        <w:rPr>
          <w:rFonts w:hint="eastAsia" w:ascii="仿宋_GB2312" w:eastAsia="仿宋_GB2312"/>
          <w:sz w:val="28"/>
          <w:szCs w:val="32"/>
        </w:rPr>
        <w:t>形成中期成果报告。</w:t>
      </w:r>
    </w:p>
    <w:p w14:paraId="401C630F">
      <w:pPr>
        <w:ind w:firstLine="560" w:firstLineChars="200"/>
        <w:rPr>
          <w:rFonts w:hint="eastAsia" w:ascii="仿宋_GB2312" w:eastAsia="仿宋_GB2312"/>
          <w:sz w:val="28"/>
          <w:szCs w:val="32"/>
        </w:rPr>
      </w:pPr>
      <w:r>
        <w:rPr>
          <w:rFonts w:hint="eastAsia" w:ascii="仿宋_GB2312" w:eastAsia="仿宋_GB2312"/>
          <w:sz w:val="28"/>
          <w:szCs w:val="32"/>
          <w:lang w:val="en-US" w:eastAsia="zh-CN"/>
        </w:rPr>
        <w:t>3.</w:t>
      </w:r>
      <w:r>
        <w:rPr>
          <w:rFonts w:hint="eastAsia" w:ascii="仿宋_GB2312" w:eastAsia="仿宋_GB2312"/>
          <w:sz w:val="28"/>
          <w:szCs w:val="32"/>
        </w:rPr>
        <w:t>成果验收阶段</w:t>
      </w:r>
      <w:r>
        <w:rPr>
          <w:rFonts w:hint="eastAsia" w:ascii="仿宋_GB2312" w:eastAsia="仿宋_GB2312"/>
          <w:sz w:val="28"/>
          <w:szCs w:val="32"/>
          <w:lang w:eastAsia="zh-CN"/>
        </w:rPr>
        <w:t>。</w:t>
      </w:r>
      <w:r>
        <w:rPr>
          <w:rFonts w:hint="eastAsia" w:ascii="仿宋_GB2312" w:eastAsia="仿宋_GB2312"/>
          <w:sz w:val="28"/>
          <w:szCs w:val="32"/>
        </w:rPr>
        <w:t>成果征求相关各方意见，并修改完善形成项目最终成果。</w:t>
      </w:r>
    </w:p>
    <w:p w14:paraId="13186907">
      <w:pPr>
        <w:ind w:firstLine="560" w:firstLineChars="200"/>
        <w:rPr>
          <w:rFonts w:hint="eastAsia" w:ascii="仿宋_GB2312" w:eastAsia="仿宋_GB2312"/>
          <w:sz w:val="28"/>
          <w:szCs w:val="32"/>
        </w:rPr>
      </w:pPr>
      <w:r>
        <w:rPr>
          <w:rFonts w:hint="eastAsia" w:ascii="仿宋_GB2312" w:eastAsia="仿宋_GB2312"/>
          <w:sz w:val="28"/>
          <w:szCs w:val="32"/>
        </w:rPr>
        <w:t>自合同签订之日起</w:t>
      </w:r>
      <w:r>
        <w:rPr>
          <w:rFonts w:hint="eastAsia" w:ascii="仿宋_GB2312" w:eastAsia="仿宋_GB2312"/>
          <w:sz w:val="28"/>
          <w:szCs w:val="32"/>
          <w:lang w:val="en-US" w:eastAsia="zh-CN"/>
        </w:rPr>
        <w:t>3</w:t>
      </w:r>
      <w:r>
        <w:rPr>
          <w:rFonts w:hint="eastAsia" w:ascii="仿宋_GB2312" w:eastAsia="仿宋_GB2312"/>
          <w:sz w:val="28"/>
          <w:szCs w:val="32"/>
        </w:rPr>
        <w:t>个月内完成成果验收。</w:t>
      </w:r>
    </w:p>
    <w:p w14:paraId="31CB2A12">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项目组人员要求</w:t>
      </w:r>
    </w:p>
    <w:p w14:paraId="5A19CE9A">
      <w:pPr>
        <w:ind w:firstLine="560" w:firstLineChars="200"/>
        <w:rPr>
          <w:rFonts w:ascii="仿宋_GB2312" w:eastAsia="仿宋_GB2312"/>
          <w:sz w:val="28"/>
          <w:szCs w:val="32"/>
        </w:rPr>
      </w:pPr>
      <w:r>
        <w:rPr>
          <w:rFonts w:hint="eastAsia" w:ascii="仿宋_GB2312" w:eastAsia="仿宋_GB2312"/>
          <w:sz w:val="28"/>
          <w:szCs w:val="32"/>
        </w:rPr>
        <w:t>1、项目组人员数量和专业组成结构等方面应满足本项目服务需求，在服务期限内，项目组人员应保持相对稳定，以保证服务工作的正常进行。</w:t>
      </w:r>
    </w:p>
    <w:p w14:paraId="2336E4D9">
      <w:pPr>
        <w:ind w:firstLine="560" w:firstLineChars="200"/>
        <w:rPr>
          <w:rFonts w:hint="eastAsia" w:ascii="仿宋_GB2312" w:eastAsia="仿宋_GB2312"/>
          <w:sz w:val="28"/>
          <w:szCs w:val="32"/>
        </w:rPr>
      </w:pPr>
      <w:r>
        <w:rPr>
          <w:rFonts w:hint="eastAsia" w:ascii="仿宋_GB2312" w:eastAsia="仿宋_GB2312"/>
          <w:sz w:val="28"/>
          <w:szCs w:val="32"/>
        </w:rPr>
        <w:t>2、项目负责人需具有注册城乡规划师证书；从事相关技术工作八年以上及具有正高级工程师职称的优先考虑。</w:t>
      </w:r>
    </w:p>
    <w:p w14:paraId="4BA771B5">
      <w:pPr>
        <w:ind w:firstLine="560" w:firstLineChars="200"/>
        <w:rPr>
          <w:rFonts w:ascii="仿宋_GB2312" w:eastAsia="仿宋_GB2312"/>
          <w:sz w:val="28"/>
          <w:szCs w:val="32"/>
        </w:rPr>
      </w:pPr>
      <w:r>
        <w:rPr>
          <w:rFonts w:hint="eastAsia" w:ascii="仿宋_GB2312" w:eastAsia="仿宋_GB2312"/>
          <w:sz w:val="28"/>
          <w:szCs w:val="32"/>
        </w:rPr>
        <w:t>3、供应商</w:t>
      </w:r>
      <w:r>
        <w:rPr>
          <w:rFonts w:hint="eastAsia" w:ascii="仿宋_GB2312" w:eastAsia="仿宋_GB2312"/>
          <w:sz w:val="28"/>
          <w:szCs w:val="32"/>
          <w:lang w:eastAsia="zh-CN"/>
        </w:rPr>
        <w:t>应</w:t>
      </w:r>
      <w:r>
        <w:rPr>
          <w:rFonts w:hint="eastAsia" w:ascii="仿宋_GB2312" w:eastAsia="仿宋_GB2312"/>
          <w:sz w:val="28"/>
          <w:szCs w:val="32"/>
        </w:rPr>
        <w:t>提供负责本项目的服务团队人数（不包含项目负责人）不少于8人，具有相关行业高级职称证书或硕士及以上学历人数不少于5人的优先考虑。</w:t>
      </w:r>
    </w:p>
    <w:p w14:paraId="39F158FF">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企业工作能力要求</w:t>
      </w:r>
    </w:p>
    <w:p w14:paraId="7AF009AC">
      <w:pPr>
        <w:ind w:firstLine="560" w:firstLineChars="200"/>
        <w:rPr>
          <w:rFonts w:ascii="仿宋_GB2312" w:eastAsia="仿宋_GB2312"/>
          <w:sz w:val="28"/>
          <w:szCs w:val="32"/>
        </w:rPr>
      </w:pPr>
      <w:r>
        <w:rPr>
          <w:rFonts w:hint="eastAsia" w:ascii="仿宋_GB2312" w:eastAsia="仿宋_GB2312"/>
          <w:sz w:val="28"/>
          <w:szCs w:val="32"/>
        </w:rPr>
        <w:t>1、供应商具有质量管理体系认证证书（GB/T 19001或ISO9001认证）的优先考虑；</w:t>
      </w:r>
    </w:p>
    <w:p w14:paraId="65AFFFEC">
      <w:pPr>
        <w:ind w:firstLine="560" w:firstLineChars="200"/>
        <w:rPr>
          <w:rFonts w:ascii="仿宋_GB2312" w:eastAsia="仿宋_GB2312"/>
          <w:sz w:val="28"/>
          <w:szCs w:val="32"/>
        </w:rPr>
      </w:pPr>
      <w:r>
        <w:rPr>
          <w:rFonts w:hint="eastAsia" w:ascii="仿宋_GB2312" w:eastAsia="仿宋_GB2312"/>
          <w:sz w:val="28"/>
          <w:szCs w:val="32"/>
        </w:rPr>
        <w:t>2、供应商近三年具有</w:t>
      </w:r>
      <w:r>
        <w:rPr>
          <w:rFonts w:hint="eastAsia" w:ascii="仿宋_GB2312" w:eastAsia="仿宋_GB2312"/>
          <w:sz w:val="28"/>
          <w:szCs w:val="32"/>
          <w:lang w:eastAsia="zh-CN"/>
        </w:rPr>
        <w:t>规划类项目</w:t>
      </w:r>
      <w:r>
        <w:rPr>
          <w:rFonts w:hint="eastAsia" w:ascii="仿宋_GB2312" w:eastAsia="仿宋_GB2312"/>
          <w:sz w:val="28"/>
          <w:szCs w:val="32"/>
        </w:rPr>
        <w:t>类似业绩的优先考虑。</w:t>
      </w:r>
    </w:p>
    <w:p w14:paraId="2CD578F8">
      <w:pPr>
        <w:pStyle w:val="8"/>
        <w:numPr>
          <w:ilvl w:val="0"/>
          <w:numId w:val="1"/>
        </w:numPr>
        <w:spacing w:line="360" w:lineRule="auto"/>
        <w:ind w:left="567" w:hanging="567" w:firstLineChars="0"/>
        <w:rPr>
          <w:rFonts w:ascii="黑体" w:hAnsi="黑体" w:eastAsia="黑体" w:cs="宋体"/>
          <w:b/>
          <w:bCs/>
          <w:sz w:val="28"/>
          <w:szCs w:val="32"/>
        </w:rPr>
      </w:pPr>
      <w:r>
        <w:rPr>
          <w:rFonts w:hint="eastAsia" w:ascii="黑体" w:hAnsi="黑体" w:eastAsia="黑体" w:cs="宋体"/>
          <w:b/>
          <w:bCs/>
          <w:sz w:val="28"/>
          <w:szCs w:val="32"/>
        </w:rPr>
        <w:t>其他要求</w:t>
      </w:r>
    </w:p>
    <w:p w14:paraId="4A2F5253">
      <w:pPr>
        <w:ind w:firstLine="560" w:firstLineChars="200"/>
        <w:rPr>
          <w:rFonts w:ascii="仿宋_GB2312" w:eastAsia="仿宋_GB2312"/>
          <w:sz w:val="28"/>
          <w:szCs w:val="32"/>
        </w:rPr>
      </w:pPr>
      <w:r>
        <w:rPr>
          <w:rFonts w:hint="eastAsia" w:ascii="仿宋_GB2312" w:eastAsia="仿宋_GB2312"/>
          <w:sz w:val="28"/>
          <w:szCs w:val="32"/>
        </w:rPr>
        <w:t>投标人应按照委托方要求，负责项目进行过程中阶段性成果及最终成果的打印，承担打印费用等支出。</w:t>
      </w:r>
    </w:p>
    <w:p w14:paraId="1F4CB462">
      <w:pPr>
        <w:rPr>
          <w:rFonts w:hint="eastAsia" w:ascii="Arial" w:hAnsi="Arial" w:eastAsia="仿宋_GB2312" w:cs="Arial"/>
          <w:sz w:val="32"/>
          <w:szCs w:val="32"/>
          <w:lang w:eastAsia="zh-CN"/>
        </w:rPr>
      </w:pPr>
      <w:r>
        <w:rPr>
          <w:rFonts w:hint="eastAsia" w:ascii="Arial" w:hAnsi="Arial" w:eastAsia="仿宋_GB2312" w:cs="Arial"/>
          <w:sz w:val="32"/>
          <w:szCs w:val="32"/>
          <w:lang w:eastAsia="zh-CN"/>
        </w:rPr>
        <w:br w:type="page"/>
      </w:r>
    </w:p>
    <w:p w14:paraId="53D0F593">
      <w:pPr>
        <w:adjustRightInd w:val="0"/>
        <w:snapToGrid w:val="0"/>
        <w:spacing w:line="600" w:lineRule="exact"/>
        <w:ind w:firstLine="640" w:firstLineChars="200"/>
        <w:rPr>
          <w:rFonts w:hint="eastAsia" w:ascii="Arial" w:hAnsi="Arial" w:eastAsia="仿宋_GB2312" w:cs="Arial"/>
          <w:sz w:val="32"/>
          <w:szCs w:val="32"/>
          <w:lang w:eastAsia="zh-CN"/>
        </w:rPr>
      </w:pPr>
      <w:r>
        <w:rPr>
          <w:rFonts w:hint="eastAsia" w:ascii="Arial" w:hAnsi="Arial" w:eastAsia="仿宋_GB2312" w:cs="Arial"/>
          <w:sz w:val="32"/>
          <w:szCs w:val="32"/>
          <w:lang w:eastAsia="zh-CN"/>
        </w:rPr>
        <w:t>附：上位规划清单</w:t>
      </w:r>
    </w:p>
    <w:p w14:paraId="5E24AFAF">
      <w:pPr>
        <w:ind w:firstLine="560" w:firstLineChars="200"/>
        <w:rPr>
          <w:rFonts w:hint="eastAsia" w:ascii="仿宋_GB2312" w:eastAsia="仿宋_GB2312"/>
          <w:sz w:val="28"/>
          <w:szCs w:val="32"/>
        </w:rPr>
      </w:pPr>
      <w:r>
        <w:rPr>
          <w:rFonts w:hint="eastAsia" w:ascii="仿宋_GB2312" w:eastAsia="仿宋_GB2312"/>
          <w:sz w:val="28"/>
          <w:szCs w:val="32"/>
        </w:rPr>
        <w:t>《全国国土空间规划纲要（2021—2035年）》</w:t>
      </w:r>
    </w:p>
    <w:p w14:paraId="0A96E8A1">
      <w:pPr>
        <w:ind w:firstLine="560" w:firstLineChars="200"/>
        <w:rPr>
          <w:rFonts w:hint="eastAsia" w:ascii="仿宋_GB2312" w:eastAsia="仿宋_GB2312"/>
          <w:sz w:val="28"/>
          <w:szCs w:val="32"/>
        </w:rPr>
      </w:pPr>
      <w:r>
        <w:rPr>
          <w:rFonts w:hint="eastAsia" w:ascii="仿宋_GB2312" w:eastAsia="仿宋_GB2312"/>
          <w:sz w:val="28"/>
          <w:szCs w:val="32"/>
        </w:rPr>
        <w:t>《国家综合立体交通网规划纲要》</w:t>
      </w:r>
    </w:p>
    <w:p w14:paraId="4B509906">
      <w:pPr>
        <w:ind w:firstLine="560" w:firstLineChars="200"/>
        <w:rPr>
          <w:rFonts w:hint="eastAsia" w:ascii="仿宋_GB2312" w:eastAsia="仿宋_GB2312"/>
          <w:sz w:val="28"/>
          <w:szCs w:val="32"/>
        </w:rPr>
      </w:pPr>
      <w:r>
        <w:rPr>
          <w:rFonts w:hint="eastAsia" w:ascii="仿宋_GB2312" w:eastAsia="仿宋_GB2312"/>
          <w:sz w:val="28"/>
          <w:szCs w:val="32"/>
        </w:rPr>
        <w:t>《长江三角洲区域一体化发展规划纲要》</w:t>
      </w:r>
    </w:p>
    <w:p w14:paraId="56AC6A50">
      <w:pPr>
        <w:ind w:firstLine="560" w:firstLineChars="200"/>
        <w:rPr>
          <w:rFonts w:hint="eastAsia" w:ascii="仿宋_GB2312" w:eastAsia="仿宋_GB2312"/>
          <w:sz w:val="28"/>
          <w:szCs w:val="32"/>
        </w:rPr>
      </w:pPr>
      <w:r>
        <w:rPr>
          <w:rFonts w:hint="eastAsia" w:ascii="仿宋_GB2312" w:eastAsia="仿宋_GB2312"/>
          <w:sz w:val="28"/>
          <w:szCs w:val="32"/>
        </w:rPr>
        <w:t>《长江经济带—长江流域国土空间规划（2021—2035年）》</w:t>
      </w:r>
    </w:p>
    <w:p w14:paraId="1E55C6DC">
      <w:pPr>
        <w:ind w:firstLine="560" w:firstLineChars="200"/>
        <w:rPr>
          <w:rFonts w:hint="eastAsia" w:ascii="仿宋_GB2312" w:eastAsia="仿宋_GB2312"/>
          <w:sz w:val="28"/>
          <w:szCs w:val="32"/>
        </w:rPr>
      </w:pPr>
      <w:r>
        <w:rPr>
          <w:rFonts w:hint="eastAsia" w:ascii="仿宋_GB2312" w:eastAsia="仿宋_GB2312"/>
          <w:sz w:val="28"/>
          <w:szCs w:val="32"/>
        </w:rPr>
        <w:t>《上海大都市圈国土空间总体规划（2025-2035年》（在编）</w:t>
      </w:r>
    </w:p>
    <w:p w14:paraId="2F6F3AA0">
      <w:pPr>
        <w:ind w:firstLine="560" w:firstLineChars="200"/>
        <w:rPr>
          <w:rFonts w:hint="eastAsia" w:ascii="仿宋_GB2312" w:eastAsia="仿宋_GB2312"/>
          <w:sz w:val="28"/>
          <w:szCs w:val="32"/>
        </w:rPr>
      </w:pPr>
      <w:r>
        <w:rPr>
          <w:rFonts w:hint="eastAsia" w:ascii="仿宋_GB2312" w:eastAsia="仿宋_GB2312"/>
          <w:sz w:val="28"/>
          <w:szCs w:val="32"/>
        </w:rPr>
        <w:t>《上海市城市总体规划（2017—2035年）》​​</w:t>
      </w:r>
    </w:p>
    <w:p w14:paraId="3266B2C9">
      <w:pPr>
        <w:ind w:firstLine="560" w:firstLineChars="200"/>
        <w:rPr>
          <w:rFonts w:hint="eastAsia" w:ascii="仿宋_GB2312" w:eastAsia="仿宋_GB2312"/>
          <w:sz w:val="28"/>
          <w:szCs w:val="32"/>
        </w:rPr>
      </w:pPr>
      <w:r>
        <w:rPr>
          <w:rFonts w:hint="eastAsia" w:ascii="仿宋_GB2312" w:eastAsia="仿宋_GB2312"/>
          <w:sz w:val="28"/>
          <w:szCs w:val="32"/>
        </w:rPr>
        <w:t xml:space="preserve">《江苏省国土空间规划（2021—2035年）》​​ </w:t>
      </w:r>
    </w:p>
    <w:p w14:paraId="19274A58">
      <w:pPr>
        <w:ind w:firstLine="560" w:firstLineChars="200"/>
        <w:rPr>
          <w:rFonts w:hint="eastAsia" w:ascii="仿宋_GB2312" w:eastAsia="仿宋_GB2312"/>
          <w:sz w:val="28"/>
          <w:szCs w:val="32"/>
        </w:rPr>
      </w:pPr>
      <w:r>
        <w:rPr>
          <w:rFonts w:hint="eastAsia" w:ascii="仿宋_GB2312" w:eastAsia="仿宋_GB2312"/>
          <w:sz w:val="28"/>
          <w:szCs w:val="32"/>
        </w:rPr>
        <w:t xml:space="preserve">《浙江省国土空间规划（2021—2035年）》​​ </w:t>
      </w:r>
    </w:p>
    <w:p w14:paraId="48227D04">
      <w:pPr>
        <w:ind w:firstLine="560" w:firstLineChars="200"/>
        <w:rPr>
          <w:rFonts w:hint="eastAsia" w:ascii="仿宋_GB2312" w:eastAsia="仿宋_GB2312"/>
          <w:sz w:val="28"/>
          <w:szCs w:val="32"/>
        </w:rPr>
      </w:pPr>
      <w:r>
        <w:rPr>
          <w:rFonts w:hint="eastAsia" w:ascii="仿宋_GB2312" w:eastAsia="仿宋_GB2312"/>
          <w:sz w:val="28"/>
          <w:szCs w:val="32"/>
        </w:rPr>
        <w:t xml:space="preserve">《安徽省国土空间规划（2021—2035年）》​​ </w:t>
      </w:r>
    </w:p>
    <w:p w14:paraId="7298F9B7">
      <w:pPr>
        <w:ind w:firstLine="560" w:firstLineChars="200"/>
        <w:rPr>
          <w:rFonts w:hint="eastAsia" w:ascii="仿宋_GB2312" w:eastAsia="仿宋_GB2312"/>
          <w:sz w:val="28"/>
          <w:szCs w:val="32"/>
        </w:rPr>
      </w:pPr>
      <w:r>
        <w:rPr>
          <w:rFonts w:hint="eastAsia" w:ascii="仿宋_GB2312" w:eastAsia="仿宋_GB2312"/>
          <w:sz w:val="28"/>
          <w:szCs w:val="32"/>
        </w:rPr>
        <w:t>《嘉兴市国土空间总体规划(2021—2035年)》</w:t>
      </w:r>
    </w:p>
    <w:p w14:paraId="613B0FDB">
      <w:pPr>
        <w:ind w:firstLine="560" w:firstLineChars="200"/>
        <w:rPr>
          <w:rFonts w:hint="eastAsia" w:ascii="仿宋_GB2312" w:eastAsia="仿宋_GB2312"/>
          <w:sz w:val="28"/>
          <w:szCs w:val="32"/>
        </w:rPr>
      </w:pPr>
      <w:r>
        <w:rPr>
          <w:rFonts w:hint="eastAsia" w:ascii="仿宋_GB2312" w:eastAsia="仿宋_GB2312"/>
          <w:sz w:val="28"/>
          <w:szCs w:val="32"/>
        </w:rPr>
        <w:t>《宁波市国土空间总体规划(2021—2035年)》</w:t>
      </w:r>
    </w:p>
    <w:p w14:paraId="7E21F89C">
      <w:pPr>
        <w:ind w:firstLine="560" w:firstLineChars="200"/>
        <w:rPr>
          <w:rFonts w:hint="eastAsia" w:ascii="仿宋_GB2312" w:eastAsia="仿宋_GB2312"/>
          <w:sz w:val="28"/>
          <w:szCs w:val="32"/>
        </w:rPr>
      </w:pPr>
      <w:r>
        <w:rPr>
          <w:rFonts w:hint="eastAsia" w:ascii="仿宋_GB2312" w:eastAsia="仿宋_GB2312"/>
          <w:sz w:val="28"/>
          <w:szCs w:val="32"/>
        </w:rPr>
        <w:t>《上海市松江区总体规划暨土地利用总体规划（2017-2035年）》</w:t>
      </w:r>
    </w:p>
    <w:p w14:paraId="5235DA62">
      <w:pPr>
        <w:ind w:firstLine="560" w:firstLineChars="200"/>
        <w:rPr>
          <w:rFonts w:hint="eastAsia" w:ascii="仿宋_GB2312" w:eastAsia="仿宋_GB2312"/>
          <w:sz w:val="28"/>
          <w:szCs w:val="32"/>
        </w:rPr>
      </w:pPr>
      <w:r>
        <w:rPr>
          <w:rFonts w:hint="eastAsia" w:ascii="仿宋_GB2312" w:eastAsia="仿宋_GB2312"/>
          <w:sz w:val="28"/>
          <w:szCs w:val="32"/>
        </w:rPr>
        <w:t>《上海市奉贤区总体规划暨土地利用总体规划（2017-2035年）》</w:t>
      </w:r>
    </w:p>
    <w:p w14:paraId="67F15C26">
      <w:pPr>
        <w:ind w:firstLine="560" w:firstLineChars="200"/>
        <w:rPr>
          <w:rFonts w:hint="eastAsia" w:ascii="仿宋_GB2312" w:eastAsia="仿宋_GB2312"/>
          <w:sz w:val="28"/>
          <w:szCs w:val="32"/>
        </w:rPr>
      </w:pPr>
      <w:r>
        <w:rPr>
          <w:rFonts w:hint="eastAsia" w:ascii="仿宋_GB2312" w:eastAsia="仿宋_GB2312"/>
          <w:sz w:val="28"/>
          <w:szCs w:val="32"/>
        </w:rPr>
        <w:t>《上海市金山区总体规划暨土地利用总体规划（2017-2035年）》</w:t>
      </w:r>
    </w:p>
    <w:p w14:paraId="628ED6CE">
      <w:pPr>
        <w:ind w:firstLine="560" w:firstLineChars="200"/>
        <w:rPr>
          <w:rFonts w:hint="eastAsia" w:ascii="仿宋_GB2312" w:eastAsia="仿宋_GB2312"/>
          <w:sz w:val="28"/>
          <w:szCs w:val="32"/>
        </w:rPr>
      </w:pPr>
      <w:r>
        <w:rPr>
          <w:rFonts w:hint="eastAsia" w:ascii="仿宋_GB2312" w:eastAsia="仿宋_GB2312"/>
          <w:sz w:val="28"/>
          <w:szCs w:val="32"/>
        </w:rPr>
        <w:t>《慈溪市国土空间总体规划(2021-2035年)》</w:t>
      </w:r>
    </w:p>
    <w:p w14:paraId="3F562A5A">
      <w:pPr>
        <w:ind w:firstLine="560" w:firstLineChars="200"/>
        <w:rPr>
          <w:rFonts w:hint="eastAsia" w:ascii="仿宋_GB2312" w:eastAsia="仿宋_GB2312"/>
          <w:sz w:val="28"/>
          <w:szCs w:val="32"/>
        </w:rPr>
      </w:pPr>
      <w:r>
        <w:rPr>
          <w:rFonts w:hint="eastAsia" w:ascii="仿宋_GB2312" w:eastAsia="仿宋_GB2312"/>
          <w:sz w:val="28"/>
          <w:szCs w:val="32"/>
        </w:rPr>
        <w:t>《平湖市国土空间总体规划(2021-2035年)》</w:t>
      </w:r>
    </w:p>
    <w:p w14:paraId="23D464C1">
      <w:pPr>
        <w:ind w:firstLine="560" w:firstLineChars="200"/>
        <w:rPr>
          <w:rFonts w:ascii="仿宋_GB2312" w:eastAsia="仿宋_GB2312"/>
          <w:sz w:val="28"/>
          <w:szCs w:val="32"/>
        </w:rPr>
      </w:pPr>
      <w:r>
        <w:rPr>
          <w:rFonts w:hint="eastAsia" w:ascii="仿宋_GB2312" w:eastAsia="仿宋_GB2312"/>
          <w:sz w:val="28"/>
          <w:szCs w:val="32"/>
        </w:rPr>
        <w:t>《余姚市国土空间总体规划(2021-2035年)》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GWZT-EN">
    <w:panose1 w:val="020204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636161"/>
      <w:docPartObj>
        <w:docPartGallery w:val="autotext"/>
      </w:docPartObj>
    </w:sdtPr>
    <w:sdtContent>
      <w:p w14:paraId="6954D971">
        <w:pPr>
          <w:pStyle w:val="3"/>
          <w:jc w:val="center"/>
        </w:pPr>
        <w:r>
          <w:fldChar w:fldCharType="begin"/>
        </w:r>
        <w:r>
          <w:instrText xml:space="preserve">PAGE   \* MERGEFORMAT</w:instrText>
        </w:r>
        <w:r>
          <w:fldChar w:fldCharType="separate"/>
        </w:r>
        <w:r>
          <w:rPr>
            <w:lang w:val="zh-CN"/>
          </w:rPr>
          <w:t>2</w:t>
        </w:r>
        <w:r>
          <w:fldChar w:fldCharType="end"/>
        </w:r>
      </w:p>
    </w:sdtContent>
  </w:sdt>
  <w:p w14:paraId="33EA36E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A64E4"/>
    <w:multiLevelType w:val="multilevel"/>
    <w:tmpl w:val="4ACA64E4"/>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BD416C"/>
    <w:rsid w:val="00067E00"/>
    <w:rsid w:val="00074B52"/>
    <w:rsid w:val="001558CB"/>
    <w:rsid w:val="0018500B"/>
    <w:rsid w:val="001A64B4"/>
    <w:rsid w:val="001D7CCD"/>
    <w:rsid w:val="001E76C9"/>
    <w:rsid w:val="001F6BB5"/>
    <w:rsid w:val="00212ECC"/>
    <w:rsid w:val="002513E3"/>
    <w:rsid w:val="00262BFC"/>
    <w:rsid w:val="002B1F7F"/>
    <w:rsid w:val="002C0029"/>
    <w:rsid w:val="002E43E6"/>
    <w:rsid w:val="002E558D"/>
    <w:rsid w:val="003711F1"/>
    <w:rsid w:val="00413BA6"/>
    <w:rsid w:val="004752BA"/>
    <w:rsid w:val="004A2A74"/>
    <w:rsid w:val="004F20F8"/>
    <w:rsid w:val="006178A8"/>
    <w:rsid w:val="00666AD6"/>
    <w:rsid w:val="00751F3A"/>
    <w:rsid w:val="00761E1E"/>
    <w:rsid w:val="007622E8"/>
    <w:rsid w:val="007C6ED5"/>
    <w:rsid w:val="007E3974"/>
    <w:rsid w:val="007E47BB"/>
    <w:rsid w:val="007F29E5"/>
    <w:rsid w:val="008830DF"/>
    <w:rsid w:val="0089046D"/>
    <w:rsid w:val="00891C1D"/>
    <w:rsid w:val="008A5DBF"/>
    <w:rsid w:val="008E09B1"/>
    <w:rsid w:val="00947741"/>
    <w:rsid w:val="00970203"/>
    <w:rsid w:val="009C1E56"/>
    <w:rsid w:val="009D3E82"/>
    <w:rsid w:val="00A43B33"/>
    <w:rsid w:val="00A518D2"/>
    <w:rsid w:val="00A61242"/>
    <w:rsid w:val="00A932AB"/>
    <w:rsid w:val="00AF74DF"/>
    <w:rsid w:val="00B6352D"/>
    <w:rsid w:val="00BA2135"/>
    <w:rsid w:val="00BD416C"/>
    <w:rsid w:val="00BF17D0"/>
    <w:rsid w:val="00C2165A"/>
    <w:rsid w:val="00CC403E"/>
    <w:rsid w:val="00D50403"/>
    <w:rsid w:val="00D7594B"/>
    <w:rsid w:val="00DB4396"/>
    <w:rsid w:val="00E366B3"/>
    <w:rsid w:val="00F51291"/>
    <w:rsid w:val="00F601B1"/>
    <w:rsid w:val="00F77183"/>
    <w:rsid w:val="3FA740B6"/>
    <w:rsid w:val="40ED6414"/>
    <w:rsid w:val="64964E36"/>
    <w:rsid w:val="7F492A09"/>
    <w:rsid w:val="BFFDE7B8"/>
    <w:rsid w:val="E72F30AF"/>
    <w:rsid w:val="FDEBD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99"/>
    <w:pPr>
      <w:spacing w:after="120"/>
      <w:ind w:left="420" w:leftChars="2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link w:val="13"/>
    <w:semiHidden/>
    <w:unhideWhenUsed/>
    <w:qFormat/>
    <w:uiPriority w:val="99"/>
    <w:pPr>
      <w:ind w:firstLine="420" w:firstLineChars="200"/>
    </w:p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_Style 8"/>
    <w:basedOn w:val="2"/>
    <w:next w:val="5"/>
    <w:qFormat/>
    <w:uiPriority w:val="0"/>
    <w:pPr>
      <w:spacing w:after="0"/>
      <w:ind w:left="0" w:leftChars="0" w:firstLine="420" w:firstLineChars="158"/>
    </w:pPr>
    <w:rPr>
      <w:rFonts w:ascii="Times New Roman" w:hAnsi="Times New Roman" w:eastAsia="宋体" w:cs="Times New Roman"/>
      <w:b/>
      <w:bCs/>
      <w:sz w:val="32"/>
      <w:szCs w:val="32"/>
    </w:rPr>
  </w:style>
  <w:style w:type="character" w:customStyle="1" w:styleId="12">
    <w:name w:val="正文文本缩进 字符"/>
    <w:basedOn w:val="7"/>
    <w:link w:val="2"/>
    <w:semiHidden/>
    <w:qFormat/>
    <w:uiPriority w:val="99"/>
  </w:style>
  <w:style w:type="character" w:customStyle="1" w:styleId="13">
    <w:name w:val="正文文本首行缩进 2 字符"/>
    <w:basedOn w:val="12"/>
    <w:link w:val="5"/>
    <w:semiHidden/>
    <w:qFormat/>
    <w:uiPriority w:val="99"/>
  </w:style>
  <w:style w:type="paragraph" w:customStyle="1" w:styleId="1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419</Words>
  <Characters>2391</Characters>
  <Lines>19</Lines>
  <Paragraphs>5</Paragraphs>
  <TotalTime>2</TotalTime>
  <ScaleCrop>false</ScaleCrop>
  <LinksUpToDate>false</LinksUpToDate>
  <CharactersWithSpaces>2805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2025-10-15T03:06:00Z</dcterms:created>
  <dc:creator>Administrator</dc:creator>
  <cp:lastModifiedBy>user</cp:lastModifiedBy>
  <dcterms:modified xsi:type="dcterms:W3CDTF">2025-10-31T16:28:50Z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eyJoZGlkIjoiMzVkYjU2NTMxYzBjYzU5N2EzYzNmMDViMjgyYzc0MjMiLCJ1c2VySWQiOiI0MDEyMTI4NzkifQ==</vt:lpwstr>
  </property>
  <property fmtid="{D5CDD505-2E9C-101B-9397-08002B2CF9AE}" pid="3" name="KSOProductBuildVer">
    <vt:lpwstr>2052-12.8.2.18605</vt:lpwstr>
  </property>
  <property fmtid="{D5CDD505-2E9C-101B-9397-08002B2CF9AE}" pid="4" name="ICV">
    <vt:lpwstr>F0550D550FEB48F4AF5B029A56FAC53F_13</vt:lpwstr>
  </property>
</Properties>
</file>