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W w:w="5891"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89"/>
        <w:gridCol w:w="3641"/>
        <w:gridCol w:w="1745"/>
        <w:gridCol w:w="2766"/>
      </w:tblGrid>
      <w:tr w14:paraId="691942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940" w:type="pct"/>
            <w:tcBorders>
              <w:top w:val="single" w:color="auto" w:sz="4" w:space="0"/>
              <w:left w:val="single" w:color="auto" w:sz="4" w:space="0"/>
              <w:bottom w:val="single" w:color="auto" w:sz="4" w:space="0"/>
              <w:right w:val="single" w:color="auto" w:sz="4" w:space="0"/>
            </w:tcBorders>
            <w:vAlign w:val="center"/>
          </w:tcPr>
          <w:p w14:paraId="58140D68">
            <w:pPr>
              <w:jc w:val="center"/>
              <w:rPr>
                <w:rFonts w:ascii="仿宋" w:hAnsi="仿宋" w:eastAsia="仿宋"/>
                <w:kern w:val="0"/>
                <w:sz w:val="24"/>
              </w:rPr>
            </w:pPr>
            <w:r>
              <w:rPr>
                <w:rFonts w:hint="eastAsia" w:ascii="仿宋" w:hAnsi="仿宋" w:eastAsia="仿宋"/>
                <w:sz w:val="24"/>
              </w:rPr>
              <w:t>科室</w:t>
            </w:r>
          </w:p>
        </w:tc>
        <w:tc>
          <w:tcPr>
            <w:tcW w:w="1813" w:type="pct"/>
            <w:tcBorders>
              <w:top w:val="single" w:color="auto" w:sz="4" w:space="0"/>
              <w:left w:val="single" w:color="auto" w:sz="4" w:space="0"/>
              <w:bottom w:val="single" w:color="auto" w:sz="4" w:space="0"/>
              <w:right w:val="single" w:color="auto" w:sz="4" w:space="0"/>
            </w:tcBorders>
            <w:vAlign w:val="center"/>
          </w:tcPr>
          <w:p w14:paraId="1453300B">
            <w:pPr>
              <w:widowControl/>
              <w:spacing w:before="100" w:beforeAutospacing="1" w:after="100" w:afterAutospacing="1" w:line="400" w:lineRule="exact"/>
              <w:rPr>
                <w:rFonts w:ascii="仿宋" w:hAnsi="仿宋" w:eastAsia="仿宋"/>
                <w:kern w:val="0"/>
                <w:sz w:val="24"/>
              </w:rPr>
            </w:pPr>
            <w:r>
              <w:rPr>
                <w:rFonts w:hint="eastAsia" w:ascii="仿宋" w:hAnsi="仿宋" w:eastAsia="仿宋"/>
                <w:kern w:val="0"/>
                <w:sz w:val="24"/>
              </w:rPr>
              <w:t>应用技术科</w:t>
            </w:r>
          </w:p>
        </w:tc>
        <w:tc>
          <w:tcPr>
            <w:tcW w:w="869" w:type="pct"/>
            <w:tcBorders>
              <w:top w:val="single" w:color="auto" w:sz="4" w:space="0"/>
              <w:left w:val="single" w:color="auto" w:sz="4" w:space="0"/>
              <w:bottom w:val="single" w:color="auto" w:sz="4" w:space="0"/>
              <w:right w:val="single" w:color="auto" w:sz="4" w:space="0"/>
            </w:tcBorders>
            <w:vAlign w:val="center"/>
          </w:tcPr>
          <w:p w14:paraId="5666C0A1">
            <w:pPr>
              <w:jc w:val="center"/>
              <w:rPr>
                <w:rFonts w:ascii="仿宋" w:hAnsi="仿宋" w:eastAsia="仿宋"/>
                <w:kern w:val="0"/>
                <w:sz w:val="24"/>
              </w:rPr>
            </w:pPr>
            <w:r>
              <w:rPr>
                <w:rFonts w:ascii="仿宋" w:hAnsi="仿宋" w:eastAsia="仿宋"/>
                <w:sz w:val="24"/>
              </w:rPr>
              <w:t>项目负责人</w:t>
            </w:r>
          </w:p>
        </w:tc>
        <w:tc>
          <w:tcPr>
            <w:tcW w:w="1376" w:type="pct"/>
            <w:tcBorders>
              <w:top w:val="single" w:color="auto" w:sz="4" w:space="0"/>
              <w:left w:val="single" w:color="auto" w:sz="4" w:space="0"/>
              <w:bottom w:val="single" w:color="auto" w:sz="4" w:space="0"/>
              <w:right w:val="single" w:color="auto" w:sz="4" w:space="0"/>
            </w:tcBorders>
            <w:vAlign w:val="center"/>
          </w:tcPr>
          <w:p w14:paraId="3EF8C7E4">
            <w:pPr>
              <w:widowControl/>
              <w:spacing w:before="100" w:beforeAutospacing="1" w:after="100" w:afterAutospacing="1" w:line="400" w:lineRule="exact"/>
              <w:jc w:val="left"/>
              <w:rPr>
                <w:rFonts w:ascii="仿宋" w:hAnsi="仿宋" w:eastAsia="仿宋"/>
                <w:kern w:val="0"/>
                <w:sz w:val="24"/>
              </w:rPr>
            </w:pPr>
            <w:r>
              <w:rPr>
                <w:rFonts w:hint="eastAsia" w:ascii="仿宋" w:hAnsi="仿宋" w:eastAsia="仿宋"/>
                <w:kern w:val="0"/>
                <w:sz w:val="24"/>
              </w:rPr>
              <w:t>林昊</w:t>
            </w:r>
          </w:p>
        </w:tc>
      </w:tr>
      <w:tr w14:paraId="20947F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940" w:type="pct"/>
            <w:tcBorders>
              <w:top w:val="single" w:color="auto" w:sz="4" w:space="0"/>
              <w:left w:val="single" w:color="auto" w:sz="4" w:space="0"/>
              <w:bottom w:val="single" w:color="auto" w:sz="4" w:space="0"/>
              <w:right w:val="single" w:color="auto" w:sz="4" w:space="0"/>
            </w:tcBorders>
            <w:vAlign w:val="center"/>
          </w:tcPr>
          <w:p w14:paraId="0923BB0A">
            <w:pPr>
              <w:jc w:val="center"/>
              <w:rPr>
                <w:rFonts w:ascii="仿宋" w:hAnsi="仿宋" w:eastAsia="仿宋"/>
                <w:kern w:val="0"/>
                <w:sz w:val="24"/>
              </w:rPr>
            </w:pPr>
            <w:r>
              <w:rPr>
                <w:rFonts w:ascii="仿宋" w:hAnsi="仿宋" w:eastAsia="仿宋"/>
                <w:kern w:val="0"/>
                <w:sz w:val="24"/>
              </w:rPr>
              <w:t>项目名称</w:t>
            </w:r>
          </w:p>
        </w:tc>
        <w:tc>
          <w:tcPr>
            <w:tcW w:w="4059" w:type="pct"/>
            <w:gridSpan w:val="3"/>
            <w:tcBorders>
              <w:top w:val="single" w:color="auto" w:sz="4" w:space="0"/>
              <w:left w:val="single" w:color="auto" w:sz="4" w:space="0"/>
              <w:bottom w:val="single" w:color="auto" w:sz="4" w:space="0"/>
              <w:right w:val="single" w:color="auto" w:sz="4" w:space="0"/>
            </w:tcBorders>
            <w:vAlign w:val="center"/>
          </w:tcPr>
          <w:p w14:paraId="3ACB33F1">
            <w:pPr>
              <w:widowControl/>
              <w:spacing w:before="100" w:beforeAutospacing="1" w:after="100" w:afterAutospacing="1" w:line="400" w:lineRule="exact"/>
              <w:rPr>
                <w:rFonts w:ascii="仿宋" w:hAnsi="仿宋" w:eastAsia="仿宋"/>
                <w:kern w:val="0"/>
                <w:sz w:val="24"/>
              </w:rPr>
            </w:pPr>
            <w:r>
              <w:rPr>
                <w:rFonts w:hint="eastAsia" w:ascii="仿宋" w:hAnsi="仿宋" w:eastAsia="仿宋"/>
                <w:kern w:val="0"/>
                <w:sz w:val="24"/>
                <w:szCs w:val="24"/>
              </w:rPr>
              <w:t>上海市水环境监测信息平台（升级改造）</w:t>
            </w:r>
          </w:p>
        </w:tc>
      </w:tr>
      <w:tr w14:paraId="47C395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940" w:type="pct"/>
            <w:tcBorders>
              <w:top w:val="single" w:color="auto" w:sz="4" w:space="0"/>
              <w:left w:val="single" w:color="auto" w:sz="4" w:space="0"/>
              <w:bottom w:val="single" w:color="auto" w:sz="4" w:space="0"/>
              <w:right w:val="single" w:color="auto" w:sz="4" w:space="0"/>
            </w:tcBorders>
            <w:vAlign w:val="center"/>
          </w:tcPr>
          <w:p w14:paraId="7BDB72D5">
            <w:pPr>
              <w:jc w:val="center"/>
              <w:rPr>
                <w:rFonts w:ascii="仿宋" w:hAnsi="仿宋" w:eastAsia="仿宋"/>
                <w:kern w:val="0"/>
                <w:sz w:val="24"/>
              </w:rPr>
            </w:pPr>
            <w:r>
              <w:rPr>
                <w:rFonts w:hint="eastAsia" w:ascii="仿宋" w:hAnsi="仿宋" w:eastAsia="仿宋"/>
                <w:kern w:val="0"/>
                <w:sz w:val="24"/>
              </w:rPr>
              <w:t>预算金额（元）</w:t>
            </w:r>
          </w:p>
        </w:tc>
        <w:tc>
          <w:tcPr>
            <w:tcW w:w="1813" w:type="pct"/>
            <w:tcBorders>
              <w:top w:val="single" w:color="auto" w:sz="4" w:space="0"/>
              <w:left w:val="single" w:color="auto" w:sz="4" w:space="0"/>
              <w:bottom w:val="single" w:color="auto" w:sz="4" w:space="0"/>
              <w:right w:val="single" w:color="auto" w:sz="4" w:space="0"/>
            </w:tcBorders>
            <w:vAlign w:val="center"/>
          </w:tcPr>
          <w:p w14:paraId="2CD15668">
            <w:pPr>
              <w:widowControl/>
              <w:spacing w:before="100" w:beforeAutospacing="1" w:after="100" w:afterAutospacing="1" w:line="400" w:lineRule="exact"/>
              <w:rPr>
                <w:rFonts w:ascii="仿宋" w:hAnsi="仿宋" w:eastAsia="仿宋"/>
                <w:kern w:val="0"/>
                <w:sz w:val="24"/>
              </w:rPr>
            </w:pPr>
            <w:r>
              <w:rPr>
                <w:rFonts w:hint="eastAsia" w:ascii="仿宋" w:hAnsi="仿宋" w:eastAsia="仿宋"/>
                <w:kern w:val="0"/>
                <w:sz w:val="24"/>
              </w:rPr>
              <w:t>2</w:t>
            </w:r>
            <w:r>
              <w:rPr>
                <w:rFonts w:ascii="仿宋" w:hAnsi="仿宋" w:eastAsia="仿宋"/>
                <w:kern w:val="0"/>
                <w:sz w:val="24"/>
              </w:rPr>
              <w:t>022500</w:t>
            </w:r>
          </w:p>
        </w:tc>
        <w:tc>
          <w:tcPr>
            <w:tcW w:w="869" w:type="pct"/>
            <w:tcBorders>
              <w:top w:val="single" w:color="auto" w:sz="4" w:space="0"/>
              <w:left w:val="single" w:color="auto" w:sz="4" w:space="0"/>
              <w:bottom w:val="single" w:color="auto" w:sz="4" w:space="0"/>
              <w:right w:val="single" w:color="auto" w:sz="4" w:space="0"/>
            </w:tcBorders>
            <w:vAlign w:val="center"/>
          </w:tcPr>
          <w:p w14:paraId="75ECA586">
            <w:pPr>
              <w:jc w:val="center"/>
              <w:rPr>
                <w:rFonts w:ascii="仿宋" w:hAnsi="仿宋" w:eastAsia="仿宋"/>
                <w:kern w:val="0"/>
                <w:sz w:val="24"/>
              </w:rPr>
            </w:pPr>
            <w:r>
              <w:rPr>
                <w:rFonts w:hint="eastAsia" w:ascii="仿宋" w:hAnsi="仿宋" w:eastAsia="仿宋"/>
                <w:kern w:val="0"/>
                <w:sz w:val="24"/>
              </w:rPr>
              <w:t>预算资金是否</w:t>
            </w:r>
            <w:r>
              <w:rPr>
                <w:rFonts w:ascii="仿宋" w:hAnsi="仿宋" w:eastAsia="仿宋"/>
                <w:kern w:val="0"/>
                <w:sz w:val="24"/>
              </w:rPr>
              <w:t>跨年</w:t>
            </w:r>
          </w:p>
        </w:tc>
        <w:tc>
          <w:tcPr>
            <w:tcW w:w="1376" w:type="pct"/>
            <w:tcBorders>
              <w:top w:val="single" w:color="auto" w:sz="4" w:space="0"/>
              <w:left w:val="single" w:color="auto" w:sz="4" w:space="0"/>
              <w:bottom w:val="single" w:color="auto" w:sz="4" w:space="0"/>
              <w:right w:val="single" w:color="auto" w:sz="4" w:space="0"/>
            </w:tcBorders>
            <w:vAlign w:val="center"/>
          </w:tcPr>
          <w:p w14:paraId="12970C67">
            <w:pPr>
              <w:widowControl/>
              <w:spacing w:before="100" w:beforeAutospacing="1" w:after="100" w:afterAutospacing="1" w:line="400" w:lineRule="exact"/>
              <w:jc w:val="left"/>
              <w:rPr>
                <w:rFonts w:ascii="仿宋" w:hAnsi="仿宋" w:eastAsia="仿宋"/>
                <w:kern w:val="0"/>
                <w:sz w:val="24"/>
              </w:rPr>
            </w:pPr>
            <w:r>
              <w:rPr>
                <w:rFonts w:hint="eastAsia" w:ascii="仿宋" w:hAnsi="仿宋" w:eastAsia="仿宋"/>
                <w:color w:val="FF0000"/>
                <w:kern w:val="0"/>
                <w:sz w:val="24"/>
                <w:szCs w:val="24"/>
              </w:rPr>
              <w:t>是</w:t>
            </w:r>
          </w:p>
        </w:tc>
      </w:tr>
      <w:tr w14:paraId="3C9E0E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940" w:type="pct"/>
            <w:tcBorders>
              <w:top w:val="single" w:color="auto" w:sz="4" w:space="0"/>
              <w:left w:val="single" w:color="auto" w:sz="4" w:space="0"/>
              <w:bottom w:val="single" w:color="auto" w:sz="4" w:space="0"/>
              <w:right w:val="single" w:color="auto" w:sz="4" w:space="0"/>
            </w:tcBorders>
            <w:vAlign w:val="center"/>
          </w:tcPr>
          <w:p w14:paraId="3551C18D">
            <w:pPr>
              <w:jc w:val="center"/>
              <w:rPr>
                <w:rFonts w:ascii="仿宋" w:hAnsi="仿宋" w:eastAsia="仿宋"/>
                <w:kern w:val="0"/>
                <w:sz w:val="24"/>
              </w:rPr>
            </w:pPr>
            <w:r>
              <w:rPr>
                <w:rFonts w:hint="eastAsia" w:ascii="仿宋" w:hAnsi="仿宋" w:eastAsia="仿宋"/>
                <w:kern w:val="0"/>
                <w:sz w:val="24"/>
              </w:rPr>
              <w:t>预算编号</w:t>
            </w:r>
          </w:p>
        </w:tc>
        <w:tc>
          <w:tcPr>
            <w:tcW w:w="1813" w:type="pct"/>
            <w:tcBorders>
              <w:top w:val="single" w:color="auto" w:sz="4" w:space="0"/>
              <w:left w:val="single" w:color="auto" w:sz="4" w:space="0"/>
              <w:bottom w:val="single" w:color="auto" w:sz="4" w:space="0"/>
              <w:right w:val="single" w:color="auto" w:sz="4" w:space="0"/>
            </w:tcBorders>
            <w:vAlign w:val="center"/>
          </w:tcPr>
          <w:p w14:paraId="1C7AFE70">
            <w:pPr>
              <w:rPr>
                <w:rFonts w:ascii="仿宋" w:hAnsi="仿宋" w:eastAsia="仿宋"/>
                <w:kern w:val="0"/>
                <w:sz w:val="24"/>
              </w:rPr>
            </w:pPr>
            <w:r>
              <w:rPr>
                <w:rFonts w:ascii="仿宋" w:hAnsi="仿宋" w:eastAsia="仿宋"/>
                <w:kern w:val="0"/>
                <w:sz w:val="24"/>
                <w:szCs w:val="24"/>
              </w:rPr>
              <w:t>0025-00014043</w:t>
            </w:r>
          </w:p>
        </w:tc>
        <w:tc>
          <w:tcPr>
            <w:tcW w:w="869" w:type="pct"/>
            <w:tcBorders>
              <w:top w:val="single" w:color="auto" w:sz="4" w:space="0"/>
              <w:left w:val="single" w:color="auto" w:sz="4" w:space="0"/>
              <w:bottom w:val="single" w:color="auto" w:sz="4" w:space="0"/>
              <w:right w:val="single" w:color="auto" w:sz="4" w:space="0"/>
            </w:tcBorders>
            <w:vAlign w:val="center"/>
          </w:tcPr>
          <w:p w14:paraId="357FDBB7">
            <w:pPr>
              <w:jc w:val="center"/>
              <w:rPr>
                <w:rFonts w:ascii="仿宋" w:hAnsi="仿宋" w:eastAsia="仿宋"/>
                <w:kern w:val="0"/>
                <w:sz w:val="24"/>
              </w:rPr>
            </w:pPr>
            <w:r>
              <w:rPr>
                <w:rFonts w:hint="eastAsia" w:ascii="仿宋" w:hAnsi="仿宋" w:eastAsia="仿宋"/>
                <w:kern w:val="0"/>
                <w:sz w:val="24"/>
              </w:rPr>
              <w:t>资金来源</w:t>
            </w:r>
          </w:p>
        </w:tc>
        <w:tc>
          <w:tcPr>
            <w:tcW w:w="1376" w:type="pct"/>
            <w:tcBorders>
              <w:top w:val="single" w:color="auto" w:sz="4" w:space="0"/>
              <w:left w:val="single" w:color="auto" w:sz="4" w:space="0"/>
              <w:bottom w:val="single" w:color="auto" w:sz="4" w:space="0"/>
              <w:right w:val="single" w:color="auto" w:sz="4" w:space="0"/>
            </w:tcBorders>
            <w:vAlign w:val="center"/>
          </w:tcPr>
          <w:p w14:paraId="051CCAD5">
            <w:pPr>
              <w:rPr>
                <w:rFonts w:ascii="仿宋" w:hAnsi="仿宋" w:eastAsia="仿宋"/>
                <w:kern w:val="0"/>
                <w:sz w:val="24"/>
              </w:rPr>
            </w:pPr>
            <w:r>
              <w:rPr>
                <w:rFonts w:hint="eastAsia" w:ascii="仿宋" w:hAnsi="仿宋" w:eastAsia="仿宋"/>
                <w:kern w:val="0"/>
                <w:sz w:val="24"/>
                <w:szCs w:val="24"/>
              </w:rPr>
              <w:t>年度财政</w:t>
            </w:r>
            <w:r>
              <w:rPr>
                <w:rFonts w:ascii="仿宋" w:hAnsi="仿宋" w:eastAsia="仿宋"/>
                <w:kern w:val="0"/>
                <w:sz w:val="24"/>
                <w:szCs w:val="24"/>
              </w:rPr>
              <w:t>预算</w:t>
            </w:r>
          </w:p>
        </w:tc>
      </w:tr>
      <w:tr w14:paraId="753767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940" w:type="pct"/>
            <w:tcBorders>
              <w:top w:val="single" w:color="auto" w:sz="4" w:space="0"/>
              <w:left w:val="single" w:color="auto" w:sz="4" w:space="0"/>
              <w:bottom w:val="single" w:color="auto" w:sz="4" w:space="0"/>
              <w:right w:val="single" w:color="auto" w:sz="4" w:space="0"/>
            </w:tcBorders>
            <w:vAlign w:val="center"/>
          </w:tcPr>
          <w:p w14:paraId="16A1AB91">
            <w:pPr>
              <w:jc w:val="center"/>
              <w:rPr>
                <w:rFonts w:ascii="仿宋" w:hAnsi="仿宋" w:eastAsia="仿宋"/>
                <w:kern w:val="0"/>
                <w:sz w:val="24"/>
              </w:rPr>
            </w:pPr>
            <w:r>
              <w:rPr>
                <w:rFonts w:hint="eastAsia" w:ascii="仿宋" w:hAnsi="仿宋" w:eastAsia="仿宋"/>
                <w:kern w:val="0"/>
                <w:sz w:val="24"/>
              </w:rPr>
              <w:t>采购</w:t>
            </w:r>
            <w:r>
              <w:rPr>
                <w:rFonts w:ascii="仿宋" w:hAnsi="仿宋" w:eastAsia="仿宋"/>
                <w:kern w:val="0"/>
                <w:sz w:val="24"/>
              </w:rPr>
              <w:t>类型</w:t>
            </w:r>
          </w:p>
        </w:tc>
        <w:tc>
          <w:tcPr>
            <w:tcW w:w="1813" w:type="pct"/>
            <w:tcBorders>
              <w:top w:val="single" w:color="auto" w:sz="4" w:space="0"/>
              <w:left w:val="single" w:color="auto" w:sz="4" w:space="0"/>
              <w:bottom w:val="single" w:color="auto" w:sz="4" w:space="0"/>
              <w:right w:val="single" w:color="auto" w:sz="4" w:space="0"/>
            </w:tcBorders>
            <w:vAlign w:val="center"/>
          </w:tcPr>
          <w:p w14:paraId="533F99D0">
            <w:pPr>
              <w:rPr>
                <w:rFonts w:ascii="仿宋" w:hAnsi="仿宋" w:eastAsia="仿宋"/>
                <w:kern w:val="0"/>
                <w:sz w:val="24"/>
              </w:rPr>
            </w:pPr>
            <w:r>
              <w:rPr>
                <w:rFonts w:hint="eastAsia" w:ascii="仿宋" w:hAnsi="仿宋" w:eastAsia="仿宋"/>
                <w:kern w:val="0"/>
                <w:sz w:val="24"/>
                <w:szCs w:val="24"/>
              </w:rPr>
              <w:t>服务</w:t>
            </w:r>
          </w:p>
        </w:tc>
        <w:tc>
          <w:tcPr>
            <w:tcW w:w="869" w:type="pct"/>
            <w:tcBorders>
              <w:top w:val="single" w:color="auto" w:sz="4" w:space="0"/>
              <w:left w:val="single" w:color="auto" w:sz="4" w:space="0"/>
              <w:bottom w:val="single" w:color="auto" w:sz="4" w:space="0"/>
              <w:right w:val="single" w:color="auto" w:sz="4" w:space="0"/>
            </w:tcBorders>
            <w:vAlign w:val="center"/>
          </w:tcPr>
          <w:p w14:paraId="49FCACFC">
            <w:pPr>
              <w:jc w:val="center"/>
              <w:rPr>
                <w:rFonts w:ascii="仿宋" w:hAnsi="仿宋" w:eastAsia="仿宋"/>
                <w:kern w:val="0"/>
                <w:sz w:val="24"/>
              </w:rPr>
            </w:pPr>
            <w:r>
              <w:rPr>
                <w:rFonts w:hint="eastAsia" w:ascii="仿宋" w:hAnsi="仿宋" w:eastAsia="仿宋"/>
                <w:kern w:val="0"/>
                <w:sz w:val="24"/>
              </w:rPr>
              <w:t>是否直接</w:t>
            </w:r>
            <w:r>
              <w:rPr>
                <w:rFonts w:ascii="仿宋" w:hAnsi="仿宋" w:eastAsia="仿宋"/>
                <w:kern w:val="0"/>
                <w:sz w:val="24"/>
              </w:rPr>
              <w:t>单一来源</w:t>
            </w:r>
            <w:r>
              <w:rPr>
                <w:rFonts w:hint="eastAsia" w:ascii="仿宋" w:hAnsi="仿宋" w:eastAsia="仿宋"/>
                <w:kern w:val="0"/>
                <w:sz w:val="24"/>
              </w:rPr>
              <w:t>采购</w:t>
            </w:r>
          </w:p>
        </w:tc>
        <w:tc>
          <w:tcPr>
            <w:tcW w:w="1376" w:type="pct"/>
            <w:tcBorders>
              <w:top w:val="single" w:color="auto" w:sz="4" w:space="0"/>
              <w:left w:val="single" w:color="auto" w:sz="4" w:space="0"/>
              <w:bottom w:val="single" w:color="auto" w:sz="4" w:space="0"/>
              <w:right w:val="single" w:color="auto" w:sz="4" w:space="0"/>
            </w:tcBorders>
            <w:vAlign w:val="center"/>
          </w:tcPr>
          <w:p w14:paraId="7D851303">
            <w:pPr>
              <w:rPr>
                <w:rFonts w:ascii="仿宋" w:hAnsi="仿宋" w:eastAsia="仿宋"/>
                <w:kern w:val="0"/>
                <w:sz w:val="24"/>
              </w:rPr>
            </w:pPr>
            <w:r>
              <w:rPr>
                <w:rFonts w:hint="eastAsia" w:ascii="仿宋" w:hAnsi="仿宋" w:eastAsia="仿宋"/>
                <w:kern w:val="0"/>
                <w:sz w:val="24"/>
                <w:szCs w:val="24"/>
              </w:rPr>
              <w:t>否</w:t>
            </w:r>
          </w:p>
        </w:tc>
      </w:tr>
      <w:tr w14:paraId="52EB4D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940" w:type="pct"/>
            <w:tcBorders>
              <w:top w:val="single" w:color="auto" w:sz="4" w:space="0"/>
              <w:left w:val="single" w:color="auto" w:sz="4" w:space="0"/>
              <w:bottom w:val="single" w:color="auto" w:sz="4" w:space="0"/>
              <w:right w:val="single" w:color="auto" w:sz="4" w:space="0"/>
            </w:tcBorders>
            <w:vAlign w:val="center"/>
          </w:tcPr>
          <w:p w14:paraId="698F69F8">
            <w:pPr>
              <w:jc w:val="center"/>
              <w:rPr>
                <w:rFonts w:ascii="仿宋" w:hAnsi="仿宋" w:eastAsia="仿宋"/>
                <w:kern w:val="0"/>
                <w:sz w:val="24"/>
              </w:rPr>
            </w:pPr>
            <w:r>
              <w:rPr>
                <w:rFonts w:hint="eastAsia" w:ascii="仿宋" w:hAnsi="仿宋" w:eastAsia="仿宋"/>
                <w:kern w:val="0"/>
                <w:sz w:val="24"/>
              </w:rPr>
              <w:t>是否允许联合</w:t>
            </w:r>
            <w:r>
              <w:rPr>
                <w:rFonts w:ascii="仿宋" w:hAnsi="仿宋" w:eastAsia="仿宋"/>
                <w:kern w:val="0"/>
                <w:sz w:val="24"/>
              </w:rPr>
              <w:t>投标</w:t>
            </w:r>
          </w:p>
        </w:tc>
        <w:tc>
          <w:tcPr>
            <w:tcW w:w="1813" w:type="pct"/>
            <w:tcBorders>
              <w:top w:val="single" w:color="auto" w:sz="4" w:space="0"/>
              <w:left w:val="single" w:color="auto" w:sz="4" w:space="0"/>
              <w:bottom w:val="single" w:color="auto" w:sz="4" w:space="0"/>
              <w:right w:val="single" w:color="auto" w:sz="4" w:space="0"/>
            </w:tcBorders>
            <w:vAlign w:val="center"/>
          </w:tcPr>
          <w:p w14:paraId="3DE1513F">
            <w:pPr>
              <w:rPr>
                <w:rFonts w:ascii="仿宋" w:hAnsi="仿宋" w:eastAsia="仿宋"/>
                <w:kern w:val="0"/>
                <w:sz w:val="24"/>
              </w:rPr>
            </w:pPr>
            <w:r>
              <w:rPr>
                <w:rFonts w:hint="eastAsia" w:ascii="仿宋" w:hAnsi="仿宋" w:eastAsia="仿宋"/>
                <w:kern w:val="0"/>
                <w:sz w:val="24"/>
                <w:szCs w:val="24"/>
              </w:rPr>
              <w:t>否</w:t>
            </w:r>
          </w:p>
        </w:tc>
        <w:tc>
          <w:tcPr>
            <w:tcW w:w="869" w:type="pct"/>
            <w:tcBorders>
              <w:top w:val="single" w:color="auto" w:sz="4" w:space="0"/>
              <w:left w:val="single" w:color="auto" w:sz="4" w:space="0"/>
              <w:bottom w:val="single" w:color="auto" w:sz="4" w:space="0"/>
              <w:right w:val="single" w:color="auto" w:sz="4" w:space="0"/>
            </w:tcBorders>
            <w:vAlign w:val="center"/>
          </w:tcPr>
          <w:p w14:paraId="07F6A4EC">
            <w:pPr>
              <w:jc w:val="center"/>
              <w:rPr>
                <w:rFonts w:ascii="仿宋" w:hAnsi="仿宋" w:eastAsia="仿宋"/>
                <w:kern w:val="0"/>
                <w:sz w:val="24"/>
              </w:rPr>
            </w:pPr>
            <w:r>
              <w:rPr>
                <w:rFonts w:hint="eastAsia" w:ascii="仿宋" w:hAnsi="仿宋" w:eastAsia="仿宋"/>
                <w:kern w:val="0"/>
                <w:sz w:val="24"/>
              </w:rPr>
              <w:t>是否允许分包</w:t>
            </w:r>
          </w:p>
        </w:tc>
        <w:tc>
          <w:tcPr>
            <w:tcW w:w="1376" w:type="pct"/>
            <w:tcBorders>
              <w:top w:val="single" w:color="auto" w:sz="4" w:space="0"/>
              <w:left w:val="single" w:color="auto" w:sz="4" w:space="0"/>
              <w:bottom w:val="single" w:color="auto" w:sz="4" w:space="0"/>
              <w:right w:val="single" w:color="auto" w:sz="4" w:space="0"/>
            </w:tcBorders>
            <w:vAlign w:val="center"/>
          </w:tcPr>
          <w:p w14:paraId="1C21ACB5">
            <w:pPr>
              <w:rPr>
                <w:rFonts w:ascii="仿宋" w:hAnsi="仿宋" w:eastAsia="仿宋"/>
                <w:kern w:val="0"/>
                <w:sz w:val="24"/>
              </w:rPr>
            </w:pPr>
            <w:r>
              <w:rPr>
                <w:rFonts w:hint="eastAsia" w:ascii="仿宋" w:hAnsi="仿宋" w:eastAsia="仿宋"/>
                <w:kern w:val="0"/>
                <w:sz w:val="24"/>
                <w:szCs w:val="24"/>
              </w:rPr>
              <w:t>否</w:t>
            </w:r>
          </w:p>
        </w:tc>
      </w:tr>
      <w:tr w14:paraId="09D90A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940" w:type="pct"/>
            <w:tcBorders>
              <w:top w:val="single" w:color="auto" w:sz="4" w:space="0"/>
              <w:left w:val="single" w:color="auto" w:sz="4" w:space="0"/>
              <w:bottom w:val="single" w:color="auto" w:sz="4" w:space="0"/>
              <w:right w:val="single" w:color="auto" w:sz="4" w:space="0"/>
            </w:tcBorders>
            <w:vAlign w:val="center"/>
          </w:tcPr>
          <w:p w14:paraId="28037F57">
            <w:pPr>
              <w:jc w:val="center"/>
              <w:rPr>
                <w:rFonts w:ascii="仿宋" w:hAnsi="仿宋" w:eastAsia="仿宋"/>
                <w:kern w:val="0"/>
                <w:sz w:val="24"/>
              </w:rPr>
            </w:pPr>
            <w:r>
              <w:rPr>
                <w:rFonts w:hint="eastAsia" w:ascii="仿宋" w:hAnsi="仿宋" w:eastAsia="仿宋"/>
                <w:kern w:val="0"/>
                <w:sz w:val="24"/>
              </w:rPr>
              <w:t>是</w:t>
            </w:r>
            <w:r>
              <w:rPr>
                <w:rFonts w:ascii="仿宋" w:hAnsi="仿宋" w:eastAsia="仿宋"/>
                <w:kern w:val="0"/>
                <w:sz w:val="24"/>
              </w:rPr>
              <w:t>否</w:t>
            </w:r>
            <w:r>
              <w:rPr>
                <w:rFonts w:hint="eastAsia" w:ascii="仿宋" w:hAnsi="仿宋" w:eastAsia="仿宋"/>
                <w:kern w:val="0"/>
                <w:sz w:val="24"/>
              </w:rPr>
              <w:t>中小</w:t>
            </w:r>
            <w:r>
              <w:rPr>
                <w:rFonts w:ascii="仿宋" w:hAnsi="仿宋" w:eastAsia="仿宋"/>
                <w:kern w:val="0"/>
                <w:sz w:val="24"/>
              </w:rPr>
              <w:t>企业预留</w:t>
            </w:r>
          </w:p>
        </w:tc>
        <w:tc>
          <w:tcPr>
            <w:tcW w:w="4059" w:type="pct"/>
            <w:gridSpan w:val="3"/>
            <w:tcBorders>
              <w:top w:val="single" w:color="auto" w:sz="4" w:space="0"/>
              <w:left w:val="single" w:color="auto" w:sz="4" w:space="0"/>
              <w:bottom w:val="single" w:color="auto" w:sz="4" w:space="0"/>
              <w:right w:val="single" w:color="auto" w:sz="4" w:space="0"/>
            </w:tcBorders>
            <w:vAlign w:val="center"/>
          </w:tcPr>
          <w:p w14:paraId="2938F9EF">
            <w:pPr>
              <w:rPr>
                <w:rFonts w:ascii="仿宋" w:hAnsi="仿宋" w:eastAsia="仿宋"/>
                <w:kern w:val="0"/>
                <w:sz w:val="24"/>
              </w:rPr>
            </w:pPr>
            <w:r>
              <w:rPr>
                <w:rFonts w:hint="eastAsia" w:ascii="仿宋" w:hAnsi="仿宋" w:eastAsia="仿宋"/>
                <w:kern w:val="0"/>
                <w:sz w:val="24"/>
                <w:szCs w:val="24"/>
              </w:rPr>
              <w:t>不</w:t>
            </w:r>
            <w:r>
              <w:rPr>
                <w:rFonts w:ascii="仿宋" w:hAnsi="仿宋" w:eastAsia="仿宋"/>
                <w:kern w:val="0"/>
                <w:sz w:val="24"/>
                <w:szCs w:val="24"/>
              </w:rPr>
              <w:t>预留</w:t>
            </w:r>
          </w:p>
        </w:tc>
      </w:tr>
      <w:tr w14:paraId="1DCDF1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940" w:type="pct"/>
            <w:tcBorders>
              <w:top w:val="single" w:color="auto" w:sz="4" w:space="0"/>
              <w:left w:val="single" w:color="auto" w:sz="4" w:space="0"/>
              <w:bottom w:val="single" w:color="auto" w:sz="4" w:space="0"/>
              <w:right w:val="single" w:color="auto" w:sz="4" w:space="0"/>
            </w:tcBorders>
            <w:vAlign w:val="center"/>
          </w:tcPr>
          <w:p w14:paraId="667BB2A4">
            <w:pPr>
              <w:jc w:val="center"/>
              <w:rPr>
                <w:rFonts w:ascii="仿宋" w:hAnsi="仿宋" w:eastAsia="仿宋"/>
                <w:kern w:val="0"/>
                <w:sz w:val="24"/>
              </w:rPr>
            </w:pPr>
            <w:r>
              <w:rPr>
                <w:rFonts w:hint="eastAsia" w:ascii="仿宋" w:hAnsi="仿宋" w:eastAsia="仿宋"/>
                <w:kern w:val="0"/>
                <w:sz w:val="24"/>
              </w:rPr>
              <w:t>是否采购进口货物</w:t>
            </w:r>
          </w:p>
        </w:tc>
        <w:tc>
          <w:tcPr>
            <w:tcW w:w="4059" w:type="pct"/>
            <w:gridSpan w:val="3"/>
            <w:tcBorders>
              <w:top w:val="single" w:color="auto" w:sz="4" w:space="0"/>
              <w:left w:val="single" w:color="auto" w:sz="4" w:space="0"/>
              <w:bottom w:val="single" w:color="auto" w:sz="4" w:space="0"/>
              <w:right w:val="single" w:color="auto" w:sz="4" w:space="0"/>
            </w:tcBorders>
            <w:vAlign w:val="center"/>
          </w:tcPr>
          <w:p w14:paraId="328119F7">
            <w:pPr>
              <w:rPr>
                <w:rFonts w:ascii="仿宋" w:hAnsi="仿宋" w:eastAsia="仿宋"/>
                <w:kern w:val="0"/>
                <w:sz w:val="24"/>
              </w:rPr>
            </w:pPr>
            <w:r>
              <w:rPr>
                <w:rFonts w:hint="eastAsia" w:ascii="仿宋" w:hAnsi="仿宋" w:eastAsia="仿宋"/>
                <w:kern w:val="0"/>
                <w:sz w:val="24"/>
                <w:szCs w:val="24"/>
              </w:rPr>
              <w:t>否</w:t>
            </w:r>
          </w:p>
        </w:tc>
      </w:tr>
      <w:tr w14:paraId="586114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940" w:type="pct"/>
            <w:tcBorders>
              <w:top w:val="single" w:color="auto" w:sz="4" w:space="0"/>
              <w:left w:val="single" w:color="auto" w:sz="4" w:space="0"/>
              <w:bottom w:val="single" w:color="auto" w:sz="4" w:space="0"/>
              <w:right w:val="single" w:color="auto" w:sz="4" w:space="0"/>
            </w:tcBorders>
            <w:vAlign w:val="center"/>
          </w:tcPr>
          <w:p w14:paraId="00A8FF2C">
            <w:pPr>
              <w:jc w:val="center"/>
              <w:rPr>
                <w:rFonts w:ascii="仿宋" w:hAnsi="仿宋" w:eastAsia="仿宋"/>
                <w:kern w:val="0"/>
                <w:sz w:val="24"/>
              </w:rPr>
            </w:pPr>
            <w:r>
              <w:rPr>
                <w:rFonts w:hint="eastAsia" w:ascii="仿宋" w:hAnsi="仿宋" w:eastAsia="仿宋"/>
                <w:kern w:val="0"/>
                <w:sz w:val="24"/>
              </w:rPr>
              <w:t>是否收取履约</w:t>
            </w:r>
            <w:r>
              <w:rPr>
                <w:rFonts w:ascii="仿宋" w:hAnsi="仿宋" w:eastAsia="仿宋"/>
                <w:kern w:val="0"/>
                <w:sz w:val="24"/>
              </w:rPr>
              <w:t>保证金</w:t>
            </w:r>
          </w:p>
        </w:tc>
        <w:tc>
          <w:tcPr>
            <w:tcW w:w="4059" w:type="pct"/>
            <w:gridSpan w:val="3"/>
            <w:tcBorders>
              <w:top w:val="single" w:color="auto" w:sz="4" w:space="0"/>
              <w:left w:val="single" w:color="auto" w:sz="4" w:space="0"/>
              <w:bottom w:val="single" w:color="auto" w:sz="4" w:space="0"/>
              <w:right w:val="single" w:color="auto" w:sz="4" w:space="0"/>
            </w:tcBorders>
            <w:vAlign w:val="center"/>
          </w:tcPr>
          <w:p w14:paraId="6E51EF95">
            <w:pPr>
              <w:rPr>
                <w:rFonts w:ascii="仿宋" w:hAnsi="仿宋" w:eastAsia="仿宋"/>
                <w:kern w:val="0"/>
                <w:sz w:val="24"/>
              </w:rPr>
            </w:pPr>
            <w:r>
              <w:rPr>
                <w:rFonts w:hint="eastAsia" w:ascii="仿宋" w:hAnsi="仿宋" w:eastAsia="仿宋"/>
                <w:kern w:val="0"/>
                <w:sz w:val="24"/>
                <w:szCs w:val="24"/>
              </w:rPr>
              <w:t>否</w:t>
            </w:r>
          </w:p>
        </w:tc>
      </w:tr>
      <w:tr w14:paraId="69F832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940" w:type="pct"/>
            <w:tcBorders>
              <w:top w:val="single" w:color="auto" w:sz="4" w:space="0"/>
              <w:left w:val="single" w:color="auto" w:sz="4" w:space="0"/>
              <w:bottom w:val="single" w:color="auto" w:sz="4" w:space="0"/>
              <w:right w:val="single" w:color="auto" w:sz="4" w:space="0"/>
            </w:tcBorders>
            <w:vAlign w:val="center"/>
          </w:tcPr>
          <w:p w14:paraId="1F602580">
            <w:pPr>
              <w:jc w:val="center"/>
              <w:rPr>
                <w:rFonts w:ascii="仿宋" w:hAnsi="仿宋" w:eastAsia="仿宋"/>
                <w:kern w:val="0"/>
                <w:sz w:val="24"/>
              </w:rPr>
            </w:pPr>
            <w:r>
              <w:rPr>
                <w:rFonts w:hint="eastAsia" w:ascii="仿宋" w:hAnsi="仿宋" w:eastAsia="仿宋"/>
                <w:kern w:val="0"/>
                <w:sz w:val="24"/>
              </w:rPr>
              <w:t>供应商实力</w:t>
            </w:r>
            <w:r>
              <w:rPr>
                <w:rFonts w:ascii="仿宋" w:hAnsi="仿宋" w:eastAsia="仿宋"/>
                <w:kern w:val="0"/>
                <w:sz w:val="24"/>
              </w:rPr>
              <w:t>要求</w:t>
            </w:r>
          </w:p>
        </w:tc>
        <w:tc>
          <w:tcPr>
            <w:tcW w:w="4059" w:type="pct"/>
            <w:gridSpan w:val="3"/>
            <w:tcBorders>
              <w:top w:val="single" w:color="auto" w:sz="4" w:space="0"/>
              <w:left w:val="single" w:color="auto" w:sz="4" w:space="0"/>
              <w:bottom w:val="single" w:color="auto" w:sz="4" w:space="0"/>
              <w:right w:val="single" w:color="auto" w:sz="4" w:space="0"/>
            </w:tcBorders>
            <w:vAlign w:val="center"/>
          </w:tcPr>
          <w:p w14:paraId="1FFC0D3E">
            <w:pPr>
              <w:rPr>
                <w:rFonts w:ascii="仿宋" w:hAnsi="仿宋" w:eastAsia="仿宋"/>
                <w:kern w:val="0"/>
                <w:sz w:val="24"/>
              </w:rPr>
            </w:pPr>
            <w:r>
              <w:rPr>
                <w:rFonts w:hint="eastAsia" w:ascii="仿宋" w:hAnsi="仿宋" w:eastAsia="仿宋"/>
                <w:kern w:val="0"/>
                <w:sz w:val="24"/>
                <w:szCs w:val="24"/>
              </w:rPr>
              <w:t>1、</w:t>
            </w:r>
            <w:r>
              <w:rPr>
                <w:rFonts w:hint="eastAsia" w:ascii="仿宋" w:hAnsi="仿宋" w:eastAsia="仿宋"/>
                <w:kern w:val="0"/>
                <w:sz w:val="24"/>
              </w:rPr>
              <w:t>具有信息技术服务标准ITSS 系统集成成熟度三级及以上</w:t>
            </w:r>
            <w:r>
              <w:rPr>
                <w:rFonts w:ascii="仿宋" w:hAnsi="仿宋" w:eastAsia="仿宋"/>
                <w:kern w:val="0"/>
                <w:sz w:val="24"/>
              </w:rPr>
              <w:t>认证的，可优先考虑，需提供有效期内证书</w:t>
            </w:r>
            <w:r>
              <w:rPr>
                <w:rFonts w:hint="eastAsia" w:ascii="仿宋" w:hAnsi="仿宋" w:eastAsia="仿宋"/>
                <w:kern w:val="0"/>
                <w:sz w:val="24"/>
              </w:rPr>
              <w:t>；</w:t>
            </w:r>
          </w:p>
          <w:p w14:paraId="468B52E7">
            <w:pPr>
              <w:rPr>
                <w:rFonts w:ascii="仿宋" w:hAnsi="仿宋" w:eastAsia="仿宋"/>
                <w:kern w:val="0"/>
                <w:sz w:val="24"/>
                <w:szCs w:val="24"/>
              </w:rPr>
            </w:pPr>
            <w:r>
              <w:rPr>
                <w:rFonts w:hint="eastAsia" w:ascii="仿宋" w:hAnsi="仿宋" w:eastAsia="仿宋"/>
                <w:kern w:val="0"/>
                <w:sz w:val="24"/>
                <w:szCs w:val="24"/>
              </w:rPr>
              <w:t>2</w:t>
            </w:r>
            <w:r>
              <w:rPr>
                <w:rFonts w:ascii="仿宋" w:hAnsi="仿宋" w:eastAsia="仿宋"/>
                <w:kern w:val="0"/>
                <w:sz w:val="24"/>
                <w:szCs w:val="24"/>
              </w:rPr>
              <w:t>、具有环境监测、数据分析整合相关软件著作权、专利或专有技术的，可优先考虑，需提供相关登记证书等证明材料；</w:t>
            </w:r>
          </w:p>
        </w:tc>
      </w:tr>
      <w:tr w14:paraId="0C14CB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940" w:type="pct"/>
            <w:tcBorders>
              <w:top w:val="single" w:color="auto" w:sz="4" w:space="0"/>
              <w:left w:val="single" w:color="auto" w:sz="4" w:space="0"/>
              <w:bottom w:val="single" w:color="auto" w:sz="4" w:space="0"/>
              <w:right w:val="single" w:color="auto" w:sz="4" w:space="0"/>
            </w:tcBorders>
            <w:vAlign w:val="center"/>
          </w:tcPr>
          <w:p w14:paraId="71BADB45">
            <w:pPr>
              <w:jc w:val="center"/>
              <w:rPr>
                <w:rFonts w:ascii="仿宋" w:hAnsi="仿宋" w:eastAsia="仿宋"/>
                <w:kern w:val="0"/>
                <w:sz w:val="24"/>
              </w:rPr>
            </w:pPr>
            <w:r>
              <w:rPr>
                <w:rFonts w:hint="eastAsia" w:ascii="仿宋" w:hAnsi="仿宋" w:eastAsia="仿宋"/>
                <w:kern w:val="0"/>
                <w:sz w:val="24"/>
              </w:rPr>
              <w:t>其他</w:t>
            </w:r>
            <w:r>
              <w:rPr>
                <w:rFonts w:ascii="仿宋" w:hAnsi="仿宋" w:eastAsia="仿宋"/>
                <w:kern w:val="0"/>
                <w:sz w:val="24"/>
              </w:rPr>
              <w:t>个性化要求</w:t>
            </w:r>
          </w:p>
        </w:tc>
        <w:tc>
          <w:tcPr>
            <w:tcW w:w="4059" w:type="pct"/>
            <w:gridSpan w:val="3"/>
            <w:tcBorders>
              <w:top w:val="single" w:color="auto" w:sz="4" w:space="0"/>
              <w:left w:val="single" w:color="auto" w:sz="4" w:space="0"/>
              <w:bottom w:val="single" w:color="auto" w:sz="4" w:space="0"/>
              <w:right w:val="single" w:color="auto" w:sz="4" w:space="0"/>
            </w:tcBorders>
            <w:vAlign w:val="center"/>
          </w:tcPr>
          <w:p w14:paraId="5639AA36">
            <w:pPr>
              <w:jc w:val="left"/>
              <w:rPr>
                <w:rFonts w:ascii="仿宋" w:hAnsi="仿宋" w:eastAsia="仿宋"/>
                <w:kern w:val="0"/>
                <w:sz w:val="24"/>
                <w:szCs w:val="24"/>
              </w:rPr>
            </w:pPr>
            <w:r>
              <w:rPr>
                <w:rFonts w:hint="eastAsia" w:ascii="仿宋" w:hAnsi="仿宋" w:eastAsia="仿宋"/>
                <w:kern w:val="0"/>
                <w:sz w:val="24"/>
                <w:szCs w:val="24"/>
              </w:rPr>
              <w:t>1、</w:t>
            </w:r>
            <w:r>
              <w:rPr>
                <w:rFonts w:ascii="仿宋" w:hAnsi="仿宋" w:eastAsia="仿宋"/>
                <w:kern w:val="0"/>
                <w:sz w:val="24"/>
                <w:szCs w:val="24"/>
              </w:rPr>
              <w:t>提供</w:t>
            </w:r>
            <w:r>
              <w:rPr>
                <w:rFonts w:hint="eastAsia" w:ascii="仿宋" w:hAnsi="仿宋" w:eastAsia="仿宋"/>
                <w:kern w:val="0"/>
                <w:sz w:val="24"/>
                <w:szCs w:val="24"/>
              </w:rPr>
              <w:t>类似项目</w:t>
            </w:r>
            <w:r>
              <w:rPr>
                <w:rFonts w:ascii="仿宋" w:hAnsi="仿宋" w:eastAsia="仿宋"/>
                <w:kern w:val="0"/>
                <w:sz w:val="24"/>
                <w:szCs w:val="24"/>
              </w:rPr>
              <w:t>经验</w:t>
            </w:r>
            <w:r>
              <w:rPr>
                <w:rFonts w:hint="eastAsia" w:ascii="仿宋" w:hAnsi="仿宋" w:eastAsia="仿宋"/>
                <w:kern w:val="0"/>
                <w:sz w:val="24"/>
                <w:szCs w:val="24"/>
              </w:rPr>
              <w:t>证明；</w:t>
            </w:r>
          </w:p>
          <w:p w14:paraId="287ADA48">
            <w:pPr>
              <w:jc w:val="left"/>
              <w:rPr>
                <w:rFonts w:ascii="仿宋" w:hAnsi="仿宋" w:eastAsia="仿宋"/>
                <w:kern w:val="0"/>
                <w:sz w:val="24"/>
              </w:rPr>
            </w:pPr>
            <w:r>
              <w:rPr>
                <w:rFonts w:hint="eastAsia" w:ascii="仿宋" w:hAnsi="仿宋" w:eastAsia="仿宋"/>
                <w:kern w:val="0"/>
                <w:sz w:val="24"/>
                <w:szCs w:val="24"/>
              </w:rPr>
              <w:t>2、本项目的知识产权（含所有源代码、开发文档等）权利归属采购人所有，未经采购人同意，投标人不得将本项目的知识成果用于任何第三方。</w:t>
            </w:r>
          </w:p>
        </w:tc>
      </w:tr>
      <w:tr w14:paraId="6135C5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940" w:type="pct"/>
            <w:tcBorders>
              <w:top w:val="single" w:color="auto" w:sz="4" w:space="0"/>
              <w:left w:val="single" w:color="auto" w:sz="4" w:space="0"/>
              <w:bottom w:val="single" w:color="auto" w:sz="4" w:space="0"/>
              <w:right w:val="single" w:color="auto" w:sz="4" w:space="0"/>
            </w:tcBorders>
            <w:vAlign w:val="center"/>
          </w:tcPr>
          <w:p w14:paraId="14CFFB6B">
            <w:pPr>
              <w:jc w:val="center"/>
              <w:rPr>
                <w:rFonts w:ascii="仿宋" w:hAnsi="仿宋" w:eastAsia="仿宋"/>
                <w:kern w:val="0"/>
                <w:sz w:val="24"/>
              </w:rPr>
            </w:pPr>
            <w:r>
              <w:rPr>
                <w:rFonts w:hint="eastAsia" w:ascii="仿宋" w:hAnsi="仿宋" w:eastAsia="仿宋"/>
                <w:kern w:val="0"/>
                <w:sz w:val="24"/>
              </w:rPr>
              <w:t>项目时限</w:t>
            </w:r>
          </w:p>
        </w:tc>
        <w:tc>
          <w:tcPr>
            <w:tcW w:w="4059" w:type="pct"/>
            <w:gridSpan w:val="3"/>
            <w:tcBorders>
              <w:top w:val="single" w:color="auto" w:sz="4" w:space="0"/>
              <w:left w:val="single" w:color="auto" w:sz="4" w:space="0"/>
              <w:bottom w:val="single" w:color="auto" w:sz="4" w:space="0"/>
              <w:right w:val="single" w:color="auto" w:sz="4" w:space="0"/>
            </w:tcBorders>
            <w:vAlign w:val="center"/>
          </w:tcPr>
          <w:p w14:paraId="09ECEC66">
            <w:pPr>
              <w:rPr>
                <w:rFonts w:ascii="仿宋" w:hAnsi="仿宋" w:eastAsia="仿宋"/>
                <w:kern w:val="0"/>
                <w:sz w:val="24"/>
              </w:rPr>
            </w:pPr>
            <w:r>
              <w:rPr>
                <w:rFonts w:hint="eastAsia" w:ascii="仿宋" w:hAnsi="仿宋" w:eastAsia="仿宋"/>
                <w:kern w:val="0"/>
                <w:sz w:val="24"/>
                <w:szCs w:val="24"/>
              </w:rPr>
              <w:t>2</w:t>
            </w:r>
            <w:r>
              <w:rPr>
                <w:rFonts w:ascii="仿宋" w:hAnsi="仿宋" w:eastAsia="仿宋"/>
                <w:kern w:val="0"/>
                <w:sz w:val="24"/>
                <w:szCs w:val="24"/>
              </w:rPr>
              <w:t>026</w:t>
            </w:r>
            <w:r>
              <w:rPr>
                <w:rFonts w:hint="eastAsia" w:ascii="仿宋" w:hAnsi="仿宋" w:eastAsia="仿宋"/>
                <w:kern w:val="0"/>
                <w:sz w:val="24"/>
                <w:szCs w:val="24"/>
              </w:rPr>
              <w:t>年1</w:t>
            </w:r>
            <w:r>
              <w:rPr>
                <w:rFonts w:ascii="仿宋" w:hAnsi="仿宋" w:eastAsia="仿宋"/>
                <w:kern w:val="0"/>
                <w:sz w:val="24"/>
                <w:szCs w:val="24"/>
              </w:rPr>
              <w:t>0</w:t>
            </w:r>
            <w:r>
              <w:rPr>
                <w:rFonts w:hint="eastAsia" w:ascii="仿宋" w:hAnsi="仿宋" w:eastAsia="仿宋"/>
                <w:kern w:val="0"/>
                <w:sz w:val="24"/>
                <w:szCs w:val="24"/>
              </w:rPr>
              <w:t>月前完成项目建设并通过采购人验收</w:t>
            </w:r>
          </w:p>
        </w:tc>
      </w:tr>
      <w:tr w14:paraId="59DD08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940" w:type="pct"/>
            <w:tcBorders>
              <w:top w:val="single" w:color="auto" w:sz="4" w:space="0"/>
              <w:left w:val="single" w:color="auto" w:sz="4" w:space="0"/>
              <w:bottom w:val="single" w:color="auto" w:sz="4" w:space="0"/>
              <w:right w:val="single" w:color="auto" w:sz="4" w:space="0"/>
            </w:tcBorders>
            <w:vAlign w:val="center"/>
          </w:tcPr>
          <w:p w14:paraId="66DAD538">
            <w:pPr>
              <w:jc w:val="center"/>
              <w:rPr>
                <w:rFonts w:ascii="仿宋" w:hAnsi="仿宋" w:eastAsia="仿宋"/>
                <w:kern w:val="0"/>
                <w:sz w:val="24"/>
              </w:rPr>
            </w:pPr>
            <w:r>
              <w:rPr>
                <w:rFonts w:hint="eastAsia" w:ascii="仿宋" w:hAnsi="仿宋" w:eastAsia="仿宋"/>
                <w:kern w:val="0"/>
                <w:sz w:val="24"/>
              </w:rPr>
              <w:t>付款方式</w:t>
            </w:r>
          </w:p>
        </w:tc>
        <w:tc>
          <w:tcPr>
            <w:tcW w:w="4059" w:type="pct"/>
            <w:gridSpan w:val="3"/>
            <w:tcBorders>
              <w:top w:val="single" w:color="auto" w:sz="4" w:space="0"/>
              <w:left w:val="single" w:color="auto" w:sz="4" w:space="0"/>
              <w:bottom w:val="single" w:color="auto" w:sz="4" w:space="0"/>
              <w:right w:val="single" w:color="auto" w:sz="4" w:space="0"/>
            </w:tcBorders>
            <w:vAlign w:val="center"/>
          </w:tcPr>
          <w:p w14:paraId="7432BF2D">
            <w:pPr>
              <w:rPr>
                <w:rFonts w:ascii="仿宋" w:hAnsi="仿宋" w:eastAsia="仿宋"/>
                <w:color w:val="auto"/>
                <w:kern w:val="0"/>
                <w:sz w:val="24"/>
                <w:szCs w:val="24"/>
              </w:rPr>
            </w:pPr>
            <w:r>
              <w:rPr>
                <w:rFonts w:hint="eastAsia" w:ascii="仿宋" w:hAnsi="仿宋" w:eastAsia="仿宋"/>
                <w:color w:val="auto"/>
                <w:kern w:val="0"/>
                <w:sz w:val="24"/>
                <w:szCs w:val="24"/>
              </w:rPr>
              <w:t>合同签订后</w:t>
            </w:r>
            <w:r>
              <w:rPr>
                <w:rFonts w:ascii="仿宋" w:hAnsi="仿宋" w:eastAsia="仿宋"/>
                <w:color w:val="auto"/>
                <w:kern w:val="0"/>
                <w:sz w:val="24"/>
                <w:szCs w:val="24"/>
              </w:rPr>
              <w:t>10</w:t>
            </w:r>
            <w:r>
              <w:rPr>
                <w:rFonts w:hint="eastAsia" w:ascii="仿宋" w:hAnsi="仿宋" w:eastAsia="仿宋"/>
                <w:color w:val="auto"/>
                <w:kern w:val="0"/>
                <w:sz w:val="24"/>
                <w:szCs w:val="24"/>
              </w:rPr>
              <w:t>个工作日</w:t>
            </w:r>
            <w:r>
              <w:rPr>
                <w:rFonts w:ascii="仿宋" w:hAnsi="仿宋" w:eastAsia="仿宋"/>
                <w:color w:val="auto"/>
                <w:kern w:val="0"/>
                <w:sz w:val="24"/>
                <w:szCs w:val="24"/>
              </w:rPr>
              <w:t>内招标方一次性支付295000</w:t>
            </w:r>
            <w:r>
              <w:rPr>
                <w:rFonts w:hint="eastAsia" w:ascii="仿宋" w:hAnsi="仿宋" w:eastAsia="仿宋"/>
                <w:color w:val="auto"/>
                <w:kern w:val="0"/>
                <w:sz w:val="24"/>
                <w:szCs w:val="24"/>
              </w:rPr>
              <w:t>元</w:t>
            </w:r>
            <w:r>
              <w:rPr>
                <w:rFonts w:ascii="仿宋" w:hAnsi="仿宋" w:eastAsia="仿宋"/>
                <w:color w:val="auto"/>
                <w:kern w:val="0"/>
                <w:sz w:val="24"/>
                <w:szCs w:val="24"/>
              </w:rPr>
              <w:t>，</w:t>
            </w:r>
            <w:r>
              <w:rPr>
                <w:rFonts w:hint="eastAsia" w:ascii="仿宋" w:hAnsi="仿宋" w:eastAsia="仿宋"/>
                <w:color w:val="auto"/>
                <w:kern w:val="0"/>
                <w:sz w:val="24"/>
                <w:szCs w:val="24"/>
              </w:rPr>
              <w:t>项目通过验收</w:t>
            </w:r>
            <w:r>
              <w:rPr>
                <w:rFonts w:hint="eastAsia" w:ascii="仿宋" w:hAnsi="仿宋" w:eastAsia="仿宋"/>
                <w:kern w:val="0"/>
                <w:sz w:val="24"/>
                <w:szCs w:val="24"/>
              </w:rPr>
              <w:t>并</w:t>
            </w:r>
            <w:r>
              <w:rPr>
                <w:rFonts w:hint="eastAsia" w:ascii="仿宋" w:hAnsi="仿宋" w:eastAsia="仿宋"/>
                <w:color w:val="auto"/>
                <w:kern w:val="0"/>
                <w:sz w:val="24"/>
                <w:szCs w:val="24"/>
              </w:rPr>
              <w:t>收到发票后</w:t>
            </w:r>
            <w:r>
              <w:rPr>
                <w:rFonts w:ascii="仿宋" w:hAnsi="仿宋" w:eastAsia="仿宋"/>
                <w:color w:val="auto"/>
                <w:kern w:val="0"/>
                <w:sz w:val="24"/>
                <w:szCs w:val="24"/>
              </w:rPr>
              <w:t>10</w:t>
            </w:r>
            <w:r>
              <w:rPr>
                <w:rFonts w:hint="eastAsia" w:ascii="仿宋" w:hAnsi="仿宋" w:eastAsia="仿宋"/>
                <w:color w:val="auto"/>
                <w:kern w:val="0"/>
                <w:sz w:val="24"/>
                <w:szCs w:val="24"/>
              </w:rPr>
              <w:t>个工作日内</w:t>
            </w:r>
            <w:r>
              <w:rPr>
                <w:rFonts w:ascii="仿宋" w:hAnsi="仿宋" w:eastAsia="仿宋"/>
                <w:color w:val="auto"/>
                <w:kern w:val="0"/>
                <w:sz w:val="24"/>
                <w:szCs w:val="24"/>
              </w:rPr>
              <w:t>支付合同</w:t>
            </w:r>
            <w:r>
              <w:rPr>
                <w:rFonts w:hint="eastAsia" w:ascii="仿宋" w:hAnsi="仿宋" w:eastAsia="仿宋"/>
                <w:color w:val="auto"/>
                <w:kern w:val="0"/>
                <w:sz w:val="24"/>
                <w:szCs w:val="24"/>
              </w:rPr>
              <w:t>剩余尾款</w:t>
            </w:r>
            <w:r>
              <w:rPr>
                <w:rFonts w:ascii="仿宋" w:hAnsi="仿宋" w:eastAsia="仿宋"/>
                <w:color w:val="auto"/>
                <w:kern w:val="0"/>
                <w:sz w:val="24"/>
                <w:szCs w:val="24"/>
              </w:rPr>
              <w:t>。</w:t>
            </w:r>
          </w:p>
        </w:tc>
      </w:tr>
      <w:tr w14:paraId="44658D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40" w:type="pct"/>
            <w:tcBorders>
              <w:top w:val="single" w:color="auto" w:sz="4" w:space="0"/>
              <w:left w:val="single" w:color="auto" w:sz="4" w:space="0"/>
              <w:bottom w:val="single" w:color="auto" w:sz="4" w:space="0"/>
              <w:right w:val="single" w:color="auto" w:sz="4" w:space="0"/>
            </w:tcBorders>
            <w:vAlign w:val="center"/>
          </w:tcPr>
          <w:p w14:paraId="0F9CDB2B">
            <w:pPr>
              <w:jc w:val="center"/>
              <w:rPr>
                <w:rFonts w:ascii="仿宋" w:hAnsi="仿宋" w:eastAsia="仿宋"/>
                <w:kern w:val="0"/>
                <w:sz w:val="24"/>
              </w:rPr>
            </w:pPr>
            <w:r>
              <w:rPr>
                <w:rFonts w:hint="eastAsia" w:ascii="仿宋" w:hAnsi="仿宋" w:eastAsia="仿宋"/>
                <w:kern w:val="0"/>
                <w:sz w:val="24"/>
              </w:rPr>
              <w:t>项目验收方式及标准</w:t>
            </w:r>
          </w:p>
        </w:tc>
        <w:tc>
          <w:tcPr>
            <w:tcW w:w="4059" w:type="pct"/>
            <w:gridSpan w:val="3"/>
            <w:tcBorders>
              <w:top w:val="single" w:color="auto" w:sz="4" w:space="0"/>
              <w:left w:val="single" w:color="auto" w:sz="4" w:space="0"/>
              <w:bottom w:val="single" w:color="auto" w:sz="4" w:space="0"/>
              <w:right w:val="single" w:color="auto" w:sz="4" w:space="0"/>
            </w:tcBorders>
          </w:tcPr>
          <w:p w14:paraId="00367650">
            <w:pPr>
              <w:ind w:right="33"/>
              <w:rPr>
                <w:rFonts w:ascii="仿宋" w:hAnsi="仿宋" w:eastAsia="仿宋"/>
                <w:color w:val="auto"/>
                <w:kern w:val="0"/>
                <w:sz w:val="24"/>
                <w:szCs w:val="24"/>
              </w:rPr>
            </w:pPr>
            <w:r>
              <w:rPr>
                <w:rFonts w:hint="eastAsia" w:ascii="仿宋" w:hAnsi="仿宋" w:eastAsia="仿宋"/>
                <w:color w:val="auto"/>
                <w:kern w:val="0"/>
                <w:sz w:val="24"/>
                <w:szCs w:val="24"/>
              </w:rPr>
              <w:t>验收主体：上海市生态环境局</w:t>
            </w:r>
          </w:p>
          <w:p w14:paraId="370647C9">
            <w:pPr>
              <w:ind w:right="33"/>
              <w:rPr>
                <w:rFonts w:ascii="仿宋" w:hAnsi="仿宋" w:eastAsia="仿宋"/>
                <w:color w:val="auto"/>
                <w:kern w:val="0"/>
                <w:sz w:val="24"/>
                <w:szCs w:val="24"/>
              </w:rPr>
            </w:pPr>
            <w:r>
              <w:rPr>
                <w:rFonts w:ascii="仿宋" w:hAnsi="仿宋" w:eastAsia="仿宋"/>
                <w:color w:val="auto"/>
                <w:kern w:val="0"/>
                <w:sz w:val="24"/>
                <w:szCs w:val="24"/>
              </w:rPr>
              <w:t>验收时间：2026年11月15日之前</w:t>
            </w:r>
          </w:p>
          <w:p w14:paraId="54D6D131">
            <w:pPr>
              <w:ind w:right="33"/>
              <w:rPr>
                <w:rFonts w:ascii="仿宋" w:hAnsi="仿宋" w:eastAsia="仿宋"/>
                <w:color w:val="auto"/>
                <w:kern w:val="0"/>
                <w:sz w:val="24"/>
                <w:szCs w:val="24"/>
              </w:rPr>
            </w:pPr>
            <w:r>
              <w:rPr>
                <w:rFonts w:hint="eastAsia" w:ascii="仿宋" w:hAnsi="仿宋" w:eastAsia="仿宋"/>
                <w:color w:val="auto"/>
                <w:kern w:val="0"/>
                <w:sz w:val="24"/>
                <w:szCs w:val="24"/>
              </w:rPr>
              <w:t>验收方式：</w:t>
            </w:r>
            <w:r>
              <w:rPr>
                <w:rFonts w:ascii="仿宋" w:hAnsi="仿宋" w:eastAsia="仿宋"/>
                <w:color w:val="auto"/>
                <w:kern w:val="0"/>
                <w:sz w:val="24"/>
              </w:rPr>
              <w:t>专家会验收</w:t>
            </w:r>
          </w:p>
          <w:p w14:paraId="1C905D77">
            <w:pPr>
              <w:ind w:right="33"/>
              <w:rPr>
                <w:rFonts w:ascii="仿宋" w:hAnsi="仿宋" w:eastAsia="仿宋"/>
                <w:color w:val="auto"/>
                <w:kern w:val="0"/>
                <w:sz w:val="24"/>
                <w:szCs w:val="24"/>
              </w:rPr>
            </w:pPr>
            <w:r>
              <w:rPr>
                <w:rFonts w:hint="eastAsia" w:ascii="仿宋" w:hAnsi="仿宋" w:eastAsia="仿宋"/>
                <w:color w:val="auto"/>
                <w:kern w:val="0"/>
                <w:sz w:val="24"/>
                <w:szCs w:val="24"/>
              </w:rPr>
              <w:t>验收程序：以上海市生态环境局信息化项目验收最新规定为准</w:t>
            </w:r>
          </w:p>
          <w:p w14:paraId="7F57D1D5">
            <w:pPr>
              <w:ind w:right="33"/>
              <w:rPr>
                <w:rFonts w:ascii="仿宋" w:hAnsi="仿宋" w:eastAsia="仿宋"/>
                <w:color w:val="auto"/>
                <w:kern w:val="0"/>
                <w:sz w:val="24"/>
                <w:szCs w:val="24"/>
              </w:rPr>
            </w:pPr>
            <w:r>
              <w:rPr>
                <w:rFonts w:hint="eastAsia" w:ascii="仿宋" w:hAnsi="仿宋" w:eastAsia="仿宋"/>
                <w:color w:val="auto"/>
                <w:kern w:val="0"/>
                <w:sz w:val="24"/>
                <w:szCs w:val="24"/>
              </w:rPr>
              <w:t>验收内容：确保项目在功能、性能、质量、安全等方面满足预期目标。</w:t>
            </w:r>
          </w:p>
          <w:p w14:paraId="144A3EC2">
            <w:pPr>
              <w:ind w:right="33"/>
              <w:rPr>
                <w:rFonts w:ascii="仿宋" w:hAnsi="仿宋" w:eastAsia="仿宋"/>
                <w:kern w:val="0"/>
                <w:sz w:val="24"/>
                <w:szCs w:val="24"/>
              </w:rPr>
            </w:pPr>
            <w:r>
              <w:rPr>
                <w:rFonts w:hint="eastAsia" w:ascii="仿宋" w:hAnsi="仿宋" w:eastAsia="仿宋"/>
                <w:color w:val="auto"/>
                <w:kern w:val="0"/>
                <w:sz w:val="24"/>
                <w:szCs w:val="24"/>
              </w:rPr>
              <w:t>验收标准：</w:t>
            </w:r>
            <w:r>
              <w:rPr>
                <w:rFonts w:hint="eastAsia" w:ascii="仿宋" w:hAnsi="仿宋" w:eastAsia="仿宋"/>
                <w:color w:val="auto"/>
                <w:kern w:val="0"/>
                <w:sz w:val="24"/>
              </w:rPr>
              <w:t>专家会验收通过</w:t>
            </w:r>
          </w:p>
        </w:tc>
      </w:tr>
      <w:tr w14:paraId="208C4F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940" w:type="pct"/>
            <w:tcBorders>
              <w:top w:val="single" w:color="auto" w:sz="4" w:space="0"/>
              <w:left w:val="single" w:color="auto" w:sz="4" w:space="0"/>
              <w:bottom w:val="single" w:color="auto" w:sz="4" w:space="0"/>
              <w:right w:val="single" w:color="auto" w:sz="4" w:space="0"/>
            </w:tcBorders>
            <w:vAlign w:val="center"/>
          </w:tcPr>
          <w:p w14:paraId="4BD74AB8">
            <w:pPr>
              <w:jc w:val="center"/>
              <w:rPr>
                <w:rFonts w:ascii="仿宋" w:hAnsi="仿宋" w:eastAsia="仿宋"/>
                <w:kern w:val="0"/>
                <w:sz w:val="24"/>
              </w:rPr>
            </w:pPr>
            <w:r>
              <w:rPr>
                <w:rFonts w:hint="eastAsia" w:ascii="仿宋" w:hAnsi="仿宋" w:eastAsia="仿宋"/>
                <w:kern w:val="0"/>
                <w:sz w:val="24"/>
              </w:rPr>
              <w:t>项目</w:t>
            </w:r>
            <w:r>
              <w:rPr>
                <w:rFonts w:ascii="仿宋" w:hAnsi="仿宋" w:eastAsia="仿宋"/>
                <w:kern w:val="0"/>
                <w:sz w:val="24"/>
              </w:rPr>
              <w:t>背景</w:t>
            </w:r>
          </w:p>
        </w:tc>
        <w:tc>
          <w:tcPr>
            <w:tcW w:w="4059" w:type="pct"/>
            <w:gridSpan w:val="3"/>
            <w:tcBorders>
              <w:top w:val="single" w:color="auto" w:sz="4" w:space="0"/>
              <w:left w:val="single" w:color="auto" w:sz="4" w:space="0"/>
              <w:bottom w:val="single" w:color="auto" w:sz="4" w:space="0"/>
              <w:right w:val="single" w:color="auto" w:sz="4" w:space="0"/>
            </w:tcBorders>
          </w:tcPr>
          <w:p w14:paraId="2045604E">
            <w:pPr>
              <w:rPr>
                <w:rFonts w:ascii="仿宋" w:hAnsi="仿宋" w:eastAsia="仿宋"/>
                <w:kern w:val="0"/>
                <w:sz w:val="24"/>
              </w:rPr>
            </w:pPr>
            <w:r>
              <w:rPr>
                <w:rFonts w:hint="eastAsia" w:ascii="仿宋" w:hAnsi="仿宋" w:eastAsia="仿宋"/>
                <w:kern w:val="0"/>
                <w:sz w:val="24"/>
              </w:rPr>
              <w:t>响应国家和上海市生态环境保护“十四五”规划要求中，地表水环境质量相关更新细化的政策文件、标准规范，配合国产化工作要求，对原有系统架构进行全面升级改造。</w:t>
            </w:r>
          </w:p>
        </w:tc>
      </w:tr>
    </w:tbl>
    <w:p w14:paraId="2929A680"/>
    <w:p w14:paraId="3C8725EE">
      <w:pPr>
        <w:pStyle w:val="2"/>
        <w:spacing w:line="276" w:lineRule="auto"/>
        <w:rPr>
          <w:rFonts w:ascii="仿宋" w:hAnsi="仿宋"/>
          <w:sz w:val="24"/>
          <w:szCs w:val="24"/>
        </w:rPr>
      </w:pPr>
      <w:r>
        <w:rPr>
          <w:rFonts w:ascii="仿宋" w:hAnsi="仿宋"/>
        </w:rPr>
        <w:t xml:space="preserve">  </w:t>
      </w:r>
      <w:r>
        <w:rPr>
          <w:rFonts w:ascii="仿宋" w:hAnsi="仿宋"/>
          <w:sz w:val="24"/>
        </w:rPr>
        <w:t xml:space="preserve"> </w:t>
      </w:r>
      <w:bookmarkStart w:id="0" w:name="_Toc23435"/>
      <w:bookmarkStart w:id="1" w:name="_Toc27813"/>
      <w:bookmarkStart w:id="2" w:name="_Toc10039"/>
      <w:bookmarkStart w:id="3" w:name="_Toc6288"/>
      <w:bookmarkStart w:id="4" w:name="_Toc32300"/>
      <w:r>
        <w:rPr>
          <w:rFonts w:hint="eastAsia" w:ascii="仿宋" w:hAnsi="仿宋"/>
          <w:sz w:val="24"/>
          <w:szCs w:val="24"/>
        </w:rPr>
        <w:t>项目建设</w:t>
      </w:r>
      <w:bookmarkEnd w:id="0"/>
      <w:r>
        <w:rPr>
          <w:rFonts w:hint="eastAsia" w:ascii="仿宋" w:hAnsi="仿宋"/>
          <w:sz w:val="24"/>
          <w:szCs w:val="24"/>
        </w:rPr>
        <w:t>内容</w:t>
      </w:r>
    </w:p>
    <w:p w14:paraId="40B57950">
      <w:pPr>
        <w:spacing w:line="276" w:lineRule="auto"/>
        <w:ind w:firstLine="480"/>
        <w:rPr>
          <w:rFonts w:ascii="仿宋" w:hAnsi="仿宋" w:eastAsia="仿宋"/>
          <w:sz w:val="24"/>
          <w:szCs w:val="24"/>
        </w:rPr>
      </w:pPr>
      <w:r>
        <w:rPr>
          <w:rFonts w:hint="eastAsia" w:ascii="仿宋" w:hAnsi="仿宋" w:eastAsia="仿宋"/>
          <w:sz w:val="24"/>
          <w:szCs w:val="24"/>
        </w:rPr>
        <w:t>根据最新国家发布的水环境监测监控政策、规范、标准及上海市环境监测中心业务管理的要求，确保不影响日常工作业务的基础上，国产化升级改造原有系统，满足市局信息化系统“六统一”要求，</w:t>
      </w:r>
      <w:r>
        <w:rPr>
          <w:rFonts w:hint="eastAsia" w:ascii="仿宋" w:hAnsi="仿宋" w:eastAsia="仿宋"/>
          <w:color w:val="2E75B6" w:themeColor="accent5" w:themeShade="BF"/>
          <w:sz w:val="24"/>
          <w:szCs w:val="24"/>
        </w:rPr>
        <w:t>统一登录功能模块菜单整合，实现与市局水环境监测要素相关系统数据在业务规则范围内的实时同步，</w:t>
      </w:r>
      <w:r>
        <w:rPr>
          <w:rFonts w:hint="eastAsia" w:ascii="仿宋" w:hAnsi="仿宋" w:eastAsia="仿宋"/>
          <w:sz w:val="24"/>
          <w:szCs w:val="24"/>
        </w:rPr>
        <w:t>对接监测中心生态环境监测数据统一采集平台，完善地表水、地下水、农业面源监测数据汇聚机制；通过完善监测数据多级审核、自动化数据质控、智能辅助审核、防人为干扰机制，打造监测数据高质量治理体系；建立智能化站房应用，对站房运行环境、分析数据、运维记录等进行全景展示；完善数据分析功能，利用大数据技术对海量监测数据进行多维数据分析；同时新增农业面源水环境污染监测预警应用，为农业面源监测提供业务支撑。</w:t>
      </w:r>
    </w:p>
    <w:bookmarkEnd w:id="1"/>
    <w:bookmarkEnd w:id="2"/>
    <w:bookmarkEnd w:id="3"/>
    <w:bookmarkEnd w:id="4"/>
    <w:p w14:paraId="0EE35F63">
      <w:pPr>
        <w:pStyle w:val="3"/>
        <w:spacing w:line="276" w:lineRule="auto"/>
        <w:rPr>
          <w:rFonts w:ascii="仿宋" w:hAnsi="仿宋"/>
          <w:sz w:val="24"/>
          <w:szCs w:val="24"/>
        </w:rPr>
      </w:pPr>
      <w:bookmarkStart w:id="5" w:name="_Toc20065"/>
      <w:bookmarkStart w:id="6" w:name="_Toc18151"/>
      <w:bookmarkStart w:id="7" w:name="_Toc30485"/>
      <w:bookmarkStart w:id="8" w:name="_Toc12283"/>
      <w:bookmarkStart w:id="9" w:name="_Toc5039"/>
      <w:bookmarkStart w:id="10" w:name="_Toc8069"/>
      <w:r>
        <w:rPr>
          <w:rFonts w:hint="eastAsia" w:ascii="仿宋" w:hAnsi="仿宋"/>
          <w:sz w:val="24"/>
          <w:szCs w:val="24"/>
        </w:rPr>
        <w:t>对接统一采集平台*</w:t>
      </w:r>
    </w:p>
    <w:p w14:paraId="55FE1DAD">
      <w:pPr>
        <w:spacing w:line="276" w:lineRule="auto"/>
        <w:ind w:firstLine="480"/>
        <w:rPr>
          <w:rFonts w:ascii="仿宋" w:hAnsi="仿宋" w:eastAsia="仿宋"/>
          <w:sz w:val="24"/>
          <w:szCs w:val="24"/>
        </w:rPr>
      </w:pPr>
      <w:r>
        <w:rPr>
          <w:rFonts w:hint="eastAsia" w:ascii="仿宋" w:hAnsi="仿宋" w:eastAsia="仿宋"/>
          <w:sz w:val="24"/>
          <w:szCs w:val="24"/>
        </w:rPr>
        <w:t>完成与统一采集平台的对接，实现地表水、地下水、农业面源等系统传输数据的数据动态接入。提供不少于1000个点位容纳能力，提供统一的数据解析和存储服务，适配本市统一的水环境污染物数据通讯传输规范，实现地表水、地下水监测数据的统一解析、存储、汇聚、归集、应用及共享发布。</w:t>
      </w:r>
    </w:p>
    <w:p w14:paraId="70C4432D">
      <w:pPr>
        <w:pStyle w:val="4"/>
        <w:spacing w:line="276" w:lineRule="auto"/>
        <w:rPr>
          <w:rFonts w:ascii="仿宋" w:hAnsi="仿宋"/>
        </w:rPr>
      </w:pPr>
      <w:r>
        <w:rPr>
          <w:rFonts w:hint="eastAsia" w:ascii="仿宋" w:hAnsi="仿宋"/>
        </w:rPr>
        <w:t>水环境监控综合协议适配</w:t>
      </w:r>
    </w:p>
    <w:p w14:paraId="7D414EA8">
      <w:pPr>
        <w:spacing w:line="276" w:lineRule="auto"/>
        <w:ind w:firstLine="480"/>
        <w:rPr>
          <w:rFonts w:ascii="仿宋" w:hAnsi="仿宋" w:eastAsia="仿宋"/>
          <w:sz w:val="24"/>
          <w:szCs w:val="24"/>
        </w:rPr>
      </w:pPr>
      <w:r>
        <w:rPr>
          <w:rFonts w:hint="eastAsia" w:ascii="仿宋" w:hAnsi="仿宋" w:eastAsia="仿宋"/>
          <w:sz w:val="24"/>
          <w:szCs w:val="24"/>
        </w:rPr>
        <w:t>本次升级改造主要地表水站点接入、地下水站点接入、农村面源站点接入，基于生态环境部发布的《污染物在线监控（监测）系统数据传输标准》（HJ 212-2017）和上海市污染物数据传输标准协议，借鉴其他地方建设的相关经验，梳理我市水环境自动监测系统数据传输扩展标准，以适配不同的水环境业务通讯传输需求。</w:t>
      </w:r>
    </w:p>
    <w:p w14:paraId="437D8292">
      <w:pPr>
        <w:pStyle w:val="4"/>
        <w:spacing w:line="276" w:lineRule="auto"/>
        <w:rPr>
          <w:rFonts w:ascii="仿宋" w:hAnsi="仿宋"/>
        </w:rPr>
      </w:pPr>
      <w:r>
        <w:rPr>
          <w:rFonts w:hint="eastAsia" w:ascii="仿宋" w:hAnsi="仿宋"/>
        </w:rPr>
        <w:t>订阅与发布</w:t>
      </w:r>
    </w:p>
    <w:p w14:paraId="2B59DCCD">
      <w:pPr>
        <w:spacing w:line="276" w:lineRule="auto"/>
        <w:ind w:firstLine="480"/>
        <w:rPr>
          <w:rFonts w:ascii="仿宋" w:hAnsi="仿宋" w:eastAsia="仿宋"/>
          <w:sz w:val="24"/>
          <w:szCs w:val="24"/>
        </w:rPr>
      </w:pPr>
      <w:r>
        <w:rPr>
          <w:rFonts w:hint="eastAsia" w:ascii="仿宋" w:hAnsi="仿宋" w:eastAsia="仿宋"/>
          <w:sz w:val="24"/>
          <w:szCs w:val="24"/>
        </w:rPr>
        <w:t>使用分布式、高吞吐量、可持久性和自动负载均衡的消息队列方式，实现传统意义上MQ 功能的同时，进行大数据的流处理，确保稳定获取统一采集平台分发的多源监测数据包。</w:t>
      </w:r>
    </w:p>
    <w:p w14:paraId="29D3E3AF">
      <w:pPr>
        <w:pStyle w:val="4"/>
        <w:spacing w:line="276" w:lineRule="auto"/>
        <w:rPr>
          <w:rFonts w:ascii="仿宋" w:hAnsi="仿宋"/>
        </w:rPr>
      </w:pPr>
      <w:r>
        <w:rPr>
          <w:rFonts w:hint="eastAsia" w:ascii="仿宋" w:hAnsi="仿宋"/>
        </w:rPr>
        <w:t>数据解析存储服务</w:t>
      </w:r>
    </w:p>
    <w:p w14:paraId="0C173D43">
      <w:pPr>
        <w:spacing w:line="276" w:lineRule="auto"/>
        <w:ind w:firstLine="480"/>
        <w:rPr>
          <w:rFonts w:ascii="仿宋" w:hAnsi="仿宋" w:eastAsia="仿宋"/>
          <w:sz w:val="24"/>
          <w:szCs w:val="24"/>
        </w:rPr>
      </w:pPr>
      <w:r>
        <w:rPr>
          <w:rFonts w:hint="eastAsia" w:ascii="仿宋" w:hAnsi="仿宋" w:eastAsia="仿宋"/>
          <w:sz w:val="24"/>
          <w:szCs w:val="24"/>
        </w:rPr>
        <w:t>系统将通过解析软件自动解析获取的统一采集平台数据包，涉及的数据有地表水、地下水、农业面源自动监测等数据，可进行人工调取并查看相关数据。同时根据解析规则对于指定数据剔除存储。数据存储升级包括：数据处理升级、数据存储升级及数据应用升级三个部分。</w:t>
      </w:r>
    </w:p>
    <w:p w14:paraId="44660AAE">
      <w:pPr>
        <w:pStyle w:val="3"/>
        <w:spacing w:line="276" w:lineRule="auto"/>
        <w:rPr>
          <w:rFonts w:ascii="仿宋" w:hAnsi="仿宋"/>
          <w:sz w:val="24"/>
          <w:szCs w:val="24"/>
        </w:rPr>
      </w:pPr>
      <w:r>
        <w:rPr>
          <w:rFonts w:hint="eastAsia" w:ascii="仿宋" w:hAnsi="仿宋"/>
          <w:sz w:val="24"/>
          <w:szCs w:val="24"/>
        </w:rPr>
        <w:t>智能化站房应用</w:t>
      </w:r>
    </w:p>
    <w:p w14:paraId="1B3C1D99">
      <w:pPr>
        <w:spacing w:line="276" w:lineRule="auto"/>
        <w:ind w:firstLine="480"/>
        <w:rPr>
          <w:rFonts w:ascii="仿宋" w:hAnsi="仿宋" w:eastAsia="仿宋"/>
          <w:sz w:val="24"/>
          <w:szCs w:val="24"/>
        </w:rPr>
      </w:pPr>
      <w:r>
        <w:rPr>
          <w:rFonts w:hint="eastAsia" w:ascii="仿宋" w:hAnsi="仿宋" w:eastAsia="仿宋"/>
          <w:sz w:val="24"/>
          <w:szCs w:val="24"/>
        </w:rPr>
        <w:t>按照国家及上海市《地表水水质自动监测站运行维护技术要求》，实现常规基于规则、模型、状态质控管理的基础上，升级地表水数据采集系统终端软件，接入自动化质控参数及数据、站房环境参数、用电参数等数据，利用实景可视化技术，对站房进行全景展示，包含站房环境、运维记录、质控记录、仪器运行状态等；可以实现水站运维商的远程巡检、远程诊断。支持水站智能视频监控接入，打好水站智能无人运维升级基础。</w:t>
      </w:r>
    </w:p>
    <w:p w14:paraId="3B06E3B9">
      <w:pPr>
        <w:pStyle w:val="4"/>
        <w:spacing w:line="276" w:lineRule="auto"/>
        <w:rPr>
          <w:rFonts w:ascii="仿宋" w:hAnsi="仿宋"/>
        </w:rPr>
      </w:pPr>
      <w:r>
        <w:rPr>
          <w:rFonts w:hint="eastAsia" w:ascii="仿宋" w:hAnsi="仿宋"/>
        </w:rPr>
        <w:t>自动化质控参数接入</w:t>
      </w:r>
    </w:p>
    <w:p w14:paraId="0E2BC473">
      <w:pPr>
        <w:spacing w:line="276" w:lineRule="auto"/>
        <w:ind w:firstLine="480"/>
        <w:rPr>
          <w:rFonts w:ascii="仿宋" w:hAnsi="仿宋" w:eastAsia="仿宋"/>
          <w:sz w:val="24"/>
          <w:szCs w:val="24"/>
        </w:rPr>
      </w:pPr>
      <w:r>
        <w:rPr>
          <w:rFonts w:hint="eastAsia" w:ascii="仿宋" w:hAnsi="仿宋" w:eastAsia="仿宋"/>
          <w:sz w:val="24"/>
          <w:szCs w:val="24"/>
        </w:rPr>
        <w:t>接入内容：按照国家及上海市《地表水水质自动监测站运行维护技术要求》，接入自动化质控参数包括但不限于：仪器校准数据、质控样比对数据、自动质控程序运行状态、质控异常报警信息。</w:t>
      </w:r>
    </w:p>
    <w:p w14:paraId="6149FDBB">
      <w:pPr>
        <w:spacing w:line="276" w:lineRule="auto"/>
        <w:ind w:firstLine="480"/>
        <w:rPr>
          <w:rFonts w:ascii="仿宋" w:hAnsi="仿宋" w:eastAsia="仿宋"/>
          <w:sz w:val="24"/>
          <w:szCs w:val="24"/>
        </w:rPr>
      </w:pPr>
      <w:r>
        <w:rPr>
          <w:rFonts w:hint="eastAsia" w:ascii="仿宋" w:hAnsi="仿宋" w:eastAsia="仿宋"/>
          <w:sz w:val="24"/>
          <w:szCs w:val="24"/>
        </w:rPr>
        <w:t>接入方式：通过监测站数据采集与传输系统，实时或定时将自动化质控参数数据传输至中央监控平台，确保数据的完整、准确、及时。</w:t>
      </w:r>
    </w:p>
    <w:p w14:paraId="3E8785B9">
      <w:pPr>
        <w:pStyle w:val="4"/>
        <w:spacing w:line="276" w:lineRule="auto"/>
        <w:rPr>
          <w:rFonts w:ascii="仿宋" w:hAnsi="仿宋"/>
        </w:rPr>
      </w:pPr>
      <w:r>
        <w:rPr>
          <w:rFonts w:hint="eastAsia" w:ascii="仿宋" w:hAnsi="仿宋"/>
        </w:rPr>
        <w:t>站房环境参数接入</w:t>
      </w:r>
    </w:p>
    <w:p w14:paraId="68870E20">
      <w:pPr>
        <w:spacing w:line="276" w:lineRule="auto"/>
        <w:ind w:firstLine="480"/>
        <w:rPr>
          <w:rFonts w:ascii="仿宋" w:hAnsi="仿宋" w:eastAsia="仿宋"/>
          <w:sz w:val="24"/>
          <w:szCs w:val="24"/>
        </w:rPr>
      </w:pPr>
      <w:r>
        <w:rPr>
          <w:rFonts w:hint="eastAsia" w:ascii="仿宋" w:hAnsi="仿宋" w:eastAsia="仿宋"/>
          <w:sz w:val="24"/>
          <w:szCs w:val="24"/>
        </w:rPr>
        <w:t>站房环境参数主要包括：温湿度数据、气压数据。</w:t>
      </w:r>
    </w:p>
    <w:p w14:paraId="1AD0F9A8">
      <w:pPr>
        <w:spacing w:line="276" w:lineRule="auto"/>
        <w:ind w:firstLine="480"/>
        <w:rPr>
          <w:rFonts w:ascii="仿宋" w:hAnsi="仿宋" w:eastAsia="仿宋"/>
          <w:sz w:val="24"/>
          <w:szCs w:val="24"/>
        </w:rPr>
      </w:pPr>
      <w:r>
        <w:rPr>
          <w:rFonts w:hint="eastAsia" w:ascii="仿宋" w:hAnsi="仿宋" w:eastAsia="仿宋"/>
          <w:sz w:val="24"/>
          <w:szCs w:val="24"/>
        </w:rPr>
        <w:t>接入方式：通过部署在站房内的环境监测传感器、安防设备等，实时采集环境参数数据，通过有线或无线方式传输至中央监控平台。</w:t>
      </w:r>
    </w:p>
    <w:p w14:paraId="79556736">
      <w:pPr>
        <w:pStyle w:val="4"/>
        <w:spacing w:line="276" w:lineRule="auto"/>
        <w:rPr>
          <w:rFonts w:ascii="仿宋" w:hAnsi="仿宋"/>
        </w:rPr>
      </w:pPr>
      <w:r>
        <w:rPr>
          <w:rFonts w:hint="eastAsia" w:ascii="仿宋" w:hAnsi="仿宋"/>
        </w:rPr>
        <w:t>站房用电参数接入</w:t>
      </w:r>
    </w:p>
    <w:p w14:paraId="407ADA2F">
      <w:pPr>
        <w:spacing w:line="276" w:lineRule="auto"/>
        <w:ind w:firstLine="480"/>
        <w:rPr>
          <w:rFonts w:ascii="仿宋" w:hAnsi="仿宋" w:eastAsia="仿宋"/>
          <w:sz w:val="24"/>
          <w:szCs w:val="24"/>
        </w:rPr>
      </w:pPr>
      <w:r>
        <w:rPr>
          <w:rFonts w:hint="eastAsia" w:ascii="仿宋" w:hAnsi="仿宋" w:eastAsia="仿宋"/>
          <w:sz w:val="24"/>
          <w:szCs w:val="24"/>
        </w:rPr>
        <w:t>用电参数接入内容：总用电量、各设备用电量。</w:t>
      </w:r>
    </w:p>
    <w:p w14:paraId="668D71C5">
      <w:pPr>
        <w:pStyle w:val="4"/>
        <w:spacing w:line="276" w:lineRule="auto"/>
        <w:rPr>
          <w:rFonts w:ascii="仿宋" w:hAnsi="仿宋"/>
        </w:rPr>
      </w:pPr>
      <w:r>
        <w:rPr>
          <w:rFonts w:hint="eastAsia" w:ascii="仿宋" w:hAnsi="仿宋"/>
        </w:rPr>
        <w:t>站房全景可视化</w:t>
      </w:r>
    </w:p>
    <w:p w14:paraId="221FC02B">
      <w:pPr>
        <w:spacing w:line="276" w:lineRule="auto"/>
        <w:ind w:firstLine="480"/>
        <w:rPr>
          <w:rFonts w:ascii="仿宋" w:hAnsi="仿宋" w:eastAsia="仿宋"/>
          <w:sz w:val="24"/>
          <w:szCs w:val="24"/>
        </w:rPr>
      </w:pPr>
      <w:r>
        <w:rPr>
          <w:rFonts w:hint="eastAsia" w:ascii="仿宋" w:hAnsi="仿宋" w:eastAsia="仿宋"/>
          <w:sz w:val="24"/>
          <w:szCs w:val="24"/>
        </w:rPr>
        <w:t>通过Web或移动端的实景可视化平台，用户可随时随地访问全景展示，通过鼠标或手指操作进行全景浏览、信息查询。可查看站房内外全景影像、设备分布与状态标识、环境参数、运维记录与质控记录等。</w:t>
      </w:r>
    </w:p>
    <w:p w14:paraId="7D4205DE">
      <w:pPr>
        <w:pStyle w:val="4"/>
        <w:spacing w:line="276" w:lineRule="auto"/>
        <w:rPr>
          <w:rFonts w:ascii="仿宋" w:hAnsi="仿宋"/>
        </w:rPr>
      </w:pPr>
      <w:r>
        <w:rPr>
          <w:rFonts w:ascii="仿宋" w:hAnsi="仿宋"/>
        </w:rPr>
        <w:t>站房远程巡检</w:t>
      </w:r>
    </w:p>
    <w:p w14:paraId="054CB5FB">
      <w:pPr>
        <w:spacing w:line="276" w:lineRule="auto"/>
        <w:ind w:firstLine="480"/>
        <w:rPr>
          <w:rFonts w:ascii="仿宋" w:hAnsi="仿宋" w:eastAsia="仿宋"/>
          <w:sz w:val="24"/>
          <w:szCs w:val="24"/>
        </w:rPr>
      </w:pPr>
      <w:r>
        <w:rPr>
          <w:rFonts w:ascii="仿宋" w:hAnsi="仿宋" w:eastAsia="仿宋"/>
          <w:sz w:val="24"/>
          <w:szCs w:val="24"/>
        </w:rPr>
        <w:t>远程巡检与远程诊断功能实现远程巡检</w:t>
      </w:r>
      <w:r>
        <w:rPr>
          <w:rFonts w:hint="eastAsia" w:ascii="仿宋" w:hAnsi="仿宋" w:eastAsia="仿宋"/>
          <w:sz w:val="24"/>
          <w:szCs w:val="24"/>
        </w:rPr>
        <w:t>。主要包括：巡检任务管理、巡检数据采集、数据异常报警、远程登录与数据查看。</w:t>
      </w:r>
    </w:p>
    <w:p w14:paraId="0C33B08D">
      <w:pPr>
        <w:pStyle w:val="3"/>
        <w:spacing w:line="276" w:lineRule="auto"/>
        <w:rPr>
          <w:rFonts w:ascii="仿宋" w:hAnsi="仿宋"/>
          <w:sz w:val="24"/>
          <w:szCs w:val="24"/>
        </w:rPr>
      </w:pPr>
      <w:r>
        <w:rPr>
          <w:rFonts w:hint="eastAsia" w:ascii="仿宋" w:hAnsi="仿宋"/>
          <w:sz w:val="24"/>
          <w:szCs w:val="24"/>
        </w:rPr>
        <w:t>智能化数据治理</w:t>
      </w:r>
    </w:p>
    <w:p w14:paraId="7714D237">
      <w:pPr>
        <w:spacing w:line="276" w:lineRule="auto"/>
        <w:ind w:firstLine="480"/>
        <w:rPr>
          <w:rFonts w:ascii="仿宋" w:hAnsi="仿宋" w:eastAsia="仿宋"/>
          <w:sz w:val="24"/>
          <w:szCs w:val="24"/>
        </w:rPr>
      </w:pPr>
      <w:r>
        <w:rPr>
          <w:rFonts w:hint="eastAsia" w:ascii="仿宋" w:hAnsi="仿宋" w:eastAsia="仿宋"/>
          <w:sz w:val="24"/>
          <w:szCs w:val="24"/>
        </w:rPr>
        <w:t>以水环境自动监测数据质量控制为核心，依据《国家地表水水质自动监测站运行维护技术要求》和《上海市地表水水质自动监测站运行维护技术要求》，围绕监测数据的“人、机、料、法、环”，完善监测数据质控体系。</w:t>
      </w:r>
    </w:p>
    <w:p w14:paraId="062BDD2A">
      <w:pPr>
        <w:pStyle w:val="4"/>
        <w:spacing w:line="276" w:lineRule="auto"/>
        <w:rPr>
          <w:rFonts w:ascii="仿宋" w:hAnsi="仿宋"/>
        </w:rPr>
      </w:pPr>
      <w:r>
        <w:rPr>
          <w:rFonts w:hint="eastAsia" w:ascii="仿宋" w:hAnsi="仿宋"/>
        </w:rPr>
        <w:t>智能预处理</w:t>
      </w:r>
    </w:p>
    <w:p w14:paraId="4325E760">
      <w:pPr>
        <w:spacing w:line="276" w:lineRule="auto"/>
        <w:ind w:firstLine="480"/>
        <w:rPr>
          <w:rFonts w:ascii="仿宋" w:hAnsi="仿宋" w:eastAsia="仿宋"/>
          <w:sz w:val="24"/>
          <w:szCs w:val="24"/>
        </w:rPr>
      </w:pPr>
      <w:r>
        <w:rPr>
          <w:rFonts w:hint="eastAsia" w:ascii="仿宋" w:hAnsi="仿宋" w:eastAsia="仿宋"/>
          <w:sz w:val="24"/>
          <w:szCs w:val="24"/>
        </w:rPr>
        <w:t>通过智能预处理标记，进行数据智能研判：质控情况、运维情况、分析环境、分析方法、仪器状态等）、数据异常波动判定、智能标记数据。实现数据系统初审入库，并记录智能预审核日志信息。</w:t>
      </w:r>
    </w:p>
    <w:p w14:paraId="4140DDDC">
      <w:pPr>
        <w:pStyle w:val="4"/>
        <w:spacing w:line="276" w:lineRule="auto"/>
        <w:rPr>
          <w:rFonts w:ascii="仿宋" w:hAnsi="仿宋"/>
        </w:rPr>
      </w:pPr>
      <w:r>
        <w:rPr>
          <w:rFonts w:hint="eastAsia" w:ascii="仿宋" w:hAnsi="仿宋"/>
        </w:rPr>
        <w:t xml:space="preserve">分因子多级审核机制 </w:t>
      </w:r>
    </w:p>
    <w:p w14:paraId="0785EF1E">
      <w:pPr>
        <w:spacing w:line="276" w:lineRule="auto"/>
        <w:ind w:firstLine="480"/>
        <w:rPr>
          <w:rFonts w:ascii="仿宋" w:hAnsi="仿宋" w:eastAsia="仿宋"/>
          <w:sz w:val="24"/>
          <w:szCs w:val="24"/>
        </w:rPr>
      </w:pPr>
      <w:r>
        <w:rPr>
          <w:rFonts w:hint="eastAsia" w:ascii="仿宋" w:hAnsi="仿宋" w:eastAsia="仿宋"/>
          <w:sz w:val="24"/>
          <w:szCs w:val="24"/>
        </w:rPr>
        <w:t>采用自动审核与人工审核相结合的方式，对监测数据进行全面审核。系统将根据监测因子、站点特性等因素，制定相应的审核规则，实现数据的自动检测。同时，建立运维商、区县、监测站人员三级审核流程，确保数据的完整性和准确性。</w:t>
      </w:r>
    </w:p>
    <w:p w14:paraId="2354A394">
      <w:pPr>
        <w:pStyle w:val="4"/>
        <w:spacing w:line="276" w:lineRule="auto"/>
        <w:rPr>
          <w:rFonts w:ascii="仿宋" w:hAnsi="仿宋"/>
        </w:rPr>
      </w:pPr>
      <w:r>
        <w:rPr>
          <w:rFonts w:hint="eastAsia" w:ascii="仿宋" w:hAnsi="仿宋"/>
        </w:rPr>
        <w:t>自动化质控管理</w:t>
      </w:r>
    </w:p>
    <w:p w14:paraId="32F70F77">
      <w:pPr>
        <w:spacing w:line="276" w:lineRule="auto"/>
        <w:ind w:firstLine="480"/>
        <w:rPr>
          <w:rFonts w:ascii="仿宋" w:hAnsi="仿宋" w:eastAsia="仿宋"/>
          <w:sz w:val="24"/>
          <w:szCs w:val="24"/>
        </w:rPr>
      </w:pPr>
      <w:r>
        <w:rPr>
          <w:rFonts w:hint="eastAsia" w:ascii="仿宋" w:hAnsi="仿宋" w:eastAsia="仿宋"/>
          <w:sz w:val="24"/>
          <w:szCs w:val="24"/>
        </w:rPr>
        <w:t>采集符合自动化质控数据及状态参数的水质自动站数据，需要依据统一的《国家地表水自动监测系统通信协议技术要求》，将质控数据和状态参数上传至地表水环境质量自动在线监测平台，并进行实时展示；通过自动化质控功能，能够智能预审核处理水质自动数据，判定数据的有效性，同时结合状态参数辅助审核数据，以符合《地表水水质自动监测站运行维护技术要求》。</w:t>
      </w:r>
    </w:p>
    <w:p w14:paraId="37B3C747">
      <w:pPr>
        <w:pStyle w:val="4"/>
        <w:spacing w:line="276" w:lineRule="auto"/>
        <w:rPr>
          <w:rFonts w:ascii="仿宋" w:hAnsi="仿宋"/>
        </w:rPr>
      </w:pPr>
      <w:r>
        <w:rPr>
          <w:rFonts w:hint="eastAsia" w:ascii="仿宋" w:hAnsi="仿宋"/>
        </w:rPr>
        <w:t xml:space="preserve">水环境监测停站管理 </w:t>
      </w:r>
    </w:p>
    <w:p w14:paraId="4D5FF28E">
      <w:pPr>
        <w:spacing w:line="276" w:lineRule="auto"/>
        <w:ind w:firstLine="480"/>
        <w:rPr>
          <w:rFonts w:ascii="仿宋" w:hAnsi="仿宋" w:eastAsia="仿宋"/>
          <w:sz w:val="24"/>
          <w:szCs w:val="24"/>
        </w:rPr>
      </w:pPr>
      <w:r>
        <w:rPr>
          <w:rFonts w:hint="eastAsia" w:ascii="仿宋" w:hAnsi="仿宋" w:eastAsia="仿宋"/>
          <w:sz w:val="24"/>
          <w:szCs w:val="24"/>
        </w:rPr>
        <w:t>新增停站管理流程，可以对停站进行申请，并进行审核；当站点要复站时，也需要申请复站。停站管理对数据有效率、捕获率均有一定影响。</w:t>
      </w:r>
    </w:p>
    <w:p w14:paraId="76555A9B">
      <w:pPr>
        <w:pStyle w:val="4"/>
        <w:spacing w:line="276" w:lineRule="auto"/>
        <w:rPr>
          <w:rFonts w:ascii="仿宋" w:hAnsi="仿宋"/>
        </w:rPr>
      </w:pPr>
      <w:r>
        <w:rPr>
          <w:rFonts w:hint="eastAsia" w:ascii="仿宋" w:hAnsi="仿宋"/>
        </w:rPr>
        <w:t xml:space="preserve">防人为干扰应用 </w:t>
      </w:r>
    </w:p>
    <w:p w14:paraId="46699513">
      <w:pPr>
        <w:spacing w:line="276" w:lineRule="auto"/>
        <w:ind w:firstLine="480"/>
        <w:rPr>
          <w:rFonts w:ascii="仿宋" w:hAnsi="仿宋" w:eastAsia="仿宋"/>
          <w:sz w:val="24"/>
          <w:szCs w:val="24"/>
        </w:rPr>
      </w:pPr>
      <w:r>
        <w:rPr>
          <w:rFonts w:hint="eastAsia" w:ascii="仿宋" w:hAnsi="仿宋" w:eastAsia="仿宋"/>
          <w:sz w:val="24"/>
          <w:szCs w:val="24"/>
        </w:rPr>
        <w:t>优化配套移动端巡查应用，防范人为干扰，确保监测数据的真实性与准确性。</w:t>
      </w:r>
    </w:p>
    <w:p w14:paraId="71A6111E">
      <w:pPr>
        <w:spacing w:line="276" w:lineRule="auto"/>
        <w:ind w:firstLine="480"/>
        <w:rPr>
          <w:rFonts w:ascii="仿宋" w:hAnsi="仿宋" w:eastAsia="仿宋"/>
          <w:sz w:val="24"/>
          <w:szCs w:val="24"/>
        </w:rPr>
      </w:pPr>
      <w:r>
        <w:rPr>
          <w:rFonts w:hint="eastAsia" w:ascii="仿宋" w:hAnsi="仿宋" w:eastAsia="仿宋"/>
          <w:sz w:val="24"/>
          <w:szCs w:val="24"/>
        </w:rPr>
        <w:t>异常情况记录与上报：巡检过程中，管理人员需详细记录任何可能影响水站正常运行或监测数据准确性的异常情况，包括具体时间、地点、现象描述、初步判断原因等信息，并及时通过移动端上传到平台。所有记录均需留存电子档案，确保有据可查。</w:t>
      </w:r>
    </w:p>
    <w:p w14:paraId="617CCDE8">
      <w:pPr>
        <w:pStyle w:val="3"/>
        <w:spacing w:line="276" w:lineRule="auto"/>
        <w:rPr>
          <w:rFonts w:ascii="仿宋" w:hAnsi="仿宋"/>
          <w:sz w:val="24"/>
          <w:szCs w:val="24"/>
        </w:rPr>
      </w:pPr>
      <w:r>
        <w:rPr>
          <w:rFonts w:hint="eastAsia" w:ascii="仿宋" w:hAnsi="仿宋"/>
          <w:sz w:val="24"/>
          <w:szCs w:val="24"/>
        </w:rPr>
        <w:t>水环境数据智能分析与评价</w:t>
      </w:r>
    </w:p>
    <w:p w14:paraId="7B02B6EE">
      <w:pPr>
        <w:spacing w:line="276" w:lineRule="auto"/>
        <w:ind w:firstLine="480"/>
        <w:rPr>
          <w:rFonts w:ascii="仿宋" w:hAnsi="仿宋" w:eastAsia="仿宋"/>
          <w:sz w:val="24"/>
          <w:szCs w:val="24"/>
        </w:rPr>
      </w:pPr>
      <w:r>
        <w:rPr>
          <w:rFonts w:hint="eastAsia" w:ascii="仿宋" w:hAnsi="仿宋" w:eastAsia="仿宋"/>
          <w:sz w:val="24"/>
          <w:szCs w:val="24"/>
        </w:rPr>
        <w:t>基于水环境监测数据中心，搭建大数据分析支撑组件，利用数据治理器将海量的地表水、地下水监测数据汇聚至大数据支撑系统，业务人员可自定义筛选分析条件，对海量水环境监测数据进行多维度分析和应用，支持分组查询、自定义排序、收藏条件、数据导出。</w:t>
      </w:r>
    </w:p>
    <w:p w14:paraId="0D870919">
      <w:pPr>
        <w:pStyle w:val="4"/>
        <w:spacing w:line="276" w:lineRule="auto"/>
        <w:rPr>
          <w:rFonts w:ascii="仿宋" w:hAnsi="仿宋"/>
        </w:rPr>
      </w:pPr>
      <w:r>
        <w:rPr>
          <w:rFonts w:hint="eastAsia" w:ascii="仿宋" w:hAnsi="仿宋"/>
        </w:rPr>
        <w:t>水环境监测数据中心</w:t>
      </w:r>
    </w:p>
    <w:p w14:paraId="4464EAE4">
      <w:pPr>
        <w:spacing w:line="276" w:lineRule="auto"/>
        <w:ind w:firstLine="480"/>
        <w:rPr>
          <w:rFonts w:ascii="仿宋" w:hAnsi="仿宋" w:eastAsia="仿宋"/>
          <w:sz w:val="24"/>
          <w:szCs w:val="24"/>
        </w:rPr>
      </w:pPr>
      <w:r>
        <w:rPr>
          <w:rFonts w:hint="eastAsia" w:ascii="仿宋" w:hAnsi="仿宋" w:eastAsia="仿宋"/>
          <w:sz w:val="24"/>
          <w:szCs w:val="24"/>
        </w:rPr>
        <w:t>建立水环境监测数据中心，负责全面收集水环境监测各类信息数据，并按主题有序分类管理，形成内容全面、业务广泛、接口开放、数据规范、组织合理、分类科学、关联严密的数据资源体系，为水环境应用系统提供统一的数据管理接口，从而实现“一数一源、一源多用”的数据整合目标。从功能架构上来看，分为数据源、数据交换与共享中心、中心数据库、数据管理、数据服务五个层次。</w:t>
      </w:r>
    </w:p>
    <w:p w14:paraId="01174464">
      <w:pPr>
        <w:pStyle w:val="5"/>
        <w:spacing w:line="276" w:lineRule="auto"/>
        <w:rPr>
          <w:rFonts w:ascii="仿宋" w:hAnsi="仿宋"/>
        </w:rPr>
      </w:pPr>
      <w:r>
        <w:rPr>
          <w:rFonts w:hint="eastAsia" w:ascii="仿宋" w:hAnsi="仿宋"/>
        </w:rPr>
        <w:t>数据源</w:t>
      </w:r>
    </w:p>
    <w:p w14:paraId="1BC7AD56">
      <w:pPr>
        <w:spacing w:line="276" w:lineRule="auto"/>
        <w:ind w:firstLine="480"/>
        <w:rPr>
          <w:rFonts w:ascii="仿宋" w:hAnsi="仿宋" w:eastAsia="仿宋"/>
          <w:sz w:val="24"/>
          <w:szCs w:val="24"/>
        </w:rPr>
      </w:pPr>
      <w:r>
        <w:rPr>
          <w:rFonts w:hint="eastAsia" w:ascii="仿宋" w:hAnsi="仿宋" w:eastAsia="仿宋"/>
          <w:sz w:val="24"/>
          <w:szCs w:val="24"/>
        </w:rPr>
        <w:t>数据中心应包括纳入水环境各类环境信息系统、文件型数据等数据资源，上下级环境信息系统数据以及其它外部数据资源，支持关系型数据库、电子表格、文本、</w:t>
      </w:r>
      <w:r>
        <w:rPr>
          <w:rFonts w:ascii="仿宋" w:hAnsi="仿宋" w:eastAsia="仿宋"/>
          <w:sz w:val="24"/>
          <w:szCs w:val="24"/>
        </w:rPr>
        <w:t>XML</w:t>
      </w:r>
      <w:r>
        <w:rPr>
          <w:rFonts w:hint="eastAsia" w:ascii="仿宋" w:hAnsi="仿宋" w:eastAsia="仿宋"/>
          <w:sz w:val="24"/>
          <w:szCs w:val="24"/>
        </w:rPr>
        <w:t>、多媒体数据等格式。</w:t>
      </w:r>
    </w:p>
    <w:p w14:paraId="7E198BEE">
      <w:pPr>
        <w:pStyle w:val="5"/>
        <w:spacing w:line="276" w:lineRule="auto"/>
        <w:rPr>
          <w:rFonts w:ascii="仿宋" w:hAnsi="仿宋"/>
        </w:rPr>
      </w:pPr>
      <w:r>
        <w:rPr>
          <w:rFonts w:hint="eastAsia" w:ascii="仿宋" w:hAnsi="仿宋"/>
        </w:rPr>
        <w:t>数据交换与共享中心</w:t>
      </w:r>
    </w:p>
    <w:p w14:paraId="11EE3881">
      <w:pPr>
        <w:spacing w:line="276" w:lineRule="auto"/>
        <w:ind w:firstLine="480"/>
        <w:rPr>
          <w:rFonts w:ascii="仿宋" w:hAnsi="仿宋" w:eastAsia="仿宋"/>
          <w:sz w:val="24"/>
          <w:szCs w:val="24"/>
        </w:rPr>
      </w:pPr>
      <w:r>
        <w:rPr>
          <w:rFonts w:hint="eastAsia" w:ascii="仿宋" w:hAnsi="仿宋" w:eastAsia="仿宋"/>
          <w:sz w:val="24"/>
          <w:szCs w:val="24"/>
        </w:rPr>
        <w:t>数据交换与共享中心负责实现对数据源（系统）数据的收集和整合，根据设定的规则和条件，自动从相应的数据源中采集所需要的数据，经格式转换、数据校验后写入中心数据库，同时也承担将中心数据库的内容以设定的格式交换给外部数据源。数据交换平台提供任务配置、任务监控等相关管理工具。本项目涉及采集的数据包含但不限于地表水手工监测数据、地表水自动监测数据、地下水自动监测数据、农业面源自动监测数据、其他各类水环境相关的手工及自动监测数据；以及辅助水环境分析评价的相关业务数据，包括但不限于入河排污口、降水、固定污染源排放等监测数据。</w:t>
      </w:r>
    </w:p>
    <w:p w14:paraId="5358B26C">
      <w:pPr>
        <w:pStyle w:val="5"/>
        <w:spacing w:line="276" w:lineRule="auto"/>
        <w:rPr>
          <w:rFonts w:ascii="仿宋" w:hAnsi="仿宋"/>
        </w:rPr>
      </w:pPr>
      <w:r>
        <w:rPr>
          <w:rFonts w:hint="eastAsia" w:ascii="仿宋" w:hAnsi="仿宋"/>
        </w:rPr>
        <w:t>水环境中心数据库</w:t>
      </w:r>
    </w:p>
    <w:p w14:paraId="6F672B2D">
      <w:pPr>
        <w:spacing w:line="276" w:lineRule="auto"/>
        <w:ind w:firstLine="480"/>
        <w:rPr>
          <w:rFonts w:ascii="仿宋" w:hAnsi="仿宋" w:eastAsia="仿宋"/>
          <w:sz w:val="24"/>
          <w:szCs w:val="24"/>
        </w:rPr>
      </w:pPr>
      <w:r>
        <w:rPr>
          <w:rFonts w:hint="eastAsia" w:ascii="仿宋" w:hAnsi="仿宋" w:eastAsia="仿宋"/>
          <w:sz w:val="24"/>
          <w:szCs w:val="24"/>
        </w:rPr>
        <w:t>水环境中心数据库负责对水环境管理业务数据进行存储管理，按照数据存储模型 分为元数据库、基础数据库和业务数据库，并在此基础上生成为决策支持提供支撑的数据仓库。</w:t>
      </w:r>
    </w:p>
    <w:p w14:paraId="27CB125C">
      <w:pPr>
        <w:pStyle w:val="5"/>
        <w:spacing w:line="276" w:lineRule="auto"/>
        <w:rPr>
          <w:rFonts w:ascii="仿宋" w:hAnsi="仿宋"/>
        </w:rPr>
      </w:pPr>
      <w:r>
        <w:rPr>
          <w:rFonts w:hint="eastAsia" w:ascii="仿宋" w:hAnsi="仿宋"/>
        </w:rPr>
        <w:t>数据管理</w:t>
      </w:r>
    </w:p>
    <w:p w14:paraId="2A626A98">
      <w:pPr>
        <w:spacing w:line="276" w:lineRule="auto"/>
        <w:ind w:firstLine="480"/>
        <w:rPr>
          <w:rFonts w:ascii="仿宋" w:hAnsi="仿宋" w:eastAsia="仿宋"/>
          <w:sz w:val="24"/>
          <w:szCs w:val="24"/>
        </w:rPr>
      </w:pPr>
      <w:r>
        <w:rPr>
          <w:rFonts w:hint="eastAsia" w:ascii="仿宋" w:hAnsi="仿宋" w:eastAsia="仿宋"/>
          <w:sz w:val="24"/>
          <w:szCs w:val="24"/>
        </w:rPr>
        <w:t>数据管理包括环境数据查询、资源目录管理、数据库管理、数据维护管理、数据订阅和数据字典。</w:t>
      </w:r>
    </w:p>
    <w:p w14:paraId="36013CD8">
      <w:pPr>
        <w:pStyle w:val="5"/>
        <w:spacing w:line="276" w:lineRule="auto"/>
        <w:rPr>
          <w:rFonts w:ascii="仿宋" w:hAnsi="仿宋"/>
        </w:rPr>
      </w:pPr>
      <w:r>
        <w:rPr>
          <w:rFonts w:hint="eastAsia" w:ascii="仿宋" w:hAnsi="仿宋"/>
        </w:rPr>
        <w:t>数据服务</w:t>
      </w:r>
    </w:p>
    <w:p w14:paraId="7C4F3698">
      <w:pPr>
        <w:spacing w:line="276" w:lineRule="auto"/>
        <w:ind w:firstLine="480"/>
        <w:rPr>
          <w:rFonts w:ascii="仿宋" w:hAnsi="仿宋" w:eastAsia="仿宋"/>
          <w:sz w:val="24"/>
          <w:szCs w:val="24"/>
        </w:rPr>
      </w:pPr>
      <w:r>
        <w:rPr>
          <w:rFonts w:hint="eastAsia" w:ascii="仿宋" w:hAnsi="仿宋" w:eastAsia="仿宋"/>
          <w:sz w:val="24"/>
          <w:szCs w:val="24"/>
        </w:rPr>
        <w:t xml:space="preserve">数据服务为所有的环境信息系统及其它外部系统提供统一的数据处理及查询统计等访问服务，并在 </w:t>
      </w:r>
      <w:r>
        <w:rPr>
          <w:rFonts w:ascii="仿宋" w:hAnsi="仿宋" w:eastAsia="仿宋"/>
          <w:sz w:val="24"/>
          <w:szCs w:val="24"/>
        </w:rPr>
        <w:t xml:space="preserve">ESB </w:t>
      </w:r>
      <w:r>
        <w:rPr>
          <w:rFonts w:hint="eastAsia" w:ascii="仿宋" w:hAnsi="仿宋" w:eastAsia="仿宋"/>
          <w:sz w:val="24"/>
          <w:szCs w:val="24"/>
        </w:rPr>
        <w:t>服务总线上发布服务接口。</w:t>
      </w:r>
    </w:p>
    <w:p w14:paraId="34C9AFC9">
      <w:pPr>
        <w:pStyle w:val="5"/>
        <w:spacing w:line="276" w:lineRule="auto"/>
        <w:rPr>
          <w:rFonts w:ascii="仿宋" w:hAnsi="仿宋"/>
        </w:rPr>
      </w:pPr>
      <w:r>
        <w:rPr>
          <w:rFonts w:hint="eastAsia" w:ascii="仿宋" w:hAnsi="仿宋"/>
        </w:rPr>
        <w:t>数据标准化</w:t>
      </w:r>
    </w:p>
    <w:p w14:paraId="414A62BB">
      <w:pPr>
        <w:spacing w:line="276" w:lineRule="auto"/>
        <w:ind w:firstLine="480"/>
        <w:rPr>
          <w:rFonts w:ascii="仿宋" w:hAnsi="仿宋" w:eastAsia="仿宋"/>
          <w:sz w:val="24"/>
          <w:szCs w:val="24"/>
        </w:rPr>
      </w:pPr>
      <w:r>
        <w:rPr>
          <w:rFonts w:hint="eastAsia" w:ascii="仿宋" w:hAnsi="仿宋" w:eastAsia="仿宋"/>
          <w:sz w:val="24"/>
          <w:szCs w:val="24"/>
        </w:rPr>
        <w:t>标准规范体系是平台系统建设一致性和协调性的基础，是形成科学规范的信息资源共享和软件互操作性的基本保证。水环境数据标准建设的内容包括数据分类标准、数据库标准、数据编码标准、元数据标准、数据应用标准、数据交换标准。</w:t>
      </w:r>
    </w:p>
    <w:p w14:paraId="42261C67">
      <w:pPr>
        <w:pStyle w:val="4"/>
        <w:spacing w:line="276" w:lineRule="auto"/>
        <w:rPr>
          <w:rFonts w:ascii="仿宋" w:hAnsi="仿宋"/>
        </w:rPr>
      </w:pPr>
      <w:r>
        <w:rPr>
          <w:rFonts w:hint="eastAsia" w:ascii="仿宋" w:hAnsi="仿宋"/>
        </w:rPr>
        <w:t>数据融合和挖掘</w:t>
      </w:r>
    </w:p>
    <w:p w14:paraId="48267604">
      <w:pPr>
        <w:spacing w:line="276" w:lineRule="auto"/>
        <w:ind w:firstLine="480"/>
        <w:rPr>
          <w:rFonts w:ascii="仿宋" w:hAnsi="仿宋" w:eastAsia="仿宋"/>
          <w:sz w:val="24"/>
          <w:szCs w:val="24"/>
        </w:rPr>
      </w:pPr>
      <w:r>
        <w:rPr>
          <w:rFonts w:hint="eastAsia" w:ascii="仿宋" w:hAnsi="仿宋" w:eastAsia="仿宋"/>
          <w:sz w:val="24"/>
          <w:szCs w:val="24"/>
        </w:rPr>
        <w:t>通过将各种数据包含了进行融合、关联、交互等手段，实现同一点位各类监测数据的同屏同时间轴展示，挖掘海量数据重点信息，从多个维度去分析数据之间的关系，用丰富的图表将数据具象化呈现，方便业务人员继续弄地表水数据的分析、评价、预警等。</w:t>
      </w:r>
    </w:p>
    <w:p w14:paraId="2EF35C9C">
      <w:pPr>
        <w:pStyle w:val="4"/>
        <w:spacing w:line="276" w:lineRule="auto"/>
        <w:rPr>
          <w:rFonts w:ascii="仿宋" w:hAnsi="仿宋"/>
        </w:rPr>
      </w:pPr>
      <w:r>
        <w:rPr>
          <w:rFonts w:hint="eastAsia" w:ascii="仿宋" w:hAnsi="仿宋"/>
        </w:rPr>
        <w:t>多维度应用场景分析</w:t>
      </w:r>
    </w:p>
    <w:p w14:paraId="243014F1">
      <w:pPr>
        <w:spacing w:line="276" w:lineRule="auto"/>
        <w:ind w:firstLine="480"/>
        <w:rPr>
          <w:rFonts w:ascii="仿宋" w:hAnsi="仿宋" w:eastAsia="仿宋"/>
          <w:sz w:val="24"/>
          <w:szCs w:val="24"/>
        </w:rPr>
      </w:pPr>
      <w:r>
        <w:rPr>
          <w:rFonts w:hint="eastAsia" w:ascii="仿宋" w:hAnsi="仿宋" w:eastAsia="仿宋"/>
          <w:sz w:val="24"/>
          <w:szCs w:val="24"/>
        </w:rPr>
        <w:t>提供多维度的场景分析应用功能，包括地表水水质综合评价分析、地表水数据质量控制分析 、监测智能图表可视化分析等、基于GIS一张图进行多源数据汇聚场景应用，构建一个集成化、可视化、动态化的领导驾驶舱模块，以替代传统 PPT 汇报方式，满足领导对水环境监测业务工作的实时掌控与精准汇报需求，实现数据驱动的决策支持，推动水环境监测工作科学化、精细化发展。</w:t>
      </w:r>
    </w:p>
    <w:p w14:paraId="727E7062">
      <w:pPr>
        <w:pStyle w:val="5"/>
        <w:spacing w:line="276" w:lineRule="auto"/>
        <w:rPr>
          <w:rFonts w:ascii="仿宋" w:hAnsi="仿宋"/>
        </w:rPr>
      </w:pPr>
      <w:r>
        <w:rPr>
          <w:rFonts w:hint="eastAsia" w:ascii="仿宋" w:hAnsi="仿宋"/>
        </w:rPr>
        <w:t>智能感知统计分析</w:t>
      </w:r>
    </w:p>
    <w:p w14:paraId="285CB080">
      <w:pPr>
        <w:spacing w:line="276" w:lineRule="auto"/>
        <w:ind w:firstLine="480"/>
        <w:rPr>
          <w:rFonts w:ascii="仿宋" w:hAnsi="仿宋" w:eastAsia="仿宋"/>
          <w:sz w:val="24"/>
          <w:szCs w:val="24"/>
        </w:rPr>
      </w:pPr>
      <w:r>
        <w:rPr>
          <w:rFonts w:hint="eastAsia" w:ascii="仿宋" w:hAnsi="仿宋" w:eastAsia="仿宋"/>
          <w:sz w:val="24"/>
          <w:szCs w:val="24"/>
        </w:rPr>
        <w:t>进行智能感知的统计和分析。实现感知设备运行情况、设备情况、停运站时长等统计分析。</w:t>
      </w:r>
    </w:p>
    <w:p w14:paraId="3D176C90">
      <w:pPr>
        <w:pStyle w:val="5"/>
        <w:spacing w:line="276" w:lineRule="auto"/>
        <w:rPr>
          <w:rFonts w:ascii="仿宋" w:hAnsi="仿宋"/>
        </w:rPr>
      </w:pPr>
      <w:r>
        <w:rPr>
          <w:rFonts w:hint="eastAsia" w:ascii="仿宋" w:hAnsi="仿宋"/>
        </w:rPr>
        <w:t>联网情景分析</w:t>
      </w:r>
    </w:p>
    <w:p w14:paraId="2A930B37">
      <w:pPr>
        <w:spacing w:line="276" w:lineRule="auto"/>
        <w:ind w:firstLine="480"/>
        <w:rPr>
          <w:rFonts w:ascii="仿宋" w:hAnsi="仿宋" w:eastAsia="仿宋"/>
          <w:sz w:val="24"/>
          <w:szCs w:val="24"/>
        </w:rPr>
      </w:pPr>
      <w:r>
        <w:rPr>
          <w:rFonts w:hint="eastAsia" w:ascii="仿宋" w:hAnsi="仿宋" w:eastAsia="仿宋"/>
          <w:sz w:val="24"/>
          <w:szCs w:val="24"/>
        </w:rPr>
        <w:t>分析联网情景。按照标准监测要求及算法准则，对自动站的联网率等进行分析。</w:t>
      </w:r>
    </w:p>
    <w:p w14:paraId="055B5F4D">
      <w:pPr>
        <w:pStyle w:val="5"/>
        <w:spacing w:line="276" w:lineRule="auto"/>
        <w:rPr>
          <w:rFonts w:ascii="仿宋" w:hAnsi="仿宋"/>
        </w:rPr>
      </w:pPr>
      <w:r>
        <w:rPr>
          <w:rFonts w:hint="eastAsia" w:ascii="仿宋" w:hAnsi="仿宋"/>
        </w:rPr>
        <w:t>数据审核情景分析</w:t>
      </w:r>
    </w:p>
    <w:p w14:paraId="3F2BA0BA">
      <w:pPr>
        <w:spacing w:line="276" w:lineRule="auto"/>
        <w:ind w:firstLine="480"/>
        <w:rPr>
          <w:rFonts w:ascii="仿宋" w:hAnsi="仿宋" w:eastAsia="仿宋"/>
          <w:sz w:val="24"/>
          <w:szCs w:val="24"/>
        </w:rPr>
      </w:pPr>
      <w:r>
        <w:rPr>
          <w:rFonts w:hint="eastAsia" w:ascii="仿宋" w:hAnsi="仿宋" w:eastAsia="仿宋"/>
          <w:sz w:val="24"/>
          <w:szCs w:val="24"/>
        </w:rPr>
        <w:t>分析数据审核的情景。通过对原始数据的全面审核，包括数据的有效性、准确性等方面的检查，确保数据的真实性和可信度。</w:t>
      </w:r>
    </w:p>
    <w:p w14:paraId="350CD4AA">
      <w:pPr>
        <w:pStyle w:val="5"/>
        <w:spacing w:line="276" w:lineRule="auto"/>
        <w:rPr>
          <w:rFonts w:ascii="仿宋" w:hAnsi="仿宋"/>
        </w:rPr>
      </w:pPr>
      <w:r>
        <w:rPr>
          <w:rFonts w:hint="eastAsia" w:ascii="仿宋" w:hAnsi="仿宋"/>
        </w:rPr>
        <w:t>监测智能图表可视化分析</w:t>
      </w:r>
    </w:p>
    <w:p w14:paraId="6F1A7364">
      <w:pPr>
        <w:spacing w:line="276" w:lineRule="auto"/>
        <w:ind w:firstLine="480"/>
        <w:rPr>
          <w:rFonts w:ascii="仿宋" w:hAnsi="仿宋" w:eastAsia="仿宋"/>
          <w:sz w:val="24"/>
          <w:szCs w:val="24"/>
        </w:rPr>
      </w:pPr>
      <w:r>
        <w:rPr>
          <w:rFonts w:hint="eastAsia" w:ascii="仿宋" w:hAnsi="仿宋" w:eastAsia="仿宋"/>
          <w:sz w:val="24"/>
          <w:szCs w:val="24"/>
        </w:rPr>
        <w:t>通过图表可视化监测数据。以图表的形式可视化展示感知设备运行状态、联网状态及数据审核等统计信息。</w:t>
      </w:r>
    </w:p>
    <w:p w14:paraId="3CB96618">
      <w:pPr>
        <w:pStyle w:val="5"/>
        <w:spacing w:line="276" w:lineRule="auto"/>
        <w:rPr>
          <w:rFonts w:ascii="仿宋" w:hAnsi="仿宋"/>
        </w:rPr>
      </w:pPr>
      <w:r>
        <w:rPr>
          <w:rFonts w:hint="eastAsia" w:ascii="仿宋" w:hAnsi="仿宋"/>
        </w:rPr>
        <w:t>水质空间分析</w:t>
      </w:r>
    </w:p>
    <w:p w14:paraId="78F8E5A7">
      <w:pPr>
        <w:spacing w:line="276" w:lineRule="auto"/>
        <w:ind w:firstLine="480"/>
        <w:rPr>
          <w:rFonts w:ascii="仿宋" w:hAnsi="仿宋" w:eastAsia="仿宋"/>
          <w:sz w:val="24"/>
          <w:szCs w:val="24"/>
        </w:rPr>
      </w:pPr>
      <w:r>
        <w:rPr>
          <w:rFonts w:hint="eastAsia" w:ascii="仿宋" w:hAnsi="仿宋" w:eastAsia="仿宋"/>
          <w:sz w:val="24"/>
          <w:szCs w:val="24"/>
        </w:rPr>
        <w:t>进行水质的空间分析。对不同监测站点的水质数据进行空间化处理，分析水质在不同区域的分布差异，直观呈现水质变化趋势。</w:t>
      </w:r>
    </w:p>
    <w:p w14:paraId="6631488B">
      <w:pPr>
        <w:pStyle w:val="5"/>
        <w:spacing w:line="276" w:lineRule="auto"/>
        <w:rPr>
          <w:rFonts w:ascii="仿宋" w:hAnsi="仿宋"/>
        </w:rPr>
      </w:pPr>
      <w:r>
        <w:rPr>
          <w:rFonts w:hint="eastAsia" w:ascii="仿宋" w:hAnsi="仿宋"/>
        </w:rPr>
        <w:t>水质评估分析</w:t>
      </w:r>
    </w:p>
    <w:p w14:paraId="2AD0C861">
      <w:pPr>
        <w:spacing w:line="276" w:lineRule="auto"/>
        <w:ind w:firstLine="480"/>
        <w:rPr>
          <w:rFonts w:ascii="仿宋" w:hAnsi="仿宋" w:eastAsia="仿宋"/>
          <w:sz w:val="24"/>
          <w:szCs w:val="24"/>
        </w:rPr>
      </w:pPr>
      <w:r>
        <w:rPr>
          <w:rFonts w:hint="eastAsia" w:ascii="仿宋" w:hAnsi="仿宋" w:eastAsia="仿宋"/>
          <w:sz w:val="24"/>
          <w:szCs w:val="24"/>
        </w:rPr>
        <w:t>进行水质的评估分析。构建监测点位评估方法，量化分析水质变化趋势。</w:t>
      </w:r>
    </w:p>
    <w:p w14:paraId="74A2AC3E">
      <w:pPr>
        <w:pStyle w:val="5"/>
        <w:spacing w:line="276" w:lineRule="auto"/>
        <w:rPr>
          <w:rFonts w:ascii="仿宋" w:hAnsi="仿宋"/>
        </w:rPr>
      </w:pPr>
      <w:r>
        <w:rPr>
          <w:rFonts w:hint="eastAsia" w:ascii="仿宋" w:hAnsi="仿宋"/>
        </w:rPr>
        <w:t>水质专题图</w:t>
      </w:r>
    </w:p>
    <w:p w14:paraId="416A2CFE">
      <w:pPr>
        <w:spacing w:line="276" w:lineRule="auto"/>
        <w:ind w:firstLine="480"/>
        <w:rPr>
          <w:rFonts w:ascii="仿宋" w:hAnsi="仿宋" w:eastAsia="仿宋"/>
          <w:sz w:val="24"/>
          <w:szCs w:val="24"/>
        </w:rPr>
      </w:pPr>
      <w:r>
        <w:rPr>
          <w:rFonts w:hint="eastAsia" w:ascii="仿宋" w:hAnsi="仿宋" w:eastAsia="仿宋"/>
          <w:sz w:val="24"/>
          <w:szCs w:val="24"/>
        </w:rPr>
        <w:t>生成水质专题图。直观呈现水环境综合概览专题图，实现水质监测站点的空间分布、实时监测数据、历史监测数据等信息的可视化表达。</w:t>
      </w:r>
    </w:p>
    <w:p w14:paraId="7F276A48">
      <w:pPr>
        <w:pStyle w:val="5"/>
        <w:spacing w:line="276" w:lineRule="auto"/>
        <w:rPr>
          <w:rFonts w:ascii="仿宋" w:hAnsi="仿宋"/>
        </w:rPr>
      </w:pPr>
      <w:r>
        <w:rPr>
          <w:rFonts w:hint="eastAsia" w:ascii="仿宋" w:hAnsi="仿宋"/>
        </w:rPr>
        <w:t>水质模型</w:t>
      </w:r>
    </w:p>
    <w:p w14:paraId="6B9A7B7E">
      <w:pPr>
        <w:spacing w:line="276" w:lineRule="auto"/>
        <w:ind w:firstLine="480"/>
        <w:rPr>
          <w:rFonts w:ascii="仿宋" w:hAnsi="仿宋" w:eastAsia="仿宋"/>
          <w:sz w:val="24"/>
          <w:szCs w:val="24"/>
        </w:rPr>
      </w:pPr>
      <w:r>
        <w:rPr>
          <w:rFonts w:hint="eastAsia" w:ascii="仿宋" w:hAnsi="仿宋" w:eastAsia="仿宋"/>
          <w:sz w:val="24"/>
          <w:szCs w:val="24"/>
        </w:rPr>
        <w:t>通过建立水质分析模型，实现对水环境综合分析与评价。</w:t>
      </w:r>
    </w:p>
    <w:p w14:paraId="37791B15">
      <w:pPr>
        <w:pStyle w:val="3"/>
        <w:spacing w:line="276" w:lineRule="auto"/>
        <w:rPr>
          <w:rFonts w:ascii="仿宋" w:hAnsi="仿宋"/>
          <w:sz w:val="24"/>
          <w:szCs w:val="24"/>
        </w:rPr>
      </w:pPr>
      <w:r>
        <w:rPr>
          <w:rFonts w:hint="eastAsia" w:ascii="仿宋" w:hAnsi="仿宋"/>
          <w:sz w:val="24"/>
          <w:szCs w:val="24"/>
        </w:rPr>
        <w:t>水环境在线监测及预警</w:t>
      </w:r>
    </w:p>
    <w:p w14:paraId="685256D3">
      <w:pPr>
        <w:pStyle w:val="4"/>
        <w:spacing w:line="276" w:lineRule="auto"/>
        <w:rPr>
          <w:rFonts w:ascii="仿宋" w:hAnsi="仿宋"/>
        </w:rPr>
      </w:pPr>
      <w:r>
        <w:rPr>
          <w:rFonts w:hint="eastAsia" w:ascii="仿宋" w:hAnsi="仿宋"/>
        </w:rPr>
        <w:t>环境风险分析</w:t>
      </w:r>
    </w:p>
    <w:p w14:paraId="08CDEF93">
      <w:pPr>
        <w:spacing w:line="276" w:lineRule="auto"/>
        <w:ind w:firstLine="480"/>
        <w:rPr>
          <w:rFonts w:ascii="仿宋" w:hAnsi="仿宋" w:eastAsia="仿宋"/>
          <w:sz w:val="24"/>
          <w:szCs w:val="24"/>
        </w:rPr>
      </w:pPr>
      <w:r>
        <w:rPr>
          <w:rFonts w:hint="eastAsia" w:ascii="仿宋" w:hAnsi="仿宋" w:eastAsia="仿宋"/>
          <w:sz w:val="24"/>
          <w:szCs w:val="24"/>
        </w:rPr>
        <w:t>分析环境风险。分析水体污染在空间上的扩散，实现可视化展示。</w:t>
      </w:r>
    </w:p>
    <w:p w14:paraId="6595203C">
      <w:pPr>
        <w:pStyle w:val="4"/>
        <w:spacing w:line="276" w:lineRule="auto"/>
        <w:rPr>
          <w:rFonts w:ascii="仿宋" w:hAnsi="仿宋"/>
        </w:rPr>
      </w:pPr>
      <w:r>
        <w:rPr>
          <w:rFonts w:hint="eastAsia" w:ascii="仿宋" w:hAnsi="仿宋"/>
        </w:rPr>
        <w:t>水质趋势预测与模拟</w:t>
      </w:r>
    </w:p>
    <w:p w14:paraId="74998C3D">
      <w:pPr>
        <w:spacing w:line="276" w:lineRule="auto"/>
        <w:rPr>
          <w:rFonts w:ascii="仿宋" w:hAnsi="仿宋" w:eastAsia="仿宋"/>
          <w:sz w:val="24"/>
          <w:szCs w:val="24"/>
        </w:rPr>
      </w:pPr>
      <w:r>
        <w:rPr>
          <w:rFonts w:hint="eastAsia" w:ascii="仿宋" w:hAnsi="仿宋" w:eastAsia="仿宋"/>
          <w:sz w:val="24"/>
          <w:szCs w:val="24"/>
        </w:rPr>
        <w:t>预测水质变化趋势并进行模拟分析。基于水环境模型实现监测点位水质的预测，提供未来主要指标浓度、水质类别等模拟结果。</w:t>
      </w:r>
    </w:p>
    <w:p w14:paraId="3BCAECCD">
      <w:pPr>
        <w:pStyle w:val="4"/>
        <w:spacing w:line="276" w:lineRule="auto"/>
        <w:rPr>
          <w:rFonts w:ascii="仿宋" w:hAnsi="仿宋"/>
        </w:rPr>
      </w:pPr>
      <w:r>
        <w:rPr>
          <w:rFonts w:hint="eastAsia" w:ascii="仿宋" w:hAnsi="仿宋"/>
        </w:rPr>
        <w:t>水质时空模拟</w:t>
      </w:r>
    </w:p>
    <w:p w14:paraId="0F03E49E">
      <w:pPr>
        <w:spacing w:line="276" w:lineRule="auto"/>
        <w:rPr>
          <w:rFonts w:ascii="仿宋" w:hAnsi="仿宋" w:eastAsia="仿宋"/>
          <w:sz w:val="24"/>
          <w:szCs w:val="24"/>
        </w:rPr>
      </w:pPr>
      <w:r>
        <w:rPr>
          <w:rFonts w:hint="eastAsia" w:ascii="仿宋" w:hAnsi="仿宋" w:eastAsia="仿宋"/>
          <w:sz w:val="24"/>
          <w:szCs w:val="24"/>
        </w:rPr>
        <w:t>对水质进行时空模拟分析。水质时空模拟预测和分析监测点位水质在时空上的分布规律。</w:t>
      </w:r>
    </w:p>
    <w:p w14:paraId="796681C1">
      <w:pPr>
        <w:pStyle w:val="4"/>
        <w:spacing w:line="276" w:lineRule="auto"/>
        <w:rPr>
          <w:rFonts w:ascii="仿宋" w:hAnsi="仿宋"/>
        </w:rPr>
      </w:pPr>
      <w:r>
        <w:rPr>
          <w:rFonts w:hint="eastAsia" w:ascii="仿宋" w:hAnsi="仿宋"/>
        </w:rPr>
        <w:t>水质水情实时监控</w:t>
      </w:r>
    </w:p>
    <w:p w14:paraId="574A8DBD">
      <w:pPr>
        <w:spacing w:line="276" w:lineRule="auto"/>
        <w:rPr>
          <w:rFonts w:ascii="仿宋" w:hAnsi="仿宋" w:eastAsia="仿宋"/>
          <w:sz w:val="24"/>
          <w:szCs w:val="24"/>
        </w:rPr>
      </w:pPr>
      <w:r>
        <w:rPr>
          <w:rFonts w:hint="eastAsia" w:ascii="仿宋" w:hAnsi="仿宋" w:eastAsia="仿宋"/>
          <w:sz w:val="24"/>
          <w:szCs w:val="24"/>
        </w:rPr>
        <w:t>实时在线监测水环境并预警。系统实现在线监测数据的可视化展示，达到预警条件，进行相应的预警提示。</w:t>
      </w:r>
    </w:p>
    <w:p w14:paraId="65B472BB">
      <w:pPr>
        <w:pStyle w:val="4"/>
        <w:spacing w:line="276" w:lineRule="auto"/>
        <w:rPr>
          <w:rFonts w:ascii="仿宋" w:hAnsi="仿宋"/>
        </w:rPr>
      </w:pPr>
      <w:r>
        <w:rPr>
          <w:rFonts w:hint="eastAsia" w:ascii="仿宋" w:hAnsi="仿宋"/>
        </w:rPr>
        <w:t>污染溯源</w:t>
      </w:r>
    </w:p>
    <w:p w14:paraId="220DC529">
      <w:pPr>
        <w:spacing w:line="276" w:lineRule="auto"/>
        <w:rPr>
          <w:rFonts w:ascii="仿宋" w:hAnsi="仿宋" w:eastAsia="仿宋"/>
          <w:sz w:val="24"/>
          <w:szCs w:val="24"/>
        </w:rPr>
      </w:pPr>
      <w:r>
        <w:rPr>
          <w:rFonts w:hint="eastAsia" w:ascii="仿宋" w:hAnsi="仿宋" w:eastAsia="仿宋"/>
          <w:sz w:val="24"/>
          <w:szCs w:val="24"/>
        </w:rPr>
        <w:t>分析污染源并追溯污染来源。针对报警监测点位进行污染来源分析。</w:t>
      </w:r>
    </w:p>
    <w:p w14:paraId="165A8998">
      <w:pPr>
        <w:pStyle w:val="4"/>
        <w:spacing w:line="276" w:lineRule="auto"/>
        <w:rPr>
          <w:rFonts w:ascii="仿宋" w:hAnsi="仿宋"/>
        </w:rPr>
      </w:pPr>
      <w:r>
        <w:rPr>
          <w:rFonts w:hint="eastAsia" w:ascii="仿宋" w:hAnsi="仿宋"/>
        </w:rPr>
        <w:t>信息管理与维护</w:t>
      </w:r>
    </w:p>
    <w:p w14:paraId="51ED8B1C">
      <w:pPr>
        <w:spacing w:line="276" w:lineRule="auto"/>
        <w:rPr>
          <w:rFonts w:ascii="仿宋" w:hAnsi="仿宋" w:eastAsia="仿宋"/>
          <w:sz w:val="24"/>
          <w:szCs w:val="24"/>
        </w:rPr>
      </w:pPr>
      <w:r>
        <w:rPr>
          <w:rFonts w:hint="eastAsia" w:ascii="仿宋" w:hAnsi="仿宋" w:eastAsia="仿宋"/>
          <w:sz w:val="24"/>
          <w:szCs w:val="24"/>
        </w:rPr>
        <w:t>进行信息管理与维护。针对监测点位信息进行新增、修改、查看。</w:t>
      </w:r>
    </w:p>
    <w:p w14:paraId="7F0FB219">
      <w:pPr>
        <w:pStyle w:val="3"/>
        <w:spacing w:line="276" w:lineRule="auto"/>
        <w:rPr>
          <w:rFonts w:ascii="仿宋" w:hAnsi="仿宋"/>
          <w:sz w:val="24"/>
          <w:szCs w:val="24"/>
        </w:rPr>
      </w:pPr>
      <w:r>
        <w:rPr>
          <w:rFonts w:hint="eastAsia" w:ascii="仿宋" w:hAnsi="仿宋"/>
          <w:sz w:val="24"/>
          <w:szCs w:val="24"/>
        </w:rPr>
        <w:t>农业面源水环境污染监测预警</w:t>
      </w:r>
    </w:p>
    <w:p w14:paraId="586DEEA4">
      <w:pPr>
        <w:spacing w:line="276" w:lineRule="auto"/>
        <w:ind w:firstLine="480"/>
        <w:rPr>
          <w:rFonts w:ascii="仿宋" w:hAnsi="仿宋" w:eastAsia="仿宋"/>
          <w:sz w:val="24"/>
          <w:szCs w:val="24"/>
        </w:rPr>
      </w:pPr>
      <w:r>
        <w:rPr>
          <w:rFonts w:hint="eastAsia" w:ascii="仿宋" w:hAnsi="仿宋" w:eastAsia="仿宋"/>
          <w:sz w:val="24"/>
          <w:szCs w:val="24"/>
        </w:rPr>
        <w:t>为及时掌握农业面源污染情况，本次项目需新增农业面源水环境污染监测预警应用，功能应包含实时监控、留样管理、数据审核、报警管理、查询分析等功能。数据共享、站点管理等功能与水环境监测模块通用。。</w:t>
      </w:r>
    </w:p>
    <w:p w14:paraId="2187A666">
      <w:pPr>
        <w:pStyle w:val="4"/>
        <w:spacing w:line="276" w:lineRule="auto"/>
        <w:rPr>
          <w:rFonts w:ascii="仿宋" w:hAnsi="仿宋"/>
        </w:rPr>
      </w:pPr>
      <w:r>
        <w:rPr>
          <w:rFonts w:hint="eastAsia" w:ascii="仿宋" w:hAnsi="仿宋"/>
        </w:rPr>
        <w:t>实时在线状态</w:t>
      </w:r>
    </w:p>
    <w:p w14:paraId="3341D591">
      <w:pPr>
        <w:spacing w:line="276" w:lineRule="auto"/>
        <w:ind w:firstLine="480"/>
        <w:rPr>
          <w:rFonts w:ascii="仿宋" w:hAnsi="仿宋" w:eastAsia="仿宋"/>
          <w:sz w:val="24"/>
          <w:szCs w:val="24"/>
        </w:rPr>
      </w:pPr>
      <w:r>
        <w:rPr>
          <w:rFonts w:hint="eastAsia" w:ascii="仿宋" w:hAnsi="仿宋" w:eastAsia="仿宋"/>
          <w:sz w:val="24"/>
          <w:szCs w:val="24"/>
        </w:rPr>
        <w:t>系统提供原始小时、日、月、季、年数据和审核小时、日、月、季、年数据查询功能。日月季年的统计规则应符合相关文件要求，可以进行标记位说明查询，对于超标或标记位异常的能够高亮显示数据。</w:t>
      </w:r>
    </w:p>
    <w:p w14:paraId="44A7D9F3">
      <w:pPr>
        <w:pStyle w:val="4"/>
        <w:spacing w:line="276" w:lineRule="auto"/>
        <w:rPr>
          <w:rFonts w:ascii="仿宋" w:hAnsi="仿宋"/>
        </w:rPr>
      </w:pPr>
      <w:r>
        <w:rPr>
          <w:rFonts w:hint="eastAsia" w:ascii="仿宋" w:hAnsi="仿宋"/>
        </w:rPr>
        <w:t>实时数据查询</w:t>
      </w:r>
    </w:p>
    <w:p w14:paraId="35ADF4C9">
      <w:pPr>
        <w:spacing w:line="276" w:lineRule="auto"/>
        <w:ind w:firstLine="480"/>
        <w:rPr>
          <w:rFonts w:ascii="仿宋" w:hAnsi="仿宋" w:eastAsia="仿宋"/>
          <w:sz w:val="24"/>
          <w:szCs w:val="24"/>
        </w:rPr>
      </w:pPr>
      <w:r>
        <w:rPr>
          <w:rFonts w:hint="eastAsia" w:ascii="仿宋" w:hAnsi="仿宋" w:eastAsia="仿宋"/>
          <w:sz w:val="24"/>
          <w:szCs w:val="24"/>
        </w:rPr>
        <w:t>系统提供原始小时数据查询，可以进行标记位说明查询，对于超标或标记位异常的能够高亮显示数据，支持将查询的数据进行导出。支持自定义配置页面的默认站点、默认选择监测项目、各监测项目的有效位、小数位。</w:t>
      </w:r>
    </w:p>
    <w:p w14:paraId="0B609AD2">
      <w:pPr>
        <w:pStyle w:val="4"/>
        <w:spacing w:line="276" w:lineRule="auto"/>
        <w:rPr>
          <w:rFonts w:ascii="仿宋" w:hAnsi="仿宋"/>
        </w:rPr>
      </w:pPr>
      <w:r>
        <w:rPr>
          <w:rFonts w:hint="eastAsia" w:ascii="仿宋" w:hAnsi="仿宋"/>
        </w:rPr>
        <w:t>留样管理</w:t>
      </w:r>
    </w:p>
    <w:p w14:paraId="4DF3F0BC">
      <w:pPr>
        <w:spacing w:line="276" w:lineRule="auto"/>
        <w:ind w:firstLine="480"/>
        <w:rPr>
          <w:rFonts w:ascii="仿宋" w:hAnsi="仿宋" w:eastAsia="仿宋"/>
          <w:sz w:val="24"/>
          <w:szCs w:val="24"/>
        </w:rPr>
      </w:pPr>
      <w:r>
        <w:rPr>
          <w:rFonts w:hint="eastAsia" w:ascii="仿宋" w:hAnsi="仿宋" w:eastAsia="仿宋"/>
          <w:sz w:val="24"/>
          <w:szCs w:val="24"/>
        </w:rPr>
        <w:t>系统提供留样管理功能，能够实时查询现场留样状态、瓶满情况，对异常情况进行实时预警。</w:t>
      </w:r>
    </w:p>
    <w:p w14:paraId="5448F8D0">
      <w:pPr>
        <w:pStyle w:val="4"/>
        <w:spacing w:line="276" w:lineRule="auto"/>
        <w:rPr>
          <w:rFonts w:ascii="仿宋" w:hAnsi="仿宋"/>
        </w:rPr>
      </w:pPr>
      <w:r>
        <w:rPr>
          <w:rFonts w:hint="eastAsia" w:ascii="仿宋" w:hAnsi="仿宋"/>
        </w:rPr>
        <w:t>视频管理</w:t>
      </w:r>
    </w:p>
    <w:p w14:paraId="33FD5129">
      <w:pPr>
        <w:spacing w:line="276" w:lineRule="auto"/>
        <w:ind w:firstLine="480"/>
        <w:rPr>
          <w:rFonts w:ascii="仿宋" w:hAnsi="仿宋" w:eastAsia="仿宋"/>
          <w:sz w:val="24"/>
          <w:szCs w:val="24"/>
        </w:rPr>
      </w:pPr>
      <w:r>
        <w:rPr>
          <w:rFonts w:hint="eastAsia" w:ascii="仿宋" w:hAnsi="仿宋" w:eastAsia="仿宋"/>
          <w:sz w:val="24"/>
          <w:szCs w:val="24"/>
        </w:rPr>
        <w:t xml:space="preserve">和已建生态环境局视频中台对接，用户可以实时查看视频情况，同时支持远程回放；用户可以通过网络远程访问并回放已记录的图像，支持位图捕捉、快放、慢放、抓图等操作。 </w:t>
      </w:r>
    </w:p>
    <w:p w14:paraId="1ED956BB">
      <w:pPr>
        <w:pStyle w:val="4"/>
        <w:spacing w:line="276" w:lineRule="auto"/>
        <w:rPr>
          <w:rFonts w:ascii="仿宋" w:hAnsi="仿宋"/>
        </w:rPr>
      </w:pPr>
      <w:r>
        <w:rPr>
          <w:rFonts w:hint="eastAsia" w:ascii="仿宋" w:hAnsi="仿宋"/>
        </w:rPr>
        <w:t>数据审核</w:t>
      </w:r>
    </w:p>
    <w:p w14:paraId="2DD0E1EE">
      <w:pPr>
        <w:spacing w:line="276" w:lineRule="auto"/>
        <w:ind w:firstLine="480"/>
        <w:rPr>
          <w:rFonts w:ascii="仿宋" w:hAnsi="仿宋" w:eastAsia="仿宋"/>
          <w:sz w:val="24"/>
          <w:szCs w:val="24"/>
        </w:rPr>
      </w:pPr>
      <w:r>
        <w:rPr>
          <w:rFonts w:hint="eastAsia" w:ascii="仿宋" w:hAnsi="仿宋" w:eastAsia="仿宋"/>
          <w:sz w:val="24"/>
          <w:szCs w:val="24"/>
        </w:rPr>
        <w:t>系统提供农村面源的数据审核功能，可配置多级审核流程：</w:t>
      </w:r>
    </w:p>
    <w:p w14:paraId="184F7281">
      <w:pPr>
        <w:spacing w:line="276" w:lineRule="auto"/>
        <w:ind w:firstLine="480"/>
        <w:rPr>
          <w:rFonts w:ascii="仿宋" w:hAnsi="仿宋" w:eastAsia="仿宋"/>
          <w:sz w:val="24"/>
          <w:szCs w:val="24"/>
        </w:rPr>
      </w:pPr>
      <w:r>
        <w:rPr>
          <w:rFonts w:hint="eastAsia" w:ascii="仿宋" w:hAnsi="仿宋" w:eastAsia="仿宋"/>
          <w:sz w:val="24"/>
          <w:szCs w:val="24"/>
        </w:rPr>
        <w:t>1、数据接收与初步处理</w:t>
      </w:r>
    </w:p>
    <w:p w14:paraId="3C561D6B">
      <w:pPr>
        <w:spacing w:line="276" w:lineRule="auto"/>
        <w:ind w:firstLine="480"/>
        <w:rPr>
          <w:rFonts w:ascii="仿宋" w:hAnsi="仿宋" w:eastAsia="仿宋"/>
          <w:sz w:val="24"/>
          <w:szCs w:val="24"/>
        </w:rPr>
      </w:pPr>
      <w:r>
        <w:rPr>
          <w:rFonts w:hint="eastAsia" w:ascii="仿宋" w:hAnsi="仿宋" w:eastAsia="仿宋"/>
          <w:sz w:val="24"/>
          <w:szCs w:val="24"/>
        </w:rPr>
        <w:t>2、数据完整性审核</w:t>
      </w:r>
    </w:p>
    <w:p w14:paraId="366894CD">
      <w:pPr>
        <w:spacing w:line="276" w:lineRule="auto"/>
        <w:ind w:firstLine="480"/>
        <w:rPr>
          <w:rFonts w:ascii="仿宋" w:hAnsi="仿宋" w:eastAsia="仿宋"/>
          <w:sz w:val="24"/>
          <w:szCs w:val="24"/>
        </w:rPr>
      </w:pPr>
      <w:r>
        <w:rPr>
          <w:rFonts w:hint="eastAsia" w:ascii="仿宋" w:hAnsi="仿宋" w:eastAsia="仿宋"/>
          <w:sz w:val="24"/>
          <w:szCs w:val="24"/>
        </w:rPr>
        <w:t>3、审核日志</w:t>
      </w:r>
    </w:p>
    <w:p w14:paraId="0561C68A">
      <w:pPr>
        <w:spacing w:line="276" w:lineRule="auto"/>
        <w:ind w:firstLine="480"/>
        <w:rPr>
          <w:rFonts w:ascii="仿宋" w:hAnsi="仿宋" w:eastAsia="仿宋"/>
          <w:sz w:val="24"/>
          <w:szCs w:val="24"/>
        </w:rPr>
      </w:pPr>
      <w:r>
        <w:rPr>
          <w:rFonts w:hint="eastAsia" w:ascii="仿宋" w:hAnsi="仿宋" w:eastAsia="仿宋"/>
          <w:sz w:val="24"/>
          <w:szCs w:val="24"/>
        </w:rPr>
        <w:t>系统应记录数据审核产生的日志，包括审核人、审核时间、站点、审核类型（自动和人工）、参与因子等信息。同时，提供审核日志明细的查看功能，包括站点、数据时间、审核人、因子、原始值、审核值、审核理由等。并支持将日志信息导出为Excel格式。</w:t>
      </w:r>
    </w:p>
    <w:p w14:paraId="3AE50723">
      <w:pPr>
        <w:pStyle w:val="4"/>
        <w:spacing w:line="276" w:lineRule="auto"/>
        <w:rPr>
          <w:rFonts w:ascii="仿宋" w:hAnsi="仿宋"/>
        </w:rPr>
      </w:pPr>
      <w:r>
        <w:rPr>
          <w:rFonts w:hint="eastAsia" w:ascii="仿宋" w:hAnsi="仿宋"/>
        </w:rPr>
        <w:t>报警管理</w:t>
      </w:r>
    </w:p>
    <w:p w14:paraId="05925207">
      <w:pPr>
        <w:spacing w:line="276" w:lineRule="auto"/>
        <w:ind w:firstLine="480"/>
        <w:rPr>
          <w:rFonts w:ascii="仿宋" w:hAnsi="仿宋" w:eastAsia="仿宋"/>
          <w:sz w:val="24"/>
          <w:szCs w:val="24"/>
        </w:rPr>
      </w:pPr>
      <w:r>
        <w:rPr>
          <w:rFonts w:hint="eastAsia" w:ascii="仿宋" w:hAnsi="仿宋" w:eastAsia="仿宋"/>
          <w:sz w:val="24"/>
          <w:szCs w:val="24"/>
        </w:rPr>
        <w:t>报警管理：系统提供分类报警及分类预警功能，通过报警的配置规则，进行站点的报警；报警管理具有及时、准确、维护方便等特点，当不正常状态出现时，一旦有报警事件发生，及时提醒操作员进行处理。报警内容应能在首页工作台进行弹窗展示。</w:t>
      </w:r>
    </w:p>
    <w:p w14:paraId="683DFD99">
      <w:pPr>
        <w:spacing w:line="276" w:lineRule="auto"/>
        <w:ind w:firstLine="480"/>
        <w:rPr>
          <w:rFonts w:ascii="仿宋" w:hAnsi="仿宋" w:eastAsia="仿宋"/>
          <w:sz w:val="24"/>
          <w:szCs w:val="24"/>
        </w:rPr>
      </w:pPr>
      <w:r>
        <w:rPr>
          <w:rFonts w:hint="eastAsia" w:ascii="仿宋" w:hAnsi="仿宋" w:eastAsia="仿宋"/>
          <w:sz w:val="24"/>
          <w:szCs w:val="24"/>
        </w:rPr>
        <w:t>报警规则配置：系统提供自定义报警配置管理，报警配置能够默认配置报警信息，并支持启用、停用、是否进行通知；对配置的各类报警能够选择站点、区域等。系统报警应包含超标值报警、负值报警、重复值报警、离线报警等功能。</w:t>
      </w:r>
    </w:p>
    <w:p w14:paraId="3F2EFA99">
      <w:pPr>
        <w:pStyle w:val="4"/>
        <w:spacing w:line="276" w:lineRule="auto"/>
        <w:rPr>
          <w:rFonts w:ascii="仿宋" w:hAnsi="仿宋"/>
        </w:rPr>
      </w:pPr>
      <w:r>
        <w:rPr>
          <w:rFonts w:hint="eastAsia" w:ascii="仿宋" w:hAnsi="仿宋"/>
        </w:rPr>
        <w:t>查询分析</w:t>
      </w:r>
    </w:p>
    <w:p w14:paraId="328F923E">
      <w:pPr>
        <w:spacing w:line="276" w:lineRule="auto"/>
        <w:ind w:firstLine="480"/>
        <w:rPr>
          <w:rFonts w:ascii="仿宋" w:hAnsi="仿宋" w:eastAsia="仿宋"/>
          <w:sz w:val="24"/>
          <w:szCs w:val="24"/>
        </w:rPr>
      </w:pPr>
      <w:r>
        <w:rPr>
          <w:rFonts w:hint="eastAsia" w:ascii="仿宋" w:hAnsi="仿宋" w:eastAsia="仿宋"/>
          <w:sz w:val="24"/>
          <w:szCs w:val="24"/>
        </w:rPr>
        <w:t>系统提供原始小时、日、月、季、年数据和审核小时、日、月、季、年数据查询，可以进行标记位说明查询，对于超标或标记位异常的能够高亮显示数据，支持将查询的数据进行导出，同时系统支持查询时段站点的单站点多参数图表，图表显示合理，能够对X轴和Y轴进行选择展示。</w:t>
      </w:r>
    </w:p>
    <w:p w14:paraId="4DBCE54E">
      <w:pPr>
        <w:pStyle w:val="3"/>
        <w:spacing w:line="276" w:lineRule="auto"/>
        <w:rPr>
          <w:rFonts w:ascii="仿宋" w:hAnsi="仿宋"/>
          <w:sz w:val="24"/>
          <w:szCs w:val="24"/>
        </w:rPr>
      </w:pPr>
      <w:r>
        <w:rPr>
          <w:rFonts w:hint="eastAsia" w:ascii="仿宋" w:hAnsi="仿宋"/>
          <w:sz w:val="24"/>
          <w:szCs w:val="24"/>
        </w:rPr>
        <w:t>国产化适配升级*</w:t>
      </w:r>
    </w:p>
    <w:p w14:paraId="64D98206">
      <w:pPr>
        <w:spacing w:line="276" w:lineRule="auto"/>
        <w:ind w:firstLine="480"/>
        <w:rPr>
          <w:rFonts w:ascii="仿宋" w:hAnsi="仿宋" w:eastAsia="仿宋"/>
          <w:sz w:val="24"/>
          <w:szCs w:val="24"/>
        </w:rPr>
      </w:pPr>
      <w:r>
        <w:rPr>
          <w:rFonts w:hint="eastAsia" w:ascii="仿宋" w:hAnsi="仿宋" w:eastAsia="仿宋"/>
          <w:sz w:val="24"/>
          <w:szCs w:val="24"/>
        </w:rPr>
        <w:t>对现有水环境监测信息平台进行改造升级，实现关键软硬件、技术标准、数据格式等层面全面采用国产化产品与技术。</w:t>
      </w:r>
      <w:r>
        <w:rPr>
          <w:rFonts w:ascii="仿宋" w:hAnsi="仿宋" w:eastAsia="仿宋"/>
          <w:sz w:val="24"/>
          <w:szCs w:val="24"/>
        </w:rPr>
        <w:t>应符合</w:t>
      </w:r>
      <w:r>
        <w:rPr>
          <w:rFonts w:hint="eastAsia" w:ascii="仿宋" w:hAnsi="仿宋" w:eastAsia="仿宋"/>
          <w:sz w:val="24"/>
          <w:szCs w:val="24"/>
        </w:rPr>
        <w:t>“六统一”要求，使用跨平台开发框架，前后端分离，RESTFUL接口风格，使用集群部署提升系统的并发数和性能，基于OLAP类型列式数据库的数据治理和挖掘流程，既</w:t>
      </w:r>
      <w:r>
        <w:rPr>
          <w:rFonts w:ascii="仿宋" w:hAnsi="仿宋" w:eastAsia="仿宋"/>
          <w:sz w:val="24"/>
          <w:szCs w:val="24"/>
        </w:rPr>
        <w:t>保证与原系统的延续与功能衔接，又能适用于部署在</w:t>
      </w:r>
      <w:r>
        <w:rPr>
          <w:rFonts w:hint="eastAsia" w:ascii="仿宋" w:hAnsi="仿宋" w:eastAsia="仿宋"/>
          <w:sz w:val="24"/>
          <w:szCs w:val="24"/>
        </w:rPr>
        <w:t>政务云上的</w:t>
      </w:r>
      <w:r>
        <w:rPr>
          <w:rFonts w:ascii="仿宋" w:hAnsi="仿宋" w:eastAsia="仿宋"/>
          <w:sz w:val="24"/>
          <w:szCs w:val="24"/>
        </w:rPr>
        <w:t>国产化</w:t>
      </w:r>
      <w:r>
        <w:rPr>
          <w:rFonts w:hint="eastAsia" w:ascii="仿宋" w:hAnsi="仿宋" w:eastAsia="仿宋"/>
          <w:sz w:val="24"/>
          <w:szCs w:val="24"/>
        </w:rPr>
        <w:t>资源。</w:t>
      </w:r>
    </w:p>
    <w:p w14:paraId="778E9E04">
      <w:pPr>
        <w:pStyle w:val="3"/>
        <w:spacing w:line="276" w:lineRule="auto"/>
        <w:rPr>
          <w:rFonts w:ascii="仿宋" w:hAnsi="仿宋"/>
          <w:sz w:val="24"/>
          <w:szCs w:val="24"/>
        </w:rPr>
      </w:pPr>
      <w:r>
        <w:rPr>
          <w:rFonts w:hint="eastAsia" w:ascii="仿宋" w:hAnsi="仿宋"/>
          <w:sz w:val="24"/>
          <w:szCs w:val="24"/>
        </w:rPr>
        <w:t>历史数据迁移*</w:t>
      </w:r>
    </w:p>
    <w:p w14:paraId="73BBA074">
      <w:pPr>
        <w:spacing w:line="276" w:lineRule="auto"/>
        <w:ind w:firstLine="480"/>
        <w:rPr>
          <w:rFonts w:ascii="仿宋" w:hAnsi="仿宋" w:eastAsia="仿宋"/>
          <w:sz w:val="24"/>
          <w:szCs w:val="24"/>
        </w:rPr>
      </w:pPr>
      <w:r>
        <w:rPr>
          <w:rFonts w:hint="eastAsia" w:ascii="仿宋" w:hAnsi="仿宋" w:eastAsia="仿宋"/>
          <w:sz w:val="24"/>
          <w:szCs w:val="24"/>
        </w:rPr>
        <w:t>配合上海市水环境监测信息平台信创改造进度，制定系统的历史数据迁移策略，完成已建系统历史数据的迁出，并进行迁出后的数据测试，保障历史数据的正常和安全使用。</w:t>
      </w:r>
    </w:p>
    <w:bookmarkEnd w:id="5"/>
    <w:bookmarkEnd w:id="6"/>
    <w:bookmarkEnd w:id="7"/>
    <w:bookmarkEnd w:id="8"/>
    <w:bookmarkEnd w:id="9"/>
    <w:bookmarkEnd w:id="10"/>
    <w:p w14:paraId="31C0D459">
      <w:pPr>
        <w:pStyle w:val="2"/>
        <w:spacing w:line="276" w:lineRule="auto"/>
        <w:rPr>
          <w:rFonts w:ascii="仿宋" w:hAnsi="仿宋"/>
          <w:sz w:val="24"/>
          <w:szCs w:val="24"/>
        </w:rPr>
      </w:pPr>
      <w:bookmarkStart w:id="11" w:name="_Toc322336710"/>
      <w:bookmarkStart w:id="12" w:name="_Toc306958156"/>
      <w:r>
        <w:rPr>
          <w:rFonts w:hint="eastAsia" w:ascii="仿宋" w:hAnsi="仿宋"/>
          <w:sz w:val="24"/>
          <w:szCs w:val="24"/>
        </w:rPr>
        <w:t>项目管理、实施及其他要求</w:t>
      </w:r>
      <w:bookmarkEnd w:id="11"/>
      <w:bookmarkEnd w:id="12"/>
    </w:p>
    <w:p w14:paraId="73932D03">
      <w:pPr>
        <w:pStyle w:val="3"/>
        <w:spacing w:line="276" w:lineRule="auto"/>
        <w:rPr>
          <w:rFonts w:ascii="仿宋" w:hAnsi="仿宋"/>
          <w:sz w:val="24"/>
          <w:szCs w:val="24"/>
        </w:rPr>
      </w:pPr>
      <w:bookmarkStart w:id="13" w:name="_Toc306958150"/>
      <w:bookmarkStart w:id="14" w:name="_Toc322336704"/>
      <w:r>
        <w:rPr>
          <w:rFonts w:hint="eastAsia" w:ascii="仿宋" w:hAnsi="仿宋"/>
          <w:sz w:val="24"/>
          <w:szCs w:val="24"/>
        </w:rPr>
        <w:t>设计原则</w:t>
      </w:r>
    </w:p>
    <w:p w14:paraId="1BCFCCE0">
      <w:pPr>
        <w:spacing w:line="276" w:lineRule="auto"/>
        <w:ind w:firstLine="480"/>
        <w:rPr>
          <w:rFonts w:ascii="仿宋" w:hAnsi="仿宋" w:eastAsia="仿宋"/>
          <w:sz w:val="24"/>
          <w:szCs w:val="24"/>
        </w:rPr>
      </w:pPr>
      <w:r>
        <w:rPr>
          <w:rFonts w:hint="eastAsia" w:ascii="仿宋" w:hAnsi="仿宋" w:eastAsia="仿宋"/>
          <w:sz w:val="24"/>
          <w:szCs w:val="24"/>
        </w:rPr>
        <w:t>系统软件设计和开发中应充分考虑并满足如下几方面的设计原则：</w:t>
      </w:r>
    </w:p>
    <w:p w14:paraId="4916017F">
      <w:pPr>
        <w:pStyle w:val="28"/>
        <w:widowControl/>
        <w:numPr>
          <w:ilvl w:val="0"/>
          <w:numId w:val="2"/>
        </w:numPr>
        <w:tabs>
          <w:tab w:val="left" w:pos="420"/>
        </w:tabs>
        <w:spacing w:line="276" w:lineRule="auto"/>
        <w:ind w:firstLineChars="0"/>
        <w:jc w:val="left"/>
        <w:rPr>
          <w:rFonts w:ascii="仿宋" w:hAnsi="仿宋"/>
        </w:rPr>
      </w:pPr>
      <w:r>
        <w:rPr>
          <w:rFonts w:ascii="仿宋" w:hAnsi="仿宋"/>
        </w:rPr>
        <w:t>稳定性要求：</w:t>
      </w:r>
      <w:r>
        <w:rPr>
          <w:rFonts w:hint="eastAsia" w:ascii="仿宋" w:hAnsi="仿宋"/>
        </w:rPr>
        <w:t>系统提供远程故障诊断的功能，在设备系统可正常运作，网络正常的情况下，在运行过程中，若出现任何异常情况，都可在第一时间远程进行诊断解决，并支持远程维护的功能，通过远程维护进行问题的解决，并</w:t>
      </w:r>
      <w:r>
        <w:rPr>
          <w:rFonts w:ascii="仿宋" w:hAnsi="仿宋"/>
        </w:rPr>
        <w:t>提供</w:t>
      </w:r>
      <w:r>
        <w:rPr>
          <w:rFonts w:hint="eastAsia" w:ascii="仿宋" w:hAnsi="仿宋"/>
        </w:rPr>
        <w:t>容错设计。</w:t>
      </w:r>
    </w:p>
    <w:p w14:paraId="06DA5D92">
      <w:pPr>
        <w:pStyle w:val="28"/>
        <w:widowControl/>
        <w:numPr>
          <w:ilvl w:val="0"/>
          <w:numId w:val="2"/>
        </w:numPr>
        <w:tabs>
          <w:tab w:val="left" w:pos="420"/>
        </w:tabs>
        <w:spacing w:line="276" w:lineRule="auto"/>
        <w:ind w:firstLineChars="0"/>
        <w:jc w:val="left"/>
        <w:rPr>
          <w:rFonts w:ascii="仿宋" w:hAnsi="仿宋"/>
        </w:rPr>
      </w:pPr>
      <w:r>
        <w:rPr>
          <w:rFonts w:ascii="仿宋" w:hAnsi="仿宋"/>
        </w:rPr>
        <w:t>先进性要求：</w:t>
      </w:r>
      <w:r>
        <w:rPr>
          <w:rFonts w:hint="eastAsia" w:ascii="仿宋" w:hAnsi="仿宋"/>
        </w:rPr>
        <w:t>采用软件工程的标准和面向对象理论进行软件的设计和开发，在满足平台易移植、高兼容要求的同时，最大限度地提升平台的稳定性和可靠性，适应于日常管理和事故处置，不易出现故障和异常情况。</w:t>
      </w:r>
    </w:p>
    <w:p w14:paraId="2C971894">
      <w:pPr>
        <w:pStyle w:val="28"/>
        <w:widowControl/>
        <w:numPr>
          <w:ilvl w:val="0"/>
          <w:numId w:val="2"/>
        </w:numPr>
        <w:tabs>
          <w:tab w:val="left" w:pos="420"/>
        </w:tabs>
        <w:spacing w:line="276" w:lineRule="auto"/>
        <w:ind w:firstLineChars="0"/>
        <w:jc w:val="left"/>
        <w:rPr>
          <w:rFonts w:ascii="仿宋" w:hAnsi="仿宋"/>
        </w:rPr>
      </w:pPr>
      <w:r>
        <w:rPr>
          <w:rFonts w:hint="eastAsia" w:ascii="仿宋" w:hAnsi="仿宋"/>
        </w:rPr>
        <w:t>标准化原则：平台建设、业务处理和技术方案应符合国家、地方、行业的有关信息化标准的规定。</w:t>
      </w:r>
    </w:p>
    <w:p w14:paraId="44A59944">
      <w:pPr>
        <w:pStyle w:val="28"/>
        <w:widowControl/>
        <w:numPr>
          <w:ilvl w:val="0"/>
          <w:numId w:val="2"/>
        </w:numPr>
        <w:tabs>
          <w:tab w:val="left" w:pos="420"/>
        </w:tabs>
        <w:spacing w:line="276" w:lineRule="auto"/>
        <w:ind w:firstLineChars="0"/>
        <w:jc w:val="left"/>
        <w:rPr>
          <w:rFonts w:ascii="仿宋" w:hAnsi="仿宋"/>
        </w:rPr>
      </w:pPr>
      <w:r>
        <w:rPr>
          <w:rFonts w:ascii="仿宋" w:hAnsi="仿宋"/>
        </w:rPr>
        <w:t>安全性原则</w:t>
      </w:r>
      <w:r>
        <w:rPr>
          <w:rFonts w:hint="eastAsia" w:ascii="仿宋" w:hAnsi="仿宋"/>
        </w:rPr>
        <w:t>：通过各种安全技术手段，保证应用系统的高度安全性，并对使用信息进行严格的权限管理。如数据库备份与恢复、身份认证和访问控制等相应的措施，保证数据库安全、应用软件运行、操作安全、系统的可靠和稳定等。</w:t>
      </w:r>
    </w:p>
    <w:p w14:paraId="2A11C078">
      <w:pPr>
        <w:pStyle w:val="28"/>
        <w:widowControl/>
        <w:numPr>
          <w:ilvl w:val="0"/>
          <w:numId w:val="2"/>
        </w:numPr>
        <w:tabs>
          <w:tab w:val="left" w:pos="420"/>
        </w:tabs>
        <w:spacing w:line="276" w:lineRule="auto"/>
        <w:ind w:firstLineChars="0"/>
        <w:jc w:val="left"/>
        <w:rPr>
          <w:rFonts w:ascii="仿宋" w:hAnsi="仿宋"/>
        </w:rPr>
      </w:pPr>
      <w:r>
        <w:rPr>
          <w:rFonts w:hint="eastAsia" w:ascii="仿宋" w:hAnsi="仿宋"/>
        </w:rPr>
        <w:t>可扩展性原则：在架构设计、数据结构等方面均充分考虑功能扩充的需要。设备方面，为方便平台扩充，选用的设备均为标准通用设备，研制开发的产品均采用标准接口。在软件设计方面力求做到功能全面、使用方便与维护简单、接口标准且便于扩展。</w:t>
      </w:r>
    </w:p>
    <w:p w14:paraId="4D13613B">
      <w:pPr>
        <w:pStyle w:val="28"/>
        <w:widowControl/>
        <w:numPr>
          <w:ilvl w:val="0"/>
          <w:numId w:val="2"/>
        </w:numPr>
        <w:tabs>
          <w:tab w:val="left" w:pos="420"/>
        </w:tabs>
        <w:spacing w:line="276" w:lineRule="auto"/>
        <w:ind w:firstLineChars="0"/>
        <w:jc w:val="left"/>
        <w:rPr>
          <w:rFonts w:ascii="仿宋" w:hAnsi="仿宋"/>
        </w:rPr>
      </w:pPr>
      <w:r>
        <w:rPr>
          <w:rFonts w:hint="eastAsia" w:ascii="仿宋" w:hAnsi="仿宋"/>
        </w:rPr>
        <w:t>兼容性要求：采用的软、硬件产品要能符合国际标准，支持各种主流厂商的产品，也即具有良好的兼容性，确保部署的系统与原有的系统相互兼容。对于现场数据的采集应提供统一、开放的协议，确保不同类型的仪器数据的接入。</w:t>
      </w:r>
    </w:p>
    <w:p w14:paraId="36173112">
      <w:pPr>
        <w:pStyle w:val="3"/>
        <w:spacing w:line="276" w:lineRule="auto"/>
        <w:rPr>
          <w:rFonts w:ascii="仿宋" w:hAnsi="仿宋"/>
          <w:sz w:val="24"/>
          <w:szCs w:val="24"/>
        </w:rPr>
      </w:pPr>
      <w:r>
        <w:rPr>
          <w:rFonts w:hint="eastAsia" w:ascii="仿宋" w:hAnsi="仿宋"/>
          <w:sz w:val="24"/>
          <w:szCs w:val="24"/>
        </w:rPr>
        <w:t>性能要求</w:t>
      </w:r>
      <w:bookmarkEnd w:id="13"/>
      <w:bookmarkEnd w:id="14"/>
    </w:p>
    <w:p w14:paraId="376AF324">
      <w:pPr>
        <w:spacing w:line="276" w:lineRule="auto"/>
        <w:ind w:firstLine="480"/>
        <w:rPr>
          <w:rFonts w:ascii="仿宋" w:hAnsi="仿宋" w:eastAsia="仿宋"/>
          <w:sz w:val="24"/>
          <w:szCs w:val="24"/>
        </w:rPr>
      </w:pPr>
      <w:r>
        <w:rPr>
          <w:rFonts w:hint="eastAsia" w:ascii="仿宋" w:hAnsi="仿宋" w:eastAsia="仿宋"/>
          <w:sz w:val="24"/>
          <w:szCs w:val="24"/>
        </w:rPr>
        <w:t>在系统软件设计和开发中应充分考虑并满足如下几方面的性能要求：</w:t>
      </w:r>
    </w:p>
    <w:p w14:paraId="3F392D55">
      <w:pPr>
        <w:spacing w:line="276" w:lineRule="auto"/>
        <w:ind w:firstLine="480"/>
        <w:rPr>
          <w:rFonts w:ascii="仿宋" w:hAnsi="仿宋" w:eastAsia="仿宋"/>
          <w:sz w:val="24"/>
          <w:szCs w:val="24"/>
        </w:rPr>
      </w:pPr>
      <w:r>
        <w:rPr>
          <w:rFonts w:hint="eastAsia" w:ascii="仿宋" w:hAnsi="仿宋" w:eastAsia="仿宋"/>
          <w:sz w:val="24"/>
          <w:szCs w:val="24"/>
        </w:rPr>
        <w:t>（1）运行效率</w:t>
      </w:r>
    </w:p>
    <w:p w14:paraId="568F713B">
      <w:pPr>
        <w:spacing w:line="276" w:lineRule="auto"/>
        <w:ind w:firstLine="480"/>
        <w:rPr>
          <w:rFonts w:ascii="仿宋" w:hAnsi="仿宋" w:eastAsia="仿宋"/>
          <w:sz w:val="24"/>
          <w:szCs w:val="24"/>
        </w:rPr>
      </w:pPr>
      <w:r>
        <w:rPr>
          <w:rFonts w:hint="eastAsia" w:ascii="仿宋" w:hAnsi="仿宋" w:eastAsia="仿宋"/>
          <w:sz w:val="24"/>
          <w:szCs w:val="24"/>
        </w:rPr>
        <w:t>系统应能达到特定的运行速度，能达到便捷管理数据的录入、浏览、各种处理、查询等日常工作的响应要求，且该速度不以依赖特定的硬件能力为前提，以利于整体提高业务处理的工作效率；系统运行时对硬件资源的利用率要合理，避免占用过多系统硬件资源或过于频繁的硬盘访问等，以提升整体运行速度。</w:t>
      </w:r>
    </w:p>
    <w:p w14:paraId="00506C84">
      <w:pPr>
        <w:spacing w:line="276" w:lineRule="auto"/>
        <w:ind w:firstLine="480"/>
        <w:rPr>
          <w:rFonts w:ascii="仿宋" w:hAnsi="仿宋" w:eastAsia="仿宋"/>
          <w:sz w:val="24"/>
          <w:szCs w:val="24"/>
        </w:rPr>
      </w:pPr>
      <w:r>
        <w:rPr>
          <w:rFonts w:hint="eastAsia" w:ascii="仿宋" w:hAnsi="仿宋" w:eastAsia="仿宋"/>
          <w:sz w:val="24"/>
          <w:szCs w:val="24"/>
        </w:rPr>
        <w:t>（2）响应速度</w:t>
      </w:r>
    </w:p>
    <w:p w14:paraId="72627567">
      <w:pPr>
        <w:spacing w:line="276" w:lineRule="auto"/>
        <w:ind w:firstLine="480"/>
        <w:rPr>
          <w:rFonts w:ascii="仿宋" w:hAnsi="仿宋" w:eastAsia="仿宋"/>
          <w:sz w:val="24"/>
          <w:szCs w:val="24"/>
        </w:rPr>
      </w:pPr>
      <w:r>
        <w:rPr>
          <w:rFonts w:hint="eastAsia" w:ascii="仿宋" w:hAnsi="仿宋" w:eastAsia="仿宋"/>
          <w:sz w:val="24"/>
          <w:szCs w:val="24"/>
        </w:rPr>
        <w:t>在系统启动或者运行过程中，特别是一个功能模块转换到另一个功能模块时应无明显的时间延迟现象，更不能有明显停止等待的状态；对于超出响应时间要求的响应应能提供进度条或图标等方式告诉系统使用者需等待的时间；应充分</w:t>
      </w:r>
      <w:r>
        <w:rPr>
          <w:rFonts w:ascii="仿宋" w:hAnsi="仿宋" w:eastAsia="仿宋"/>
          <w:sz w:val="24"/>
          <w:szCs w:val="24"/>
        </w:rPr>
        <w:t>估计网络流量，根据硬件能力限制网络会话的最大数目，保证网络服务质量</w:t>
      </w:r>
      <w:r>
        <w:rPr>
          <w:rFonts w:hint="eastAsia" w:ascii="仿宋" w:hAnsi="仿宋" w:eastAsia="仿宋"/>
          <w:sz w:val="24"/>
          <w:szCs w:val="24"/>
        </w:rPr>
        <w:t>；在系统功能设计、数据库设计及开发技术的选择中要充分考虑运行时的系统承受能力，保证系统录入、修改、统计等功能的系统响应速度。要求满足200个用户并发访问，平均响应时间小于</w:t>
      </w:r>
      <w:r>
        <w:rPr>
          <w:rFonts w:ascii="仿宋" w:hAnsi="仿宋" w:eastAsia="仿宋"/>
          <w:sz w:val="24"/>
          <w:szCs w:val="24"/>
        </w:rPr>
        <w:t>3</w:t>
      </w:r>
      <w:r>
        <w:rPr>
          <w:rFonts w:hint="eastAsia" w:ascii="仿宋" w:hAnsi="仿宋" w:eastAsia="仿宋"/>
          <w:sz w:val="24"/>
          <w:szCs w:val="24"/>
        </w:rPr>
        <w:t>秒，大数据量数据查询平均响应时间小于15秒</w:t>
      </w:r>
    </w:p>
    <w:p w14:paraId="72157C4A">
      <w:pPr>
        <w:spacing w:line="276" w:lineRule="auto"/>
        <w:ind w:firstLine="480"/>
        <w:rPr>
          <w:rFonts w:ascii="仿宋" w:hAnsi="仿宋" w:eastAsia="仿宋"/>
          <w:sz w:val="24"/>
          <w:szCs w:val="24"/>
        </w:rPr>
      </w:pPr>
      <w:r>
        <w:rPr>
          <w:rFonts w:hint="eastAsia" w:ascii="仿宋" w:hAnsi="仿宋" w:eastAsia="仿宋"/>
          <w:sz w:val="24"/>
          <w:szCs w:val="24"/>
        </w:rPr>
        <w:t>（3）灵活性</w:t>
      </w:r>
    </w:p>
    <w:p w14:paraId="295FF118">
      <w:pPr>
        <w:spacing w:line="276" w:lineRule="auto"/>
        <w:ind w:firstLine="480"/>
        <w:rPr>
          <w:rFonts w:ascii="仿宋" w:hAnsi="仿宋" w:eastAsia="仿宋"/>
          <w:sz w:val="24"/>
          <w:szCs w:val="24"/>
        </w:rPr>
      </w:pPr>
      <w:r>
        <w:rPr>
          <w:rFonts w:hint="eastAsia" w:ascii="仿宋" w:hAnsi="仿宋" w:eastAsia="仿宋"/>
          <w:sz w:val="24"/>
          <w:szCs w:val="24"/>
        </w:rPr>
        <w:t>系统要有足够的灵活性，其数据的格式和用户界面以及使用功能等需满足各用户的需求。</w:t>
      </w:r>
    </w:p>
    <w:p w14:paraId="070535C5">
      <w:pPr>
        <w:pStyle w:val="3"/>
        <w:spacing w:line="276" w:lineRule="auto"/>
        <w:rPr>
          <w:rFonts w:ascii="仿宋" w:hAnsi="仿宋"/>
          <w:sz w:val="24"/>
          <w:szCs w:val="24"/>
        </w:rPr>
      </w:pPr>
      <w:bookmarkStart w:id="15" w:name="_Toc306958157"/>
      <w:bookmarkStart w:id="16" w:name="_Toc322336711"/>
      <w:bookmarkStart w:id="17" w:name="_Toc200172626"/>
      <w:r>
        <w:rPr>
          <w:rFonts w:hint="eastAsia" w:ascii="仿宋" w:hAnsi="仿宋"/>
          <w:sz w:val="24"/>
          <w:szCs w:val="24"/>
        </w:rPr>
        <w:t>系统架构与运行环境</w:t>
      </w:r>
    </w:p>
    <w:p w14:paraId="6E78AF7B">
      <w:pPr>
        <w:spacing w:line="276" w:lineRule="auto"/>
        <w:ind w:firstLine="480"/>
        <w:rPr>
          <w:rFonts w:ascii="仿宋" w:hAnsi="仿宋" w:eastAsia="仿宋"/>
          <w:sz w:val="24"/>
          <w:szCs w:val="24"/>
        </w:rPr>
      </w:pPr>
      <w:r>
        <w:rPr>
          <w:rFonts w:hint="eastAsia" w:ascii="仿宋" w:hAnsi="仿宋" w:eastAsia="仿宋"/>
          <w:sz w:val="24"/>
          <w:szCs w:val="24"/>
        </w:rPr>
        <w:t>本项目为上海市环境监测中心政务系统整合方案“三大系统”中“环境质量监测及预警系统”的一项重要建设任务，是环境质量监测及预警管理的核心系统。</w:t>
      </w:r>
      <w:r>
        <w:rPr>
          <w:rFonts w:ascii="仿宋" w:hAnsi="仿宋" w:eastAsia="仿宋"/>
          <w:sz w:val="24"/>
          <w:szCs w:val="24"/>
        </w:rPr>
        <w:t>本系统建设应符合</w:t>
      </w:r>
      <w:r>
        <w:rPr>
          <w:rFonts w:hint="eastAsia" w:ascii="仿宋" w:hAnsi="仿宋" w:eastAsia="仿宋"/>
          <w:sz w:val="24"/>
          <w:szCs w:val="24"/>
        </w:rPr>
        <w:t>“六统一”要求，使用跨平台开发框架，前后端分离，RESTful接口风格，使用集群部署提升系统的并发数和性能，基于OLAP类型列式数据库的数据治理和挖掘流程，既</w:t>
      </w:r>
      <w:r>
        <w:rPr>
          <w:rFonts w:ascii="仿宋" w:hAnsi="仿宋" w:eastAsia="仿宋"/>
          <w:sz w:val="24"/>
          <w:szCs w:val="24"/>
        </w:rPr>
        <w:t>保证与原系统的延续与功能衔接，又能适用于部署在</w:t>
      </w:r>
      <w:r>
        <w:rPr>
          <w:rFonts w:hint="eastAsia" w:ascii="仿宋" w:hAnsi="仿宋" w:eastAsia="仿宋"/>
          <w:sz w:val="24"/>
          <w:szCs w:val="24"/>
        </w:rPr>
        <w:t>政务云上的</w:t>
      </w:r>
      <w:r>
        <w:rPr>
          <w:rFonts w:ascii="仿宋" w:hAnsi="仿宋" w:eastAsia="仿宋"/>
          <w:sz w:val="24"/>
          <w:szCs w:val="24"/>
        </w:rPr>
        <w:t>国产化</w:t>
      </w:r>
      <w:r>
        <w:rPr>
          <w:rFonts w:hint="eastAsia" w:ascii="仿宋" w:hAnsi="仿宋" w:eastAsia="仿宋"/>
          <w:sz w:val="24"/>
          <w:szCs w:val="24"/>
        </w:rPr>
        <w:t>资源。</w:t>
      </w:r>
    </w:p>
    <w:p w14:paraId="78CCA75E">
      <w:pPr>
        <w:pStyle w:val="3"/>
        <w:spacing w:line="276" w:lineRule="auto"/>
        <w:rPr>
          <w:rFonts w:ascii="仿宋" w:hAnsi="仿宋"/>
          <w:sz w:val="24"/>
          <w:szCs w:val="24"/>
        </w:rPr>
      </w:pPr>
      <w:r>
        <w:rPr>
          <w:rFonts w:hint="eastAsia" w:ascii="仿宋" w:hAnsi="仿宋"/>
          <w:sz w:val="24"/>
          <w:szCs w:val="24"/>
        </w:rPr>
        <w:t>项目建设方案要求</w:t>
      </w:r>
    </w:p>
    <w:p w14:paraId="5BD586CC">
      <w:pPr>
        <w:widowControl/>
        <w:spacing w:line="276" w:lineRule="auto"/>
        <w:ind w:firstLine="480"/>
        <w:jc w:val="left"/>
        <w:rPr>
          <w:rFonts w:ascii="仿宋" w:hAnsi="仿宋" w:eastAsia="仿宋"/>
          <w:sz w:val="24"/>
          <w:szCs w:val="24"/>
        </w:rPr>
      </w:pPr>
      <w:r>
        <w:rPr>
          <w:rFonts w:hint="eastAsia" w:ascii="仿宋" w:hAnsi="仿宋" w:eastAsia="仿宋"/>
          <w:sz w:val="24"/>
          <w:szCs w:val="24"/>
        </w:rPr>
        <w:t>在响应系统建设方案中，供应商需明确系统整体方案、构架图、网络图、业务流程图及详细说明等。</w:t>
      </w:r>
    </w:p>
    <w:p w14:paraId="1CD0BE2C">
      <w:pPr>
        <w:pStyle w:val="3"/>
        <w:spacing w:line="276" w:lineRule="auto"/>
        <w:rPr>
          <w:rFonts w:ascii="仿宋" w:hAnsi="仿宋"/>
          <w:sz w:val="24"/>
          <w:szCs w:val="24"/>
        </w:rPr>
      </w:pPr>
      <w:r>
        <w:rPr>
          <w:rFonts w:hint="eastAsia" w:ascii="仿宋" w:hAnsi="仿宋"/>
          <w:sz w:val="24"/>
          <w:szCs w:val="24"/>
        </w:rPr>
        <w:t>项目组织管理</w:t>
      </w:r>
      <w:bookmarkEnd w:id="15"/>
      <w:bookmarkEnd w:id="16"/>
      <w:bookmarkEnd w:id="17"/>
      <w:r>
        <w:rPr>
          <w:rFonts w:hint="eastAsia" w:ascii="仿宋" w:hAnsi="仿宋"/>
          <w:sz w:val="24"/>
          <w:szCs w:val="24"/>
        </w:rPr>
        <w:t>要求</w:t>
      </w:r>
    </w:p>
    <w:p w14:paraId="151D4312">
      <w:pPr>
        <w:spacing w:line="276" w:lineRule="auto"/>
        <w:ind w:firstLine="480"/>
        <w:rPr>
          <w:rFonts w:ascii="仿宋" w:hAnsi="仿宋" w:eastAsia="仿宋"/>
          <w:sz w:val="24"/>
          <w:szCs w:val="24"/>
        </w:rPr>
      </w:pPr>
      <w:r>
        <w:rPr>
          <w:rFonts w:hint="eastAsia" w:ascii="仿宋" w:hAnsi="仿宋" w:eastAsia="仿宋"/>
          <w:sz w:val="24"/>
          <w:szCs w:val="24"/>
        </w:rPr>
        <w:t>投标人应充分考虑满足投标项目的建设要求，提出完整的项目管理、系统培训等方案；必须重视对各类文档的管理，建立中间环节和文档的内部测试审核制度，并在项目建设过程中严格执行。</w:t>
      </w:r>
    </w:p>
    <w:p w14:paraId="171FB831">
      <w:pPr>
        <w:spacing w:line="276" w:lineRule="auto"/>
        <w:ind w:firstLine="480"/>
        <w:rPr>
          <w:rFonts w:ascii="仿宋" w:hAnsi="仿宋" w:eastAsia="仿宋"/>
          <w:sz w:val="24"/>
          <w:szCs w:val="24"/>
        </w:rPr>
      </w:pPr>
      <w:r>
        <w:rPr>
          <w:rFonts w:hint="eastAsia" w:ascii="仿宋" w:hAnsi="仿宋" w:eastAsia="仿宋"/>
          <w:sz w:val="24"/>
          <w:szCs w:val="24"/>
        </w:rPr>
        <w:t>针对本项目提供不少于10人的项目服务团队（包括项目经理、技术负责人、研发等），项目经理应具备信息系统项目管理师高级证书或计算机专业技术高级职称证书，其他人员须具备相应的服务能力，并提供相关证明（最近一个季度任意一个月依法缴纳社保费的证明等）。</w:t>
      </w:r>
    </w:p>
    <w:p w14:paraId="480A1220">
      <w:pPr>
        <w:pStyle w:val="3"/>
        <w:spacing w:line="276" w:lineRule="auto"/>
        <w:rPr>
          <w:rFonts w:ascii="仿宋" w:hAnsi="仿宋"/>
          <w:sz w:val="24"/>
          <w:szCs w:val="24"/>
        </w:rPr>
      </w:pPr>
      <w:bookmarkStart w:id="18" w:name="_Toc306958158"/>
      <w:bookmarkStart w:id="19" w:name="_Toc322336712"/>
      <w:bookmarkStart w:id="20" w:name="_Toc200172627"/>
      <w:r>
        <w:rPr>
          <w:rFonts w:hint="eastAsia" w:ascii="仿宋" w:hAnsi="仿宋"/>
          <w:sz w:val="24"/>
          <w:szCs w:val="24"/>
        </w:rPr>
        <w:t>项目进度要求</w:t>
      </w:r>
      <w:bookmarkEnd w:id="18"/>
      <w:bookmarkEnd w:id="19"/>
      <w:bookmarkEnd w:id="20"/>
    </w:p>
    <w:p w14:paraId="6127A985">
      <w:pPr>
        <w:spacing w:line="276" w:lineRule="auto"/>
        <w:ind w:firstLine="480"/>
        <w:rPr>
          <w:rFonts w:ascii="仿宋" w:hAnsi="仿宋" w:eastAsia="仿宋"/>
          <w:sz w:val="24"/>
          <w:szCs w:val="24"/>
        </w:rPr>
      </w:pPr>
      <w:bookmarkStart w:id="30" w:name="_GoBack"/>
      <w:bookmarkEnd w:id="30"/>
      <w:r>
        <w:rPr>
          <w:rFonts w:hint="eastAsia" w:ascii="仿宋" w:hAnsi="仿宋" w:eastAsia="仿宋"/>
          <w:sz w:val="24"/>
          <w:szCs w:val="24"/>
        </w:rPr>
        <w:t>投标人一旦中标必须提交正式工作方案，明确招标项目工作的方式、过程步骤、按阶段分解的详细计划、对应计划应提交的工作成果、需要用户协调与配合的事项，并经用户审核、批准。</w:t>
      </w:r>
    </w:p>
    <w:p w14:paraId="524B1BE3">
      <w:pPr>
        <w:pStyle w:val="3"/>
        <w:spacing w:line="276" w:lineRule="auto"/>
        <w:rPr>
          <w:rFonts w:ascii="仿宋" w:hAnsi="仿宋"/>
          <w:sz w:val="24"/>
          <w:szCs w:val="24"/>
        </w:rPr>
      </w:pPr>
      <w:bookmarkStart w:id="21" w:name="_Toc322336714"/>
      <w:bookmarkStart w:id="22" w:name="_Toc200172629"/>
      <w:bookmarkStart w:id="23" w:name="_Toc306958160"/>
      <w:r>
        <w:rPr>
          <w:rFonts w:hint="eastAsia" w:ascii="仿宋" w:hAnsi="仿宋"/>
          <w:sz w:val="24"/>
          <w:szCs w:val="24"/>
        </w:rPr>
        <w:t>系统培训要求</w:t>
      </w:r>
      <w:bookmarkEnd w:id="21"/>
      <w:bookmarkEnd w:id="22"/>
      <w:bookmarkEnd w:id="23"/>
    </w:p>
    <w:p w14:paraId="73DC2A18">
      <w:pPr>
        <w:spacing w:line="276" w:lineRule="auto"/>
        <w:ind w:firstLine="480"/>
        <w:rPr>
          <w:rFonts w:ascii="仿宋" w:hAnsi="仿宋" w:eastAsia="仿宋"/>
          <w:sz w:val="24"/>
          <w:szCs w:val="24"/>
        </w:rPr>
      </w:pPr>
      <w:r>
        <w:rPr>
          <w:rFonts w:hint="eastAsia" w:ascii="仿宋" w:hAnsi="仿宋" w:eastAsia="仿宋"/>
          <w:sz w:val="24"/>
          <w:szCs w:val="24"/>
        </w:rPr>
        <w:t>投标人必须提供满足系统建设、管理、维护等要求的技术培训服务，并达到预定的培训目标。</w:t>
      </w:r>
    </w:p>
    <w:p w14:paraId="12D60A4E">
      <w:pPr>
        <w:pStyle w:val="3"/>
        <w:spacing w:line="276" w:lineRule="auto"/>
        <w:rPr>
          <w:rFonts w:ascii="仿宋" w:hAnsi="仿宋"/>
          <w:sz w:val="24"/>
          <w:szCs w:val="24"/>
        </w:rPr>
      </w:pPr>
      <w:bookmarkStart w:id="24" w:name="_Toc322336715"/>
      <w:bookmarkStart w:id="25" w:name="_Toc200172630"/>
      <w:bookmarkStart w:id="26" w:name="_Toc306958161"/>
      <w:r>
        <w:rPr>
          <w:rFonts w:hint="eastAsia" w:ascii="仿宋" w:hAnsi="仿宋"/>
          <w:sz w:val="24"/>
          <w:szCs w:val="24"/>
        </w:rPr>
        <w:t>售后服务要求</w:t>
      </w:r>
      <w:bookmarkEnd w:id="24"/>
      <w:bookmarkEnd w:id="25"/>
      <w:bookmarkEnd w:id="26"/>
    </w:p>
    <w:p w14:paraId="2CFFEB82">
      <w:pPr>
        <w:spacing w:line="276" w:lineRule="auto"/>
        <w:ind w:firstLine="480"/>
        <w:rPr>
          <w:rFonts w:ascii="仿宋" w:hAnsi="仿宋" w:eastAsia="仿宋"/>
          <w:sz w:val="24"/>
          <w:szCs w:val="24"/>
        </w:rPr>
      </w:pPr>
      <w:r>
        <w:rPr>
          <w:rFonts w:hint="eastAsia" w:ascii="仿宋" w:hAnsi="仿宋" w:eastAsia="仿宋"/>
          <w:sz w:val="24"/>
          <w:szCs w:val="24"/>
        </w:rPr>
        <w:t>投标人应确保其技术建议，以及所提供的软件产品的完整性和可用性，保证所提供的软件产品能够按时投入正常运行。若出现由于投标人提供的软件产品不满足要求或其所提供的技术支持和服务不全面而导致系统功能无法按时实现或不能完全按时实现，由投标人负全部责任。服务要求：</w:t>
      </w:r>
    </w:p>
    <w:p w14:paraId="6ED96ADA">
      <w:pPr>
        <w:numPr>
          <w:ilvl w:val="0"/>
          <w:numId w:val="3"/>
        </w:numPr>
        <w:tabs>
          <w:tab w:val="left" w:pos="420"/>
        </w:tabs>
        <w:spacing w:line="276" w:lineRule="auto"/>
        <w:ind w:left="0" w:firstLine="480" w:firstLineChars="200"/>
        <w:rPr>
          <w:rFonts w:ascii="仿宋" w:hAnsi="仿宋" w:eastAsia="仿宋"/>
          <w:sz w:val="24"/>
          <w:szCs w:val="24"/>
        </w:rPr>
      </w:pPr>
      <w:r>
        <w:rPr>
          <w:rFonts w:hint="eastAsia" w:ascii="仿宋" w:hAnsi="仿宋" w:eastAsia="仿宋"/>
          <w:sz w:val="24"/>
          <w:szCs w:val="24"/>
        </w:rPr>
        <w:t>软件产品均提供不低于一年的免费质保期，质保期自验收合格，双方签字之日起计算。质保期外投标人应为用户免费提供软件技术及商务咨询服务。</w:t>
      </w:r>
    </w:p>
    <w:p w14:paraId="3D0DC689">
      <w:pPr>
        <w:numPr>
          <w:ilvl w:val="0"/>
          <w:numId w:val="3"/>
        </w:numPr>
        <w:tabs>
          <w:tab w:val="left" w:pos="420"/>
        </w:tabs>
        <w:spacing w:line="276" w:lineRule="auto"/>
        <w:ind w:left="0" w:firstLine="480" w:firstLineChars="200"/>
        <w:rPr>
          <w:rFonts w:ascii="仿宋" w:hAnsi="仿宋" w:eastAsia="仿宋"/>
          <w:sz w:val="24"/>
          <w:szCs w:val="24"/>
        </w:rPr>
      </w:pPr>
      <w:r>
        <w:rPr>
          <w:rFonts w:hint="eastAsia" w:ascii="仿宋" w:hAnsi="仿宋" w:eastAsia="仿宋"/>
          <w:sz w:val="24"/>
          <w:szCs w:val="24"/>
        </w:rPr>
        <w:t>电话咨询：必须为用户提供技术援助电话，解答用户在设备使用中遇到的问题，及时提出解决问题的建议和操作方法。</w:t>
      </w:r>
    </w:p>
    <w:p w14:paraId="65303DC2">
      <w:pPr>
        <w:numPr>
          <w:ilvl w:val="0"/>
          <w:numId w:val="3"/>
        </w:numPr>
        <w:tabs>
          <w:tab w:val="left" w:pos="420"/>
        </w:tabs>
        <w:spacing w:line="276" w:lineRule="auto"/>
        <w:ind w:left="0" w:firstLine="480" w:firstLineChars="200"/>
        <w:rPr>
          <w:rFonts w:ascii="仿宋" w:hAnsi="仿宋" w:eastAsia="仿宋"/>
          <w:sz w:val="24"/>
          <w:szCs w:val="24"/>
        </w:rPr>
      </w:pPr>
      <w:r>
        <w:rPr>
          <w:rFonts w:hint="eastAsia" w:ascii="仿宋" w:hAnsi="仿宋" w:eastAsia="仿宋"/>
          <w:sz w:val="24"/>
          <w:szCs w:val="24"/>
        </w:rPr>
        <w:t>故障响应：遇到重大技术问题，无法在4小时内修复的，投标人应在1小时内响应，并在24小时内采取相应措施以确保系统正常操作。无法在24小时内解决的，必须提供解决时间表，提供备用方案。如果投标人在接到通知后未及时做出响应，投标人必须对由于系统故障所造成的损失后果负责。</w:t>
      </w:r>
    </w:p>
    <w:p w14:paraId="6CC354E5">
      <w:pPr>
        <w:numPr>
          <w:ilvl w:val="0"/>
          <w:numId w:val="3"/>
        </w:numPr>
        <w:tabs>
          <w:tab w:val="left" w:pos="420"/>
        </w:tabs>
        <w:spacing w:line="276" w:lineRule="auto"/>
        <w:ind w:left="0" w:firstLine="480" w:firstLineChars="200"/>
        <w:rPr>
          <w:rFonts w:ascii="仿宋" w:hAnsi="仿宋" w:eastAsia="仿宋"/>
          <w:sz w:val="24"/>
          <w:szCs w:val="24"/>
        </w:rPr>
      </w:pPr>
      <w:r>
        <w:rPr>
          <w:rFonts w:hint="eastAsia" w:ascii="仿宋" w:hAnsi="仿宋" w:eastAsia="仿宋"/>
          <w:sz w:val="24"/>
          <w:szCs w:val="24"/>
        </w:rPr>
        <w:t>远程服务：在网络链路畅通的情况下，提供网络远程维护服务，及时解决用户使用中出现的问题。</w:t>
      </w:r>
    </w:p>
    <w:p w14:paraId="60D65680">
      <w:pPr>
        <w:numPr>
          <w:ilvl w:val="0"/>
          <w:numId w:val="3"/>
        </w:numPr>
        <w:tabs>
          <w:tab w:val="left" w:pos="420"/>
        </w:tabs>
        <w:spacing w:line="276" w:lineRule="auto"/>
        <w:ind w:left="0" w:firstLine="480" w:firstLineChars="200"/>
        <w:rPr>
          <w:rFonts w:ascii="仿宋" w:hAnsi="仿宋" w:eastAsia="仿宋"/>
          <w:sz w:val="24"/>
          <w:szCs w:val="24"/>
        </w:rPr>
      </w:pPr>
      <w:r>
        <w:rPr>
          <w:rFonts w:hint="eastAsia" w:ascii="仿宋" w:hAnsi="仿宋" w:eastAsia="仿宋"/>
          <w:sz w:val="24"/>
          <w:szCs w:val="24"/>
        </w:rPr>
        <w:t>现场响应要求：</w:t>
      </w:r>
      <w:r>
        <w:rPr>
          <w:rFonts w:ascii="仿宋" w:hAnsi="仿宋" w:eastAsia="仿宋"/>
          <w:sz w:val="24"/>
          <w:szCs w:val="24"/>
        </w:rPr>
        <w:t>1小时电话支持</w:t>
      </w:r>
      <w:r>
        <w:rPr>
          <w:rFonts w:hint="eastAsia" w:ascii="仿宋" w:hAnsi="仿宋" w:eastAsia="仿宋"/>
          <w:sz w:val="24"/>
          <w:szCs w:val="24"/>
        </w:rPr>
        <w:t>，6小时到场。</w:t>
      </w:r>
    </w:p>
    <w:p w14:paraId="30A6D5AE">
      <w:pPr>
        <w:numPr>
          <w:ilvl w:val="0"/>
          <w:numId w:val="3"/>
        </w:numPr>
        <w:tabs>
          <w:tab w:val="left" w:pos="420"/>
        </w:tabs>
        <w:spacing w:line="276" w:lineRule="auto"/>
        <w:ind w:left="0" w:firstLine="480" w:firstLineChars="200"/>
        <w:rPr>
          <w:rFonts w:ascii="仿宋" w:hAnsi="仿宋" w:eastAsia="仿宋"/>
          <w:sz w:val="24"/>
          <w:szCs w:val="24"/>
        </w:rPr>
      </w:pPr>
      <w:r>
        <w:rPr>
          <w:rFonts w:hint="eastAsia" w:ascii="仿宋" w:hAnsi="仿宋" w:eastAsia="仿宋"/>
          <w:sz w:val="24"/>
          <w:szCs w:val="24"/>
        </w:rPr>
        <w:t>投标人必须根据本次招标文件所制定的目标和范围，提出相应的售后服务方案，并作为投标文件的一部分提交。</w:t>
      </w:r>
    </w:p>
    <w:p w14:paraId="683342F3">
      <w:pPr>
        <w:pStyle w:val="3"/>
        <w:spacing w:line="276" w:lineRule="auto"/>
        <w:rPr>
          <w:rFonts w:ascii="仿宋" w:hAnsi="仿宋"/>
          <w:sz w:val="24"/>
          <w:szCs w:val="24"/>
        </w:rPr>
      </w:pPr>
      <w:bookmarkStart w:id="27" w:name="_Toc322336716"/>
      <w:bookmarkStart w:id="28" w:name="_Toc200172631"/>
      <w:bookmarkStart w:id="29" w:name="_Toc306958162"/>
      <w:r>
        <w:rPr>
          <w:rFonts w:hint="eastAsia" w:ascii="仿宋" w:hAnsi="仿宋"/>
          <w:sz w:val="24"/>
          <w:szCs w:val="24"/>
        </w:rPr>
        <w:t>技术文档要求</w:t>
      </w:r>
      <w:bookmarkEnd w:id="27"/>
      <w:bookmarkEnd w:id="28"/>
      <w:bookmarkEnd w:id="29"/>
    </w:p>
    <w:p w14:paraId="24713828">
      <w:pPr>
        <w:spacing w:line="276" w:lineRule="auto"/>
        <w:ind w:firstLine="480"/>
        <w:rPr>
          <w:rFonts w:ascii="仿宋" w:hAnsi="仿宋" w:eastAsia="仿宋"/>
          <w:sz w:val="24"/>
          <w:szCs w:val="24"/>
        </w:rPr>
      </w:pPr>
      <w:r>
        <w:rPr>
          <w:rFonts w:hint="eastAsia" w:ascii="仿宋" w:hAnsi="仿宋" w:eastAsia="仿宋"/>
          <w:sz w:val="24"/>
          <w:szCs w:val="24"/>
        </w:rPr>
        <w:t>投标人应提供满足用户需求的可用的系统功能，以及该系统所涉及的全部源代码和数据，需求说明书、业务流程分析、数据库设计、使用说明书等完整文档，包括但不仅限于《软件需求说明书》《概要设计说明书》《数据库设计说明书》《详细设计说明书》《测试计划》《测试分析报告》《操作手册》。</w:t>
      </w:r>
    </w:p>
    <w:p w14:paraId="30D27DC9">
      <w:pPr>
        <w:pStyle w:val="3"/>
        <w:spacing w:line="276" w:lineRule="auto"/>
        <w:rPr>
          <w:rFonts w:ascii="仿宋" w:hAnsi="仿宋"/>
          <w:sz w:val="24"/>
          <w:szCs w:val="24"/>
        </w:rPr>
      </w:pPr>
      <w:r>
        <w:rPr>
          <w:rFonts w:hint="eastAsia" w:ascii="仿宋" w:hAnsi="仿宋"/>
          <w:sz w:val="24"/>
          <w:szCs w:val="24"/>
        </w:rPr>
        <w:t>知识产权及保密要求</w:t>
      </w:r>
    </w:p>
    <w:p w14:paraId="7B45847D">
      <w:pPr>
        <w:widowControl/>
        <w:spacing w:line="276" w:lineRule="auto"/>
        <w:ind w:firstLine="480"/>
        <w:jc w:val="left"/>
        <w:outlineLvl w:val="2"/>
        <w:rPr>
          <w:rFonts w:ascii="仿宋" w:hAnsi="仿宋" w:eastAsia="仿宋"/>
          <w:sz w:val="24"/>
          <w:szCs w:val="24"/>
        </w:rPr>
      </w:pPr>
      <w:r>
        <w:rPr>
          <w:rFonts w:hint="eastAsia" w:ascii="仿宋" w:hAnsi="仿宋" w:eastAsia="仿宋"/>
          <w:sz w:val="24"/>
          <w:szCs w:val="24"/>
        </w:rPr>
        <w:t>（1）供应商数据、文件、资料知识产权</w:t>
      </w:r>
    </w:p>
    <w:p w14:paraId="6FFEE442">
      <w:pPr>
        <w:widowControl/>
        <w:spacing w:line="276" w:lineRule="auto"/>
        <w:ind w:firstLine="480"/>
        <w:jc w:val="left"/>
        <w:rPr>
          <w:rFonts w:ascii="仿宋" w:hAnsi="仿宋" w:eastAsia="仿宋"/>
          <w:sz w:val="24"/>
          <w:szCs w:val="24"/>
        </w:rPr>
      </w:pPr>
      <w:r>
        <w:rPr>
          <w:rFonts w:hint="eastAsia" w:ascii="仿宋" w:hAnsi="仿宋" w:eastAsia="仿宋"/>
          <w:sz w:val="24"/>
          <w:szCs w:val="24"/>
        </w:rPr>
        <w:t>供应商保证其所提供的服务和交付的成果以及在履行本项目义务中使用到的所有数据、文件、信息不会引起任何第三方在专利权、著作权、商标权等知识产权方面向采购人或采购人的关联方及合作方（包括但不限于采购人的主管单位和采购人的合作单位等）发出侵权指控或提出索赔。若有，供应商应负责与第三方解决纠纷，若因此导致采购人损失的，采购人有权要求供应商赔偿采购人因此遭受的全部损失，包括但不限于直接损失、间接损失、诉讼费／仲裁费、律师费、公证费、鉴定费等。</w:t>
      </w:r>
    </w:p>
    <w:p w14:paraId="0D7B8A32">
      <w:pPr>
        <w:widowControl/>
        <w:spacing w:line="276" w:lineRule="auto"/>
        <w:ind w:firstLine="480"/>
        <w:jc w:val="left"/>
        <w:rPr>
          <w:rFonts w:ascii="仿宋" w:hAnsi="仿宋" w:eastAsia="仿宋"/>
          <w:sz w:val="24"/>
          <w:szCs w:val="24"/>
        </w:rPr>
      </w:pPr>
      <w:r>
        <w:rPr>
          <w:rFonts w:hint="eastAsia" w:ascii="仿宋" w:hAnsi="仿宋" w:eastAsia="仿宋"/>
          <w:sz w:val="24"/>
          <w:szCs w:val="24"/>
        </w:rPr>
        <w:t>供应商因履行本项目而产生的所有成果的知识产权等权利均归采购人所有，供应商应配合采购人进行相关权利登记或申请。未经采购人书面同意，供应商不得以任何形式使用或许可他人使用本项目成果的相关内容，不得擅自对外公开发表或向任何第三方透露。</w:t>
      </w:r>
    </w:p>
    <w:p w14:paraId="63F1A948">
      <w:pPr>
        <w:widowControl/>
        <w:spacing w:line="276" w:lineRule="auto"/>
        <w:ind w:firstLine="480"/>
        <w:jc w:val="left"/>
        <w:rPr>
          <w:rFonts w:ascii="仿宋" w:hAnsi="仿宋" w:eastAsia="仿宋"/>
          <w:sz w:val="24"/>
          <w:szCs w:val="24"/>
        </w:rPr>
      </w:pPr>
      <w:r>
        <w:rPr>
          <w:rFonts w:hint="eastAsia" w:ascii="仿宋" w:hAnsi="仿宋" w:eastAsia="仿宋"/>
          <w:sz w:val="24"/>
          <w:szCs w:val="24"/>
        </w:rPr>
        <w:t>在不影响上述条款规定的由采购人取得所有成果的知识产权的前提下，双方因履行本项目而被授权接触或使用对方之知识产权（包括但不限于商标、专利、著作权等），和/或任何其他相关资料、数据等涉及的任何权利，均不视为向另一方转让上述权利或在本项目范围外授权许可另一方使用上述权利，上述权利仍应属于提供方，并仅可使用于本项目，被授权接触或使用方未经提供方书面同意，不得擅自挪作他用。</w:t>
      </w:r>
    </w:p>
    <w:p w14:paraId="3FEAF09E">
      <w:pPr>
        <w:widowControl/>
        <w:spacing w:line="276" w:lineRule="auto"/>
        <w:ind w:firstLine="480"/>
        <w:jc w:val="left"/>
        <w:outlineLvl w:val="2"/>
        <w:rPr>
          <w:rFonts w:ascii="仿宋" w:hAnsi="仿宋" w:eastAsia="仿宋"/>
          <w:sz w:val="24"/>
          <w:szCs w:val="24"/>
        </w:rPr>
      </w:pPr>
      <w:r>
        <w:rPr>
          <w:rFonts w:hint="eastAsia" w:ascii="仿宋" w:hAnsi="仿宋" w:eastAsia="仿宋"/>
          <w:sz w:val="24"/>
          <w:szCs w:val="24"/>
        </w:rPr>
        <w:t>（2）项目保密要求</w:t>
      </w:r>
    </w:p>
    <w:p w14:paraId="3496DCE0">
      <w:pPr>
        <w:widowControl/>
        <w:spacing w:line="276" w:lineRule="auto"/>
        <w:ind w:firstLine="480"/>
        <w:jc w:val="left"/>
        <w:rPr>
          <w:rFonts w:ascii="仿宋" w:hAnsi="仿宋" w:eastAsia="仿宋"/>
          <w:sz w:val="24"/>
          <w:szCs w:val="24"/>
        </w:rPr>
      </w:pPr>
      <w:r>
        <w:rPr>
          <w:rFonts w:hint="eastAsia" w:ascii="仿宋" w:hAnsi="仿宋" w:eastAsia="仿宋"/>
          <w:sz w:val="24"/>
          <w:szCs w:val="24"/>
        </w:rPr>
        <w:t>供应商因履行本项目而知悉的所有数据、信息和资料（包括但不限于账号信息、图表、文字、计算过程、任何形式的文件、访谈记录、现场实测数据、采购人相关工作程序等）以及因履行本项目而形成的数据、信息和任何形式的工作成果，均是采购人要求保密的信息。未经采购人书面同意，供应商不得对外泄露采购人要求保密的信息，不得用于其他用途，否则供应商需承担由此引起的法律责任和经济责任，包括但不限于直接损失、间接损失、律师费、诉讼费/仲裁费、调查费、公证费等。</w:t>
      </w:r>
    </w:p>
    <w:p w14:paraId="74705D49">
      <w:pPr>
        <w:widowControl/>
        <w:spacing w:line="276" w:lineRule="auto"/>
        <w:ind w:firstLine="480"/>
        <w:jc w:val="left"/>
        <w:rPr>
          <w:rFonts w:ascii="仿宋" w:hAnsi="仿宋" w:eastAsia="仿宋"/>
          <w:sz w:val="24"/>
          <w:szCs w:val="24"/>
        </w:rPr>
      </w:pPr>
      <w:r>
        <w:rPr>
          <w:rFonts w:hint="eastAsia" w:ascii="仿宋" w:hAnsi="仿宋" w:eastAsia="仿宋"/>
          <w:sz w:val="24"/>
          <w:szCs w:val="24"/>
        </w:rPr>
        <w:t>供应商应采取必要的有效措施保证其参与本项目的人员（包括供应商聘用的人员、借调的人员、实习的人员）无论是在职或离职后，以及供应商的合作方无论是合作中或合作终止后，都能够履行本项目约定的保密义务。若供应商人员或供应商合作方违反保密规定，供应商应承担连带责任。</w:t>
      </w:r>
    </w:p>
    <w:p w14:paraId="7B531EF2">
      <w:pPr>
        <w:widowControl/>
        <w:spacing w:line="276" w:lineRule="auto"/>
        <w:ind w:firstLine="480"/>
        <w:jc w:val="left"/>
        <w:rPr>
          <w:rFonts w:ascii="仿宋" w:hAnsi="仿宋" w:eastAsia="仿宋"/>
          <w:sz w:val="24"/>
          <w:szCs w:val="24"/>
        </w:rPr>
      </w:pPr>
      <w:r>
        <w:rPr>
          <w:rFonts w:hint="eastAsia" w:ascii="仿宋" w:hAnsi="仿宋" w:eastAsia="仿宋"/>
          <w:sz w:val="24"/>
          <w:szCs w:val="24"/>
        </w:rPr>
        <w:t>供应商（含供应商参与本项目的人员以及其合作方）未经采购方书面许可，不得以任何形式自行使用或以任何方式向第三方披露、转让、授权、出售与本项目有关的技术成果、计算机软件、源代码、策划文档、技术诀窍、秘密信息、技术资料和其他文件。</w:t>
      </w:r>
    </w:p>
    <w:p w14:paraId="63346513">
      <w:pPr>
        <w:widowControl/>
        <w:spacing w:line="276" w:lineRule="auto"/>
        <w:ind w:firstLine="480"/>
        <w:jc w:val="left"/>
        <w:rPr>
          <w:rFonts w:ascii="仿宋" w:hAnsi="仿宋" w:eastAsia="仿宋"/>
          <w:sz w:val="24"/>
          <w:szCs w:val="24"/>
        </w:rPr>
      </w:pPr>
      <w:r>
        <w:rPr>
          <w:rFonts w:hint="eastAsia" w:ascii="仿宋" w:hAnsi="仿宋" w:eastAsia="仿宋"/>
          <w:sz w:val="24"/>
          <w:szCs w:val="24"/>
        </w:rPr>
        <w:t>以上内容的保密期限自供应商知悉保密信息起始至保密信息被合法公开之日止。</w:t>
      </w:r>
    </w:p>
    <w:p w14:paraId="7373944C">
      <w:pPr>
        <w:widowControl/>
        <w:spacing w:line="276" w:lineRule="auto"/>
        <w:ind w:firstLine="480"/>
        <w:jc w:val="left"/>
        <w:outlineLvl w:val="2"/>
        <w:rPr>
          <w:rFonts w:ascii="仿宋" w:hAnsi="仿宋" w:eastAsia="仿宋"/>
          <w:sz w:val="24"/>
          <w:szCs w:val="24"/>
        </w:rPr>
      </w:pPr>
      <w:r>
        <w:rPr>
          <w:rFonts w:hint="eastAsia" w:ascii="仿宋" w:hAnsi="仿宋" w:eastAsia="仿宋"/>
          <w:sz w:val="24"/>
          <w:szCs w:val="24"/>
        </w:rPr>
        <w:t>（3）临时账号等使用要求</w:t>
      </w:r>
    </w:p>
    <w:p w14:paraId="1FB52CC0">
      <w:pPr>
        <w:widowControl/>
        <w:spacing w:line="276" w:lineRule="auto"/>
        <w:ind w:firstLine="480"/>
        <w:jc w:val="left"/>
        <w:rPr>
          <w:rFonts w:ascii="仿宋" w:hAnsi="仿宋" w:eastAsia="仿宋"/>
          <w:sz w:val="24"/>
          <w:szCs w:val="24"/>
        </w:rPr>
      </w:pPr>
      <w:r>
        <w:rPr>
          <w:rFonts w:hint="eastAsia" w:ascii="仿宋" w:hAnsi="仿宋" w:eastAsia="仿宋"/>
          <w:sz w:val="24"/>
          <w:szCs w:val="24"/>
        </w:rPr>
        <w:t>供应商对采购人提拱的临时使用账号要保密，不得公开，对组件开发的账号密码需进行加密，避免信息安全的泄露。未经采购人的同意不得利用采购人的网络及平台进行短信、彩信、微信发送,造成的一切后果由供应商负责。</w:t>
      </w:r>
    </w:p>
    <w:p w14:paraId="39CB8B95">
      <w:pPr>
        <w:widowControl/>
        <w:ind w:left="-704" w:leftChars="-336" w:right="-764" w:rightChars="-364" w:hanging="2"/>
        <w:rPr>
          <w:rFonts w:ascii="仿宋" w:hAnsi="仿宋" w:eastAsia="仿宋"/>
          <w:b/>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等线 Light">
    <w:altName w:val="汉仪中宋简"/>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153A83"/>
    <w:multiLevelType w:val="multilevel"/>
    <w:tmpl w:val="23153A83"/>
    <w:lvl w:ilvl="0" w:tentative="0">
      <w:start w:val="1"/>
      <w:numFmt w:val="decimal"/>
      <w:pStyle w:val="2"/>
      <w:suff w:val="space"/>
      <w:lvlText w:val="%1."/>
      <w:lvlJc w:val="left"/>
      <w:pPr>
        <w:tabs>
          <w:tab w:val="left" w:pos="420"/>
        </w:tabs>
        <w:ind w:left="0" w:firstLine="0"/>
      </w:pPr>
      <w:rPr>
        <w:rFonts w:hint="default"/>
      </w:rPr>
    </w:lvl>
    <w:lvl w:ilvl="1" w:tentative="0">
      <w:start w:val="1"/>
      <w:numFmt w:val="decimal"/>
      <w:pStyle w:val="3"/>
      <w:suff w:val="space"/>
      <w:lvlText w:val="%1.%2."/>
      <w:lvlJc w:val="left"/>
      <w:pPr>
        <w:tabs>
          <w:tab w:val="left" w:pos="420"/>
        </w:tabs>
        <w:ind w:left="0" w:firstLine="0"/>
      </w:pPr>
      <w:rPr>
        <w:rFonts w:hint="default"/>
      </w:rPr>
    </w:lvl>
    <w:lvl w:ilvl="2" w:tentative="0">
      <w:start w:val="1"/>
      <w:numFmt w:val="decimal"/>
      <w:pStyle w:val="4"/>
      <w:suff w:val="space"/>
      <w:lvlText w:val="%1.%2.%3."/>
      <w:lvlJc w:val="left"/>
      <w:pPr>
        <w:tabs>
          <w:tab w:val="left" w:pos="420"/>
        </w:tabs>
        <w:ind w:left="0" w:firstLine="0"/>
      </w:pPr>
      <w:rPr>
        <w:rFonts w:hint="default"/>
      </w:rPr>
    </w:lvl>
    <w:lvl w:ilvl="3" w:tentative="0">
      <w:start w:val="1"/>
      <w:numFmt w:val="decimal"/>
      <w:pStyle w:val="5"/>
      <w:suff w:val="space"/>
      <w:lvlText w:val="%1.%2.%3.%4."/>
      <w:lvlJc w:val="left"/>
      <w:pPr>
        <w:tabs>
          <w:tab w:val="left" w:pos="420"/>
        </w:tabs>
        <w:ind w:left="0" w:firstLine="0"/>
      </w:pPr>
      <w:rPr>
        <w:rFonts w:hint="default"/>
      </w:rPr>
    </w:lvl>
    <w:lvl w:ilvl="4" w:tentative="0">
      <w:start w:val="1"/>
      <w:numFmt w:val="decimal"/>
      <w:pStyle w:val="6"/>
      <w:suff w:val="space"/>
      <w:lvlText w:val="%1.%2.%3.%4.%5."/>
      <w:lvlJc w:val="left"/>
      <w:pPr>
        <w:tabs>
          <w:tab w:val="left" w:pos="420"/>
        </w:tabs>
        <w:ind w:left="0" w:firstLine="0"/>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1">
    <w:nsid w:val="31B7717A"/>
    <w:multiLevelType w:val="multilevel"/>
    <w:tmpl w:val="31B7717A"/>
    <w:lvl w:ilvl="0" w:tentative="0">
      <w:start w:val="1"/>
      <w:numFmt w:val="bullet"/>
      <w:lvlText w:val=""/>
      <w:lvlJc w:val="left"/>
      <w:pPr>
        <w:ind w:left="842" w:hanging="420"/>
      </w:pPr>
      <w:rPr>
        <w:rFonts w:hint="default" w:ascii="Wingdings" w:hAnsi="Wingdings"/>
      </w:rPr>
    </w:lvl>
    <w:lvl w:ilvl="1" w:tentative="0">
      <w:start w:val="1"/>
      <w:numFmt w:val="bullet"/>
      <w:lvlText w:val=""/>
      <w:lvlJc w:val="left"/>
      <w:pPr>
        <w:ind w:left="1262" w:hanging="420"/>
      </w:pPr>
      <w:rPr>
        <w:rFonts w:hint="default" w:ascii="Wingdings" w:hAnsi="Wingdings"/>
      </w:rPr>
    </w:lvl>
    <w:lvl w:ilvl="2" w:tentative="0">
      <w:start w:val="1"/>
      <w:numFmt w:val="bullet"/>
      <w:lvlText w:val=""/>
      <w:lvlJc w:val="left"/>
      <w:pPr>
        <w:ind w:left="1682" w:hanging="420"/>
      </w:pPr>
      <w:rPr>
        <w:rFonts w:hint="default" w:ascii="Wingdings" w:hAnsi="Wingdings"/>
      </w:rPr>
    </w:lvl>
    <w:lvl w:ilvl="3" w:tentative="0">
      <w:start w:val="1"/>
      <w:numFmt w:val="bullet"/>
      <w:lvlText w:val=""/>
      <w:lvlJc w:val="left"/>
      <w:pPr>
        <w:ind w:left="2102" w:hanging="420"/>
      </w:pPr>
      <w:rPr>
        <w:rFonts w:hint="default" w:ascii="Wingdings" w:hAnsi="Wingdings"/>
      </w:rPr>
    </w:lvl>
    <w:lvl w:ilvl="4" w:tentative="0">
      <w:start w:val="1"/>
      <w:numFmt w:val="bullet"/>
      <w:lvlText w:val=""/>
      <w:lvlJc w:val="left"/>
      <w:pPr>
        <w:ind w:left="2522" w:hanging="420"/>
      </w:pPr>
      <w:rPr>
        <w:rFonts w:hint="default" w:ascii="Wingdings" w:hAnsi="Wingdings"/>
      </w:rPr>
    </w:lvl>
    <w:lvl w:ilvl="5" w:tentative="0">
      <w:start w:val="1"/>
      <w:numFmt w:val="bullet"/>
      <w:lvlText w:val=""/>
      <w:lvlJc w:val="left"/>
      <w:pPr>
        <w:ind w:left="2942" w:hanging="420"/>
      </w:pPr>
      <w:rPr>
        <w:rFonts w:hint="default" w:ascii="Wingdings" w:hAnsi="Wingdings"/>
      </w:rPr>
    </w:lvl>
    <w:lvl w:ilvl="6" w:tentative="0">
      <w:start w:val="1"/>
      <w:numFmt w:val="bullet"/>
      <w:lvlText w:val=""/>
      <w:lvlJc w:val="left"/>
      <w:pPr>
        <w:ind w:left="3362" w:hanging="420"/>
      </w:pPr>
      <w:rPr>
        <w:rFonts w:hint="default" w:ascii="Wingdings" w:hAnsi="Wingdings"/>
      </w:rPr>
    </w:lvl>
    <w:lvl w:ilvl="7" w:tentative="0">
      <w:start w:val="1"/>
      <w:numFmt w:val="bullet"/>
      <w:lvlText w:val=""/>
      <w:lvlJc w:val="left"/>
      <w:pPr>
        <w:ind w:left="3782" w:hanging="420"/>
      </w:pPr>
      <w:rPr>
        <w:rFonts w:hint="default" w:ascii="Wingdings" w:hAnsi="Wingdings"/>
      </w:rPr>
    </w:lvl>
    <w:lvl w:ilvl="8" w:tentative="0">
      <w:start w:val="1"/>
      <w:numFmt w:val="bullet"/>
      <w:lvlText w:val=""/>
      <w:lvlJc w:val="left"/>
      <w:pPr>
        <w:ind w:left="4202" w:hanging="420"/>
      </w:pPr>
      <w:rPr>
        <w:rFonts w:hint="default" w:ascii="Wingdings" w:hAnsi="Wingdings"/>
      </w:rPr>
    </w:lvl>
  </w:abstractNum>
  <w:abstractNum w:abstractNumId="2">
    <w:nsid w:val="6A160B39"/>
    <w:multiLevelType w:val="multilevel"/>
    <w:tmpl w:val="6A160B39"/>
    <w:lvl w:ilvl="0" w:tentative="0">
      <w:start w:val="1"/>
      <w:numFmt w:val="decimal"/>
      <w:lvlText w:val="（%1）"/>
      <w:lvlJc w:val="left"/>
      <w:pPr>
        <w:ind w:left="988" w:hanging="420"/>
      </w:pPr>
      <w:rPr>
        <w:rFonts w:hint="eastAsia"/>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D52"/>
    <w:rsid w:val="00066423"/>
    <w:rsid w:val="00087514"/>
    <w:rsid w:val="000B7592"/>
    <w:rsid w:val="000E741D"/>
    <w:rsid w:val="000F01B2"/>
    <w:rsid w:val="00137D69"/>
    <w:rsid w:val="001731F9"/>
    <w:rsid w:val="001D7B2E"/>
    <w:rsid w:val="002238BA"/>
    <w:rsid w:val="0024538C"/>
    <w:rsid w:val="00274EFF"/>
    <w:rsid w:val="00281DF3"/>
    <w:rsid w:val="002E5C2A"/>
    <w:rsid w:val="00312359"/>
    <w:rsid w:val="00330F2B"/>
    <w:rsid w:val="003556A2"/>
    <w:rsid w:val="00371CF3"/>
    <w:rsid w:val="003B134B"/>
    <w:rsid w:val="003B2494"/>
    <w:rsid w:val="004101B2"/>
    <w:rsid w:val="0041360B"/>
    <w:rsid w:val="00434515"/>
    <w:rsid w:val="004A0D52"/>
    <w:rsid w:val="004D2F5E"/>
    <w:rsid w:val="004F5CC2"/>
    <w:rsid w:val="00540DD4"/>
    <w:rsid w:val="0054730D"/>
    <w:rsid w:val="005854FD"/>
    <w:rsid w:val="005921E7"/>
    <w:rsid w:val="006000AD"/>
    <w:rsid w:val="006725EB"/>
    <w:rsid w:val="0068386D"/>
    <w:rsid w:val="006D54CB"/>
    <w:rsid w:val="006F7758"/>
    <w:rsid w:val="007130D9"/>
    <w:rsid w:val="0072042F"/>
    <w:rsid w:val="00723020"/>
    <w:rsid w:val="00734088"/>
    <w:rsid w:val="00747CF9"/>
    <w:rsid w:val="00754C96"/>
    <w:rsid w:val="007913FD"/>
    <w:rsid w:val="007A522D"/>
    <w:rsid w:val="007B03A3"/>
    <w:rsid w:val="007E43B8"/>
    <w:rsid w:val="007F7899"/>
    <w:rsid w:val="00820164"/>
    <w:rsid w:val="008A1850"/>
    <w:rsid w:val="008F6489"/>
    <w:rsid w:val="00911E2A"/>
    <w:rsid w:val="00993724"/>
    <w:rsid w:val="009A16B9"/>
    <w:rsid w:val="009E429F"/>
    <w:rsid w:val="00A04D17"/>
    <w:rsid w:val="00A15598"/>
    <w:rsid w:val="00A33C80"/>
    <w:rsid w:val="00A87F5C"/>
    <w:rsid w:val="00AA47CC"/>
    <w:rsid w:val="00AB18F2"/>
    <w:rsid w:val="00AD4EA8"/>
    <w:rsid w:val="00AE19C7"/>
    <w:rsid w:val="00AE5F6D"/>
    <w:rsid w:val="00B0325E"/>
    <w:rsid w:val="00B9513A"/>
    <w:rsid w:val="00BA1819"/>
    <w:rsid w:val="00BA4B39"/>
    <w:rsid w:val="00BF6A1C"/>
    <w:rsid w:val="00C131AC"/>
    <w:rsid w:val="00C15C89"/>
    <w:rsid w:val="00C22E1C"/>
    <w:rsid w:val="00C45F99"/>
    <w:rsid w:val="00C507A2"/>
    <w:rsid w:val="00C56A63"/>
    <w:rsid w:val="00C908AC"/>
    <w:rsid w:val="00CD7161"/>
    <w:rsid w:val="00CF1E78"/>
    <w:rsid w:val="00CF7C12"/>
    <w:rsid w:val="00D05652"/>
    <w:rsid w:val="00D4430F"/>
    <w:rsid w:val="00D77EE0"/>
    <w:rsid w:val="00D90715"/>
    <w:rsid w:val="00DD1CB7"/>
    <w:rsid w:val="00DD5460"/>
    <w:rsid w:val="00DE42D8"/>
    <w:rsid w:val="00E21787"/>
    <w:rsid w:val="00E623F1"/>
    <w:rsid w:val="00E738A3"/>
    <w:rsid w:val="00E83657"/>
    <w:rsid w:val="00E86770"/>
    <w:rsid w:val="00EB7FCF"/>
    <w:rsid w:val="00EF069D"/>
    <w:rsid w:val="00EF5A52"/>
    <w:rsid w:val="00F16D6C"/>
    <w:rsid w:val="00F20D87"/>
    <w:rsid w:val="00F317BD"/>
    <w:rsid w:val="00F5385C"/>
    <w:rsid w:val="00F86D66"/>
    <w:rsid w:val="00FC5246"/>
    <w:rsid w:val="00FC6658"/>
    <w:rsid w:val="00FE1274"/>
    <w:rsid w:val="00FE64F1"/>
    <w:rsid w:val="3D4ED86C"/>
    <w:rsid w:val="4AF0046D"/>
    <w:rsid w:val="57A53AD2"/>
    <w:rsid w:val="5BE6F281"/>
    <w:rsid w:val="7FDF52E7"/>
    <w:rsid w:val="9FBD8412"/>
    <w:rsid w:val="EEC799D3"/>
    <w:rsid w:val="F75FF732"/>
    <w:rsid w:val="FF74C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 w:semiHidden="0" w:name="heading 3"/>
    <w:lsdException w:qFormat="1" w:unhideWhenUsed="0" w:uiPriority="99" w:semiHidden="0" w:name="heading 4"/>
    <w:lsdException w:qFormat="1" w:unhideWhenUsed="0" w:uiPriority="9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link w:val="19"/>
    <w:qFormat/>
    <w:uiPriority w:val="9"/>
    <w:pPr>
      <w:keepNext/>
      <w:keepLines/>
      <w:numPr>
        <w:ilvl w:val="0"/>
        <w:numId w:val="1"/>
      </w:numPr>
      <w:spacing w:line="480" w:lineRule="auto"/>
      <w:outlineLvl w:val="0"/>
    </w:pPr>
    <w:rPr>
      <w:rFonts w:ascii="Arial" w:hAnsi="Arial" w:eastAsia="仿宋" w:cs="Times New Roman"/>
      <w:b/>
      <w:bCs/>
      <w:kern w:val="44"/>
      <w:sz w:val="28"/>
      <w:szCs w:val="28"/>
      <w:lang w:val="en-US" w:eastAsia="zh-CN" w:bidi="ar-SA"/>
    </w:rPr>
  </w:style>
  <w:style w:type="paragraph" w:styleId="3">
    <w:name w:val="heading 2"/>
    <w:next w:val="1"/>
    <w:link w:val="20"/>
    <w:qFormat/>
    <w:uiPriority w:val="99"/>
    <w:pPr>
      <w:numPr>
        <w:ilvl w:val="1"/>
        <w:numId w:val="1"/>
      </w:numPr>
      <w:spacing w:line="480" w:lineRule="auto"/>
      <w:outlineLvl w:val="1"/>
    </w:pPr>
    <w:rPr>
      <w:rFonts w:ascii="Arial" w:hAnsi="Arial" w:eastAsia="仿宋" w:cs="Times New Roman"/>
      <w:b/>
      <w:sz w:val="28"/>
      <w:szCs w:val="28"/>
      <w:lang w:val="en-US" w:eastAsia="zh-CN" w:bidi="ar-SA"/>
    </w:rPr>
  </w:style>
  <w:style w:type="paragraph" w:styleId="4">
    <w:name w:val="heading 3"/>
    <w:next w:val="1"/>
    <w:link w:val="21"/>
    <w:autoRedefine/>
    <w:qFormat/>
    <w:uiPriority w:val="9"/>
    <w:pPr>
      <w:numPr>
        <w:ilvl w:val="2"/>
        <w:numId w:val="1"/>
      </w:numPr>
      <w:adjustRightInd w:val="0"/>
      <w:spacing w:line="480" w:lineRule="auto"/>
      <w:outlineLvl w:val="2"/>
    </w:pPr>
    <w:rPr>
      <w:rFonts w:ascii="Arial" w:hAnsi="Arial" w:eastAsia="仿宋" w:cs="Times New Roman"/>
      <w:b/>
      <w:bCs/>
      <w:sz w:val="24"/>
      <w:szCs w:val="24"/>
      <w:lang w:val="en-US" w:eastAsia="zh-CN" w:bidi="ar-SA"/>
    </w:rPr>
  </w:style>
  <w:style w:type="paragraph" w:styleId="5">
    <w:name w:val="heading 4"/>
    <w:next w:val="1"/>
    <w:link w:val="22"/>
    <w:qFormat/>
    <w:uiPriority w:val="99"/>
    <w:pPr>
      <w:keepNext/>
      <w:keepLines/>
      <w:numPr>
        <w:ilvl w:val="3"/>
        <w:numId w:val="1"/>
      </w:numPr>
      <w:spacing w:line="480" w:lineRule="auto"/>
      <w:outlineLvl w:val="3"/>
    </w:pPr>
    <w:rPr>
      <w:rFonts w:ascii="Arial" w:hAnsi="Arial" w:eastAsia="仿宋" w:cs="Times New Roman"/>
      <w:b/>
      <w:bCs/>
      <w:sz w:val="24"/>
      <w:szCs w:val="24"/>
      <w:lang w:val="en-US" w:eastAsia="zh-CN" w:bidi="ar-SA"/>
    </w:rPr>
  </w:style>
  <w:style w:type="paragraph" w:styleId="6">
    <w:name w:val="heading 5"/>
    <w:next w:val="1"/>
    <w:link w:val="23"/>
    <w:qFormat/>
    <w:uiPriority w:val="99"/>
    <w:pPr>
      <w:keepNext/>
      <w:keepLines/>
      <w:numPr>
        <w:ilvl w:val="4"/>
        <w:numId w:val="1"/>
      </w:numPr>
      <w:spacing w:line="480" w:lineRule="auto"/>
      <w:outlineLvl w:val="4"/>
    </w:pPr>
    <w:rPr>
      <w:rFonts w:ascii="Arial" w:hAnsi="Arial" w:eastAsia="仿宋" w:cs="Times New Roman"/>
      <w:b/>
      <w:bCs/>
      <w:sz w:val="24"/>
      <w:szCs w:val="24"/>
      <w:lang w:val="en-US" w:eastAsia="zh-CN" w:bidi="ar-SA"/>
    </w:rPr>
  </w:style>
  <w:style w:type="paragraph" w:styleId="7">
    <w:name w:val="heading 6"/>
    <w:basedOn w:val="1"/>
    <w:next w:val="1"/>
    <w:link w:val="24"/>
    <w:qFormat/>
    <w:uiPriority w:val="0"/>
    <w:pPr>
      <w:keepNext/>
      <w:keepLines/>
      <w:numPr>
        <w:ilvl w:val="5"/>
        <w:numId w:val="1"/>
      </w:numPr>
      <w:spacing w:before="240" w:after="64" w:line="320" w:lineRule="auto"/>
      <w:ind w:firstLine="0"/>
      <w:outlineLvl w:val="5"/>
    </w:pPr>
    <w:rPr>
      <w:rFonts w:ascii="等线 Light" w:hAnsi="等线 Light" w:eastAsia="等线 Light" w:cs="Times New Roman"/>
      <w:b/>
      <w:bCs/>
      <w:sz w:val="28"/>
      <w:szCs w:val="24"/>
    </w:rPr>
  </w:style>
  <w:style w:type="paragraph" w:styleId="8">
    <w:name w:val="heading 7"/>
    <w:basedOn w:val="1"/>
    <w:next w:val="1"/>
    <w:link w:val="25"/>
    <w:qFormat/>
    <w:uiPriority w:val="0"/>
    <w:pPr>
      <w:keepNext/>
      <w:keepLines/>
      <w:numPr>
        <w:ilvl w:val="6"/>
        <w:numId w:val="1"/>
      </w:numPr>
      <w:spacing w:before="240" w:after="64" w:line="320" w:lineRule="auto"/>
      <w:ind w:firstLine="0"/>
      <w:outlineLvl w:val="6"/>
    </w:pPr>
    <w:rPr>
      <w:rFonts w:ascii="Arial" w:hAnsi="Arial" w:eastAsia="仿宋" w:cs="Times New Roman"/>
      <w:b/>
      <w:bCs/>
      <w:sz w:val="24"/>
      <w:szCs w:val="24"/>
    </w:rPr>
  </w:style>
  <w:style w:type="paragraph" w:styleId="9">
    <w:name w:val="heading 8"/>
    <w:basedOn w:val="1"/>
    <w:next w:val="1"/>
    <w:link w:val="26"/>
    <w:qFormat/>
    <w:uiPriority w:val="0"/>
    <w:pPr>
      <w:keepNext/>
      <w:keepLines/>
      <w:numPr>
        <w:ilvl w:val="7"/>
        <w:numId w:val="1"/>
      </w:numPr>
      <w:spacing w:before="240" w:after="64" w:line="320" w:lineRule="auto"/>
      <w:ind w:firstLine="0"/>
      <w:outlineLvl w:val="7"/>
    </w:pPr>
    <w:rPr>
      <w:rFonts w:ascii="等线 Light" w:hAnsi="等线 Light" w:eastAsia="等线 Light" w:cs="Times New Roman"/>
      <w:sz w:val="24"/>
      <w:szCs w:val="24"/>
    </w:rPr>
  </w:style>
  <w:style w:type="paragraph" w:styleId="10">
    <w:name w:val="heading 9"/>
    <w:basedOn w:val="1"/>
    <w:next w:val="1"/>
    <w:link w:val="27"/>
    <w:qFormat/>
    <w:uiPriority w:val="0"/>
    <w:pPr>
      <w:keepNext/>
      <w:keepLines/>
      <w:numPr>
        <w:ilvl w:val="8"/>
        <w:numId w:val="1"/>
      </w:numPr>
      <w:spacing w:before="240" w:after="64" w:line="320" w:lineRule="auto"/>
      <w:ind w:firstLine="0"/>
      <w:outlineLvl w:val="8"/>
    </w:pPr>
    <w:rPr>
      <w:rFonts w:ascii="等线 Light" w:hAnsi="等线 Light" w:eastAsia="等线 Light" w:cs="Times New Roman"/>
      <w:sz w:val="24"/>
      <w:szCs w:val="21"/>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semiHidden/>
    <w:unhideWhenUsed/>
    <w:qFormat/>
    <w:uiPriority w:val="99"/>
    <w:pPr>
      <w:jc w:val="left"/>
    </w:pPr>
  </w:style>
  <w:style w:type="paragraph" w:styleId="12">
    <w:name w:val="footer"/>
    <w:basedOn w:val="1"/>
    <w:link w:val="18"/>
    <w:unhideWhenUsed/>
    <w:qFormat/>
    <w:uiPriority w:val="99"/>
    <w:pPr>
      <w:tabs>
        <w:tab w:val="center" w:pos="4153"/>
        <w:tab w:val="right" w:pos="8306"/>
      </w:tabs>
      <w:snapToGrid w:val="0"/>
      <w:jc w:val="left"/>
    </w:pPr>
    <w:rPr>
      <w:sz w:val="18"/>
      <w:szCs w:val="18"/>
    </w:rPr>
  </w:style>
  <w:style w:type="paragraph" w:styleId="13">
    <w:name w:val="header"/>
    <w:basedOn w:val="1"/>
    <w:link w:val="17"/>
    <w:unhideWhenUsed/>
    <w:qFormat/>
    <w:uiPriority w:val="99"/>
    <w:pPr>
      <w:tabs>
        <w:tab w:val="center" w:pos="4153"/>
        <w:tab w:val="right" w:pos="8306"/>
      </w:tabs>
      <w:snapToGrid w:val="0"/>
      <w:jc w:val="center"/>
    </w:pPr>
    <w:rPr>
      <w:sz w:val="18"/>
      <w:szCs w:val="18"/>
    </w:rPr>
  </w:style>
  <w:style w:type="character" w:styleId="16">
    <w:name w:val="annotation reference"/>
    <w:basedOn w:val="15"/>
    <w:semiHidden/>
    <w:unhideWhenUsed/>
    <w:qFormat/>
    <w:uiPriority w:val="99"/>
    <w:rPr>
      <w:sz w:val="21"/>
      <w:szCs w:val="21"/>
    </w:rPr>
  </w:style>
  <w:style w:type="character" w:customStyle="1" w:styleId="17">
    <w:name w:val="页眉 字符"/>
    <w:basedOn w:val="15"/>
    <w:link w:val="13"/>
    <w:qFormat/>
    <w:uiPriority w:val="99"/>
    <w:rPr>
      <w:sz w:val="18"/>
      <w:szCs w:val="18"/>
    </w:rPr>
  </w:style>
  <w:style w:type="character" w:customStyle="1" w:styleId="18">
    <w:name w:val="页脚 字符"/>
    <w:basedOn w:val="15"/>
    <w:link w:val="12"/>
    <w:qFormat/>
    <w:uiPriority w:val="99"/>
    <w:rPr>
      <w:sz w:val="18"/>
      <w:szCs w:val="18"/>
    </w:rPr>
  </w:style>
  <w:style w:type="character" w:customStyle="1" w:styleId="19">
    <w:name w:val="标题 1 字符"/>
    <w:basedOn w:val="15"/>
    <w:link w:val="2"/>
    <w:qFormat/>
    <w:uiPriority w:val="9"/>
    <w:rPr>
      <w:rFonts w:ascii="Arial" w:hAnsi="Arial" w:eastAsia="仿宋" w:cs="Times New Roman"/>
      <w:b/>
      <w:bCs/>
      <w:kern w:val="44"/>
      <w:sz w:val="28"/>
      <w:szCs w:val="28"/>
    </w:rPr>
  </w:style>
  <w:style w:type="character" w:customStyle="1" w:styleId="20">
    <w:name w:val="标题 2 字符"/>
    <w:basedOn w:val="15"/>
    <w:link w:val="3"/>
    <w:qFormat/>
    <w:uiPriority w:val="99"/>
    <w:rPr>
      <w:rFonts w:ascii="Arial" w:hAnsi="Arial" w:eastAsia="仿宋" w:cs="Times New Roman"/>
      <w:b/>
      <w:kern w:val="0"/>
      <w:sz w:val="28"/>
      <w:szCs w:val="28"/>
    </w:rPr>
  </w:style>
  <w:style w:type="character" w:customStyle="1" w:styleId="21">
    <w:name w:val="标题 3 字符"/>
    <w:basedOn w:val="15"/>
    <w:link w:val="4"/>
    <w:qFormat/>
    <w:uiPriority w:val="9"/>
    <w:rPr>
      <w:rFonts w:ascii="Arial" w:hAnsi="Arial" w:eastAsia="仿宋" w:cs="Times New Roman"/>
      <w:b/>
      <w:bCs/>
      <w:kern w:val="0"/>
      <w:sz w:val="24"/>
      <w:szCs w:val="24"/>
    </w:rPr>
  </w:style>
  <w:style w:type="character" w:customStyle="1" w:styleId="22">
    <w:name w:val="标题 4 字符"/>
    <w:basedOn w:val="15"/>
    <w:link w:val="5"/>
    <w:qFormat/>
    <w:uiPriority w:val="99"/>
    <w:rPr>
      <w:rFonts w:ascii="Arial" w:hAnsi="Arial" w:eastAsia="仿宋" w:cs="Times New Roman"/>
      <w:b/>
      <w:bCs/>
      <w:kern w:val="0"/>
      <w:sz w:val="24"/>
      <w:szCs w:val="24"/>
    </w:rPr>
  </w:style>
  <w:style w:type="character" w:customStyle="1" w:styleId="23">
    <w:name w:val="标题 5 字符"/>
    <w:basedOn w:val="15"/>
    <w:link w:val="6"/>
    <w:qFormat/>
    <w:uiPriority w:val="99"/>
    <w:rPr>
      <w:rFonts w:ascii="Arial" w:hAnsi="Arial" w:eastAsia="仿宋" w:cs="Times New Roman"/>
      <w:b/>
      <w:bCs/>
      <w:kern w:val="0"/>
      <w:sz w:val="24"/>
      <w:szCs w:val="24"/>
    </w:rPr>
  </w:style>
  <w:style w:type="character" w:customStyle="1" w:styleId="24">
    <w:name w:val="标题 6 字符"/>
    <w:basedOn w:val="15"/>
    <w:link w:val="7"/>
    <w:qFormat/>
    <w:uiPriority w:val="0"/>
    <w:rPr>
      <w:rFonts w:ascii="等线 Light" w:hAnsi="等线 Light" w:eastAsia="等线 Light" w:cs="Times New Roman"/>
      <w:b/>
      <w:bCs/>
      <w:sz w:val="28"/>
      <w:szCs w:val="24"/>
    </w:rPr>
  </w:style>
  <w:style w:type="character" w:customStyle="1" w:styleId="25">
    <w:name w:val="标题 7 字符"/>
    <w:basedOn w:val="15"/>
    <w:link w:val="8"/>
    <w:qFormat/>
    <w:uiPriority w:val="0"/>
    <w:rPr>
      <w:rFonts w:ascii="Arial" w:hAnsi="Arial" w:eastAsia="仿宋" w:cs="Times New Roman"/>
      <w:b/>
      <w:bCs/>
      <w:sz w:val="24"/>
      <w:szCs w:val="24"/>
    </w:rPr>
  </w:style>
  <w:style w:type="character" w:customStyle="1" w:styleId="26">
    <w:name w:val="标题 8 字符"/>
    <w:basedOn w:val="15"/>
    <w:link w:val="9"/>
    <w:qFormat/>
    <w:uiPriority w:val="0"/>
    <w:rPr>
      <w:rFonts w:ascii="等线 Light" w:hAnsi="等线 Light" w:eastAsia="等线 Light" w:cs="Times New Roman"/>
      <w:sz w:val="24"/>
      <w:szCs w:val="24"/>
    </w:rPr>
  </w:style>
  <w:style w:type="character" w:customStyle="1" w:styleId="27">
    <w:name w:val="标题 9 字符"/>
    <w:basedOn w:val="15"/>
    <w:link w:val="10"/>
    <w:qFormat/>
    <w:uiPriority w:val="0"/>
    <w:rPr>
      <w:rFonts w:ascii="等线 Light" w:hAnsi="等线 Light" w:eastAsia="等线 Light" w:cs="Times New Roman"/>
      <w:sz w:val="24"/>
      <w:szCs w:val="21"/>
    </w:rPr>
  </w:style>
  <w:style w:type="paragraph" w:styleId="28">
    <w:name w:val="List Paragraph"/>
    <w:basedOn w:val="1"/>
    <w:qFormat/>
    <w:uiPriority w:val="99"/>
    <w:pPr>
      <w:spacing w:line="360" w:lineRule="auto"/>
      <w:ind w:firstLine="420" w:firstLineChars="200"/>
    </w:pPr>
    <w:rPr>
      <w:rFonts w:ascii="Arial" w:hAnsi="Arial" w:eastAsia="仿宋" w:cs="Times New Roman"/>
      <w:sz w:val="24"/>
      <w:szCs w:val="24"/>
    </w:rPr>
  </w:style>
  <w:style w:type="paragraph" w:customStyle="1" w:styleId="29">
    <w:name w:val="表头"/>
    <w:basedOn w:val="1"/>
    <w:qFormat/>
    <w:uiPriority w:val="0"/>
    <w:pPr>
      <w:widowControl/>
      <w:spacing w:line="360" w:lineRule="auto"/>
      <w:ind w:firstLine="723" w:firstLineChars="200"/>
      <w:jc w:val="center"/>
    </w:pPr>
    <w:rPr>
      <w:rFonts w:ascii="仿宋" w:hAnsi="仿宋" w:eastAsia="仿宋" w:cs="Times New Roman"/>
      <w:b/>
      <w:color w:val="000000"/>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1454</Words>
  <Characters>8292</Characters>
  <Lines>69</Lines>
  <Paragraphs>19</Paragraphs>
  <TotalTime>1</TotalTime>
  <ScaleCrop>false</ScaleCrop>
  <LinksUpToDate>false</LinksUpToDate>
  <CharactersWithSpaces>9727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2025-04-19T01:43:00Z</dcterms:created>
  <dc:creator>跃龙 史</dc:creator>
  <cp:lastModifiedBy>郭田恬</cp:lastModifiedBy>
  <dcterms:modified xsi:type="dcterms:W3CDTF">2025-04-22T14:47:31Z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3C637356853249C98D13498547FB8AEA_12</vt:lpwstr>
  </property>
</Properties>
</file>