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color w:val="auto"/>
          <w:sz w:val="48"/>
          <w:szCs w:val="48"/>
        </w:rPr>
      </w:pPr>
    </w:p>
    <w:p>
      <w:pPr>
        <w:ind w:firstLine="0" w:firstLineChars="0"/>
        <w:jc w:val="center"/>
        <w:rPr>
          <w:rFonts w:hint="eastAsia" w:ascii="黑体" w:hAnsi="黑体" w:eastAsia="黑体"/>
          <w:color w:val="auto"/>
          <w:sz w:val="48"/>
          <w:szCs w:val="48"/>
        </w:rPr>
      </w:pPr>
    </w:p>
    <w:p>
      <w:pPr>
        <w:ind w:firstLine="0" w:firstLineChars="0"/>
        <w:jc w:val="center"/>
        <w:rPr>
          <w:rFonts w:hint="eastAsia" w:ascii="黑体" w:hAnsi="黑体" w:eastAsia="黑体"/>
          <w:color w:val="auto"/>
          <w:sz w:val="52"/>
          <w:szCs w:val="52"/>
        </w:rPr>
      </w:pPr>
      <w:r>
        <w:rPr>
          <w:rFonts w:hint="eastAsia" w:ascii="黑体" w:hAnsi="黑体" w:eastAsia="黑体"/>
          <w:color w:val="auto"/>
          <w:sz w:val="52"/>
          <w:szCs w:val="52"/>
        </w:rPr>
        <w:t>上海市低空飞行综合监管服务</w:t>
      </w:r>
    </w:p>
    <w:p>
      <w:pPr>
        <w:ind w:firstLine="0" w:firstLineChars="0"/>
        <w:jc w:val="center"/>
        <w:rPr>
          <w:rFonts w:hint="eastAsia" w:ascii="黑体" w:hAnsi="黑体" w:eastAsia="黑体"/>
          <w:color w:val="auto"/>
          <w:sz w:val="52"/>
          <w:szCs w:val="52"/>
        </w:rPr>
      </w:pPr>
      <w:r>
        <w:rPr>
          <w:rFonts w:hint="eastAsia" w:ascii="黑体" w:hAnsi="黑体" w:eastAsia="黑体"/>
          <w:color w:val="auto"/>
          <w:sz w:val="52"/>
          <w:szCs w:val="52"/>
        </w:rPr>
        <w:t>子系统建设项目</w:t>
      </w:r>
    </w:p>
    <w:p>
      <w:pPr>
        <w:ind w:firstLine="0" w:firstLineChars="0"/>
        <w:jc w:val="center"/>
        <w:rPr>
          <w:rFonts w:hint="eastAsia" w:ascii="黑体" w:hAnsi="黑体" w:eastAsia="黑体"/>
          <w:color w:val="auto"/>
          <w:sz w:val="52"/>
          <w:szCs w:val="52"/>
        </w:rPr>
      </w:pPr>
      <w:r>
        <w:rPr>
          <w:rFonts w:hint="eastAsia" w:ascii="黑体" w:hAnsi="黑体" w:eastAsia="黑体"/>
          <w:color w:val="auto"/>
          <w:sz w:val="52"/>
          <w:szCs w:val="52"/>
        </w:rPr>
        <w:t>采购需求</w:t>
      </w:r>
    </w:p>
    <w:p>
      <w:pPr>
        <w:ind w:firstLine="0" w:firstLineChars="0"/>
        <w:jc w:val="center"/>
        <w:rPr>
          <w:rFonts w:hint="eastAsia" w:ascii="黑体" w:hAnsi="黑体" w:eastAsia="黑体"/>
          <w:color w:val="auto"/>
          <w:sz w:val="72"/>
          <w:szCs w:val="72"/>
        </w:rPr>
      </w:pPr>
    </w:p>
    <w:p>
      <w:pPr>
        <w:ind w:firstLine="0" w:firstLineChars="0"/>
        <w:jc w:val="center"/>
        <w:rPr>
          <w:rFonts w:hint="eastAsia" w:ascii="黑体" w:hAnsi="黑体" w:eastAsia="黑体"/>
          <w:color w:val="auto"/>
          <w:sz w:val="48"/>
          <w:szCs w:val="48"/>
        </w:rPr>
      </w:pPr>
    </w:p>
    <w:p>
      <w:pPr>
        <w:ind w:firstLine="0" w:firstLineChars="0"/>
        <w:jc w:val="center"/>
        <w:rPr>
          <w:rFonts w:hint="eastAsia" w:ascii="黑体" w:hAnsi="黑体" w:eastAsia="黑体"/>
          <w:color w:val="auto"/>
          <w:sz w:val="52"/>
          <w:szCs w:val="52"/>
        </w:rPr>
      </w:pPr>
    </w:p>
    <w:p>
      <w:pPr>
        <w:ind w:firstLine="1040"/>
        <w:rPr>
          <w:rFonts w:hint="eastAsia" w:ascii="黑体" w:hAnsi="黑体" w:eastAsia="黑体"/>
          <w:color w:val="auto"/>
          <w:sz w:val="52"/>
          <w:szCs w:val="5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ind w:firstLine="1040"/>
        <w:rPr>
          <w:rFonts w:hint="eastAsia" w:ascii="黑体" w:hAnsi="黑体" w:eastAsia="黑体"/>
          <w:color w:val="auto"/>
          <w:sz w:val="52"/>
          <w:szCs w:val="52"/>
        </w:rPr>
      </w:pPr>
    </w:p>
    <w:p>
      <w:pPr>
        <w:jc w:val="center"/>
        <w:rPr>
          <w:rFonts w:hint="eastAsia"/>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numPr>
          <w:ilvl w:val="0"/>
          <w:numId w:val="1"/>
        </w:numPr>
        <w:rPr>
          <w:rFonts w:hint="eastAsia"/>
          <w:color w:val="auto"/>
        </w:rPr>
      </w:pPr>
      <w:bookmarkStart w:id="0" w:name="_Toc63785461"/>
      <w:r>
        <w:rPr>
          <w:rFonts w:hint="eastAsia"/>
          <w:color w:val="auto"/>
        </w:rPr>
        <w:t>项目概况</w:t>
      </w:r>
      <w:bookmarkEnd w:id="0"/>
    </w:p>
    <w:p>
      <w:pPr>
        <w:pStyle w:val="3"/>
        <w:numPr>
          <w:ilvl w:val="1"/>
          <w:numId w:val="3"/>
        </w:numPr>
        <w:rPr>
          <w:rFonts w:hint="eastAsia"/>
          <w:color w:val="auto"/>
        </w:rPr>
      </w:pPr>
      <w:r>
        <w:rPr>
          <w:rFonts w:hint="eastAsia"/>
          <w:color w:val="auto"/>
        </w:rPr>
        <w:t>项目背景</w:t>
      </w:r>
    </w:p>
    <w:p>
      <w:pPr>
        <w:rPr>
          <w:rFonts w:hint="eastAsia"/>
          <w:color w:val="auto"/>
        </w:rPr>
      </w:pPr>
      <w:bookmarkStart w:id="1" w:name="_Hlk191390364"/>
      <w:r>
        <w:rPr>
          <w:rFonts w:hint="eastAsia"/>
          <w:color w:val="auto"/>
        </w:rPr>
        <w:t>2023年5月底，由国务院、中央军委联合签署发布《无人驾驶航空器飞行管理暂行条例》，根据《条例》，县级以上地方人民政府及其有关部门按照职责分工负责本行政区域内无人驾驶航空器（以下简称“无人机”）有关管理工作。</w:t>
      </w:r>
    </w:p>
    <w:p>
      <w:pPr>
        <w:rPr>
          <w:rFonts w:hint="eastAsia"/>
          <w:color w:val="auto"/>
        </w:rPr>
      </w:pPr>
      <w:r>
        <w:rPr>
          <w:rFonts w:hint="eastAsia"/>
          <w:color w:val="auto"/>
        </w:rPr>
        <w:t>近年来，本市无人机保有量和飞行规模持续增长，并在个人消费、企业应用、城市管理等领域有较多应用。通过本项目建设推进设施联通、数据融通、业务贯通、飞行畅通、平台互通，高效保障飞行和公共安全，全面汇聚动静态数据和预测信息，提供一站式公共服务，提升低空协同治理水平，促进低空资源的整合共享和集约利用，挖掘低空资源的经济属性和配置效率，保障低空经济持续发展。</w:t>
      </w:r>
    </w:p>
    <w:bookmarkEnd w:id="1"/>
    <w:p>
      <w:pPr>
        <w:pStyle w:val="3"/>
        <w:numPr>
          <w:ilvl w:val="1"/>
          <w:numId w:val="3"/>
        </w:numPr>
        <w:rPr>
          <w:rFonts w:hint="eastAsia"/>
          <w:color w:val="auto"/>
        </w:rPr>
      </w:pPr>
      <w:r>
        <w:rPr>
          <w:rFonts w:hint="eastAsia"/>
          <w:color w:val="auto"/>
        </w:rPr>
        <w:t>建设期限</w:t>
      </w:r>
    </w:p>
    <w:p>
      <w:pPr>
        <w:rPr>
          <w:rFonts w:hint="eastAsia"/>
          <w:color w:val="auto"/>
        </w:rPr>
      </w:pPr>
      <w:r>
        <w:rPr>
          <w:rFonts w:hint="eastAsia"/>
          <w:color w:val="auto"/>
        </w:rPr>
        <w:t>自合同签订之日起至2026年11月30日</w:t>
      </w:r>
    </w:p>
    <w:p>
      <w:pPr>
        <w:pStyle w:val="3"/>
        <w:numPr>
          <w:ilvl w:val="1"/>
          <w:numId w:val="3"/>
        </w:numPr>
        <w:rPr>
          <w:rFonts w:hint="eastAsia"/>
          <w:color w:val="auto"/>
        </w:rPr>
      </w:pPr>
      <w:r>
        <w:rPr>
          <w:rFonts w:hint="eastAsia"/>
          <w:color w:val="auto"/>
        </w:rPr>
        <w:t>建设地点</w:t>
      </w:r>
    </w:p>
    <w:p>
      <w:pPr>
        <w:rPr>
          <w:rFonts w:hint="eastAsia"/>
          <w:color w:val="auto"/>
        </w:rPr>
      </w:pPr>
      <w:r>
        <w:rPr>
          <w:rFonts w:hint="eastAsia"/>
          <w:color w:val="auto"/>
        </w:rPr>
        <w:t>上海市交通委员会</w:t>
      </w:r>
    </w:p>
    <w:p>
      <w:pPr>
        <w:pStyle w:val="3"/>
        <w:numPr>
          <w:ilvl w:val="1"/>
          <w:numId w:val="3"/>
        </w:numPr>
        <w:rPr>
          <w:rFonts w:hint="eastAsia"/>
          <w:color w:val="auto"/>
        </w:rPr>
      </w:pPr>
      <w:r>
        <w:rPr>
          <w:rFonts w:hint="eastAsia"/>
          <w:color w:val="auto"/>
        </w:rPr>
        <w:t>预算金额</w:t>
      </w:r>
    </w:p>
    <w:p>
      <w:pPr>
        <w:rPr>
          <w:rFonts w:hint="eastAsia"/>
          <w:color w:val="auto"/>
        </w:rPr>
      </w:pPr>
      <w:r>
        <w:rPr>
          <w:rFonts w:hint="eastAsia"/>
          <w:color w:val="auto"/>
        </w:rPr>
        <w:t>本项目预算金额为13,592,984元</w:t>
      </w:r>
    </w:p>
    <w:p>
      <w:pPr>
        <w:pStyle w:val="3"/>
        <w:numPr>
          <w:ilvl w:val="1"/>
          <w:numId w:val="3"/>
        </w:numPr>
        <w:rPr>
          <w:rFonts w:hint="eastAsia"/>
          <w:color w:val="auto"/>
        </w:rPr>
      </w:pPr>
      <w:r>
        <w:rPr>
          <w:rFonts w:hint="eastAsia"/>
          <w:color w:val="auto"/>
        </w:rPr>
        <w:t>采购金额（最高限价）</w:t>
      </w:r>
    </w:p>
    <w:p>
      <w:pPr>
        <w:rPr>
          <w:rFonts w:hint="eastAsia"/>
          <w:color w:val="auto"/>
        </w:rPr>
      </w:pPr>
      <w:r>
        <w:rPr>
          <w:rFonts w:hint="eastAsia"/>
          <w:color w:val="auto"/>
        </w:rPr>
        <w:t>本项目采购金额（最高限价）为</w:t>
      </w:r>
      <w:bookmarkStart w:id="2" w:name="OLE_LINK1"/>
      <w:r>
        <w:rPr>
          <w:rFonts w:hint="eastAsia"/>
          <w:color w:val="auto"/>
        </w:rPr>
        <w:t>13,592,984</w:t>
      </w:r>
      <w:bookmarkEnd w:id="2"/>
      <w:r>
        <w:rPr>
          <w:rFonts w:hint="eastAsia"/>
          <w:color w:val="auto"/>
        </w:rPr>
        <w:t>元。</w:t>
      </w:r>
    </w:p>
    <w:p>
      <w:pPr>
        <w:pStyle w:val="3"/>
        <w:numPr>
          <w:ilvl w:val="1"/>
          <w:numId w:val="3"/>
        </w:numPr>
        <w:rPr>
          <w:rFonts w:hint="eastAsia"/>
          <w:color w:val="auto"/>
        </w:rPr>
      </w:pPr>
      <w:r>
        <w:rPr>
          <w:rFonts w:hint="eastAsia"/>
          <w:color w:val="auto"/>
        </w:rPr>
        <w:t>组织形式</w:t>
      </w:r>
    </w:p>
    <w:p>
      <w:pPr>
        <w:rPr>
          <w:rFonts w:hint="eastAsia"/>
          <w:color w:val="auto"/>
        </w:rPr>
      </w:pPr>
      <w:r>
        <w:rPr>
          <w:rFonts w:hint="eastAsia"/>
          <w:color w:val="auto"/>
        </w:rPr>
        <w:t>本项目招标采用集中采购的组织形式。</w:t>
      </w:r>
    </w:p>
    <w:p>
      <w:pPr>
        <w:pStyle w:val="3"/>
        <w:numPr>
          <w:ilvl w:val="1"/>
          <w:numId w:val="3"/>
        </w:numPr>
        <w:rPr>
          <w:rFonts w:hint="eastAsia"/>
          <w:color w:val="auto"/>
        </w:rPr>
      </w:pPr>
      <w:r>
        <w:rPr>
          <w:rFonts w:hint="eastAsia"/>
          <w:color w:val="auto"/>
        </w:rPr>
        <w:t>采购方式</w:t>
      </w:r>
    </w:p>
    <w:p>
      <w:pPr>
        <w:rPr>
          <w:rFonts w:hint="eastAsia"/>
          <w:color w:val="auto"/>
        </w:rPr>
      </w:pPr>
      <w:r>
        <w:rPr>
          <w:rFonts w:hint="eastAsia"/>
          <w:color w:val="auto"/>
        </w:rPr>
        <w:t>本项目招标采用公开招标方式。</w:t>
      </w:r>
    </w:p>
    <w:p>
      <w:pPr>
        <w:pStyle w:val="3"/>
        <w:numPr>
          <w:ilvl w:val="1"/>
          <w:numId w:val="3"/>
        </w:numPr>
        <w:rPr>
          <w:rFonts w:hint="eastAsia"/>
          <w:color w:val="auto"/>
        </w:rPr>
      </w:pPr>
      <w:r>
        <w:rPr>
          <w:rFonts w:hint="eastAsia"/>
          <w:color w:val="auto"/>
        </w:rPr>
        <w:t>是否接受联合体投标</w:t>
      </w:r>
    </w:p>
    <w:p>
      <w:pPr>
        <w:rPr>
          <w:rFonts w:hint="eastAsia"/>
          <w:color w:val="auto"/>
        </w:rPr>
      </w:pPr>
      <w:r>
        <w:rPr>
          <w:rFonts w:hint="eastAsia"/>
          <w:color w:val="auto"/>
        </w:rPr>
        <w:t>本项目接受联合体投标。</w:t>
      </w:r>
    </w:p>
    <w:p>
      <w:pPr>
        <w:pStyle w:val="3"/>
        <w:numPr>
          <w:ilvl w:val="1"/>
          <w:numId w:val="3"/>
        </w:numPr>
        <w:rPr>
          <w:rFonts w:hint="eastAsia"/>
          <w:color w:val="auto"/>
        </w:rPr>
      </w:pPr>
      <w:r>
        <w:rPr>
          <w:color w:val="auto"/>
        </w:rPr>
        <w:t>是否按</w:t>
      </w:r>
      <w:r>
        <w:rPr>
          <w:rFonts w:hint="eastAsia"/>
          <w:color w:val="auto"/>
        </w:rPr>
        <w:t>XC</w:t>
      </w:r>
      <w:r>
        <w:rPr>
          <w:color w:val="auto"/>
        </w:rPr>
        <w:t>要求建设</w:t>
      </w:r>
    </w:p>
    <w:p>
      <w:pPr>
        <w:rPr>
          <w:rFonts w:hint="eastAsia"/>
          <w:color w:val="auto"/>
        </w:rPr>
      </w:pPr>
      <w:r>
        <w:rPr>
          <w:rFonts w:hint="eastAsia"/>
          <w:color w:val="auto"/>
        </w:rPr>
        <w:t>本项目需要按XC要求建设。</w:t>
      </w:r>
    </w:p>
    <w:p>
      <w:pPr>
        <w:pStyle w:val="3"/>
        <w:numPr>
          <w:ilvl w:val="1"/>
          <w:numId w:val="3"/>
        </w:numPr>
        <w:rPr>
          <w:rFonts w:hint="eastAsia"/>
          <w:color w:val="auto"/>
        </w:rPr>
      </w:pPr>
      <w:r>
        <w:rPr>
          <w:rFonts w:hint="eastAsia"/>
          <w:color w:val="auto"/>
        </w:rPr>
        <w:t>运维后所属大系统</w:t>
      </w:r>
    </w:p>
    <w:p>
      <w:pPr>
        <w:rPr>
          <w:rFonts w:hint="eastAsia"/>
          <w:color w:val="auto"/>
        </w:rPr>
      </w:pPr>
      <w:r>
        <w:rPr>
          <w:rFonts w:hint="eastAsia"/>
          <w:color w:val="auto"/>
        </w:rPr>
        <w:t>城市交通管理系统。</w:t>
      </w:r>
    </w:p>
    <w:p>
      <w:pPr>
        <w:pStyle w:val="2"/>
        <w:numPr>
          <w:ilvl w:val="0"/>
          <w:numId w:val="1"/>
        </w:numPr>
        <w:rPr>
          <w:rFonts w:hint="eastAsia"/>
          <w:color w:val="auto"/>
        </w:rPr>
      </w:pPr>
      <w:bookmarkStart w:id="3" w:name="_Toc47531634"/>
      <w:bookmarkEnd w:id="3"/>
      <w:bookmarkStart w:id="4" w:name="_Toc47532891"/>
      <w:bookmarkEnd w:id="4"/>
      <w:bookmarkStart w:id="5" w:name="_Toc47532255"/>
      <w:bookmarkEnd w:id="5"/>
      <w:bookmarkStart w:id="6" w:name="_Toc47536644"/>
      <w:bookmarkEnd w:id="6"/>
      <w:bookmarkStart w:id="7" w:name="_Toc47536272"/>
      <w:bookmarkEnd w:id="7"/>
      <w:bookmarkStart w:id="8" w:name="_Toc47537134"/>
      <w:bookmarkEnd w:id="8"/>
      <w:bookmarkStart w:id="9" w:name="_Toc47539070"/>
      <w:bookmarkEnd w:id="9"/>
      <w:bookmarkStart w:id="10" w:name="_Toc47533256"/>
      <w:bookmarkEnd w:id="10"/>
      <w:bookmarkStart w:id="11" w:name="_Toc48223882"/>
      <w:bookmarkStart w:id="12" w:name="_Toc63785463"/>
      <w:r>
        <w:rPr>
          <w:rFonts w:hint="eastAsia"/>
          <w:color w:val="auto"/>
        </w:rPr>
        <w:t>建设目标</w:t>
      </w:r>
      <w:bookmarkEnd w:id="11"/>
      <w:bookmarkEnd w:id="12"/>
    </w:p>
    <w:p>
      <w:pPr>
        <w:rPr>
          <w:rFonts w:hint="eastAsia"/>
          <w:color w:val="auto"/>
        </w:rPr>
      </w:pPr>
      <w:r>
        <w:rPr>
          <w:rFonts w:hint="eastAsia"/>
          <w:color w:val="auto"/>
        </w:rPr>
        <w:t>紧扣超大城市特点和用好相关基础资源，基于上海市“一张图”开发低空数字地图，形成低空空域管理数据资源和数据服务能力，促进低空基础设施网络及飞行活动相关信息的智慧互联，建立健全飞行服务能力和协同监管能力，实现本市低空飞行一体化监管（低空飞行包括低空无人机、传统通航和eVTOL等），低空飞行一站式服务，低空空域管理和空中交通服务全方位赋能。</w:t>
      </w:r>
    </w:p>
    <w:p>
      <w:pPr>
        <w:rPr>
          <w:rFonts w:hint="eastAsia"/>
          <w:color w:val="auto"/>
        </w:rPr>
      </w:pPr>
      <w:r>
        <w:rPr>
          <w:rFonts w:hint="eastAsia"/>
          <w:color w:val="auto"/>
        </w:rPr>
        <w:t>一体化监管：实现军航、民航、公共管理及运营方等多元主体的协同合作，通过集成化、智能化的管理方式，对低空空域规划管理、航路航线使用、飞行服务和飞行动态等关键环节统一监管，并与城运中心无缝对接。</w:t>
      </w:r>
    </w:p>
    <w:p>
      <w:pPr>
        <w:rPr>
          <w:rFonts w:hint="eastAsia"/>
          <w:color w:val="auto"/>
        </w:rPr>
      </w:pPr>
      <w:r>
        <w:rPr>
          <w:rFonts w:hint="eastAsia"/>
          <w:color w:val="auto"/>
        </w:rPr>
        <w:t>一站式服务：依托一网通办系统，为用户提供单一窗口一站式服务，提供全面、便捷的无人机服务，如航路航线申请、飞行活动申请、航空情报、航行气象信息查询、飞行安全提示、公众监督投诉、通告信息发布等。</w:t>
      </w:r>
    </w:p>
    <w:p>
      <w:pPr>
        <w:rPr>
          <w:rFonts w:hint="eastAsia"/>
          <w:color w:val="auto"/>
        </w:rPr>
      </w:pPr>
      <w:r>
        <w:rPr>
          <w:rFonts w:hint="eastAsia"/>
          <w:color w:val="auto"/>
        </w:rPr>
        <w:t>全方位赋能：平台赋能管理部门建立空域管理体系，明确空域划设、使用权限和飞行规则，不断提升低空监管水平和空域使用效率；赋能运营企业拓展应用场景，制定飞行计划、规划飞行路线，提高飞行效率和可靠性；赋能消费级用户获得更好的飞行体验和服务。</w:t>
      </w:r>
    </w:p>
    <w:tbl>
      <w:tblPr>
        <w:tblStyle w:val="35"/>
        <w:tblW w:w="8743" w:type="dxa"/>
        <w:tblInd w:w="0" w:type="dxa"/>
        <w:tblLayout w:type="fixed"/>
        <w:tblCellMar>
          <w:top w:w="0" w:type="dxa"/>
          <w:left w:w="108" w:type="dxa"/>
          <w:bottom w:w="0" w:type="dxa"/>
          <w:right w:w="108" w:type="dxa"/>
        </w:tblCellMar>
      </w:tblPr>
      <w:tblGrid>
        <w:gridCol w:w="589"/>
        <w:gridCol w:w="1170"/>
        <w:gridCol w:w="1140"/>
        <w:gridCol w:w="4345"/>
        <w:gridCol w:w="1499"/>
      </w:tblGrid>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序号</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一级指标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二级指标</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三级指标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目标值</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产出数量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软件开发完成率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产出数量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硬件设备购置完成率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产出数量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安全产品购置完成率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一次性验收合格率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系统可靠性</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≥99%</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软件测试</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密码测试</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网络安全等级保护</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三级</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安全测试</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安全事件发生次数</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产出时效</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项目建设周期</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≤12个月</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共性平台</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覆盖部门数量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共性平台</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统筹对接系统数量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监测监管系统</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监测指标数量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监测监管系统</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监测数据完整性</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监测监管系统</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监测数据准确率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监测监管系统</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监测对象风险预警准确率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通用指标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监测监管系统</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监测对象风险预警完整率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重点应用</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数据服务</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形成公共数据上链条目数</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重点应用</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数据服务</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采集数据覆盖重点区域面积</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25km²</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21</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重点应用</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数据服务</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上链场景(杨浦区配送场景)</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22</w:t>
            </w:r>
          </w:p>
        </w:tc>
        <w:tc>
          <w:tcPr>
            <w:tcW w:w="117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产出数量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服务事项完成率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23</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产出数量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数据对接完成率</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24</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支持同时在线用户数</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≥500人</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25</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支持并发用户数</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≥50人</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26</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系统登陆时间</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≤5秒</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27</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一般查询和写入操作响应时间（90%的操作页面</w:t>
            </w:r>
            <w:r>
              <w:rPr>
                <w:rFonts w:ascii="等线" w:hAnsi="等线" w:eastAsia="等线" w:cs="宋体"/>
                <w:color w:val="auto"/>
                <w:kern w:val="0"/>
                <w:sz w:val="22"/>
                <w:szCs w:val="22"/>
              </w:rPr>
              <w:t>）</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≤5秒</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28</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支持无人机在线数量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≥1000台</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29</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产出质量</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平台可接入无人机型号种类</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≥3种</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30</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产出效益</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系统用户数量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≥100人</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31</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产出效益</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平台管理空域面积</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≥上海市城范围</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32</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产出效益</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建立空域网格拓扑数量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≥10亿个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33</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产出效益</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平台划设的空域数量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≥60块</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34</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产出效益</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平台形成飞行计划评估及航行情报报告数量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≥10个</w:t>
            </w:r>
          </w:p>
        </w:tc>
      </w:tr>
      <w:tr>
        <w:tblPrEx>
          <w:tblCellMar>
            <w:top w:w="0" w:type="dxa"/>
            <w:left w:w="108" w:type="dxa"/>
            <w:bottom w:w="0" w:type="dxa"/>
            <w:right w:w="108" w:type="dxa"/>
          </w:tblCellMar>
        </w:tblPrEx>
        <w:trPr>
          <w:trHeight w:val="390" w:hRule="atLeast"/>
        </w:trPr>
        <w:tc>
          <w:tcPr>
            <w:tcW w:w="589"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35</w:t>
            </w:r>
          </w:p>
        </w:tc>
        <w:tc>
          <w:tcPr>
            <w:tcW w:w="117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业务指标</w:t>
            </w:r>
          </w:p>
        </w:tc>
        <w:tc>
          <w:tcPr>
            <w:tcW w:w="1140" w:type="dxa"/>
            <w:tcBorders>
              <w:top w:val="single" w:color="auto" w:sz="4" w:space="0"/>
              <w:left w:val="nil"/>
              <w:bottom w:val="single" w:color="auto" w:sz="4" w:space="0"/>
              <w:right w:val="single" w:color="auto" w:sz="4" w:space="0"/>
            </w:tcBorders>
            <w:noWrap/>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产出效益</w:t>
            </w:r>
          </w:p>
        </w:tc>
        <w:tc>
          <w:tcPr>
            <w:tcW w:w="4345" w:type="dxa"/>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落地应用场景数量</w:t>
            </w:r>
          </w:p>
        </w:tc>
        <w:tc>
          <w:tcPr>
            <w:tcW w:w="1499" w:type="dxa"/>
            <w:tcBorders>
              <w:top w:val="single" w:color="auto" w:sz="4" w:space="0"/>
              <w:left w:val="nil"/>
              <w:bottom w:val="single" w:color="auto"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≥5个</w:t>
            </w:r>
          </w:p>
        </w:tc>
      </w:tr>
    </w:tbl>
    <w:p>
      <w:pPr>
        <w:ind w:firstLine="0" w:firstLineChars="0"/>
        <w:rPr>
          <w:rFonts w:hint="eastAsia"/>
          <w:color w:val="auto"/>
        </w:rPr>
      </w:pPr>
    </w:p>
    <w:p>
      <w:pPr>
        <w:rPr>
          <w:rFonts w:hint="eastAsia"/>
          <w:color w:val="auto"/>
        </w:rPr>
      </w:pPr>
    </w:p>
    <w:p>
      <w:pPr>
        <w:ind w:firstLine="0" w:firstLineChars="0"/>
        <w:rPr>
          <w:rFonts w:hint="eastAsia"/>
          <w:color w:val="auto"/>
        </w:rPr>
      </w:pPr>
    </w:p>
    <w:p>
      <w:pPr>
        <w:pStyle w:val="2"/>
        <w:numPr>
          <w:ilvl w:val="0"/>
          <w:numId w:val="1"/>
        </w:numPr>
        <w:rPr>
          <w:rFonts w:hint="eastAsia"/>
          <w:color w:val="auto"/>
        </w:rPr>
      </w:pPr>
      <w:bookmarkStart w:id="13" w:name="_Toc47532923"/>
      <w:bookmarkEnd w:id="13"/>
      <w:bookmarkStart w:id="14" w:name="_Toc47537166"/>
      <w:bookmarkEnd w:id="14"/>
      <w:bookmarkStart w:id="15" w:name="_Toc47536304"/>
      <w:bookmarkEnd w:id="15"/>
      <w:bookmarkStart w:id="16" w:name="_Toc47533288"/>
      <w:bookmarkEnd w:id="16"/>
      <w:bookmarkStart w:id="17" w:name="_Toc47536676"/>
      <w:bookmarkEnd w:id="17"/>
      <w:bookmarkStart w:id="18" w:name="_Toc47539102"/>
      <w:bookmarkEnd w:id="18"/>
      <w:r>
        <w:rPr>
          <w:rFonts w:hint="eastAsia"/>
          <w:color w:val="auto"/>
        </w:rPr>
        <w:t>项目建设内容</w:t>
      </w:r>
    </w:p>
    <w:p>
      <w:pPr>
        <w:pStyle w:val="3"/>
        <w:rPr>
          <w:rFonts w:hint="eastAsia"/>
          <w:color w:val="auto"/>
        </w:rPr>
      </w:pPr>
      <w:r>
        <w:rPr>
          <w:rFonts w:hint="eastAsia"/>
          <w:color w:val="auto"/>
        </w:rPr>
        <w:t>项目建设内容</w:t>
      </w:r>
    </w:p>
    <w:p>
      <w:pPr>
        <w:rPr>
          <w:rFonts w:hint="eastAsia"/>
          <w:color w:val="auto"/>
        </w:rPr>
      </w:pPr>
      <w:r>
        <w:rPr>
          <w:rFonts w:hint="eastAsia"/>
          <w:color w:val="auto"/>
        </w:rPr>
        <w:t>项目建设内容包括：</w:t>
      </w:r>
    </w:p>
    <w:p>
      <w:pPr>
        <w:rPr>
          <w:rFonts w:hint="eastAsia"/>
          <w:color w:val="auto"/>
        </w:rPr>
      </w:pPr>
      <w:r>
        <w:rPr>
          <w:rFonts w:hint="eastAsia"/>
          <w:color w:val="auto"/>
        </w:rPr>
        <w:t>1、建设上海市全域低空数字底座：实现数字化空域信息建模和可视化工具开发，覆盖低空飞行应用场景。数据要素包括地面建筑物、人口密度、遮蔽层、低空空域和航路等基本信息。</w:t>
      </w:r>
    </w:p>
    <w:p>
      <w:pPr>
        <w:rPr>
          <w:rFonts w:hint="eastAsia"/>
          <w:color w:val="auto"/>
        </w:rPr>
      </w:pPr>
      <w:r>
        <w:rPr>
          <w:rFonts w:hint="eastAsia"/>
          <w:color w:val="auto"/>
        </w:rPr>
        <w:t>2、完成五大应用基础功能开发</w:t>
      </w:r>
    </w:p>
    <w:p>
      <w:pPr>
        <w:rPr>
          <w:rFonts w:hint="eastAsia"/>
          <w:color w:val="auto"/>
        </w:rPr>
      </w:pPr>
      <w:r>
        <w:rPr>
          <w:rFonts w:hint="eastAsia"/>
          <w:color w:val="auto"/>
        </w:rPr>
        <w:t>空域管理：空域三维网格管理、空域划设、公共航路划设、航线划设、航线申请审批、空域动态管理等。</w:t>
      </w:r>
    </w:p>
    <w:p>
      <w:pPr>
        <w:rPr>
          <w:rFonts w:hint="eastAsia"/>
          <w:color w:val="auto"/>
        </w:rPr>
      </w:pPr>
      <w:r>
        <w:rPr>
          <w:rFonts w:hint="eastAsia"/>
          <w:color w:val="auto"/>
        </w:rPr>
        <w:t>飞行服务：飞行活动与计划管理、有人无人飞行计划协同、航行情报服务、气象服务、飞行异常提示、飞行用户资质与权限管理、低空航空器管理等。</w:t>
      </w:r>
    </w:p>
    <w:p>
      <w:pPr>
        <w:rPr>
          <w:rFonts w:hint="eastAsia"/>
          <w:color w:val="auto"/>
        </w:rPr>
      </w:pPr>
      <w:r>
        <w:rPr>
          <w:rFonts w:hint="eastAsia"/>
          <w:color w:val="auto"/>
        </w:rPr>
        <w:t>态势监视：空域容流监测预警、在飞违规飞行在线判别、在线违规飞行与风险判别、违规与风险预警告警与提示、航行情报和气象情报监视、飞行记录查询、联动监管、报警信息推送等。</w:t>
      </w:r>
    </w:p>
    <w:p>
      <w:pPr>
        <w:rPr>
          <w:rFonts w:hint="eastAsia"/>
          <w:color w:val="auto"/>
        </w:rPr>
      </w:pPr>
      <w:r>
        <w:rPr>
          <w:rFonts w:hint="eastAsia"/>
          <w:color w:val="auto"/>
        </w:rPr>
        <w:t>辅助决策：航路航线地面人员安全预评估、航线划设设施预评估等。</w:t>
      </w:r>
    </w:p>
    <w:p>
      <w:pPr>
        <w:rPr>
          <w:rFonts w:hint="eastAsia"/>
          <w:color w:val="auto"/>
        </w:rPr>
      </w:pPr>
      <w:r>
        <w:rPr>
          <w:rFonts w:hint="eastAsia"/>
          <w:color w:val="auto"/>
        </w:rPr>
        <w:t>信息服务：飞行活动后评估服务、订阅服务、公共监督、法规标准/通知通告等。</w:t>
      </w:r>
    </w:p>
    <w:p>
      <w:pPr>
        <w:rPr>
          <w:rFonts w:hint="eastAsia"/>
          <w:color w:val="auto"/>
        </w:rPr>
      </w:pPr>
      <w:r>
        <w:rPr>
          <w:rFonts w:hint="eastAsia"/>
          <w:color w:val="auto"/>
        </w:rPr>
        <w:t>3、接口开发</w:t>
      </w:r>
    </w:p>
    <w:p>
      <w:pPr>
        <w:rPr>
          <w:rFonts w:hint="eastAsia"/>
          <w:color w:val="auto"/>
        </w:rPr>
      </w:pPr>
      <w:r>
        <w:rPr>
          <w:rFonts w:hint="eastAsia"/>
          <w:color w:val="auto"/>
        </w:rPr>
        <w:t>UOM管理接口：包括无人机登记信息、民用无人驾驶航空器操控员信息、企业运营信息、空域信息、飞行活动信息、无人机飞行态势数据、起降场数据、航路航线数据等的对接。</w:t>
      </w:r>
    </w:p>
    <w:p>
      <w:pPr>
        <w:rPr>
          <w:rFonts w:hint="eastAsia"/>
          <w:color w:val="auto"/>
        </w:rPr>
      </w:pPr>
      <w:r>
        <w:rPr>
          <w:rFonts w:hint="eastAsia"/>
          <w:color w:val="auto"/>
        </w:rPr>
        <w:t>公安管理部门接口：包括无人机飞行动态数据、安全预警数据、无人机登记信息等。</w:t>
      </w:r>
    </w:p>
    <w:p>
      <w:pPr>
        <w:rPr>
          <w:rFonts w:hint="eastAsia"/>
          <w:color w:val="auto"/>
        </w:rPr>
      </w:pPr>
      <w:r>
        <w:rPr>
          <w:rFonts w:hint="eastAsia"/>
          <w:color w:val="auto"/>
        </w:rPr>
        <w:t>通航数据接口：包括飞行计划数据、飞行动态数据。</w:t>
      </w:r>
    </w:p>
    <w:p>
      <w:pPr>
        <w:rPr>
          <w:rFonts w:hint="eastAsia"/>
          <w:color w:val="auto"/>
        </w:rPr>
      </w:pPr>
      <w:r>
        <w:rPr>
          <w:rFonts w:hint="eastAsia"/>
          <w:color w:val="auto"/>
        </w:rPr>
        <w:t>气象数据接口：包括温度、湿度信息、风速风向信息、降水量信息等。</w:t>
      </w:r>
    </w:p>
    <w:p>
      <w:pPr>
        <w:rPr>
          <w:rFonts w:hint="eastAsia"/>
          <w:color w:val="auto"/>
        </w:rPr>
      </w:pPr>
      <w:r>
        <w:rPr>
          <w:rFonts w:hint="eastAsia"/>
          <w:color w:val="auto"/>
        </w:rPr>
        <w:t>运营企业数据接口：包括美团、顺丰、中通、申通等企业运营数据。</w:t>
      </w:r>
    </w:p>
    <w:p>
      <w:pPr>
        <w:rPr>
          <w:rFonts w:hint="eastAsia"/>
          <w:color w:val="auto"/>
        </w:rPr>
      </w:pPr>
      <w:r>
        <w:rPr>
          <w:rFonts w:hint="eastAsia"/>
          <w:color w:val="auto"/>
        </w:rPr>
        <w:t>区级数据接口：包括市级基础信息服务、区级受理信息接入。</w:t>
      </w:r>
    </w:p>
    <w:p>
      <w:pPr>
        <w:rPr>
          <w:rFonts w:hint="eastAsia"/>
          <w:color w:val="auto"/>
        </w:rPr>
      </w:pPr>
      <w:r>
        <w:rPr>
          <w:rFonts w:hint="eastAsia"/>
          <w:color w:val="auto"/>
        </w:rPr>
        <w:t>制造企业数据接口：包括大疆消费级无人机数据和时的科技eVTOL数据。</w:t>
      </w:r>
    </w:p>
    <w:p>
      <w:pPr>
        <w:rPr>
          <w:rFonts w:hint="eastAsia"/>
          <w:color w:val="auto"/>
        </w:rPr>
      </w:pPr>
      <w:r>
        <w:rPr>
          <w:rFonts w:hint="eastAsia"/>
          <w:color w:val="auto"/>
        </w:rPr>
        <w:t>4、完成五角场复杂商圈城市配送场景应用示范。</w:t>
      </w:r>
    </w:p>
    <w:p>
      <w:pPr>
        <w:pStyle w:val="3"/>
        <w:rPr>
          <w:rFonts w:hint="eastAsia"/>
          <w:color w:val="auto"/>
        </w:rPr>
      </w:pPr>
      <w:r>
        <w:rPr>
          <w:rFonts w:hint="eastAsia"/>
          <w:color w:val="auto"/>
        </w:rPr>
        <w:t>软件开发清单</w:t>
      </w:r>
    </w:p>
    <w:tbl>
      <w:tblPr>
        <w:tblStyle w:val="35"/>
        <w:tblW w:w="8840" w:type="dxa"/>
        <w:tblInd w:w="0" w:type="dxa"/>
        <w:tblLayout w:type="autofit"/>
        <w:tblCellMar>
          <w:top w:w="0" w:type="dxa"/>
          <w:left w:w="108" w:type="dxa"/>
          <w:bottom w:w="0" w:type="dxa"/>
          <w:right w:w="108" w:type="dxa"/>
        </w:tblCellMar>
      </w:tblPr>
      <w:tblGrid>
        <w:gridCol w:w="820"/>
        <w:gridCol w:w="2980"/>
        <w:gridCol w:w="5040"/>
      </w:tblGrid>
      <w:tr>
        <w:tblPrEx>
          <w:tblCellMar>
            <w:top w:w="0" w:type="dxa"/>
            <w:left w:w="108" w:type="dxa"/>
            <w:bottom w:w="0" w:type="dxa"/>
            <w:right w:w="108" w:type="dxa"/>
          </w:tblCellMar>
        </w:tblPrEx>
        <w:trPr>
          <w:trHeight w:val="560" w:hRule="atLeast"/>
        </w:trPr>
        <w:tc>
          <w:tcPr>
            <w:tcW w:w="820" w:type="dxa"/>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序号</w:t>
            </w:r>
          </w:p>
        </w:tc>
        <w:tc>
          <w:tcPr>
            <w:tcW w:w="2980" w:type="dxa"/>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功能名称</w:t>
            </w:r>
          </w:p>
        </w:tc>
        <w:tc>
          <w:tcPr>
            <w:tcW w:w="5040" w:type="dxa"/>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功能描述</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空域管理-空域三维网格管理-低空空域网络结构拓扑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根据空域网络划分的级别、分布情况构建网格关联关系，生成低空空域网络拓扑结构；构建点线面多类型空域单元与网络网格关联关系。</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空域管理-空域三维网格管理-低空网格剖分规则配置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建立标准的不同空间粒度水平剖分规则管理、高度配置管理、基准面配置等，实现不同级别的关联校验；空域剖分规则可兼容现行常用的多类别网格剖分的融合转换；建立面向应用场景/航空器飞行的网格剖分规则配置。</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空域管理-空域三维网格管理-网格编码规则库</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建立一个三维空间网格编码规则库，用于定义网格的层级结构和编码方式，支持空间网格按多级计算生成，具备多级嵌套关系。</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空域管理-空域三维网格管理-网格生成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基于84坐标系及网格分级管理的水平、高度的规则配置，实现基于剖分规则的多粒度网格剖分算法，对空域进行网格自动化分级切分，生成多级的网格，并实现对网格的存储。</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空域管理-空域三维网格管理-网格编码赋码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基于网格编码规则库，对每级生成的网格进行统一编码赋码。</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空域管理-空域三维网格管理-网格飞行安全属性管理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支持设置不同的飞行安全级别，以及每个级别对应的城市要素的影响规则，实现风险量化与空域网格可用性的映射关系并进行存储设定。</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空域管理-空域三维网格管理-网格定位计算</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基于空域网格编码的索引，利用编码索引机制来建立网格空域之间的嵌套与临接关系，构建空域网格快速检索，实现快速网格定位计算。</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空域管理-空域三维网格管理-多级网格可视化</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通过二三维一体化渲染技术，结合网格剖分标准，将生成的三维空间网格进行分级、聚合、离散的立体渲染，将空域网格、空域属性、空域环境的量化标准与可视化，建立匹配的多尺度、多类别动静态图层</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空域管理-空域三维网格管理-空域网格基础要素管理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基于网格与多类别的空域静态数据进行关系匹配，实现对网格与基础要素进行匹配赋值，支持基于网格进行空域运行管理的基础要素管理。</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空域管理-空域划设-空域数据文件导入与导出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支持空域数据文件KML\SHP\GEOJSON的导入，导入后根据文件记录的拓扑信息自动生成空域；并支持将空域导出成SHP文件。</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空域管理-空域划设-空域划设版本管理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空域划设的每一次变更进行记录，包括新增、修改和删除。每个版本进行一标识，以便于查找和回溯；空域划设版本的状态管理，包括失效、待激活、待激活等状态，具备版本激活发布能力；具备指定空域版本导入功能等。</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空域管理-空域划设-空域类型管理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空中禁区、空中限制区、空中危险区、空中保留区、航路航线、进出境点、等待空域、空中放油区、试飞空域、训练空域、防空识别区、临时空域等空域类型信息，并形成空域类型图层</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空域管理-空域划设-空域基础分类信息管理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管制空域（A、B、C、D、E类）和非管制空域（G、W类）等信息的管理、维护。</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空域管理-空域划设-无人机适飞空域管理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前置评估结果，具备新增划设、修改适飞空域功能；依据适飞空域信息形成相应图层（激活的适飞空域与UOM一致），并支持录入相关地面管理单位及联系信息；具备适飞空域信息导出能力，适应UOM要求的上报模版要求。</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空域管理-空域划设-无人机管制空域管理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本市无人驾驶航空器管制空域信息并形成相应图层（与UOM平台保持一致），并录入相关地面重点保护单位类型和联系人信息</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空域管理-空域划设-无人机临时管制空域管理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提供临时管制空域划设，支持手动地图绘制、上传空间文件等多种方式，避免与军民航空域发生冲突。</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空域管理-空域划设-空域飞行单位关联管理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开发支持块状低空空域划设时，根据登记单位信息与匹配规则绑定相关飞行单位，需支持自动绑定、手动修改等，并根据单位信息变更情况自动进行解绑等。</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空域管理-空域划设-空域飞行航空器关联管理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开发支持块状低空空域划设时时，绑定相关航空器及所属信息，需支持自动绑定，手动修改等，并根据航空器信息变更情况自动进行解绑等。</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空域管理-空域划设-空域起降点关联管理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对空域所需起降点进行关联，支持自动绑定、手动修改等，并根据起降点信息变更情况自动进行解绑等。</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空域管理-空域划设-空域划设核查分析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在地图上通过叠加城市要素、三维模型等城市模型，支持进行空域划设核查在线分析</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空域管理-空域划设-全市低空空域全景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对低空空域划设进行空间匹配，实现各类空域并基于二三维融合的分析展示</w:t>
            </w:r>
          </w:p>
        </w:tc>
      </w:tr>
      <w:tr>
        <w:tblPrEx>
          <w:tblCellMar>
            <w:top w:w="0" w:type="dxa"/>
            <w:left w:w="108" w:type="dxa"/>
            <w:bottom w:w="0" w:type="dxa"/>
            <w:right w:w="108" w:type="dxa"/>
          </w:tblCellMar>
        </w:tblPrEx>
        <w:trPr>
          <w:trHeight w:val="30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空域管理-公共航路划设-航路网管理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1、支持干、支航路的基础信息管理，实现数据存储、更新、维护和版本管理。</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2、支持航路网历史安全评估，为识别高风险航路和风险原因（航空器空域保持能力、天气因素）提供数据支撑。</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3、支持地面安全和障碍物预警管理，辅助风险的实时发现。</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4、支持地面安全和障碍物碰撞模拟，辅助风险的预判。</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5、支持地面安全和障碍物碰撞趋势分析，为航路规划和管理优化提供支撑。</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空域管理-公共航路划设-公共航路划设和导入导出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支持手动绘制起点、终点及相关信息进行划设，并支持多种类型的飞行航路数据标准文件格式导入，包括数据文件KML\SHP\GEOJSON等，并对导入数据的规范性进行校验，并支持将空域导出成SHP文件。</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空域管理-公共航路划设-公共航路相关地面信息管理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支持标准化的航路相关地面信息的批量自动导入、相关地面信息的人工标注更新，并对公共航路相关地面信息进行版本管理。</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空域管理-公共航路划设-公共航路相关障碍物信息管理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支持标准化的航路相关障碍物信息的批量自动导入、相关地面信息的人工标注更新，并对公共航路相关障碍物信息进行版本管理。</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空域管理-公共航路划设-公共航路划设</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支持手动绘制、或输入起点、重点及相关信息自动划设，进行动态三维模拟。支持多种类型的飞行航路数据标准文件格式导入，包括数据文件KML\GEOJSON\SHP等，并支持数据校验。</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空域管理-公共航路划设-公共航路起降场划设</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支持通过三维地图进行在线自定义绘制或上传起降区位置，自动进行空间化处理。</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空域管理-公共航路划设-公共航路运行仿真</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支持对低空公共航路上执飞的航空器活动进行仿真推演，可以对低空航路使用、飞行活动实施、飞行冲突预警等进行仿真显示。</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空域管理-公共航路划设-公共航路地面设施风险分析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对航路所占空域网格（多级别）与遮蔽层进行空间拓扑匹配，考虑对地风险范围，对航路地面设施影响情况进行综合分析。</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空域管理-公共航路划设-公共航路地面人员风险分析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建立人口分布静态统计与动态变化的表征，对航路与人口分布进行空间拓扑匹配，与航路所占空域网格（多级别）与地表区域的关联映射，对航路在静态与动态时间段的风险情况进行分析，实现对网格人员风险系数的计算。</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空域管理-公共航路划设-公共航路碰撞风险分析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提供三维航路碰撞分析功能，针对平台已经绘制的航路支持与建筑等城市要素进行立体碰撞分析。</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空域管理-航线划设-航线划设</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支持在平台上进行选择或划设航线，选择航路的起点和终点，并根据需要指定航线的宽度，平台支持智能化地计算并自动规划最优航线</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空域管理-航线划设-航线仿真</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利用航线仿真可以在虚拟环境中模拟航线，并渲染航线周围的城市要素，直观展示航线实际在城市中的空间分布</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空域管理-航线划设-航线飞行单位关联管理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开发支持低空航线划设时，根据登记单位信息与匹配规则绑定相关飞行单位，需支持自动绑定、手动修改等，并根据单位信息变更情况自动进行解绑等。</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空域管理-航线划设-航线飞行航空器关联管理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开发支持低空航线划设时时，绑定相关航空器及所属信息，需支持自动绑定，手动修改等，并根据航空器信息变更情况自动进行解绑等。</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空域管理-航线申请审批-航线申请</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航线规划完成后，通过平台进行在线申请（各个用户端）公共服务的门户。</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空域管理-航线申请审批-航线规划图上报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将规划好的航线以地图，图形化的形式上报</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空域管理-航线申请审批-航线审批</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使用单位提交航线申请后，审核人员可以通过平台对申请进行全面的审核和管理，并可以查看航线的空间分布情况。</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空域管理-航线申请审批-航线审批反馈</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审核完成后，平台会将结果反馈给用户</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空域管理-空域动态管理-多方协同管理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设计并开发面向军方、民航、地方相关单位的空域协同动态管理机制，建立相应军民地协同申请、审批与信息通报流程，以提高军民地针对临时突发的空域管理效率、协同能力及灵活性。</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空域管理-空域动态管理-空域状态管理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支持多方对空域的动态协同管理，包括空域范围管理、空域类型管理、空域可用时窗间管理、空域属性管理、临时管制空域划设等，生成空域动态管理记录与使用计划。</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空域管理-空域动态管理-空域信息发布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能够依据军民地多方空域状态协同管理结果、地理围栏和飞行规定等信息，基于数字化空域规则，生成可用空域范围数据，并进行动态发布。</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空域管理-空域动态管理-电子围栏管理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能够根据军民地活动保障、紧急任务、应急管理预案等信息，划设并监控电子围栏状态，包括三维电子围栏划设、电子围栏生效管理、电子围栏的显示。</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空域管理-空域动态管理-多用户空域的灵活使用</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支持多用户空域的灵活使用，针对通航有人航空器和无人驾驶航空器等多用户在同一低空空域下运行的需要，建立空域灵活使用方式，实现对共享空域的分时复用。</w:t>
            </w:r>
          </w:p>
        </w:tc>
      </w:tr>
      <w:tr>
        <w:tblPrEx>
          <w:tblCellMar>
            <w:top w:w="0" w:type="dxa"/>
            <w:left w:w="108" w:type="dxa"/>
            <w:bottom w:w="0" w:type="dxa"/>
            <w:right w:w="108" w:type="dxa"/>
          </w:tblCellMar>
        </w:tblPrEx>
        <w:trPr>
          <w:trHeight w:val="30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飞行服务-飞行活动与计划管理-一般飞行活动申请/审批</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设计开发个人用户、企业用户、地方职能部门、各市级飞服中心用户的一般飞行活动申请流程和页面；设计开发军方、地方民航、飞行服务中心按照各自职责进行一般飞行活动审批的流程、页面及功能逻辑。涵盖：一般飞行活动申请流程设计、一般飞行活动基本信息上报、一般飞行活动航空器信息上报、一般飞行活动操控员信息上报、一般飞行活动飞行空域信息上报；一般飞行活动申请筛选、一般飞行活动飞行冲突预警、一般飞行活动飞行风险规避、一般飞行活动多级审核、一般飞行活动上报UOM及同步等。</w:t>
            </w:r>
          </w:p>
        </w:tc>
      </w:tr>
      <w:tr>
        <w:tblPrEx>
          <w:tblCellMar>
            <w:top w:w="0" w:type="dxa"/>
            <w:left w:w="108" w:type="dxa"/>
            <w:bottom w:w="0" w:type="dxa"/>
            <w:right w:w="108" w:type="dxa"/>
          </w:tblCellMar>
        </w:tblPrEx>
        <w:trPr>
          <w:trHeight w:val="33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飞行服务-飞行活动与计划管理-长期飞行活动申请/审批</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设计开发个人用户、企业用户、地方职能部门、各市级飞服中心用户的长期飞行活动申请流程和前端页面；长期飞行活动审批：设计开发军方、地方民航、飞行服务中心按照各自职责进行长期飞行活动审批的流程及页面，覆盖中心审核、军方和地方民航空域管理部门审批等。涵盖：长期飞行活动申请流程设计、长期飞行活动基本信息上报、长期飞行活动航空器信息上报、长期飞行活动操控员信息上报、长期飞行活动飞行空域信息上报；长期飞行活动申请筛选、长期飞行活动飞行冲突预警、长期飞行活动飞行风险规避、长期飞行活动多级审核、长期飞行活动上报UOM及同步等。</w:t>
            </w:r>
          </w:p>
        </w:tc>
      </w:tr>
      <w:tr>
        <w:tblPrEx>
          <w:tblCellMar>
            <w:top w:w="0" w:type="dxa"/>
            <w:left w:w="108" w:type="dxa"/>
            <w:bottom w:w="0" w:type="dxa"/>
            <w:right w:w="108" w:type="dxa"/>
          </w:tblCellMar>
        </w:tblPrEx>
        <w:trPr>
          <w:trHeight w:val="19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飞行服务-飞行活动与计划管理-紧急飞行活动申请/审批</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针对使用无人驾驶航空器执行抢险救灾、医疗救护等紧急任务和特别紧急任务的，设计开发面向紧急飞行活动的特殊申请流程，涉及军民航协同机制。涵盖：紧急飞行活动申请流程设计、紧急飞行活动基本信息填报、紧急飞行活动航空器信息填报、紧急飞行活动操控员信息填报、紧急飞行活动飞行空域信息申请以及配套的报备审核能力实现。</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飞行服务-飞行活动与计划管理-飞行活动全生命周期监测</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提供一般飞行活动、长期飞行活动和紧急飞行活动的全生命周期状态的变更跟踪功能，以便用户能够清晰了解各种飞行活动在不同阶段的状态变化情况；可对飞行活动全生命周期流程进行查询，包括时间、类型、状态等分类查询。</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飞行服务-飞行活动与计划管理-飞行活动变更及取消</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设计开发用户主动取消和空域临时管制导致的飞行活动取消机制；面向用户主动取消和空域临时管制两种原因影响的飞行活动进行调配，可按类型进行取消和延迟。</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飞行服务-飞行活动与计划管理-次日飞行计划申请和形式审核预评估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设计并开发适用于个人用户、企业用户、地方职能部门等的次日飞行计划申请流程，支持进行次日飞行计划的负责人上报、计划飞行时间、计划信息上报、运行类别、任务性质、航空器型号、操控员、飞行时间、航线计划、活动保障等信息上报，能够对飞行计划自动实现形式审查。</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飞行服务-飞行活动与计划管理-次日飞行计划飞行空域信息上报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用户在线划设和填报飞行计划的飞行区域。用户可以选择按区域或按路径的方式进行划设，灵活规划飞行路线。这种交互式设计帮助用户准确勾勒飞行区域，提高飞行计划的可视化和操作性，从而更好地完成飞行任务的规划和管理。</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飞行服务-飞行活动与计划管理-次日飞行资质审核预评估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与UOM实现数据互通，实现对用户输入的飞行资质进行自动校验，生成实名登记审核、操控员资质审核、系统认证审核、适航条件审核、运营资质审核、商业保险购买情况审核、相关行业经营资质审核的审核建议，实现自动审核</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飞行服务-飞行活动与计划管理-次日飞行计划用空冲突识别与调配</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用户提交的飞行计划信息，系统将对计划涉及的时间和空间维度进行全面冲突评估，以帮助管理层做出明智的决策。这种评估将有助于识别可能存在的交叉冲突或重叠，确保飞行计划的顺利执行并最大程度地减少潜在的风险和干扰。支持时空冲突调整功能，实现冲突调配</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飞行服务-飞行活动与计划管理-次日飞行计划审核预评估（飞服中心）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对用户提交的全域飞行计划进行一体化显示，支持地方审核员进行便捷化预审核，从用户申请阶段、审批阶段、执行阶段、结束阶段各类状态基于二维地图进行可视化表征，不同颜色代表不同阶段，同时集成列表方式进行快捷审核。</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飞行服务-飞行活动与计划管理-次日飞行计划公共安全审核预评估（职能部门）</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支持公安、应急等部门对飞行计划进行预审，对于飞行航线涉及的危险品运输、密集人群上空，或者分布式操控运行的情况，可推送制公安、应急等部门预审核。</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飞行服务-飞行活动与计划管理-飞行计划安全评估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根据计划范围，对申请时段飞行计划进行可行评估，考虑多类影响因素，包括气象、人口、地理信息以及其他计划的关系等，并生成飞行计划安全评估结果，辅助飞行审批、管理。</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飞行服务-飞行活动与计划管理-次日飞行计划的空管机构审核（军、民航）</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对相关飞行计划进行一体化显示，按空管机构审核要求进行便捷化审核，从用户申请阶段、审批阶段、执行阶段、结束阶段各类状态基于二维地图进行可视化表征，不同颜色代表不同阶段，同时集成列表方式进行快捷审核。</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飞行服务-飞行活动与计划管理-次日飞行计划批准和回执推送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空管机构做出飞行计划批准或预审决定，并向用户推送回执，并获取各阶段飞行计划的审核结果，进行状态的变更，进行飞行计划全生命周期的管理，审批的动作进行日志记录便于生成报表进行打印。</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飞行服务-飞行活动与计划管理-当日放飞申请、审批和回执推送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支持用户提交起飞前确认申请，设定规则，通过弹窗、信息栏、声音提示完成申请、审批流传提醒功能，方便审核人员和用户进行批量处理。</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飞行服务-飞行活动与计划管理-固定基础信息自动回填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通过与UOM平台的资质校验和历史填报信息的记录储存，可自动链接回填操控员信息、通信联络信息、应急处置程序、航空器基本信息、飞行控制链路信息、航空器通道和空域被监视能力等信息，并留档备查</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飞行服务-有人无人飞行计划协同-协同飞行计划冲突识别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根据无人/有人机次日飞行计划的申请信息，从时间、空间维度对无人/有人机次日飞行计划进行冲突评估。</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飞行服务-有人无人飞行计划协同-协同飞行计划冲突规避</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根据无人/有人机次日飞行计划的冲突信息，从时间、空间维度对无人/有人机次日飞行计划进行冲突调配，辅助无人机飞行计划管理决策。</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飞行服务-航行情报服务-电磁环境情报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关注航路航线上特定区域内的电磁辐射水平、频谱占用情况以及潜在的电磁干扰源。通过分析电磁数据，该功能能够提供有关电磁环境现状的详细信息，并预测潜在的电磁干扰风险</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飞行服务-航行情报服务-人口热力情报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分析航路航线上人口分布、流动以及活动数据，提供关于特定区域内人口聚集程度和活跃度的信息</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飞行服务-航行情报服务-地面建筑和构筑物情报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对航路航线上地面各类建筑物、道路、桥梁等基础设施的详细信息进行分析。该功能能够提供建筑和构筑物的类型、规模、分布以及使用状况等信息，帮助用户了解地面设施的整体布局和运行情况</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飞行服务-航行情报服务-备降点相关情报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提供航路航线上有关潜在备降机场的详细信息，包括机巢位置、气象条件、设施服务等。该功能对于保障飞行安全具有重要意义，能够在遇到紧急情况或特殊天气条件时，提供合适的备降点选择</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飞行服务-航行情报服务-情报信息生成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将多类型、多格式低空航行情报信息进行离散化处理，生成数字化、可视化的情报数据，并与数字网格进行关联管理，形成可配置的低空航行情报资料。</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飞行服务-航行情报服务-情报信息发布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动态更新或发布相应的低空航行情报信息，支持航行情报信息的发布和定向推送。使得各种航行情报信息可以被系统更好地理解和利用，进而支持飞行计划、导航和空中交通管理等相关工作的进行。</w:t>
            </w:r>
          </w:p>
        </w:tc>
      </w:tr>
      <w:tr>
        <w:tblPrEx>
          <w:tblCellMar>
            <w:top w:w="0" w:type="dxa"/>
            <w:left w:w="108" w:type="dxa"/>
            <w:bottom w:w="0" w:type="dxa"/>
            <w:right w:w="108" w:type="dxa"/>
          </w:tblCellMar>
        </w:tblPrEx>
        <w:trPr>
          <w:trHeight w:val="22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69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飞行服务-航行情报服务-情报信息订阅</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实现动态情报的发布与订阅机制，具备情报信息分类索引与订阅者关联关系，提供情报订阅设定页面，涵盖订阅内容、订阅对象（如：空域、起降场等）配置等；基于情报发布事件监测，触发针对特定需求对情报信息进行筛选的功能。系统后端可根据用户具体需求和条件设定筛选参数，快速准确获取所需的情报信息；针对订阅情报信息的空域用户，定向推送定制化、可视化的航行情报信息。</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飞行服务-航行情报服务-情报信息管理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低空航行情报查询功能，对情报的类型、可用状态、更新时间等进行查询；可对情报数据进行删除和编辑；支持识别可能影响低空飞行的情报动态信息；支持一般情报数据版本管理，支持运行态势回放及相关复盘需求。</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飞行服务-气象服务-温度、湿度信息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开发支持接入分析航路航线上温度湿度数据，包括预报数据和观测报数据，形成可查看、可用于低空无人机飞行的网格化数据格式，用户可以了解当前环境的舒适程度，预测未来天气变化趋势，辅助飞行活动决策</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飞行服务-气象服务-风速风向信息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接入航路航线上特定区域内的实时风速和风向数据，包括预报数据和观测报数据，形成可查看、可用于低空无人机飞行的网格化数据格式，有助于用户了解当前天气状况，预测风力对建筑物、交通以及飞行活动等的影响</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飞行服务-气象服务-降水量信息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开发支持接入航路航线上降雨强度、持续时间以及降水类型等。包括预报数据和观测报数据，形成可查看、可用于低空无人机飞行的网格化数据格式，用户可以及时了解降雨情况，预测未来天气变化趋势</w:t>
            </w:r>
          </w:p>
        </w:tc>
      </w:tr>
      <w:tr>
        <w:tblPrEx>
          <w:tblCellMar>
            <w:top w:w="0" w:type="dxa"/>
            <w:left w:w="108" w:type="dxa"/>
            <w:bottom w:w="0" w:type="dxa"/>
            <w:right w:w="108" w:type="dxa"/>
          </w:tblCellMar>
        </w:tblPrEx>
        <w:trPr>
          <w:trHeight w:val="22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飞行服务-气象服务-气象条件综合评价</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综合多种低空气象信息，采用气象风险评估方法，综合多种气象影响要素对无人机飞行的影响，评估气象对不同类型无人机飞行的影响，并融合数字化三维地图和数字化空域网格，给出气象影响评估结果与提示，明确受气象影响下的空域对象可用性。该功能能够为用户提供关于天气状况、空气质量、舒适度等方面的综合评价结果，帮助用户制定合适的飞行计划和应对措施</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飞行服务-气象服务-气象数据融合发布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采取融合方法，对搜集到的低空的气象数据进行融合处理，建立多层级空域数字网格格数据与气象观测、预报报数据的时空关联，考虑气象数据精度，并按照飞行与气象情报制作需求，生成具备4DT的数字化气象信息</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飞行服务-飞行异常提示-飞行异常判断和告警推送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通过实时监测飞行数据，判断是否存在异常情况，如偏离航线、速度异常等。一旦发现异常，该功能会立即向机构类运行人、操作员推送告警信息，以便及时采取措施确保飞行安全</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飞行服务-飞行异常提示-突发事件广播</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通过广播系统向相关人员传达重要信息，有助于迅速传递紧急情况的消息，指导人员采取正确的应对措施，确保人员安全和减少损失。</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飞行服务-飞行异常提示-飞行异常分级告警和筛送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根据飞行数据的异常程度，对告警进行分级处理，并筛选出关键信息进行推送</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79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飞行服务-飞行用户资质与权限管理-操控员注册信息与审核</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操控员注册和审核：支持对用户所属的操控员信息进行注册管理和资质认定校验。包含操控员注册、操控员信息查询、操控员信息管理、操控员注册信息验证、操控员注册撤销、操控员信用及禁用、操控员资质信息定时检查等，实现UOM数据的有效比对。</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飞行服务-飞行用户资质与权限管理-企业信息与资质查询</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认证和资质管理：针对多类型的用户，支持对用户填报的关键信息和资质进行认证和管理。包含用户基本信息认证（toB、toC、toG）、运营合格证登记、运营合格证认证与审核、运营合格证停用、运营合格证恢复、运营合格证定时检查等具体功能，实现UOM数据的有效比对。</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飞行服务-低空航空器管理-无人机注册和管理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支持个人用户、企业用户、各职能部门用户的多类型无人驾驶航空器设备注册，支持信息修改、删除等管理操作。</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飞行服务-低空航空器管理-无人机实名信息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支持对无人驾驶航空器设备的实名注册注册信息进行认证。支持对中型、大型等特定类型的无人机适航证书确认。</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飞行服务-低空航空器管理-无人机分区分类管理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无人机分区分类管理：对全市注册的无人驾驶航空器按照类型、行政区划、注册时间、所属用户进行分区分类统计和管理。</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飞行服务-低空航空器管理-有人机注册信息管理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与华东通航飞服中心对接，同步有人机相关注册信息并进行相应的分类管理，满足有人无人机协同的初步信息需求。</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态势监视-飞行数据质量评估-飞行数据前置处理模块</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实时接收和解析飞行动态数据，通过精简处理去除冗余信息，提高数据的准确性和传输效率，为飞行操作提供清晰可靠的支持。</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态势监视-飞行数据质量评估-飞行数据质量指标统计模块</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系统通过CRC技术检测数据帧错误，记录航迹数据丢失，确保飞行器可追踪性，并通过时标检查保证时间戳的准确性。</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态势监视-飞行数据质量评估-飞行数据融合处理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系统能够提供监视数据冗余处理，并监视数据的处理工作状态，能够对单路及综合航迹进行航迹目标相关处理、航迹质量控制处理、判断目标起飞和降落处理等功能。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态势监视-飞行数据质量评估-飞行数据与飞行数据相关</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自动识别并关联飞行活动与航迹对象，进行一致性检查，并标记异常情况以确保数据准确性。</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89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态势监视-空域容流监测预警-空域容量配置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基于数字化空域网格技术，可以进行不同层级的网格化空域单元和网格化航路的静态容量、容量动态配置，动态配置指可配置有时序变化特征的容量值；支持批量设置与按规则设置容量。</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态势监视-空域容流监测预警-空域流量实时监测</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集成无人有人实时运行数据接入，对无人、有人机动态飞行数据按照多层级空域网格进行快速匹配，实现基于时空数据关联的瞬时飞行流量统计，可实时显示多层级空域网格单元的飞行流量和容量数据；依据当日飞行计划，支持预测短时飞行流程，以支持容流不平衡预测。</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态势监视-空域容流监测预警-容流实时匹配监测</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针对不同空域网格内的实时/预测飞行流量和容量状态，系统可以进行判别，并采用容流评估算法对飞行流量和容量参数进行实时计算，以帮助实现空域的动态管理和优化飞行流量分配。</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态势监视-空域容流监测预警-容流预警告警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系统具备实时监测空域或航路容量的能力，支持容量预警告警等级参数配置；当检测到容量接近或超过不同等级的预设阈值时，会自动触发容量预警告警，并给出相应的预警告警提示。</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态势监视-空域容流监测预警-告警信息记录查看</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系统会针对每一条告警信息进行详细记录，包括告警发生的具体时间、原因、影响程度等相关参数和上下文信息，以便进行有效的告警管理和分析。</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态势监视-在线违规飞行与风险判别-飞出航路判别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对航空器实时位置和航路进行空间拓扑分析，判别航空器飞出航路的位置、方向等。</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态势监视-在线违规飞行与风险判别-入侵管制区判别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对航空器实时位置和管制区域进行空间拓扑分析，判别航空器侵入管制区和即将侵入管制区趋势。</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态势监视-在线违规飞行与风险判别-超低空飞行</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对航空器飞行轨迹和地表模型进行空间拓扑分析，判别航空器低空飞行位置、时段和坠地、碰撞障碍物趋势。</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态势监视-在线违规飞行与风险判别-超速飞行</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匹配飞行计划、航空器参数，基于航空器速度、位置对航空器超速进行判别。</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态势监视-在线违规飞行与风险判别-一致性预警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实际飞行情况偏离飞行计划，航空器资质与飞行计划申报不匹配等的判别</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99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态势监视-在线违规飞行与风险判别-对空冲突风险识别（无人机）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依据当前飞行轨迹、飞行状态，根据可配置的安全间隔标准，建立特定的战术冲突风险评估方法，开发后台算法，判断无人机与无人机间的潜在碰撞风险及风险等级。</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态势监视-在线违规飞行与风险判别-对地碰撞风险识别（无人机）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依据无人运行当前飞行轨迹、飞行状态与趋势，结合地形、建筑物模型的地理信息，建立近地风险预测识别方法；基于可配置的障碍物间隔标准，判断无人机与地面障碍物之间的碰撞风险及等级。</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态势监视-在线违规飞行与风险判别-无人/有人运行冲突识别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依据有人机与无人机飞行轨迹与趋势，参考配置的保护区或间隔标准，建立有人无人飞行冲突识别模型与风险等级判别。</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态势监视-违规与风险预警告警与提示-违规飞行发生前自动产生预警/告警、警示信息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通过对无人驾驶航空器飞行轨迹与飞行计划、无人驾驶航空器实名登记等信息进行关联，基于无人机管制空域和运行规则进行综合计算，实现在违规飞行发生前自动产生预警/告警、警示信息。</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态势监视-违规与风险预警告警与提示-违规飞行发生时自动产生预警/告警、警示信息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通过对无人驾驶航空器飞行轨迹与飞行计划、无人驾驶航空器实名登记等信息进行关联，基于无人机管制空域和运行规则进行综合计算，实现在违规飞行发生时自动产生预警/告警、警示信息。</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态势监视-违规与风险预警告警与提示-对空冲突风险识别模型</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利用当前飞行轨迹、飞行状态、安全间隔标准，根据特定的战术冲突风险评估方法，开发后台算法，判断多架航空器之间的碰撞风险。</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态势监视-违规与风险预警告警与提示-无人/无人运行冲突风险识别与告警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针对无人机之间的空中碰撞风险，基于配置的风险或间隔等级，进行相应的预警告警；结合三维数字地图数据，依据对地碰撞风险识别结果，基于对地碰撞的配置的风险或间隔，实时显示近地碰撞风险情况，进行预警与报警。</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态势监视-违规与风险预警告警与提示-无人/有人运行冲突识别与告警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具备无人机与有人机协同运行环境下运行冲突的识别和预警告警功能；具备风险预警告警阈值配置能力。</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态势监视-违规与风险预警告警与提示-实时变更发生/消除状态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对无人驾驶航空器的违规飞行、运行风险实时变更其发生/消除状态功能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态势监视-违规与风险预警告警与提示-预警告警信息存储</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对无人驾驶航空器的违规飞行、运行风险预警告警信息进行存储</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态势监视-违规与风险预警告警与提示-违规飞行告警查询</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对无人驾驶航空器的违规飞行、运行风险告警进行查询</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态势监视-航行情报和气象情报监视-电磁环境情报呈现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静态的电磁情报数据格式预处理与关联，形成可查看、可用于低空无人机飞行的情报格式，支持生成数字化、可视化的电磁环境情报数据，通过分析电磁数据，提供有关电磁环境现状的详细信息，支持飞行线路选择与计划审批。</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态势监视-航行情报和气象情报监视-人口热力情报呈现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分析航路航线上人口分布、流动以及活动数据，对人口情报数据格式预处理与关联，形成可查看、可用于低空无人机飞行的情报格式，支持生成数字化、可视化的人口热力情报数据，提供关于特定区域内人口聚集程度和活跃度的信息</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态势监视-航行情报和气象情报监视-地面建筑和构筑物情报呈现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航路航线上地面各类建筑物、道路、桥梁等基础设施的详细信息进行处理，形成可查看、可用于低空无人机飞行的情报格式，支持生成数字化、可视化的建筑物情报数据。该功能能够提供建筑和构筑物的类型、规模、分布以及使用状况等信息，帮助用户了解地面设施的整体布局和运行情况</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态势监视-航行情报和气象情报监视-备降点相关情报呈现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航路航线上有关潜在备降机场的详细信息，包括机巢位置、气象条件、设施服务等，支持生成数字化、可视化的建筑物情报数据。该功能对于保障飞行安全具有重要意义，能够在遇到紧急情况或特殊天气条件时，提供合适的备降点选择</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态势监视-航行情报和气象情报监视-气象仿真模拟</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根据接入实时的温度、风速、降雨等气象信息，动态调整环境模型</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态势监视-航行情报和气象情报监视-智联空联网分布呈现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开发支持通信范围数据、导航范围数据、监视范围数据等智能控联网分布范围进行三维可视展现。</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态势监视-飞行记录查询-飞行记录表格展示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无人机飞行轨迹，提供列表包括位置、高度、速度等展示查询</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态势监视-飞行记录查询-飞行记录图表展示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无人机的飞行时间、高度、速度等时变图展示查询</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态势监视-飞行记录查询-飞行记录地图展示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地图为背景展示单个架次的无人机飞行轨迹。</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态势监视-飞行记录查询-飞行记录相关计划航线地图展示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地图为背景展示单个架次的无人机计划航线的飞行轨迹。</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态势监视-飞行记录查询-飞行记录导出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无人机飞行轨迹结果，提供导出功能。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态势监视-飞行记录查询-飞行计划航线导出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无人机飞行计划航线，提供导出功能。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态势监视-飞行任务和空域使用特征-空域使用特征识别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基于空域空间的三维网格和飞行任务数据，设计空域使用特征计算算法</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态势监视-飞行任务和空域使用特征-忙碌级别特征识别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平台生成动态热力图或网格颜色梯度渲染，直观反应不同时段的空域忙碌状况</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态势监视-飞行任务和空域使用特征-空域高度特征识别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基于空间剖分转换为大地坐标和高程的空域高度特征</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态势监视-飞行任务和空域使用特征-航空器高度特征识别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基于航空器动态数据的高度校核</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态势监视-飞行任务和空域使用特征-使用综合率特征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基于忙碌级别特征数据的统计分析，输出综合使用率特征</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态势监视-飞行任务和空域使用特征-分时占有率特征</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基于忙碌级别特征数据的统计分析，输出空域分时占有率特征</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态势监视-联动监管-重点区域飞行动态监控</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可配置重点关注区域、空域或关注对象，根据协同管理单位需要，对城市重点区域的飞行动态数据、计划数据进行监控，采用二、三维GIS进行实时呈现，并提供相关违规和风险事件的关注。</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129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态势监视-联动监管-违规飞行飞行活动辅助识别与记录</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推送违规飞行活动辅助识别结果，提供相关职能部门确认；支持记录所有检测到的违规飞行行为的信息查询及关联信息调阅，包括违规的时间、行为描述、基本用户信息、装备、资质及历史违规活动等，支持生成违规行为报告，用于内部审查或外部监管，以便于事后分析和审计。</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态势监视-联动监管-飞行活动与运营人身份核查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支持指定用空对象的关联飞行活动/计划查询；并支持关联的操控人员、运营企业信息的关联查询；并支持与国家UOM系统的数据交互，实现运营资格和操控员资质的比对验证；</w:t>
            </w:r>
          </w:p>
        </w:tc>
      </w:tr>
      <w:tr>
        <w:tblPrEx>
          <w:tblCellMar>
            <w:top w:w="0" w:type="dxa"/>
            <w:left w:w="108" w:type="dxa"/>
            <w:bottom w:w="0" w:type="dxa"/>
            <w:right w:w="108" w:type="dxa"/>
          </w:tblCellMar>
        </w:tblPrEx>
        <w:trPr>
          <w:trHeight w:val="19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态势监视-联动监管-违规活动处置跟踪</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违规活动处置范围的不同，设计开发面向公安、民航等相关部门差异化的协同处置流程和处理页面，提供《暂行条例》规定的一般处置方式；按照不同协同管理方关注范围，自动归集所负责的违规行为，支持对违规活动的处理确认和描述，提供相关违规数据证据；相关部门对违规活动的协同处置过程进行记录和跟踪。</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态势监视-联动监管-常态飞行公共安全审核</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与职能部门和相关平台的数据对接和业务交互，支持相关职能部门进行用户和无人驾驶航空器设备的实名信息比对验证，支持职能部门开展公共安全审核。重点优先完成公安相关功能。</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公共安全审核含限定人员关联的飞行计划确认。</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态势监视-联动监管-紧急用空/净空协调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由职能部门应对突发事件提出紧急用空需求，导致空域限制、并明确净空要求（时间空间）。依据限制的时空范围特征，识别受波及的飞行计划与在飞飞行任务，形成波及分析清单与标识，支撑当日分析计划调整与审批，支撑在飞无人机停飞落地，或形成处置确认清单。</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态势监视-报警信息推送-报警信息组织</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航空器动态、坠落点环境等信息组织</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态势监视-报警信息推送-报警事件航空器全息态势共享</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具备事故发生时段全息态势回放功能，并形成态势回放的可共享的视频或数据信息。</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辅助决策-航线地面人员安全预评估-考虑地面人口伤亡的城市低空地面风险评估建模和模块开发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地面风险评估模型，计算每飞行小时的伤亡人数概率，需要考虑无人机坠地发生事故发生概率，无人机坠落地面空间范围概率等因素</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辅助决策-航线地面人员安全预评估-坠机事件下的撞击人员建模和模块开发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通过考虑无人机坠地影响的区域面积，无人机尺寸等，以及撞击区域的人口密度等因素，计算撞击人员的概率</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辅助决策-航线地面人员安全预评估-坠机事件下的伤人建模和模块开发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通过考虑地表树木，建筑物等其他障碍物的遮蔽效果，和无人机撞击地面动能（高度，最小重量）计算</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139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辅助决策-航线地面人员安全预评估-精细化时间和空间人口数据计算维护和管理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基于人口基础数据，计算基于100米网格时变的人口密度计算和数据维护管理</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辅助决策-航线地面人员安全预评估-遮蔽效应、障碍物、禁飞区、重点特殊区域多因素特征工程化开发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基于网格的遮蔽效应、障碍物、禁飞区、重点特殊区域数据，进行特征工程计算，支撑模型分析</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辅助决策-航线地面人员安全预评估-多影响因素层综合地面风险地图建模和开发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将风险因素影响各个层面数据交叉碰撞，计算面向风险成本目标的各个最小网格的定量风险成本和强约束定量条件</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辅助决策-航线地面人员安全预评估-风险安全目标水平建模和开发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低空无人机风险目标水平建模和开发，考虑低空飞行小时事故发生次数（等效安全水平），计算风险等级水平分级和对应的风险值</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辅助决策-航线地面人员安全预评估-基于风险地图的航线走向风险成本计算和路径优化模块和开发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基于风险地图的网格风险成本和无人机飞行起止需求，计算基于风险地图的分析路径总体成本和飞行风险等级，基于优化角度，重新优化飞行路径轨迹和相应风险成本等。</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辅助决策-航线划设设施预评估-航线设施安全度评估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参考标准 MHT 4054 城市场景轻小型无人驾驶航空器物流航线规划设规范；评估地面人员安全、地面设施安全、搜寻难度、重点区域的次生伤害</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辅助决策-航线划设设施预评估-航线运行环境可靠性评估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参考标准 MHT 4054 城市场景轻小型无人驾驶航空器物流航线规划设规范；评估航线的气象环境情况、航线电磁环境、障碍物环境</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辅助决策-航线划设设施预评估-航线运行技术可靠性评估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参考标准 MHT 4054 城市场景轻小型无人驾驶航空器物流航线规划设规范；评估航线的导航性能、起降点的导航性能、通信性能、监视性能</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辅助决策-航线划设设施预评估-航线可接受度评估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参考标准 MHT 4054 城市场景轻小型无人驾驶航空器物流航线规划设规范；评估航线隐私程度（高端住宅、政府等敏感区域）、噪音因素</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辅助决策-航线划设设施预评估-航线专题报告生成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基于平台的航线数据库，针对不同用户群体（审批、运营企业等），建立专题报告模板，根据设定的内容自动生成航线专题报告，并支持报告的查看、编辑、导出等功能。</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149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信息服务-飞行活动后评估服务-飞行回放和评估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允许用户对过去的飞行过程进行回放和分析。通过该功能，用户可以查看飞行轨迹、速度、高度等详细信息，评估飞行表现，总结经验教训，为今后的飞行提供参考。</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信息服务-飞行活动后评估服务-飞行效率评估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通过对飞行数据的分析，评估飞行的效率水平。该功能能够提供关于飞行速度、航程、油耗等方面的评估结果，帮助用户了解飞行性能，优化飞行计划，提高飞行效率。</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信息服务-飞行活动后评估服务-飞行安全性评估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通过对飞行数据的综合分析，评估飞行的安全性水平。该功能能够发现潜在的飞行安全隐患，提供风险预警和建议措施，帮助用户提高飞行安全性。</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信息服务-飞行活动后评估服务-飞行合规性评估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检查飞行操作是否符合相关法规和规定。该功能能够比对飞行数据与标准规范，判断是否存在违规行为，并提供合规性评估报告，帮助用户确保飞行操作的合规性。</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信息服务-飞行活动后评估服务-飞行评估优化报告</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基于飞行数据分析和评估结果，提供针对飞行操作的改进建议和优化方案。该功能旨在帮助用户提高飞行技能、优化飞行计划，提升飞行质量和安全性。</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信息服务-订阅服务-单次飞行报告</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根据用户需求，提供定制化的单次飞行报告</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信息服务-订阅服务-用户飞行月报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根据用户需求，提供定制化的飞行月报</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信息服务-订阅服务-安全风险评估</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根据用户需求，提供飞行航线的安全风险评估产品</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信息服务-订阅服务-用户飞行违规报告</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根据用户需求，提供飞行违规统计产品</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信息服务-订阅服务-飞行环境信息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根据用户需求，提供飞行环境信息等定制化的数字订阅产品</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159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信息服务-公共监督-公共监督信息提交</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公共监督信息采集功能和标准化</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信息服务-公共监督-转发协办通报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公共监督信息的转发、协办通报</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信息服务-公共监督-处理结果反馈</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处理结果的进度、状态反馈</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信息服务-法规标准、通知通告-信息编辑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管理员可使用编辑器对法律法规信息内容进行编辑。</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信息服务-法规标准、通知通告-信息发布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提供法律法规信息发功能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信息服务-法规标准、通知通告-信息查询</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提供法律法规信息的查询功能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信息服务-法规标准、通知通告-信息展示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提供法律法规信息展示功能</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信息服务-法规标准、通知通告-信息下载</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用户上传法律法规文件附件供公众用户下载</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（无人机）-无人机登记信息对接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UAS码和SN码校验无人机登记状态、UAS码和SN码查询无人机登记信息、SN码和生产厂商统一社会信用代码查询无人机登记信息</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（无人机）-民用无人驾驶航空器操控员信息对接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查询民用无人驾驶航空器操控员信息、根据个人用户信息查询其理论合格证证件信息、</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169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（无人机）-企业运营信息对接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根据国家一体化综合监管平台数据规范开发，用于查询运营许可信息。</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（无人机）-空域信息对接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通过民用无人驾驶航空器综合管理平台（UOM）获取授权服务的空域的适飞空域信息、查询临时管控需求申请审批状态。</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向民用无人驾驶航空器综合管理平台（UOM）发送临时管控需求申请信息。</w:t>
            </w:r>
          </w:p>
        </w:tc>
      </w:tr>
      <w:tr>
        <w:tblPrEx>
          <w:tblCellMar>
            <w:top w:w="0" w:type="dxa"/>
            <w:left w:w="108" w:type="dxa"/>
            <w:bottom w:w="0" w:type="dxa"/>
            <w:right w:w="108" w:type="dxa"/>
          </w:tblCellMar>
        </w:tblPrEx>
        <w:trPr>
          <w:trHeight w:val="28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（无人机）-飞行活动信息对接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向民用无人驾驶航空器综合管理平台（UOM）发送服务区域内一般、紧急飞行活动申请信息；发送服务区域内长期、场内飞行活动申请信息；发送长期飞行活动备案信息；发送一般、紧急、长期飞行活动起飞确认信息。</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通过民用无人驾驶航空器综合管理平台（UOM）查询已发送的飞行活动申请审批结果及起飞确认批准情况、获取服务区域内的飞行活动申请数据。、申请场内飞行活动起飞确认、上报飞行活动降落报告。</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（无人机）-无人机飞行态势数据对接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通过民用无人驾驶航空器综合管理平台（UOM）获取服务区域无人机飞行动态数据。</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（无人机）-起降场数据对接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通过民用无人驾驶航空器综合管理平台（UOM）进行起降场的上报、查询起降场信息。</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（无人机）-航路航线数据对接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通过民用无人驾驶航空器综合管理平台（UOM）进行航路航线的上报、航路航线查询。</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UOM管理接口</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（无人机）-心跳探测接口</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向民用无人驾驶航空器综合管理平台（UOM）发送心跳探测信息，用于双方系统服务存活感知。</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公安管理部门接口-无人机飞行动态数据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按需提供无人机飞行动态数据，协助执法</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公安管理部门接口-安全预警数据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态势监视分析获取的各类违规飞行、危险飞行数据</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公安管理部门接口-无人机登记信息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来自UOM的无人机登记信息</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通航数据接口-飞行计划数据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接入划数据涵盖航班编号、起降机场、预计起降时间、飞机型号等。开发数据接口，适配不同数据源格式与协议；编写清洗转换程序，确保数据准确可用；构建存储架构并保障安全稳定。</w:t>
            </w:r>
          </w:p>
        </w:tc>
      </w:tr>
      <w:tr>
        <w:tblPrEx>
          <w:tblCellMar>
            <w:top w:w="0" w:type="dxa"/>
            <w:left w:w="108" w:type="dxa"/>
            <w:bottom w:w="0" w:type="dxa"/>
            <w:right w:w="108" w:type="dxa"/>
          </w:tblCellMar>
        </w:tblPrEx>
        <w:trPr>
          <w:trHeight w:val="140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通航数据接口-飞行动态数据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接入的通航飞行动态数据涵盖航班编号、飞机型号、起降机场、实时位置（经纬度、高度等）与飞行状态。开发数据接口，处理多源数据格式；进行清洗转换以保准确；设计存储结构与机制；保障安全稳定并构建实时处理模块。</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气象数据接口</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接入气象部门的温度、湿度信息、风速风向信息、降水量信息。</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低空数据共享服务-低空数据空间映射</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平台接入的无人航空数据，将数据进行空间化映射，实现数据空间话，并生成低空数据服务API</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低空数据共享服务-“一张图”服务接入管理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平台需要引入上海市一张图时空底座的数据服务，建立服务注册，实现各类服务的统一接入管理。（一张图底图服务，包括基础底图、航空影像、卫星影像以及底图的跨图服务、地名地址服务、全市建筑白膜，实时天气、建筑物高程、河流、公园、历史建筑等）</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低空数据共享服务-低空服务访问管理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针对用户在平台申请的数据服务，数据管理人员可以对提交的服务申请进行审核，审核过程中可以查看详细的申请信息，审核通过后，平台将自动生成对应的授权口令，授予用户访问平台服务的权限</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低空数据共享服务-低空数据服务中心</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以卡片式展示平台的数据资源，便于用户可以快速直观的操作快速定位到所需数据</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运营企业数据接口-美团、顺丰、中通、申通等企业运营数据</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飞行前申报、申请信息，飞行中航空器动态信息上报。</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平台向航空器进行审批反馈、违规报警等信息推送。</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区级数据接口-市级基础信息服务</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建设市区同步标准API向区级开放航空器和空域数据等基础低空数据。</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区级数据接口-区级受理信息接入</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基于于市级资源，通过同步API接口实现区级数据的统一归集和高效流动，以便快速报送飞行申请信息并动态推送报表</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跨域数据接口-周边省份信息交互接口（双向）</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用于支撑长三角跨省飞行过程中存在的协同管理与服务、信息协同共享的需求。提供跨省飞行的飞行活动与计划数据交互、飞行动态数据交互、飞行情报和必要气象信息的共享。</w:t>
            </w:r>
          </w:p>
        </w:tc>
      </w:tr>
      <w:tr>
        <w:tblPrEx>
          <w:tblCellMar>
            <w:top w:w="0" w:type="dxa"/>
            <w:left w:w="108" w:type="dxa"/>
            <w:bottom w:w="0" w:type="dxa"/>
            <w:right w:w="108" w:type="dxa"/>
          </w:tblCellMar>
        </w:tblPrEx>
        <w:trPr>
          <w:trHeight w:val="168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制造企业数据接口-大疆企业数据接口（消费级无人机）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与大疆对接，实现地方登记报备系统的登录调用入口（上传平台：机型SN信息的上传）、管控空域下的地面严管执法区的禁飞区数据、管控空域下的地面重点监控区的警示数据、地方划设的禁飞区的解禁请求、热门景点限流飞行的管道数据等。飞行中动态信息上报。</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制造企业数据接口-时的科技数据接口（载人飞行）</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飞行中位置与轨迹、速度与姿态，飞行后飞行记录上报。</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五角场复杂商圈城市配送场景应用-城市配送低空数字孪生底座-复杂商圈外卖配送场景</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杨浦低空数字孪生的建设范围将以杨浦区五角场商业区为中心，覆盖周边5*5平方公里的范围，创建一个高度精确与现实互动的虚拟映射</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五角场复杂商圈城市配送场景应用-城市配送低空数字孪生底座-航线展示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对杨浦试点范围内的无人机航线机进行孪生</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五角场复杂商圈城市配送场景应用-城市配送低空数字孪生底座-起降点展示</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对杨浦试点范围内的无人机起降点进行孪生</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五角场复杂商圈城市配送场景应用-城配物流空域管控</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空域被划分为若干个精细的管理单元，实现复杂商圈城配物流分米级空域管理，根据其地理位置、用途和飞行活动类型进行细致规划</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五角场复杂商圈城市配送场景应用-城配物流空中交通规划辅助决策</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将根据管理人员选择的起飞地及降落地，自动生成建议的航线路径，对航线路径中可能会存在的碰撞或其他危险情况进行提示</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五角场复杂商圈城市配送场景应用-外卖无人机信息管理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结合动态模拟美团无人机、站点，并实时接入状态态，包括实时位置、飞行高度、速度等关键信息</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五角场复杂商圈城市配送场景应用-无人机飞行行为监视-日常动态监视</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动态监视无人机基础信息、飞行计划、审批情况、飞行位置、速度等。</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199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五角场复杂商圈城市配送场景应用-无人机飞行行为监视-飞行资质预警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自动审查飞行资质，如发现无人机未经申报或审批进行飞行的，将进行智能预警</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五角场复杂商圈城市配送场景应用-无人机飞行行为监视-飞行违规预警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系统对无人机的运行状态进行动态、实时监控，当无人机偏离预定路线、进入禁飞区或者遭遇不良天气条件时，系统会立即触发警报，通知管理人员进行干预</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201</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五角场复杂商圈城市配送场景应用-无人机飞行行为监视-空域违规预警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通过将划设的禁飞区、限飞区等区域电子围栏乱生化，系统自动识别无人机是否进入禁飞区或限飞区，一旦发现无人机进入区域，立即触发预警</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202</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五角场复杂商圈城市配送场景应用-无人机飞行行为监视-气象条件预警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接入气象实时数据，预测不利飞行条件，如强风、雷暴或低能见度，提前对无人机进行预警，建议暂停飞行或选择安全着陆点</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203</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五角场复杂商圈城市配送场景应用-无人机飞行行为监视-空中交通冲突预警</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通过集成杨浦试点范围内的无人机数据，实时并不间断地监测范围内飞行器，预测潜在的空中交通冲突，及时对范围内无人机飞行进行调整</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204</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五角场复杂商圈城市配送场景应用-无人机飞行行为监视-紧急情况响应</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系统支持管理人员在孪生系统进行一键式紧急操作选项，在紧急情况出现时，可以让无人航空器自动返航或寻找最近的着陆点</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205</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五角场复杂商圈城市配送场景应用-城配物流立体网格多维度分析-低空空域网格化建模</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将空域划分为一系列三维网格，每个网格代表一定的空间范围，允许系统对局部区域进行精确控制和监测</w:t>
            </w:r>
          </w:p>
        </w:tc>
      </w:tr>
      <w:tr>
        <w:tblPrEx>
          <w:tblCellMar>
            <w:top w:w="0" w:type="dxa"/>
            <w:left w:w="108" w:type="dxa"/>
            <w:bottom w:w="0" w:type="dxa"/>
            <w:right w:w="108" w:type="dxa"/>
          </w:tblCellMar>
        </w:tblPrEx>
        <w:trPr>
          <w:trHeight w:val="112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206</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五角场复杂商圈城市配送场景应用-城配物流立体网格多维度分析-低空空域网格资源分配情况分析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分析每个网格的空间资源使用情况，并根据无人机分布进行不同的网格热点分析展示</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207</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五角场复杂商圈城市配送场景应用-城配物流立体网格多维度分析-网格实时监控与分析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通过实时监测空域网格内的飞行活动，分析无人机飞行模式，识别异常行为，并做出相应调整</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208</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五角场复杂商圈城市配送场景应用-城配物流立体网格多维度分析-网格动态适应性调整</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根据天气变化、空中交通流量和其他动态因素调整网格的使用规则</w:t>
            </w:r>
          </w:p>
        </w:tc>
      </w:tr>
      <w:tr>
        <w:tblPrEx>
          <w:tblCellMar>
            <w:top w:w="0" w:type="dxa"/>
            <w:left w:w="108" w:type="dxa"/>
            <w:bottom w:w="0" w:type="dxa"/>
            <w:right w:w="108" w:type="dxa"/>
          </w:tblCellMar>
        </w:tblPrEx>
        <w:trPr>
          <w:trHeight w:val="84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209</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五角场复杂商圈城市配送场景应用-城市突发事件动态飞行响应</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根据实时的城市交通情况和天气变化，系统可以动态调整无人机的飞行计划，确保无人机运行的效率与安全性</w:t>
            </w:r>
          </w:p>
        </w:tc>
      </w:tr>
      <w:tr>
        <w:tblPrEx>
          <w:tblCellMar>
            <w:top w:w="0" w:type="dxa"/>
            <w:left w:w="108" w:type="dxa"/>
            <w:bottom w:w="0" w:type="dxa"/>
            <w:right w:w="108" w:type="dxa"/>
          </w:tblCellMar>
        </w:tblPrEx>
        <w:trPr>
          <w:trHeight w:val="560" w:hRule="atLeast"/>
        </w:trPr>
        <w:tc>
          <w:tcPr>
            <w:tcW w:w="820" w:type="dxa"/>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210</w:t>
            </w:r>
          </w:p>
        </w:tc>
        <w:tc>
          <w:tcPr>
            <w:tcW w:w="298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五角场复杂商圈城市配送场景应用-城配物流多维分析</w:t>
            </w:r>
          </w:p>
        </w:tc>
        <w:tc>
          <w:tcPr>
            <w:tcW w:w="5040" w:type="dxa"/>
            <w:tcBorders>
              <w:top w:val="nil"/>
              <w:left w:val="nil"/>
              <w:bottom w:val="single" w:color="auto" w:sz="4" w:space="0"/>
              <w:right w:val="single" w:color="auto"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对城市物流配送情况进行时间、空间上多维统计。</w:t>
            </w:r>
          </w:p>
        </w:tc>
      </w:tr>
    </w:tbl>
    <w:p>
      <w:pPr>
        <w:rPr>
          <w:rFonts w:hint="eastAsia"/>
          <w:color w:val="auto"/>
        </w:rPr>
      </w:pPr>
    </w:p>
    <w:p>
      <w:pPr>
        <w:pStyle w:val="3"/>
        <w:rPr>
          <w:rFonts w:hint="eastAsia"/>
          <w:color w:val="auto"/>
        </w:rPr>
      </w:pPr>
      <w:r>
        <w:rPr>
          <w:rFonts w:hint="eastAsia"/>
          <w:color w:val="auto"/>
        </w:rPr>
        <w:t>硬件产品购置清单</w:t>
      </w:r>
    </w:p>
    <w:tbl>
      <w:tblPr>
        <w:tblStyle w:val="35"/>
        <w:tblW w:w="5000" w:type="pct"/>
        <w:tblInd w:w="0" w:type="dxa"/>
        <w:tblLayout w:type="autofit"/>
        <w:tblCellMar>
          <w:top w:w="0" w:type="dxa"/>
          <w:left w:w="108" w:type="dxa"/>
          <w:bottom w:w="0" w:type="dxa"/>
          <w:right w:w="108" w:type="dxa"/>
        </w:tblCellMar>
      </w:tblPr>
      <w:tblGrid>
        <w:gridCol w:w="655"/>
        <w:gridCol w:w="1160"/>
        <w:gridCol w:w="1010"/>
        <w:gridCol w:w="3660"/>
        <w:gridCol w:w="1140"/>
        <w:gridCol w:w="903"/>
      </w:tblGrid>
      <w:tr>
        <w:tblPrEx>
          <w:tblCellMar>
            <w:top w:w="0" w:type="dxa"/>
            <w:left w:w="108" w:type="dxa"/>
            <w:bottom w:w="0" w:type="dxa"/>
            <w:right w:w="108" w:type="dxa"/>
          </w:tblCellMar>
        </w:tblPrEx>
        <w:trPr>
          <w:trHeight w:val="515" w:hRule="atLeast"/>
        </w:trPr>
        <w:tc>
          <w:tcPr>
            <w:tcW w:w="384" w:type="pct"/>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序号</w:t>
            </w:r>
          </w:p>
        </w:tc>
        <w:tc>
          <w:tcPr>
            <w:tcW w:w="680"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产品大类</w:t>
            </w:r>
          </w:p>
        </w:tc>
        <w:tc>
          <w:tcPr>
            <w:tcW w:w="592"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产品小类</w:t>
            </w:r>
          </w:p>
        </w:tc>
        <w:tc>
          <w:tcPr>
            <w:tcW w:w="2145"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产品配置</w:t>
            </w:r>
          </w:p>
        </w:tc>
        <w:tc>
          <w:tcPr>
            <w:tcW w:w="668"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单位</w:t>
            </w:r>
          </w:p>
        </w:tc>
        <w:tc>
          <w:tcPr>
            <w:tcW w:w="529"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数量</w:t>
            </w:r>
          </w:p>
        </w:tc>
      </w:tr>
      <w:tr>
        <w:tblPrEx>
          <w:tblCellMar>
            <w:top w:w="0" w:type="dxa"/>
            <w:left w:w="108" w:type="dxa"/>
            <w:bottom w:w="0" w:type="dxa"/>
            <w:right w:w="108" w:type="dxa"/>
          </w:tblCellMar>
        </w:tblPrEx>
        <w:trPr>
          <w:trHeight w:val="840" w:hRule="atLeast"/>
        </w:trPr>
        <w:tc>
          <w:tcPr>
            <w:tcW w:w="384"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c>
          <w:tcPr>
            <w:tcW w:w="680"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网络设备</w:t>
            </w:r>
          </w:p>
        </w:tc>
        <w:tc>
          <w:tcPr>
            <w:tcW w:w="592"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交换机</w:t>
            </w:r>
          </w:p>
        </w:tc>
        <w:tc>
          <w:tcPr>
            <w:tcW w:w="2145"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48个万兆SFP+，6个100GE QSFP28，配置冗余电源模块，24个万兆多模光模块，8个千兆单模光模块，1根40GE高速堆叠线缆</w:t>
            </w:r>
          </w:p>
        </w:tc>
        <w:tc>
          <w:tcPr>
            <w:tcW w:w="668"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台</w:t>
            </w:r>
          </w:p>
        </w:tc>
        <w:tc>
          <w:tcPr>
            <w:tcW w:w="529" w:type="pct"/>
            <w:tcBorders>
              <w:top w:val="nil"/>
              <w:left w:val="nil"/>
              <w:bottom w:val="single" w:color="000000"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r>
    </w:tbl>
    <w:p>
      <w:pPr>
        <w:rPr>
          <w:rFonts w:hint="eastAsia"/>
          <w:color w:val="auto"/>
        </w:rPr>
      </w:pPr>
    </w:p>
    <w:p>
      <w:pPr>
        <w:pStyle w:val="3"/>
        <w:rPr>
          <w:rFonts w:hint="eastAsia"/>
          <w:color w:val="auto"/>
        </w:rPr>
      </w:pPr>
      <w:r>
        <w:rPr>
          <w:rFonts w:hint="eastAsia"/>
          <w:color w:val="auto"/>
        </w:rPr>
        <w:t>安全产品购置清单</w:t>
      </w:r>
    </w:p>
    <w:tbl>
      <w:tblPr>
        <w:tblStyle w:val="35"/>
        <w:tblW w:w="5000" w:type="pct"/>
        <w:tblInd w:w="0" w:type="dxa"/>
        <w:tblLayout w:type="autofit"/>
        <w:tblCellMar>
          <w:top w:w="0" w:type="dxa"/>
          <w:left w:w="108" w:type="dxa"/>
          <w:bottom w:w="0" w:type="dxa"/>
          <w:right w:w="108" w:type="dxa"/>
        </w:tblCellMar>
      </w:tblPr>
      <w:tblGrid>
        <w:gridCol w:w="645"/>
        <w:gridCol w:w="1169"/>
        <w:gridCol w:w="1010"/>
        <w:gridCol w:w="3661"/>
        <w:gridCol w:w="1130"/>
        <w:gridCol w:w="913"/>
      </w:tblGrid>
      <w:tr>
        <w:tblPrEx>
          <w:tblCellMar>
            <w:top w:w="0" w:type="dxa"/>
            <w:left w:w="108" w:type="dxa"/>
            <w:bottom w:w="0" w:type="dxa"/>
            <w:right w:w="108" w:type="dxa"/>
          </w:tblCellMar>
        </w:tblPrEx>
        <w:trPr>
          <w:trHeight w:val="515" w:hRule="atLeast"/>
        </w:trPr>
        <w:tc>
          <w:tcPr>
            <w:tcW w:w="378" w:type="pct"/>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序号</w:t>
            </w:r>
          </w:p>
        </w:tc>
        <w:tc>
          <w:tcPr>
            <w:tcW w:w="685"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产品大类</w:t>
            </w:r>
          </w:p>
        </w:tc>
        <w:tc>
          <w:tcPr>
            <w:tcW w:w="592"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产品小类</w:t>
            </w:r>
          </w:p>
        </w:tc>
        <w:tc>
          <w:tcPr>
            <w:tcW w:w="2145"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产品配置</w:t>
            </w:r>
          </w:p>
        </w:tc>
        <w:tc>
          <w:tcPr>
            <w:tcW w:w="662"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单位</w:t>
            </w:r>
          </w:p>
        </w:tc>
        <w:tc>
          <w:tcPr>
            <w:tcW w:w="535" w:type="pct"/>
            <w:tcBorders>
              <w:top w:val="single" w:color="auto" w:sz="4" w:space="0"/>
              <w:left w:val="nil"/>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数量</w:t>
            </w:r>
          </w:p>
        </w:tc>
      </w:tr>
      <w:tr>
        <w:tblPrEx>
          <w:tblCellMar>
            <w:top w:w="0" w:type="dxa"/>
            <w:left w:w="108" w:type="dxa"/>
            <w:bottom w:w="0" w:type="dxa"/>
            <w:right w:w="108" w:type="dxa"/>
          </w:tblCellMar>
        </w:tblPrEx>
        <w:trPr>
          <w:trHeight w:val="840" w:hRule="atLeast"/>
        </w:trPr>
        <w:tc>
          <w:tcPr>
            <w:tcW w:w="378"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c>
          <w:tcPr>
            <w:tcW w:w="685"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边界安全</w:t>
            </w:r>
          </w:p>
        </w:tc>
        <w:tc>
          <w:tcPr>
            <w:tcW w:w="592"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防火墙</w:t>
            </w:r>
          </w:p>
        </w:tc>
        <w:tc>
          <w:tcPr>
            <w:tcW w:w="2145"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网络处理能力10Gbps，并发连接≥200万，每秒新建连接10万/秒，冗余电源，配置8个10/100/1000M自适应电、2个SFP插槽和2个SFP+插槽,1个Console口，包含访问控制、地址转换、静态路由、动态路由、策略路由、流量控制、VPN等基础功能； 默认含25个IPsecVPN 并发隧道数（最大3000）和25个SSLVPN 并发用户数（最大500）。配置2块4口千兆电板卡，2个万兆多模光模块。3年IPS和防病毒升级。3年硬件维保服务。</w:t>
            </w:r>
          </w:p>
        </w:tc>
        <w:tc>
          <w:tcPr>
            <w:tcW w:w="662"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台</w:t>
            </w:r>
          </w:p>
        </w:tc>
        <w:tc>
          <w:tcPr>
            <w:tcW w:w="535" w:type="pct"/>
            <w:tcBorders>
              <w:top w:val="nil"/>
              <w:left w:val="nil"/>
              <w:bottom w:val="single" w:color="000000"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r>
    </w:tbl>
    <w:p>
      <w:pPr>
        <w:rPr>
          <w:rFonts w:hint="eastAsia"/>
          <w:color w:val="auto"/>
        </w:rPr>
      </w:pPr>
    </w:p>
    <w:p>
      <w:pPr>
        <w:pStyle w:val="3"/>
        <w:ind w:left="0"/>
        <w:rPr>
          <w:rFonts w:hint="eastAsia"/>
          <w:color w:val="auto"/>
        </w:rPr>
      </w:pPr>
      <w:r>
        <w:rPr>
          <w:rFonts w:hint="eastAsia"/>
          <w:color w:val="auto"/>
        </w:rPr>
        <w:t>网络链路购置清单</w:t>
      </w:r>
    </w:p>
    <w:tbl>
      <w:tblPr>
        <w:tblStyle w:val="35"/>
        <w:tblW w:w="5000" w:type="pct"/>
        <w:tblInd w:w="0" w:type="dxa"/>
        <w:tblLayout w:type="autofit"/>
        <w:tblCellMar>
          <w:top w:w="0" w:type="dxa"/>
          <w:left w:w="108" w:type="dxa"/>
          <w:bottom w:w="0" w:type="dxa"/>
          <w:right w:w="108" w:type="dxa"/>
        </w:tblCellMar>
      </w:tblPr>
      <w:tblGrid>
        <w:gridCol w:w="870"/>
        <w:gridCol w:w="1451"/>
        <w:gridCol w:w="1451"/>
        <w:gridCol w:w="2419"/>
        <w:gridCol w:w="1170"/>
        <w:gridCol w:w="1167"/>
      </w:tblGrid>
      <w:tr>
        <w:tblPrEx>
          <w:tblCellMar>
            <w:top w:w="0" w:type="dxa"/>
            <w:left w:w="108" w:type="dxa"/>
            <w:bottom w:w="0" w:type="dxa"/>
            <w:right w:w="108" w:type="dxa"/>
          </w:tblCellMar>
        </w:tblPrEx>
        <w:trPr>
          <w:trHeight w:val="260" w:hRule="atLeast"/>
        </w:trPr>
        <w:tc>
          <w:tcPr>
            <w:tcW w:w="510" w:type="pct"/>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序号</w:t>
            </w:r>
          </w:p>
        </w:tc>
        <w:tc>
          <w:tcPr>
            <w:tcW w:w="851"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网路类型</w:t>
            </w:r>
          </w:p>
        </w:tc>
        <w:tc>
          <w:tcPr>
            <w:tcW w:w="851"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通信方式</w:t>
            </w:r>
          </w:p>
        </w:tc>
        <w:tc>
          <w:tcPr>
            <w:tcW w:w="1418"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连接对象</w:t>
            </w:r>
          </w:p>
        </w:tc>
        <w:tc>
          <w:tcPr>
            <w:tcW w:w="686"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带宽</w:t>
            </w:r>
          </w:p>
        </w:tc>
        <w:tc>
          <w:tcPr>
            <w:tcW w:w="684"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数量</w:t>
            </w:r>
          </w:p>
        </w:tc>
      </w:tr>
      <w:tr>
        <w:tblPrEx>
          <w:tblCellMar>
            <w:top w:w="0" w:type="dxa"/>
            <w:left w:w="108" w:type="dxa"/>
            <w:bottom w:w="0" w:type="dxa"/>
            <w:right w:w="108" w:type="dxa"/>
          </w:tblCellMar>
        </w:tblPrEx>
        <w:trPr>
          <w:trHeight w:val="280" w:hRule="atLeast"/>
        </w:trPr>
        <w:tc>
          <w:tcPr>
            <w:tcW w:w="510"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c>
          <w:tcPr>
            <w:tcW w:w="851"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有线网络</w:t>
            </w:r>
          </w:p>
        </w:tc>
        <w:tc>
          <w:tcPr>
            <w:tcW w:w="851"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独享</w:t>
            </w:r>
          </w:p>
        </w:tc>
        <w:tc>
          <w:tcPr>
            <w:tcW w:w="1418"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政务云怒江路机房至民航华东局</w:t>
            </w:r>
          </w:p>
        </w:tc>
        <w:tc>
          <w:tcPr>
            <w:tcW w:w="686"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100M</w:t>
            </w:r>
          </w:p>
        </w:tc>
        <w:tc>
          <w:tcPr>
            <w:tcW w:w="684" w:type="pct"/>
            <w:tcBorders>
              <w:top w:val="nil"/>
              <w:left w:val="nil"/>
              <w:bottom w:val="single" w:color="000000"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r>
      <w:tr>
        <w:tblPrEx>
          <w:tblCellMar>
            <w:top w:w="0" w:type="dxa"/>
            <w:left w:w="108" w:type="dxa"/>
            <w:bottom w:w="0" w:type="dxa"/>
            <w:right w:w="108" w:type="dxa"/>
          </w:tblCellMar>
        </w:tblPrEx>
        <w:trPr>
          <w:trHeight w:val="280" w:hRule="atLeast"/>
        </w:trPr>
        <w:tc>
          <w:tcPr>
            <w:tcW w:w="510"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c>
          <w:tcPr>
            <w:tcW w:w="851"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有线网络</w:t>
            </w:r>
          </w:p>
        </w:tc>
        <w:tc>
          <w:tcPr>
            <w:tcW w:w="851"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独享</w:t>
            </w:r>
          </w:p>
        </w:tc>
        <w:tc>
          <w:tcPr>
            <w:tcW w:w="1418"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政务云怒江路机房至空军上海基地</w:t>
            </w:r>
          </w:p>
        </w:tc>
        <w:tc>
          <w:tcPr>
            <w:tcW w:w="686" w:type="pct"/>
            <w:tcBorders>
              <w:top w:val="nil"/>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100M</w:t>
            </w:r>
          </w:p>
        </w:tc>
        <w:tc>
          <w:tcPr>
            <w:tcW w:w="684" w:type="pct"/>
            <w:tcBorders>
              <w:top w:val="nil"/>
              <w:left w:val="nil"/>
              <w:bottom w:val="single" w:color="000000" w:sz="4" w:space="0"/>
              <w:right w:val="single" w:color="000000" w:sz="4" w:space="0"/>
            </w:tcBorders>
            <w:noWrap/>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r>
    </w:tbl>
    <w:p>
      <w:pPr>
        <w:rPr>
          <w:rFonts w:hint="eastAsia"/>
          <w:color w:val="auto"/>
        </w:rPr>
      </w:pPr>
    </w:p>
    <w:p>
      <w:pPr>
        <w:pStyle w:val="3"/>
        <w:ind w:left="0"/>
        <w:rPr>
          <w:rFonts w:hint="eastAsia"/>
          <w:color w:val="auto"/>
        </w:rPr>
      </w:pPr>
      <w:r>
        <w:rPr>
          <w:rFonts w:hint="eastAsia"/>
          <w:color w:val="auto"/>
        </w:rPr>
        <w:t>数据采集服务</w:t>
      </w:r>
    </w:p>
    <w:tbl>
      <w:tblPr>
        <w:tblStyle w:val="35"/>
        <w:tblW w:w="4949" w:type="pct"/>
        <w:tblInd w:w="0" w:type="dxa"/>
        <w:tblLayout w:type="autofit"/>
        <w:tblCellMar>
          <w:top w:w="0" w:type="dxa"/>
          <w:left w:w="108" w:type="dxa"/>
          <w:bottom w:w="0" w:type="dxa"/>
          <w:right w:w="108" w:type="dxa"/>
        </w:tblCellMar>
      </w:tblPr>
      <w:tblGrid>
        <w:gridCol w:w="574"/>
        <w:gridCol w:w="1898"/>
        <w:gridCol w:w="5969"/>
      </w:tblGrid>
      <w:tr>
        <w:tblPrEx>
          <w:tblCellMar>
            <w:top w:w="0" w:type="dxa"/>
            <w:left w:w="108" w:type="dxa"/>
            <w:bottom w:w="0" w:type="dxa"/>
            <w:right w:w="108" w:type="dxa"/>
          </w:tblCellMar>
        </w:tblPrEx>
        <w:trPr>
          <w:trHeight w:val="260" w:hRule="atLeast"/>
        </w:trPr>
        <w:tc>
          <w:tcPr>
            <w:tcW w:w="340" w:type="pct"/>
            <w:tcBorders>
              <w:top w:val="single" w:color="auto" w:sz="4" w:space="0"/>
              <w:left w:val="single" w:color="auto" w:sz="4" w:space="0"/>
              <w:bottom w:val="single" w:color="auto" w:sz="4" w:space="0"/>
              <w:right w:val="single" w:color="auto" w:sz="4" w:space="0"/>
            </w:tcBorders>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序号</w:t>
            </w:r>
          </w:p>
        </w:tc>
        <w:tc>
          <w:tcPr>
            <w:tcW w:w="1124"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科目名称</w:t>
            </w:r>
          </w:p>
        </w:tc>
        <w:tc>
          <w:tcPr>
            <w:tcW w:w="3537"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服务内容</w:t>
            </w:r>
          </w:p>
        </w:tc>
      </w:tr>
      <w:tr>
        <w:tblPrEx>
          <w:tblCellMar>
            <w:top w:w="0" w:type="dxa"/>
            <w:left w:w="108" w:type="dxa"/>
            <w:bottom w:w="0" w:type="dxa"/>
            <w:right w:w="108" w:type="dxa"/>
          </w:tblCellMar>
        </w:tblPrEx>
        <w:trPr>
          <w:trHeight w:val="280" w:hRule="atLeast"/>
        </w:trPr>
        <w:tc>
          <w:tcPr>
            <w:tcW w:w="340"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w:t>
            </w:r>
          </w:p>
        </w:tc>
        <w:tc>
          <w:tcPr>
            <w:tcW w:w="1124"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数据采集</w:t>
            </w:r>
          </w:p>
        </w:tc>
        <w:tc>
          <w:tcPr>
            <w:tcW w:w="3537"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基于倾斜摄影数据进行三维模型提取，可通过立体量测定位电力线、实景量测对电塔及其部件量测编辑完成高压线、高压铁塔的制作</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100个</w:t>
            </w:r>
          </w:p>
        </w:tc>
      </w:tr>
      <w:tr>
        <w:tblPrEx>
          <w:tblCellMar>
            <w:top w:w="0" w:type="dxa"/>
            <w:left w:w="108" w:type="dxa"/>
            <w:bottom w:w="0" w:type="dxa"/>
            <w:right w:w="108" w:type="dxa"/>
          </w:tblCellMar>
        </w:tblPrEx>
        <w:trPr>
          <w:trHeight w:val="280" w:hRule="atLeast"/>
        </w:trPr>
        <w:tc>
          <w:tcPr>
            <w:tcW w:w="340"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c>
          <w:tcPr>
            <w:tcW w:w="1124"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数据采集</w:t>
            </w:r>
          </w:p>
        </w:tc>
        <w:tc>
          <w:tcPr>
            <w:tcW w:w="3537"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对三维建筑和树木数据进行完整性检查并统一坐标系，分类提取建筑和树木的属性，分别基于建筑数据（区分平顶和坡顶建筑）和树木数据确定遮蔽层范围，最后整合建筑和树木的遮蔽层并处理好边界关系。</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杨浦区五角场重点区域25平方公里；</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载人飞行起降场3个、备降场3个，物流起降点7个，13处共计41平方公里。</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总面积66平方公里，按单个网格1平方米计算，共需要采集6600万条数据。</w:t>
            </w:r>
          </w:p>
        </w:tc>
      </w:tr>
      <w:tr>
        <w:tblPrEx>
          <w:tblCellMar>
            <w:top w:w="0" w:type="dxa"/>
            <w:left w:w="108" w:type="dxa"/>
            <w:bottom w:w="0" w:type="dxa"/>
            <w:right w:w="108" w:type="dxa"/>
          </w:tblCellMar>
        </w:tblPrEx>
        <w:trPr>
          <w:trHeight w:val="280" w:hRule="atLeast"/>
        </w:trPr>
        <w:tc>
          <w:tcPr>
            <w:tcW w:w="340"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w:t>
            </w:r>
          </w:p>
        </w:tc>
        <w:tc>
          <w:tcPr>
            <w:tcW w:w="1124"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数据采集</w:t>
            </w:r>
          </w:p>
        </w:tc>
        <w:tc>
          <w:tcPr>
            <w:tcW w:w="3537"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分析三维建筑模型提取底层平面信息，以地面高程为基准计算相对高程，对于多层建筑计算每层相对底层的高度差，最后校正绝对高程。</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杨浦区五角场重点区域25平方公里；</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载人飞行起降场3个、备降场3个，物流起降点7个，13处共计41平方公里。</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总面积66平方公里，按单个网格1平方米计算，共需要采集6600万条数据。</w:t>
            </w:r>
          </w:p>
        </w:tc>
      </w:tr>
      <w:tr>
        <w:tblPrEx>
          <w:tblCellMar>
            <w:top w:w="0" w:type="dxa"/>
            <w:left w:w="108" w:type="dxa"/>
            <w:bottom w:w="0" w:type="dxa"/>
            <w:right w:w="108" w:type="dxa"/>
          </w:tblCellMar>
        </w:tblPrEx>
        <w:trPr>
          <w:trHeight w:val="280" w:hRule="atLeast"/>
        </w:trPr>
        <w:tc>
          <w:tcPr>
            <w:tcW w:w="340" w:type="pct"/>
            <w:tcBorders>
              <w:top w:val="nil"/>
              <w:left w:val="single" w:color="000000" w:sz="4" w:space="0"/>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4</w:t>
            </w:r>
          </w:p>
        </w:tc>
        <w:tc>
          <w:tcPr>
            <w:tcW w:w="1124"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数据采集</w:t>
            </w:r>
          </w:p>
        </w:tc>
        <w:tc>
          <w:tcPr>
            <w:tcW w:w="3537" w:type="pct"/>
            <w:tcBorders>
              <w:top w:val="single" w:color="000000" w:sz="4" w:space="0"/>
              <w:left w:val="nil"/>
              <w:bottom w:val="single" w:color="000000" w:sz="4" w:space="0"/>
              <w:right w:val="single" w:color="000000" w:sz="4" w:space="0"/>
            </w:tcBorders>
            <w:vAlign w:val="center"/>
          </w:tcPr>
          <w:p>
            <w:pPr>
              <w:widowControl/>
              <w:spacing w:after="0"/>
              <w:ind w:firstLine="0" w:firstLineChars="0"/>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对电磁信号点位和影响范围数据进行整合处理，使用信号传播模型，计算信号强度并进行 GIS 数据处理与可视化，分析干扰源，最后生成信号覆盖图。</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杨浦区五角场重点区域25平方公里；</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载人飞行起降场3个、备降场3个，物流起降点7个，13处共计41平方公里。</w:t>
            </w:r>
            <w:r>
              <w:rPr>
                <w:rFonts w:hint="eastAsia" w:ascii="等线" w:hAnsi="等线" w:eastAsia="等线" w:cs="宋体"/>
                <w:color w:val="auto"/>
                <w:kern w:val="0"/>
                <w:sz w:val="22"/>
                <w:szCs w:val="22"/>
              </w:rPr>
              <w:br w:type="textWrapping"/>
            </w:r>
            <w:r>
              <w:rPr>
                <w:rFonts w:hint="eastAsia" w:ascii="等线" w:hAnsi="等线" w:eastAsia="等线" w:cs="宋体"/>
                <w:color w:val="auto"/>
                <w:kern w:val="0"/>
                <w:sz w:val="22"/>
                <w:szCs w:val="22"/>
              </w:rPr>
              <w:t>总面积66平方公里，按单个网格1平方米计算，共需要采集6600万条数据。</w:t>
            </w:r>
          </w:p>
        </w:tc>
      </w:tr>
    </w:tbl>
    <w:p>
      <w:pPr>
        <w:rPr>
          <w:rFonts w:hint="eastAsia"/>
          <w:color w:val="auto"/>
        </w:rPr>
      </w:pPr>
    </w:p>
    <w:p>
      <w:pPr>
        <w:pStyle w:val="2"/>
        <w:numPr>
          <w:ilvl w:val="0"/>
          <w:numId w:val="1"/>
        </w:numPr>
        <w:rPr>
          <w:rFonts w:hint="eastAsia"/>
          <w:color w:val="auto"/>
        </w:rPr>
      </w:pPr>
      <w:bookmarkStart w:id="19" w:name="_Toc63785502"/>
      <w:r>
        <w:rPr>
          <w:rFonts w:hint="eastAsia"/>
          <w:color w:val="auto"/>
        </w:rPr>
        <w:t>电子政务云资源需求</w:t>
      </w:r>
      <w:bookmarkEnd w:id="19"/>
    </w:p>
    <w:p>
      <w:pPr>
        <w:rPr>
          <w:rFonts w:hint="eastAsia"/>
          <w:color w:val="auto"/>
        </w:rPr>
      </w:pPr>
      <w:r>
        <w:rPr>
          <w:rFonts w:hint="eastAsia"/>
          <w:color w:val="auto"/>
        </w:rPr>
        <w:t>本项目部署依托市电子政务云平台开展，中标人应负责根据部署要求协助申请云资源并完成相关的部署和系统集成工作。供应商应合理利用电子政务云资源发放情况进行系统的安装和部署。</w:t>
      </w:r>
    </w:p>
    <w:p>
      <w:pPr>
        <w:pStyle w:val="3"/>
        <w:rPr>
          <w:rFonts w:hint="eastAsia"/>
          <w:color w:val="auto"/>
        </w:rPr>
      </w:pPr>
      <w:r>
        <w:rPr>
          <w:rFonts w:hint="eastAsia"/>
          <w:color w:val="auto"/>
        </w:rPr>
        <w:t>主机资源</w:t>
      </w:r>
    </w:p>
    <w:tbl>
      <w:tblPr>
        <w:tblStyle w:val="35"/>
        <w:tblW w:w="5000" w:type="pct"/>
        <w:tblInd w:w="0" w:type="dxa"/>
        <w:tblLayout w:type="autofit"/>
        <w:tblCellMar>
          <w:top w:w="0" w:type="dxa"/>
          <w:left w:w="108" w:type="dxa"/>
          <w:bottom w:w="0" w:type="dxa"/>
          <w:right w:w="108" w:type="dxa"/>
        </w:tblCellMar>
      </w:tblPr>
      <w:tblGrid>
        <w:gridCol w:w="1367"/>
        <w:gridCol w:w="1208"/>
        <w:gridCol w:w="1321"/>
        <w:gridCol w:w="1322"/>
        <w:gridCol w:w="1763"/>
        <w:gridCol w:w="1547"/>
      </w:tblGrid>
      <w:tr>
        <w:tblPrEx>
          <w:tblCellMar>
            <w:top w:w="0" w:type="dxa"/>
            <w:left w:w="108" w:type="dxa"/>
            <w:bottom w:w="0" w:type="dxa"/>
            <w:right w:w="108" w:type="dxa"/>
          </w:tblCellMar>
        </w:tblPrEx>
        <w:trPr>
          <w:trHeight w:val="540" w:hRule="atLeast"/>
        </w:trPr>
        <w:tc>
          <w:tcPr>
            <w:tcW w:w="866" w:type="pct"/>
            <w:tcBorders>
              <w:top w:val="single" w:color="auto" w:sz="4" w:space="0"/>
              <w:left w:val="single" w:color="auto" w:sz="4" w:space="0"/>
              <w:bottom w:val="single" w:color="auto" w:sz="4" w:space="0"/>
              <w:right w:val="single" w:color="auto" w:sz="4" w:space="0"/>
            </w:tcBorders>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资源类型</w:t>
            </w:r>
          </w:p>
        </w:tc>
        <w:tc>
          <w:tcPr>
            <w:tcW w:w="772"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资源名称</w:t>
            </w:r>
          </w:p>
        </w:tc>
        <w:tc>
          <w:tcPr>
            <w:tcW w:w="823"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核心（核）</w:t>
            </w:r>
          </w:p>
        </w:tc>
        <w:tc>
          <w:tcPr>
            <w:tcW w:w="849"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内存（GB）</w:t>
            </w:r>
          </w:p>
        </w:tc>
        <w:tc>
          <w:tcPr>
            <w:tcW w:w="713"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存储数量（GB）</w:t>
            </w:r>
          </w:p>
        </w:tc>
        <w:tc>
          <w:tcPr>
            <w:tcW w:w="976" w:type="pct"/>
            <w:tcBorders>
              <w:top w:val="single" w:color="auto" w:sz="4" w:space="0"/>
              <w:left w:val="nil"/>
              <w:bottom w:val="single" w:color="auto" w:sz="4" w:space="0"/>
              <w:right w:val="single" w:color="auto" w:sz="4" w:space="0"/>
            </w:tcBorders>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数量（台）</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数据库服务器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64</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5200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4</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前置机数据库服务器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16</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1200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审批系统应用服务器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64</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1200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接口服务器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64</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700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运行监视服务器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16</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700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物理机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数字地图服务器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48</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256</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2300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文件服务器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16</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5100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文件存储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0</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0</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24000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物理机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空间计算分析</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96</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1024</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2500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互联网接口服务器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64</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600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r>
        <w:tblPrEx>
          <w:tblCellMar>
            <w:top w:w="0" w:type="dxa"/>
            <w:left w:w="108" w:type="dxa"/>
            <w:bottom w:w="0" w:type="dxa"/>
            <w:right w:w="108" w:type="dxa"/>
          </w:tblCellMar>
        </w:tblPrEx>
        <w:trPr>
          <w:trHeight w:val="700" w:hRule="atLeast"/>
        </w:trPr>
        <w:tc>
          <w:tcPr>
            <w:tcW w:w="866" w:type="pct"/>
            <w:tcBorders>
              <w:top w:val="nil"/>
              <w:left w:val="single" w:color="auto" w:sz="4" w:space="0"/>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虚拟机</w:t>
            </w:r>
          </w:p>
        </w:tc>
        <w:tc>
          <w:tcPr>
            <w:tcW w:w="772"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互联网前置机数据库服务器</w:t>
            </w:r>
          </w:p>
        </w:tc>
        <w:tc>
          <w:tcPr>
            <w:tcW w:w="82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16</w:t>
            </w:r>
          </w:p>
        </w:tc>
        <w:tc>
          <w:tcPr>
            <w:tcW w:w="849"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32</w:t>
            </w:r>
          </w:p>
        </w:tc>
        <w:tc>
          <w:tcPr>
            <w:tcW w:w="713"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1200</w:t>
            </w:r>
          </w:p>
        </w:tc>
        <w:tc>
          <w:tcPr>
            <w:tcW w:w="976" w:type="pct"/>
            <w:tcBorders>
              <w:top w:val="nil"/>
              <w:left w:val="nil"/>
              <w:bottom w:val="single" w:color="auto" w:sz="4" w:space="0"/>
              <w:right w:val="single" w:color="auto" w:sz="4" w:space="0"/>
            </w:tcBorders>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r>
    </w:tbl>
    <w:p>
      <w:pPr>
        <w:rPr>
          <w:rFonts w:hint="eastAsia"/>
          <w:color w:val="auto"/>
        </w:rPr>
      </w:pPr>
    </w:p>
    <w:p>
      <w:pPr>
        <w:pStyle w:val="3"/>
        <w:rPr>
          <w:rFonts w:hint="eastAsia"/>
          <w:color w:val="auto"/>
        </w:rPr>
      </w:pPr>
      <w:r>
        <w:rPr>
          <w:rFonts w:hint="eastAsia"/>
          <w:color w:val="auto"/>
        </w:rPr>
        <w:t>PaaS服务资源</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2"/>
        <w:gridCol w:w="2299"/>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9" w:type="pct"/>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资源名称</w:t>
            </w:r>
          </w:p>
        </w:tc>
        <w:tc>
          <w:tcPr>
            <w:tcW w:w="1348" w:type="pct"/>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资源数量</w:t>
            </w:r>
          </w:p>
        </w:tc>
        <w:tc>
          <w:tcPr>
            <w:tcW w:w="1663" w:type="pct"/>
            <w:noWrap/>
            <w:vAlign w:val="center"/>
          </w:tcPr>
          <w:p>
            <w:pPr>
              <w:widowControl/>
              <w:spacing w:after="0"/>
              <w:ind w:firstLine="0" w:firstLineChars="0"/>
              <w:jc w:val="center"/>
              <w:rPr>
                <w:rFonts w:hint="eastAsia" w:cs="宋体"/>
                <w:b/>
                <w:bCs/>
                <w:color w:val="auto"/>
                <w:kern w:val="0"/>
                <w:sz w:val="22"/>
                <w:szCs w:val="22"/>
              </w:rPr>
            </w:pPr>
            <w:r>
              <w:rPr>
                <w:rFonts w:hint="eastAsia" w:cs="宋体"/>
                <w:b/>
                <w:bCs/>
                <w:color w:val="auto"/>
                <w:kern w:val="0"/>
                <w:sz w:val="22"/>
                <w:szCs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中间件-东方通、普元、金蝶</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11</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安全认证网关服务</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签名验签服务</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操作系统服务-统信UOS、麒麟</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16</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数据库服务-达梦、人大金仓</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8</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数字证书服务 - SSL证书-单域名</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数字证书服务 - SSL证书-通配符</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2</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89"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可信密码服务</w:t>
            </w:r>
          </w:p>
        </w:tc>
        <w:tc>
          <w:tcPr>
            <w:tcW w:w="1348"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1</w:t>
            </w:r>
          </w:p>
        </w:tc>
        <w:tc>
          <w:tcPr>
            <w:tcW w:w="1663" w:type="pct"/>
            <w:vAlign w:val="center"/>
          </w:tcPr>
          <w:p>
            <w:pPr>
              <w:widowControl/>
              <w:spacing w:after="0"/>
              <w:ind w:firstLine="0" w:firstLineChars="0"/>
              <w:jc w:val="center"/>
              <w:rPr>
                <w:rFonts w:hint="eastAsia" w:cs="宋体"/>
                <w:color w:val="auto"/>
                <w:kern w:val="0"/>
                <w:sz w:val="20"/>
                <w:szCs w:val="20"/>
              </w:rPr>
            </w:pPr>
            <w:r>
              <w:rPr>
                <w:rFonts w:hint="eastAsia" w:cs="宋体"/>
                <w:color w:val="auto"/>
                <w:kern w:val="0"/>
                <w:sz w:val="20"/>
                <w:szCs w:val="20"/>
              </w:rPr>
              <w:t>应用*年</w:t>
            </w:r>
          </w:p>
        </w:tc>
      </w:tr>
    </w:tbl>
    <w:p>
      <w:pPr>
        <w:rPr>
          <w:rFonts w:hint="eastAsia"/>
          <w:color w:val="auto"/>
        </w:rPr>
      </w:pPr>
    </w:p>
    <w:p>
      <w:pPr>
        <w:pStyle w:val="3"/>
        <w:numPr>
          <w:ilvl w:val="1"/>
          <w:numId w:val="4"/>
        </w:numPr>
        <w:rPr>
          <w:rFonts w:hint="eastAsia"/>
          <w:color w:val="auto"/>
        </w:rPr>
      </w:pPr>
      <w:r>
        <w:rPr>
          <w:rFonts w:hint="eastAsia"/>
          <w:color w:val="auto"/>
        </w:rPr>
        <w:t>GPU资源</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2257"/>
        <w:gridCol w:w="1318"/>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59"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GPU类型</w:t>
            </w:r>
          </w:p>
        </w:tc>
        <w:tc>
          <w:tcPr>
            <w:tcW w:w="1323"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资源说明</w:t>
            </w:r>
          </w:p>
        </w:tc>
        <w:tc>
          <w:tcPr>
            <w:tcW w:w="773"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资源数量</w:t>
            </w:r>
          </w:p>
        </w:tc>
        <w:tc>
          <w:tcPr>
            <w:tcW w:w="1745"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59"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渲染GPU</w:t>
            </w:r>
          </w:p>
        </w:tc>
        <w:tc>
          <w:tcPr>
            <w:tcW w:w="1323"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Ascend 300I Duo</w:t>
            </w:r>
          </w:p>
        </w:tc>
        <w:tc>
          <w:tcPr>
            <w:tcW w:w="773"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4</w:t>
            </w:r>
          </w:p>
        </w:tc>
        <w:tc>
          <w:tcPr>
            <w:tcW w:w="1745" w:type="pct"/>
            <w:noWrap/>
            <w:vAlign w:val="center"/>
          </w:tcPr>
          <w:p>
            <w:pPr>
              <w:widowControl/>
              <w:spacing w:after="0"/>
              <w:ind w:firstLine="0" w:firstLineChars="0"/>
              <w:jc w:val="center"/>
              <w:rPr>
                <w:rFonts w:hint="eastAsia" w:cs="宋体"/>
                <w:color w:val="auto"/>
                <w:kern w:val="0"/>
                <w:sz w:val="22"/>
                <w:szCs w:val="22"/>
              </w:rPr>
            </w:pPr>
            <w:r>
              <w:rPr>
                <w:rFonts w:hint="eastAsia" w:cs="宋体"/>
                <w:color w:val="auto"/>
                <w:kern w:val="0"/>
                <w:sz w:val="22"/>
                <w:szCs w:val="22"/>
              </w:rPr>
              <w:t>空间计算分析</w:t>
            </w:r>
          </w:p>
        </w:tc>
      </w:tr>
    </w:tbl>
    <w:p>
      <w:pPr>
        <w:pStyle w:val="2"/>
        <w:numPr>
          <w:ilvl w:val="0"/>
          <w:numId w:val="1"/>
        </w:numPr>
        <w:rPr>
          <w:rFonts w:hint="eastAsia"/>
          <w:color w:val="auto"/>
        </w:rPr>
      </w:pPr>
      <w:bookmarkStart w:id="20" w:name="_Toc63785503"/>
      <w:r>
        <w:rPr>
          <w:rFonts w:hint="eastAsia"/>
          <w:color w:val="auto"/>
        </w:rPr>
        <w:t>其他工作要求</w:t>
      </w:r>
      <w:bookmarkEnd w:id="20"/>
    </w:p>
    <w:p>
      <w:pPr>
        <w:pStyle w:val="3"/>
        <w:rPr>
          <w:rFonts w:hint="eastAsia"/>
          <w:color w:val="auto"/>
        </w:rPr>
      </w:pPr>
      <w:bookmarkStart w:id="21" w:name="_Toc63762370"/>
      <w:bookmarkEnd w:id="21"/>
      <w:bookmarkStart w:id="22" w:name="_Toc62219358"/>
      <w:bookmarkEnd w:id="22"/>
      <w:bookmarkStart w:id="23" w:name="_Toc62209488"/>
      <w:bookmarkEnd w:id="23"/>
      <w:bookmarkStart w:id="24" w:name="_Toc63151871"/>
      <w:bookmarkEnd w:id="24"/>
      <w:bookmarkStart w:id="25" w:name="_Toc63785504"/>
      <w:bookmarkEnd w:id="25"/>
      <w:bookmarkStart w:id="26" w:name="_Toc63585480"/>
      <w:bookmarkEnd w:id="26"/>
      <w:bookmarkStart w:id="27" w:name="_Toc61968111"/>
      <w:bookmarkEnd w:id="27"/>
      <w:bookmarkStart w:id="28" w:name="_Toc63785439"/>
      <w:bookmarkEnd w:id="28"/>
      <w:bookmarkStart w:id="29" w:name="_Toc63785505"/>
      <w:r>
        <w:rPr>
          <w:rFonts w:hint="eastAsia"/>
          <w:color w:val="auto"/>
        </w:rPr>
        <w:t>售后服务要求</w:t>
      </w:r>
      <w:bookmarkEnd w:id="29"/>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本项目从系统验收通过之日起1年内提供</w:t>
      </w:r>
      <w:r>
        <w:rPr>
          <w:rFonts w:ascii="宋体" w:hAnsi="宋体"/>
          <w:color w:val="auto"/>
          <w:sz w:val="24"/>
          <w:szCs w:val="24"/>
        </w:rPr>
        <w:t>7*24小时免费技术支持</w:t>
      </w:r>
      <w:r>
        <w:rPr>
          <w:rFonts w:hint="eastAsia" w:ascii="宋体" w:hAnsi="宋体"/>
          <w:color w:val="auto"/>
          <w:sz w:val="24"/>
          <w:szCs w:val="24"/>
        </w:rPr>
        <w:t>和售后服务，1年后进入有偿维护期。</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在质量保证期内，供应商负责信息系统的运行维护工作，确保信息系统安全、稳定、可靠地运行。</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供应商提供的应用软件免费维护服务内容包括应用软件的升级与维护等工作，免费维护的范围覆盖本项目所涉及应用系统的全部子系统和功能模块。</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供应商承诺，维护期内的技术服务免费，并至少提供以下服务：</w:t>
      </w:r>
    </w:p>
    <w:p>
      <w:pPr>
        <w:pStyle w:val="106"/>
        <w:numPr>
          <w:ilvl w:val="0"/>
          <w:numId w:val="5"/>
        </w:numPr>
        <w:snapToGrid w:val="0"/>
        <w:spacing w:line="360" w:lineRule="auto"/>
        <w:ind w:firstLineChars="0"/>
        <w:rPr>
          <w:rFonts w:hint="eastAsia" w:ascii="宋体" w:hAnsi="宋体"/>
          <w:color w:val="auto"/>
          <w:sz w:val="24"/>
          <w:szCs w:val="24"/>
        </w:rPr>
      </w:pPr>
      <w:r>
        <w:rPr>
          <w:rFonts w:ascii="宋体" w:hAnsi="宋体"/>
          <w:color w:val="auto"/>
          <w:sz w:val="24"/>
          <w:szCs w:val="24"/>
        </w:rPr>
        <w:t>供应商在响应文件中详细列出售后服务清单，对每项服务需明确服务提供方名称、服务内容、服务方式、服务人员技术要求以及服务响应时间等。</w:t>
      </w:r>
    </w:p>
    <w:p>
      <w:pPr>
        <w:pStyle w:val="106"/>
        <w:numPr>
          <w:ilvl w:val="0"/>
          <w:numId w:val="5"/>
        </w:numPr>
        <w:snapToGrid w:val="0"/>
        <w:spacing w:line="360" w:lineRule="auto"/>
        <w:ind w:firstLineChars="0"/>
        <w:rPr>
          <w:rFonts w:hint="eastAsia" w:ascii="宋体" w:hAnsi="宋体"/>
          <w:color w:val="auto"/>
          <w:sz w:val="24"/>
          <w:szCs w:val="24"/>
        </w:rPr>
      </w:pPr>
      <w:r>
        <w:rPr>
          <w:rFonts w:ascii="宋体" w:hAnsi="宋体"/>
          <w:color w:val="auto"/>
          <w:sz w:val="24"/>
          <w:szCs w:val="24"/>
        </w:rPr>
        <w:t>供应商应有专业售后服务团队，可按本需求要求及时提供本需求约定的服务。</w:t>
      </w:r>
    </w:p>
    <w:p>
      <w:pPr>
        <w:pStyle w:val="106"/>
        <w:numPr>
          <w:ilvl w:val="0"/>
          <w:numId w:val="5"/>
        </w:numPr>
        <w:snapToGrid w:val="0"/>
        <w:spacing w:line="360" w:lineRule="auto"/>
        <w:ind w:firstLineChars="0"/>
        <w:rPr>
          <w:rFonts w:hint="eastAsia" w:ascii="宋体" w:hAnsi="宋体"/>
          <w:color w:val="auto"/>
          <w:sz w:val="24"/>
          <w:szCs w:val="24"/>
        </w:rPr>
      </w:pPr>
      <w:r>
        <w:rPr>
          <w:rFonts w:ascii="宋体" w:hAnsi="宋体"/>
          <w:color w:val="auto"/>
          <w:sz w:val="24"/>
          <w:szCs w:val="24"/>
        </w:rPr>
        <w:t>在保修期免费维护期结束前，进行至少一次全面检查，任何缺陷由供应商负责修理，在修理之后，项目实施方将缺陷原因、修理内容、完成修理及恢复正常的时间和日期等报告给采购人。</w:t>
      </w:r>
    </w:p>
    <w:p>
      <w:pPr>
        <w:pStyle w:val="106"/>
        <w:numPr>
          <w:ilvl w:val="0"/>
          <w:numId w:val="5"/>
        </w:numPr>
        <w:snapToGrid w:val="0"/>
        <w:spacing w:line="360" w:lineRule="auto"/>
        <w:ind w:firstLineChars="0"/>
        <w:rPr>
          <w:rFonts w:hint="eastAsia" w:ascii="宋体" w:hAnsi="宋体"/>
          <w:color w:val="auto"/>
          <w:sz w:val="24"/>
          <w:szCs w:val="24"/>
        </w:rPr>
      </w:pPr>
      <w:r>
        <w:rPr>
          <w:rFonts w:ascii="宋体" w:hAnsi="宋体"/>
          <w:color w:val="auto"/>
          <w:sz w:val="24"/>
          <w:szCs w:val="24"/>
        </w:rPr>
        <w:t>供应商具备相关的售后服务体系，在承诺服务期内提供完善、及时、无推诿的应用软件等项目实施范围内的服务保障。</w:t>
      </w:r>
    </w:p>
    <w:p>
      <w:pPr>
        <w:pStyle w:val="3"/>
        <w:rPr>
          <w:rFonts w:hint="eastAsia"/>
          <w:color w:val="auto"/>
        </w:rPr>
      </w:pPr>
      <w:bookmarkStart w:id="30" w:name="_Toc63785506"/>
      <w:r>
        <w:rPr>
          <w:rFonts w:hint="eastAsia"/>
          <w:color w:val="auto"/>
        </w:rPr>
        <w:t>应急响应要求</w:t>
      </w:r>
      <w:bookmarkEnd w:id="30"/>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供应商对系统故障应能够实时响应，若系统发生故障，接到通知后</w:t>
      </w:r>
      <w:r>
        <w:rPr>
          <w:rFonts w:ascii="宋体" w:hAnsi="宋体"/>
          <w:color w:val="auto"/>
          <w:sz w:val="24"/>
          <w:szCs w:val="24"/>
        </w:rPr>
        <w:t>30分钟之内响应，专业工程师2小时内到达现场</w:t>
      </w:r>
      <w:r>
        <w:rPr>
          <w:rFonts w:hint="eastAsia" w:ascii="宋体" w:hAnsi="宋体"/>
          <w:color w:val="auto"/>
          <w:sz w:val="24"/>
          <w:szCs w:val="24"/>
        </w:rPr>
        <w:t>。特殊故障与客户沟通协商后，按照协商的方式制定解决方案并进行处理。</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具体故障级别及对应的应急响应要求如下：</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一级故障：在</w:t>
      </w:r>
      <w:r>
        <w:rPr>
          <w:rFonts w:ascii="宋体" w:hAnsi="宋体"/>
          <w:color w:val="auto"/>
          <w:sz w:val="24"/>
          <w:szCs w:val="24"/>
        </w:rPr>
        <w:t>1小时内确诊，总故障解决时间不超过4小时。</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二级故障：在</w:t>
      </w:r>
      <w:r>
        <w:rPr>
          <w:rFonts w:ascii="宋体" w:hAnsi="宋体"/>
          <w:color w:val="auto"/>
          <w:sz w:val="24"/>
          <w:szCs w:val="24"/>
        </w:rPr>
        <w:t>2小时内确诊，并在4小时内由专家到达现场确诊并解决，总故障解决时间不超过8小时；</w:t>
      </w:r>
    </w:p>
    <w:p>
      <w:pPr>
        <w:pStyle w:val="106"/>
        <w:snapToGrid w:val="0"/>
        <w:spacing w:line="360" w:lineRule="auto"/>
        <w:ind w:firstLine="480"/>
        <w:rPr>
          <w:rFonts w:hint="eastAsia" w:ascii="宋体" w:hAnsi="宋体"/>
          <w:color w:val="auto"/>
          <w:sz w:val="24"/>
          <w:szCs w:val="24"/>
        </w:rPr>
      </w:pPr>
      <w:r>
        <w:rPr>
          <w:rFonts w:hint="eastAsia" w:ascii="宋体" w:hAnsi="宋体"/>
          <w:color w:val="auto"/>
          <w:sz w:val="24"/>
          <w:szCs w:val="24"/>
        </w:rPr>
        <w:t>三、四级故障：在</w:t>
      </w:r>
      <w:r>
        <w:rPr>
          <w:rFonts w:ascii="宋体" w:hAnsi="宋体"/>
          <w:color w:val="auto"/>
          <w:sz w:val="24"/>
          <w:szCs w:val="24"/>
        </w:rPr>
        <w:t>4小时内确诊故障，总故障解决时间不超过16小时。</w:t>
      </w:r>
    </w:p>
    <w:p>
      <w:pPr>
        <w:pStyle w:val="3"/>
        <w:rPr>
          <w:rFonts w:hint="eastAsia"/>
          <w:color w:val="auto"/>
        </w:rPr>
      </w:pPr>
      <w:bookmarkStart w:id="31" w:name="_Toc63785507"/>
      <w:r>
        <w:rPr>
          <w:rFonts w:hint="eastAsia"/>
          <w:color w:val="auto"/>
        </w:rPr>
        <w:t>培训要求</w:t>
      </w:r>
      <w:bookmarkEnd w:id="31"/>
    </w:p>
    <w:p>
      <w:pPr>
        <w:rPr>
          <w:rFonts w:hint="eastAsia"/>
          <w:color w:val="auto"/>
        </w:rPr>
      </w:pPr>
      <w:r>
        <w:rPr>
          <w:rFonts w:hint="eastAsia"/>
          <w:color w:val="auto"/>
        </w:rPr>
        <w:t>对系统使用单位提供业务操作培训，应提供详细培训方案。</w:t>
      </w:r>
    </w:p>
    <w:p>
      <w:pPr>
        <w:rPr>
          <w:rFonts w:hint="eastAsia"/>
          <w:color w:val="auto"/>
        </w:rPr>
      </w:pPr>
      <w:r>
        <w:rPr>
          <w:rFonts w:hint="eastAsia"/>
          <w:color w:val="auto"/>
        </w:rPr>
        <w:t>(1)在12个月的质量保证期内，提供2次与项目相关的必要培训。</w:t>
      </w:r>
    </w:p>
    <w:p>
      <w:pPr>
        <w:rPr>
          <w:rFonts w:hint="eastAsia"/>
          <w:color w:val="auto"/>
        </w:rPr>
      </w:pPr>
      <w:r>
        <w:rPr>
          <w:rFonts w:hint="eastAsia"/>
          <w:color w:val="auto"/>
        </w:rPr>
        <w:t>(2)供应商需要开展分层次的人员培训工作，每次培训后应对参加培训人员进行测试，评估培训成果。培训应具有培训教材、培训环境和高水平的培训讲师。</w:t>
      </w:r>
    </w:p>
    <w:p>
      <w:pPr>
        <w:rPr>
          <w:rFonts w:hint="eastAsia"/>
          <w:color w:val="auto"/>
        </w:rPr>
      </w:pPr>
      <w:r>
        <w:rPr>
          <w:rFonts w:hint="eastAsia"/>
          <w:color w:val="auto"/>
        </w:rPr>
        <w:t>(3)供应商应提供一般用户的基础操作培训和部门信息管理员的日常应用维护的培训，确保用户对象能够掌握对应的操作技能。</w:t>
      </w:r>
    </w:p>
    <w:p>
      <w:pPr>
        <w:pStyle w:val="3"/>
        <w:rPr>
          <w:rFonts w:hint="eastAsia"/>
          <w:color w:val="auto"/>
        </w:rPr>
      </w:pPr>
      <w:bookmarkStart w:id="32" w:name="_Toc63785508"/>
      <w:r>
        <w:rPr>
          <w:rFonts w:hint="eastAsia"/>
          <w:color w:val="auto"/>
        </w:rPr>
        <w:t>验收要求</w:t>
      </w:r>
      <w:bookmarkEnd w:id="32"/>
    </w:p>
    <w:p>
      <w:pPr>
        <w:rPr>
          <w:rFonts w:hint="eastAsia"/>
          <w:color w:val="auto"/>
          <w:szCs w:val="21"/>
        </w:rPr>
      </w:pPr>
      <w:r>
        <w:rPr>
          <w:rFonts w:hint="eastAsia"/>
          <w:color w:val="auto"/>
          <w:szCs w:val="21"/>
        </w:rPr>
        <w:t>本项目按下述方式开展验收。</w:t>
      </w:r>
    </w:p>
    <w:p>
      <w:pPr>
        <w:rPr>
          <w:rFonts w:hint="eastAsia"/>
          <w:color w:val="auto"/>
          <w:szCs w:val="21"/>
        </w:rPr>
      </w:pPr>
      <w:r>
        <w:rPr>
          <w:rFonts w:hint="eastAsia"/>
          <w:color w:val="auto"/>
          <w:szCs w:val="21"/>
        </w:rPr>
        <w:t>（</w:t>
      </w:r>
      <w:r>
        <w:rPr>
          <w:color w:val="auto"/>
          <w:szCs w:val="21"/>
        </w:rPr>
        <w:t>1）验收分初验和终验。</w:t>
      </w:r>
    </w:p>
    <w:p>
      <w:pPr>
        <w:rPr>
          <w:rFonts w:hint="eastAsia"/>
          <w:color w:val="auto"/>
          <w:szCs w:val="21"/>
        </w:rPr>
      </w:pPr>
      <w:r>
        <w:rPr>
          <w:rFonts w:hint="eastAsia"/>
          <w:color w:val="auto"/>
          <w:szCs w:val="21"/>
        </w:rPr>
        <w:t>（</w:t>
      </w:r>
      <w:r>
        <w:rPr>
          <w:color w:val="auto"/>
          <w:szCs w:val="21"/>
        </w:rPr>
        <w:t>2）初验前，供应商须</w:t>
      </w:r>
      <w:r>
        <w:rPr>
          <w:rFonts w:hint="eastAsia"/>
          <w:color w:val="auto"/>
          <w:szCs w:val="21"/>
        </w:rPr>
        <w:t>完成系统功能模块开发工作，完成硬件产品、安全产品、网络链路的系统集成及部署，完成数据采集服务工作</w:t>
      </w:r>
      <w:r>
        <w:rPr>
          <w:color w:val="auto"/>
          <w:szCs w:val="21"/>
        </w:rPr>
        <w:t>，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rPr>
          <w:rFonts w:hint="eastAsia"/>
          <w:color w:val="auto"/>
          <w:szCs w:val="21"/>
        </w:rPr>
      </w:pPr>
      <w:r>
        <w:rPr>
          <w:rFonts w:hint="eastAsia"/>
          <w:color w:val="auto"/>
          <w:szCs w:val="21"/>
        </w:rPr>
        <w:t>（</w:t>
      </w:r>
      <w:r>
        <w:rPr>
          <w:color w:val="auto"/>
          <w:szCs w:val="21"/>
        </w:rPr>
        <w:t>3）初验时，供应商须提供软件文档包括《用户需求说明书》、《系统概要设计说明书》、《系统详细设计说明书》、</w:t>
      </w:r>
      <w:r>
        <w:rPr>
          <w:rFonts w:hint="eastAsia"/>
          <w:color w:val="auto"/>
          <w:szCs w:val="21"/>
        </w:rPr>
        <w:t>《三方功能需求确认单》、</w:t>
      </w:r>
      <w:r>
        <w:rPr>
          <w:color w:val="auto"/>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rPr>
          <w:rFonts w:hint="eastAsia"/>
          <w:color w:val="auto"/>
          <w:szCs w:val="21"/>
        </w:rPr>
      </w:pPr>
      <w:r>
        <w:rPr>
          <w:rFonts w:hint="eastAsia"/>
          <w:color w:val="auto"/>
          <w:szCs w:val="21"/>
        </w:rPr>
        <w:t>（</w:t>
      </w:r>
      <w:r>
        <w:rPr>
          <w:color w:val="auto"/>
          <w:szCs w:val="21"/>
        </w:rPr>
        <w:t>4）自初验通过之日起，招标方享有供应商免费提供的</w:t>
      </w:r>
      <w:r>
        <w:rPr>
          <w:rFonts w:hint="eastAsia"/>
          <w:color w:val="auto"/>
          <w:szCs w:val="21"/>
        </w:rPr>
        <w:t>30</w:t>
      </w:r>
      <w:r>
        <w:rPr>
          <w:color w:val="auto"/>
          <w:szCs w:val="21"/>
        </w:rPr>
        <w:t>天的信息系统试运行现场驻场服务期。该期间内，供应商应当按照招标方的要求提供现场技术支持服务，解决信息系统试运行期间可能出现的各类问题，或进一步提高与完善信息系统运行水平。</w:t>
      </w:r>
    </w:p>
    <w:p>
      <w:pPr>
        <w:rPr>
          <w:rFonts w:hint="eastAsia"/>
          <w:color w:val="auto"/>
          <w:szCs w:val="21"/>
        </w:rPr>
      </w:pPr>
      <w:r>
        <w:rPr>
          <w:rFonts w:hint="eastAsia"/>
          <w:color w:val="auto"/>
          <w:szCs w:val="21"/>
        </w:rPr>
        <w:t>（</w:t>
      </w:r>
      <w:r>
        <w:rPr>
          <w:color w:val="auto"/>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color w:val="auto"/>
          <w:szCs w:val="21"/>
        </w:rPr>
        <w:t>7</w:t>
      </w:r>
      <w:r>
        <w:rPr>
          <w:color w:val="auto"/>
          <w:szCs w:val="21"/>
        </w:rPr>
        <w:t>个工作日内发起组织专家验收会。</w:t>
      </w:r>
    </w:p>
    <w:p>
      <w:pPr>
        <w:rPr>
          <w:rFonts w:hint="eastAsia"/>
          <w:color w:val="auto"/>
          <w:szCs w:val="21"/>
        </w:rPr>
      </w:pPr>
      <w:r>
        <w:rPr>
          <w:rFonts w:hint="eastAsia"/>
          <w:color w:val="auto"/>
          <w:szCs w:val="21"/>
        </w:rPr>
        <w:t>（6</w:t>
      </w:r>
      <w:r>
        <w:rPr>
          <w:color w:val="auto"/>
          <w:szCs w:val="21"/>
        </w:rPr>
        <w:t>）如果属于供应商原因致使本项目未能通过终验，供应商应当排除缺陷，直至本项目完全符合验收标准，由上述情形而产生的相关费用应由供应商自行承担。</w:t>
      </w:r>
    </w:p>
    <w:p>
      <w:pPr>
        <w:rPr>
          <w:rFonts w:hint="eastAsia"/>
          <w:color w:val="auto"/>
          <w:szCs w:val="21"/>
        </w:rPr>
      </w:pPr>
      <w:r>
        <w:rPr>
          <w:rFonts w:hint="eastAsia"/>
          <w:color w:val="auto"/>
          <w:szCs w:val="21"/>
        </w:rPr>
        <w:t>（7</w:t>
      </w:r>
      <w:r>
        <w:rPr>
          <w:color w:val="auto"/>
          <w:szCs w:val="21"/>
        </w:rPr>
        <w:t>）如果由于招标方原因导致本项目在终验通过前出现故障或问题，供应商应及时配合排除该方面的故障或问题。</w:t>
      </w:r>
    </w:p>
    <w:p>
      <w:pPr>
        <w:rPr>
          <w:rFonts w:hint="eastAsia"/>
          <w:color w:val="auto"/>
          <w:szCs w:val="21"/>
        </w:rPr>
      </w:pPr>
      <w:r>
        <w:rPr>
          <w:rFonts w:hint="eastAsia"/>
          <w:color w:val="auto"/>
          <w:szCs w:val="21"/>
        </w:rPr>
        <w:t>（8</w:t>
      </w:r>
      <w:r>
        <w:rPr>
          <w:color w:val="auto"/>
          <w:szCs w:val="21"/>
        </w:rPr>
        <w:t>）如本项目连续3次验收未通过（含初验未通过或终验未通过），招标方有权解除项目，并有权依照本项目约定的违约条款追究供应商的违约责任。</w:t>
      </w:r>
    </w:p>
    <w:p>
      <w:pPr>
        <w:pStyle w:val="3"/>
        <w:rPr>
          <w:rFonts w:hint="eastAsia"/>
          <w:color w:val="auto"/>
        </w:rPr>
      </w:pPr>
      <w:bookmarkStart w:id="33" w:name="_Toc63785509"/>
      <w:r>
        <w:rPr>
          <w:rFonts w:hint="eastAsia"/>
          <w:color w:val="auto"/>
        </w:rPr>
        <w:t>进度要求</w:t>
      </w:r>
      <w:bookmarkEnd w:id="33"/>
    </w:p>
    <w:p>
      <w:pPr>
        <w:rPr>
          <w:rFonts w:hint="eastAsia"/>
          <w:color w:val="auto"/>
        </w:rPr>
      </w:pPr>
      <w:r>
        <w:rPr>
          <w:rFonts w:hint="eastAsia"/>
          <w:color w:val="auto"/>
        </w:rPr>
        <w:t>投标人应根据建设内容，分阶段制定合理的时间进度，并且应根据招标方要求进行调整和细化。</w:t>
      </w:r>
    </w:p>
    <w:p>
      <w:pPr>
        <w:rPr>
          <w:rFonts w:hint="eastAsia"/>
          <w:color w:val="auto"/>
        </w:rPr>
      </w:pPr>
      <w:bookmarkStart w:id="34" w:name="_Toc63785510"/>
      <w:r>
        <w:rPr>
          <w:rFonts w:hint="eastAsia"/>
          <w:color w:val="auto"/>
        </w:rPr>
        <w:t>总建设周期为12个月，分为</w:t>
      </w:r>
      <w:r>
        <w:rPr>
          <w:color w:val="auto"/>
        </w:rPr>
        <w:t>4</w:t>
      </w:r>
      <w:r>
        <w:rPr>
          <w:rFonts w:hint="eastAsia"/>
          <w:color w:val="auto"/>
        </w:rPr>
        <w:t>个阶段。</w:t>
      </w:r>
    </w:p>
    <w:p>
      <w:pPr>
        <w:rPr>
          <w:rFonts w:hint="eastAsia"/>
          <w:color w:val="auto"/>
        </w:rPr>
      </w:pPr>
      <w:r>
        <w:rPr>
          <w:rFonts w:hint="eastAsia"/>
          <w:color w:val="auto"/>
        </w:rPr>
        <w:t>第一阶段</w:t>
      </w:r>
      <w:r>
        <w:rPr>
          <w:color w:val="auto"/>
        </w:rPr>
        <w:t>：</w:t>
      </w:r>
      <w:r>
        <w:rPr>
          <w:rFonts w:hint="eastAsia"/>
          <w:color w:val="auto"/>
        </w:rPr>
        <w:t>合同签订后1个月，</w:t>
      </w:r>
      <w:r>
        <w:rPr>
          <w:color w:val="auto"/>
        </w:rPr>
        <w:t>完成业务需求整理</w:t>
      </w:r>
      <w:r>
        <w:rPr>
          <w:rFonts w:hint="eastAsia"/>
          <w:color w:val="auto"/>
        </w:rPr>
        <w:t>及</w:t>
      </w:r>
      <w:r>
        <w:rPr>
          <w:color w:val="auto"/>
        </w:rPr>
        <w:t>详细需求分析；</w:t>
      </w:r>
    </w:p>
    <w:p>
      <w:pPr>
        <w:rPr>
          <w:rFonts w:hint="eastAsia"/>
          <w:color w:val="auto"/>
        </w:rPr>
      </w:pPr>
      <w:r>
        <w:rPr>
          <w:rFonts w:hint="eastAsia"/>
          <w:color w:val="auto"/>
        </w:rPr>
        <w:t>第二阶段</w:t>
      </w:r>
      <w:r>
        <w:rPr>
          <w:color w:val="auto"/>
        </w:rPr>
        <w:t>：</w:t>
      </w:r>
      <w:bookmarkStart w:id="35" w:name="_Hlk197422421"/>
      <w:r>
        <w:rPr>
          <w:rFonts w:hint="eastAsia"/>
          <w:color w:val="auto"/>
        </w:rPr>
        <w:t>合同签订后3个月，完成空域管理、飞行服务、态势监视功能模块开发工作</w:t>
      </w:r>
      <w:bookmarkEnd w:id="35"/>
      <w:r>
        <w:rPr>
          <w:rFonts w:hint="eastAsia"/>
          <w:color w:val="auto"/>
        </w:rPr>
        <w:t>；</w:t>
      </w:r>
    </w:p>
    <w:p>
      <w:pPr>
        <w:rPr>
          <w:rFonts w:hint="eastAsia"/>
          <w:color w:val="auto"/>
        </w:rPr>
      </w:pPr>
      <w:r>
        <w:rPr>
          <w:rFonts w:hint="eastAsia"/>
          <w:color w:val="auto"/>
        </w:rPr>
        <w:t>第三阶段</w:t>
      </w:r>
      <w:r>
        <w:rPr>
          <w:color w:val="auto"/>
        </w:rPr>
        <w:t>：</w:t>
      </w:r>
      <w:r>
        <w:rPr>
          <w:rFonts w:hint="eastAsia"/>
          <w:color w:val="auto"/>
        </w:rPr>
        <w:t>合同签订后9个月，完成所有系统开发、产品安装调试、数据采集工作，开始试运行。</w:t>
      </w:r>
    </w:p>
    <w:p>
      <w:pPr>
        <w:rPr>
          <w:rFonts w:hint="eastAsia"/>
          <w:color w:val="auto"/>
        </w:rPr>
      </w:pPr>
      <w:r>
        <w:rPr>
          <w:rFonts w:hint="eastAsia"/>
          <w:color w:val="auto"/>
        </w:rPr>
        <w:t>第四阶段</w:t>
      </w:r>
      <w:r>
        <w:rPr>
          <w:color w:val="auto"/>
        </w:rPr>
        <w:t>：</w:t>
      </w:r>
      <w:r>
        <w:rPr>
          <w:rFonts w:hint="eastAsia"/>
          <w:color w:val="auto"/>
        </w:rPr>
        <w:t>合同签订后12个月，</w:t>
      </w:r>
      <w:r>
        <w:rPr>
          <w:color w:val="auto"/>
        </w:rPr>
        <w:t>项目</w:t>
      </w:r>
      <w:r>
        <w:rPr>
          <w:rFonts w:hint="eastAsia"/>
          <w:color w:val="auto"/>
        </w:rPr>
        <w:t>最终</w:t>
      </w:r>
      <w:r>
        <w:rPr>
          <w:color w:val="auto"/>
        </w:rPr>
        <w:t>验收</w:t>
      </w:r>
      <w:r>
        <w:rPr>
          <w:rFonts w:hint="eastAsia"/>
          <w:color w:val="auto"/>
        </w:rPr>
        <w:t>阶段</w:t>
      </w:r>
      <w:r>
        <w:rPr>
          <w:color w:val="auto"/>
        </w:rPr>
        <w:t>。</w:t>
      </w:r>
    </w:p>
    <w:p>
      <w:pPr>
        <w:pStyle w:val="3"/>
        <w:rPr>
          <w:rFonts w:hint="eastAsia"/>
          <w:color w:val="auto"/>
        </w:rPr>
      </w:pPr>
      <w:r>
        <w:rPr>
          <w:rFonts w:hint="eastAsia"/>
          <w:color w:val="auto"/>
        </w:rPr>
        <w:t>项目团队及驻场人员要求</w:t>
      </w:r>
      <w:bookmarkEnd w:id="34"/>
    </w:p>
    <w:p>
      <w:pPr>
        <w:numPr>
          <w:ilvl w:val="0"/>
          <w:numId w:val="6"/>
        </w:numPr>
        <w:rPr>
          <w:rFonts w:hint="eastAsia"/>
          <w:color w:val="auto"/>
        </w:rPr>
      </w:pPr>
      <w:r>
        <w:rPr>
          <w:color w:val="auto"/>
        </w:rPr>
        <w:t>投标人必须</w:t>
      </w:r>
      <w:r>
        <w:rPr>
          <w:rFonts w:hint="eastAsia"/>
          <w:color w:val="auto"/>
        </w:rPr>
        <w:t>有固定的办事机构</w:t>
      </w:r>
      <w:r>
        <w:rPr>
          <w:color w:val="auto"/>
        </w:rPr>
        <w:t>，具有稳定的在职技术保障力量，能够提供及时的技术支援或服务，应针对本项目提供不少于</w:t>
      </w:r>
      <w:r>
        <w:rPr>
          <w:rFonts w:hint="eastAsia"/>
          <w:color w:val="auto"/>
        </w:rPr>
        <w:t>45</w:t>
      </w:r>
      <w:r>
        <w:rPr>
          <w:color w:val="auto"/>
        </w:rPr>
        <w:t>人的项目服务团队（包括项目经理、技术负责人、</w:t>
      </w:r>
      <w:r>
        <w:rPr>
          <w:rFonts w:hint="eastAsia"/>
          <w:color w:val="auto"/>
        </w:rPr>
        <w:t>软件开发人员、实施工程师</w:t>
      </w:r>
      <w:r>
        <w:rPr>
          <w:color w:val="auto"/>
        </w:rPr>
        <w:t>等）</w:t>
      </w:r>
      <w:r>
        <w:rPr>
          <w:rFonts w:hint="eastAsia"/>
          <w:color w:val="auto"/>
          <w:lang w:eastAsia="zh-CN"/>
        </w:rPr>
        <w:t>。</w:t>
      </w:r>
      <w:r>
        <w:rPr>
          <w:color w:val="auto"/>
        </w:rPr>
        <w:t>投标单位的相关服务人员需具备相应的服务能力，需提供相关证明（缴纳社保费证明</w:t>
      </w:r>
      <w:r>
        <w:rPr>
          <w:rFonts w:hint="eastAsia"/>
          <w:color w:val="auto"/>
        </w:rPr>
        <w:t>、相关资质证书证明等</w:t>
      </w:r>
      <w:r>
        <w:rPr>
          <w:color w:val="auto"/>
        </w:rPr>
        <w:t>）。</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167"/>
        <w:gridCol w:w="1275"/>
        <w:gridCol w:w="170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ind w:firstLine="0" w:firstLineChars="0"/>
              <w:jc w:val="center"/>
              <w:rPr>
                <w:rFonts w:hint="eastAsia"/>
                <w:b/>
                <w:color w:val="auto"/>
              </w:rPr>
            </w:pPr>
            <w:r>
              <w:rPr>
                <w:rFonts w:hint="eastAsia"/>
                <w:b/>
                <w:color w:val="auto"/>
              </w:rPr>
              <w:t>角色</w:t>
            </w:r>
          </w:p>
        </w:tc>
        <w:tc>
          <w:tcPr>
            <w:tcW w:w="2167" w:type="dxa"/>
            <w:noWrap/>
            <w:vAlign w:val="center"/>
          </w:tcPr>
          <w:p>
            <w:pPr>
              <w:widowControl/>
              <w:ind w:firstLine="0" w:firstLineChars="0"/>
              <w:jc w:val="center"/>
              <w:rPr>
                <w:rFonts w:hint="eastAsia"/>
                <w:b/>
                <w:color w:val="auto"/>
              </w:rPr>
            </w:pPr>
            <w:r>
              <w:rPr>
                <w:rFonts w:hint="eastAsia"/>
                <w:b/>
                <w:color w:val="auto"/>
              </w:rPr>
              <w:t>主要职责</w:t>
            </w:r>
          </w:p>
        </w:tc>
        <w:tc>
          <w:tcPr>
            <w:tcW w:w="1275" w:type="dxa"/>
            <w:noWrap/>
            <w:vAlign w:val="center"/>
          </w:tcPr>
          <w:p>
            <w:pPr>
              <w:widowControl/>
              <w:ind w:firstLine="0" w:firstLineChars="0"/>
              <w:jc w:val="center"/>
              <w:rPr>
                <w:rFonts w:hint="eastAsia"/>
                <w:b/>
                <w:color w:val="auto"/>
              </w:rPr>
            </w:pPr>
            <w:r>
              <w:rPr>
                <w:rFonts w:hint="eastAsia"/>
                <w:b/>
                <w:color w:val="auto"/>
              </w:rPr>
              <w:t>人员数量</w:t>
            </w:r>
          </w:p>
        </w:tc>
        <w:tc>
          <w:tcPr>
            <w:tcW w:w="1701" w:type="dxa"/>
            <w:vAlign w:val="center"/>
          </w:tcPr>
          <w:p>
            <w:pPr>
              <w:widowControl/>
              <w:ind w:firstLine="0" w:firstLineChars="0"/>
              <w:jc w:val="center"/>
              <w:rPr>
                <w:rFonts w:hint="eastAsia"/>
                <w:b/>
                <w:color w:val="auto"/>
              </w:rPr>
            </w:pPr>
            <w:r>
              <w:rPr>
                <w:rFonts w:hint="eastAsia"/>
                <w:b/>
                <w:color w:val="auto"/>
              </w:rPr>
              <w:t>人员要求</w:t>
            </w:r>
          </w:p>
        </w:tc>
        <w:tc>
          <w:tcPr>
            <w:tcW w:w="1503" w:type="dxa"/>
            <w:noWrap/>
            <w:vAlign w:val="center"/>
          </w:tcPr>
          <w:p>
            <w:pPr>
              <w:widowControl/>
              <w:ind w:firstLine="0" w:firstLineChars="0"/>
              <w:jc w:val="center"/>
              <w:rPr>
                <w:rFonts w:hint="eastAsia"/>
                <w:b/>
                <w:color w:val="auto"/>
              </w:rPr>
            </w:pPr>
            <w:r>
              <w:rPr>
                <w:rFonts w:hint="eastAsia"/>
                <w:b/>
                <w:color w:val="auto"/>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ind w:firstLine="0" w:firstLineChars="0"/>
              <w:jc w:val="center"/>
              <w:rPr>
                <w:rFonts w:hint="eastAsia"/>
                <w:color w:val="auto"/>
              </w:rPr>
            </w:pPr>
            <w:r>
              <w:rPr>
                <w:rFonts w:hint="eastAsia"/>
                <w:color w:val="auto"/>
              </w:rPr>
              <w:t>项目经理</w:t>
            </w:r>
          </w:p>
        </w:tc>
        <w:tc>
          <w:tcPr>
            <w:tcW w:w="2167" w:type="dxa"/>
            <w:vAlign w:val="center"/>
          </w:tcPr>
          <w:p>
            <w:pPr>
              <w:widowControl/>
              <w:ind w:firstLine="0" w:firstLineChars="0"/>
              <w:jc w:val="center"/>
              <w:rPr>
                <w:rFonts w:hint="eastAsia"/>
                <w:color w:val="auto"/>
              </w:rPr>
            </w:pPr>
            <w:r>
              <w:rPr>
                <w:rFonts w:hint="eastAsia"/>
                <w:color w:val="auto"/>
              </w:rPr>
              <w:t>负责项目总体牵头工作，负责项目质量和进度控制</w:t>
            </w:r>
          </w:p>
        </w:tc>
        <w:tc>
          <w:tcPr>
            <w:tcW w:w="1275" w:type="dxa"/>
            <w:noWrap/>
            <w:vAlign w:val="center"/>
          </w:tcPr>
          <w:p>
            <w:pPr>
              <w:widowControl/>
              <w:ind w:firstLine="0" w:firstLineChars="0"/>
              <w:jc w:val="center"/>
              <w:rPr>
                <w:rFonts w:hint="eastAsia"/>
                <w:color w:val="auto"/>
              </w:rPr>
            </w:pPr>
            <w:r>
              <w:rPr>
                <w:rFonts w:hint="eastAsia"/>
                <w:color w:val="auto"/>
              </w:rPr>
              <w:t>1人</w:t>
            </w:r>
          </w:p>
        </w:tc>
        <w:tc>
          <w:tcPr>
            <w:tcW w:w="1701" w:type="dxa"/>
            <w:vAlign w:val="center"/>
          </w:tcPr>
          <w:p>
            <w:pPr>
              <w:widowControl/>
              <w:ind w:firstLine="0" w:firstLineChars="0"/>
              <w:jc w:val="center"/>
              <w:rPr>
                <w:rFonts w:hint="eastAsia"/>
                <w:color w:val="auto"/>
              </w:rPr>
            </w:pPr>
            <w:r>
              <w:rPr>
                <w:rFonts w:hint="eastAsia"/>
                <w:color w:val="auto"/>
                <w:sz w:val="21"/>
                <w:szCs w:val="21"/>
              </w:rPr>
              <w:t>本科及以上学历</w:t>
            </w:r>
            <w:bookmarkStart w:id="36" w:name="OLE_LINK3"/>
            <w:r>
              <w:rPr>
                <w:rFonts w:hint="eastAsia"/>
                <w:color w:val="auto"/>
                <w:sz w:val="21"/>
                <w:szCs w:val="21"/>
              </w:rPr>
              <w:t>，</w:t>
            </w:r>
            <w:bookmarkEnd w:id="36"/>
            <w:bookmarkStart w:id="37" w:name="OLE_LINK2"/>
            <w:r>
              <w:rPr>
                <w:rFonts w:hint="eastAsia"/>
                <w:color w:val="auto"/>
                <w:sz w:val="21"/>
                <w:szCs w:val="21"/>
              </w:rPr>
              <w:t>具有工业和信息化部门或人力资源社会保障部门颁发的计算机技术与软件专业技术资格高级证书</w:t>
            </w:r>
            <w:bookmarkEnd w:id="37"/>
          </w:p>
        </w:tc>
        <w:tc>
          <w:tcPr>
            <w:tcW w:w="1503" w:type="dxa"/>
            <w:noWrap/>
            <w:vAlign w:val="center"/>
          </w:tcPr>
          <w:p>
            <w:pPr>
              <w:widowControl/>
              <w:ind w:firstLine="0" w:firstLineChars="0"/>
              <w:jc w:val="center"/>
              <w:rPr>
                <w:rFonts w:hint="eastAsia"/>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ind w:firstLine="0" w:firstLineChars="0"/>
              <w:jc w:val="center"/>
              <w:rPr>
                <w:rFonts w:hint="eastAsia"/>
                <w:color w:val="auto"/>
              </w:rPr>
            </w:pPr>
            <w:r>
              <w:rPr>
                <w:rFonts w:hint="eastAsia"/>
                <w:color w:val="auto"/>
              </w:rPr>
              <w:t>软件开发技术负责人</w:t>
            </w:r>
          </w:p>
        </w:tc>
        <w:tc>
          <w:tcPr>
            <w:tcW w:w="2167" w:type="dxa"/>
            <w:vAlign w:val="center"/>
          </w:tcPr>
          <w:p>
            <w:pPr>
              <w:widowControl/>
              <w:ind w:firstLine="0" w:firstLineChars="0"/>
              <w:jc w:val="center"/>
              <w:rPr>
                <w:rFonts w:hint="eastAsia"/>
                <w:color w:val="auto"/>
              </w:rPr>
            </w:pPr>
            <w:r>
              <w:rPr>
                <w:rFonts w:hint="eastAsia"/>
                <w:color w:val="auto"/>
              </w:rPr>
              <w:t>负责项目软件开发需求评估与系统设计</w:t>
            </w:r>
          </w:p>
        </w:tc>
        <w:tc>
          <w:tcPr>
            <w:tcW w:w="1275" w:type="dxa"/>
            <w:noWrap/>
            <w:vAlign w:val="center"/>
          </w:tcPr>
          <w:p>
            <w:pPr>
              <w:widowControl/>
              <w:ind w:firstLine="0" w:firstLineChars="0"/>
              <w:jc w:val="center"/>
              <w:rPr>
                <w:rFonts w:hint="eastAsia"/>
                <w:color w:val="auto"/>
              </w:rPr>
            </w:pPr>
            <w:r>
              <w:rPr>
                <w:rFonts w:hint="eastAsia"/>
                <w:color w:val="auto"/>
              </w:rPr>
              <w:t>1人</w:t>
            </w:r>
          </w:p>
        </w:tc>
        <w:tc>
          <w:tcPr>
            <w:tcW w:w="1701" w:type="dxa"/>
            <w:vAlign w:val="center"/>
          </w:tcPr>
          <w:p>
            <w:pPr>
              <w:widowControl/>
              <w:ind w:firstLine="0" w:firstLineChars="0"/>
              <w:jc w:val="center"/>
              <w:rPr>
                <w:rFonts w:hint="eastAsia"/>
                <w:color w:val="auto"/>
              </w:rPr>
            </w:pPr>
            <w:r>
              <w:rPr>
                <w:rFonts w:hint="eastAsia"/>
                <w:color w:val="auto"/>
                <w:sz w:val="21"/>
                <w:szCs w:val="21"/>
              </w:rPr>
              <w:t>本科及以上学历，具有工业和信息化部门或人力资源社会保障部门颁发的计算机技术与软件专业技术资格高级证书</w:t>
            </w:r>
          </w:p>
        </w:tc>
        <w:tc>
          <w:tcPr>
            <w:tcW w:w="1503" w:type="dxa"/>
            <w:noWrap/>
            <w:vAlign w:val="center"/>
          </w:tcPr>
          <w:p>
            <w:pPr>
              <w:widowControl/>
              <w:ind w:firstLine="0" w:firstLineChars="0"/>
              <w:jc w:val="center"/>
              <w:rPr>
                <w:rFonts w:hint="eastAsia"/>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ind w:firstLine="0" w:firstLineChars="0"/>
              <w:jc w:val="center"/>
              <w:rPr>
                <w:rFonts w:hint="eastAsia"/>
                <w:color w:val="auto"/>
              </w:rPr>
            </w:pPr>
            <w:r>
              <w:rPr>
                <w:rFonts w:hint="eastAsia"/>
                <w:color w:val="auto"/>
              </w:rPr>
              <w:t>系统集成技术负责人</w:t>
            </w:r>
          </w:p>
        </w:tc>
        <w:tc>
          <w:tcPr>
            <w:tcW w:w="2167" w:type="dxa"/>
            <w:vAlign w:val="center"/>
          </w:tcPr>
          <w:p>
            <w:pPr>
              <w:widowControl/>
              <w:ind w:firstLine="0" w:firstLineChars="0"/>
              <w:jc w:val="center"/>
              <w:rPr>
                <w:rFonts w:hint="eastAsia"/>
                <w:color w:val="auto"/>
              </w:rPr>
            </w:pPr>
            <w:r>
              <w:rPr>
                <w:rFonts w:hint="eastAsia"/>
                <w:color w:val="auto"/>
              </w:rPr>
              <w:t>负责保障软硬件产品集成实施工作</w:t>
            </w:r>
          </w:p>
        </w:tc>
        <w:tc>
          <w:tcPr>
            <w:tcW w:w="1275" w:type="dxa"/>
            <w:noWrap/>
            <w:vAlign w:val="center"/>
          </w:tcPr>
          <w:p>
            <w:pPr>
              <w:widowControl/>
              <w:ind w:firstLine="0" w:firstLineChars="0"/>
              <w:jc w:val="center"/>
              <w:rPr>
                <w:rFonts w:hint="eastAsia"/>
                <w:color w:val="auto"/>
              </w:rPr>
            </w:pPr>
            <w:r>
              <w:rPr>
                <w:rFonts w:hint="eastAsia"/>
                <w:color w:val="auto"/>
              </w:rPr>
              <w:t>1人</w:t>
            </w:r>
          </w:p>
        </w:tc>
        <w:tc>
          <w:tcPr>
            <w:tcW w:w="1701" w:type="dxa"/>
            <w:vAlign w:val="center"/>
          </w:tcPr>
          <w:p>
            <w:pPr>
              <w:widowControl/>
              <w:ind w:firstLine="0" w:firstLineChars="0"/>
              <w:jc w:val="center"/>
              <w:rPr>
                <w:rFonts w:hint="eastAsia"/>
                <w:color w:val="auto"/>
                <w:sz w:val="21"/>
                <w:szCs w:val="21"/>
              </w:rPr>
            </w:pPr>
            <w:r>
              <w:rPr>
                <w:rFonts w:hint="eastAsia"/>
                <w:color w:val="auto"/>
                <w:sz w:val="21"/>
                <w:szCs w:val="21"/>
              </w:rPr>
              <w:t>本科及以上学历，具有工业和信息化部门或人力资源社会保障部门颁发的计算机技术与软件专业技术资格高级证书</w:t>
            </w:r>
          </w:p>
        </w:tc>
        <w:tc>
          <w:tcPr>
            <w:tcW w:w="1503" w:type="dxa"/>
            <w:noWrap/>
            <w:vAlign w:val="center"/>
          </w:tcPr>
          <w:p>
            <w:pPr>
              <w:widowControl/>
              <w:ind w:firstLine="0" w:firstLineChars="0"/>
              <w:jc w:val="center"/>
              <w:rPr>
                <w:rFonts w:hint="eastAsia"/>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ind w:firstLine="0" w:firstLineChars="0"/>
              <w:jc w:val="center"/>
              <w:rPr>
                <w:rFonts w:hint="eastAsia"/>
                <w:color w:val="auto"/>
              </w:rPr>
            </w:pPr>
            <w:r>
              <w:rPr>
                <w:rFonts w:hint="eastAsia"/>
                <w:color w:val="auto"/>
              </w:rPr>
              <w:t>软件开发人员</w:t>
            </w:r>
          </w:p>
        </w:tc>
        <w:tc>
          <w:tcPr>
            <w:tcW w:w="2167" w:type="dxa"/>
            <w:noWrap/>
            <w:vAlign w:val="center"/>
          </w:tcPr>
          <w:p>
            <w:pPr>
              <w:widowControl/>
              <w:ind w:firstLine="0" w:firstLineChars="0"/>
              <w:jc w:val="center"/>
              <w:rPr>
                <w:rFonts w:hint="eastAsia"/>
                <w:color w:val="auto"/>
              </w:rPr>
            </w:pPr>
            <w:r>
              <w:rPr>
                <w:rFonts w:hint="eastAsia"/>
                <w:color w:val="auto"/>
              </w:rPr>
              <w:t>负责项目具体开发与实施</w:t>
            </w:r>
          </w:p>
        </w:tc>
        <w:tc>
          <w:tcPr>
            <w:tcW w:w="1275" w:type="dxa"/>
            <w:noWrap/>
            <w:vAlign w:val="center"/>
          </w:tcPr>
          <w:p>
            <w:pPr>
              <w:widowControl/>
              <w:ind w:firstLine="0" w:firstLineChars="0"/>
              <w:jc w:val="center"/>
              <w:rPr>
                <w:rFonts w:hint="eastAsia"/>
                <w:color w:val="auto"/>
              </w:rPr>
            </w:pPr>
            <w:r>
              <w:rPr>
                <w:rFonts w:hint="eastAsia"/>
                <w:color w:val="auto"/>
              </w:rPr>
              <w:t>40人</w:t>
            </w:r>
          </w:p>
        </w:tc>
        <w:tc>
          <w:tcPr>
            <w:tcW w:w="1701" w:type="dxa"/>
            <w:vAlign w:val="center"/>
          </w:tcPr>
          <w:p>
            <w:pPr>
              <w:widowControl/>
              <w:ind w:firstLine="0" w:firstLineChars="0"/>
              <w:jc w:val="center"/>
              <w:rPr>
                <w:rFonts w:hint="eastAsia"/>
                <w:color w:val="auto"/>
              </w:rPr>
            </w:pPr>
            <w:r>
              <w:rPr>
                <w:rFonts w:hint="eastAsia"/>
                <w:color w:val="auto"/>
                <w:sz w:val="21"/>
                <w:szCs w:val="21"/>
              </w:rPr>
              <w:t>本科及以上学历</w:t>
            </w:r>
          </w:p>
        </w:tc>
        <w:tc>
          <w:tcPr>
            <w:tcW w:w="1503" w:type="dxa"/>
            <w:noWrap/>
            <w:vAlign w:val="center"/>
          </w:tcPr>
          <w:p>
            <w:pPr>
              <w:widowControl/>
              <w:ind w:firstLine="0" w:firstLineChars="0"/>
              <w:jc w:val="center"/>
              <w:rPr>
                <w:rFonts w:hint="eastAsia"/>
                <w:color w:val="auto"/>
              </w:rPr>
            </w:pPr>
            <w:r>
              <w:rPr>
                <w:rFonts w:hint="eastAsia"/>
                <w:color w:val="auto"/>
              </w:rPr>
              <w:t>至少10人同时驻场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ind w:firstLine="0" w:firstLineChars="0"/>
              <w:jc w:val="center"/>
              <w:rPr>
                <w:rFonts w:hint="eastAsia"/>
                <w:color w:val="auto"/>
              </w:rPr>
            </w:pPr>
            <w:r>
              <w:rPr>
                <w:rFonts w:hint="eastAsia"/>
                <w:color w:val="auto"/>
              </w:rPr>
              <w:t>硬件实施工程师</w:t>
            </w:r>
          </w:p>
        </w:tc>
        <w:tc>
          <w:tcPr>
            <w:tcW w:w="2167" w:type="dxa"/>
            <w:noWrap/>
            <w:vAlign w:val="center"/>
          </w:tcPr>
          <w:p>
            <w:pPr>
              <w:widowControl/>
              <w:ind w:firstLine="0" w:firstLineChars="0"/>
              <w:jc w:val="center"/>
              <w:rPr>
                <w:rFonts w:hint="eastAsia"/>
                <w:color w:val="auto"/>
              </w:rPr>
            </w:pPr>
            <w:r>
              <w:rPr>
                <w:rFonts w:hint="eastAsia"/>
                <w:color w:val="auto"/>
              </w:rPr>
              <w:t>负责硬件产品的集成与调试</w:t>
            </w:r>
          </w:p>
        </w:tc>
        <w:tc>
          <w:tcPr>
            <w:tcW w:w="1275" w:type="dxa"/>
            <w:noWrap/>
            <w:vAlign w:val="center"/>
          </w:tcPr>
          <w:p>
            <w:pPr>
              <w:widowControl/>
              <w:ind w:firstLine="0" w:firstLineChars="0"/>
              <w:jc w:val="center"/>
              <w:rPr>
                <w:rFonts w:hint="eastAsia"/>
                <w:color w:val="auto"/>
              </w:rPr>
            </w:pPr>
            <w:r>
              <w:rPr>
                <w:rFonts w:hint="eastAsia"/>
                <w:color w:val="auto"/>
              </w:rPr>
              <w:t>2人</w:t>
            </w:r>
          </w:p>
        </w:tc>
        <w:tc>
          <w:tcPr>
            <w:tcW w:w="1701" w:type="dxa"/>
            <w:vAlign w:val="center"/>
          </w:tcPr>
          <w:p>
            <w:pPr>
              <w:widowControl/>
              <w:ind w:firstLine="0" w:firstLineChars="0"/>
              <w:jc w:val="center"/>
              <w:rPr>
                <w:rFonts w:hint="eastAsia"/>
                <w:color w:val="auto"/>
                <w:sz w:val="21"/>
                <w:szCs w:val="21"/>
              </w:rPr>
            </w:pPr>
            <w:r>
              <w:rPr>
                <w:rFonts w:hint="eastAsia"/>
                <w:color w:val="auto"/>
                <w:sz w:val="21"/>
                <w:szCs w:val="21"/>
              </w:rPr>
              <w:t>本科及以上学历</w:t>
            </w:r>
          </w:p>
        </w:tc>
        <w:tc>
          <w:tcPr>
            <w:tcW w:w="1503" w:type="dxa"/>
            <w:noWrap/>
            <w:vAlign w:val="center"/>
          </w:tcPr>
          <w:p>
            <w:pPr>
              <w:widowControl/>
              <w:ind w:firstLine="0" w:firstLineChars="0"/>
              <w:jc w:val="center"/>
              <w:rPr>
                <w:rFonts w:hint="eastAsia"/>
                <w:color w:val="auto"/>
              </w:rPr>
            </w:pPr>
            <w:r>
              <w:rPr>
                <w:rFonts w:hint="eastAsia"/>
                <w:color w:val="auto"/>
              </w:rPr>
              <w:t>至少1人驻场</w:t>
            </w:r>
          </w:p>
        </w:tc>
      </w:tr>
    </w:tbl>
    <w:p>
      <w:pPr>
        <w:rPr>
          <w:rFonts w:hint="eastAsia"/>
          <w:color w:val="auto"/>
          <w:lang w:eastAsia="zh-CN"/>
        </w:rPr>
      </w:pPr>
      <w:r>
        <w:rPr>
          <w:rFonts w:hint="eastAsia"/>
          <w:color w:val="auto"/>
          <w:lang w:eastAsia="zh-CN"/>
        </w:rPr>
        <w:t>除主要管理人员（项目经理、软件开发技术负责人、系统集成技术负责人）外，开发团队人员应当具备为本项目提供服务的专业能力与资质。</w:t>
      </w:r>
    </w:p>
    <w:p>
      <w:pPr>
        <w:rPr>
          <w:rFonts w:hint="default" w:eastAsia="宋体"/>
          <w:color w:val="auto"/>
          <w:lang w:val="en-US" w:eastAsia="zh-CN"/>
        </w:rPr>
      </w:pPr>
      <w:r>
        <w:rPr>
          <w:rFonts w:hint="eastAsia"/>
          <w:color w:val="auto"/>
          <w:lang w:eastAsia="zh-CN"/>
        </w:rPr>
        <w:t>其中，至少</w:t>
      </w:r>
      <w:r>
        <w:rPr>
          <w:rFonts w:hint="eastAsia"/>
          <w:color w:val="auto"/>
          <w:lang w:val="en-US" w:eastAsia="zh-CN"/>
        </w:rPr>
        <w:t>4人具有工业和信息化部门或人力资源社会保障部门颁发的计算机技术与软件专业技术资格高级证书；至少8人</w:t>
      </w:r>
      <w:bookmarkStart w:id="40" w:name="_GoBack"/>
      <w:bookmarkEnd w:id="40"/>
      <w:r>
        <w:rPr>
          <w:rFonts w:hint="eastAsia"/>
          <w:color w:val="auto"/>
          <w:lang w:val="en-US" w:eastAsia="zh-CN"/>
        </w:rPr>
        <w:t>具有工业和信息化部门或人力资源社会保障部门颁发的计算机技术与软件专业技术资格中级及以上证书。</w:t>
      </w:r>
    </w:p>
    <w:p>
      <w:pPr>
        <w:rPr>
          <w:rFonts w:hint="eastAsia"/>
          <w:color w:val="auto"/>
        </w:rPr>
      </w:pPr>
      <w:r>
        <w:rPr>
          <w:color w:val="auto"/>
        </w:rPr>
        <w:t>2）投标人应针对本项目提供不少于</w:t>
      </w:r>
      <w:r>
        <w:rPr>
          <w:rFonts w:hint="eastAsia"/>
          <w:color w:val="auto"/>
        </w:rPr>
        <w:t>10</w:t>
      </w:r>
      <w:r>
        <w:rPr>
          <w:color w:val="auto"/>
        </w:rPr>
        <w:t>人的质保期间支撑团队（其中</w:t>
      </w:r>
      <w:r>
        <w:rPr>
          <w:rFonts w:hint="eastAsia"/>
          <w:color w:val="auto"/>
        </w:rPr>
        <w:t>项目</w:t>
      </w:r>
      <w:r>
        <w:rPr>
          <w:color w:val="auto"/>
        </w:rPr>
        <w:t>经理</w:t>
      </w:r>
      <w:r>
        <w:rPr>
          <w:rFonts w:hint="eastAsia"/>
          <w:color w:val="auto"/>
        </w:rPr>
        <w:t>1</w:t>
      </w:r>
      <w:r>
        <w:rPr>
          <w:color w:val="auto"/>
        </w:rPr>
        <w:t>人，</w:t>
      </w:r>
      <w:r>
        <w:rPr>
          <w:rFonts w:hint="eastAsia"/>
          <w:color w:val="auto"/>
        </w:rPr>
        <w:t>技术负责人1</w:t>
      </w:r>
      <w:r>
        <w:rPr>
          <w:color w:val="auto"/>
        </w:rPr>
        <w:t>人，技术工程师不少于</w:t>
      </w:r>
      <w:r>
        <w:rPr>
          <w:rFonts w:hint="eastAsia"/>
          <w:color w:val="auto"/>
        </w:rPr>
        <w:t>8</w:t>
      </w:r>
      <w:r>
        <w:rPr>
          <w:color w:val="auto"/>
        </w:rPr>
        <w:t>人）；</w:t>
      </w:r>
      <w:r>
        <w:rPr>
          <w:rFonts w:hint="eastAsia"/>
          <w:color w:val="auto"/>
        </w:rPr>
        <w:t>质保期支撑团队成员应从项目建设团队中选取符合相应资格要求的人员</w:t>
      </w:r>
      <w:r>
        <w:rPr>
          <w:color w:val="auto"/>
        </w:rPr>
        <w:t>。</w:t>
      </w:r>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545"/>
        <w:gridCol w:w="1180"/>
        <w:gridCol w:w="2207"/>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ind w:firstLine="0" w:firstLineChars="0"/>
              <w:jc w:val="center"/>
              <w:rPr>
                <w:rFonts w:hint="eastAsia"/>
                <w:b/>
                <w:color w:val="auto"/>
              </w:rPr>
            </w:pPr>
            <w:r>
              <w:rPr>
                <w:rFonts w:hint="eastAsia"/>
                <w:b/>
                <w:color w:val="auto"/>
              </w:rPr>
              <w:t>角色</w:t>
            </w:r>
          </w:p>
        </w:tc>
        <w:tc>
          <w:tcPr>
            <w:tcW w:w="2545" w:type="dxa"/>
            <w:noWrap/>
            <w:vAlign w:val="center"/>
          </w:tcPr>
          <w:p>
            <w:pPr>
              <w:widowControl/>
              <w:ind w:firstLine="0" w:firstLineChars="0"/>
              <w:jc w:val="center"/>
              <w:rPr>
                <w:rFonts w:hint="eastAsia"/>
                <w:b/>
                <w:color w:val="auto"/>
              </w:rPr>
            </w:pPr>
            <w:r>
              <w:rPr>
                <w:rFonts w:hint="eastAsia"/>
                <w:b/>
                <w:color w:val="auto"/>
              </w:rPr>
              <w:t>主要职责</w:t>
            </w:r>
          </w:p>
        </w:tc>
        <w:tc>
          <w:tcPr>
            <w:tcW w:w="1180" w:type="dxa"/>
            <w:noWrap/>
            <w:vAlign w:val="center"/>
          </w:tcPr>
          <w:p>
            <w:pPr>
              <w:widowControl/>
              <w:ind w:firstLine="0" w:firstLineChars="0"/>
              <w:jc w:val="center"/>
              <w:rPr>
                <w:rFonts w:hint="eastAsia"/>
                <w:b/>
                <w:color w:val="auto"/>
              </w:rPr>
            </w:pPr>
            <w:r>
              <w:rPr>
                <w:rFonts w:hint="eastAsia"/>
                <w:b/>
                <w:color w:val="auto"/>
              </w:rPr>
              <w:t>人员数量</w:t>
            </w:r>
          </w:p>
        </w:tc>
        <w:tc>
          <w:tcPr>
            <w:tcW w:w="2207" w:type="dxa"/>
            <w:vAlign w:val="center"/>
          </w:tcPr>
          <w:p>
            <w:pPr>
              <w:widowControl/>
              <w:ind w:firstLine="0" w:firstLineChars="0"/>
              <w:jc w:val="center"/>
              <w:rPr>
                <w:rFonts w:hint="eastAsia"/>
                <w:b/>
                <w:color w:val="auto"/>
              </w:rPr>
            </w:pPr>
            <w:r>
              <w:rPr>
                <w:rFonts w:hint="eastAsia"/>
                <w:b/>
                <w:color w:val="auto"/>
              </w:rPr>
              <w:t>人员要求</w:t>
            </w:r>
          </w:p>
        </w:tc>
        <w:tc>
          <w:tcPr>
            <w:tcW w:w="1180" w:type="dxa"/>
            <w:noWrap/>
            <w:vAlign w:val="center"/>
          </w:tcPr>
          <w:p>
            <w:pPr>
              <w:widowControl/>
              <w:ind w:firstLine="0" w:firstLineChars="0"/>
              <w:jc w:val="center"/>
              <w:rPr>
                <w:rFonts w:hint="eastAsia"/>
                <w:b/>
                <w:color w:val="auto"/>
              </w:rPr>
            </w:pPr>
            <w:r>
              <w:rPr>
                <w:rFonts w:hint="eastAsia"/>
                <w:b/>
                <w:color w:val="auto"/>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ind w:firstLine="0" w:firstLineChars="0"/>
              <w:jc w:val="center"/>
              <w:rPr>
                <w:rFonts w:hint="eastAsia"/>
                <w:color w:val="auto"/>
              </w:rPr>
            </w:pPr>
            <w:r>
              <w:rPr>
                <w:rFonts w:hint="eastAsia"/>
                <w:color w:val="auto"/>
              </w:rPr>
              <w:t>项目经理</w:t>
            </w:r>
          </w:p>
        </w:tc>
        <w:tc>
          <w:tcPr>
            <w:tcW w:w="2545" w:type="dxa"/>
            <w:vAlign w:val="center"/>
          </w:tcPr>
          <w:p>
            <w:pPr>
              <w:widowControl/>
              <w:ind w:firstLine="0" w:firstLineChars="0"/>
              <w:jc w:val="center"/>
              <w:rPr>
                <w:rFonts w:hint="eastAsia"/>
                <w:color w:val="auto"/>
              </w:rPr>
            </w:pPr>
            <w:r>
              <w:rPr>
                <w:rFonts w:hint="eastAsia"/>
                <w:color w:val="auto"/>
              </w:rPr>
              <w:t>负责项目质保期间的项目质量和进度控制</w:t>
            </w:r>
          </w:p>
        </w:tc>
        <w:tc>
          <w:tcPr>
            <w:tcW w:w="1180" w:type="dxa"/>
            <w:noWrap/>
            <w:vAlign w:val="center"/>
          </w:tcPr>
          <w:p>
            <w:pPr>
              <w:widowControl/>
              <w:ind w:firstLine="0" w:firstLineChars="0"/>
              <w:jc w:val="center"/>
              <w:rPr>
                <w:rFonts w:hint="eastAsia"/>
                <w:color w:val="auto"/>
              </w:rPr>
            </w:pPr>
            <w:r>
              <w:rPr>
                <w:rFonts w:hint="eastAsia"/>
                <w:color w:val="auto"/>
              </w:rPr>
              <w:t>1人</w:t>
            </w:r>
          </w:p>
        </w:tc>
        <w:tc>
          <w:tcPr>
            <w:tcW w:w="2207" w:type="dxa"/>
            <w:vAlign w:val="center"/>
          </w:tcPr>
          <w:p>
            <w:pPr>
              <w:widowControl/>
              <w:ind w:firstLine="0" w:firstLineChars="0"/>
              <w:jc w:val="center"/>
              <w:rPr>
                <w:rFonts w:hint="eastAsia"/>
                <w:color w:val="auto"/>
              </w:rPr>
            </w:pPr>
            <w:r>
              <w:rPr>
                <w:rFonts w:hint="eastAsia"/>
                <w:color w:val="auto"/>
                <w:sz w:val="21"/>
                <w:szCs w:val="21"/>
              </w:rPr>
              <w:t>本科及以上学历，具有工业和信息化部门或人力资源社会保障部门颁发的计算机技术与软件专业技术资格高级证书</w:t>
            </w:r>
          </w:p>
        </w:tc>
        <w:tc>
          <w:tcPr>
            <w:tcW w:w="1180" w:type="dxa"/>
            <w:noWrap/>
            <w:vAlign w:val="center"/>
          </w:tcPr>
          <w:p>
            <w:pPr>
              <w:widowControl/>
              <w:ind w:firstLine="0" w:firstLineChars="0"/>
              <w:jc w:val="center"/>
              <w:rPr>
                <w:rFonts w:hint="eastAsia"/>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ind w:firstLine="0" w:firstLineChars="0"/>
              <w:jc w:val="center"/>
              <w:rPr>
                <w:rFonts w:hint="eastAsia"/>
                <w:color w:val="auto"/>
              </w:rPr>
            </w:pPr>
            <w:r>
              <w:rPr>
                <w:rFonts w:hint="eastAsia"/>
                <w:color w:val="auto"/>
              </w:rPr>
              <w:t>技术负责人</w:t>
            </w:r>
          </w:p>
        </w:tc>
        <w:tc>
          <w:tcPr>
            <w:tcW w:w="2545" w:type="dxa"/>
            <w:vAlign w:val="center"/>
          </w:tcPr>
          <w:p>
            <w:pPr>
              <w:widowControl/>
              <w:ind w:firstLine="0" w:firstLineChars="0"/>
              <w:jc w:val="center"/>
              <w:rPr>
                <w:rFonts w:hint="eastAsia"/>
                <w:color w:val="auto"/>
              </w:rPr>
            </w:pPr>
            <w:r>
              <w:rPr>
                <w:rFonts w:hint="eastAsia"/>
                <w:color w:val="auto"/>
              </w:rPr>
              <w:t>负责项目质保期间的技术保障</w:t>
            </w:r>
          </w:p>
        </w:tc>
        <w:tc>
          <w:tcPr>
            <w:tcW w:w="1180" w:type="dxa"/>
            <w:noWrap/>
            <w:vAlign w:val="center"/>
          </w:tcPr>
          <w:p>
            <w:pPr>
              <w:widowControl/>
              <w:ind w:firstLine="0" w:firstLineChars="0"/>
              <w:jc w:val="center"/>
              <w:rPr>
                <w:rFonts w:hint="eastAsia"/>
                <w:color w:val="auto"/>
              </w:rPr>
            </w:pPr>
            <w:r>
              <w:rPr>
                <w:rFonts w:hint="eastAsia"/>
                <w:color w:val="auto"/>
              </w:rPr>
              <w:t>1人</w:t>
            </w:r>
          </w:p>
        </w:tc>
        <w:tc>
          <w:tcPr>
            <w:tcW w:w="2207" w:type="dxa"/>
            <w:vAlign w:val="center"/>
          </w:tcPr>
          <w:p>
            <w:pPr>
              <w:widowControl/>
              <w:ind w:firstLine="0" w:firstLineChars="0"/>
              <w:jc w:val="center"/>
              <w:rPr>
                <w:rFonts w:hint="eastAsia"/>
                <w:color w:val="auto"/>
              </w:rPr>
            </w:pPr>
            <w:r>
              <w:rPr>
                <w:rFonts w:hint="eastAsia"/>
                <w:color w:val="auto"/>
                <w:sz w:val="21"/>
                <w:szCs w:val="21"/>
              </w:rPr>
              <w:t>本科及以上学历，具有工业和信息化部门或人力资源社会保障部门颁发的计算机技术与软件专业技术资格高级证书</w:t>
            </w:r>
          </w:p>
        </w:tc>
        <w:tc>
          <w:tcPr>
            <w:tcW w:w="1180" w:type="dxa"/>
            <w:noWrap/>
            <w:vAlign w:val="center"/>
          </w:tcPr>
          <w:p>
            <w:pPr>
              <w:widowControl/>
              <w:ind w:firstLine="0" w:firstLineChars="0"/>
              <w:jc w:val="center"/>
              <w:rPr>
                <w:rFonts w:hint="eastAsia"/>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ind w:firstLine="0" w:firstLineChars="0"/>
              <w:jc w:val="center"/>
              <w:rPr>
                <w:rFonts w:hint="eastAsia"/>
                <w:color w:val="auto"/>
              </w:rPr>
            </w:pPr>
            <w:r>
              <w:rPr>
                <w:rFonts w:hint="eastAsia"/>
                <w:color w:val="auto"/>
              </w:rPr>
              <w:t>技术工程师</w:t>
            </w:r>
          </w:p>
        </w:tc>
        <w:tc>
          <w:tcPr>
            <w:tcW w:w="2545" w:type="dxa"/>
            <w:noWrap/>
            <w:vAlign w:val="center"/>
          </w:tcPr>
          <w:p>
            <w:pPr>
              <w:widowControl/>
              <w:ind w:firstLine="0" w:firstLineChars="0"/>
              <w:jc w:val="center"/>
              <w:rPr>
                <w:rFonts w:hint="eastAsia"/>
                <w:color w:val="auto"/>
              </w:rPr>
            </w:pPr>
            <w:r>
              <w:rPr>
                <w:rFonts w:hint="eastAsia"/>
                <w:color w:val="auto"/>
              </w:rPr>
              <w:t>负责项目运行维护</w:t>
            </w:r>
          </w:p>
        </w:tc>
        <w:tc>
          <w:tcPr>
            <w:tcW w:w="1180" w:type="dxa"/>
            <w:noWrap/>
            <w:vAlign w:val="center"/>
          </w:tcPr>
          <w:p>
            <w:pPr>
              <w:widowControl/>
              <w:ind w:firstLine="0" w:firstLineChars="0"/>
              <w:jc w:val="center"/>
              <w:rPr>
                <w:rFonts w:hint="eastAsia"/>
                <w:color w:val="auto"/>
              </w:rPr>
            </w:pPr>
            <w:r>
              <w:rPr>
                <w:rFonts w:hint="eastAsia"/>
                <w:color w:val="auto"/>
              </w:rPr>
              <w:t>8人</w:t>
            </w:r>
          </w:p>
        </w:tc>
        <w:tc>
          <w:tcPr>
            <w:tcW w:w="2207" w:type="dxa"/>
            <w:vAlign w:val="center"/>
          </w:tcPr>
          <w:p>
            <w:pPr>
              <w:widowControl/>
              <w:ind w:firstLine="0" w:firstLineChars="0"/>
              <w:jc w:val="center"/>
              <w:rPr>
                <w:rFonts w:hint="eastAsia"/>
                <w:color w:val="auto"/>
              </w:rPr>
            </w:pPr>
            <w:r>
              <w:rPr>
                <w:rFonts w:hint="eastAsia"/>
                <w:color w:val="auto"/>
                <w:sz w:val="21"/>
                <w:szCs w:val="21"/>
              </w:rPr>
              <w:t>本科及以上学历</w:t>
            </w:r>
          </w:p>
        </w:tc>
        <w:tc>
          <w:tcPr>
            <w:tcW w:w="1180" w:type="dxa"/>
            <w:noWrap/>
            <w:vAlign w:val="center"/>
          </w:tcPr>
          <w:p>
            <w:pPr>
              <w:widowControl/>
              <w:ind w:firstLine="0" w:firstLineChars="0"/>
              <w:jc w:val="center"/>
              <w:rPr>
                <w:rFonts w:hint="eastAsia"/>
                <w:color w:val="auto"/>
              </w:rPr>
            </w:pPr>
            <w:r>
              <w:rPr>
                <w:rFonts w:hint="eastAsia"/>
                <w:color w:val="auto"/>
              </w:rPr>
              <w:t>驻场</w:t>
            </w:r>
          </w:p>
        </w:tc>
      </w:tr>
    </w:tbl>
    <w:p>
      <w:pPr>
        <w:pStyle w:val="3"/>
        <w:rPr>
          <w:rFonts w:hint="eastAsia"/>
          <w:color w:val="auto"/>
        </w:rPr>
      </w:pPr>
      <w:bookmarkStart w:id="38" w:name="_Toc63785511"/>
      <w:r>
        <w:rPr>
          <w:color w:val="auto"/>
        </w:rPr>
        <w:t>等级保护要求</w:t>
      </w:r>
      <w:bookmarkEnd w:id="38"/>
    </w:p>
    <w:p>
      <w:pPr>
        <w:rPr>
          <w:rFonts w:hint="eastAsia"/>
          <w:color w:val="auto"/>
        </w:rPr>
      </w:pPr>
      <w:r>
        <w:rPr>
          <w:color w:val="auto"/>
        </w:rPr>
        <w:t>本项目等级保护要求：</w:t>
      </w:r>
      <w:r>
        <w:rPr>
          <w:rFonts w:hint="eastAsia"/>
          <w:color w:val="auto"/>
        </w:rPr>
        <w:t>按照</w:t>
      </w:r>
      <w:r>
        <w:rPr>
          <w:color w:val="auto"/>
        </w:rPr>
        <w:t>等保</w:t>
      </w:r>
      <w:r>
        <w:rPr>
          <w:rFonts w:hint="eastAsia"/>
          <w:color w:val="auto"/>
        </w:rPr>
        <w:t>2</w:t>
      </w:r>
      <w:r>
        <w:rPr>
          <w:color w:val="auto"/>
        </w:rPr>
        <w:t>.0</w:t>
      </w:r>
      <w:r>
        <w:rPr>
          <w:rFonts w:hint="eastAsia"/>
          <w:color w:val="auto"/>
        </w:rPr>
        <w:t>三</w:t>
      </w:r>
      <w:r>
        <w:rPr>
          <w:color w:val="auto"/>
        </w:rPr>
        <w:t>级要求建设。</w:t>
      </w:r>
    </w:p>
    <w:p>
      <w:pPr>
        <w:pStyle w:val="3"/>
        <w:rPr>
          <w:rFonts w:hint="eastAsia"/>
          <w:color w:val="auto"/>
        </w:rPr>
      </w:pPr>
      <w:r>
        <w:rPr>
          <w:rFonts w:hint="eastAsia"/>
          <w:color w:val="auto"/>
        </w:rPr>
        <w:t>商业密码应用需求</w:t>
      </w:r>
    </w:p>
    <w:p>
      <w:pPr>
        <w:rPr>
          <w:rFonts w:hint="eastAsia"/>
          <w:color w:val="auto"/>
        </w:rPr>
      </w:pPr>
      <w:bookmarkStart w:id="39" w:name="_Toc63785512"/>
      <w:r>
        <w:rPr>
          <w:rFonts w:hint="eastAsia"/>
          <w:color w:val="auto"/>
        </w:rPr>
        <w:t>满足商业密码应用建设要求，并通过商业密码应用安全测评，综合评分需达到75分。依据GB/T 39786—2021《信息安全技术信息系统密码应用基本要求》，本系统的主要密码应用需求具体如下：</w:t>
      </w:r>
    </w:p>
    <w:tbl>
      <w:tblPr>
        <w:tblStyle w:val="35"/>
        <w:tblW w:w="5000"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900"/>
        <w:gridCol w:w="3225"/>
        <w:gridCol w:w="1921"/>
      </w:tblGrid>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69" w:type="pct"/>
            <w:shd w:val="clear" w:color="auto" w:fill="D9D9D9"/>
            <w:vAlign w:val="center"/>
          </w:tcPr>
          <w:p>
            <w:pPr>
              <w:widowControl/>
              <w:spacing w:after="0"/>
              <w:ind w:firstLine="0" w:firstLineChars="0"/>
              <w:jc w:val="center"/>
              <w:rPr>
                <w:rFonts w:hint="eastAsia"/>
                <w:b/>
                <w:bCs/>
                <w:color w:val="auto"/>
                <w:kern w:val="0"/>
                <w:sz w:val="18"/>
                <w:szCs w:val="18"/>
              </w:rPr>
            </w:pPr>
            <w:r>
              <w:rPr>
                <w:b/>
                <w:bCs/>
                <w:color w:val="auto"/>
                <w:kern w:val="0"/>
                <w:sz w:val="18"/>
                <w:szCs w:val="18"/>
              </w:rPr>
              <w:t>指标要求</w:t>
            </w:r>
          </w:p>
        </w:tc>
        <w:tc>
          <w:tcPr>
            <w:tcW w:w="1114" w:type="pct"/>
            <w:shd w:val="clear" w:color="auto" w:fill="D9D9D9"/>
            <w:vAlign w:val="center"/>
          </w:tcPr>
          <w:p>
            <w:pPr>
              <w:widowControl/>
              <w:spacing w:after="0"/>
              <w:ind w:firstLine="0" w:firstLineChars="0"/>
              <w:jc w:val="center"/>
              <w:rPr>
                <w:rFonts w:hint="eastAsia"/>
                <w:b/>
                <w:bCs/>
                <w:color w:val="auto"/>
                <w:kern w:val="0"/>
                <w:sz w:val="18"/>
                <w:szCs w:val="18"/>
              </w:rPr>
            </w:pPr>
            <w:r>
              <w:rPr>
                <w:b/>
                <w:bCs/>
                <w:color w:val="auto"/>
                <w:kern w:val="0"/>
                <w:sz w:val="18"/>
                <w:szCs w:val="18"/>
              </w:rPr>
              <w:t>密码技术应用点</w:t>
            </w:r>
          </w:p>
        </w:tc>
        <w:tc>
          <w:tcPr>
            <w:tcW w:w="1891" w:type="pct"/>
            <w:shd w:val="clear" w:color="auto" w:fill="D9D9D9"/>
            <w:vAlign w:val="center"/>
          </w:tcPr>
          <w:p>
            <w:pPr>
              <w:widowControl/>
              <w:spacing w:after="0"/>
              <w:ind w:firstLine="0" w:firstLineChars="0"/>
              <w:jc w:val="center"/>
              <w:rPr>
                <w:rFonts w:hint="eastAsia"/>
                <w:b/>
                <w:bCs/>
                <w:color w:val="auto"/>
                <w:kern w:val="0"/>
                <w:sz w:val="18"/>
                <w:szCs w:val="18"/>
              </w:rPr>
            </w:pPr>
            <w:r>
              <w:rPr>
                <w:rFonts w:hint="eastAsia"/>
                <w:b/>
                <w:bCs/>
                <w:color w:val="auto"/>
                <w:kern w:val="0"/>
                <w:sz w:val="18"/>
                <w:szCs w:val="18"/>
              </w:rPr>
              <w:t>密码应用需求</w:t>
            </w:r>
          </w:p>
        </w:tc>
        <w:tc>
          <w:tcPr>
            <w:tcW w:w="1126" w:type="pct"/>
            <w:shd w:val="clear" w:color="auto" w:fill="D9D9D9"/>
            <w:vAlign w:val="center"/>
          </w:tcPr>
          <w:p>
            <w:pPr>
              <w:widowControl/>
              <w:spacing w:after="0"/>
              <w:ind w:firstLine="0" w:firstLineChars="0"/>
              <w:jc w:val="center"/>
              <w:rPr>
                <w:rFonts w:hint="eastAsia"/>
                <w:b/>
                <w:bCs/>
                <w:color w:val="auto"/>
                <w:kern w:val="0"/>
                <w:sz w:val="18"/>
                <w:szCs w:val="18"/>
              </w:rPr>
            </w:pPr>
            <w:r>
              <w:rPr>
                <w:b/>
                <w:bCs/>
                <w:color w:val="auto"/>
                <w:kern w:val="0"/>
                <w:sz w:val="18"/>
                <w:szCs w:val="18"/>
              </w:rPr>
              <w:t>说明</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spacing w:after="0"/>
              <w:ind w:firstLine="0" w:firstLineChars="0"/>
              <w:jc w:val="center"/>
              <w:rPr>
                <w:rFonts w:hint="eastAsia"/>
                <w:color w:val="auto"/>
                <w:kern w:val="0"/>
                <w:sz w:val="18"/>
                <w:szCs w:val="18"/>
              </w:rPr>
            </w:pPr>
            <w:r>
              <w:rPr>
                <w:color w:val="auto"/>
                <w:kern w:val="0"/>
                <w:sz w:val="18"/>
                <w:szCs w:val="18"/>
              </w:rPr>
              <w:t>物理和环境安全</w:t>
            </w: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身份鉴别</w:t>
            </w:r>
          </w:p>
        </w:tc>
        <w:tc>
          <w:tcPr>
            <w:tcW w:w="1891" w:type="pct"/>
            <w:vMerge w:val="restar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系统的物理和环境安全由云平台提供安全保障，不适用。</w:t>
            </w:r>
          </w:p>
        </w:tc>
        <w:tc>
          <w:tcPr>
            <w:tcW w:w="1126" w:type="pct"/>
            <w:vMerge w:val="restar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电子门禁记录数据完整性</w:t>
            </w:r>
          </w:p>
        </w:tc>
        <w:tc>
          <w:tcPr>
            <w:tcW w:w="1891" w:type="pct"/>
            <w:vMerge w:val="continue"/>
            <w:vAlign w:val="center"/>
          </w:tcPr>
          <w:p>
            <w:pPr>
              <w:spacing w:after="0"/>
              <w:ind w:firstLine="0" w:firstLineChars="0"/>
              <w:jc w:val="center"/>
              <w:rPr>
                <w:rFonts w:hint="eastAsia"/>
                <w:color w:val="auto"/>
                <w:kern w:val="0"/>
                <w:sz w:val="18"/>
                <w:szCs w:val="18"/>
              </w:rPr>
            </w:pPr>
          </w:p>
        </w:tc>
        <w:tc>
          <w:tcPr>
            <w:tcW w:w="1126" w:type="pct"/>
            <w:vMerge w:val="continue"/>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视频监控记录数据完整性</w:t>
            </w:r>
          </w:p>
        </w:tc>
        <w:tc>
          <w:tcPr>
            <w:tcW w:w="1891" w:type="pct"/>
            <w:vMerge w:val="continue"/>
            <w:vAlign w:val="center"/>
          </w:tcPr>
          <w:p>
            <w:pPr>
              <w:widowControl/>
              <w:spacing w:after="0"/>
              <w:ind w:firstLine="0" w:firstLineChars="0"/>
              <w:jc w:val="center"/>
              <w:rPr>
                <w:rFonts w:hint="eastAsia"/>
                <w:color w:val="auto"/>
                <w:kern w:val="0"/>
                <w:sz w:val="18"/>
                <w:szCs w:val="18"/>
              </w:rPr>
            </w:pPr>
          </w:p>
        </w:tc>
        <w:tc>
          <w:tcPr>
            <w:tcW w:w="1126" w:type="pct"/>
            <w:vMerge w:val="continue"/>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密码服务</w:t>
            </w:r>
          </w:p>
        </w:tc>
        <w:tc>
          <w:tcPr>
            <w:tcW w:w="1891" w:type="pct"/>
            <w:vMerge w:val="continue"/>
            <w:vAlign w:val="center"/>
          </w:tcPr>
          <w:p>
            <w:pPr>
              <w:widowControl/>
              <w:spacing w:after="0"/>
              <w:ind w:firstLine="0" w:firstLineChars="0"/>
              <w:jc w:val="center"/>
              <w:rPr>
                <w:rFonts w:hint="eastAsia"/>
                <w:color w:val="auto"/>
                <w:kern w:val="0"/>
                <w:sz w:val="18"/>
                <w:szCs w:val="18"/>
              </w:rPr>
            </w:pPr>
          </w:p>
        </w:tc>
        <w:tc>
          <w:tcPr>
            <w:tcW w:w="1126" w:type="pct"/>
            <w:vMerge w:val="continue"/>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密码产品</w:t>
            </w:r>
          </w:p>
        </w:tc>
        <w:tc>
          <w:tcPr>
            <w:tcW w:w="1891" w:type="pct"/>
            <w:vMerge w:val="continue"/>
            <w:vAlign w:val="center"/>
          </w:tcPr>
          <w:p>
            <w:pPr>
              <w:widowControl/>
              <w:spacing w:after="0"/>
              <w:ind w:firstLine="0" w:firstLineChars="0"/>
              <w:jc w:val="center"/>
              <w:rPr>
                <w:rFonts w:hint="eastAsia"/>
                <w:color w:val="auto"/>
                <w:kern w:val="0"/>
                <w:sz w:val="18"/>
                <w:szCs w:val="18"/>
              </w:rPr>
            </w:pPr>
          </w:p>
        </w:tc>
        <w:tc>
          <w:tcPr>
            <w:tcW w:w="1126" w:type="pct"/>
            <w:vMerge w:val="continue"/>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spacing w:after="0"/>
              <w:ind w:firstLine="0" w:firstLineChars="0"/>
              <w:jc w:val="center"/>
              <w:rPr>
                <w:rFonts w:hint="eastAsia"/>
                <w:color w:val="auto"/>
                <w:kern w:val="0"/>
                <w:sz w:val="18"/>
                <w:szCs w:val="18"/>
              </w:rPr>
            </w:pPr>
            <w:r>
              <w:rPr>
                <w:color w:val="auto"/>
                <w:kern w:val="0"/>
                <w:sz w:val="18"/>
                <w:szCs w:val="18"/>
              </w:rPr>
              <w:t>网络和通信安全</w:t>
            </w:r>
          </w:p>
        </w:tc>
        <w:tc>
          <w:tcPr>
            <w:tcW w:w="1114" w:type="pct"/>
            <w:vMerge w:val="restar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身份鉴别</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确保PC终端和服务端通信实体身份的真实性，防止与假冒实体进行通信</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center"/>
              <w:rPr>
                <w:rFonts w:hint="eastAsia"/>
                <w:color w:val="auto"/>
                <w:kern w:val="0"/>
                <w:sz w:val="18"/>
                <w:szCs w:val="18"/>
              </w:rPr>
            </w:pPr>
          </w:p>
        </w:tc>
        <w:tc>
          <w:tcPr>
            <w:tcW w:w="1114" w:type="pct"/>
            <w:vMerge w:val="continue"/>
            <w:vAlign w:val="center"/>
          </w:tcPr>
          <w:p>
            <w:pPr>
              <w:widowControl/>
              <w:autoSpaceDE w:val="0"/>
              <w:autoSpaceDN w:val="0"/>
              <w:spacing w:after="0"/>
              <w:ind w:firstLine="0" w:firstLineChars="0"/>
              <w:rPr>
                <w:rFonts w:hint="eastAsia"/>
                <w:color w:val="auto"/>
                <w:kern w:val="0"/>
                <w:sz w:val="18"/>
                <w:szCs w:val="18"/>
              </w:rPr>
            </w:pP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管理端的身份鉴别由云平台提供安全保障，不适用。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restar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通信数据完整性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保护终端和服务端通信过程中业务数据的完整性，防止数据被非授权篡改</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continue"/>
            <w:vAlign w:val="center"/>
          </w:tcPr>
          <w:p>
            <w:pPr>
              <w:widowControl/>
              <w:autoSpaceDE w:val="0"/>
              <w:autoSpaceDN w:val="0"/>
              <w:spacing w:after="0"/>
              <w:ind w:firstLine="0" w:firstLineChars="0"/>
              <w:rPr>
                <w:rFonts w:hint="eastAsia"/>
                <w:color w:val="auto"/>
                <w:kern w:val="0"/>
                <w:sz w:val="18"/>
                <w:szCs w:val="18"/>
              </w:rPr>
            </w:pP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管理端进行远程运维管理时的运维通信数据完整性由云平台提供安全保障，不适用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restar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通信过程中重要数据的机密性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保护PC终端和服务端通信过程中业务数据的机密性，防止重要数据泄露。</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continue"/>
            <w:vAlign w:val="center"/>
          </w:tcPr>
          <w:p>
            <w:pPr>
              <w:widowControl/>
              <w:autoSpaceDE w:val="0"/>
              <w:autoSpaceDN w:val="0"/>
              <w:spacing w:after="0"/>
              <w:ind w:firstLine="0" w:firstLineChars="0"/>
              <w:rPr>
                <w:rFonts w:hint="eastAsia"/>
                <w:color w:val="auto"/>
                <w:kern w:val="0"/>
                <w:sz w:val="18"/>
                <w:szCs w:val="18"/>
              </w:rPr>
            </w:pP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管理端进行远程运维管理时的运维通信数据机密性由云平台提供安全保障，不适用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网络边界访问控制信息的完整性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系统网络拓扑中不同区域网络边界访问控制信息的完整性保护由云平台提供，不适用。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安全接入认证</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无外部接入设备</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restar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密码服务</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采用的数字证书由具备资质的电子认证服务机构签发</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continue"/>
            <w:vAlign w:val="center"/>
          </w:tcPr>
          <w:p>
            <w:pPr>
              <w:widowControl/>
              <w:autoSpaceDE w:val="0"/>
              <w:autoSpaceDN w:val="0"/>
              <w:spacing w:after="0"/>
              <w:ind w:firstLine="0" w:firstLineChars="0"/>
              <w:rPr>
                <w:rFonts w:hint="eastAsia"/>
                <w:color w:val="auto"/>
                <w:kern w:val="0"/>
                <w:sz w:val="18"/>
                <w:szCs w:val="18"/>
              </w:rPr>
            </w:pP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采用的云密码服务由云平台提供</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密码产品</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服务端相关的密码产品由云平台提供安全保障</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spacing w:after="0"/>
              <w:ind w:firstLine="0" w:firstLineChars="0"/>
              <w:jc w:val="center"/>
              <w:rPr>
                <w:rFonts w:hint="eastAsia"/>
                <w:color w:val="auto"/>
                <w:kern w:val="0"/>
                <w:sz w:val="18"/>
                <w:szCs w:val="18"/>
              </w:rPr>
            </w:pPr>
            <w:r>
              <w:rPr>
                <w:color w:val="auto"/>
                <w:kern w:val="0"/>
                <w:sz w:val="18"/>
                <w:szCs w:val="18"/>
              </w:rPr>
              <w:t>设备和计算安全</w:t>
            </w: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身份鉴别</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对远程登录设备的用户身份真实性进行鉴别，防止假冒用户登录</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远程管理通道安全</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远程管理时保护管理员身份鉴别信息等重要数据被非法窃取或非法篡改</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系统资源访问控制信息完整性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保护系统资源访问控制信息免受非法篡改</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重要信息资源安全标记的完整性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无重要信息资源安全标记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日志记录完整性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保护重要日志记录信息免受非法篡改</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重要可执行程序完整性、重要可执行程序来源真实性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保护重要可执行程序免受非法篡改</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restar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密码服务</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采用的数字证书由具备资质的电子认证服务机构签发</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continue"/>
            <w:vAlign w:val="center"/>
          </w:tcPr>
          <w:p>
            <w:pPr>
              <w:widowControl/>
              <w:autoSpaceDE w:val="0"/>
              <w:autoSpaceDN w:val="0"/>
              <w:spacing w:after="0"/>
              <w:ind w:firstLine="0" w:firstLineChars="0"/>
              <w:rPr>
                <w:rFonts w:hint="eastAsia"/>
                <w:color w:val="auto"/>
                <w:kern w:val="0"/>
                <w:sz w:val="18"/>
                <w:szCs w:val="18"/>
              </w:rPr>
            </w:pP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采用的云密码服务由云平台提供</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密码产品</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服务端相关的密码产品由云平台提供安全保障</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spacing w:after="0"/>
              <w:ind w:firstLine="0" w:firstLineChars="0"/>
              <w:jc w:val="center"/>
              <w:rPr>
                <w:rFonts w:hint="eastAsia"/>
                <w:color w:val="auto"/>
                <w:kern w:val="0"/>
                <w:sz w:val="18"/>
                <w:szCs w:val="18"/>
              </w:rPr>
            </w:pPr>
            <w:r>
              <w:rPr>
                <w:color w:val="auto"/>
                <w:kern w:val="0"/>
                <w:sz w:val="18"/>
                <w:szCs w:val="18"/>
              </w:rPr>
              <w:t>应用和数据安全</w:t>
            </w: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身份鉴别</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保护执行关键操作或访问重要数据的用户身份真实性，防止假冒用户访问</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访问控制信息完整性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保护应用系统的访问控制信息免受非法篡改</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重要信息资源安全标记完整性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不适用</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无重要信息资源安全标记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重要数据传输机密性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保护用户鉴别信息等重要数据传输的机密性</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重要数据存储机密性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保护用户鉴别信息等重要数据存储的机密性</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重要数据传输完整性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保护用户鉴别信息等重要数据传输的完整性</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重要数据存储完整性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保护用户鉴别信息等重要数据存储的完整性</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不可否认性</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保证用户执行关键操作的不可否认性</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不适用</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restar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密码服务</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采用的数字证书由具备资质的电子认证服务机构签发</w:t>
            </w:r>
          </w:p>
        </w:tc>
        <w:tc>
          <w:tcPr>
            <w:tcW w:w="1126" w:type="pct"/>
            <w:vAlign w:val="center"/>
          </w:tcPr>
          <w:p>
            <w:pPr>
              <w:widowControl/>
              <w:spacing w:after="0"/>
              <w:ind w:firstLine="0" w:firstLineChars="0"/>
              <w:jc w:val="center"/>
              <w:rPr>
                <w:rFonts w:hint="eastAsia"/>
                <w:color w:val="auto"/>
                <w:kern w:val="0"/>
                <w:sz w:val="18"/>
                <w:szCs w:val="18"/>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Merge w:val="continue"/>
            <w:vAlign w:val="center"/>
          </w:tcPr>
          <w:p>
            <w:pPr>
              <w:widowControl/>
              <w:autoSpaceDE w:val="0"/>
              <w:autoSpaceDN w:val="0"/>
              <w:spacing w:after="0"/>
              <w:ind w:firstLine="0" w:firstLineChars="0"/>
              <w:rPr>
                <w:rFonts w:hint="eastAsia"/>
                <w:color w:val="auto"/>
                <w:kern w:val="0"/>
                <w:sz w:val="18"/>
                <w:szCs w:val="18"/>
              </w:rPr>
            </w:pP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采用的云密码服务由云平台提供</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spacing w:after="0"/>
              <w:ind w:firstLine="0" w:firstLineChars="0"/>
              <w:jc w:val="left"/>
              <w:rPr>
                <w:rFonts w:hint="eastAsia"/>
                <w:color w:val="auto"/>
                <w:kern w:val="0"/>
                <w:sz w:val="18"/>
                <w:szCs w:val="18"/>
              </w:rPr>
            </w:pPr>
          </w:p>
        </w:tc>
        <w:tc>
          <w:tcPr>
            <w:tcW w:w="1114" w:type="pct"/>
            <w:vAlign w:val="center"/>
          </w:tcPr>
          <w:p>
            <w:pPr>
              <w:widowControl/>
              <w:autoSpaceDE w:val="0"/>
              <w:autoSpaceDN w:val="0"/>
              <w:spacing w:after="0"/>
              <w:ind w:firstLine="0" w:firstLineChars="0"/>
              <w:rPr>
                <w:rFonts w:hint="eastAsia"/>
                <w:color w:val="auto"/>
                <w:kern w:val="0"/>
                <w:sz w:val="18"/>
                <w:szCs w:val="18"/>
              </w:rPr>
            </w:pPr>
            <w:r>
              <w:rPr>
                <w:rFonts w:hint="eastAsia"/>
                <w:color w:val="auto"/>
                <w:kern w:val="0"/>
                <w:sz w:val="18"/>
                <w:szCs w:val="18"/>
              </w:rPr>
              <w:t>密码产品</w:t>
            </w:r>
          </w:p>
        </w:tc>
        <w:tc>
          <w:tcPr>
            <w:tcW w:w="1891"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服务端相关的密码产品由云平台提供安全保障</w:t>
            </w:r>
          </w:p>
        </w:tc>
        <w:tc>
          <w:tcPr>
            <w:tcW w:w="1126" w:type="pct"/>
            <w:vAlign w:val="center"/>
          </w:tcPr>
          <w:p>
            <w:pPr>
              <w:widowControl/>
              <w:spacing w:after="0"/>
              <w:ind w:firstLine="0" w:firstLineChars="0"/>
              <w:jc w:val="center"/>
              <w:rPr>
                <w:rFonts w:hint="eastAsia"/>
                <w:color w:val="auto"/>
                <w:kern w:val="0"/>
                <w:sz w:val="18"/>
                <w:szCs w:val="18"/>
              </w:rPr>
            </w:pPr>
            <w:r>
              <w:rPr>
                <w:rFonts w:hint="eastAsia"/>
                <w:color w:val="auto"/>
                <w:kern w:val="0"/>
                <w:sz w:val="18"/>
                <w:szCs w:val="18"/>
              </w:rPr>
              <w:t>云平台通过密评，已被完全评估</w:t>
            </w:r>
          </w:p>
        </w:tc>
      </w:tr>
    </w:tbl>
    <w:p>
      <w:pPr>
        <w:ind w:firstLine="0" w:firstLineChars="0"/>
        <w:rPr>
          <w:rFonts w:hint="eastAsia"/>
          <w:color w:val="auto"/>
        </w:rPr>
      </w:pPr>
    </w:p>
    <w:p>
      <w:pPr>
        <w:pStyle w:val="3"/>
        <w:rPr>
          <w:rFonts w:hint="eastAsia"/>
          <w:color w:val="auto"/>
        </w:rPr>
      </w:pPr>
      <w:r>
        <w:rPr>
          <w:rFonts w:hint="eastAsia"/>
          <w:color w:val="auto"/>
        </w:rPr>
        <w:t>技术文件要求</w:t>
      </w:r>
    </w:p>
    <w:p>
      <w:pPr>
        <w:rPr>
          <w:rFonts w:hint="eastAsia"/>
          <w:color w:val="auto"/>
        </w:rPr>
      </w:pPr>
      <w:r>
        <w:rPr>
          <w:rFonts w:hint="eastAsia"/>
          <w:color w:val="auto"/>
        </w:rPr>
        <w:t>投标人提供的书面技术资料应能确保系统正常运行所需的管理、运营及维护有关的全套文件。技术文件应该全面、完整、详细。投标人提供的技术文件至少应包括：</w:t>
      </w:r>
    </w:p>
    <w:p>
      <w:pPr>
        <w:rPr>
          <w:rFonts w:hint="eastAsia"/>
          <w:color w:val="auto"/>
        </w:rPr>
      </w:pPr>
      <w:r>
        <w:rPr>
          <w:rFonts w:hint="eastAsia"/>
          <w:color w:val="auto"/>
        </w:rPr>
        <w:t>－</w:t>
      </w:r>
      <w:r>
        <w:rPr>
          <w:color w:val="auto"/>
        </w:rPr>
        <w:t xml:space="preserve"> 系统说明文件； </w:t>
      </w:r>
    </w:p>
    <w:p>
      <w:pPr>
        <w:rPr>
          <w:rFonts w:hint="eastAsia"/>
          <w:color w:val="auto"/>
        </w:rPr>
      </w:pPr>
      <w:r>
        <w:rPr>
          <w:rFonts w:hint="eastAsia"/>
          <w:color w:val="auto"/>
        </w:rPr>
        <w:t>－</w:t>
      </w:r>
      <w:r>
        <w:rPr>
          <w:color w:val="auto"/>
        </w:rPr>
        <w:t xml:space="preserve"> 技术手册(安装、测试、操作、维护、故障排除等)； </w:t>
      </w:r>
    </w:p>
    <w:p>
      <w:pPr>
        <w:rPr>
          <w:rFonts w:hint="eastAsia"/>
          <w:color w:val="auto"/>
        </w:rPr>
      </w:pPr>
      <w:r>
        <w:rPr>
          <w:rFonts w:hint="eastAsia"/>
          <w:color w:val="auto"/>
        </w:rPr>
        <w:t>－</w:t>
      </w:r>
      <w:r>
        <w:rPr>
          <w:color w:val="auto"/>
        </w:rPr>
        <w:t xml:space="preserve"> 项目文档，应该包括：</w:t>
      </w:r>
    </w:p>
    <w:p>
      <w:pPr>
        <w:ind w:left="360"/>
        <w:rPr>
          <w:rFonts w:hint="eastAsia"/>
          <w:color w:val="auto"/>
        </w:rPr>
      </w:pPr>
      <w:r>
        <w:rPr>
          <w:color w:val="auto"/>
        </w:rPr>
        <w:t>(1)软件需求说明书</w:t>
      </w:r>
    </w:p>
    <w:p>
      <w:pPr>
        <w:ind w:left="360"/>
        <w:rPr>
          <w:rFonts w:hint="eastAsia"/>
          <w:color w:val="auto"/>
        </w:rPr>
      </w:pPr>
      <w:r>
        <w:rPr>
          <w:color w:val="auto"/>
        </w:rPr>
        <w:t>(2)</w:t>
      </w:r>
      <w:r>
        <w:rPr>
          <w:color w:val="auto"/>
        </w:rPr>
        <w:tab/>
      </w:r>
      <w:r>
        <w:rPr>
          <w:color w:val="auto"/>
        </w:rPr>
        <w:t>系统总体设计说明书</w:t>
      </w:r>
    </w:p>
    <w:p>
      <w:pPr>
        <w:ind w:left="360"/>
        <w:rPr>
          <w:rFonts w:hint="eastAsia"/>
          <w:color w:val="auto"/>
        </w:rPr>
      </w:pPr>
      <w:r>
        <w:rPr>
          <w:color w:val="auto"/>
        </w:rPr>
        <w:t>(3)</w:t>
      </w:r>
      <w:r>
        <w:rPr>
          <w:color w:val="auto"/>
        </w:rPr>
        <w:tab/>
      </w:r>
      <w:r>
        <w:rPr>
          <w:color w:val="auto"/>
        </w:rPr>
        <w:t>应用软件功能清单</w:t>
      </w:r>
    </w:p>
    <w:p>
      <w:pPr>
        <w:rPr>
          <w:rFonts w:hint="eastAsia"/>
          <w:color w:val="auto"/>
        </w:rPr>
      </w:pPr>
      <w:r>
        <w:rPr>
          <w:rFonts w:hint="eastAsia"/>
          <w:color w:val="auto"/>
        </w:rPr>
        <w:t>提供全套技术文件纸介质</w:t>
      </w:r>
      <w:r>
        <w:rPr>
          <w:color w:val="auto"/>
        </w:rPr>
        <w:t>3套以及电子文件1套。</w:t>
      </w:r>
    </w:p>
    <w:bookmarkEnd w:id="39"/>
    <w:p>
      <w:pPr>
        <w:ind w:firstLine="0" w:firstLineChars="0"/>
        <w:rPr>
          <w:rFonts w:hint="eastAsia"/>
          <w:color w:val="auto"/>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panose1 w:val="02010609060101010101"/>
    <w:charset w:val="86"/>
    <w:family w:val="modern"/>
    <w:pitch w:val="default"/>
    <w:sig w:usb0="800002BF" w:usb1="38CF7CFA" w:usb2="00000016" w:usb3="00000000" w:csb0="00040001" w:csb1="00000000"/>
  </w:font>
  <w:font w:name="Calibri Light">
    <w:altName w:val="Century Gothic"/>
    <w:panose1 w:val="020F0302020204030204"/>
    <w:charset w:val="00"/>
    <w:family w:val="swiss"/>
    <w:pitch w:val="default"/>
    <w:sig w:usb0="00000000" w:usb1="00000000" w:usb2="00000009" w:usb3="00000000" w:csb0="000001FF" w:csb1="00000000"/>
  </w:font>
  <w:font w:name="Century Gothic">
    <w:panose1 w:val="020B0502020202020204"/>
    <w:charset w:val="00"/>
    <w:family w:val="auto"/>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time">
    <w:altName w:val="宋体"/>
    <w:panose1 w:val="00000000000000000000"/>
    <w:charset w:val="00"/>
    <w:family w:val="roman"/>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3</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64874"/>
    <w:multiLevelType w:val="singleLevel"/>
    <w:tmpl w:val="E7B64874"/>
    <w:lvl w:ilvl="0" w:tentative="0">
      <w:start w:val="1"/>
      <w:numFmt w:val="decimal"/>
      <w:suff w:val="nothing"/>
      <w:lvlText w:val="%1）"/>
      <w:lvlJc w:val="left"/>
    </w:lvl>
  </w:abstractNum>
  <w:abstractNum w:abstractNumId="1">
    <w:nsid w:val="114B1684"/>
    <w:multiLevelType w:val="multilevel"/>
    <w:tmpl w:val="114B168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8F21DCE"/>
    <w:multiLevelType w:val="multilevel"/>
    <w:tmpl w:val="48F21DC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decimal"/>
      <w:lvlText w:val="%1"/>
      <w:lvlJc w:val="left"/>
      <w:pPr>
        <w:ind w:left="425" w:hanging="425"/>
      </w:pPr>
      <w:rPr>
        <w:rFonts w:hint="eastAsia"/>
        <w:sz w:val="32"/>
        <w:szCs w:val="32"/>
      </w:rPr>
    </w:lvl>
    <w:lvl w:ilvl="1" w:tentative="0">
      <w:start w:val="1"/>
      <w:numFmt w:val="decimal"/>
      <w:pStyle w:val="3"/>
      <w:lvlText w:val="%1.%2"/>
      <w:lvlJc w:val="left"/>
      <w:pPr>
        <w:ind w:left="992" w:hanging="567"/>
      </w:pPr>
    </w:lvl>
    <w:lvl w:ilvl="2" w:tentative="0">
      <w:start w:val="1"/>
      <w:numFmt w:val="decimal"/>
      <w:pStyle w:val="4"/>
      <w:lvlText w:val="%1.%2.%3"/>
      <w:lvlJc w:val="left"/>
      <w:pPr>
        <w:ind w:left="1418" w:hanging="567"/>
      </w:pPr>
      <w:rPr>
        <w:rFonts w:hint="default"/>
      </w:rPr>
    </w:lvl>
    <w:lvl w:ilvl="3" w:tentative="0">
      <w:start w:val="1"/>
      <w:numFmt w:val="decimal"/>
      <w:lvlText w:val="%1.%2.%3.%4"/>
      <w:lvlJc w:val="left"/>
      <w:pPr>
        <w:ind w:left="1984" w:hanging="708"/>
      </w:p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iMjg1YTA3NDNhNDA0YWY2NGM1NTZkY2E5YmY0N2MifQ=="/>
  </w:docVars>
  <w:rsids>
    <w:rsidRoot w:val="006910C0"/>
    <w:rsid w:val="0000005A"/>
    <w:rsid w:val="0000018B"/>
    <w:rsid w:val="00000AED"/>
    <w:rsid w:val="00003516"/>
    <w:rsid w:val="0000380E"/>
    <w:rsid w:val="00005AFD"/>
    <w:rsid w:val="00006563"/>
    <w:rsid w:val="000074F1"/>
    <w:rsid w:val="00007A41"/>
    <w:rsid w:val="00007DA7"/>
    <w:rsid w:val="00012EF0"/>
    <w:rsid w:val="000156DE"/>
    <w:rsid w:val="000165AD"/>
    <w:rsid w:val="000179E9"/>
    <w:rsid w:val="00020A6E"/>
    <w:rsid w:val="00021EE6"/>
    <w:rsid w:val="0002280E"/>
    <w:rsid w:val="00022C74"/>
    <w:rsid w:val="00025122"/>
    <w:rsid w:val="000252D5"/>
    <w:rsid w:val="00026997"/>
    <w:rsid w:val="00027A64"/>
    <w:rsid w:val="0003108F"/>
    <w:rsid w:val="00032D27"/>
    <w:rsid w:val="00035325"/>
    <w:rsid w:val="000354E4"/>
    <w:rsid w:val="00035D5B"/>
    <w:rsid w:val="000378D0"/>
    <w:rsid w:val="00037F2C"/>
    <w:rsid w:val="00041328"/>
    <w:rsid w:val="00041736"/>
    <w:rsid w:val="00042C2A"/>
    <w:rsid w:val="000430EC"/>
    <w:rsid w:val="000447CB"/>
    <w:rsid w:val="00047915"/>
    <w:rsid w:val="00047D06"/>
    <w:rsid w:val="00050263"/>
    <w:rsid w:val="00050FBD"/>
    <w:rsid w:val="0005192C"/>
    <w:rsid w:val="00052929"/>
    <w:rsid w:val="0005299F"/>
    <w:rsid w:val="000541D7"/>
    <w:rsid w:val="000545C0"/>
    <w:rsid w:val="0005586D"/>
    <w:rsid w:val="00056C0E"/>
    <w:rsid w:val="000574A8"/>
    <w:rsid w:val="00057A49"/>
    <w:rsid w:val="0006231F"/>
    <w:rsid w:val="00062A05"/>
    <w:rsid w:val="00062EE6"/>
    <w:rsid w:val="0006344E"/>
    <w:rsid w:val="00067495"/>
    <w:rsid w:val="0006794B"/>
    <w:rsid w:val="00067DCA"/>
    <w:rsid w:val="00070063"/>
    <w:rsid w:val="0007087A"/>
    <w:rsid w:val="000710EC"/>
    <w:rsid w:val="00072237"/>
    <w:rsid w:val="00072ABE"/>
    <w:rsid w:val="00073B7D"/>
    <w:rsid w:val="000801FA"/>
    <w:rsid w:val="00080B39"/>
    <w:rsid w:val="00081EA4"/>
    <w:rsid w:val="00083950"/>
    <w:rsid w:val="0008452F"/>
    <w:rsid w:val="00084E8E"/>
    <w:rsid w:val="00085A68"/>
    <w:rsid w:val="000873EE"/>
    <w:rsid w:val="00090625"/>
    <w:rsid w:val="00090948"/>
    <w:rsid w:val="00091CD1"/>
    <w:rsid w:val="0009460E"/>
    <w:rsid w:val="000951D4"/>
    <w:rsid w:val="00095F27"/>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C99"/>
    <w:rsid w:val="000C217B"/>
    <w:rsid w:val="000C468E"/>
    <w:rsid w:val="000C5A75"/>
    <w:rsid w:val="000C6608"/>
    <w:rsid w:val="000D0AB2"/>
    <w:rsid w:val="000D225C"/>
    <w:rsid w:val="000D36F2"/>
    <w:rsid w:val="000D4B26"/>
    <w:rsid w:val="000D74DB"/>
    <w:rsid w:val="000E24D6"/>
    <w:rsid w:val="000E6072"/>
    <w:rsid w:val="000E6D61"/>
    <w:rsid w:val="000E7A23"/>
    <w:rsid w:val="000E7EE7"/>
    <w:rsid w:val="000F1C29"/>
    <w:rsid w:val="000F1E9E"/>
    <w:rsid w:val="000F2B10"/>
    <w:rsid w:val="000F3729"/>
    <w:rsid w:val="000F5D4B"/>
    <w:rsid w:val="001055B2"/>
    <w:rsid w:val="001068F0"/>
    <w:rsid w:val="00106C9E"/>
    <w:rsid w:val="00106E16"/>
    <w:rsid w:val="0010768B"/>
    <w:rsid w:val="00111701"/>
    <w:rsid w:val="00112A29"/>
    <w:rsid w:val="001167F6"/>
    <w:rsid w:val="00116C86"/>
    <w:rsid w:val="001173F4"/>
    <w:rsid w:val="00121ACF"/>
    <w:rsid w:val="00121D8F"/>
    <w:rsid w:val="00122037"/>
    <w:rsid w:val="0012210C"/>
    <w:rsid w:val="00122A7F"/>
    <w:rsid w:val="0012332C"/>
    <w:rsid w:val="00123F98"/>
    <w:rsid w:val="001242A5"/>
    <w:rsid w:val="00124531"/>
    <w:rsid w:val="00126EDF"/>
    <w:rsid w:val="00127BBE"/>
    <w:rsid w:val="00131D52"/>
    <w:rsid w:val="001329C1"/>
    <w:rsid w:val="00132C16"/>
    <w:rsid w:val="00136320"/>
    <w:rsid w:val="00136FFA"/>
    <w:rsid w:val="00137AC6"/>
    <w:rsid w:val="00145512"/>
    <w:rsid w:val="00146019"/>
    <w:rsid w:val="00147B45"/>
    <w:rsid w:val="00150803"/>
    <w:rsid w:val="00151D83"/>
    <w:rsid w:val="001546C9"/>
    <w:rsid w:val="00154A81"/>
    <w:rsid w:val="00154FAE"/>
    <w:rsid w:val="00155E77"/>
    <w:rsid w:val="00156501"/>
    <w:rsid w:val="00157AFD"/>
    <w:rsid w:val="00160A61"/>
    <w:rsid w:val="00160FC0"/>
    <w:rsid w:val="0016252D"/>
    <w:rsid w:val="0016404A"/>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87F3F"/>
    <w:rsid w:val="00190232"/>
    <w:rsid w:val="00191EA4"/>
    <w:rsid w:val="00192B6C"/>
    <w:rsid w:val="0019381E"/>
    <w:rsid w:val="00194071"/>
    <w:rsid w:val="0019503C"/>
    <w:rsid w:val="00195D94"/>
    <w:rsid w:val="00196F7B"/>
    <w:rsid w:val="001971CB"/>
    <w:rsid w:val="0019795C"/>
    <w:rsid w:val="001A0A3C"/>
    <w:rsid w:val="001A22A2"/>
    <w:rsid w:val="001A2971"/>
    <w:rsid w:val="001A3D52"/>
    <w:rsid w:val="001A460A"/>
    <w:rsid w:val="001A4A4C"/>
    <w:rsid w:val="001B0230"/>
    <w:rsid w:val="001B13AB"/>
    <w:rsid w:val="001B2613"/>
    <w:rsid w:val="001B3907"/>
    <w:rsid w:val="001B3B49"/>
    <w:rsid w:val="001B4907"/>
    <w:rsid w:val="001B4DC5"/>
    <w:rsid w:val="001B5505"/>
    <w:rsid w:val="001B55AB"/>
    <w:rsid w:val="001C2180"/>
    <w:rsid w:val="001C27CB"/>
    <w:rsid w:val="001C29CC"/>
    <w:rsid w:val="001C3B98"/>
    <w:rsid w:val="001C6028"/>
    <w:rsid w:val="001C6365"/>
    <w:rsid w:val="001D0E79"/>
    <w:rsid w:val="001D6049"/>
    <w:rsid w:val="001D6EF3"/>
    <w:rsid w:val="001D7339"/>
    <w:rsid w:val="001E2750"/>
    <w:rsid w:val="001E4343"/>
    <w:rsid w:val="001E48E0"/>
    <w:rsid w:val="001E660A"/>
    <w:rsid w:val="001F05D6"/>
    <w:rsid w:val="001F5B0A"/>
    <w:rsid w:val="001F640F"/>
    <w:rsid w:val="001F6794"/>
    <w:rsid w:val="001F6F65"/>
    <w:rsid w:val="002002DF"/>
    <w:rsid w:val="00203A6F"/>
    <w:rsid w:val="00205646"/>
    <w:rsid w:val="002063F7"/>
    <w:rsid w:val="00207C33"/>
    <w:rsid w:val="002129E5"/>
    <w:rsid w:val="00212AA4"/>
    <w:rsid w:val="00212E13"/>
    <w:rsid w:val="00213F73"/>
    <w:rsid w:val="002179FE"/>
    <w:rsid w:val="00220CC0"/>
    <w:rsid w:val="00221A36"/>
    <w:rsid w:val="00222C51"/>
    <w:rsid w:val="002240F7"/>
    <w:rsid w:val="0022486F"/>
    <w:rsid w:val="00225314"/>
    <w:rsid w:val="00225DF4"/>
    <w:rsid w:val="00226C70"/>
    <w:rsid w:val="00231F98"/>
    <w:rsid w:val="002324F8"/>
    <w:rsid w:val="002348B0"/>
    <w:rsid w:val="002355BF"/>
    <w:rsid w:val="00235A68"/>
    <w:rsid w:val="00235CDC"/>
    <w:rsid w:val="00237E76"/>
    <w:rsid w:val="00240BBE"/>
    <w:rsid w:val="00240BF5"/>
    <w:rsid w:val="00241525"/>
    <w:rsid w:val="00241D87"/>
    <w:rsid w:val="00243C55"/>
    <w:rsid w:val="00243D5E"/>
    <w:rsid w:val="002451EC"/>
    <w:rsid w:val="00245769"/>
    <w:rsid w:val="00245ED4"/>
    <w:rsid w:val="00246B41"/>
    <w:rsid w:val="0025002B"/>
    <w:rsid w:val="002500DE"/>
    <w:rsid w:val="00252457"/>
    <w:rsid w:val="00252581"/>
    <w:rsid w:val="002535B5"/>
    <w:rsid w:val="002538CB"/>
    <w:rsid w:val="002542BD"/>
    <w:rsid w:val="00254EA0"/>
    <w:rsid w:val="002571CC"/>
    <w:rsid w:val="0025774E"/>
    <w:rsid w:val="00257D64"/>
    <w:rsid w:val="0026340A"/>
    <w:rsid w:val="002654EA"/>
    <w:rsid w:val="002704EA"/>
    <w:rsid w:val="0027061A"/>
    <w:rsid w:val="002719CC"/>
    <w:rsid w:val="002730C5"/>
    <w:rsid w:val="0027337C"/>
    <w:rsid w:val="0027602B"/>
    <w:rsid w:val="00277F5E"/>
    <w:rsid w:val="00280084"/>
    <w:rsid w:val="00280490"/>
    <w:rsid w:val="002857B7"/>
    <w:rsid w:val="002860B8"/>
    <w:rsid w:val="0029206E"/>
    <w:rsid w:val="00293382"/>
    <w:rsid w:val="00294F51"/>
    <w:rsid w:val="002A0C6F"/>
    <w:rsid w:val="002A2342"/>
    <w:rsid w:val="002A279E"/>
    <w:rsid w:val="002A4FA3"/>
    <w:rsid w:val="002B3606"/>
    <w:rsid w:val="002B3D80"/>
    <w:rsid w:val="002B4402"/>
    <w:rsid w:val="002B4946"/>
    <w:rsid w:val="002B4C41"/>
    <w:rsid w:val="002B588D"/>
    <w:rsid w:val="002C1839"/>
    <w:rsid w:val="002C214A"/>
    <w:rsid w:val="002C28E8"/>
    <w:rsid w:val="002C3027"/>
    <w:rsid w:val="002C5D33"/>
    <w:rsid w:val="002C674D"/>
    <w:rsid w:val="002C7648"/>
    <w:rsid w:val="002C7DC4"/>
    <w:rsid w:val="002D0821"/>
    <w:rsid w:val="002D0A48"/>
    <w:rsid w:val="002D1929"/>
    <w:rsid w:val="002D1B73"/>
    <w:rsid w:val="002D37CE"/>
    <w:rsid w:val="002D4800"/>
    <w:rsid w:val="002D5B21"/>
    <w:rsid w:val="002D6F6D"/>
    <w:rsid w:val="002E1AA0"/>
    <w:rsid w:val="002E1FE6"/>
    <w:rsid w:val="002E2EA7"/>
    <w:rsid w:val="002E36D2"/>
    <w:rsid w:val="002E748B"/>
    <w:rsid w:val="002F2002"/>
    <w:rsid w:val="002F335D"/>
    <w:rsid w:val="002F4E32"/>
    <w:rsid w:val="002F503F"/>
    <w:rsid w:val="002F51DD"/>
    <w:rsid w:val="002F5D08"/>
    <w:rsid w:val="002F6895"/>
    <w:rsid w:val="002F6D13"/>
    <w:rsid w:val="003049C7"/>
    <w:rsid w:val="00305F0E"/>
    <w:rsid w:val="0030623C"/>
    <w:rsid w:val="0030667A"/>
    <w:rsid w:val="00306976"/>
    <w:rsid w:val="003106DE"/>
    <w:rsid w:val="0031108B"/>
    <w:rsid w:val="00311530"/>
    <w:rsid w:val="00312D31"/>
    <w:rsid w:val="00315216"/>
    <w:rsid w:val="0031691C"/>
    <w:rsid w:val="00317AEF"/>
    <w:rsid w:val="00317F49"/>
    <w:rsid w:val="00320449"/>
    <w:rsid w:val="0032089B"/>
    <w:rsid w:val="00321D40"/>
    <w:rsid w:val="00323450"/>
    <w:rsid w:val="0032489B"/>
    <w:rsid w:val="0032525B"/>
    <w:rsid w:val="00326A7A"/>
    <w:rsid w:val="00326FEE"/>
    <w:rsid w:val="003315D7"/>
    <w:rsid w:val="003343B9"/>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57F65"/>
    <w:rsid w:val="00362E75"/>
    <w:rsid w:val="003631AA"/>
    <w:rsid w:val="003632D5"/>
    <w:rsid w:val="00363575"/>
    <w:rsid w:val="00364EF9"/>
    <w:rsid w:val="00367579"/>
    <w:rsid w:val="0036795B"/>
    <w:rsid w:val="00370A29"/>
    <w:rsid w:val="00371148"/>
    <w:rsid w:val="003722F9"/>
    <w:rsid w:val="00372349"/>
    <w:rsid w:val="00372D23"/>
    <w:rsid w:val="00374BDE"/>
    <w:rsid w:val="0037548C"/>
    <w:rsid w:val="00376B39"/>
    <w:rsid w:val="003772C0"/>
    <w:rsid w:val="00377BAC"/>
    <w:rsid w:val="00380142"/>
    <w:rsid w:val="00380558"/>
    <w:rsid w:val="00381649"/>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3E8E"/>
    <w:rsid w:val="003A49EE"/>
    <w:rsid w:val="003A5A3E"/>
    <w:rsid w:val="003A674D"/>
    <w:rsid w:val="003A7123"/>
    <w:rsid w:val="003B102E"/>
    <w:rsid w:val="003B2167"/>
    <w:rsid w:val="003B5F5D"/>
    <w:rsid w:val="003C0C62"/>
    <w:rsid w:val="003C12DC"/>
    <w:rsid w:val="003C2CDA"/>
    <w:rsid w:val="003C3DA4"/>
    <w:rsid w:val="003C505D"/>
    <w:rsid w:val="003D000A"/>
    <w:rsid w:val="003D0B9D"/>
    <w:rsid w:val="003D277C"/>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F00E8"/>
    <w:rsid w:val="003F1936"/>
    <w:rsid w:val="003F1BDD"/>
    <w:rsid w:val="003F3BA3"/>
    <w:rsid w:val="003F3BD5"/>
    <w:rsid w:val="003F400E"/>
    <w:rsid w:val="003F6F35"/>
    <w:rsid w:val="003F7768"/>
    <w:rsid w:val="003F7789"/>
    <w:rsid w:val="00400E8C"/>
    <w:rsid w:val="004017DC"/>
    <w:rsid w:val="00401B53"/>
    <w:rsid w:val="00402668"/>
    <w:rsid w:val="004043B6"/>
    <w:rsid w:val="00404FEC"/>
    <w:rsid w:val="0040534D"/>
    <w:rsid w:val="00405FAD"/>
    <w:rsid w:val="004117AB"/>
    <w:rsid w:val="00412B2F"/>
    <w:rsid w:val="00415281"/>
    <w:rsid w:val="00415716"/>
    <w:rsid w:val="0041604D"/>
    <w:rsid w:val="00417842"/>
    <w:rsid w:val="00417A6E"/>
    <w:rsid w:val="00430B13"/>
    <w:rsid w:val="00430CE5"/>
    <w:rsid w:val="0043153C"/>
    <w:rsid w:val="00431D0F"/>
    <w:rsid w:val="0043481C"/>
    <w:rsid w:val="00444307"/>
    <w:rsid w:val="0044436F"/>
    <w:rsid w:val="004443EB"/>
    <w:rsid w:val="00444432"/>
    <w:rsid w:val="00444673"/>
    <w:rsid w:val="0044621E"/>
    <w:rsid w:val="00450BA4"/>
    <w:rsid w:val="004511FC"/>
    <w:rsid w:val="00456784"/>
    <w:rsid w:val="004567D5"/>
    <w:rsid w:val="00456DCA"/>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9E1"/>
    <w:rsid w:val="004A1DA0"/>
    <w:rsid w:val="004A2393"/>
    <w:rsid w:val="004A3569"/>
    <w:rsid w:val="004A452A"/>
    <w:rsid w:val="004A4F5C"/>
    <w:rsid w:val="004A5F2C"/>
    <w:rsid w:val="004A64E5"/>
    <w:rsid w:val="004A6E4F"/>
    <w:rsid w:val="004A720D"/>
    <w:rsid w:val="004B00D0"/>
    <w:rsid w:val="004B5808"/>
    <w:rsid w:val="004B6084"/>
    <w:rsid w:val="004B794C"/>
    <w:rsid w:val="004B7AE0"/>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79"/>
    <w:rsid w:val="004E4FAE"/>
    <w:rsid w:val="004E62C7"/>
    <w:rsid w:val="004E6401"/>
    <w:rsid w:val="004E6636"/>
    <w:rsid w:val="004E68FF"/>
    <w:rsid w:val="004E7A1B"/>
    <w:rsid w:val="004F0B7F"/>
    <w:rsid w:val="004F1193"/>
    <w:rsid w:val="004F11DC"/>
    <w:rsid w:val="004F271B"/>
    <w:rsid w:val="004F3A52"/>
    <w:rsid w:val="004F449F"/>
    <w:rsid w:val="004F4E7E"/>
    <w:rsid w:val="004F63AB"/>
    <w:rsid w:val="004F6B76"/>
    <w:rsid w:val="004F6C7C"/>
    <w:rsid w:val="004F7F1A"/>
    <w:rsid w:val="004F7FBB"/>
    <w:rsid w:val="005042B3"/>
    <w:rsid w:val="005045AB"/>
    <w:rsid w:val="00507D43"/>
    <w:rsid w:val="00510E2C"/>
    <w:rsid w:val="00511B0D"/>
    <w:rsid w:val="00511FDC"/>
    <w:rsid w:val="005124C6"/>
    <w:rsid w:val="00513EBC"/>
    <w:rsid w:val="00514CE1"/>
    <w:rsid w:val="00514F13"/>
    <w:rsid w:val="00517155"/>
    <w:rsid w:val="00517DB3"/>
    <w:rsid w:val="005200DC"/>
    <w:rsid w:val="005200F2"/>
    <w:rsid w:val="0052047B"/>
    <w:rsid w:val="0052369D"/>
    <w:rsid w:val="0052452E"/>
    <w:rsid w:val="005271DB"/>
    <w:rsid w:val="00530D2F"/>
    <w:rsid w:val="00534800"/>
    <w:rsid w:val="0053487C"/>
    <w:rsid w:val="00534C83"/>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6770C"/>
    <w:rsid w:val="005714EF"/>
    <w:rsid w:val="00571CEC"/>
    <w:rsid w:val="00572FCE"/>
    <w:rsid w:val="005750DB"/>
    <w:rsid w:val="005759FC"/>
    <w:rsid w:val="00575B85"/>
    <w:rsid w:val="00576161"/>
    <w:rsid w:val="00576DB9"/>
    <w:rsid w:val="0057738F"/>
    <w:rsid w:val="005805E4"/>
    <w:rsid w:val="0058202F"/>
    <w:rsid w:val="00584221"/>
    <w:rsid w:val="0058646D"/>
    <w:rsid w:val="00586B68"/>
    <w:rsid w:val="0058774E"/>
    <w:rsid w:val="005878CF"/>
    <w:rsid w:val="00590CA0"/>
    <w:rsid w:val="00595B01"/>
    <w:rsid w:val="00596D98"/>
    <w:rsid w:val="005979A5"/>
    <w:rsid w:val="005A0021"/>
    <w:rsid w:val="005A017B"/>
    <w:rsid w:val="005A2AEC"/>
    <w:rsid w:val="005A5212"/>
    <w:rsid w:val="005A5D9E"/>
    <w:rsid w:val="005B002D"/>
    <w:rsid w:val="005B0FFF"/>
    <w:rsid w:val="005B19AF"/>
    <w:rsid w:val="005B258C"/>
    <w:rsid w:val="005B53BE"/>
    <w:rsid w:val="005B61DD"/>
    <w:rsid w:val="005B6735"/>
    <w:rsid w:val="005B7831"/>
    <w:rsid w:val="005C0CD6"/>
    <w:rsid w:val="005C12D9"/>
    <w:rsid w:val="005C2146"/>
    <w:rsid w:val="005C309D"/>
    <w:rsid w:val="005C544B"/>
    <w:rsid w:val="005C5916"/>
    <w:rsid w:val="005C5AEE"/>
    <w:rsid w:val="005C774A"/>
    <w:rsid w:val="005D365F"/>
    <w:rsid w:val="005D3734"/>
    <w:rsid w:val="005D4F16"/>
    <w:rsid w:val="005D5A53"/>
    <w:rsid w:val="005D5DA0"/>
    <w:rsid w:val="005D7FBD"/>
    <w:rsid w:val="005E19B4"/>
    <w:rsid w:val="005E1D6B"/>
    <w:rsid w:val="005E227A"/>
    <w:rsid w:val="005E3126"/>
    <w:rsid w:val="005E7075"/>
    <w:rsid w:val="005E75A7"/>
    <w:rsid w:val="005E7D39"/>
    <w:rsid w:val="005F33E6"/>
    <w:rsid w:val="005F38E2"/>
    <w:rsid w:val="005F3EE6"/>
    <w:rsid w:val="005F6736"/>
    <w:rsid w:val="00602C10"/>
    <w:rsid w:val="00604CF2"/>
    <w:rsid w:val="00606DFF"/>
    <w:rsid w:val="00606FB7"/>
    <w:rsid w:val="00610533"/>
    <w:rsid w:val="006110F6"/>
    <w:rsid w:val="00611FA1"/>
    <w:rsid w:val="00612360"/>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3171"/>
    <w:rsid w:val="00664B26"/>
    <w:rsid w:val="0066596B"/>
    <w:rsid w:val="00667309"/>
    <w:rsid w:val="0066763C"/>
    <w:rsid w:val="00670295"/>
    <w:rsid w:val="006704F5"/>
    <w:rsid w:val="00672894"/>
    <w:rsid w:val="00674B47"/>
    <w:rsid w:val="0067609E"/>
    <w:rsid w:val="00677513"/>
    <w:rsid w:val="00677749"/>
    <w:rsid w:val="00680E07"/>
    <w:rsid w:val="00682B9D"/>
    <w:rsid w:val="00683806"/>
    <w:rsid w:val="00686AF9"/>
    <w:rsid w:val="006910C0"/>
    <w:rsid w:val="00691954"/>
    <w:rsid w:val="0069320E"/>
    <w:rsid w:val="00693D13"/>
    <w:rsid w:val="00694F58"/>
    <w:rsid w:val="006955BC"/>
    <w:rsid w:val="0069560B"/>
    <w:rsid w:val="006959E2"/>
    <w:rsid w:val="00696920"/>
    <w:rsid w:val="006972B7"/>
    <w:rsid w:val="00697EB9"/>
    <w:rsid w:val="006A1F42"/>
    <w:rsid w:val="006A20D4"/>
    <w:rsid w:val="006A268D"/>
    <w:rsid w:val="006A350F"/>
    <w:rsid w:val="006A3957"/>
    <w:rsid w:val="006A39A4"/>
    <w:rsid w:val="006A41D6"/>
    <w:rsid w:val="006A669D"/>
    <w:rsid w:val="006A6E41"/>
    <w:rsid w:val="006B012F"/>
    <w:rsid w:val="006B077A"/>
    <w:rsid w:val="006B0931"/>
    <w:rsid w:val="006B27CF"/>
    <w:rsid w:val="006B41BD"/>
    <w:rsid w:val="006B5678"/>
    <w:rsid w:val="006B62B2"/>
    <w:rsid w:val="006C1C57"/>
    <w:rsid w:val="006C26C0"/>
    <w:rsid w:val="006C5760"/>
    <w:rsid w:val="006C6D6F"/>
    <w:rsid w:val="006D0D78"/>
    <w:rsid w:val="006D1128"/>
    <w:rsid w:val="006D2848"/>
    <w:rsid w:val="006D30E0"/>
    <w:rsid w:val="006D5FE9"/>
    <w:rsid w:val="006D6CBB"/>
    <w:rsid w:val="006D76A9"/>
    <w:rsid w:val="006D77F4"/>
    <w:rsid w:val="006E0898"/>
    <w:rsid w:val="006E41CD"/>
    <w:rsid w:val="006E5E26"/>
    <w:rsid w:val="006F3BEC"/>
    <w:rsid w:val="00703C00"/>
    <w:rsid w:val="007057CC"/>
    <w:rsid w:val="007066F2"/>
    <w:rsid w:val="00706AE5"/>
    <w:rsid w:val="0070740A"/>
    <w:rsid w:val="00711F93"/>
    <w:rsid w:val="00712940"/>
    <w:rsid w:val="0071428C"/>
    <w:rsid w:val="007147D0"/>
    <w:rsid w:val="00715539"/>
    <w:rsid w:val="00715A16"/>
    <w:rsid w:val="007164B0"/>
    <w:rsid w:val="007166FF"/>
    <w:rsid w:val="00717FC0"/>
    <w:rsid w:val="007203D8"/>
    <w:rsid w:val="00726543"/>
    <w:rsid w:val="0073353E"/>
    <w:rsid w:val="00736633"/>
    <w:rsid w:val="00740A88"/>
    <w:rsid w:val="007416A9"/>
    <w:rsid w:val="00741EE7"/>
    <w:rsid w:val="00743A79"/>
    <w:rsid w:val="0074594D"/>
    <w:rsid w:val="007459F3"/>
    <w:rsid w:val="00746E35"/>
    <w:rsid w:val="007470E2"/>
    <w:rsid w:val="0075232F"/>
    <w:rsid w:val="00753F7D"/>
    <w:rsid w:val="007550B3"/>
    <w:rsid w:val="00756E29"/>
    <w:rsid w:val="00757ED6"/>
    <w:rsid w:val="00760451"/>
    <w:rsid w:val="00765A94"/>
    <w:rsid w:val="007668CE"/>
    <w:rsid w:val="0077182A"/>
    <w:rsid w:val="00771913"/>
    <w:rsid w:val="00772718"/>
    <w:rsid w:val="0077521D"/>
    <w:rsid w:val="00775BCF"/>
    <w:rsid w:val="00783140"/>
    <w:rsid w:val="007838B6"/>
    <w:rsid w:val="00783E77"/>
    <w:rsid w:val="007857DD"/>
    <w:rsid w:val="00786088"/>
    <w:rsid w:val="007906F1"/>
    <w:rsid w:val="0079243D"/>
    <w:rsid w:val="00794A9B"/>
    <w:rsid w:val="00794D16"/>
    <w:rsid w:val="0079583B"/>
    <w:rsid w:val="00796602"/>
    <w:rsid w:val="00797185"/>
    <w:rsid w:val="007976B7"/>
    <w:rsid w:val="00797A7E"/>
    <w:rsid w:val="00797D6F"/>
    <w:rsid w:val="007A1A24"/>
    <w:rsid w:val="007A524C"/>
    <w:rsid w:val="007A5C00"/>
    <w:rsid w:val="007A763E"/>
    <w:rsid w:val="007B014B"/>
    <w:rsid w:val="007B0D88"/>
    <w:rsid w:val="007B306F"/>
    <w:rsid w:val="007B4714"/>
    <w:rsid w:val="007B4E82"/>
    <w:rsid w:val="007C1996"/>
    <w:rsid w:val="007C2FD4"/>
    <w:rsid w:val="007C3773"/>
    <w:rsid w:val="007C3F1F"/>
    <w:rsid w:val="007D2D0D"/>
    <w:rsid w:val="007D3325"/>
    <w:rsid w:val="007D3818"/>
    <w:rsid w:val="007D6DC5"/>
    <w:rsid w:val="007D7425"/>
    <w:rsid w:val="007E320E"/>
    <w:rsid w:val="007E3280"/>
    <w:rsid w:val="007E43EA"/>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5B5"/>
    <w:rsid w:val="00807DFA"/>
    <w:rsid w:val="0081009F"/>
    <w:rsid w:val="00810152"/>
    <w:rsid w:val="008115AB"/>
    <w:rsid w:val="008159F4"/>
    <w:rsid w:val="008167C1"/>
    <w:rsid w:val="008167C6"/>
    <w:rsid w:val="00816B8F"/>
    <w:rsid w:val="00817BC5"/>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5543"/>
    <w:rsid w:val="008566B3"/>
    <w:rsid w:val="008576B7"/>
    <w:rsid w:val="00857F7B"/>
    <w:rsid w:val="00860F33"/>
    <w:rsid w:val="00863DA1"/>
    <w:rsid w:val="00864309"/>
    <w:rsid w:val="008654A6"/>
    <w:rsid w:val="00865D86"/>
    <w:rsid w:val="00870EA1"/>
    <w:rsid w:val="008710C5"/>
    <w:rsid w:val="00874438"/>
    <w:rsid w:val="00874E75"/>
    <w:rsid w:val="008767F3"/>
    <w:rsid w:val="0087686A"/>
    <w:rsid w:val="00876CEF"/>
    <w:rsid w:val="00877342"/>
    <w:rsid w:val="008803C3"/>
    <w:rsid w:val="00880F51"/>
    <w:rsid w:val="00881450"/>
    <w:rsid w:val="008817C7"/>
    <w:rsid w:val="00881875"/>
    <w:rsid w:val="008848A3"/>
    <w:rsid w:val="00884AF1"/>
    <w:rsid w:val="00885F7A"/>
    <w:rsid w:val="00890712"/>
    <w:rsid w:val="00890D81"/>
    <w:rsid w:val="008920D7"/>
    <w:rsid w:val="00892955"/>
    <w:rsid w:val="00893628"/>
    <w:rsid w:val="008941EB"/>
    <w:rsid w:val="0089545A"/>
    <w:rsid w:val="00895A02"/>
    <w:rsid w:val="008A01EE"/>
    <w:rsid w:val="008A3B78"/>
    <w:rsid w:val="008A4166"/>
    <w:rsid w:val="008A7DBF"/>
    <w:rsid w:val="008B021E"/>
    <w:rsid w:val="008B136C"/>
    <w:rsid w:val="008B55EF"/>
    <w:rsid w:val="008B746D"/>
    <w:rsid w:val="008C0B5C"/>
    <w:rsid w:val="008C1343"/>
    <w:rsid w:val="008C3912"/>
    <w:rsid w:val="008C5598"/>
    <w:rsid w:val="008C69EA"/>
    <w:rsid w:val="008C6F8B"/>
    <w:rsid w:val="008C7AB7"/>
    <w:rsid w:val="008C7FB4"/>
    <w:rsid w:val="008D2C8C"/>
    <w:rsid w:val="008D3040"/>
    <w:rsid w:val="008D3ECD"/>
    <w:rsid w:val="008D5C03"/>
    <w:rsid w:val="008D5F04"/>
    <w:rsid w:val="008D7C35"/>
    <w:rsid w:val="008E3A01"/>
    <w:rsid w:val="008E5698"/>
    <w:rsid w:val="008E5733"/>
    <w:rsid w:val="008E77D2"/>
    <w:rsid w:val="008E78FD"/>
    <w:rsid w:val="008F199D"/>
    <w:rsid w:val="008F38A0"/>
    <w:rsid w:val="008F39C9"/>
    <w:rsid w:val="008F5EB5"/>
    <w:rsid w:val="008F678C"/>
    <w:rsid w:val="008F75A7"/>
    <w:rsid w:val="008F7E5A"/>
    <w:rsid w:val="00900CFF"/>
    <w:rsid w:val="009036EE"/>
    <w:rsid w:val="00905815"/>
    <w:rsid w:val="00905D1D"/>
    <w:rsid w:val="0091016D"/>
    <w:rsid w:val="009103C0"/>
    <w:rsid w:val="00911910"/>
    <w:rsid w:val="00912A58"/>
    <w:rsid w:val="00913908"/>
    <w:rsid w:val="00913D26"/>
    <w:rsid w:val="0091438B"/>
    <w:rsid w:val="009147E3"/>
    <w:rsid w:val="009169AD"/>
    <w:rsid w:val="00920A1B"/>
    <w:rsid w:val="00920FD2"/>
    <w:rsid w:val="00923A43"/>
    <w:rsid w:val="0092439C"/>
    <w:rsid w:val="0092498E"/>
    <w:rsid w:val="00925B91"/>
    <w:rsid w:val="00926607"/>
    <w:rsid w:val="00934461"/>
    <w:rsid w:val="00934F7E"/>
    <w:rsid w:val="00936A1C"/>
    <w:rsid w:val="00943E35"/>
    <w:rsid w:val="00945278"/>
    <w:rsid w:val="0094658D"/>
    <w:rsid w:val="00947678"/>
    <w:rsid w:val="00947878"/>
    <w:rsid w:val="009504C2"/>
    <w:rsid w:val="0095254A"/>
    <w:rsid w:val="009559E1"/>
    <w:rsid w:val="009568D5"/>
    <w:rsid w:val="00957CD3"/>
    <w:rsid w:val="0096269B"/>
    <w:rsid w:val="00963FB0"/>
    <w:rsid w:val="0096415B"/>
    <w:rsid w:val="00964982"/>
    <w:rsid w:val="00964C86"/>
    <w:rsid w:val="00965E82"/>
    <w:rsid w:val="009664BB"/>
    <w:rsid w:val="009669F8"/>
    <w:rsid w:val="00966F89"/>
    <w:rsid w:val="00967943"/>
    <w:rsid w:val="00967BE8"/>
    <w:rsid w:val="00970510"/>
    <w:rsid w:val="00973B5D"/>
    <w:rsid w:val="00974404"/>
    <w:rsid w:val="0097755E"/>
    <w:rsid w:val="00981467"/>
    <w:rsid w:val="00981C24"/>
    <w:rsid w:val="00981EA1"/>
    <w:rsid w:val="00981EDB"/>
    <w:rsid w:val="009852F6"/>
    <w:rsid w:val="00985DE5"/>
    <w:rsid w:val="00986254"/>
    <w:rsid w:val="0098729E"/>
    <w:rsid w:val="00990067"/>
    <w:rsid w:val="00992977"/>
    <w:rsid w:val="009937D4"/>
    <w:rsid w:val="00993C78"/>
    <w:rsid w:val="009948C7"/>
    <w:rsid w:val="00995850"/>
    <w:rsid w:val="0099796C"/>
    <w:rsid w:val="009A1EA2"/>
    <w:rsid w:val="009A209E"/>
    <w:rsid w:val="009A3FD7"/>
    <w:rsid w:val="009A6652"/>
    <w:rsid w:val="009A74FD"/>
    <w:rsid w:val="009B25D8"/>
    <w:rsid w:val="009B42E3"/>
    <w:rsid w:val="009B48D4"/>
    <w:rsid w:val="009B5859"/>
    <w:rsid w:val="009C6D07"/>
    <w:rsid w:val="009C7CEC"/>
    <w:rsid w:val="009D0718"/>
    <w:rsid w:val="009D154D"/>
    <w:rsid w:val="009D18EF"/>
    <w:rsid w:val="009D3BE8"/>
    <w:rsid w:val="009D44E0"/>
    <w:rsid w:val="009D573B"/>
    <w:rsid w:val="009D59A0"/>
    <w:rsid w:val="009D716A"/>
    <w:rsid w:val="009E1AC4"/>
    <w:rsid w:val="009E20B8"/>
    <w:rsid w:val="009E29A0"/>
    <w:rsid w:val="009E41B5"/>
    <w:rsid w:val="009E55D7"/>
    <w:rsid w:val="009E627C"/>
    <w:rsid w:val="009F1498"/>
    <w:rsid w:val="009F1E9F"/>
    <w:rsid w:val="009F3793"/>
    <w:rsid w:val="009F54F2"/>
    <w:rsid w:val="00A0056B"/>
    <w:rsid w:val="00A01657"/>
    <w:rsid w:val="00A01C65"/>
    <w:rsid w:val="00A0213D"/>
    <w:rsid w:val="00A03ED4"/>
    <w:rsid w:val="00A04C73"/>
    <w:rsid w:val="00A0679A"/>
    <w:rsid w:val="00A07A2B"/>
    <w:rsid w:val="00A12346"/>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38BA"/>
    <w:rsid w:val="00A446FD"/>
    <w:rsid w:val="00A46F46"/>
    <w:rsid w:val="00A51786"/>
    <w:rsid w:val="00A519D0"/>
    <w:rsid w:val="00A52CB6"/>
    <w:rsid w:val="00A52F99"/>
    <w:rsid w:val="00A538BB"/>
    <w:rsid w:val="00A54164"/>
    <w:rsid w:val="00A55174"/>
    <w:rsid w:val="00A56737"/>
    <w:rsid w:val="00A60002"/>
    <w:rsid w:val="00A603D8"/>
    <w:rsid w:val="00A60AE2"/>
    <w:rsid w:val="00A60BB7"/>
    <w:rsid w:val="00A61834"/>
    <w:rsid w:val="00A618B0"/>
    <w:rsid w:val="00A62790"/>
    <w:rsid w:val="00A6291F"/>
    <w:rsid w:val="00A63F53"/>
    <w:rsid w:val="00A755B6"/>
    <w:rsid w:val="00A75B1A"/>
    <w:rsid w:val="00A75E6A"/>
    <w:rsid w:val="00A76833"/>
    <w:rsid w:val="00A80ED4"/>
    <w:rsid w:val="00A816C4"/>
    <w:rsid w:val="00A82981"/>
    <w:rsid w:val="00A86F10"/>
    <w:rsid w:val="00A87AF2"/>
    <w:rsid w:val="00A90B23"/>
    <w:rsid w:val="00A91060"/>
    <w:rsid w:val="00A93C2B"/>
    <w:rsid w:val="00A974CB"/>
    <w:rsid w:val="00AA1EAC"/>
    <w:rsid w:val="00AA45E2"/>
    <w:rsid w:val="00AA7AC1"/>
    <w:rsid w:val="00AB273A"/>
    <w:rsid w:val="00AB3EBD"/>
    <w:rsid w:val="00AB6327"/>
    <w:rsid w:val="00AB6B8F"/>
    <w:rsid w:val="00AC0C65"/>
    <w:rsid w:val="00AC0FB2"/>
    <w:rsid w:val="00AC41C6"/>
    <w:rsid w:val="00AC70C7"/>
    <w:rsid w:val="00AC76B7"/>
    <w:rsid w:val="00AD00AD"/>
    <w:rsid w:val="00AD123A"/>
    <w:rsid w:val="00AD15FF"/>
    <w:rsid w:val="00AD2380"/>
    <w:rsid w:val="00AD2920"/>
    <w:rsid w:val="00AD2CD5"/>
    <w:rsid w:val="00AD2DFC"/>
    <w:rsid w:val="00AD38C4"/>
    <w:rsid w:val="00AD5A4A"/>
    <w:rsid w:val="00AD60EE"/>
    <w:rsid w:val="00AD673C"/>
    <w:rsid w:val="00AD6A2B"/>
    <w:rsid w:val="00AD73D4"/>
    <w:rsid w:val="00AE1EA2"/>
    <w:rsid w:val="00AE2874"/>
    <w:rsid w:val="00AE2F98"/>
    <w:rsid w:val="00AE3602"/>
    <w:rsid w:val="00AE5342"/>
    <w:rsid w:val="00AE5987"/>
    <w:rsid w:val="00AE6472"/>
    <w:rsid w:val="00AF1345"/>
    <w:rsid w:val="00AF38A8"/>
    <w:rsid w:val="00AF63EB"/>
    <w:rsid w:val="00B00972"/>
    <w:rsid w:val="00B016D2"/>
    <w:rsid w:val="00B018EC"/>
    <w:rsid w:val="00B01FB0"/>
    <w:rsid w:val="00B04A7D"/>
    <w:rsid w:val="00B056C3"/>
    <w:rsid w:val="00B060C7"/>
    <w:rsid w:val="00B06D2E"/>
    <w:rsid w:val="00B100BE"/>
    <w:rsid w:val="00B11AB7"/>
    <w:rsid w:val="00B12213"/>
    <w:rsid w:val="00B13710"/>
    <w:rsid w:val="00B22881"/>
    <w:rsid w:val="00B23EFC"/>
    <w:rsid w:val="00B24422"/>
    <w:rsid w:val="00B24B72"/>
    <w:rsid w:val="00B25DB8"/>
    <w:rsid w:val="00B2656C"/>
    <w:rsid w:val="00B266E6"/>
    <w:rsid w:val="00B3094D"/>
    <w:rsid w:val="00B30B04"/>
    <w:rsid w:val="00B311BC"/>
    <w:rsid w:val="00B31C10"/>
    <w:rsid w:val="00B3446D"/>
    <w:rsid w:val="00B344F1"/>
    <w:rsid w:val="00B34652"/>
    <w:rsid w:val="00B34F89"/>
    <w:rsid w:val="00B358C8"/>
    <w:rsid w:val="00B36054"/>
    <w:rsid w:val="00B36185"/>
    <w:rsid w:val="00B3662F"/>
    <w:rsid w:val="00B373CD"/>
    <w:rsid w:val="00B377C8"/>
    <w:rsid w:val="00B400B8"/>
    <w:rsid w:val="00B404DE"/>
    <w:rsid w:val="00B40765"/>
    <w:rsid w:val="00B4232D"/>
    <w:rsid w:val="00B42682"/>
    <w:rsid w:val="00B43065"/>
    <w:rsid w:val="00B44784"/>
    <w:rsid w:val="00B449D0"/>
    <w:rsid w:val="00B456AB"/>
    <w:rsid w:val="00B47E8B"/>
    <w:rsid w:val="00B5095A"/>
    <w:rsid w:val="00B51C67"/>
    <w:rsid w:val="00B53F86"/>
    <w:rsid w:val="00B53FDC"/>
    <w:rsid w:val="00B55431"/>
    <w:rsid w:val="00B55CAE"/>
    <w:rsid w:val="00B576C6"/>
    <w:rsid w:val="00B615F2"/>
    <w:rsid w:val="00B61A28"/>
    <w:rsid w:val="00B66B06"/>
    <w:rsid w:val="00B67862"/>
    <w:rsid w:val="00B70634"/>
    <w:rsid w:val="00B7077C"/>
    <w:rsid w:val="00B70A0E"/>
    <w:rsid w:val="00B70BE4"/>
    <w:rsid w:val="00B725F2"/>
    <w:rsid w:val="00B73880"/>
    <w:rsid w:val="00B73CF1"/>
    <w:rsid w:val="00B745B3"/>
    <w:rsid w:val="00B7599D"/>
    <w:rsid w:val="00B7648F"/>
    <w:rsid w:val="00B76E13"/>
    <w:rsid w:val="00B771EE"/>
    <w:rsid w:val="00B7765B"/>
    <w:rsid w:val="00B77B4B"/>
    <w:rsid w:val="00B80ABC"/>
    <w:rsid w:val="00B814C2"/>
    <w:rsid w:val="00B900FE"/>
    <w:rsid w:val="00B9064C"/>
    <w:rsid w:val="00B922C4"/>
    <w:rsid w:val="00B97E49"/>
    <w:rsid w:val="00BA0A14"/>
    <w:rsid w:val="00BA398D"/>
    <w:rsid w:val="00BA39D3"/>
    <w:rsid w:val="00BA4C78"/>
    <w:rsid w:val="00BA5C56"/>
    <w:rsid w:val="00BA776F"/>
    <w:rsid w:val="00BB0C0D"/>
    <w:rsid w:val="00BB0D69"/>
    <w:rsid w:val="00BB267A"/>
    <w:rsid w:val="00BB366E"/>
    <w:rsid w:val="00BB3AF0"/>
    <w:rsid w:val="00BB4F70"/>
    <w:rsid w:val="00BB67FF"/>
    <w:rsid w:val="00BC11B9"/>
    <w:rsid w:val="00BC138C"/>
    <w:rsid w:val="00BC14CF"/>
    <w:rsid w:val="00BC1659"/>
    <w:rsid w:val="00BC2C91"/>
    <w:rsid w:val="00BC3A9C"/>
    <w:rsid w:val="00BC5288"/>
    <w:rsid w:val="00BC6A71"/>
    <w:rsid w:val="00BC6B2F"/>
    <w:rsid w:val="00BC6D8F"/>
    <w:rsid w:val="00BD0637"/>
    <w:rsid w:val="00BD08A8"/>
    <w:rsid w:val="00BD0B92"/>
    <w:rsid w:val="00BD1BAC"/>
    <w:rsid w:val="00BD25A6"/>
    <w:rsid w:val="00BD44F6"/>
    <w:rsid w:val="00BD4C95"/>
    <w:rsid w:val="00BD65FC"/>
    <w:rsid w:val="00BD7660"/>
    <w:rsid w:val="00BE0666"/>
    <w:rsid w:val="00BE2396"/>
    <w:rsid w:val="00BE24B9"/>
    <w:rsid w:val="00BE2AE8"/>
    <w:rsid w:val="00BE2D55"/>
    <w:rsid w:val="00BE38DD"/>
    <w:rsid w:val="00BE4A21"/>
    <w:rsid w:val="00BE4AB1"/>
    <w:rsid w:val="00BF16C3"/>
    <w:rsid w:val="00BF38E0"/>
    <w:rsid w:val="00BF44FA"/>
    <w:rsid w:val="00BF57E1"/>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3F94"/>
    <w:rsid w:val="00C34532"/>
    <w:rsid w:val="00C35362"/>
    <w:rsid w:val="00C357EA"/>
    <w:rsid w:val="00C379F8"/>
    <w:rsid w:val="00C37A1C"/>
    <w:rsid w:val="00C4316E"/>
    <w:rsid w:val="00C453A9"/>
    <w:rsid w:val="00C46331"/>
    <w:rsid w:val="00C465D5"/>
    <w:rsid w:val="00C4756A"/>
    <w:rsid w:val="00C4765A"/>
    <w:rsid w:val="00C47C39"/>
    <w:rsid w:val="00C50649"/>
    <w:rsid w:val="00C50E1F"/>
    <w:rsid w:val="00C51324"/>
    <w:rsid w:val="00C51C09"/>
    <w:rsid w:val="00C52BB6"/>
    <w:rsid w:val="00C53471"/>
    <w:rsid w:val="00C54004"/>
    <w:rsid w:val="00C55143"/>
    <w:rsid w:val="00C5611B"/>
    <w:rsid w:val="00C5695E"/>
    <w:rsid w:val="00C61528"/>
    <w:rsid w:val="00C63420"/>
    <w:rsid w:val="00C63457"/>
    <w:rsid w:val="00C64964"/>
    <w:rsid w:val="00C67473"/>
    <w:rsid w:val="00C676E4"/>
    <w:rsid w:val="00C67AA4"/>
    <w:rsid w:val="00C7148C"/>
    <w:rsid w:val="00C72192"/>
    <w:rsid w:val="00C732E5"/>
    <w:rsid w:val="00C73D0B"/>
    <w:rsid w:val="00C75017"/>
    <w:rsid w:val="00C75BBA"/>
    <w:rsid w:val="00C765B4"/>
    <w:rsid w:val="00C80426"/>
    <w:rsid w:val="00C813EA"/>
    <w:rsid w:val="00C81496"/>
    <w:rsid w:val="00C82CE6"/>
    <w:rsid w:val="00C85144"/>
    <w:rsid w:val="00C85F9E"/>
    <w:rsid w:val="00C86A27"/>
    <w:rsid w:val="00C91517"/>
    <w:rsid w:val="00C929BD"/>
    <w:rsid w:val="00C931A2"/>
    <w:rsid w:val="00CA02E1"/>
    <w:rsid w:val="00CA15DA"/>
    <w:rsid w:val="00CA224E"/>
    <w:rsid w:val="00CA41C5"/>
    <w:rsid w:val="00CA4A53"/>
    <w:rsid w:val="00CA51F5"/>
    <w:rsid w:val="00CB174A"/>
    <w:rsid w:val="00CB218A"/>
    <w:rsid w:val="00CB225A"/>
    <w:rsid w:val="00CB4F98"/>
    <w:rsid w:val="00CB69E6"/>
    <w:rsid w:val="00CB761B"/>
    <w:rsid w:val="00CC13DF"/>
    <w:rsid w:val="00CC1EEE"/>
    <w:rsid w:val="00CC562B"/>
    <w:rsid w:val="00CC6C15"/>
    <w:rsid w:val="00CC7FCF"/>
    <w:rsid w:val="00CD2749"/>
    <w:rsid w:val="00CD2A60"/>
    <w:rsid w:val="00CD2A91"/>
    <w:rsid w:val="00CD306F"/>
    <w:rsid w:val="00CD3971"/>
    <w:rsid w:val="00CD3DAB"/>
    <w:rsid w:val="00CE0DF1"/>
    <w:rsid w:val="00CE3786"/>
    <w:rsid w:val="00CE4027"/>
    <w:rsid w:val="00CE47CC"/>
    <w:rsid w:val="00CE68F6"/>
    <w:rsid w:val="00CE7E27"/>
    <w:rsid w:val="00CF22AC"/>
    <w:rsid w:val="00CF2F0A"/>
    <w:rsid w:val="00CF437C"/>
    <w:rsid w:val="00CF79E8"/>
    <w:rsid w:val="00D015AA"/>
    <w:rsid w:val="00D01E24"/>
    <w:rsid w:val="00D03D90"/>
    <w:rsid w:val="00D04024"/>
    <w:rsid w:val="00D043EB"/>
    <w:rsid w:val="00D064D6"/>
    <w:rsid w:val="00D06705"/>
    <w:rsid w:val="00D06A9B"/>
    <w:rsid w:val="00D0750D"/>
    <w:rsid w:val="00D07DD8"/>
    <w:rsid w:val="00D1038F"/>
    <w:rsid w:val="00D10BF7"/>
    <w:rsid w:val="00D10FEB"/>
    <w:rsid w:val="00D12B9F"/>
    <w:rsid w:val="00D140A0"/>
    <w:rsid w:val="00D17777"/>
    <w:rsid w:val="00D203D1"/>
    <w:rsid w:val="00D2057A"/>
    <w:rsid w:val="00D2317F"/>
    <w:rsid w:val="00D231A9"/>
    <w:rsid w:val="00D24391"/>
    <w:rsid w:val="00D2472B"/>
    <w:rsid w:val="00D253DD"/>
    <w:rsid w:val="00D26FFA"/>
    <w:rsid w:val="00D30587"/>
    <w:rsid w:val="00D3215D"/>
    <w:rsid w:val="00D324DA"/>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3A17"/>
    <w:rsid w:val="00D5597D"/>
    <w:rsid w:val="00D55A98"/>
    <w:rsid w:val="00D56B49"/>
    <w:rsid w:val="00D6053F"/>
    <w:rsid w:val="00D6073D"/>
    <w:rsid w:val="00D618D6"/>
    <w:rsid w:val="00D62426"/>
    <w:rsid w:val="00D62804"/>
    <w:rsid w:val="00D66526"/>
    <w:rsid w:val="00D70F55"/>
    <w:rsid w:val="00D70FA5"/>
    <w:rsid w:val="00D74171"/>
    <w:rsid w:val="00D8032C"/>
    <w:rsid w:val="00D80CE2"/>
    <w:rsid w:val="00D83080"/>
    <w:rsid w:val="00D84D5F"/>
    <w:rsid w:val="00D851E2"/>
    <w:rsid w:val="00D87FFA"/>
    <w:rsid w:val="00D913B3"/>
    <w:rsid w:val="00D9141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C5D"/>
    <w:rsid w:val="00DA3EFF"/>
    <w:rsid w:val="00DA7769"/>
    <w:rsid w:val="00DB08C6"/>
    <w:rsid w:val="00DB1BC2"/>
    <w:rsid w:val="00DB1CBB"/>
    <w:rsid w:val="00DB2D8A"/>
    <w:rsid w:val="00DB31ED"/>
    <w:rsid w:val="00DB4124"/>
    <w:rsid w:val="00DB4511"/>
    <w:rsid w:val="00DB4F0C"/>
    <w:rsid w:val="00DC0176"/>
    <w:rsid w:val="00DC043F"/>
    <w:rsid w:val="00DC093E"/>
    <w:rsid w:val="00DC0E29"/>
    <w:rsid w:val="00DC0E7A"/>
    <w:rsid w:val="00DC2A65"/>
    <w:rsid w:val="00DC2A86"/>
    <w:rsid w:val="00DC3631"/>
    <w:rsid w:val="00DC37F7"/>
    <w:rsid w:val="00DC4675"/>
    <w:rsid w:val="00DC6F54"/>
    <w:rsid w:val="00DC79D4"/>
    <w:rsid w:val="00DD0C00"/>
    <w:rsid w:val="00DD0F8C"/>
    <w:rsid w:val="00DD116C"/>
    <w:rsid w:val="00DD23D5"/>
    <w:rsid w:val="00DD2AF1"/>
    <w:rsid w:val="00DD46DA"/>
    <w:rsid w:val="00DD6072"/>
    <w:rsid w:val="00DD62BE"/>
    <w:rsid w:val="00DD77D9"/>
    <w:rsid w:val="00DD7CA4"/>
    <w:rsid w:val="00DE00E1"/>
    <w:rsid w:val="00DE167C"/>
    <w:rsid w:val="00DE1691"/>
    <w:rsid w:val="00DE3B70"/>
    <w:rsid w:val="00DE5813"/>
    <w:rsid w:val="00DE5AD9"/>
    <w:rsid w:val="00DE76E5"/>
    <w:rsid w:val="00DF1FDA"/>
    <w:rsid w:val="00DF3DD0"/>
    <w:rsid w:val="00DF4D50"/>
    <w:rsid w:val="00DF538C"/>
    <w:rsid w:val="00E02021"/>
    <w:rsid w:val="00E021C2"/>
    <w:rsid w:val="00E024A3"/>
    <w:rsid w:val="00E03DF3"/>
    <w:rsid w:val="00E0423D"/>
    <w:rsid w:val="00E057B5"/>
    <w:rsid w:val="00E0581E"/>
    <w:rsid w:val="00E079C5"/>
    <w:rsid w:val="00E07CBD"/>
    <w:rsid w:val="00E07F56"/>
    <w:rsid w:val="00E1040E"/>
    <w:rsid w:val="00E1112F"/>
    <w:rsid w:val="00E12F84"/>
    <w:rsid w:val="00E13177"/>
    <w:rsid w:val="00E1318F"/>
    <w:rsid w:val="00E13B3B"/>
    <w:rsid w:val="00E13E29"/>
    <w:rsid w:val="00E16857"/>
    <w:rsid w:val="00E20651"/>
    <w:rsid w:val="00E2107C"/>
    <w:rsid w:val="00E21E70"/>
    <w:rsid w:val="00E22406"/>
    <w:rsid w:val="00E224DE"/>
    <w:rsid w:val="00E23DCE"/>
    <w:rsid w:val="00E26363"/>
    <w:rsid w:val="00E272A4"/>
    <w:rsid w:val="00E305F9"/>
    <w:rsid w:val="00E306AC"/>
    <w:rsid w:val="00E331BD"/>
    <w:rsid w:val="00E34446"/>
    <w:rsid w:val="00E3633B"/>
    <w:rsid w:val="00E36870"/>
    <w:rsid w:val="00E374E1"/>
    <w:rsid w:val="00E417AB"/>
    <w:rsid w:val="00E43D48"/>
    <w:rsid w:val="00E4542D"/>
    <w:rsid w:val="00E45BE0"/>
    <w:rsid w:val="00E46CAD"/>
    <w:rsid w:val="00E47521"/>
    <w:rsid w:val="00E4760C"/>
    <w:rsid w:val="00E507A6"/>
    <w:rsid w:val="00E561AD"/>
    <w:rsid w:val="00E56962"/>
    <w:rsid w:val="00E57FAF"/>
    <w:rsid w:val="00E60BA9"/>
    <w:rsid w:val="00E61510"/>
    <w:rsid w:val="00E634EA"/>
    <w:rsid w:val="00E63510"/>
    <w:rsid w:val="00E635EA"/>
    <w:rsid w:val="00E655E5"/>
    <w:rsid w:val="00E65F4E"/>
    <w:rsid w:val="00E662E0"/>
    <w:rsid w:val="00E71C7A"/>
    <w:rsid w:val="00E73119"/>
    <w:rsid w:val="00E73E1E"/>
    <w:rsid w:val="00E741C7"/>
    <w:rsid w:val="00E767FF"/>
    <w:rsid w:val="00E80C59"/>
    <w:rsid w:val="00E84C91"/>
    <w:rsid w:val="00E854DD"/>
    <w:rsid w:val="00E8556E"/>
    <w:rsid w:val="00E86B2D"/>
    <w:rsid w:val="00E86F4D"/>
    <w:rsid w:val="00E87D08"/>
    <w:rsid w:val="00E90D0E"/>
    <w:rsid w:val="00E91182"/>
    <w:rsid w:val="00E91421"/>
    <w:rsid w:val="00E91B2D"/>
    <w:rsid w:val="00E92FCA"/>
    <w:rsid w:val="00E95CAA"/>
    <w:rsid w:val="00EA0A39"/>
    <w:rsid w:val="00EA0EB2"/>
    <w:rsid w:val="00EA236F"/>
    <w:rsid w:val="00EA3023"/>
    <w:rsid w:val="00EA3E49"/>
    <w:rsid w:val="00EA3FC8"/>
    <w:rsid w:val="00EB0DC9"/>
    <w:rsid w:val="00EB240B"/>
    <w:rsid w:val="00EB252D"/>
    <w:rsid w:val="00EB28D9"/>
    <w:rsid w:val="00EB29FA"/>
    <w:rsid w:val="00EB2CCE"/>
    <w:rsid w:val="00EB385F"/>
    <w:rsid w:val="00EB3E49"/>
    <w:rsid w:val="00EB5FC3"/>
    <w:rsid w:val="00EB6DA9"/>
    <w:rsid w:val="00EB71D7"/>
    <w:rsid w:val="00EC1561"/>
    <w:rsid w:val="00EC462E"/>
    <w:rsid w:val="00EC6CD8"/>
    <w:rsid w:val="00EC786F"/>
    <w:rsid w:val="00ED1866"/>
    <w:rsid w:val="00ED3134"/>
    <w:rsid w:val="00ED38E2"/>
    <w:rsid w:val="00ED5C44"/>
    <w:rsid w:val="00ED635B"/>
    <w:rsid w:val="00EF0A22"/>
    <w:rsid w:val="00EF1267"/>
    <w:rsid w:val="00EF180C"/>
    <w:rsid w:val="00EF3B6B"/>
    <w:rsid w:val="00EF4B43"/>
    <w:rsid w:val="00EF6750"/>
    <w:rsid w:val="00EF770B"/>
    <w:rsid w:val="00F02FB5"/>
    <w:rsid w:val="00F03889"/>
    <w:rsid w:val="00F05C30"/>
    <w:rsid w:val="00F069F0"/>
    <w:rsid w:val="00F10E8E"/>
    <w:rsid w:val="00F10F1B"/>
    <w:rsid w:val="00F14179"/>
    <w:rsid w:val="00F15786"/>
    <w:rsid w:val="00F167C5"/>
    <w:rsid w:val="00F20B5A"/>
    <w:rsid w:val="00F21F0B"/>
    <w:rsid w:val="00F236AB"/>
    <w:rsid w:val="00F24EA4"/>
    <w:rsid w:val="00F25215"/>
    <w:rsid w:val="00F2574E"/>
    <w:rsid w:val="00F26970"/>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30B3"/>
    <w:rsid w:val="00F43DAE"/>
    <w:rsid w:val="00F44CC0"/>
    <w:rsid w:val="00F450BA"/>
    <w:rsid w:val="00F4684B"/>
    <w:rsid w:val="00F46BE9"/>
    <w:rsid w:val="00F47C3B"/>
    <w:rsid w:val="00F506CA"/>
    <w:rsid w:val="00F53A7A"/>
    <w:rsid w:val="00F53BD8"/>
    <w:rsid w:val="00F54FCD"/>
    <w:rsid w:val="00F5785C"/>
    <w:rsid w:val="00F67076"/>
    <w:rsid w:val="00F677FA"/>
    <w:rsid w:val="00F7115A"/>
    <w:rsid w:val="00F717AA"/>
    <w:rsid w:val="00F72714"/>
    <w:rsid w:val="00F744C3"/>
    <w:rsid w:val="00F75EE2"/>
    <w:rsid w:val="00F75F69"/>
    <w:rsid w:val="00F779D3"/>
    <w:rsid w:val="00F802D3"/>
    <w:rsid w:val="00F80F94"/>
    <w:rsid w:val="00F81BA2"/>
    <w:rsid w:val="00F8412F"/>
    <w:rsid w:val="00F84791"/>
    <w:rsid w:val="00F85995"/>
    <w:rsid w:val="00F85FC5"/>
    <w:rsid w:val="00F86C22"/>
    <w:rsid w:val="00F90CB3"/>
    <w:rsid w:val="00F912A2"/>
    <w:rsid w:val="00F913A3"/>
    <w:rsid w:val="00F925C3"/>
    <w:rsid w:val="00F950CE"/>
    <w:rsid w:val="00FA0109"/>
    <w:rsid w:val="00FA3EFC"/>
    <w:rsid w:val="00FA458B"/>
    <w:rsid w:val="00FA458E"/>
    <w:rsid w:val="00FA5EC5"/>
    <w:rsid w:val="00FA7016"/>
    <w:rsid w:val="00FA793D"/>
    <w:rsid w:val="00FB020E"/>
    <w:rsid w:val="00FB4B9D"/>
    <w:rsid w:val="00FB50ED"/>
    <w:rsid w:val="00FC144B"/>
    <w:rsid w:val="00FC2169"/>
    <w:rsid w:val="00FC28E2"/>
    <w:rsid w:val="00FC3BF6"/>
    <w:rsid w:val="00FC3D22"/>
    <w:rsid w:val="00FC5C7F"/>
    <w:rsid w:val="00FC6FE1"/>
    <w:rsid w:val="00FD2F6B"/>
    <w:rsid w:val="00FD566B"/>
    <w:rsid w:val="00FE064A"/>
    <w:rsid w:val="00FE0B55"/>
    <w:rsid w:val="00FE1E98"/>
    <w:rsid w:val="00FE2452"/>
    <w:rsid w:val="00FE5469"/>
    <w:rsid w:val="00FE66C2"/>
    <w:rsid w:val="00FE684A"/>
    <w:rsid w:val="00FE6F23"/>
    <w:rsid w:val="00FF0F8C"/>
    <w:rsid w:val="00FF408B"/>
    <w:rsid w:val="00FF43E1"/>
    <w:rsid w:val="01E16E78"/>
    <w:rsid w:val="032A4C70"/>
    <w:rsid w:val="03430854"/>
    <w:rsid w:val="039F5FA6"/>
    <w:rsid w:val="03BC28A9"/>
    <w:rsid w:val="043D09D3"/>
    <w:rsid w:val="0483659C"/>
    <w:rsid w:val="060C4A08"/>
    <w:rsid w:val="06187AC3"/>
    <w:rsid w:val="06856661"/>
    <w:rsid w:val="06A72A7B"/>
    <w:rsid w:val="075A1B09"/>
    <w:rsid w:val="08D74823"/>
    <w:rsid w:val="092E1232"/>
    <w:rsid w:val="09305ADA"/>
    <w:rsid w:val="0A241D03"/>
    <w:rsid w:val="0A805ABD"/>
    <w:rsid w:val="0AF737B9"/>
    <w:rsid w:val="0B554854"/>
    <w:rsid w:val="0B995F0B"/>
    <w:rsid w:val="0D1D75F3"/>
    <w:rsid w:val="0D240982"/>
    <w:rsid w:val="0D6276FC"/>
    <w:rsid w:val="0D960005"/>
    <w:rsid w:val="0DE63E89"/>
    <w:rsid w:val="0E8013B7"/>
    <w:rsid w:val="0E972A91"/>
    <w:rsid w:val="0F0C3DC3"/>
    <w:rsid w:val="0F873F4C"/>
    <w:rsid w:val="0FDC19E8"/>
    <w:rsid w:val="10B65D95"/>
    <w:rsid w:val="10D604C6"/>
    <w:rsid w:val="11423ACC"/>
    <w:rsid w:val="11B515E0"/>
    <w:rsid w:val="11C40985"/>
    <w:rsid w:val="13372555"/>
    <w:rsid w:val="137D0DEC"/>
    <w:rsid w:val="13A53267"/>
    <w:rsid w:val="13F970D2"/>
    <w:rsid w:val="14A4037E"/>
    <w:rsid w:val="14AA4136"/>
    <w:rsid w:val="150C1657"/>
    <w:rsid w:val="15DE50D3"/>
    <w:rsid w:val="15E21042"/>
    <w:rsid w:val="163A420B"/>
    <w:rsid w:val="16A668AC"/>
    <w:rsid w:val="18CF0AF0"/>
    <w:rsid w:val="18E41F63"/>
    <w:rsid w:val="19413B26"/>
    <w:rsid w:val="19CF1C75"/>
    <w:rsid w:val="1A475CB0"/>
    <w:rsid w:val="1A5403CD"/>
    <w:rsid w:val="1A5F124B"/>
    <w:rsid w:val="1A7C004F"/>
    <w:rsid w:val="1B114145"/>
    <w:rsid w:val="1B4243C8"/>
    <w:rsid w:val="1C6D3688"/>
    <w:rsid w:val="1CC63D0A"/>
    <w:rsid w:val="1D305121"/>
    <w:rsid w:val="1DC2081A"/>
    <w:rsid w:val="1DD94266"/>
    <w:rsid w:val="1E58492F"/>
    <w:rsid w:val="1F5C044F"/>
    <w:rsid w:val="1F9D0947"/>
    <w:rsid w:val="1FFB29C6"/>
    <w:rsid w:val="211662D4"/>
    <w:rsid w:val="21BB0269"/>
    <w:rsid w:val="21F04116"/>
    <w:rsid w:val="220638B7"/>
    <w:rsid w:val="22AF3620"/>
    <w:rsid w:val="22C27B1A"/>
    <w:rsid w:val="22C34341"/>
    <w:rsid w:val="22C87961"/>
    <w:rsid w:val="22E70AD4"/>
    <w:rsid w:val="23BF2D5B"/>
    <w:rsid w:val="23E774A0"/>
    <w:rsid w:val="23E96EBD"/>
    <w:rsid w:val="24F1508D"/>
    <w:rsid w:val="25C61616"/>
    <w:rsid w:val="26435EC5"/>
    <w:rsid w:val="266F634F"/>
    <w:rsid w:val="2670658E"/>
    <w:rsid w:val="270A409B"/>
    <w:rsid w:val="27BB7CDD"/>
    <w:rsid w:val="27D8088F"/>
    <w:rsid w:val="28B22E8E"/>
    <w:rsid w:val="291059EA"/>
    <w:rsid w:val="2970477C"/>
    <w:rsid w:val="2A1B7B5C"/>
    <w:rsid w:val="2A2D66E1"/>
    <w:rsid w:val="2B4C1378"/>
    <w:rsid w:val="2B9D7E8C"/>
    <w:rsid w:val="2BAA0C5D"/>
    <w:rsid w:val="2BBF12EC"/>
    <w:rsid w:val="2BC649D9"/>
    <w:rsid w:val="2CFB8323"/>
    <w:rsid w:val="2DDD70EF"/>
    <w:rsid w:val="2E41718E"/>
    <w:rsid w:val="2F13711A"/>
    <w:rsid w:val="2FD56A42"/>
    <w:rsid w:val="306C3A94"/>
    <w:rsid w:val="30B023A9"/>
    <w:rsid w:val="30BA4D13"/>
    <w:rsid w:val="31592FA4"/>
    <w:rsid w:val="3201127A"/>
    <w:rsid w:val="32764F2C"/>
    <w:rsid w:val="3293788C"/>
    <w:rsid w:val="32B67A1F"/>
    <w:rsid w:val="333B41A8"/>
    <w:rsid w:val="33BF2903"/>
    <w:rsid w:val="342777A6"/>
    <w:rsid w:val="345656F9"/>
    <w:rsid w:val="34B91120"/>
    <w:rsid w:val="3515160D"/>
    <w:rsid w:val="354237EC"/>
    <w:rsid w:val="35D46B3A"/>
    <w:rsid w:val="35FB40C6"/>
    <w:rsid w:val="36390972"/>
    <w:rsid w:val="36572D75"/>
    <w:rsid w:val="36AA33F6"/>
    <w:rsid w:val="38033DD0"/>
    <w:rsid w:val="382673F4"/>
    <w:rsid w:val="38A464F9"/>
    <w:rsid w:val="3A0B7BF9"/>
    <w:rsid w:val="3ABD673B"/>
    <w:rsid w:val="3B8701AA"/>
    <w:rsid w:val="3C7D00D8"/>
    <w:rsid w:val="3CA06C0C"/>
    <w:rsid w:val="3D0F66A9"/>
    <w:rsid w:val="3E656CD5"/>
    <w:rsid w:val="3EA25851"/>
    <w:rsid w:val="3F6C3757"/>
    <w:rsid w:val="3F711179"/>
    <w:rsid w:val="3FCBD473"/>
    <w:rsid w:val="405D6A10"/>
    <w:rsid w:val="40C272CB"/>
    <w:rsid w:val="41DA6594"/>
    <w:rsid w:val="421B5695"/>
    <w:rsid w:val="4295347D"/>
    <w:rsid w:val="43273986"/>
    <w:rsid w:val="435F3A5D"/>
    <w:rsid w:val="43603D96"/>
    <w:rsid w:val="43617533"/>
    <w:rsid w:val="444C1A75"/>
    <w:rsid w:val="44A3526F"/>
    <w:rsid w:val="44B032F4"/>
    <w:rsid w:val="44C4421D"/>
    <w:rsid w:val="44CF6474"/>
    <w:rsid w:val="453F180C"/>
    <w:rsid w:val="457D25F7"/>
    <w:rsid w:val="462C3E28"/>
    <w:rsid w:val="468341CD"/>
    <w:rsid w:val="46E30F23"/>
    <w:rsid w:val="472C2589"/>
    <w:rsid w:val="48236FDA"/>
    <w:rsid w:val="48565279"/>
    <w:rsid w:val="48CB6D82"/>
    <w:rsid w:val="49605D03"/>
    <w:rsid w:val="49F20EE5"/>
    <w:rsid w:val="4A5F34B8"/>
    <w:rsid w:val="4A760AEB"/>
    <w:rsid w:val="4AA77F21"/>
    <w:rsid w:val="4AE0280A"/>
    <w:rsid w:val="4B11098D"/>
    <w:rsid w:val="4B6776B0"/>
    <w:rsid w:val="4B771FE9"/>
    <w:rsid w:val="4BAB57EF"/>
    <w:rsid w:val="4C8049A8"/>
    <w:rsid w:val="4CF907DC"/>
    <w:rsid w:val="4D1437FB"/>
    <w:rsid w:val="4D5D0D6B"/>
    <w:rsid w:val="4DC86B2C"/>
    <w:rsid w:val="4E6960F7"/>
    <w:rsid w:val="4E7A0457"/>
    <w:rsid w:val="4EBB043F"/>
    <w:rsid w:val="4EF70956"/>
    <w:rsid w:val="4F3162CA"/>
    <w:rsid w:val="4FBF1C15"/>
    <w:rsid w:val="50A30B5D"/>
    <w:rsid w:val="50D95873"/>
    <w:rsid w:val="513B747B"/>
    <w:rsid w:val="51785239"/>
    <w:rsid w:val="51E056D3"/>
    <w:rsid w:val="526102AF"/>
    <w:rsid w:val="52780242"/>
    <w:rsid w:val="528444DA"/>
    <w:rsid w:val="537745D5"/>
    <w:rsid w:val="53D83AAD"/>
    <w:rsid w:val="53EB5322"/>
    <w:rsid w:val="53FA74D7"/>
    <w:rsid w:val="552306F6"/>
    <w:rsid w:val="55833339"/>
    <w:rsid w:val="55C46AD5"/>
    <w:rsid w:val="56E352D5"/>
    <w:rsid w:val="57926765"/>
    <w:rsid w:val="57B10631"/>
    <w:rsid w:val="57E376A4"/>
    <w:rsid w:val="57E435FE"/>
    <w:rsid w:val="582D0655"/>
    <w:rsid w:val="58BA29F7"/>
    <w:rsid w:val="5951205C"/>
    <w:rsid w:val="59D079E8"/>
    <w:rsid w:val="59D40847"/>
    <w:rsid w:val="5A400E1C"/>
    <w:rsid w:val="5AE37F25"/>
    <w:rsid w:val="5B461090"/>
    <w:rsid w:val="5B780C82"/>
    <w:rsid w:val="5CB23D47"/>
    <w:rsid w:val="5DAA3B58"/>
    <w:rsid w:val="5DD14B99"/>
    <w:rsid w:val="5E2F3D92"/>
    <w:rsid w:val="5E734C2C"/>
    <w:rsid w:val="5FAF09C4"/>
    <w:rsid w:val="5FE71F72"/>
    <w:rsid w:val="608C4642"/>
    <w:rsid w:val="60D34166"/>
    <w:rsid w:val="611A0CDF"/>
    <w:rsid w:val="614E5143"/>
    <w:rsid w:val="62735014"/>
    <w:rsid w:val="62795572"/>
    <w:rsid w:val="64DD6417"/>
    <w:rsid w:val="6584589E"/>
    <w:rsid w:val="66004745"/>
    <w:rsid w:val="666A3713"/>
    <w:rsid w:val="669453A6"/>
    <w:rsid w:val="670345FE"/>
    <w:rsid w:val="67B80B20"/>
    <w:rsid w:val="67BA0E3C"/>
    <w:rsid w:val="67C65297"/>
    <w:rsid w:val="67E76A69"/>
    <w:rsid w:val="67F53F6A"/>
    <w:rsid w:val="68577B6F"/>
    <w:rsid w:val="68833D84"/>
    <w:rsid w:val="6885146E"/>
    <w:rsid w:val="69392234"/>
    <w:rsid w:val="6A567F20"/>
    <w:rsid w:val="6A617C95"/>
    <w:rsid w:val="6AD6672B"/>
    <w:rsid w:val="6B180C70"/>
    <w:rsid w:val="6BD43154"/>
    <w:rsid w:val="6C0B6E8A"/>
    <w:rsid w:val="6CC92DFA"/>
    <w:rsid w:val="6CD97953"/>
    <w:rsid w:val="6D6313D2"/>
    <w:rsid w:val="6DCB4FF7"/>
    <w:rsid w:val="6E011E1E"/>
    <w:rsid w:val="6E1312A6"/>
    <w:rsid w:val="6E565586"/>
    <w:rsid w:val="6ED30FD7"/>
    <w:rsid w:val="6EF42FCC"/>
    <w:rsid w:val="6F674E23"/>
    <w:rsid w:val="709A5CAE"/>
    <w:rsid w:val="70DA399B"/>
    <w:rsid w:val="7109105D"/>
    <w:rsid w:val="719C0DCB"/>
    <w:rsid w:val="720A29C0"/>
    <w:rsid w:val="72760055"/>
    <w:rsid w:val="727D13E4"/>
    <w:rsid w:val="727D78FD"/>
    <w:rsid w:val="7295497F"/>
    <w:rsid w:val="72BB015E"/>
    <w:rsid w:val="736866A0"/>
    <w:rsid w:val="73CC655F"/>
    <w:rsid w:val="74000B36"/>
    <w:rsid w:val="74597C2E"/>
    <w:rsid w:val="74746FC3"/>
    <w:rsid w:val="748525F3"/>
    <w:rsid w:val="748527D2"/>
    <w:rsid w:val="74F82F51"/>
    <w:rsid w:val="75596138"/>
    <w:rsid w:val="75957445"/>
    <w:rsid w:val="75D01AE1"/>
    <w:rsid w:val="76752701"/>
    <w:rsid w:val="76B70CBD"/>
    <w:rsid w:val="76BA0E58"/>
    <w:rsid w:val="76CC35CE"/>
    <w:rsid w:val="77524363"/>
    <w:rsid w:val="778154D2"/>
    <w:rsid w:val="77B917B5"/>
    <w:rsid w:val="77C27899"/>
    <w:rsid w:val="78056103"/>
    <w:rsid w:val="78703975"/>
    <w:rsid w:val="794F33AE"/>
    <w:rsid w:val="79BB187B"/>
    <w:rsid w:val="7AB160CE"/>
    <w:rsid w:val="7BD61B65"/>
    <w:rsid w:val="7BDE10E2"/>
    <w:rsid w:val="7BE420FD"/>
    <w:rsid w:val="7C611D76"/>
    <w:rsid w:val="7C991510"/>
    <w:rsid w:val="7C9A1813"/>
    <w:rsid w:val="7CAE62A4"/>
    <w:rsid w:val="7CF70ADB"/>
    <w:rsid w:val="7D0D296B"/>
    <w:rsid w:val="7D3EF735"/>
    <w:rsid w:val="7D4E0B54"/>
    <w:rsid w:val="7D503E78"/>
    <w:rsid w:val="7DDE1E87"/>
    <w:rsid w:val="7DFDF087"/>
    <w:rsid w:val="7E0160D4"/>
    <w:rsid w:val="7E054ABD"/>
    <w:rsid w:val="7E5C6F3C"/>
    <w:rsid w:val="7E7062A0"/>
    <w:rsid w:val="7EC65C73"/>
    <w:rsid w:val="7EDB5FC9"/>
    <w:rsid w:val="7F3602D3"/>
    <w:rsid w:val="7FBC2E67"/>
    <w:rsid w:val="B3F4A958"/>
    <w:rsid w:val="DFBD696A"/>
    <w:rsid w:val="F9F847EC"/>
    <w:rsid w:val="FFFAC4F6"/>
    <w:rsid w:val="FFFF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left="0" w:firstLine="0" w:firstLineChars="0"/>
      <w:outlineLvl w:val="2"/>
    </w:pPr>
    <w:rPr>
      <w:b/>
      <w:bCs/>
      <w:sz w:val="28"/>
      <w:szCs w:val="28"/>
    </w:rPr>
  </w:style>
  <w:style w:type="paragraph" w:styleId="5">
    <w:name w:val="heading 4"/>
    <w:basedOn w:val="1"/>
    <w:next w:val="1"/>
    <w:link w:val="58"/>
    <w:qFormat/>
    <w:uiPriority w:val="0"/>
    <w:pPr>
      <w:keepNext/>
      <w:keepLines/>
      <w:spacing w:before="120" w:after="120"/>
      <w:ind w:firstLine="0" w:firstLineChars="0"/>
      <w:outlineLvl w:val="3"/>
    </w:pPr>
    <w:rPr>
      <w:b/>
      <w:bCs/>
      <w:sz w:val="30"/>
      <w:szCs w:val="30"/>
    </w:rPr>
  </w:style>
  <w:style w:type="paragraph" w:styleId="6">
    <w:name w:val="heading 5"/>
    <w:basedOn w:val="1"/>
    <w:next w:val="1"/>
    <w:link w:val="86"/>
    <w:qFormat/>
    <w:uiPriority w:val="0"/>
    <w:pPr>
      <w:keepNext/>
      <w:keepLines/>
      <w:spacing w:before="120" w:after="120"/>
      <w:ind w:firstLine="0" w:firstLineChars="0"/>
      <w:outlineLvl w:val="4"/>
    </w:pPr>
    <w:rPr>
      <w:b/>
      <w:bCs/>
      <w:szCs w:val="28"/>
    </w:rPr>
  </w:style>
  <w:style w:type="paragraph" w:styleId="7">
    <w:name w:val="heading 6"/>
    <w:basedOn w:val="1"/>
    <w:next w:val="1"/>
    <w:link w:val="99"/>
    <w:qFormat/>
    <w:uiPriority w:val="0"/>
    <w:pPr>
      <w:keepNext/>
      <w:keepLines/>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semiHidden/>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after="160"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spacing w:after="160" w:line="278" w:lineRule="auto"/>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spacing w:after="160" w:line="278" w:lineRule="auto"/>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pPr>
      <w:spacing w:after="160" w:line="278" w:lineRule="auto"/>
    </w:pPr>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after="160"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paragraph" w:customStyle="1" w:styleId="133">
    <w:name w:val="B-表正文"/>
    <w:qFormat/>
    <w:uiPriority w:val="0"/>
    <w:pPr>
      <w:spacing w:after="160" w:line="278" w:lineRule="auto"/>
    </w:pPr>
    <w:rPr>
      <w:rFonts w:ascii="Times New Roman" w:hAnsi="Times New Roman" w:eastAsia="仿宋" w:cstheme="minorBidi"/>
      <w:kern w:val="2"/>
      <w:sz w:val="21"/>
      <w:szCs w:val="24"/>
      <w:lang w:val="en-US" w:eastAsia="zh-CN" w:bidi="ar-SA"/>
    </w:rPr>
  </w:style>
  <w:style w:type="paragraph" w:customStyle="1" w:styleId="134">
    <w:name w:val="列出段落1"/>
    <w:basedOn w:val="1"/>
    <w:qFormat/>
    <w:uiPriority w:val="34"/>
    <w:pPr>
      <w:spacing w:after="0" w:line="240" w:lineRule="auto"/>
      <w:ind w:firstLine="420"/>
    </w:pPr>
    <w:rPr>
      <w:rFonts w:ascii="Calibri" w:hAnsi="Calibri"/>
      <w:sz w:val="21"/>
      <w:szCs w:val="22"/>
    </w:rPr>
  </w:style>
  <w:style w:type="paragraph" w:customStyle="1" w:styleId="135">
    <w:name w:val="修订2"/>
    <w:hidden/>
    <w:unhideWhenUsed/>
    <w:qFormat/>
    <w:uiPriority w:val="99"/>
    <w:rPr>
      <w:rFonts w:ascii="宋体" w:hAnsi="宋体" w:eastAsia="宋体" w:cs="Times New Roman"/>
      <w:kern w:val="2"/>
      <w:sz w:val="24"/>
      <w:szCs w:val="24"/>
      <w:lang w:val="en-US" w:eastAsia="zh-CN" w:bidi="ar-SA"/>
    </w:rPr>
  </w:style>
  <w:style w:type="paragraph" w:customStyle="1" w:styleId="136">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B68FBD7-E534-4E16-ACBA-78900BD20EC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56</Pages>
  <Words>18004</Words>
  <Characters>18545</Characters>
  <Lines>1854</Lines>
  <Paragraphs>1589</Paragraphs>
  <TotalTime>36</TotalTime>
  <ScaleCrop>false</ScaleCrop>
  <LinksUpToDate>false</LinksUpToDate>
  <CharactersWithSpaces>34960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2025-10-14T21:45:00Z</dcterms:created>
  <dc:creator>gtig_tzb</dc:creator>
  <cp:lastModifiedBy>高际航</cp:lastModifiedBy>
  <cp:lastPrinted>2020-08-07T12:08:00Z</cp:lastPrinted>
  <dcterms:modified xsi:type="dcterms:W3CDTF">2025-10-15T09:00:24Z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eyJoZGlkIjoiYjMyNTYyYjgwMDY3YmVmMzgwZDA1NTkxMDc0NjBhMTEiLCJ1c2VySWQiOiIyNDk3Mjg5NDQifQ==</vt:lpwstr>
  </property>
  <property fmtid="{D5CDD505-2E9C-101B-9397-08002B2CF9AE}" pid="4" name="ICV">
    <vt:lpwstr>14C8E63B86E0AD7A01F1EE68A25F79BE_43</vt:lpwstr>
  </property>
</Properties>
</file>