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35A932">
      <w:pPr>
        <w:ind w:firstLine="0" w:firstLineChars="0"/>
        <w:jc w:val="center"/>
        <w:rPr>
          <w:rFonts w:hint="eastAsia" w:ascii="黑体" w:hAnsi="黑体" w:eastAsia="黑体"/>
          <w:color w:val="auto"/>
          <w:sz w:val="48"/>
          <w:szCs w:val="48"/>
        </w:rPr>
      </w:pPr>
    </w:p>
    <w:p w14:paraId="454010F1">
      <w:pPr>
        <w:ind w:firstLine="0" w:firstLineChars="0"/>
        <w:jc w:val="center"/>
        <w:rPr>
          <w:rFonts w:hint="eastAsia" w:ascii="黑体" w:hAnsi="黑体" w:eastAsia="黑体"/>
          <w:color w:val="auto"/>
          <w:sz w:val="48"/>
          <w:szCs w:val="48"/>
        </w:rPr>
      </w:pPr>
    </w:p>
    <w:p w14:paraId="7EE7FEF9">
      <w:pPr>
        <w:ind w:firstLine="0" w:firstLineChars="0"/>
        <w:jc w:val="center"/>
        <w:rPr>
          <w:rFonts w:hint="eastAsia" w:ascii="黑体" w:hAnsi="黑体" w:eastAsia="黑体"/>
          <w:color w:val="auto"/>
          <w:sz w:val="52"/>
          <w:szCs w:val="52"/>
        </w:rPr>
      </w:pPr>
      <w:r>
        <w:rPr>
          <w:rFonts w:hint="eastAsia" w:ascii="黑体" w:hAnsi="黑体" w:eastAsia="黑体"/>
          <w:color w:val="auto"/>
          <w:sz w:val="52"/>
          <w:szCs w:val="52"/>
        </w:rPr>
        <w:t>市场监管数字化大系统</w:t>
      </w:r>
      <w:bookmarkStart w:id="48" w:name="_GoBack"/>
      <w:bookmarkEnd w:id="48"/>
    </w:p>
    <w:p w14:paraId="1D119826">
      <w:pPr>
        <w:ind w:firstLine="0" w:firstLineChars="0"/>
        <w:jc w:val="center"/>
        <w:rPr>
          <w:rFonts w:hint="eastAsia" w:ascii="黑体" w:hAnsi="黑体" w:eastAsia="黑体"/>
          <w:color w:val="auto"/>
          <w:sz w:val="52"/>
          <w:szCs w:val="52"/>
        </w:rPr>
      </w:pPr>
      <w:r>
        <w:rPr>
          <w:rFonts w:hint="eastAsia" w:ascii="黑体" w:hAnsi="黑体" w:eastAsia="黑体"/>
          <w:color w:val="auto"/>
          <w:sz w:val="52"/>
          <w:szCs w:val="52"/>
        </w:rPr>
        <w:t>（2025年升级改造）</w:t>
      </w:r>
    </w:p>
    <w:p w14:paraId="72B921DE">
      <w:pPr>
        <w:ind w:firstLine="0" w:firstLineChars="0"/>
        <w:jc w:val="center"/>
        <w:rPr>
          <w:rFonts w:hint="eastAsia" w:ascii="黑体" w:hAnsi="黑体" w:eastAsia="黑体"/>
          <w:color w:val="auto"/>
          <w:sz w:val="52"/>
          <w:szCs w:val="52"/>
        </w:rPr>
      </w:pPr>
      <w:r>
        <w:rPr>
          <w:rFonts w:hint="eastAsia" w:ascii="黑体" w:hAnsi="黑体" w:eastAsia="黑体"/>
          <w:color w:val="auto"/>
          <w:sz w:val="52"/>
          <w:szCs w:val="52"/>
        </w:rPr>
        <w:t>项目采购需求</w:t>
      </w:r>
    </w:p>
    <w:p w14:paraId="0C2D057F">
      <w:pPr>
        <w:ind w:firstLine="0" w:firstLineChars="0"/>
        <w:jc w:val="center"/>
        <w:rPr>
          <w:rFonts w:hint="eastAsia" w:ascii="黑体" w:hAnsi="黑体" w:eastAsia="黑体"/>
          <w:color w:val="auto"/>
          <w:sz w:val="72"/>
          <w:szCs w:val="72"/>
        </w:rPr>
      </w:pPr>
    </w:p>
    <w:p w14:paraId="44FEDB56">
      <w:pPr>
        <w:ind w:firstLine="0" w:firstLineChars="0"/>
        <w:jc w:val="center"/>
        <w:rPr>
          <w:rFonts w:hint="eastAsia" w:ascii="黑体" w:hAnsi="黑体" w:eastAsia="黑体"/>
          <w:color w:val="auto"/>
          <w:sz w:val="48"/>
          <w:szCs w:val="48"/>
        </w:rPr>
      </w:pPr>
    </w:p>
    <w:p w14:paraId="0424495B">
      <w:pPr>
        <w:ind w:firstLine="0" w:firstLineChars="0"/>
        <w:jc w:val="center"/>
        <w:rPr>
          <w:rFonts w:hint="eastAsia" w:ascii="黑体" w:hAnsi="黑体" w:eastAsia="黑体"/>
          <w:color w:val="auto"/>
          <w:sz w:val="52"/>
          <w:szCs w:val="52"/>
        </w:rPr>
      </w:pPr>
    </w:p>
    <w:p w14:paraId="53426AC3">
      <w:pPr>
        <w:ind w:firstLine="1040"/>
        <w:rPr>
          <w:rFonts w:hint="eastAsia" w:ascii="黑体" w:hAnsi="黑体" w:eastAsia="黑体"/>
          <w:color w:val="auto"/>
          <w:sz w:val="52"/>
          <w:szCs w:val="52"/>
        </w:rPr>
      </w:pPr>
    </w:p>
    <w:p w14:paraId="6871BC25">
      <w:pPr>
        <w:rPr>
          <w:rFonts w:hint="eastAsia"/>
          <w:color w:val="auto"/>
        </w:rPr>
      </w:pPr>
    </w:p>
    <w:p w14:paraId="0B327F1A">
      <w:pPr>
        <w:rPr>
          <w:rFonts w:hint="eastAsia"/>
          <w:color w:val="auto"/>
        </w:rPr>
      </w:pPr>
    </w:p>
    <w:p w14:paraId="4C0FB94A">
      <w:pPr>
        <w:rPr>
          <w:rFonts w:hint="eastAsia"/>
          <w:color w:val="auto"/>
        </w:rPr>
      </w:pPr>
    </w:p>
    <w:p w14:paraId="7E5F1882">
      <w:pPr>
        <w:rPr>
          <w:rFonts w:hint="eastAsia"/>
          <w:color w:val="auto"/>
        </w:rPr>
      </w:pPr>
    </w:p>
    <w:p w14:paraId="4B1E6DC5">
      <w:pPr>
        <w:rPr>
          <w:rFonts w:hint="eastAsia"/>
          <w:color w:val="auto"/>
        </w:rPr>
      </w:pPr>
    </w:p>
    <w:p w14:paraId="2853A94D">
      <w:pPr>
        <w:ind w:firstLine="1040"/>
        <w:rPr>
          <w:rFonts w:hint="eastAsia" w:ascii="黑体" w:hAnsi="黑体" w:eastAsia="黑体"/>
          <w:color w:val="auto"/>
          <w:sz w:val="52"/>
          <w:szCs w:val="52"/>
        </w:rPr>
      </w:pPr>
    </w:p>
    <w:p w14:paraId="44FE2A05">
      <w:pPr>
        <w:jc w:val="center"/>
        <w:rPr>
          <w:rFonts w:hint="eastAsia"/>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492FC7D5">
      <w:pPr>
        <w:pStyle w:val="2"/>
        <w:rPr>
          <w:rFonts w:hint="eastAsia"/>
          <w:color w:val="auto"/>
        </w:rPr>
      </w:pPr>
      <w:bookmarkStart w:id="0" w:name="_Toc63785461"/>
      <w:r>
        <w:rPr>
          <w:rFonts w:hint="eastAsia"/>
          <w:color w:val="auto"/>
        </w:rPr>
        <w:t>项目概况</w:t>
      </w:r>
      <w:bookmarkEnd w:id="0"/>
    </w:p>
    <w:p w14:paraId="7924E385">
      <w:pPr>
        <w:pStyle w:val="3"/>
        <w:rPr>
          <w:rFonts w:hint="eastAsia"/>
          <w:color w:val="auto"/>
        </w:rPr>
      </w:pPr>
      <w:r>
        <w:rPr>
          <w:rFonts w:hint="eastAsia"/>
          <w:color w:val="auto"/>
        </w:rPr>
        <w:t>项目背景</w:t>
      </w:r>
    </w:p>
    <w:p w14:paraId="08703419">
      <w:pPr>
        <w:spacing w:line="560" w:lineRule="exact"/>
        <w:rPr>
          <w:rFonts w:hint="eastAsia"/>
          <w:color w:val="auto"/>
        </w:rPr>
      </w:pPr>
      <w:bookmarkStart w:id="1" w:name="OLE_LINK10"/>
      <w:r>
        <w:rPr>
          <w:rFonts w:hint="eastAsia"/>
          <w:color w:val="auto"/>
        </w:rPr>
        <w:t>为贯彻落实党中央、国务院关于加强数字政府建设决策部署和国家市场监管总局关于深入推进智慧监管工作要求，全面推进上海市场监管部门履职和政务运行数字化转型的重要举措，上海市市场监督管理局分阶段实施，最终整合形成市场监管数字化大系统。</w:t>
      </w:r>
    </w:p>
    <w:p w14:paraId="4BEB6907">
      <w:pPr>
        <w:spacing w:line="560" w:lineRule="exact"/>
        <w:rPr>
          <w:rFonts w:hint="eastAsia"/>
          <w:color w:val="auto"/>
        </w:rPr>
      </w:pPr>
      <w:r>
        <w:rPr>
          <w:rFonts w:hint="eastAsia"/>
          <w:color w:val="auto"/>
        </w:rPr>
        <w:t>本项目将在现有市场监管数字化大系统框架基础上，紧密结合上海市市场监管数字化实际需求，进一步开展系统功能优化、性能提升与服务完善工作，持续深化上海市场监管部门履职能力建设与政务运行数字化转型进程，进一步拓展和完善市场监管数字化大系统，实现市场局主要核心应用功能深度迭代，全面增强市场监管数字化大系统的综合效能与实用价值。</w:t>
      </w:r>
    </w:p>
    <w:bookmarkEnd w:id="1"/>
    <w:p w14:paraId="32B555C8">
      <w:pPr>
        <w:pStyle w:val="3"/>
        <w:rPr>
          <w:rFonts w:hint="eastAsia"/>
          <w:color w:val="auto"/>
        </w:rPr>
      </w:pPr>
      <w:r>
        <w:rPr>
          <w:rFonts w:hint="eastAsia"/>
          <w:color w:val="auto"/>
        </w:rPr>
        <w:t>系统现状</w:t>
      </w:r>
    </w:p>
    <w:p w14:paraId="04BCE5BC">
      <w:pPr>
        <w:rPr>
          <w:rFonts w:hint="eastAsia"/>
          <w:color w:val="auto"/>
        </w:rPr>
      </w:pPr>
      <w:r>
        <w:rPr>
          <w:rFonts w:hint="eastAsia"/>
          <w:color w:val="auto"/>
        </w:rPr>
        <w:t>目前系统现状包括：</w:t>
      </w:r>
    </w:p>
    <w:p w14:paraId="4A554165">
      <w:pPr>
        <w:rPr>
          <w:rFonts w:hint="eastAsia"/>
          <w:color w:val="auto"/>
        </w:rPr>
      </w:pPr>
      <w:r>
        <w:rPr>
          <w:rFonts w:hint="eastAsia"/>
          <w:color w:val="auto"/>
        </w:rPr>
        <w:t>门户方面：提供政务端、公众端、移动端三端的入口，本项目不涉及改造。</w:t>
      </w:r>
    </w:p>
    <w:p w14:paraId="2C9D39C1">
      <w:pPr>
        <w:rPr>
          <w:rFonts w:hint="eastAsia"/>
          <w:color w:val="auto"/>
        </w:rPr>
      </w:pPr>
      <w:r>
        <w:rPr>
          <w:rFonts w:hint="eastAsia"/>
          <w:color w:val="auto"/>
        </w:rPr>
        <w:t>准入准营板块：已建行政审批子系统建设、企业登记在线子系统、公众服务子系统。本期项目基于公众服务子系统拓展新增放心消费行动管理模块。</w:t>
      </w:r>
    </w:p>
    <w:p w14:paraId="450A3E5B">
      <w:pPr>
        <w:rPr>
          <w:rFonts w:hint="eastAsia"/>
          <w:color w:val="auto"/>
        </w:rPr>
      </w:pPr>
      <w:r>
        <w:rPr>
          <w:rFonts w:hint="eastAsia"/>
          <w:color w:val="auto"/>
        </w:rPr>
        <w:t>综合监管板块：已完成了综合监管子系统的信用监管模块及反垄断与价格监督的涉企收费管理模块,已建设了综合监管一体化子系统及特种设备监管、产品质量监管、广告监管、网络交易监管等专业监管模块，本次项目新增长三角市场监管、餐饮业综合监管、叉车安全监管等三大应用场景建设。</w:t>
      </w:r>
    </w:p>
    <w:p w14:paraId="09BEC0FD">
      <w:pPr>
        <w:rPr>
          <w:rFonts w:hint="eastAsia"/>
          <w:color w:val="auto"/>
        </w:rPr>
      </w:pPr>
      <w:r>
        <w:rPr>
          <w:rFonts w:hint="eastAsia"/>
          <w:color w:val="auto"/>
        </w:rPr>
        <w:t>执法维权板块：已建消费者权益保护子系统、行政处罚与执法监督子系统，本期项目新增市场监管行政执法电子证据管理子系统。</w:t>
      </w:r>
    </w:p>
    <w:p w14:paraId="6F84A24E">
      <w:pPr>
        <w:rPr>
          <w:rFonts w:hint="eastAsia"/>
          <w:color w:val="auto"/>
        </w:rPr>
      </w:pPr>
      <w:r>
        <w:rPr>
          <w:rFonts w:hint="eastAsia"/>
          <w:color w:val="auto"/>
        </w:rPr>
        <w:t>综合管理板块：本期项目新增数字档案子系统。</w:t>
      </w:r>
    </w:p>
    <w:p w14:paraId="264860EF">
      <w:pPr>
        <w:rPr>
          <w:rFonts w:hint="eastAsia"/>
          <w:color w:val="auto"/>
        </w:rPr>
      </w:pPr>
      <w:r>
        <w:rPr>
          <w:rFonts w:hint="eastAsia"/>
          <w:color w:val="auto"/>
        </w:rPr>
        <w:t>质量基础板块：纳入本期项目建设，实现质量基础设施一站式管理。</w:t>
      </w:r>
    </w:p>
    <w:p w14:paraId="4605147F">
      <w:pPr>
        <w:rPr>
          <w:rFonts w:hint="eastAsia"/>
          <w:color w:val="auto"/>
        </w:rPr>
      </w:pPr>
      <w:r>
        <w:rPr>
          <w:rFonts w:hint="eastAsia"/>
          <w:color w:val="auto"/>
        </w:rPr>
        <w:t>数据慧治大系统：已建设了部分专题库和智能驾驶舱；将基本建成数据慧治支撑平台，形成基本完整的数据支撑和智能支撑框架。本次项目在此基础上继续拓展数据综合利用，新增移动驾驶舱，新增部分综合监管专业支撑能力，推进基于城市码和区块链的应用。</w:t>
      </w:r>
    </w:p>
    <w:p w14:paraId="1D66462E">
      <w:pPr>
        <w:pStyle w:val="3"/>
        <w:rPr>
          <w:rFonts w:hint="eastAsia"/>
          <w:color w:val="auto"/>
        </w:rPr>
      </w:pPr>
      <w:r>
        <w:rPr>
          <w:rFonts w:hint="eastAsia"/>
          <w:color w:val="auto"/>
        </w:rPr>
        <w:t>建设期限</w:t>
      </w:r>
    </w:p>
    <w:p w14:paraId="6C39EE89">
      <w:pPr>
        <w:spacing w:line="560" w:lineRule="exact"/>
        <w:rPr>
          <w:rFonts w:hint="eastAsia"/>
          <w:color w:val="auto"/>
        </w:rPr>
      </w:pPr>
      <w:r>
        <w:rPr>
          <w:rFonts w:hint="eastAsia"/>
          <w:color w:val="auto"/>
        </w:rPr>
        <w:t>建设期限：自合同签订之日12个月内完成全部建设内容并通过验收。</w:t>
      </w:r>
    </w:p>
    <w:p w14:paraId="0D476DE4">
      <w:pPr>
        <w:pStyle w:val="3"/>
        <w:rPr>
          <w:rFonts w:hint="eastAsia"/>
          <w:color w:val="auto"/>
        </w:rPr>
      </w:pPr>
      <w:r>
        <w:rPr>
          <w:rFonts w:hint="eastAsia"/>
          <w:color w:val="auto"/>
        </w:rPr>
        <w:t>建设地点</w:t>
      </w:r>
    </w:p>
    <w:p w14:paraId="451B70B6">
      <w:pPr>
        <w:spacing w:line="560" w:lineRule="exact"/>
        <w:rPr>
          <w:rFonts w:hint="eastAsia"/>
          <w:color w:val="auto"/>
        </w:rPr>
      </w:pPr>
      <w:r>
        <w:rPr>
          <w:rFonts w:hint="eastAsia"/>
          <w:color w:val="auto"/>
        </w:rPr>
        <w:t>建设地点：上海市市场监督管理局</w:t>
      </w:r>
    </w:p>
    <w:p w14:paraId="024F8183">
      <w:pPr>
        <w:pStyle w:val="3"/>
        <w:rPr>
          <w:rFonts w:hint="eastAsia"/>
          <w:color w:val="auto"/>
        </w:rPr>
      </w:pPr>
      <w:r>
        <w:rPr>
          <w:rFonts w:hint="eastAsia"/>
          <w:color w:val="auto"/>
        </w:rPr>
        <w:t>预算金额</w:t>
      </w:r>
    </w:p>
    <w:p w14:paraId="513C14A8">
      <w:pPr>
        <w:spacing w:line="560" w:lineRule="exact"/>
        <w:rPr>
          <w:rFonts w:hint="eastAsia"/>
          <w:color w:val="auto"/>
        </w:rPr>
      </w:pPr>
      <w:r>
        <w:rPr>
          <w:rFonts w:hint="eastAsia"/>
          <w:color w:val="auto"/>
        </w:rPr>
        <w:t>预算金额：</w:t>
      </w:r>
      <w:bookmarkStart w:id="2" w:name="OLE_LINK8"/>
      <w:bookmarkStart w:id="3" w:name="OLE_LINK7"/>
      <w:bookmarkStart w:id="4" w:name="OLE_LINK1"/>
      <w:r>
        <w:rPr>
          <w:color w:val="auto"/>
        </w:rPr>
        <w:t>7,040,</w:t>
      </w:r>
      <w:bookmarkEnd w:id="2"/>
      <w:bookmarkEnd w:id="3"/>
      <w:r>
        <w:rPr>
          <w:color w:val="auto"/>
        </w:rPr>
        <w:t>000</w:t>
      </w:r>
      <w:bookmarkEnd w:id="4"/>
      <w:r>
        <w:rPr>
          <w:rFonts w:hint="eastAsia"/>
          <w:color w:val="auto"/>
        </w:rPr>
        <w:t>元</w:t>
      </w:r>
    </w:p>
    <w:p w14:paraId="70CA48BD">
      <w:pPr>
        <w:pStyle w:val="3"/>
        <w:rPr>
          <w:rFonts w:hint="eastAsia"/>
          <w:color w:val="auto"/>
        </w:rPr>
      </w:pPr>
      <w:r>
        <w:rPr>
          <w:rFonts w:hint="eastAsia"/>
          <w:color w:val="auto"/>
        </w:rPr>
        <w:t>采购金额（最高限价）</w:t>
      </w:r>
    </w:p>
    <w:p w14:paraId="50CFCBA0">
      <w:pPr>
        <w:spacing w:line="560" w:lineRule="exact"/>
        <w:rPr>
          <w:rFonts w:hint="eastAsia"/>
          <w:color w:val="auto"/>
        </w:rPr>
      </w:pPr>
      <w:r>
        <w:rPr>
          <w:rFonts w:hint="eastAsia"/>
          <w:color w:val="auto"/>
        </w:rPr>
        <w:t>采购金额：</w:t>
      </w:r>
      <w:r>
        <w:rPr>
          <w:color w:val="auto"/>
        </w:rPr>
        <w:t>7,040,000</w:t>
      </w:r>
      <w:r>
        <w:rPr>
          <w:rFonts w:hint="eastAsia"/>
          <w:color w:val="auto"/>
        </w:rPr>
        <w:t>元</w:t>
      </w:r>
    </w:p>
    <w:p w14:paraId="30F185E0">
      <w:pPr>
        <w:pStyle w:val="3"/>
        <w:rPr>
          <w:rFonts w:hint="eastAsia"/>
          <w:color w:val="auto"/>
        </w:rPr>
      </w:pPr>
      <w:r>
        <w:rPr>
          <w:rFonts w:hint="eastAsia"/>
          <w:color w:val="auto"/>
        </w:rPr>
        <w:t>组织形式</w:t>
      </w:r>
    </w:p>
    <w:p w14:paraId="715BE68B">
      <w:pPr>
        <w:rPr>
          <w:rFonts w:hint="eastAsia"/>
          <w:color w:val="auto"/>
        </w:rPr>
      </w:pPr>
      <w:r>
        <w:rPr>
          <w:rFonts w:hint="eastAsia"/>
          <w:color w:val="auto"/>
        </w:rPr>
        <w:t>组织形式：集中采购</w:t>
      </w:r>
    </w:p>
    <w:p w14:paraId="6CAE9540">
      <w:pPr>
        <w:pStyle w:val="3"/>
        <w:rPr>
          <w:rFonts w:hint="eastAsia"/>
          <w:color w:val="auto"/>
        </w:rPr>
      </w:pPr>
      <w:r>
        <w:rPr>
          <w:rFonts w:hint="eastAsia"/>
          <w:color w:val="auto"/>
        </w:rPr>
        <w:t>采购方式</w:t>
      </w:r>
    </w:p>
    <w:p w14:paraId="211F8255">
      <w:pPr>
        <w:rPr>
          <w:rFonts w:hint="eastAsia"/>
          <w:color w:val="auto"/>
        </w:rPr>
      </w:pPr>
      <w:r>
        <w:rPr>
          <w:rFonts w:hint="eastAsia"/>
          <w:color w:val="auto"/>
        </w:rPr>
        <w:t>采购方式：公开招标</w:t>
      </w:r>
    </w:p>
    <w:p w14:paraId="6757E9FB">
      <w:pPr>
        <w:pStyle w:val="3"/>
        <w:rPr>
          <w:rFonts w:hint="eastAsia"/>
          <w:color w:val="auto"/>
        </w:rPr>
      </w:pPr>
      <w:r>
        <w:rPr>
          <w:rFonts w:hint="eastAsia"/>
          <w:color w:val="auto"/>
        </w:rPr>
        <w:t>是否接受联合体投标</w:t>
      </w:r>
    </w:p>
    <w:p w14:paraId="68A2A2E2">
      <w:pPr>
        <w:rPr>
          <w:rFonts w:hint="eastAsia"/>
          <w:color w:val="auto"/>
        </w:rPr>
      </w:pPr>
      <w:r>
        <w:rPr>
          <w:rFonts w:hint="eastAsia"/>
          <w:color w:val="auto"/>
        </w:rPr>
        <w:t>是否接受联合体投标：否</w:t>
      </w:r>
    </w:p>
    <w:p w14:paraId="5B8FCD88">
      <w:pPr>
        <w:pStyle w:val="3"/>
        <w:rPr>
          <w:rFonts w:hint="eastAsia"/>
          <w:color w:val="auto"/>
        </w:rPr>
      </w:pPr>
      <w:r>
        <w:rPr>
          <w:color w:val="auto"/>
        </w:rPr>
        <w:t>是否按信</w:t>
      </w:r>
      <w:r>
        <w:rPr>
          <w:rFonts w:hint="eastAsia"/>
          <w:color w:val="auto"/>
        </w:rPr>
        <w:t xml:space="preserve"> </w:t>
      </w:r>
      <w:r>
        <w:rPr>
          <w:color w:val="auto"/>
        </w:rPr>
        <w:t>创要求建设</w:t>
      </w:r>
    </w:p>
    <w:p w14:paraId="5727313F">
      <w:pPr>
        <w:rPr>
          <w:rFonts w:hint="eastAsia"/>
          <w:color w:val="auto"/>
        </w:rPr>
      </w:pPr>
      <w:r>
        <w:rPr>
          <w:rFonts w:hint="eastAsia"/>
          <w:color w:val="auto"/>
        </w:rPr>
        <w:t>是否按信 创要求建设：</w:t>
      </w:r>
      <w:r>
        <w:rPr>
          <w:color w:val="auto"/>
        </w:rPr>
        <w:t>是</w:t>
      </w:r>
    </w:p>
    <w:p w14:paraId="57CA3994">
      <w:pPr>
        <w:pStyle w:val="3"/>
        <w:rPr>
          <w:rFonts w:hint="eastAsia"/>
          <w:color w:val="auto"/>
        </w:rPr>
      </w:pPr>
      <w:r>
        <w:rPr>
          <w:rFonts w:hint="eastAsia"/>
          <w:color w:val="auto"/>
        </w:rPr>
        <w:t>运维后所属大系统</w:t>
      </w:r>
    </w:p>
    <w:p w14:paraId="42BC36FE">
      <w:pPr>
        <w:rPr>
          <w:rFonts w:hint="eastAsia"/>
          <w:color w:val="auto"/>
        </w:rPr>
      </w:pPr>
      <w:r>
        <w:rPr>
          <w:rFonts w:hint="eastAsia"/>
          <w:color w:val="auto"/>
        </w:rPr>
        <w:t>运维后所属大系统：市场监管数字化大系统</w:t>
      </w:r>
    </w:p>
    <w:p w14:paraId="224BB622">
      <w:pPr>
        <w:pStyle w:val="2"/>
        <w:rPr>
          <w:rFonts w:hint="eastAsia"/>
          <w:color w:val="auto"/>
        </w:rPr>
      </w:pPr>
      <w:bookmarkStart w:id="5" w:name="_Toc47533256"/>
      <w:bookmarkEnd w:id="5"/>
      <w:bookmarkStart w:id="6" w:name="_Toc47536272"/>
      <w:bookmarkEnd w:id="6"/>
      <w:bookmarkStart w:id="7" w:name="_Toc47532891"/>
      <w:bookmarkEnd w:id="7"/>
      <w:bookmarkStart w:id="8" w:name="_Toc47532255"/>
      <w:bookmarkEnd w:id="8"/>
      <w:bookmarkStart w:id="9" w:name="_Toc47531634"/>
      <w:bookmarkEnd w:id="9"/>
      <w:bookmarkStart w:id="10" w:name="_Toc47536644"/>
      <w:bookmarkEnd w:id="10"/>
      <w:bookmarkStart w:id="11" w:name="_Toc47537134"/>
      <w:bookmarkEnd w:id="11"/>
      <w:bookmarkStart w:id="12" w:name="_Toc47539070"/>
      <w:bookmarkEnd w:id="12"/>
      <w:bookmarkStart w:id="13" w:name="_Toc63785463"/>
      <w:bookmarkStart w:id="14" w:name="_Toc48223882"/>
      <w:r>
        <w:rPr>
          <w:rFonts w:hint="eastAsia"/>
          <w:color w:val="auto"/>
        </w:rPr>
        <w:t>建设目标</w:t>
      </w:r>
      <w:bookmarkEnd w:id="13"/>
      <w:bookmarkEnd w:id="14"/>
    </w:p>
    <w:p w14:paraId="0EBA97EA">
      <w:pPr>
        <w:pStyle w:val="3"/>
        <w:rPr>
          <w:rFonts w:hint="eastAsia"/>
          <w:color w:val="auto"/>
        </w:rPr>
      </w:pPr>
      <w:r>
        <w:rPr>
          <w:rFonts w:hint="eastAsia"/>
          <w:color w:val="auto"/>
        </w:rPr>
        <w:t>建设目标</w:t>
      </w:r>
    </w:p>
    <w:p w14:paraId="4A70EAAB">
      <w:pPr>
        <w:rPr>
          <w:rFonts w:hint="eastAsia"/>
          <w:color w:val="auto"/>
        </w:rPr>
      </w:pPr>
      <w:r>
        <w:rPr>
          <w:rFonts w:hint="eastAsia"/>
          <w:color w:val="auto"/>
        </w:rPr>
        <w:t>本期项目在市市场监管局现有数字化系统基础上，深度挖潜迭代升级，重点围绕质量基础服务提升、数字档案示范建设、行政执法电子证据管理以及综合监管能力提升等方面</w:t>
      </w:r>
      <w:r>
        <w:rPr>
          <w:color w:val="auto"/>
        </w:rPr>
        <w:t>提质增效</w:t>
      </w:r>
      <w:r>
        <w:rPr>
          <w:rFonts w:hint="eastAsia"/>
          <w:color w:val="auto"/>
        </w:rPr>
        <w:t>，以数据慧治支撑平台为支撑，强化跨部门、跨地区的综合监管能力，显著提升市场监管的智能化水平，从而进一步助力上海市场监管领域的“一网通办”和“一网统管”能级提升。</w:t>
      </w:r>
    </w:p>
    <w:p w14:paraId="51220D1E">
      <w:pPr>
        <w:pStyle w:val="3"/>
        <w:rPr>
          <w:rFonts w:hint="eastAsia"/>
          <w:color w:val="auto"/>
        </w:rPr>
      </w:pPr>
      <w:r>
        <w:rPr>
          <w:rFonts w:hint="eastAsia"/>
          <w:color w:val="auto"/>
        </w:rPr>
        <w:t>应用指标</w:t>
      </w:r>
    </w:p>
    <w:p w14:paraId="76AB5702">
      <w:pPr>
        <w:rPr>
          <w:rFonts w:hint="eastAsia"/>
          <w:color w:val="auto"/>
        </w:rPr>
      </w:pPr>
      <w:r>
        <w:rPr>
          <w:rFonts w:hint="eastAsia"/>
          <w:color w:val="auto"/>
        </w:rPr>
        <w:t>本项目服务的用户群体和数量如下表：</w:t>
      </w:r>
    </w:p>
    <w:tbl>
      <w:tblPr>
        <w:tblStyle w:val="35"/>
        <w:tblW w:w="8400" w:type="dxa"/>
        <w:tblInd w:w="0" w:type="dxa"/>
        <w:tblLayout w:type="autofit"/>
        <w:tblCellMar>
          <w:top w:w="0" w:type="dxa"/>
          <w:left w:w="108" w:type="dxa"/>
          <w:bottom w:w="0" w:type="dxa"/>
          <w:right w:w="108" w:type="dxa"/>
        </w:tblCellMar>
      </w:tblPr>
      <w:tblGrid>
        <w:gridCol w:w="700"/>
        <w:gridCol w:w="3340"/>
        <w:gridCol w:w="2700"/>
        <w:gridCol w:w="1660"/>
      </w:tblGrid>
      <w:tr w14:paraId="10E52BBC">
        <w:tblPrEx>
          <w:tblCellMar>
            <w:top w:w="0" w:type="dxa"/>
            <w:left w:w="108" w:type="dxa"/>
            <w:bottom w:w="0" w:type="dxa"/>
            <w:right w:w="108" w:type="dxa"/>
          </w:tblCellMar>
        </w:tblPrEx>
        <w:trPr>
          <w:trHeight w:val="280" w:hRule="atLeast"/>
        </w:trPr>
        <w:tc>
          <w:tcPr>
            <w:tcW w:w="700" w:type="dxa"/>
            <w:tcBorders>
              <w:top w:val="single" w:color="auto" w:sz="4" w:space="0"/>
              <w:left w:val="single" w:color="auto" w:sz="4" w:space="0"/>
              <w:bottom w:val="single" w:color="auto" w:sz="4" w:space="0"/>
              <w:right w:val="single" w:color="auto" w:sz="4" w:space="0"/>
            </w:tcBorders>
            <w:vAlign w:val="center"/>
          </w:tcPr>
          <w:p w14:paraId="563FADDA">
            <w:pPr>
              <w:widowControl/>
              <w:ind w:firstLine="0" w:firstLineChars="0"/>
              <w:jc w:val="center"/>
              <w:rPr>
                <w:rFonts w:hint="eastAsia" w:cs="宋体"/>
                <w:b/>
                <w:bCs/>
                <w:color w:val="auto"/>
                <w:kern w:val="0"/>
                <w:sz w:val="21"/>
                <w:szCs w:val="21"/>
              </w:rPr>
            </w:pPr>
            <w:r>
              <w:rPr>
                <w:rFonts w:hint="eastAsia" w:cs="宋体"/>
                <w:b/>
                <w:bCs/>
                <w:color w:val="auto"/>
                <w:kern w:val="0"/>
                <w:sz w:val="21"/>
                <w:szCs w:val="21"/>
              </w:rPr>
              <w:t>序号</w:t>
            </w:r>
          </w:p>
        </w:tc>
        <w:tc>
          <w:tcPr>
            <w:tcW w:w="3340" w:type="dxa"/>
            <w:tcBorders>
              <w:top w:val="single" w:color="auto" w:sz="4" w:space="0"/>
              <w:left w:val="nil"/>
              <w:bottom w:val="single" w:color="auto" w:sz="4" w:space="0"/>
              <w:right w:val="single" w:color="auto" w:sz="4" w:space="0"/>
            </w:tcBorders>
            <w:vAlign w:val="center"/>
          </w:tcPr>
          <w:p w14:paraId="0691347D">
            <w:pPr>
              <w:widowControl/>
              <w:ind w:firstLine="0" w:firstLineChars="0"/>
              <w:jc w:val="center"/>
              <w:rPr>
                <w:rFonts w:hint="eastAsia" w:cs="宋体"/>
                <w:b/>
                <w:bCs/>
                <w:color w:val="auto"/>
                <w:kern w:val="0"/>
                <w:sz w:val="21"/>
                <w:szCs w:val="21"/>
              </w:rPr>
            </w:pPr>
            <w:r>
              <w:rPr>
                <w:rFonts w:hint="eastAsia" w:cs="宋体"/>
                <w:b/>
                <w:bCs/>
                <w:color w:val="auto"/>
                <w:kern w:val="0"/>
                <w:sz w:val="21"/>
                <w:szCs w:val="21"/>
              </w:rPr>
              <w:t>主要建设内容</w:t>
            </w:r>
          </w:p>
        </w:tc>
        <w:tc>
          <w:tcPr>
            <w:tcW w:w="2700" w:type="dxa"/>
            <w:tcBorders>
              <w:top w:val="single" w:color="auto" w:sz="4" w:space="0"/>
              <w:left w:val="nil"/>
              <w:bottom w:val="single" w:color="auto" w:sz="4" w:space="0"/>
              <w:right w:val="single" w:color="auto" w:sz="4" w:space="0"/>
            </w:tcBorders>
            <w:vAlign w:val="center"/>
          </w:tcPr>
          <w:p w14:paraId="1AA5CB36">
            <w:pPr>
              <w:widowControl/>
              <w:ind w:firstLine="0" w:firstLineChars="0"/>
              <w:jc w:val="center"/>
              <w:rPr>
                <w:rFonts w:hint="eastAsia" w:cs="宋体"/>
                <w:b/>
                <w:bCs/>
                <w:color w:val="auto"/>
                <w:kern w:val="0"/>
                <w:sz w:val="21"/>
                <w:szCs w:val="21"/>
              </w:rPr>
            </w:pPr>
            <w:r>
              <w:rPr>
                <w:rFonts w:hint="eastAsia" w:cs="宋体"/>
                <w:b/>
                <w:bCs/>
                <w:color w:val="auto"/>
                <w:kern w:val="0"/>
                <w:sz w:val="21"/>
                <w:szCs w:val="21"/>
              </w:rPr>
              <w:t>服务对象</w:t>
            </w:r>
          </w:p>
        </w:tc>
        <w:tc>
          <w:tcPr>
            <w:tcW w:w="1660" w:type="dxa"/>
            <w:tcBorders>
              <w:top w:val="single" w:color="auto" w:sz="4" w:space="0"/>
              <w:left w:val="nil"/>
              <w:bottom w:val="single" w:color="auto" w:sz="4" w:space="0"/>
              <w:right w:val="single" w:color="auto" w:sz="4" w:space="0"/>
            </w:tcBorders>
            <w:vAlign w:val="center"/>
          </w:tcPr>
          <w:p w14:paraId="02C2B2C4">
            <w:pPr>
              <w:widowControl/>
              <w:ind w:firstLine="0" w:firstLineChars="0"/>
              <w:jc w:val="center"/>
              <w:rPr>
                <w:rFonts w:hint="eastAsia" w:cs="宋体"/>
                <w:b/>
                <w:bCs/>
                <w:color w:val="auto"/>
                <w:kern w:val="0"/>
                <w:sz w:val="21"/>
                <w:szCs w:val="21"/>
              </w:rPr>
            </w:pPr>
            <w:r>
              <w:rPr>
                <w:rFonts w:hint="eastAsia" w:cs="宋体"/>
                <w:b/>
                <w:bCs/>
                <w:color w:val="auto"/>
                <w:kern w:val="0"/>
                <w:sz w:val="21"/>
                <w:szCs w:val="21"/>
              </w:rPr>
              <w:t>用户量</w:t>
            </w:r>
          </w:p>
        </w:tc>
      </w:tr>
      <w:tr w14:paraId="1581385E">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2361E8A7">
            <w:pPr>
              <w:widowControl/>
              <w:ind w:firstLine="0" w:firstLineChars="0"/>
              <w:jc w:val="center"/>
              <w:rPr>
                <w:rFonts w:hint="eastAsia"/>
                <w:color w:val="auto"/>
                <w:kern w:val="0"/>
                <w:sz w:val="21"/>
                <w:szCs w:val="21"/>
              </w:rPr>
            </w:pPr>
            <w:r>
              <w:rPr>
                <w:color w:val="auto"/>
                <w:kern w:val="0"/>
                <w:sz w:val="21"/>
                <w:szCs w:val="21"/>
              </w:rPr>
              <w:t>1</w:t>
            </w:r>
          </w:p>
        </w:tc>
        <w:tc>
          <w:tcPr>
            <w:tcW w:w="3340" w:type="dxa"/>
            <w:tcBorders>
              <w:top w:val="nil"/>
              <w:left w:val="nil"/>
              <w:bottom w:val="single" w:color="auto" w:sz="4" w:space="0"/>
              <w:right w:val="single" w:color="auto" w:sz="4" w:space="0"/>
            </w:tcBorders>
            <w:vAlign w:val="center"/>
          </w:tcPr>
          <w:p w14:paraId="5BCFE726">
            <w:pPr>
              <w:widowControl/>
              <w:ind w:firstLine="0" w:firstLineChars="0"/>
              <w:jc w:val="center"/>
              <w:rPr>
                <w:rFonts w:hint="eastAsia" w:cs="宋体"/>
                <w:color w:val="auto"/>
                <w:kern w:val="0"/>
                <w:sz w:val="21"/>
                <w:szCs w:val="21"/>
              </w:rPr>
            </w:pPr>
            <w:r>
              <w:rPr>
                <w:rFonts w:hint="eastAsia" w:cs="宋体"/>
                <w:color w:val="auto"/>
                <w:kern w:val="0"/>
                <w:sz w:val="21"/>
                <w:szCs w:val="21"/>
              </w:rPr>
              <w:t>智能驾驶舱</w:t>
            </w:r>
          </w:p>
        </w:tc>
        <w:tc>
          <w:tcPr>
            <w:tcW w:w="2700" w:type="dxa"/>
            <w:tcBorders>
              <w:top w:val="nil"/>
              <w:left w:val="nil"/>
              <w:bottom w:val="single" w:color="auto" w:sz="4" w:space="0"/>
              <w:right w:val="single" w:color="auto" w:sz="4" w:space="0"/>
            </w:tcBorders>
            <w:vAlign w:val="center"/>
          </w:tcPr>
          <w:p w14:paraId="07A4B364">
            <w:pPr>
              <w:widowControl/>
              <w:ind w:firstLine="0" w:firstLineChars="0"/>
              <w:jc w:val="center"/>
              <w:rPr>
                <w:rFonts w:hint="eastAsia" w:cs="宋体"/>
                <w:color w:val="auto"/>
                <w:kern w:val="0"/>
                <w:sz w:val="21"/>
                <w:szCs w:val="21"/>
              </w:rPr>
            </w:pPr>
            <w:r>
              <w:rPr>
                <w:rFonts w:hint="eastAsia" w:cs="宋体"/>
                <w:color w:val="auto"/>
                <w:kern w:val="0"/>
                <w:sz w:val="21"/>
                <w:szCs w:val="21"/>
              </w:rPr>
              <w:t>市局、区局、市场所用户</w:t>
            </w:r>
          </w:p>
        </w:tc>
        <w:tc>
          <w:tcPr>
            <w:tcW w:w="1660" w:type="dxa"/>
            <w:tcBorders>
              <w:top w:val="nil"/>
              <w:left w:val="nil"/>
              <w:bottom w:val="single" w:color="auto" w:sz="4" w:space="0"/>
              <w:right w:val="single" w:color="auto" w:sz="4" w:space="0"/>
            </w:tcBorders>
            <w:vAlign w:val="center"/>
          </w:tcPr>
          <w:p w14:paraId="537ED9A3">
            <w:pPr>
              <w:widowControl/>
              <w:ind w:firstLine="0" w:firstLineChars="0"/>
              <w:jc w:val="center"/>
              <w:rPr>
                <w:rFonts w:hint="eastAsia"/>
                <w:color w:val="auto"/>
                <w:kern w:val="0"/>
                <w:sz w:val="21"/>
                <w:szCs w:val="21"/>
              </w:rPr>
            </w:pPr>
            <w:r>
              <w:rPr>
                <w:color w:val="auto"/>
                <w:kern w:val="0"/>
                <w:sz w:val="21"/>
                <w:szCs w:val="21"/>
              </w:rPr>
              <w:t>1350</w:t>
            </w:r>
          </w:p>
        </w:tc>
      </w:tr>
      <w:tr w14:paraId="769B2B0F">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13D1D860">
            <w:pPr>
              <w:widowControl/>
              <w:ind w:firstLine="0" w:firstLineChars="0"/>
              <w:jc w:val="center"/>
              <w:rPr>
                <w:rFonts w:hint="eastAsia"/>
                <w:color w:val="auto"/>
                <w:kern w:val="0"/>
                <w:sz w:val="21"/>
                <w:szCs w:val="21"/>
              </w:rPr>
            </w:pPr>
            <w:r>
              <w:rPr>
                <w:color w:val="auto"/>
                <w:kern w:val="0"/>
                <w:sz w:val="21"/>
                <w:szCs w:val="21"/>
              </w:rPr>
              <w:t>2</w:t>
            </w:r>
          </w:p>
        </w:tc>
        <w:tc>
          <w:tcPr>
            <w:tcW w:w="3340" w:type="dxa"/>
            <w:vMerge w:val="restart"/>
            <w:tcBorders>
              <w:top w:val="nil"/>
              <w:left w:val="single" w:color="auto" w:sz="4" w:space="0"/>
              <w:bottom w:val="single" w:color="auto" w:sz="4" w:space="0"/>
              <w:right w:val="single" w:color="auto" w:sz="4" w:space="0"/>
            </w:tcBorders>
            <w:vAlign w:val="center"/>
          </w:tcPr>
          <w:p w14:paraId="703369FF">
            <w:pPr>
              <w:widowControl/>
              <w:ind w:firstLine="0" w:firstLineChars="0"/>
              <w:jc w:val="center"/>
              <w:rPr>
                <w:rFonts w:hint="eastAsia" w:cs="宋体"/>
                <w:color w:val="auto"/>
                <w:kern w:val="0"/>
                <w:sz w:val="21"/>
                <w:szCs w:val="21"/>
              </w:rPr>
            </w:pPr>
            <w:r>
              <w:rPr>
                <w:rFonts w:hint="eastAsia" w:cs="宋体"/>
                <w:color w:val="auto"/>
                <w:kern w:val="0"/>
                <w:sz w:val="21"/>
                <w:szCs w:val="21"/>
              </w:rPr>
              <w:t>特设码应用管理</w:t>
            </w:r>
          </w:p>
        </w:tc>
        <w:tc>
          <w:tcPr>
            <w:tcW w:w="2700" w:type="dxa"/>
            <w:tcBorders>
              <w:top w:val="nil"/>
              <w:left w:val="nil"/>
              <w:bottom w:val="single" w:color="auto" w:sz="4" w:space="0"/>
              <w:right w:val="single" w:color="auto" w:sz="4" w:space="0"/>
            </w:tcBorders>
            <w:vAlign w:val="center"/>
          </w:tcPr>
          <w:p w14:paraId="78F6128A">
            <w:pPr>
              <w:widowControl/>
              <w:ind w:firstLine="0" w:firstLineChars="0"/>
              <w:jc w:val="center"/>
              <w:rPr>
                <w:rFonts w:hint="eastAsia" w:cs="宋体"/>
                <w:color w:val="auto"/>
                <w:kern w:val="0"/>
                <w:sz w:val="21"/>
                <w:szCs w:val="21"/>
              </w:rPr>
            </w:pPr>
            <w:r>
              <w:rPr>
                <w:rFonts w:hint="eastAsia" w:cs="宋体"/>
                <w:color w:val="auto"/>
                <w:kern w:val="0"/>
                <w:sz w:val="21"/>
                <w:szCs w:val="21"/>
              </w:rPr>
              <w:t>市局、区局、市场所用户</w:t>
            </w:r>
          </w:p>
        </w:tc>
        <w:tc>
          <w:tcPr>
            <w:tcW w:w="1660" w:type="dxa"/>
            <w:tcBorders>
              <w:top w:val="nil"/>
              <w:left w:val="nil"/>
              <w:bottom w:val="single" w:color="auto" w:sz="4" w:space="0"/>
              <w:right w:val="single" w:color="auto" w:sz="4" w:space="0"/>
            </w:tcBorders>
            <w:vAlign w:val="center"/>
          </w:tcPr>
          <w:p w14:paraId="38D6855A">
            <w:pPr>
              <w:widowControl/>
              <w:ind w:firstLine="0" w:firstLineChars="0"/>
              <w:jc w:val="center"/>
              <w:rPr>
                <w:rFonts w:hint="eastAsia"/>
                <w:color w:val="auto"/>
                <w:kern w:val="0"/>
                <w:sz w:val="21"/>
                <w:szCs w:val="21"/>
              </w:rPr>
            </w:pPr>
            <w:r>
              <w:rPr>
                <w:color w:val="auto"/>
                <w:kern w:val="0"/>
                <w:sz w:val="21"/>
                <w:szCs w:val="21"/>
              </w:rPr>
              <w:t>1350</w:t>
            </w:r>
          </w:p>
        </w:tc>
      </w:tr>
      <w:tr w14:paraId="2DA6D554">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2255C728">
            <w:pPr>
              <w:widowControl/>
              <w:ind w:firstLine="0" w:firstLineChars="0"/>
              <w:jc w:val="center"/>
              <w:rPr>
                <w:rFonts w:hint="eastAsia"/>
                <w:color w:val="auto"/>
                <w:kern w:val="0"/>
                <w:sz w:val="21"/>
                <w:szCs w:val="21"/>
              </w:rPr>
            </w:pPr>
            <w:r>
              <w:rPr>
                <w:color w:val="auto"/>
                <w:kern w:val="0"/>
                <w:sz w:val="21"/>
                <w:szCs w:val="21"/>
              </w:rPr>
              <w:t>3</w:t>
            </w:r>
          </w:p>
        </w:tc>
        <w:tc>
          <w:tcPr>
            <w:tcW w:w="3340" w:type="dxa"/>
            <w:vMerge w:val="continue"/>
            <w:tcBorders>
              <w:top w:val="nil"/>
              <w:left w:val="single" w:color="auto" w:sz="4" w:space="0"/>
              <w:bottom w:val="single" w:color="auto" w:sz="4" w:space="0"/>
              <w:right w:val="single" w:color="auto" w:sz="4" w:space="0"/>
            </w:tcBorders>
            <w:vAlign w:val="center"/>
          </w:tcPr>
          <w:p w14:paraId="7243AC09">
            <w:pPr>
              <w:widowControl/>
              <w:ind w:firstLine="0" w:firstLineChars="0"/>
              <w:jc w:val="left"/>
              <w:rPr>
                <w:rFonts w:hint="eastAsia" w:cs="宋体"/>
                <w:color w:val="auto"/>
                <w:kern w:val="0"/>
                <w:sz w:val="21"/>
                <w:szCs w:val="21"/>
              </w:rPr>
            </w:pPr>
          </w:p>
        </w:tc>
        <w:tc>
          <w:tcPr>
            <w:tcW w:w="2700" w:type="dxa"/>
            <w:tcBorders>
              <w:top w:val="nil"/>
              <w:left w:val="nil"/>
              <w:bottom w:val="single" w:color="auto" w:sz="4" w:space="0"/>
              <w:right w:val="single" w:color="auto" w:sz="4" w:space="0"/>
            </w:tcBorders>
            <w:vAlign w:val="center"/>
          </w:tcPr>
          <w:p w14:paraId="1D7AF847">
            <w:pPr>
              <w:widowControl/>
              <w:ind w:firstLine="0" w:firstLineChars="0"/>
              <w:jc w:val="center"/>
              <w:rPr>
                <w:rFonts w:hint="eastAsia" w:cs="宋体"/>
                <w:color w:val="auto"/>
                <w:kern w:val="0"/>
                <w:sz w:val="21"/>
                <w:szCs w:val="21"/>
              </w:rPr>
            </w:pPr>
            <w:r>
              <w:rPr>
                <w:rFonts w:hint="eastAsia" w:cs="宋体"/>
                <w:color w:val="auto"/>
                <w:kern w:val="0"/>
                <w:sz w:val="21"/>
                <w:szCs w:val="21"/>
              </w:rPr>
              <w:t>技术机构</w:t>
            </w:r>
            <w:r>
              <w:rPr>
                <w:color w:val="auto"/>
                <w:kern w:val="0"/>
                <w:sz w:val="21"/>
                <w:szCs w:val="21"/>
              </w:rPr>
              <w:t>/</w:t>
            </w:r>
            <w:r>
              <w:rPr>
                <w:rFonts w:hint="eastAsia" w:cs="宋体"/>
                <w:color w:val="auto"/>
                <w:kern w:val="0"/>
                <w:sz w:val="21"/>
                <w:szCs w:val="21"/>
              </w:rPr>
              <w:t>专业人员</w:t>
            </w:r>
          </w:p>
        </w:tc>
        <w:tc>
          <w:tcPr>
            <w:tcW w:w="1660" w:type="dxa"/>
            <w:tcBorders>
              <w:top w:val="nil"/>
              <w:left w:val="nil"/>
              <w:bottom w:val="single" w:color="auto" w:sz="4" w:space="0"/>
              <w:right w:val="single" w:color="auto" w:sz="4" w:space="0"/>
            </w:tcBorders>
            <w:vAlign w:val="center"/>
          </w:tcPr>
          <w:p w14:paraId="46460DF3">
            <w:pPr>
              <w:widowControl/>
              <w:ind w:firstLine="0" w:firstLineChars="0"/>
              <w:jc w:val="center"/>
              <w:rPr>
                <w:rFonts w:hint="eastAsia"/>
                <w:color w:val="auto"/>
                <w:kern w:val="0"/>
                <w:sz w:val="21"/>
                <w:szCs w:val="21"/>
              </w:rPr>
            </w:pPr>
            <w:r>
              <w:rPr>
                <w:color w:val="auto"/>
                <w:kern w:val="0"/>
                <w:sz w:val="21"/>
                <w:szCs w:val="21"/>
              </w:rPr>
              <w:t>1000</w:t>
            </w:r>
          </w:p>
        </w:tc>
      </w:tr>
      <w:tr w14:paraId="670DC081">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4F29DAC8">
            <w:pPr>
              <w:widowControl/>
              <w:ind w:firstLine="0" w:firstLineChars="0"/>
              <w:jc w:val="center"/>
              <w:rPr>
                <w:rFonts w:hint="eastAsia"/>
                <w:color w:val="auto"/>
                <w:kern w:val="0"/>
                <w:sz w:val="21"/>
                <w:szCs w:val="21"/>
              </w:rPr>
            </w:pPr>
            <w:r>
              <w:rPr>
                <w:color w:val="auto"/>
                <w:kern w:val="0"/>
                <w:sz w:val="21"/>
                <w:szCs w:val="21"/>
              </w:rPr>
              <w:t>4</w:t>
            </w:r>
          </w:p>
        </w:tc>
        <w:tc>
          <w:tcPr>
            <w:tcW w:w="3340" w:type="dxa"/>
            <w:vMerge w:val="continue"/>
            <w:tcBorders>
              <w:top w:val="nil"/>
              <w:left w:val="single" w:color="auto" w:sz="4" w:space="0"/>
              <w:bottom w:val="single" w:color="auto" w:sz="4" w:space="0"/>
              <w:right w:val="single" w:color="auto" w:sz="4" w:space="0"/>
            </w:tcBorders>
            <w:vAlign w:val="center"/>
          </w:tcPr>
          <w:p w14:paraId="5D25EB07">
            <w:pPr>
              <w:widowControl/>
              <w:ind w:firstLine="0" w:firstLineChars="0"/>
              <w:jc w:val="left"/>
              <w:rPr>
                <w:rFonts w:hint="eastAsia" w:cs="宋体"/>
                <w:color w:val="auto"/>
                <w:kern w:val="0"/>
                <w:sz w:val="21"/>
                <w:szCs w:val="21"/>
              </w:rPr>
            </w:pPr>
          </w:p>
        </w:tc>
        <w:tc>
          <w:tcPr>
            <w:tcW w:w="2700" w:type="dxa"/>
            <w:tcBorders>
              <w:top w:val="nil"/>
              <w:left w:val="nil"/>
              <w:bottom w:val="single" w:color="auto" w:sz="4" w:space="0"/>
              <w:right w:val="single" w:color="auto" w:sz="4" w:space="0"/>
            </w:tcBorders>
            <w:vAlign w:val="center"/>
          </w:tcPr>
          <w:p w14:paraId="6F1E7409">
            <w:pPr>
              <w:widowControl/>
              <w:ind w:firstLine="0" w:firstLineChars="0"/>
              <w:jc w:val="center"/>
              <w:rPr>
                <w:rFonts w:hint="eastAsia" w:cs="宋体"/>
                <w:color w:val="auto"/>
                <w:kern w:val="0"/>
                <w:sz w:val="21"/>
                <w:szCs w:val="21"/>
              </w:rPr>
            </w:pPr>
            <w:r>
              <w:rPr>
                <w:rFonts w:hint="eastAsia" w:cs="宋体"/>
                <w:color w:val="auto"/>
                <w:kern w:val="0"/>
                <w:sz w:val="21"/>
                <w:szCs w:val="21"/>
              </w:rPr>
              <w:t>企业</w:t>
            </w:r>
            <w:r>
              <w:rPr>
                <w:color w:val="auto"/>
                <w:kern w:val="0"/>
                <w:sz w:val="21"/>
                <w:szCs w:val="21"/>
              </w:rPr>
              <w:t>/</w:t>
            </w:r>
            <w:r>
              <w:rPr>
                <w:rFonts w:hint="eastAsia" w:cs="宋体"/>
                <w:color w:val="auto"/>
                <w:kern w:val="0"/>
                <w:sz w:val="21"/>
                <w:szCs w:val="21"/>
              </w:rPr>
              <w:t>公众</w:t>
            </w:r>
          </w:p>
        </w:tc>
        <w:tc>
          <w:tcPr>
            <w:tcW w:w="1660" w:type="dxa"/>
            <w:tcBorders>
              <w:top w:val="nil"/>
              <w:left w:val="nil"/>
              <w:bottom w:val="single" w:color="auto" w:sz="4" w:space="0"/>
              <w:right w:val="single" w:color="auto" w:sz="4" w:space="0"/>
            </w:tcBorders>
            <w:vAlign w:val="center"/>
          </w:tcPr>
          <w:p w14:paraId="3AB11C7F">
            <w:pPr>
              <w:widowControl/>
              <w:ind w:firstLine="0" w:firstLineChars="0"/>
              <w:jc w:val="center"/>
              <w:rPr>
                <w:rFonts w:hint="eastAsia"/>
                <w:color w:val="auto"/>
                <w:kern w:val="0"/>
                <w:sz w:val="21"/>
                <w:szCs w:val="21"/>
              </w:rPr>
            </w:pPr>
            <w:r>
              <w:rPr>
                <w:rFonts w:hint="eastAsia"/>
                <w:color w:val="auto"/>
                <w:kern w:val="0"/>
                <w:sz w:val="21"/>
                <w:szCs w:val="21"/>
              </w:rPr>
              <w:t>610000</w:t>
            </w:r>
          </w:p>
        </w:tc>
      </w:tr>
      <w:tr w14:paraId="21FC7700">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09A2147C">
            <w:pPr>
              <w:widowControl/>
              <w:ind w:firstLine="0" w:firstLineChars="0"/>
              <w:jc w:val="center"/>
              <w:rPr>
                <w:rFonts w:hint="eastAsia"/>
                <w:color w:val="auto"/>
                <w:kern w:val="0"/>
                <w:sz w:val="21"/>
                <w:szCs w:val="21"/>
              </w:rPr>
            </w:pPr>
            <w:r>
              <w:rPr>
                <w:color w:val="auto"/>
                <w:kern w:val="0"/>
                <w:sz w:val="21"/>
                <w:szCs w:val="21"/>
              </w:rPr>
              <w:t>5</w:t>
            </w:r>
          </w:p>
        </w:tc>
        <w:tc>
          <w:tcPr>
            <w:tcW w:w="3340" w:type="dxa"/>
            <w:tcBorders>
              <w:top w:val="nil"/>
              <w:left w:val="nil"/>
              <w:bottom w:val="single" w:color="auto" w:sz="4" w:space="0"/>
              <w:right w:val="single" w:color="auto" w:sz="4" w:space="0"/>
            </w:tcBorders>
            <w:vAlign w:val="center"/>
          </w:tcPr>
          <w:p w14:paraId="52D2133B">
            <w:pPr>
              <w:widowControl/>
              <w:ind w:firstLine="0" w:firstLineChars="0"/>
              <w:jc w:val="center"/>
              <w:rPr>
                <w:rFonts w:hint="eastAsia" w:cs="宋体"/>
                <w:color w:val="auto"/>
                <w:kern w:val="0"/>
                <w:sz w:val="21"/>
                <w:szCs w:val="21"/>
              </w:rPr>
            </w:pPr>
            <w:r>
              <w:rPr>
                <w:rFonts w:hint="eastAsia" w:cs="宋体"/>
                <w:color w:val="auto"/>
                <w:kern w:val="0"/>
                <w:sz w:val="21"/>
                <w:szCs w:val="21"/>
              </w:rPr>
              <w:t>综合监管专业支撑能力</w:t>
            </w:r>
          </w:p>
        </w:tc>
        <w:tc>
          <w:tcPr>
            <w:tcW w:w="2700" w:type="dxa"/>
            <w:tcBorders>
              <w:top w:val="nil"/>
              <w:left w:val="nil"/>
              <w:bottom w:val="single" w:color="auto" w:sz="4" w:space="0"/>
              <w:right w:val="single" w:color="auto" w:sz="4" w:space="0"/>
            </w:tcBorders>
            <w:vAlign w:val="center"/>
          </w:tcPr>
          <w:p w14:paraId="7E919A11">
            <w:pPr>
              <w:widowControl/>
              <w:ind w:firstLine="0" w:firstLineChars="0"/>
              <w:jc w:val="center"/>
              <w:rPr>
                <w:rFonts w:hint="eastAsia" w:cs="宋体"/>
                <w:color w:val="auto"/>
                <w:kern w:val="0"/>
                <w:sz w:val="21"/>
                <w:szCs w:val="21"/>
              </w:rPr>
            </w:pPr>
            <w:r>
              <w:rPr>
                <w:rFonts w:hint="eastAsia" w:cs="宋体"/>
                <w:color w:val="auto"/>
                <w:kern w:val="0"/>
                <w:sz w:val="21"/>
                <w:szCs w:val="21"/>
              </w:rPr>
              <w:t>市局、区局、市场所用户</w:t>
            </w:r>
          </w:p>
        </w:tc>
        <w:tc>
          <w:tcPr>
            <w:tcW w:w="1660" w:type="dxa"/>
            <w:tcBorders>
              <w:top w:val="nil"/>
              <w:left w:val="nil"/>
              <w:bottom w:val="single" w:color="auto" w:sz="4" w:space="0"/>
              <w:right w:val="single" w:color="auto" w:sz="4" w:space="0"/>
            </w:tcBorders>
            <w:vAlign w:val="center"/>
          </w:tcPr>
          <w:p w14:paraId="7DC821F3">
            <w:pPr>
              <w:widowControl/>
              <w:ind w:firstLine="0" w:firstLineChars="0"/>
              <w:jc w:val="center"/>
              <w:rPr>
                <w:rFonts w:hint="eastAsia"/>
                <w:color w:val="auto"/>
                <w:kern w:val="0"/>
                <w:sz w:val="21"/>
                <w:szCs w:val="21"/>
              </w:rPr>
            </w:pPr>
            <w:r>
              <w:rPr>
                <w:color w:val="auto"/>
                <w:kern w:val="0"/>
                <w:sz w:val="21"/>
                <w:szCs w:val="21"/>
              </w:rPr>
              <w:t>1350</w:t>
            </w:r>
          </w:p>
        </w:tc>
      </w:tr>
      <w:tr w14:paraId="580DC223">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02ADA8A2">
            <w:pPr>
              <w:widowControl/>
              <w:ind w:firstLine="0" w:firstLineChars="0"/>
              <w:jc w:val="center"/>
              <w:rPr>
                <w:rFonts w:hint="eastAsia"/>
                <w:color w:val="auto"/>
                <w:kern w:val="0"/>
                <w:sz w:val="21"/>
                <w:szCs w:val="21"/>
              </w:rPr>
            </w:pPr>
            <w:r>
              <w:rPr>
                <w:color w:val="auto"/>
                <w:kern w:val="0"/>
                <w:sz w:val="21"/>
                <w:szCs w:val="21"/>
              </w:rPr>
              <w:t>6</w:t>
            </w:r>
          </w:p>
        </w:tc>
        <w:tc>
          <w:tcPr>
            <w:tcW w:w="3340" w:type="dxa"/>
            <w:tcBorders>
              <w:top w:val="nil"/>
              <w:left w:val="nil"/>
              <w:bottom w:val="single" w:color="auto" w:sz="4" w:space="0"/>
              <w:right w:val="single" w:color="auto" w:sz="4" w:space="0"/>
            </w:tcBorders>
            <w:vAlign w:val="center"/>
          </w:tcPr>
          <w:p w14:paraId="2F2D8817">
            <w:pPr>
              <w:widowControl/>
              <w:ind w:firstLine="0" w:firstLineChars="0"/>
              <w:jc w:val="center"/>
              <w:rPr>
                <w:rFonts w:hint="eastAsia" w:cs="宋体"/>
                <w:color w:val="auto"/>
                <w:kern w:val="0"/>
                <w:sz w:val="21"/>
                <w:szCs w:val="21"/>
              </w:rPr>
            </w:pPr>
            <w:r>
              <w:rPr>
                <w:rFonts w:hint="eastAsia" w:cs="宋体"/>
                <w:color w:val="auto"/>
                <w:kern w:val="0"/>
                <w:sz w:val="21"/>
                <w:szCs w:val="21"/>
              </w:rPr>
              <w:t>市场监管行政执法电子证据管理</w:t>
            </w:r>
          </w:p>
        </w:tc>
        <w:tc>
          <w:tcPr>
            <w:tcW w:w="2700" w:type="dxa"/>
            <w:tcBorders>
              <w:top w:val="nil"/>
              <w:left w:val="nil"/>
              <w:bottom w:val="single" w:color="auto" w:sz="4" w:space="0"/>
              <w:right w:val="single" w:color="auto" w:sz="4" w:space="0"/>
            </w:tcBorders>
            <w:vAlign w:val="center"/>
          </w:tcPr>
          <w:p w14:paraId="4E6576AE">
            <w:pPr>
              <w:widowControl/>
              <w:ind w:firstLine="0" w:firstLineChars="0"/>
              <w:jc w:val="center"/>
              <w:rPr>
                <w:rFonts w:hint="eastAsia" w:cs="宋体"/>
                <w:color w:val="auto"/>
                <w:kern w:val="0"/>
                <w:sz w:val="21"/>
                <w:szCs w:val="21"/>
              </w:rPr>
            </w:pPr>
            <w:r>
              <w:rPr>
                <w:rFonts w:hint="eastAsia" w:cs="宋体"/>
                <w:color w:val="auto"/>
                <w:kern w:val="0"/>
                <w:sz w:val="21"/>
                <w:szCs w:val="21"/>
              </w:rPr>
              <w:t>市局、区局、市场所用户</w:t>
            </w:r>
          </w:p>
        </w:tc>
        <w:tc>
          <w:tcPr>
            <w:tcW w:w="1660" w:type="dxa"/>
            <w:tcBorders>
              <w:top w:val="nil"/>
              <w:left w:val="nil"/>
              <w:bottom w:val="single" w:color="auto" w:sz="4" w:space="0"/>
              <w:right w:val="single" w:color="auto" w:sz="4" w:space="0"/>
            </w:tcBorders>
            <w:vAlign w:val="center"/>
          </w:tcPr>
          <w:p w14:paraId="22FDD1B7">
            <w:pPr>
              <w:widowControl/>
              <w:ind w:firstLine="0" w:firstLineChars="0"/>
              <w:jc w:val="center"/>
              <w:rPr>
                <w:rFonts w:hint="eastAsia"/>
                <w:color w:val="auto"/>
                <w:kern w:val="0"/>
                <w:sz w:val="21"/>
                <w:szCs w:val="21"/>
              </w:rPr>
            </w:pPr>
            <w:r>
              <w:rPr>
                <w:color w:val="auto"/>
                <w:kern w:val="0"/>
                <w:sz w:val="21"/>
                <w:szCs w:val="21"/>
              </w:rPr>
              <w:t>5000</w:t>
            </w:r>
          </w:p>
        </w:tc>
      </w:tr>
      <w:tr w14:paraId="75C8F362">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19A6DEAE">
            <w:pPr>
              <w:widowControl/>
              <w:ind w:firstLine="0" w:firstLineChars="0"/>
              <w:jc w:val="center"/>
              <w:rPr>
                <w:rFonts w:hint="eastAsia"/>
                <w:color w:val="auto"/>
                <w:kern w:val="0"/>
                <w:sz w:val="21"/>
                <w:szCs w:val="21"/>
              </w:rPr>
            </w:pPr>
            <w:r>
              <w:rPr>
                <w:color w:val="auto"/>
                <w:kern w:val="0"/>
                <w:sz w:val="21"/>
                <w:szCs w:val="21"/>
              </w:rPr>
              <w:t>7</w:t>
            </w:r>
          </w:p>
        </w:tc>
        <w:tc>
          <w:tcPr>
            <w:tcW w:w="3340" w:type="dxa"/>
            <w:vMerge w:val="restart"/>
            <w:tcBorders>
              <w:top w:val="nil"/>
              <w:left w:val="single" w:color="auto" w:sz="4" w:space="0"/>
              <w:bottom w:val="single" w:color="auto" w:sz="4" w:space="0"/>
              <w:right w:val="single" w:color="auto" w:sz="4" w:space="0"/>
            </w:tcBorders>
            <w:vAlign w:val="center"/>
          </w:tcPr>
          <w:p w14:paraId="66D14ACE">
            <w:pPr>
              <w:widowControl/>
              <w:ind w:firstLine="0" w:firstLineChars="0"/>
              <w:jc w:val="center"/>
              <w:rPr>
                <w:rFonts w:hint="eastAsia" w:cs="宋体"/>
                <w:color w:val="auto"/>
                <w:kern w:val="0"/>
                <w:sz w:val="21"/>
                <w:szCs w:val="21"/>
              </w:rPr>
            </w:pPr>
            <w:r>
              <w:rPr>
                <w:rFonts w:hint="eastAsia" w:cs="宋体"/>
                <w:color w:val="auto"/>
                <w:kern w:val="0"/>
                <w:sz w:val="21"/>
                <w:szCs w:val="21"/>
              </w:rPr>
              <w:t>放心消费行动</w:t>
            </w:r>
          </w:p>
        </w:tc>
        <w:tc>
          <w:tcPr>
            <w:tcW w:w="2700" w:type="dxa"/>
            <w:tcBorders>
              <w:top w:val="nil"/>
              <w:left w:val="nil"/>
              <w:bottom w:val="single" w:color="auto" w:sz="4" w:space="0"/>
              <w:right w:val="single" w:color="auto" w:sz="4" w:space="0"/>
            </w:tcBorders>
            <w:vAlign w:val="center"/>
          </w:tcPr>
          <w:p w14:paraId="5E4910FD">
            <w:pPr>
              <w:widowControl/>
              <w:ind w:firstLine="0" w:firstLineChars="0"/>
              <w:jc w:val="center"/>
              <w:rPr>
                <w:rFonts w:hint="eastAsia" w:cs="宋体"/>
                <w:color w:val="auto"/>
                <w:kern w:val="0"/>
                <w:sz w:val="21"/>
                <w:szCs w:val="21"/>
              </w:rPr>
            </w:pPr>
            <w:r>
              <w:rPr>
                <w:rFonts w:hint="eastAsia" w:cs="宋体"/>
                <w:color w:val="auto"/>
                <w:kern w:val="0"/>
                <w:sz w:val="21"/>
                <w:szCs w:val="21"/>
              </w:rPr>
              <w:t>市局、区局、市场所用户</w:t>
            </w:r>
          </w:p>
        </w:tc>
        <w:tc>
          <w:tcPr>
            <w:tcW w:w="1660" w:type="dxa"/>
            <w:tcBorders>
              <w:top w:val="nil"/>
              <w:left w:val="nil"/>
              <w:bottom w:val="single" w:color="auto" w:sz="4" w:space="0"/>
              <w:right w:val="single" w:color="auto" w:sz="4" w:space="0"/>
            </w:tcBorders>
            <w:vAlign w:val="center"/>
          </w:tcPr>
          <w:p w14:paraId="1ADEF7EF">
            <w:pPr>
              <w:widowControl/>
              <w:ind w:firstLine="0" w:firstLineChars="0"/>
              <w:jc w:val="center"/>
              <w:rPr>
                <w:rFonts w:hint="eastAsia"/>
                <w:color w:val="auto"/>
                <w:kern w:val="0"/>
                <w:sz w:val="21"/>
                <w:szCs w:val="21"/>
              </w:rPr>
            </w:pPr>
            <w:r>
              <w:rPr>
                <w:color w:val="auto"/>
                <w:kern w:val="0"/>
                <w:sz w:val="21"/>
                <w:szCs w:val="21"/>
              </w:rPr>
              <w:t>1350</w:t>
            </w:r>
          </w:p>
        </w:tc>
      </w:tr>
      <w:tr w14:paraId="30510CD3">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02932944">
            <w:pPr>
              <w:widowControl/>
              <w:ind w:firstLine="0" w:firstLineChars="0"/>
              <w:jc w:val="center"/>
              <w:rPr>
                <w:rFonts w:hint="eastAsia"/>
                <w:color w:val="auto"/>
                <w:kern w:val="0"/>
                <w:sz w:val="21"/>
                <w:szCs w:val="21"/>
              </w:rPr>
            </w:pPr>
            <w:r>
              <w:rPr>
                <w:color w:val="auto"/>
                <w:kern w:val="0"/>
                <w:sz w:val="21"/>
                <w:szCs w:val="21"/>
              </w:rPr>
              <w:t>8</w:t>
            </w:r>
          </w:p>
        </w:tc>
        <w:tc>
          <w:tcPr>
            <w:tcW w:w="3340" w:type="dxa"/>
            <w:vMerge w:val="continue"/>
            <w:tcBorders>
              <w:top w:val="nil"/>
              <w:left w:val="single" w:color="auto" w:sz="4" w:space="0"/>
              <w:bottom w:val="single" w:color="auto" w:sz="4" w:space="0"/>
              <w:right w:val="single" w:color="auto" w:sz="4" w:space="0"/>
            </w:tcBorders>
            <w:vAlign w:val="center"/>
          </w:tcPr>
          <w:p w14:paraId="1E93F18C">
            <w:pPr>
              <w:widowControl/>
              <w:ind w:firstLine="0" w:firstLineChars="0"/>
              <w:jc w:val="left"/>
              <w:rPr>
                <w:rFonts w:hint="eastAsia" w:cs="宋体"/>
                <w:color w:val="auto"/>
                <w:kern w:val="0"/>
                <w:sz w:val="21"/>
                <w:szCs w:val="21"/>
              </w:rPr>
            </w:pPr>
          </w:p>
        </w:tc>
        <w:tc>
          <w:tcPr>
            <w:tcW w:w="2700" w:type="dxa"/>
            <w:tcBorders>
              <w:top w:val="nil"/>
              <w:left w:val="nil"/>
              <w:bottom w:val="single" w:color="auto" w:sz="4" w:space="0"/>
              <w:right w:val="single" w:color="auto" w:sz="4" w:space="0"/>
            </w:tcBorders>
            <w:vAlign w:val="center"/>
          </w:tcPr>
          <w:p w14:paraId="5AF573A1">
            <w:pPr>
              <w:widowControl/>
              <w:ind w:firstLine="0" w:firstLineChars="0"/>
              <w:jc w:val="center"/>
              <w:rPr>
                <w:rFonts w:hint="eastAsia" w:cs="宋体"/>
                <w:color w:val="auto"/>
                <w:kern w:val="0"/>
                <w:sz w:val="21"/>
                <w:szCs w:val="21"/>
              </w:rPr>
            </w:pPr>
            <w:r>
              <w:rPr>
                <w:rFonts w:hint="eastAsia" w:cs="宋体"/>
                <w:color w:val="auto"/>
                <w:kern w:val="0"/>
                <w:sz w:val="21"/>
                <w:szCs w:val="21"/>
              </w:rPr>
              <w:t>企业</w:t>
            </w:r>
            <w:r>
              <w:rPr>
                <w:color w:val="auto"/>
                <w:kern w:val="0"/>
                <w:sz w:val="21"/>
                <w:szCs w:val="21"/>
              </w:rPr>
              <w:t>/</w:t>
            </w:r>
            <w:r>
              <w:rPr>
                <w:rFonts w:hint="eastAsia" w:cs="宋体"/>
                <w:color w:val="auto"/>
                <w:kern w:val="0"/>
                <w:sz w:val="21"/>
                <w:szCs w:val="21"/>
              </w:rPr>
              <w:t>公众</w:t>
            </w:r>
          </w:p>
        </w:tc>
        <w:tc>
          <w:tcPr>
            <w:tcW w:w="1660" w:type="dxa"/>
            <w:tcBorders>
              <w:top w:val="nil"/>
              <w:left w:val="nil"/>
              <w:bottom w:val="single" w:color="auto" w:sz="4" w:space="0"/>
              <w:right w:val="single" w:color="auto" w:sz="4" w:space="0"/>
            </w:tcBorders>
            <w:vAlign w:val="center"/>
          </w:tcPr>
          <w:p w14:paraId="0AA8F8DE">
            <w:pPr>
              <w:widowControl/>
              <w:ind w:firstLine="0" w:firstLineChars="0"/>
              <w:jc w:val="center"/>
              <w:rPr>
                <w:rFonts w:hint="eastAsia"/>
                <w:color w:val="auto"/>
                <w:kern w:val="0"/>
                <w:sz w:val="21"/>
                <w:szCs w:val="21"/>
              </w:rPr>
            </w:pPr>
            <w:r>
              <w:rPr>
                <w:color w:val="auto"/>
                <w:kern w:val="0"/>
                <w:sz w:val="21"/>
                <w:szCs w:val="21"/>
              </w:rPr>
              <w:t>1000000</w:t>
            </w:r>
          </w:p>
        </w:tc>
      </w:tr>
      <w:tr w14:paraId="6CB7372E">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156F1C1D">
            <w:pPr>
              <w:widowControl/>
              <w:ind w:firstLine="0" w:firstLineChars="0"/>
              <w:jc w:val="center"/>
              <w:rPr>
                <w:rFonts w:hint="eastAsia"/>
                <w:color w:val="auto"/>
                <w:kern w:val="0"/>
                <w:sz w:val="21"/>
                <w:szCs w:val="21"/>
              </w:rPr>
            </w:pPr>
            <w:r>
              <w:rPr>
                <w:color w:val="auto"/>
                <w:kern w:val="0"/>
                <w:sz w:val="21"/>
                <w:szCs w:val="21"/>
              </w:rPr>
              <w:t>9</w:t>
            </w:r>
          </w:p>
        </w:tc>
        <w:tc>
          <w:tcPr>
            <w:tcW w:w="3340" w:type="dxa"/>
            <w:vMerge w:val="restart"/>
            <w:tcBorders>
              <w:top w:val="nil"/>
              <w:left w:val="single" w:color="auto" w:sz="4" w:space="0"/>
              <w:bottom w:val="single" w:color="auto" w:sz="4" w:space="0"/>
              <w:right w:val="single" w:color="auto" w:sz="4" w:space="0"/>
            </w:tcBorders>
            <w:vAlign w:val="center"/>
          </w:tcPr>
          <w:p w14:paraId="47D0E082">
            <w:pPr>
              <w:widowControl/>
              <w:ind w:firstLine="0" w:firstLineChars="0"/>
              <w:jc w:val="center"/>
              <w:rPr>
                <w:rFonts w:hint="eastAsia" w:cs="宋体"/>
                <w:color w:val="auto"/>
                <w:kern w:val="0"/>
                <w:sz w:val="21"/>
                <w:szCs w:val="21"/>
              </w:rPr>
            </w:pPr>
            <w:r>
              <w:rPr>
                <w:rFonts w:hint="eastAsia" w:cs="宋体"/>
                <w:color w:val="auto"/>
                <w:kern w:val="0"/>
                <w:sz w:val="21"/>
                <w:szCs w:val="21"/>
              </w:rPr>
              <w:t>质量基础设施一站式服务</w:t>
            </w:r>
          </w:p>
        </w:tc>
        <w:tc>
          <w:tcPr>
            <w:tcW w:w="2700" w:type="dxa"/>
            <w:tcBorders>
              <w:top w:val="nil"/>
              <w:left w:val="nil"/>
              <w:bottom w:val="single" w:color="auto" w:sz="4" w:space="0"/>
              <w:right w:val="single" w:color="auto" w:sz="4" w:space="0"/>
            </w:tcBorders>
            <w:vAlign w:val="center"/>
          </w:tcPr>
          <w:p w14:paraId="5C4EEB5E">
            <w:pPr>
              <w:widowControl/>
              <w:ind w:firstLine="0" w:firstLineChars="0"/>
              <w:jc w:val="center"/>
              <w:rPr>
                <w:rFonts w:hint="eastAsia" w:cs="宋体"/>
                <w:color w:val="auto"/>
                <w:kern w:val="0"/>
                <w:sz w:val="21"/>
                <w:szCs w:val="21"/>
              </w:rPr>
            </w:pPr>
            <w:r>
              <w:rPr>
                <w:rFonts w:hint="eastAsia" w:cs="宋体"/>
                <w:color w:val="auto"/>
                <w:kern w:val="0"/>
                <w:sz w:val="21"/>
                <w:szCs w:val="21"/>
              </w:rPr>
              <w:t>技术机构</w:t>
            </w:r>
            <w:r>
              <w:rPr>
                <w:color w:val="auto"/>
                <w:kern w:val="0"/>
                <w:sz w:val="21"/>
                <w:szCs w:val="21"/>
              </w:rPr>
              <w:t>/</w:t>
            </w:r>
            <w:r>
              <w:rPr>
                <w:rFonts w:hint="eastAsia" w:cs="宋体"/>
                <w:color w:val="auto"/>
                <w:kern w:val="0"/>
                <w:sz w:val="21"/>
                <w:szCs w:val="21"/>
              </w:rPr>
              <w:t>专业人员</w:t>
            </w:r>
          </w:p>
        </w:tc>
        <w:tc>
          <w:tcPr>
            <w:tcW w:w="1660" w:type="dxa"/>
            <w:tcBorders>
              <w:top w:val="nil"/>
              <w:left w:val="nil"/>
              <w:bottom w:val="single" w:color="auto" w:sz="4" w:space="0"/>
              <w:right w:val="single" w:color="auto" w:sz="4" w:space="0"/>
            </w:tcBorders>
            <w:vAlign w:val="center"/>
          </w:tcPr>
          <w:p w14:paraId="2853418A">
            <w:pPr>
              <w:widowControl/>
              <w:ind w:firstLine="0" w:firstLineChars="0"/>
              <w:jc w:val="center"/>
              <w:rPr>
                <w:rFonts w:hint="eastAsia"/>
                <w:color w:val="auto"/>
                <w:kern w:val="0"/>
                <w:sz w:val="21"/>
                <w:szCs w:val="21"/>
              </w:rPr>
            </w:pPr>
            <w:r>
              <w:rPr>
                <w:color w:val="auto"/>
                <w:kern w:val="0"/>
                <w:sz w:val="21"/>
                <w:szCs w:val="21"/>
              </w:rPr>
              <w:t>10000</w:t>
            </w:r>
          </w:p>
        </w:tc>
      </w:tr>
      <w:tr w14:paraId="28226980">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734C46C6">
            <w:pPr>
              <w:widowControl/>
              <w:ind w:firstLine="0" w:firstLineChars="0"/>
              <w:jc w:val="center"/>
              <w:rPr>
                <w:rFonts w:hint="eastAsia"/>
                <w:color w:val="auto"/>
                <w:kern w:val="0"/>
                <w:sz w:val="21"/>
                <w:szCs w:val="21"/>
              </w:rPr>
            </w:pPr>
            <w:r>
              <w:rPr>
                <w:color w:val="auto"/>
                <w:kern w:val="0"/>
                <w:sz w:val="21"/>
                <w:szCs w:val="21"/>
              </w:rPr>
              <w:t>10</w:t>
            </w:r>
          </w:p>
        </w:tc>
        <w:tc>
          <w:tcPr>
            <w:tcW w:w="3340" w:type="dxa"/>
            <w:vMerge w:val="continue"/>
            <w:tcBorders>
              <w:top w:val="nil"/>
              <w:left w:val="single" w:color="auto" w:sz="4" w:space="0"/>
              <w:bottom w:val="single" w:color="auto" w:sz="4" w:space="0"/>
              <w:right w:val="single" w:color="auto" w:sz="4" w:space="0"/>
            </w:tcBorders>
            <w:vAlign w:val="center"/>
          </w:tcPr>
          <w:p w14:paraId="1227F498">
            <w:pPr>
              <w:widowControl/>
              <w:ind w:firstLine="0" w:firstLineChars="0"/>
              <w:jc w:val="left"/>
              <w:rPr>
                <w:rFonts w:hint="eastAsia" w:cs="宋体"/>
                <w:color w:val="auto"/>
                <w:kern w:val="0"/>
                <w:sz w:val="21"/>
                <w:szCs w:val="21"/>
              </w:rPr>
            </w:pPr>
          </w:p>
        </w:tc>
        <w:tc>
          <w:tcPr>
            <w:tcW w:w="2700" w:type="dxa"/>
            <w:tcBorders>
              <w:top w:val="nil"/>
              <w:left w:val="nil"/>
              <w:bottom w:val="single" w:color="auto" w:sz="4" w:space="0"/>
              <w:right w:val="single" w:color="auto" w:sz="4" w:space="0"/>
            </w:tcBorders>
            <w:vAlign w:val="center"/>
          </w:tcPr>
          <w:p w14:paraId="3518FE21">
            <w:pPr>
              <w:widowControl/>
              <w:ind w:firstLine="0" w:firstLineChars="0"/>
              <w:jc w:val="center"/>
              <w:rPr>
                <w:rFonts w:hint="eastAsia" w:cs="宋体"/>
                <w:color w:val="auto"/>
                <w:kern w:val="0"/>
                <w:sz w:val="21"/>
                <w:szCs w:val="21"/>
              </w:rPr>
            </w:pPr>
            <w:r>
              <w:rPr>
                <w:rFonts w:hint="eastAsia" w:cs="宋体"/>
                <w:color w:val="auto"/>
                <w:kern w:val="0"/>
                <w:sz w:val="21"/>
                <w:szCs w:val="21"/>
              </w:rPr>
              <w:t>企业</w:t>
            </w:r>
            <w:r>
              <w:rPr>
                <w:color w:val="auto"/>
                <w:kern w:val="0"/>
                <w:sz w:val="21"/>
                <w:szCs w:val="21"/>
              </w:rPr>
              <w:t>/</w:t>
            </w:r>
            <w:r>
              <w:rPr>
                <w:rFonts w:hint="eastAsia" w:cs="宋体"/>
                <w:color w:val="auto"/>
                <w:kern w:val="0"/>
                <w:sz w:val="21"/>
                <w:szCs w:val="21"/>
              </w:rPr>
              <w:t>公众</w:t>
            </w:r>
          </w:p>
        </w:tc>
        <w:tc>
          <w:tcPr>
            <w:tcW w:w="1660" w:type="dxa"/>
            <w:tcBorders>
              <w:top w:val="nil"/>
              <w:left w:val="nil"/>
              <w:bottom w:val="single" w:color="auto" w:sz="4" w:space="0"/>
              <w:right w:val="single" w:color="auto" w:sz="4" w:space="0"/>
            </w:tcBorders>
            <w:vAlign w:val="center"/>
          </w:tcPr>
          <w:p w14:paraId="7B14317F">
            <w:pPr>
              <w:widowControl/>
              <w:ind w:firstLine="0" w:firstLineChars="0"/>
              <w:jc w:val="center"/>
              <w:rPr>
                <w:rFonts w:hint="eastAsia"/>
                <w:color w:val="auto"/>
                <w:kern w:val="0"/>
                <w:sz w:val="21"/>
                <w:szCs w:val="21"/>
              </w:rPr>
            </w:pPr>
            <w:r>
              <w:rPr>
                <w:color w:val="auto"/>
                <w:kern w:val="0"/>
                <w:sz w:val="21"/>
                <w:szCs w:val="21"/>
              </w:rPr>
              <w:t>1000000</w:t>
            </w:r>
          </w:p>
        </w:tc>
      </w:tr>
      <w:tr w14:paraId="0D0E98B2">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385ADFED">
            <w:pPr>
              <w:widowControl/>
              <w:ind w:firstLine="0" w:firstLineChars="0"/>
              <w:jc w:val="center"/>
              <w:rPr>
                <w:rFonts w:hint="eastAsia"/>
                <w:color w:val="auto"/>
                <w:kern w:val="0"/>
                <w:sz w:val="21"/>
                <w:szCs w:val="21"/>
              </w:rPr>
            </w:pPr>
            <w:r>
              <w:rPr>
                <w:color w:val="auto"/>
                <w:kern w:val="0"/>
                <w:sz w:val="21"/>
                <w:szCs w:val="21"/>
              </w:rPr>
              <w:t>11</w:t>
            </w:r>
          </w:p>
        </w:tc>
        <w:tc>
          <w:tcPr>
            <w:tcW w:w="3340" w:type="dxa"/>
            <w:tcBorders>
              <w:top w:val="nil"/>
              <w:left w:val="nil"/>
              <w:bottom w:val="single" w:color="auto" w:sz="4" w:space="0"/>
              <w:right w:val="single" w:color="auto" w:sz="4" w:space="0"/>
            </w:tcBorders>
            <w:vAlign w:val="center"/>
          </w:tcPr>
          <w:p w14:paraId="7F187DC0">
            <w:pPr>
              <w:widowControl/>
              <w:ind w:firstLine="0" w:firstLineChars="0"/>
              <w:jc w:val="center"/>
              <w:rPr>
                <w:rFonts w:hint="eastAsia" w:cs="宋体"/>
                <w:color w:val="auto"/>
                <w:kern w:val="0"/>
                <w:sz w:val="21"/>
                <w:szCs w:val="21"/>
              </w:rPr>
            </w:pPr>
            <w:r>
              <w:rPr>
                <w:rFonts w:hint="eastAsia" w:cs="宋体"/>
                <w:color w:val="auto"/>
                <w:kern w:val="0"/>
                <w:sz w:val="21"/>
                <w:szCs w:val="21"/>
              </w:rPr>
              <w:t>质量基础设施一站式管理</w:t>
            </w:r>
          </w:p>
        </w:tc>
        <w:tc>
          <w:tcPr>
            <w:tcW w:w="2700" w:type="dxa"/>
            <w:tcBorders>
              <w:top w:val="nil"/>
              <w:left w:val="nil"/>
              <w:bottom w:val="single" w:color="auto" w:sz="4" w:space="0"/>
              <w:right w:val="single" w:color="auto" w:sz="4" w:space="0"/>
            </w:tcBorders>
            <w:vAlign w:val="center"/>
          </w:tcPr>
          <w:p w14:paraId="73EAE579">
            <w:pPr>
              <w:widowControl/>
              <w:ind w:firstLine="0" w:firstLineChars="0"/>
              <w:jc w:val="center"/>
              <w:rPr>
                <w:rFonts w:hint="eastAsia" w:cs="宋体"/>
                <w:color w:val="auto"/>
                <w:kern w:val="0"/>
                <w:sz w:val="21"/>
                <w:szCs w:val="21"/>
              </w:rPr>
            </w:pPr>
            <w:r>
              <w:rPr>
                <w:rFonts w:hint="eastAsia" w:cs="宋体"/>
                <w:color w:val="auto"/>
                <w:kern w:val="0"/>
                <w:sz w:val="21"/>
                <w:szCs w:val="21"/>
              </w:rPr>
              <w:t>市局、区局、市场所用户</w:t>
            </w:r>
          </w:p>
        </w:tc>
        <w:tc>
          <w:tcPr>
            <w:tcW w:w="1660" w:type="dxa"/>
            <w:tcBorders>
              <w:top w:val="nil"/>
              <w:left w:val="nil"/>
              <w:bottom w:val="single" w:color="auto" w:sz="4" w:space="0"/>
              <w:right w:val="single" w:color="auto" w:sz="4" w:space="0"/>
            </w:tcBorders>
            <w:vAlign w:val="center"/>
          </w:tcPr>
          <w:p w14:paraId="02A99EC5">
            <w:pPr>
              <w:widowControl/>
              <w:ind w:firstLine="0" w:firstLineChars="0"/>
              <w:jc w:val="center"/>
              <w:rPr>
                <w:rFonts w:hint="eastAsia"/>
                <w:color w:val="auto"/>
                <w:kern w:val="0"/>
                <w:sz w:val="21"/>
                <w:szCs w:val="21"/>
              </w:rPr>
            </w:pPr>
            <w:r>
              <w:rPr>
                <w:color w:val="auto"/>
                <w:kern w:val="0"/>
                <w:sz w:val="21"/>
                <w:szCs w:val="21"/>
              </w:rPr>
              <w:t>1350</w:t>
            </w:r>
          </w:p>
        </w:tc>
      </w:tr>
      <w:tr w14:paraId="3749E6CD">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64552CDE">
            <w:pPr>
              <w:widowControl/>
              <w:ind w:firstLine="0" w:firstLineChars="0"/>
              <w:jc w:val="center"/>
              <w:rPr>
                <w:rFonts w:hint="eastAsia"/>
                <w:color w:val="auto"/>
                <w:kern w:val="0"/>
                <w:sz w:val="21"/>
                <w:szCs w:val="21"/>
              </w:rPr>
            </w:pPr>
            <w:r>
              <w:rPr>
                <w:color w:val="auto"/>
                <w:kern w:val="0"/>
                <w:sz w:val="21"/>
                <w:szCs w:val="21"/>
              </w:rPr>
              <w:t>1</w:t>
            </w:r>
            <w:r>
              <w:rPr>
                <w:rFonts w:hint="eastAsia"/>
                <w:color w:val="auto"/>
                <w:kern w:val="0"/>
                <w:sz w:val="21"/>
                <w:szCs w:val="21"/>
              </w:rPr>
              <w:t>2</w:t>
            </w:r>
          </w:p>
        </w:tc>
        <w:tc>
          <w:tcPr>
            <w:tcW w:w="3340" w:type="dxa"/>
            <w:vMerge w:val="restart"/>
            <w:tcBorders>
              <w:top w:val="nil"/>
              <w:left w:val="single" w:color="auto" w:sz="4" w:space="0"/>
              <w:bottom w:val="single" w:color="auto" w:sz="4" w:space="0"/>
              <w:right w:val="single" w:color="auto" w:sz="4" w:space="0"/>
            </w:tcBorders>
            <w:vAlign w:val="center"/>
          </w:tcPr>
          <w:p w14:paraId="41FE5787">
            <w:pPr>
              <w:widowControl/>
              <w:ind w:firstLine="0" w:firstLineChars="0"/>
              <w:jc w:val="center"/>
              <w:rPr>
                <w:rFonts w:hint="eastAsia" w:cs="宋体"/>
                <w:color w:val="auto"/>
                <w:kern w:val="0"/>
                <w:sz w:val="21"/>
                <w:szCs w:val="21"/>
              </w:rPr>
            </w:pPr>
            <w:r>
              <w:rPr>
                <w:rFonts w:hint="eastAsia" w:cs="宋体"/>
                <w:color w:val="auto"/>
                <w:kern w:val="0"/>
                <w:sz w:val="21"/>
                <w:szCs w:val="21"/>
              </w:rPr>
              <w:t>数字档案</w:t>
            </w:r>
          </w:p>
        </w:tc>
        <w:tc>
          <w:tcPr>
            <w:tcW w:w="2700" w:type="dxa"/>
            <w:tcBorders>
              <w:top w:val="nil"/>
              <w:left w:val="nil"/>
              <w:bottom w:val="single" w:color="auto" w:sz="4" w:space="0"/>
              <w:right w:val="single" w:color="auto" w:sz="4" w:space="0"/>
            </w:tcBorders>
            <w:vAlign w:val="center"/>
          </w:tcPr>
          <w:p w14:paraId="7C99A378">
            <w:pPr>
              <w:widowControl/>
              <w:ind w:firstLine="0" w:firstLineChars="0"/>
              <w:jc w:val="center"/>
              <w:rPr>
                <w:rFonts w:hint="eastAsia" w:cs="宋体"/>
                <w:color w:val="auto"/>
                <w:kern w:val="0"/>
                <w:sz w:val="21"/>
                <w:szCs w:val="21"/>
              </w:rPr>
            </w:pPr>
            <w:r>
              <w:rPr>
                <w:rFonts w:hint="eastAsia" w:cs="宋体"/>
                <w:color w:val="auto"/>
                <w:kern w:val="0"/>
                <w:sz w:val="21"/>
                <w:szCs w:val="21"/>
              </w:rPr>
              <w:t>市局、区局、市场所用户</w:t>
            </w:r>
          </w:p>
        </w:tc>
        <w:tc>
          <w:tcPr>
            <w:tcW w:w="1660" w:type="dxa"/>
            <w:tcBorders>
              <w:top w:val="nil"/>
              <w:left w:val="nil"/>
              <w:bottom w:val="single" w:color="auto" w:sz="4" w:space="0"/>
              <w:right w:val="single" w:color="auto" w:sz="4" w:space="0"/>
            </w:tcBorders>
            <w:vAlign w:val="center"/>
          </w:tcPr>
          <w:p w14:paraId="6039DBCF">
            <w:pPr>
              <w:widowControl/>
              <w:ind w:firstLine="0" w:firstLineChars="0"/>
              <w:jc w:val="center"/>
              <w:rPr>
                <w:rFonts w:hint="eastAsia"/>
                <w:color w:val="auto"/>
                <w:kern w:val="0"/>
                <w:sz w:val="21"/>
                <w:szCs w:val="21"/>
              </w:rPr>
            </w:pPr>
            <w:r>
              <w:rPr>
                <w:color w:val="auto"/>
                <w:kern w:val="0"/>
                <w:sz w:val="21"/>
                <w:szCs w:val="21"/>
              </w:rPr>
              <w:t>5000</w:t>
            </w:r>
          </w:p>
        </w:tc>
      </w:tr>
      <w:tr w14:paraId="0127D99E">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36085654">
            <w:pPr>
              <w:widowControl/>
              <w:ind w:firstLine="0" w:firstLineChars="0"/>
              <w:jc w:val="center"/>
              <w:rPr>
                <w:rFonts w:hint="eastAsia"/>
                <w:color w:val="auto"/>
                <w:kern w:val="0"/>
                <w:sz w:val="21"/>
                <w:szCs w:val="21"/>
              </w:rPr>
            </w:pPr>
            <w:r>
              <w:rPr>
                <w:color w:val="auto"/>
                <w:kern w:val="0"/>
                <w:sz w:val="21"/>
                <w:szCs w:val="21"/>
              </w:rPr>
              <w:t>1</w:t>
            </w:r>
            <w:r>
              <w:rPr>
                <w:rFonts w:hint="eastAsia"/>
                <w:color w:val="auto"/>
                <w:kern w:val="0"/>
                <w:sz w:val="21"/>
                <w:szCs w:val="21"/>
              </w:rPr>
              <w:t>3</w:t>
            </w:r>
          </w:p>
        </w:tc>
        <w:tc>
          <w:tcPr>
            <w:tcW w:w="3340" w:type="dxa"/>
            <w:vMerge w:val="continue"/>
            <w:tcBorders>
              <w:top w:val="nil"/>
              <w:left w:val="single" w:color="auto" w:sz="4" w:space="0"/>
              <w:bottom w:val="single" w:color="auto" w:sz="4" w:space="0"/>
              <w:right w:val="single" w:color="auto" w:sz="4" w:space="0"/>
            </w:tcBorders>
            <w:vAlign w:val="center"/>
          </w:tcPr>
          <w:p w14:paraId="162A1F80">
            <w:pPr>
              <w:widowControl/>
              <w:ind w:firstLine="0" w:firstLineChars="0"/>
              <w:jc w:val="left"/>
              <w:rPr>
                <w:rFonts w:hint="eastAsia" w:cs="宋体"/>
                <w:color w:val="auto"/>
                <w:kern w:val="0"/>
                <w:sz w:val="21"/>
                <w:szCs w:val="21"/>
              </w:rPr>
            </w:pPr>
          </w:p>
        </w:tc>
        <w:tc>
          <w:tcPr>
            <w:tcW w:w="2700" w:type="dxa"/>
            <w:tcBorders>
              <w:top w:val="nil"/>
              <w:left w:val="nil"/>
              <w:bottom w:val="single" w:color="auto" w:sz="4" w:space="0"/>
              <w:right w:val="single" w:color="auto" w:sz="4" w:space="0"/>
            </w:tcBorders>
            <w:vAlign w:val="center"/>
          </w:tcPr>
          <w:p w14:paraId="14A1E12E">
            <w:pPr>
              <w:widowControl/>
              <w:ind w:firstLine="0" w:firstLineChars="0"/>
              <w:jc w:val="center"/>
              <w:rPr>
                <w:rFonts w:hint="eastAsia" w:cs="宋体"/>
                <w:color w:val="auto"/>
                <w:kern w:val="0"/>
                <w:sz w:val="21"/>
                <w:szCs w:val="21"/>
              </w:rPr>
            </w:pPr>
            <w:r>
              <w:rPr>
                <w:rFonts w:hint="eastAsia" w:cs="宋体"/>
                <w:color w:val="auto"/>
                <w:kern w:val="0"/>
                <w:sz w:val="21"/>
                <w:szCs w:val="21"/>
              </w:rPr>
              <w:t>全市经营主体</w:t>
            </w:r>
          </w:p>
        </w:tc>
        <w:tc>
          <w:tcPr>
            <w:tcW w:w="1660" w:type="dxa"/>
            <w:tcBorders>
              <w:top w:val="nil"/>
              <w:left w:val="nil"/>
              <w:bottom w:val="single" w:color="auto" w:sz="4" w:space="0"/>
              <w:right w:val="single" w:color="auto" w:sz="4" w:space="0"/>
            </w:tcBorders>
            <w:vAlign w:val="center"/>
          </w:tcPr>
          <w:p w14:paraId="217A4ED6">
            <w:pPr>
              <w:widowControl/>
              <w:ind w:firstLine="0" w:firstLineChars="0"/>
              <w:jc w:val="center"/>
              <w:rPr>
                <w:rFonts w:hint="eastAsia"/>
                <w:color w:val="auto"/>
                <w:kern w:val="0"/>
                <w:sz w:val="21"/>
                <w:szCs w:val="21"/>
              </w:rPr>
            </w:pPr>
            <w:r>
              <w:rPr>
                <w:color w:val="auto"/>
                <w:kern w:val="0"/>
                <w:sz w:val="21"/>
                <w:szCs w:val="21"/>
              </w:rPr>
              <w:t>3400000</w:t>
            </w:r>
          </w:p>
        </w:tc>
      </w:tr>
      <w:tr w14:paraId="5A5994DE">
        <w:tblPrEx>
          <w:tblCellMar>
            <w:top w:w="0" w:type="dxa"/>
            <w:left w:w="108" w:type="dxa"/>
            <w:bottom w:w="0" w:type="dxa"/>
            <w:right w:w="108" w:type="dxa"/>
          </w:tblCellMar>
        </w:tblPrEx>
        <w:trPr>
          <w:trHeight w:val="280" w:hRule="atLeast"/>
        </w:trPr>
        <w:tc>
          <w:tcPr>
            <w:tcW w:w="700" w:type="dxa"/>
            <w:tcBorders>
              <w:top w:val="nil"/>
              <w:left w:val="single" w:color="auto" w:sz="4" w:space="0"/>
              <w:bottom w:val="single" w:color="auto" w:sz="4" w:space="0"/>
              <w:right w:val="single" w:color="auto" w:sz="4" w:space="0"/>
            </w:tcBorders>
            <w:vAlign w:val="center"/>
          </w:tcPr>
          <w:p w14:paraId="06E3501B">
            <w:pPr>
              <w:widowControl/>
              <w:ind w:firstLine="0" w:firstLineChars="0"/>
              <w:jc w:val="center"/>
              <w:rPr>
                <w:rFonts w:hint="eastAsia"/>
                <w:color w:val="auto"/>
                <w:kern w:val="0"/>
                <w:sz w:val="21"/>
                <w:szCs w:val="21"/>
              </w:rPr>
            </w:pPr>
            <w:r>
              <w:rPr>
                <w:color w:val="auto"/>
                <w:kern w:val="0"/>
                <w:sz w:val="21"/>
                <w:szCs w:val="21"/>
              </w:rPr>
              <w:t>1</w:t>
            </w:r>
            <w:r>
              <w:rPr>
                <w:rFonts w:hint="eastAsia"/>
                <w:color w:val="auto"/>
                <w:kern w:val="0"/>
                <w:sz w:val="21"/>
                <w:szCs w:val="21"/>
              </w:rPr>
              <w:t>4</w:t>
            </w:r>
          </w:p>
        </w:tc>
        <w:tc>
          <w:tcPr>
            <w:tcW w:w="3340" w:type="dxa"/>
            <w:vMerge w:val="continue"/>
            <w:tcBorders>
              <w:top w:val="nil"/>
              <w:left w:val="single" w:color="auto" w:sz="4" w:space="0"/>
              <w:bottom w:val="single" w:color="auto" w:sz="4" w:space="0"/>
              <w:right w:val="single" w:color="auto" w:sz="4" w:space="0"/>
            </w:tcBorders>
            <w:vAlign w:val="center"/>
          </w:tcPr>
          <w:p w14:paraId="7F1F5811">
            <w:pPr>
              <w:widowControl/>
              <w:ind w:firstLine="0" w:firstLineChars="0"/>
              <w:jc w:val="left"/>
              <w:rPr>
                <w:rFonts w:hint="eastAsia" w:cs="宋体"/>
                <w:color w:val="auto"/>
                <w:kern w:val="0"/>
                <w:sz w:val="21"/>
                <w:szCs w:val="21"/>
              </w:rPr>
            </w:pPr>
          </w:p>
        </w:tc>
        <w:tc>
          <w:tcPr>
            <w:tcW w:w="2700" w:type="dxa"/>
            <w:tcBorders>
              <w:top w:val="nil"/>
              <w:left w:val="nil"/>
              <w:bottom w:val="single" w:color="auto" w:sz="4" w:space="0"/>
              <w:right w:val="single" w:color="auto" w:sz="4" w:space="0"/>
            </w:tcBorders>
            <w:vAlign w:val="center"/>
          </w:tcPr>
          <w:p w14:paraId="02A36481">
            <w:pPr>
              <w:widowControl/>
              <w:ind w:firstLine="0" w:firstLineChars="0"/>
              <w:jc w:val="center"/>
              <w:rPr>
                <w:rFonts w:hint="eastAsia" w:cs="宋体"/>
                <w:color w:val="auto"/>
                <w:kern w:val="0"/>
                <w:sz w:val="21"/>
                <w:szCs w:val="21"/>
              </w:rPr>
            </w:pPr>
            <w:r>
              <w:rPr>
                <w:rFonts w:hint="eastAsia" w:cs="宋体"/>
                <w:color w:val="auto"/>
                <w:kern w:val="0"/>
                <w:sz w:val="21"/>
                <w:szCs w:val="21"/>
              </w:rPr>
              <w:t>公证员等公职人员</w:t>
            </w:r>
          </w:p>
        </w:tc>
        <w:tc>
          <w:tcPr>
            <w:tcW w:w="1660" w:type="dxa"/>
            <w:tcBorders>
              <w:top w:val="nil"/>
              <w:left w:val="nil"/>
              <w:bottom w:val="single" w:color="auto" w:sz="4" w:space="0"/>
              <w:right w:val="single" w:color="auto" w:sz="4" w:space="0"/>
            </w:tcBorders>
            <w:vAlign w:val="center"/>
          </w:tcPr>
          <w:p w14:paraId="03631C18">
            <w:pPr>
              <w:widowControl/>
              <w:ind w:firstLine="0" w:firstLineChars="0"/>
              <w:jc w:val="center"/>
              <w:rPr>
                <w:rFonts w:hint="eastAsia"/>
                <w:color w:val="auto"/>
                <w:kern w:val="0"/>
                <w:sz w:val="21"/>
                <w:szCs w:val="21"/>
              </w:rPr>
            </w:pPr>
            <w:r>
              <w:rPr>
                <w:color w:val="auto"/>
                <w:kern w:val="0"/>
                <w:sz w:val="21"/>
                <w:szCs w:val="21"/>
              </w:rPr>
              <w:t>5000</w:t>
            </w:r>
          </w:p>
        </w:tc>
      </w:tr>
    </w:tbl>
    <w:p w14:paraId="108BE7E3">
      <w:pPr>
        <w:rPr>
          <w:rFonts w:hint="eastAsia"/>
          <w:color w:val="auto"/>
        </w:rPr>
      </w:pPr>
    </w:p>
    <w:p w14:paraId="13515AFC">
      <w:pPr>
        <w:pStyle w:val="3"/>
        <w:rPr>
          <w:rFonts w:hint="eastAsia"/>
          <w:color w:val="auto"/>
        </w:rPr>
      </w:pPr>
      <w:r>
        <w:rPr>
          <w:rFonts w:hint="eastAsia"/>
          <w:color w:val="auto"/>
        </w:rPr>
        <w:t>业务绩效目标</w:t>
      </w:r>
    </w:p>
    <w:tbl>
      <w:tblPr>
        <w:tblStyle w:val="3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31"/>
        <w:gridCol w:w="847"/>
        <w:gridCol w:w="1266"/>
        <w:gridCol w:w="1267"/>
        <w:gridCol w:w="1018"/>
        <w:gridCol w:w="3097"/>
      </w:tblGrid>
      <w:tr w14:paraId="4951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58" w:type="dxa"/>
            <w:vAlign w:val="center"/>
          </w:tcPr>
          <w:p w14:paraId="594581C9">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序号</w:t>
            </w:r>
          </w:p>
        </w:tc>
        <w:tc>
          <w:tcPr>
            <w:tcW w:w="833" w:type="dxa"/>
            <w:vAlign w:val="center"/>
          </w:tcPr>
          <w:p w14:paraId="375B7AAA">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一级指标</w:t>
            </w:r>
          </w:p>
        </w:tc>
        <w:tc>
          <w:tcPr>
            <w:tcW w:w="849" w:type="dxa"/>
            <w:vAlign w:val="center"/>
          </w:tcPr>
          <w:p w14:paraId="3416225E">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二级指标</w:t>
            </w:r>
          </w:p>
        </w:tc>
        <w:tc>
          <w:tcPr>
            <w:tcW w:w="1271" w:type="dxa"/>
            <w:vAlign w:val="center"/>
          </w:tcPr>
          <w:p w14:paraId="4FBA10E9">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三级指标</w:t>
            </w:r>
          </w:p>
        </w:tc>
        <w:tc>
          <w:tcPr>
            <w:tcW w:w="1272" w:type="dxa"/>
            <w:vAlign w:val="center"/>
          </w:tcPr>
          <w:p w14:paraId="7369D31A">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四级指标</w:t>
            </w:r>
          </w:p>
        </w:tc>
        <w:tc>
          <w:tcPr>
            <w:tcW w:w="991" w:type="dxa"/>
            <w:vAlign w:val="center"/>
          </w:tcPr>
          <w:p w14:paraId="349EB1A4">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指标值</w:t>
            </w:r>
          </w:p>
        </w:tc>
        <w:tc>
          <w:tcPr>
            <w:tcW w:w="3110" w:type="dxa"/>
            <w:vAlign w:val="center"/>
          </w:tcPr>
          <w:p w14:paraId="04162E27">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指标解释</w:t>
            </w:r>
          </w:p>
        </w:tc>
      </w:tr>
      <w:tr w14:paraId="4EDC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458" w:type="dxa"/>
            <w:vAlign w:val="center"/>
          </w:tcPr>
          <w:p w14:paraId="1AB9A4BF">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1</w:t>
            </w:r>
          </w:p>
        </w:tc>
        <w:tc>
          <w:tcPr>
            <w:tcW w:w="833" w:type="dxa"/>
            <w:vMerge w:val="restart"/>
            <w:vAlign w:val="center"/>
          </w:tcPr>
          <w:p w14:paraId="4143A9A0">
            <w:pPr>
              <w:spacing w:line="0" w:lineRule="atLeast"/>
              <w:ind w:firstLine="0" w:firstLineChars="0"/>
              <w:jc w:val="center"/>
              <w:rPr>
                <w:rFonts w:hint="eastAsia" w:cs="Arial"/>
                <w:color w:val="auto"/>
                <w:sz w:val="21"/>
                <w:szCs w:val="21"/>
              </w:rPr>
            </w:pPr>
            <w:r>
              <w:rPr>
                <w:rFonts w:hint="eastAsia" w:cs="Arial"/>
                <w:color w:val="auto"/>
                <w:sz w:val="21"/>
                <w:szCs w:val="21"/>
              </w:rPr>
              <w:t>通用指标</w:t>
            </w:r>
          </w:p>
        </w:tc>
        <w:tc>
          <w:tcPr>
            <w:tcW w:w="849" w:type="dxa"/>
            <w:vAlign w:val="center"/>
          </w:tcPr>
          <w:p w14:paraId="74E630A9">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1271" w:type="dxa"/>
            <w:vAlign w:val="center"/>
          </w:tcPr>
          <w:p w14:paraId="7333C14C">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产出质量</w:t>
            </w:r>
          </w:p>
        </w:tc>
        <w:tc>
          <w:tcPr>
            <w:tcW w:w="1272" w:type="dxa"/>
            <w:vAlign w:val="center"/>
          </w:tcPr>
          <w:p w14:paraId="7F93B5DF">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一次性验收合格率</w:t>
            </w:r>
          </w:p>
        </w:tc>
        <w:tc>
          <w:tcPr>
            <w:tcW w:w="991" w:type="dxa"/>
            <w:vAlign w:val="center"/>
          </w:tcPr>
          <w:p w14:paraId="034B2104">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100%</w:t>
            </w:r>
          </w:p>
        </w:tc>
        <w:tc>
          <w:tcPr>
            <w:tcW w:w="3110" w:type="dxa"/>
            <w:vAlign w:val="center"/>
          </w:tcPr>
          <w:p w14:paraId="480FE977">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考察项目一次性验收质量情况。一次性通过即为合格率 100%，整改后通过记为60%，不通过记为 0。</w:t>
            </w:r>
          </w:p>
        </w:tc>
      </w:tr>
      <w:tr w14:paraId="6C22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6C21589C">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2</w:t>
            </w:r>
          </w:p>
        </w:tc>
        <w:tc>
          <w:tcPr>
            <w:tcW w:w="833" w:type="dxa"/>
            <w:vMerge w:val="continue"/>
            <w:vAlign w:val="center"/>
          </w:tcPr>
          <w:p w14:paraId="7956A7F9">
            <w:pPr>
              <w:spacing w:line="0" w:lineRule="atLeast"/>
              <w:ind w:firstLine="0" w:firstLineChars="0"/>
              <w:rPr>
                <w:rFonts w:hint="eastAsia" w:cs="Arial"/>
                <w:color w:val="auto"/>
                <w:sz w:val="21"/>
                <w:szCs w:val="21"/>
              </w:rPr>
            </w:pPr>
          </w:p>
        </w:tc>
        <w:tc>
          <w:tcPr>
            <w:tcW w:w="849" w:type="dxa"/>
            <w:vAlign w:val="center"/>
          </w:tcPr>
          <w:p w14:paraId="0B94E743">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1271" w:type="dxa"/>
            <w:vAlign w:val="center"/>
          </w:tcPr>
          <w:p w14:paraId="7C08BB98">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产出质量</w:t>
            </w:r>
          </w:p>
        </w:tc>
        <w:tc>
          <w:tcPr>
            <w:tcW w:w="1272" w:type="dxa"/>
            <w:vAlign w:val="center"/>
          </w:tcPr>
          <w:p w14:paraId="694E68F3">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数据安全事件发生次数</w:t>
            </w:r>
          </w:p>
        </w:tc>
        <w:tc>
          <w:tcPr>
            <w:tcW w:w="991" w:type="dxa"/>
            <w:vAlign w:val="center"/>
          </w:tcPr>
          <w:p w14:paraId="0B52F8D8">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0次</w:t>
            </w:r>
          </w:p>
        </w:tc>
        <w:tc>
          <w:tcPr>
            <w:tcW w:w="3110" w:type="dxa"/>
            <w:vAlign w:val="center"/>
          </w:tcPr>
          <w:p w14:paraId="75E64F23">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反映数据安全保障结果情况。指标值=数据安全事件发生次数。</w:t>
            </w:r>
          </w:p>
        </w:tc>
      </w:tr>
      <w:tr w14:paraId="4516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8" w:type="dxa"/>
            <w:vAlign w:val="center"/>
          </w:tcPr>
          <w:p w14:paraId="4A747C05">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3</w:t>
            </w:r>
          </w:p>
        </w:tc>
        <w:tc>
          <w:tcPr>
            <w:tcW w:w="833" w:type="dxa"/>
            <w:vMerge w:val="continue"/>
            <w:vAlign w:val="center"/>
          </w:tcPr>
          <w:p w14:paraId="6AEF4DE4">
            <w:pPr>
              <w:spacing w:line="0" w:lineRule="atLeast"/>
              <w:ind w:firstLine="0" w:firstLineChars="0"/>
              <w:rPr>
                <w:rFonts w:hint="eastAsia" w:cs="Arial"/>
                <w:color w:val="auto"/>
                <w:sz w:val="21"/>
                <w:szCs w:val="21"/>
              </w:rPr>
            </w:pPr>
          </w:p>
        </w:tc>
        <w:tc>
          <w:tcPr>
            <w:tcW w:w="849" w:type="dxa"/>
            <w:vAlign w:val="center"/>
          </w:tcPr>
          <w:p w14:paraId="0C6B6E0D">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1271" w:type="dxa"/>
            <w:vAlign w:val="center"/>
          </w:tcPr>
          <w:p w14:paraId="7B4A3169">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产出时效</w:t>
            </w:r>
          </w:p>
        </w:tc>
        <w:tc>
          <w:tcPr>
            <w:tcW w:w="1272" w:type="dxa"/>
            <w:vAlign w:val="center"/>
          </w:tcPr>
          <w:p w14:paraId="6DE6F0CD">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项目建设周期</w:t>
            </w:r>
          </w:p>
        </w:tc>
        <w:tc>
          <w:tcPr>
            <w:tcW w:w="991" w:type="dxa"/>
            <w:vAlign w:val="center"/>
          </w:tcPr>
          <w:p w14:paraId="7C6C0570">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12个月</w:t>
            </w:r>
          </w:p>
        </w:tc>
        <w:tc>
          <w:tcPr>
            <w:tcW w:w="3110" w:type="dxa"/>
            <w:vAlign w:val="center"/>
          </w:tcPr>
          <w:p w14:paraId="328F6840">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反映项目建设时间周期。指标值=建设周期</w:t>
            </w:r>
          </w:p>
        </w:tc>
      </w:tr>
      <w:tr w14:paraId="4877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68712845">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5</w:t>
            </w:r>
          </w:p>
        </w:tc>
        <w:tc>
          <w:tcPr>
            <w:tcW w:w="833" w:type="dxa"/>
            <w:vMerge w:val="continue"/>
            <w:vAlign w:val="center"/>
          </w:tcPr>
          <w:p w14:paraId="4DC74A57">
            <w:pPr>
              <w:spacing w:line="0" w:lineRule="atLeast"/>
              <w:ind w:firstLine="0" w:firstLineChars="0"/>
              <w:rPr>
                <w:rFonts w:hint="eastAsia" w:cs="Arial"/>
                <w:color w:val="auto"/>
                <w:sz w:val="21"/>
                <w:szCs w:val="21"/>
              </w:rPr>
            </w:pPr>
          </w:p>
        </w:tc>
        <w:tc>
          <w:tcPr>
            <w:tcW w:w="849" w:type="dxa"/>
            <w:vAlign w:val="center"/>
          </w:tcPr>
          <w:p w14:paraId="78D6448E">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共性平台</w:t>
            </w:r>
          </w:p>
        </w:tc>
        <w:tc>
          <w:tcPr>
            <w:tcW w:w="1271" w:type="dxa"/>
            <w:vAlign w:val="center"/>
          </w:tcPr>
          <w:p w14:paraId="3A60D1D8">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平台整合能力</w:t>
            </w:r>
          </w:p>
        </w:tc>
        <w:tc>
          <w:tcPr>
            <w:tcW w:w="1272" w:type="dxa"/>
            <w:vAlign w:val="center"/>
          </w:tcPr>
          <w:p w14:paraId="42B8C6BB">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部门使用率</w:t>
            </w:r>
          </w:p>
        </w:tc>
        <w:tc>
          <w:tcPr>
            <w:tcW w:w="991" w:type="dxa"/>
            <w:vAlign w:val="center"/>
          </w:tcPr>
          <w:p w14:paraId="1F9B32FF">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100%</w:t>
            </w:r>
          </w:p>
        </w:tc>
        <w:tc>
          <w:tcPr>
            <w:tcW w:w="3110" w:type="dxa"/>
            <w:vAlign w:val="center"/>
          </w:tcPr>
          <w:p w14:paraId="59672821">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反映系统服务各部门情况。指标值=使用系统的部门数量/计划服务的部门总数。</w:t>
            </w:r>
          </w:p>
        </w:tc>
      </w:tr>
      <w:tr w14:paraId="6087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0A2BC0B9">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6</w:t>
            </w:r>
          </w:p>
        </w:tc>
        <w:tc>
          <w:tcPr>
            <w:tcW w:w="833" w:type="dxa"/>
            <w:vMerge w:val="continue"/>
            <w:vAlign w:val="center"/>
          </w:tcPr>
          <w:p w14:paraId="372421F9">
            <w:pPr>
              <w:spacing w:line="0" w:lineRule="atLeast"/>
              <w:ind w:firstLine="0" w:firstLineChars="0"/>
              <w:rPr>
                <w:rFonts w:hint="eastAsia" w:cs="Arial"/>
                <w:color w:val="auto"/>
                <w:sz w:val="21"/>
                <w:szCs w:val="21"/>
              </w:rPr>
            </w:pPr>
          </w:p>
        </w:tc>
        <w:tc>
          <w:tcPr>
            <w:tcW w:w="849" w:type="dxa"/>
            <w:vAlign w:val="center"/>
          </w:tcPr>
          <w:p w14:paraId="16120DA8">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应用系统</w:t>
            </w:r>
          </w:p>
        </w:tc>
        <w:tc>
          <w:tcPr>
            <w:tcW w:w="1271" w:type="dxa"/>
            <w:vAlign w:val="center"/>
          </w:tcPr>
          <w:p w14:paraId="203D38E8">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驾驶舱</w:t>
            </w:r>
          </w:p>
        </w:tc>
        <w:tc>
          <w:tcPr>
            <w:tcW w:w="1272" w:type="dxa"/>
            <w:vAlign w:val="center"/>
          </w:tcPr>
          <w:p w14:paraId="1EBB3CFE">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移动看板指标数</w:t>
            </w:r>
          </w:p>
        </w:tc>
        <w:tc>
          <w:tcPr>
            <w:tcW w:w="991" w:type="dxa"/>
            <w:vAlign w:val="center"/>
          </w:tcPr>
          <w:p w14:paraId="1CDB2A64">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300个</w:t>
            </w:r>
          </w:p>
        </w:tc>
        <w:tc>
          <w:tcPr>
            <w:tcW w:w="3110" w:type="dxa"/>
            <w:vAlign w:val="center"/>
          </w:tcPr>
          <w:p w14:paraId="542174BA">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反映系统建设业务指标</w:t>
            </w:r>
          </w:p>
        </w:tc>
      </w:tr>
      <w:tr w14:paraId="14DD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75A60B39">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7</w:t>
            </w:r>
          </w:p>
        </w:tc>
        <w:tc>
          <w:tcPr>
            <w:tcW w:w="833" w:type="dxa"/>
            <w:vMerge w:val="continue"/>
            <w:vAlign w:val="center"/>
          </w:tcPr>
          <w:p w14:paraId="46F079E9">
            <w:pPr>
              <w:spacing w:line="0" w:lineRule="atLeast"/>
              <w:ind w:firstLine="0" w:firstLineChars="0"/>
              <w:rPr>
                <w:rFonts w:hint="eastAsia" w:cs="Arial"/>
                <w:color w:val="auto"/>
                <w:sz w:val="21"/>
                <w:szCs w:val="21"/>
              </w:rPr>
            </w:pPr>
          </w:p>
        </w:tc>
        <w:tc>
          <w:tcPr>
            <w:tcW w:w="849" w:type="dxa"/>
            <w:vAlign w:val="center"/>
          </w:tcPr>
          <w:p w14:paraId="33DD2F24">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应用系统</w:t>
            </w:r>
          </w:p>
        </w:tc>
        <w:tc>
          <w:tcPr>
            <w:tcW w:w="1271" w:type="dxa"/>
            <w:vAlign w:val="center"/>
          </w:tcPr>
          <w:p w14:paraId="3DDB0B4D">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特设码</w:t>
            </w:r>
          </w:p>
        </w:tc>
        <w:tc>
          <w:tcPr>
            <w:tcW w:w="1272" w:type="dxa"/>
            <w:vAlign w:val="center"/>
          </w:tcPr>
          <w:p w14:paraId="51B79939">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特设码累计绑码数量</w:t>
            </w:r>
          </w:p>
        </w:tc>
        <w:tc>
          <w:tcPr>
            <w:tcW w:w="991" w:type="dxa"/>
            <w:vAlign w:val="center"/>
          </w:tcPr>
          <w:p w14:paraId="7CED27A9">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30万</w:t>
            </w:r>
          </w:p>
        </w:tc>
        <w:tc>
          <w:tcPr>
            <w:tcW w:w="3110" w:type="dxa"/>
            <w:vAlign w:val="center"/>
          </w:tcPr>
          <w:p w14:paraId="695809E2">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反映系统建设业务指标</w:t>
            </w:r>
          </w:p>
        </w:tc>
      </w:tr>
      <w:tr w14:paraId="3BD2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143184A3">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8</w:t>
            </w:r>
          </w:p>
        </w:tc>
        <w:tc>
          <w:tcPr>
            <w:tcW w:w="833" w:type="dxa"/>
            <w:vMerge w:val="continue"/>
            <w:vAlign w:val="center"/>
          </w:tcPr>
          <w:p w14:paraId="2CCDA017">
            <w:pPr>
              <w:spacing w:line="0" w:lineRule="atLeast"/>
              <w:ind w:firstLine="0" w:firstLineChars="0"/>
              <w:rPr>
                <w:rFonts w:hint="eastAsia" w:cs="Arial"/>
                <w:color w:val="auto"/>
                <w:sz w:val="21"/>
                <w:szCs w:val="21"/>
              </w:rPr>
            </w:pPr>
          </w:p>
        </w:tc>
        <w:tc>
          <w:tcPr>
            <w:tcW w:w="849" w:type="dxa"/>
            <w:vAlign w:val="center"/>
          </w:tcPr>
          <w:p w14:paraId="65273B2A">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应用系统</w:t>
            </w:r>
          </w:p>
        </w:tc>
        <w:tc>
          <w:tcPr>
            <w:tcW w:w="1271" w:type="dxa"/>
            <w:vAlign w:val="center"/>
          </w:tcPr>
          <w:p w14:paraId="53CDD039">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综合监管专项支撑</w:t>
            </w:r>
          </w:p>
        </w:tc>
        <w:tc>
          <w:tcPr>
            <w:tcW w:w="1272" w:type="dxa"/>
            <w:vAlign w:val="center"/>
          </w:tcPr>
          <w:p w14:paraId="5EC6A005">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能力数量</w:t>
            </w:r>
          </w:p>
        </w:tc>
        <w:tc>
          <w:tcPr>
            <w:tcW w:w="991" w:type="dxa"/>
            <w:vAlign w:val="center"/>
          </w:tcPr>
          <w:p w14:paraId="6D800C2E">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39个</w:t>
            </w:r>
          </w:p>
        </w:tc>
        <w:tc>
          <w:tcPr>
            <w:tcW w:w="3110" w:type="dxa"/>
            <w:vAlign w:val="center"/>
          </w:tcPr>
          <w:p w14:paraId="5EC23108">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反映系统建设业务指标</w:t>
            </w:r>
          </w:p>
        </w:tc>
      </w:tr>
      <w:tr w14:paraId="5EC9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656FE76F">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9</w:t>
            </w:r>
          </w:p>
        </w:tc>
        <w:tc>
          <w:tcPr>
            <w:tcW w:w="833" w:type="dxa"/>
            <w:vMerge w:val="continue"/>
            <w:vAlign w:val="center"/>
          </w:tcPr>
          <w:p w14:paraId="66CE2BB2">
            <w:pPr>
              <w:spacing w:line="0" w:lineRule="atLeast"/>
              <w:ind w:firstLine="0" w:firstLineChars="0"/>
              <w:rPr>
                <w:rFonts w:hint="eastAsia" w:cs="Arial"/>
                <w:color w:val="auto"/>
                <w:sz w:val="21"/>
                <w:szCs w:val="21"/>
              </w:rPr>
            </w:pPr>
          </w:p>
        </w:tc>
        <w:tc>
          <w:tcPr>
            <w:tcW w:w="849" w:type="dxa"/>
            <w:vAlign w:val="center"/>
          </w:tcPr>
          <w:p w14:paraId="5EFF7502">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应用系统</w:t>
            </w:r>
          </w:p>
        </w:tc>
        <w:tc>
          <w:tcPr>
            <w:tcW w:w="1271" w:type="dxa"/>
            <w:vAlign w:val="center"/>
          </w:tcPr>
          <w:p w14:paraId="0FB54488">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电子证据平台</w:t>
            </w:r>
          </w:p>
        </w:tc>
        <w:tc>
          <w:tcPr>
            <w:tcW w:w="1272" w:type="dxa"/>
            <w:vAlign w:val="center"/>
          </w:tcPr>
          <w:p w14:paraId="5FD32C4B">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电子证据特征值上链比率</w:t>
            </w:r>
          </w:p>
        </w:tc>
        <w:tc>
          <w:tcPr>
            <w:tcW w:w="991" w:type="dxa"/>
            <w:vAlign w:val="center"/>
          </w:tcPr>
          <w:p w14:paraId="699ADC2F">
            <w:pPr>
              <w:spacing w:line="0" w:lineRule="atLeast"/>
              <w:ind w:firstLine="0" w:firstLineChars="0"/>
              <w:jc w:val="center"/>
              <w:rPr>
                <w:rFonts w:ascii="Arial" w:hAnsi="Arial" w:cs="Arial"/>
                <w:color w:val="auto"/>
                <w:sz w:val="21"/>
                <w:szCs w:val="21"/>
              </w:rPr>
            </w:pPr>
            <w:r>
              <w:rPr>
                <w:rFonts w:ascii="Arial" w:hAnsi="Arial" w:cs="Arial"/>
                <w:color w:val="auto"/>
                <w:sz w:val="21"/>
                <w:szCs w:val="21"/>
              </w:rPr>
              <w:t>99%</w:t>
            </w:r>
          </w:p>
        </w:tc>
        <w:tc>
          <w:tcPr>
            <w:tcW w:w="3110" w:type="dxa"/>
            <w:vAlign w:val="center"/>
          </w:tcPr>
          <w:p w14:paraId="3E68729F">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反映系统建设业务指标</w:t>
            </w:r>
          </w:p>
        </w:tc>
      </w:tr>
      <w:tr w14:paraId="400D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256262F6">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10</w:t>
            </w:r>
          </w:p>
        </w:tc>
        <w:tc>
          <w:tcPr>
            <w:tcW w:w="833" w:type="dxa"/>
            <w:vMerge w:val="continue"/>
            <w:vAlign w:val="center"/>
          </w:tcPr>
          <w:p w14:paraId="6E6F38A6">
            <w:pPr>
              <w:spacing w:line="0" w:lineRule="atLeast"/>
              <w:ind w:firstLine="0" w:firstLineChars="0"/>
              <w:rPr>
                <w:rFonts w:hint="eastAsia" w:cs="Arial"/>
                <w:color w:val="auto"/>
                <w:sz w:val="21"/>
                <w:szCs w:val="21"/>
              </w:rPr>
            </w:pPr>
          </w:p>
        </w:tc>
        <w:tc>
          <w:tcPr>
            <w:tcW w:w="849" w:type="dxa"/>
            <w:vAlign w:val="center"/>
          </w:tcPr>
          <w:p w14:paraId="469FD7A4">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应用系统</w:t>
            </w:r>
          </w:p>
        </w:tc>
        <w:tc>
          <w:tcPr>
            <w:tcW w:w="1271" w:type="dxa"/>
            <w:vAlign w:val="center"/>
          </w:tcPr>
          <w:p w14:paraId="2D838F11">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质量基础</w:t>
            </w:r>
          </w:p>
        </w:tc>
        <w:tc>
          <w:tcPr>
            <w:tcW w:w="1272" w:type="dxa"/>
            <w:vAlign w:val="center"/>
          </w:tcPr>
          <w:p w14:paraId="7635E595">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提供质量公示信息</w:t>
            </w:r>
          </w:p>
        </w:tc>
        <w:tc>
          <w:tcPr>
            <w:tcW w:w="991" w:type="dxa"/>
            <w:vAlign w:val="center"/>
          </w:tcPr>
          <w:p w14:paraId="3BFB17F5">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100000条</w:t>
            </w:r>
          </w:p>
        </w:tc>
        <w:tc>
          <w:tcPr>
            <w:tcW w:w="3110" w:type="dxa"/>
            <w:vAlign w:val="center"/>
          </w:tcPr>
          <w:p w14:paraId="404578EC">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反映系统建设业务指标</w:t>
            </w:r>
          </w:p>
        </w:tc>
      </w:tr>
      <w:tr w14:paraId="3BC4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42D987D7">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11</w:t>
            </w:r>
          </w:p>
        </w:tc>
        <w:tc>
          <w:tcPr>
            <w:tcW w:w="833" w:type="dxa"/>
            <w:vMerge w:val="continue"/>
            <w:vAlign w:val="center"/>
          </w:tcPr>
          <w:p w14:paraId="6CACF8E7">
            <w:pPr>
              <w:spacing w:line="0" w:lineRule="atLeast"/>
              <w:ind w:firstLine="0" w:firstLineChars="0"/>
              <w:rPr>
                <w:rFonts w:hint="eastAsia" w:cs="Arial"/>
                <w:color w:val="auto"/>
                <w:sz w:val="21"/>
                <w:szCs w:val="21"/>
              </w:rPr>
            </w:pPr>
          </w:p>
        </w:tc>
        <w:tc>
          <w:tcPr>
            <w:tcW w:w="849" w:type="dxa"/>
            <w:vAlign w:val="center"/>
          </w:tcPr>
          <w:p w14:paraId="26FC1DE7">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应用系统</w:t>
            </w:r>
          </w:p>
        </w:tc>
        <w:tc>
          <w:tcPr>
            <w:tcW w:w="1271" w:type="dxa"/>
            <w:vAlign w:val="center"/>
          </w:tcPr>
          <w:p w14:paraId="73259756">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数字档案</w:t>
            </w:r>
          </w:p>
        </w:tc>
        <w:tc>
          <w:tcPr>
            <w:tcW w:w="1272" w:type="dxa"/>
            <w:vAlign w:val="center"/>
          </w:tcPr>
          <w:p w14:paraId="37BC9101">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档案数字化率</w:t>
            </w:r>
          </w:p>
        </w:tc>
        <w:tc>
          <w:tcPr>
            <w:tcW w:w="991" w:type="dxa"/>
            <w:vAlign w:val="center"/>
          </w:tcPr>
          <w:p w14:paraId="24C62242">
            <w:pPr>
              <w:spacing w:line="0" w:lineRule="atLeast"/>
              <w:ind w:firstLine="0" w:firstLineChars="0"/>
              <w:jc w:val="center"/>
              <w:rPr>
                <w:rFonts w:ascii="Arial" w:hAnsi="Arial" w:cs="Arial"/>
                <w:color w:val="auto"/>
                <w:sz w:val="21"/>
                <w:szCs w:val="21"/>
              </w:rPr>
            </w:pPr>
            <w:r>
              <w:rPr>
                <w:rFonts w:ascii="Arial" w:hAnsi="Arial" w:cs="Arial"/>
                <w:color w:val="auto"/>
                <w:sz w:val="21"/>
                <w:szCs w:val="21"/>
              </w:rPr>
              <w:t>90%</w:t>
            </w:r>
          </w:p>
        </w:tc>
        <w:tc>
          <w:tcPr>
            <w:tcW w:w="3110" w:type="dxa"/>
            <w:vAlign w:val="center"/>
          </w:tcPr>
          <w:p w14:paraId="729F5BAE">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反映系统建设业务指标</w:t>
            </w:r>
          </w:p>
        </w:tc>
      </w:tr>
      <w:tr w14:paraId="31D5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8" w:type="dxa"/>
            <w:vAlign w:val="center"/>
          </w:tcPr>
          <w:p w14:paraId="418D7B48">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12</w:t>
            </w:r>
          </w:p>
        </w:tc>
        <w:tc>
          <w:tcPr>
            <w:tcW w:w="833" w:type="dxa"/>
            <w:vMerge w:val="continue"/>
            <w:vAlign w:val="center"/>
          </w:tcPr>
          <w:p w14:paraId="26A287A9">
            <w:pPr>
              <w:spacing w:line="0" w:lineRule="atLeast"/>
              <w:ind w:firstLine="0" w:firstLineChars="0"/>
              <w:rPr>
                <w:rFonts w:hint="eastAsia" w:cs="Arial"/>
                <w:color w:val="auto"/>
                <w:sz w:val="21"/>
                <w:szCs w:val="21"/>
              </w:rPr>
            </w:pPr>
          </w:p>
        </w:tc>
        <w:tc>
          <w:tcPr>
            <w:tcW w:w="849" w:type="dxa"/>
            <w:vAlign w:val="center"/>
          </w:tcPr>
          <w:p w14:paraId="13EA0245">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应用系统</w:t>
            </w:r>
          </w:p>
        </w:tc>
        <w:tc>
          <w:tcPr>
            <w:tcW w:w="1271" w:type="dxa"/>
            <w:vAlign w:val="center"/>
          </w:tcPr>
          <w:p w14:paraId="419E5EB5">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放心消费</w:t>
            </w:r>
          </w:p>
        </w:tc>
        <w:tc>
          <w:tcPr>
            <w:tcW w:w="1272" w:type="dxa"/>
            <w:vAlign w:val="center"/>
          </w:tcPr>
          <w:p w14:paraId="26B2E25C">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长三角放心消费单位</w:t>
            </w:r>
          </w:p>
        </w:tc>
        <w:tc>
          <w:tcPr>
            <w:tcW w:w="991" w:type="dxa"/>
            <w:vAlign w:val="center"/>
          </w:tcPr>
          <w:p w14:paraId="4869F7E0">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25万家</w:t>
            </w:r>
          </w:p>
        </w:tc>
        <w:tc>
          <w:tcPr>
            <w:tcW w:w="3110" w:type="dxa"/>
            <w:vAlign w:val="center"/>
          </w:tcPr>
          <w:p w14:paraId="397B26EE">
            <w:pPr>
              <w:spacing w:line="0" w:lineRule="atLeast"/>
              <w:ind w:firstLine="0" w:firstLineChars="0"/>
              <w:rPr>
                <w:rFonts w:hint="eastAsia" w:ascii="仿宋" w:hAnsi="仿宋" w:cs="Arial"/>
                <w:color w:val="auto"/>
                <w:sz w:val="21"/>
                <w:szCs w:val="21"/>
              </w:rPr>
            </w:pPr>
            <w:r>
              <w:rPr>
                <w:rFonts w:hint="eastAsia" w:ascii="仿宋" w:hAnsi="仿宋" w:cs="Arial"/>
                <w:color w:val="auto"/>
                <w:sz w:val="21"/>
                <w:szCs w:val="21"/>
              </w:rPr>
              <w:t>反映系统建设业务指标</w:t>
            </w:r>
          </w:p>
        </w:tc>
      </w:tr>
    </w:tbl>
    <w:p w14:paraId="516A9935">
      <w:pPr>
        <w:ind w:firstLine="482"/>
        <w:rPr>
          <w:rFonts w:hint="eastAsia"/>
          <w:b/>
          <w:color w:val="auto"/>
        </w:rPr>
      </w:pPr>
    </w:p>
    <w:p w14:paraId="043887F3">
      <w:pPr>
        <w:pStyle w:val="3"/>
        <w:rPr>
          <w:rFonts w:hint="eastAsia"/>
          <w:color w:val="auto"/>
        </w:rPr>
      </w:pPr>
      <w:r>
        <w:rPr>
          <w:rFonts w:hint="eastAsia"/>
          <w:color w:val="auto"/>
        </w:rPr>
        <w:t>技术绩效目标</w:t>
      </w:r>
    </w:p>
    <w:tbl>
      <w:tblPr>
        <w:tblStyle w:val="35"/>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32"/>
        <w:gridCol w:w="849"/>
        <w:gridCol w:w="990"/>
        <w:gridCol w:w="1273"/>
        <w:gridCol w:w="991"/>
        <w:gridCol w:w="3250"/>
      </w:tblGrid>
      <w:tr w14:paraId="4988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57" w:type="dxa"/>
            <w:vAlign w:val="center"/>
          </w:tcPr>
          <w:p w14:paraId="5EBB5827">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序号</w:t>
            </w:r>
          </w:p>
        </w:tc>
        <w:tc>
          <w:tcPr>
            <w:tcW w:w="832" w:type="dxa"/>
            <w:vAlign w:val="center"/>
          </w:tcPr>
          <w:p w14:paraId="5DDBAFB7">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一级指标</w:t>
            </w:r>
          </w:p>
        </w:tc>
        <w:tc>
          <w:tcPr>
            <w:tcW w:w="849" w:type="dxa"/>
            <w:vAlign w:val="center"/>
          </w:tcPr>
          <w:p w14:paraId="6A10CB71">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二级指标</w:t>
            </w:r>
          </w:p>
        </w:tc>
        <w:tc>
          <w:tcPr>
            <w:tcW w:w="990" w:type="dxa"/>
            <w:vAlign w:val="center"/>
          </w:tcPr>
          <w:p w14:paraId="3943D417">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三级指标</w:t>
            </w:r>
          </w:p>
        </w:tc>
        <w:tc>
          <w:tcPr>
            <w:tcW w:w="1273" w:type="dxa"/>
            <w:vAlign w:val="center"/>
          </w:tcPr>
          <w:p w14:paraId="7C6927F0">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四级指标</w:t>
            </w:r>
          </w:p>
        </w:tc>
        <w:tc>
          <w:tcPr>
            <w:tcW w:w="991" w:type="dxa"/>
            <w:vAlign w:val="center"/>
          </w:tcPr>
          <w:p w14:paraId="51E88140">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指标值</w:t>
            </w:r>
          </w:p>
        </w:tc>
        <w:tc>
          <w:tcPr>
            <w:tcW w:w="3250" w:type="dxa"/>
            <w:vAlign w:val="center"/>
          </w:tcPr>
          <w:p w14:paraId="1A82F6EF">
            <w:pPr>
              <w:spacing w:line="0" w:lineRule="atLeast"/>
              <w:ind w:firstLine="0" w:firstLineChars="0"/>
              <w:jc w:val="center"/>
              <w:rPr>
                <w:rFonts w:ascii="Arial" w:hAnsi="Arial" w:cs="Arial"/>
                <w:color w:val="auto"/>
                <w:sz w:val="21"/>
                <w:szCs w:val="21"/>
              </w:rPr>
            </w:pPr>
            <w:r>
              <w:rPr>
                <w:rFonts w:hint="eastAsia" w:ascii="仿宋" w:hAnsi="仿宋" w:cs="Arial"/>
                <w:b/>
                <w:bCs/>
                <w:color w:val="auto"/>
                <w:sz w:val="21"/>
                <w:szCs w:val="21"/>
              </w:rPr>
              <w:t>指标解释</w:t>
            </w:r>
          </w:p>
        </w:tc>
      </w:tr>
      <w:tr w14:paraId="274F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7" w:type="dxa"/>
            <w:vAlign w:val="center"/>
          </w:tcPr>
          <w:p w14:paraId="69715264">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1</w:t>
            </w:r>
          </w:p>
        </w:tc>
        <w:tc>
          <w:tcPr>
            <w:tcW w:w="832" w:type="dxa"/>
            <w:vMerge w:val="restart"/>
            <w:vAlign w:val="center"/>
          </w:tcPr>
          <w:p w14:paraId="09EA6BAB">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通用指标</w:t>
            </w:r>
          </w:p>
        </w:tc>
        <w:tc>
          <w:tcPr>
            <w:tcW w:w="849" w:type="dxa"/>
            <w:vAlign w:val="center"/>
          </w:tcPr>
          <w:p w14:paraId="27BEF64E">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990" w:type="dxa"/>
            <w:vAlign w:val="center"/>
          </w:tcPr>
          <w:p w14:paraId="4789F2D4">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产出数量</w:t>
            </w:r>
          </w:p>
        </w:tc>
        <w:tc>
          <w:tcPr>
            <w:tcW w:w="1273" w:type="dxa"/>
            <w:vAlign w:val="center"/>
          </w:tcPr>
          <w:p w14:paraId="55BA72C5">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软件开发完成率</w:t>
            </w:r>
          </w:p>
        </w:tc>
        <w:tc>
          <w:tcPr>
            <w:tcW w:w="991" w:type="dxa"/>
            <w:vAlign w:val="center"/>
          </w:tcPr>
          <w:p w14:paraId="5CD8F6DF">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100%</w:t>
            </w:r>
          </w:p>
        </w:tc>
        <w:tc>
          <w:tcPr>
            <w:tcW w:w="3250" w:type="dxa"/>
            <w:vAlign w:val="center"/>
          </w:tcPr>
          <w:p w14:paraId="78B5C71B">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反映按照项目方案设计，完成软件开发情况。指标值=完成开发的功能模块数量/计划开发的功能模块数量*100%</w:t>
            </w:r>
          </w:p>
        </w:tc>
      </w:tr>
      <w:tr w14:paraId="2985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7" w:type="dxa"/>
            <w:vAlign w:val="center"/>
          </w:tcPr>
          <w:p w14:paraId="4E97098A">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2</w:t>
            </w:r>
          </w:p>
        </w:tc>
        <w:tc>
          <w:tcPr>
            <w:tcW w:w="832" w:type="dxa"/>
            <w:vMerge w:val="continue"/>
            <w:vAlign w:val="center"/>
          </w:tcPr>
          <w:p w14:paraId="79A53CA5">
            <w:pPr>
              <w:spacing w:line="0" w:lineRule="atLeast"/>
              <w:ind w:firstLine="0" w:firstLineChars="0"/>
              <w:rPr>
                <w:rFonts w:ascii="Arial" w:hAnsi="Arial" w:cs="Arial"/>
                <w:color w:val="auto"/>
                <w:sz w:val="21"/>
                <w:szCs w:val="21"/>
              </w:rPr>
            </w:pPr>
          </w:p>
        </w:tc>
        <w:tc>
          <w:tcPr>
            <w:tcW w:w="849" w:type="dxa"/>
            <w:vAlign w:val="center"/>
          </w:tcPr>
          <w:p w14:paraId="1525DC22">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990" w:type="dxa"/>
            <w:vAlign w:val="center"/>
          </w:tcPr>
          <w:p w14:paraId="093E4D96">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产出数量</w:t>
            </w:r>
          </w:p>
        </w:tc>
        <w:tc>
          <w:tcPr>
            <w:tcW w:w="1273" w:type="dxa"/>
            <w:vAlign w:val="center"/>
          </w:tcPr>
          <w:p w14:paraId="525D8E8F">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硬件设备购置完成率</w:t>
            </w:r>
          </w:p>
        </w:tc>
        <w:tc>
          <w:tcPr>
            <w:tcW w:w="991" w:type="dxa"/>
            <w:vAlign w:val="center"/>
          </w:tcPr>
          <w:p w14:paraId="1B19F99E">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100%</w:t>
            </w:r>
          </w:p>
        </w:tc>
        <w:tc>
          <w:tcPr>
            <w:tcW w:w="3250" w:type="dxa"/>
            <w:vAlign w:val="center"/>
          </w:tcPr>
          <w:p w14:paraId="05781494">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反映按照项目方案设计，完成硬件设备购置情况。指标值=完成购置的硬件设备数量/计划购置的硬件设备数量*100%</w:t>
            </w:r>
          </w:p>
        </w:tc>
      </w:tr>
      <w:tr w14:paraId="2587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7" w:type="dxa"/>
            <w:vAlign w:val="center"/>
          </w:tcPr>
          <w:p w14:paraId="1B441F74">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3</w:t>
            </w:r>
          </w:p>
        </w:tc>
        <w:tc>
          <w:tcPr>
            <w:tcW w:w="832" w:type="dxa"/>
            <w:vMerge w:val="continue"/>
            <w:vAlign w:val="center"/>
          </w:tcPr>
          <w:p w14:paraId="2F01767A">
            <w:pPr>
              <w:spacing w:line="0" w:lineRule="atLeast"/>
              <w:ind w:firstLine="0" w:firstLineChars="0"/>
              <w:rPr>
                <w:rFonts w:ascii="Arial" w:hAnsi="Arial" w:cs="Arial"/>
                <w:color w:val="auto"/>
                <w:sz w:val="21"/>
                <w:szCs w:val="21"/>
              </w:rPr>
            </w:pPr>
          </w:p>
        </w:tc>
        <w:tc>
          <w:tcPr>
            <w:tcW w:w="849" w:type="dxa"/>
            <w:vAlign w:val="center"/>
          </w:tcPr>
          <w:p w14:paraId="3C39520E">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990" w:type="dxa"/>
            <w:vAlign w:val="center"/>
          </w:tcPr>
          <w:p w14:paraId="3E65C096">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产出质量</w:t>
            </w:r>
          </w:p>
        </w:tc>
        <w:tc>
          <w:tcPr>
            <w:tcW w:w="1273" w:type="dxa"/>
            <w:vAlign w:val="center"/>
          </w:tcPr>
          <w:p w14:paraId="47CF5572">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系统可靠性</w:t>
            </w:r>
          </w:p>
        </w:tc>
        <w:tc>
          <w:tcPr>
            <w:tcW w:w="991" w:type="dxa"/>
            <w:vAlign w:val="center"/>
          </w:tcPr>
          <w:p w14:paraId="7D3FA4EF">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100%</w:t>
            </w:r>
          </w:p>
        </w:tc>
        <w:tc>
          <w:tcPr>
            <w:tcW w:w="3250" w:type="dxa"/>
            <w:vAlign w:val="center"/>
          </w:tcPr>
          <w:p w14:paraId="46CF763E">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考察设备系统不间断运行情况。指标值=测试期设备系统连续运行时间/测试期时间*100%</w:t>
            </w:r>
          </w:p>
        </w:tc>
      </w:tr>
      <w:tr w14:paraId="1F37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3F287224">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4</w:t>
            </w:r>
          </w:p>
        </w:tc>
        <w:tc>
          <w:tcPr>
            <w:tcW w:w="832" w:type="dxa"/>
            <w:vMerge w:val="continue"/>
            <w:vAlign w:val="center"/>
          </w:tcPr>
          <w:p w14:paraId="1EF96816">
            <w:pPr>
              <w:spacing w:line="0" w:lineRule="atLeast"/>
              <w:ind w:firstLine="0" w:firstLineChars="0"/>
              <w:rPr>
                <w:rFonts w:ascii="Arial" w:hAnsi="Arial" w:cs="Arial"/>
                <w:color w:val="auto"/>
                <w:sz w:val="21"/>
                <w:szCs w:val="21"/>
              </w:rPr>
            </w:pPr>
          </w:p>
        </w:tc>
        <w:tc>
          <w:tcPr>
            <w:tcW w:w="849" w:type="dxa"/>
            <w:vAlign w:val="center"/>
          </w:tcPr>
          <w:p w14:paraId="378BF19A">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990" w:type="dxa"/>
            <w:vAlign w:val="center"/>
          </w:tcPr>
          <w:p w14:paraId="64A153F0">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产出质量</w:t>
            </w:r>
          </w:p>
        </w:tc>
        <w:tc>
          <w:tcPr>
            <w:tcW w:w="1273" w:type="dxa"/>
            <w:vAlign w:val="center"/>
          </w:tcPr>
          <w:p w14:paraId="660E0357">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软件测试达标</w:t>
            </w:r>
          </w:p>
        </w:tc>
        <w:tc>
          <w:tcPr>
            <w:tcW w:w="991" w:type="dxa"/>
            <w:vAlign w:val="center"/>
          </w:tcPr>
          <w:p w14:paraId="3E572083">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达标</w:t>
            </w:r>
          </w:p>
        </w:tc>
        <w:tc>
          <w:tcPr>
            <w:tcW w:w="3250" w:type="dxa"/>
            <w:vAlign w:val="center"/>
          </w:tcPr>
          <w:p w14:paraId="6C9CE485">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反映软件测试达标情况。指标值=测试结果</w:t>
            </w:r>
          </w:p>
        </w:tc>
      </w:tr>
      <w:tr w14:paraId="5EA5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267FC662">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5</w:t>
            </w:r>
          </w:p>
        </w:tc>
        <w:tc>
          <w:tcPr>
            <w:tcW w:w="832" w:type="dxa"/>
            <w:vMerge w:val="continue"/>
            <w:vAlign w:val="center"/>
          </w:tcPr>
          <w:p w14:paraId="54838B8F">
            <w:pPr>
              <w:spacing w:line="0" w:lineRule="atLeast"/>
              <w:ind w:firstLine="0" w:firstLineChars="0"/>
              <w:rPr>
                <w:rFonts w:ascii="Arial" w:hAnsi="Arial" w:cs="Arial"/>
                <w:color w:val="auto"/>
                <w:sz w:val="21"/>
                <w:szCs w:val="21"/>
              </w:rPr>
            </w:pPr>
          </w:p>
        </w:tc>
        <w:tc>
          <w:tcPr>
            <w:tcW w:w="849" w:type="dxa"/>
            <w:vAlign w:val="center"/>
          </w:tcPr>
          <w:p w14:paraId="6BAF2F73">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990" w:type="dxa"/>
            <w:vAlign w:val="center"/>
          </w:tcPr>
          <w:p w14:paraId="510B6646">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产出质量</w:t>
            </w:r>
          </w:p>
        </w:tc>
        <w:tc>
          <w:tcPr>
            <w:tcW w:w="1273" w:type="dxa"/>
            <w:vAlign w:val="center"/>
          </w:tcPr>
          <w:p w14:paraId="4AB5DC95">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密码测试达标</w:t>
            </w:r>
          </w:p>
        </w:tc>
        <w:tc>
          <w:tcPr>
            <w:tcW w:w="991" w:type="dxa"/>
            <w:vAlign w:val="center"/>
          </w:tcPr>
          <w:p w14:paraId="6D2170E2">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达标</w:t>
            </w:r>
          </w:p>
        </w:tc>
        <w:tc>
          <w:tcPr>
            <w:tcW w:w="3250" w:type="dxa"/>
            <w:vAlign w:val="center"/>
          </w:tcPr>
          <w:p w14:paraId="7F98F6B9">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反映密码测试达标情况。指标值=测试结果</w:t>
            </w:r>
          </w:p>
        </w:tc>
      </w:tr>
      <w:tr w14:paraId="68A8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7" w:type="dxa"/>
            <w:vAlign w:val="center"/>
          </w:tcPr>
          <w:p w14:paraId="650E45C8">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6</w:t>
            </w:r>
          </w:p>
        </w:tc>
        <w:tc>
          <w:tcPr>
            <w:tcW w:w="832" w:type="dxa"/>
            <w:vMerge w:val="continue"/>
            <w:vAlign w:val="center"/>
          </w:tcPr>
          <w:p w14:paraId="46B44CE2">
            <w:pPr>
              <w:spacing w:line="0" w:lineRule="atLeast"/>
              <w:ind w:firstLine="0" w:firstLineChars="0"/>
              <w:rPr>
                <w:rFonts w:ascii="Arial" w:hAnsi="Arial" w:cs="Arial"/>
                <w:color w:val="auto"/>
                <w:sz w:val="21"/>
                <w:szCs w:val="21"/>
              </w:rPr>
            </w:pPr>
          </w:p>
        </w:tc>
        <w:tc>
          <w:tcPr>
            <w:tcW w:w="849" w:type="dxa"/>
            <w:vAlign w:val="center"/>
          </w:tcPr>
          <w:p w14:paraId="3DA8ACD6">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990" w:type="dxa"/>
            <w:vAlign w:val="center"/>
          </w:tcPr>
          <w:p w14:paraId="23692843">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产出质量</w:t>
            </w:r>
          </w:p>
        </w:tc>
        <w:tc>
          <w:tcPr>
            <w:tcW w:w="1273" w:type="dxa"/>
            <w:vAlign w:val="center"/>
          </w:tcPr>
          <w:p w14:paraId="0E087468">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网络安全等级达标</w:t>
            </w:r>
          </w:p>
        </w:tc>
        <w:tc>
          <w:tcPr>
            <w:tcW w:w="991" w:type="dxa"/>
            <w:vAlign w:val="center"/>
          </w:tcPr>
          <w:p w14:paraId="566BC5E8">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三级</w:t>
            </w:r>
          </w:p>
        </w:tc>
        <w:tc>
          <w:tcPr>
            <w:tcW w:w="3250" w:type="dxa"/>
            <w:vAlign w:val="center"/>
          </w:tcPr>
          <w:p w14:paraId="56CEC027">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反映网络安全等级保护达标情况。指标值=网络安全等级保护测评结果</w:t>
            </w:r>
          </w:p>
        </w:tc>
      </w:tr>
      <w:tr w14:paraId="1A4C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0137B4C8">
            <w:pPr>
              <w:spacing w:line="0" w:lineRule="atLeast"/>
              <w:ind w:firstLine="0" w:firstLineChars="0"/>
              <w:jc w:val="center"/>
              <w:rPr>
                <w:rFonts w:hint="eastAsia" w:ascii="仿宋" w:hAnsi="仿宋" w:cs="Arial"/>
                <w:color w:val="auto"/>
                <w:sz w:val="21"/>
                <w:szCs w:val="21"/>
              </w:rPr>
            </w:pPr>
            <w:r>
              <w:rPr>
                <w:rFonts w:hint="eastAsia" w:ascii="仿宋" w:hAnsi="仿宋" w:cs="Arial"/>
                <w:color w:val="auto"/>
                <w:sz w:val="21"/>
                <w:szCs w:val="21"/>
              </w:rPr>
              <w:t>7</w:t>
            </w:r>
          </w:p>
        </w:tc>
        <w:tc>
          <w:tcPr>
            <w:tcW w:w="832" w:type="dxa"/>
            <w:vMerge w:val="continue"/>
            <w:vAlign w:val="center"/>
          </w:tcPr>
          <w:p w14:paraId="14D980F8">
            <w:pPr>
              <w:spacing w:line="0" w:lineRule="atLeast"/>
              <w:ind w:firstLine="0" w:firstLineChars="0"/>
              <w:rPr>
                <w:rFonts w:ascii="Arial" w:hAnsi="Arial" w:cs="Arial"/>
                <w:color w:val="auto"/>
                <w:sz w:val="21"/>
                <w:szCs w:val="21"/>
              </w:rPr>
            </w:pPr>
          </w:p>
        </w:tc>
        <w:tc>
          <w:tcPr>
            <w:tcW w:w="849" w:type="dxa"/>
            <w:vAlign w:val="center"/>
          </w:tcPr>
          <w:p w14:paraId="0A4AB544">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产出指标</w:t>
            </w:r>
          </w:p>
        </w:tc>
        <w:tc>
          <w:tcPr>
            <w:tcW w:w="990" w:type="dxa"/>
            <w:vAlign w:val="center"/>
          </w:tcPr>
          <w:p w14:paraId="0F05676F">
            <w:pPr>
              <w:spacing w:line="0" w:lineRule="atLeast"/>
              <w:ind w:firstLine="0" w:firstLineChars="0"/>
              <w:jc w:val="center"/>
              <w:rPr>
                <w:rFonts w:ascii="Arial" w:hAnsi="Arial" w:cs="Arial"/>
                <w:color w:val="auto"/>
                <w:sz w:val="21"/>
                <w:szCs w:val="21"/>
              </w:rPr>
            </w:pPr>
            <w:r>
              <w:rPr>
                <w:rFonts w:hint="eastAsia" w:ascii="仿宋" w:hAnsi="仿宋" w:cs="Arial"/>
                <w:color w:val="auto"/>
                <w:sz w:val="21"/>
                <w:szCs w:val="21"/>
              </w:rPr>
              <w:t>产出质量</w:t>
            </w:r>
          </w:p>
        </w:tc>
        <w:tc>
          <w:tcPr>
            <w:tcW w:w="1273" w:type="dxa"/>
            <w:vAlign w:val="center"/>
          </w:tcPr>
          <w:p w14:paraId="1AE4BB1B">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安全测试达标</w:t>
            </w:r>
          </w:p>
        </w:tc>
        <w:tc>
          <w:tcPr>
            <w:tcW w:w="991" w:type="dxa"/>
            <w:vAlign w:val="center"/>
          </w:tcPr>
          <w:p w14:paraId="3E0D8AA1">
            <w:pPr>
              <w:spacing w:line="0" w:lineRule="atLeast"/>
              <w:ind w:firstLine="0" w:firstLineChars="0"/>
              <w:jc w:val="center"/>
              <w:rPr>
                <w:rFonts w:ascii="Arial" w:hAnsi="Arial" w:cs="Arial"/>
                <w:color w:val="auto"/>
                <w:sz w:val="21"/>
                <w:szCs w:val="21"/>
              </w:rPr>
            </w:pPr>
            <w:r>
              <w:rPr>
                <w:rFonts w:hint="eastAsia" w:ascii="Arial" w:hAnsi="Arial" w:cs="Arial"/>
                <w:color w:val="auto"/>
                <w:sz w:val="21"/>
                <w:szCs w:val="21"/>
              </w:rPr>
              <w:t>达标</w:t>
            </w:r>
          </w:p>
        </w:tc>
        <w:tc>
          <w:tcPr>
            <w:tcW w:w="3250" w:type="dxa"/>
            <w:vAlign w:val="center"/>
          </w:tcPr>
          <w:p w14:paraId="47C9A825">
            <w:pPr>
              <w:spacing w:line="0" w:lineRule="atLeast"/>
              <w:ind w:firstLine="0" w:firstLineChars="0"/>
              <w:rPr>
                <w:rFonts w:ascii="Arial" w:hAnsi="Arial" w:cs="Arial"/>
                <w:color w:val="auto"/>
                <w:sz w:val="21"/>
                <w:szCs w:val="21"/>
              </w:rPr>
            </w:pPr>
            <w:r>
              <w:rPr>
                <w:rFonts w:hint="eastAsia" w:ascii="仿宋" w:hAnsi="仿宋" w:cs="Arial"/>
                <w:color w:val="auto"/>
                <w:sz w:val="21"/>
                <w:szCs w:val="21"/>
              </w:rPr>
              <w:t>反映安全测试达标情况。指标值=测试结果</w:t>
            </w:r>
          </w:p>
        </w:tc>
      </w:tr>
    </w:tbl>
    <w:p w14:paraId="60890849">
      <w:pPr>
        <w:ind w:firstLine="482"/>
        <w:rPr>
          <w:rFonts w:hint="eastAsia"/>
          <w:b/>
          <w:color w:val="auto"/>
        </w:rPr>
      </w:pPr>
    </w:p>
    <w:p w14:paraId="6472C8B7">
      <w:pPr>
        <w:pStyle w:val="2"/>
        <w:rPr>
          <w:rFonts w:hint="eastAsia"/>
          <w:color w:val="auto"/>
        </w:rPr>
      </w:pPr>
      <w:bookmarkStart w:id="15" w:name="_Toc47539102"/>
      <w:bookmarkEnd w:id="15"/>
      <w:bookmarkStart w:id="16" w:name="_Toc47532923"/>
      <w:bookmarkEnd w:id="16"/>
      <w:bookmarkStart w:id="17" w:name="_Toc47537166"/>
      <w:bookmarkEnd w:id="17"/>
      <w:bookmarkStart w:id="18" w:name="_Toc47536304"/>
      <w:bookmarkEnd w:id="18"/>
      <w:bookmarkStart w:id="19" w:name="_Toc47533288"/>
      <w:bookmarkEnd w:id="19"/>
      <w:bookmarkStart w:id="20" w:name="_Toc47536676"/>
      <w:bookmarkEnd w:id="20"/>
      <w:r>
        <w:rPr>
          <w:rFonts w:hint="eastAsia"/>
          <w:color w:val="auto"/>
        </w:rPr>
        <w:t>项目建设内容</w:t>
      </w:r>
    </w:p>
    <w:p w14:paraId="2AD23CE3">
      <w:pPr>
        <w:pStyle w:val="3"/>
        <w:rPr>
          <w:rFonts w:hint="eastAsia"/>
          <w:color w:val="auto"/>
        </w:rPr>
      </w:pPr>
      <w:r>
        <w:rPr>
          <w:rFonts w:hint="eastAsia"/>
          <w:color w:val="auto"/>
        </w:rPr>
        <w:t>项目建设内容</w:t>
      </w:r>
    </w:p>
    <w:p w14:paraId="34EA0AF2">
      <w:pPr>
        <w:rPr>
          <w:rFonts w:hint="eastAsia"/>
          <w:color w:val="auto"/>
        </w:rPr>
      </w:pPr>
      <w:r>
        <w:rPr>
          <w:rFonts w:hint="eastAsia"/>
          <w:color w:val="auto"/>
        </w:rPr>
        <w:t>本项目主要建设内容包括：</w:t>
      </w:r>
    </w:p>
    <w:p w14:paraId="73286975">
      <w:pPr>
        <w:rPr>
          <w:rFonts w:hint="eastAsia"/>
          <w:color w:val="auto"/>
        </w:rPr>
      </w:pPr>
      <w:r>
        <w:rPr>
          <w:rFonts w:hint="eastAsia"/>
          <w:color w:val="auto"/>
        </w:rPr>
        <w:t>（1）移动驾驶舱</w:t>
      </w:r>
    </w:p>
    <w:p w14:paraId="0352C1F2">
      <w:pPr>
        <w:rPr>
          <w:rFonts w:hint="eastAsia"/>
          <w:color w:val="auto"/>
        </w:rPr>
      </w:pPr>
      <w:r>
        <w:rPr>
          <w:rFonts w:hint="eastAsia"/>
          <w:color w:val="auto"/>
        </w:rPr>
        <w:t>突破智能驾驶舱大屏端应用场景拘囿，围绕各级领导干部“用数”需求，提供领导专报数据、市场监管月报等数据的查阅、订阅、定制、上报等服务，拓展移动驾驶舱建设，形成围绕“用数”的移动端与桌面端智能应用。</w:t>
      </w:r>
    </w:p>
    <w:p w14:paraId="5347575E">
      <w:pPr>
        <w:rPr>
          <w:rFonts w:hint="eastAsia"/>
          <w:color w:val="auto"/>
        </w:rPr>
      </w:pPr>
      <w:r>
        <w:rPr>
          <w:rFonts w:hint="eastAsia"/>
          <w:color w:val="auto"/>
        </w:rPr>
        <w:t>（2）综合监管</w:t>
      </w:r>
    </w:p>
    <w:p w14:paraId="1258C681">
      <w:pPr>
        <w:rPr>
          <w:rFonts w:hint="eastAsia"/>
          <w:color w:val="auto"/>
        </w:rPr>
      </w:pPr>
      <w:r>
        <w:rPr>
          <w:rFonts w:hint="eastAsia"/>
          <w:color w:val="auto"/>
        </w:rPr>
        <w:t>聚焦综合监管、餐饮业监管、叉车安全监管三大核心场景，通过智能化、协同化技术手段，构建多维度的一体化监管平台，提升监管效能与风险防控能力。</w:t>
      </w:r>
    </w:p>
    <w:p w14:paraId="33B44DFC">
      <w:pPr>
        <w:rPr>
          <w:rFonts w:hint="eastAsia"/>
          <w:color w:val="auto"/>
        </w:rPr>
      </w:pPr>
      <w:r>
        <w:rPr>
          <w:rFonts w:hint="eastAsia"/>
          <w:color w:val="auto"/>
        </w:rPr>
        <w:t>（3）电子证据统一管理</w:t>
      </w:r>
    </w:p>
    <w:p w14:paraId="53F5E22A">
      <w:pPr>
        <w:rPr>
          <w:rFonts w:hint="eastAsia"/>
          <w:color w:val="auto"/>
        </w:rPr>
      </w:pPr>
      <w:r>
        <w:rPr>
          <w:rFonts w:hint="eastAsia"/>
          <w:color w:val="auto"/>
        </w:rPr>
        <w:t>依托“市场监管存证追溯链”，建设市场监管综合执法电子证据系统，实现对电子数据的收集提取、检查分析、固定存储、提炼使用进行全程电子化管理，以积极适应新形势下市场监管综合执法的新要求。</w:t>
      </w:r>
    </w:p>
    <w:p w14:paraId="67A7F2E5">
      <w:pPr>
        <w:rPr>
          <w:rFonts w:hint="eastAsia"/>
          <w:color w:val="auto"/>
        </w:rPr>
      </w:pPr>
      <w:r>
        <w:rPr>
          <w:rFonts w:hint="eastAsia"/>
          <w:color w:val="auto"/>
        </w:rPr>
        <w:t>（4）放心消费行动</w:t>
      </w:r>
    </w:p>
    <w:p w14:paraId="73E7CF1F">
      <w:pPr>
        <w:rPr>
          <w:rFonts w:hint="eastAsia"/>
          <w:color w:val="auto"/>
        </w:rPr>
      </w:pPr>
      <w:r>
        <w:rPr>
          <w:rFonts w:hint="eastAsia"/>
          <w:color w:val="auto"/>
        </w:rPr>
        <w:t>根据国家放心消费示范城市创建、满意消费长三角等工作对放心消费行动工作的要求，开发放心消费行动功能，实现放心消费单位行动工作管理、长三角地区异地异店退换货承诺单位名录管理、消费满意度指数管理等功能，满足业务发展要求，促进消费者权益保护业务数字化转型。</w:t>
      </w:r>
    </w:p>
    <w:p w14:paraId="5614B2C6">
      <w:pPr>
        <w:rPr>
          <w:rFonts w:hint="eastAsia"/>
          <w:color w:val="auto"/>
        </w:rPr>
      </w:pPr>
      <w:r>
        <w:rPr>
          <w:rFonts w:hint="eastAsia"/>
          <w:color w:val="auto"/>
        </w:rPr>
        <w:t>（5）数字档案</w:t>
      </w:r>
    </w:p>
    <w:p w14:paraId="22FA54D7">
      <w:pPr>
        <w:rPr>
          <w:rFonts w:hint="eastAsia"/>
          <w:color w:val="auto"/>
        </w:rPr>
      </w:pPr>
      <w:r>
        <w:rPr>
          <w:rFonts w:hint="eastAsia"/>
          <w:color w:val="auto"/>
        </w:rPr>
        <w:t>根据整体规划要求以及数字示范档案室的标准要求并结合最新的档案法及规范，实现应归档电子文件的收集与采集、归档与整理、保存与利用、移交与接收等全程管理，拓展数字档案的对外查档利用，实现档案管理的智能化、智慧化，电子档案的数字化、数据化。</w:t>
      </w:r>
    </w:p>
    <w:p w14:paraId="58B69C76">
      <w:pPr>
        <w:rPr>
          <w:rFonts w:hint="eastAsia"/>
          <w:color w:val="auto"/>
        </w:rPr>
      </w:pPr>
      <w:r>
        <w:rPr>
          <w:rFonts w:hint="eastAsia"/>
          <w:color w:val="auto"/>
        </w:rPr>
        <w:t>（6）质量基础</w:t>
      </w:r>
    </w:p>
    <w:p w14:paraId="50C12B6A">
      <w:pPr>
        <w:rPr>
          <w:rFonts w:hint="eastAsia"/>
          <w:color w:val="auto"/>
        </w:rPr>
      </w:pPr>
      <w:r>
        <w:rPr>
          <w:rFonts w:hint="eastAsia"/>
          <w:color w:val="auto"/>
        </w:rPr>
        <w:t>面向浏览用户，包括一般社会公众、接受质量服务的企业（区分于质量服务提供用户）以及提供质量服务的企业和机构等，提供一站式的在线服务。有机融合计量、标准、认证认可、检验检测等要素资源，打造线上线下融合、多级联动的质量基础设施</w:t>
      </w:r>
      <w:r>
        <w:rPr>
          <w:rFonts w:hint="eastAsia" w:ascii="微软雅黑" w:hAnsi="微软雅黑" w:eastAsia="微软雅黑" w:cs="微软雅黑"/>
          <w:color w:val="auto"/>
        </w:rPr>
        <w:t>⼀</w:t>
      </w:r>
      <w:r>
        <w:rPr>
          <w:rFonts w:hint="eastAsia" w:cs="宋体"/>
          <w:color w:val="auto"/>
        </w:rPr>
        <w:t>体化服务平台体系，推动跨业务、跨部门、跨区域的质量基础设施</w:t>
      </w:r>
      <w:r>
        <w:rPr>
          <w:rFonts w:hint="eastAsia" w:ascii="微软雅黑" w:hAnsi="微软雅黑" w:eastAsia="微软雅黑" w:cs="微软雅黑"/>
          <w:color w:val="auto"/>
        </w:rPr>
        <w:t>⼀</w:t>
      </w:r>
      <w:r>
        <w:rPr>
          <w:rFonts w:hint="eastAsia" w:cs="宋体"/>
          <w:color w:val="auto"/>
        </w:rPr>
        <w:t>体化服务数据共享和业务协同。优化升级现有质量基础设施相关管理系统，加强业务管理力度，提升公共服务水平。</w:t>
      </w:r>
    </w:p>
    <w:p w14:paraId="5EC99025">
      <w:pPr>
        <w:rPr>
          <w:rFonts w:hint="eastAsia"/>
          <w:color w:val="auto"/>
        </w:rPr>
      </w:pPr>
      <w:r>
        <w:rPr>
          <w:rFonts w:hint="eastAsia"/>
          <w:color w:val="auto"/>
        </w:rPr>
        <w:t>（7）基于市级共性能力的特色应用场景</w:t>
      </w:r>
    </w:p>
    <w:p w14:paraId="6F7887E9">
      <w:pPr>
        <w:rPr>
          <w:rFonts w:hint="eastAsia"/>
          <w:color w:val="auto"/>
        </w:rPr>
      </w:pPr>
      <w:r>
        <w:rPr>
          <w:rFonts w:hint="eastAsia"/>
          <w:color w:val="auto"/>
        </w:rPr>
        <w:t>致力特种设备运行安全保障，对接“随申码”服务体系平台，实现8大类“特种设备码”的申领绑码，基于“特种设备码”构建针对特种设备监管部门、使用单位、维保单位、检验监测机构、社会公众的扫码轻应用，实现从“传统监管”向“智慧监管”的数字化转型。</w:t>
      </w:r>
    </w:p>
    <w:p w14:paraId="3AB55464">
      <w:pPr>
        <w:rPr>
          <w:rFonts w:hint="eastAsia"/>
          <w:color w:val="auto"/>
        </w:rPr>
      </w:pPr>
      <w:r>
        <w:rPr>
          <w:rFonts w:hint="eastAsia"/>
          <w:color w:val="auto"/>
        </w:rPr>
        <w:t>（8）慧治支撑平台</w:t>
      </w:r>
    </w:p>
    <w:p w14:paraId="2958C401">
      <w:pPr>
        <w:rPr>
          <w:rFonts w:hint="eastAsia"/>
          <w:color w:val="auto"/>
        </w:rPr>
      </w:pPr>
      <w:r>
        <w:rPr>
          <w:rFonts w:hint="eastAsia"/>
          <w:color w:val="auto"/>
        </w:rPr>
        <w:t>建立各类风险预警支撑能力，实现对监管部门应重点关注、需提前知晓的各类业务预警的自动生成与及时更新。根据全市涉企检查工作的统一要求，需要根据市场监管分领域对监管对象进行分级分类，根据监管事项类别建设无感监管对象库，以便在涉及检查中实现针对性信用监管。</w:t>
      </w:r>
    </w:p>
    <w:p w14:paraId="5F02E7AD">
      <w:pPr>
        <w:rPr>
          <w:rFonts w:hint="eastAsia"/>
          <w:color w:val="auto"/>
        </w:rPr>
      </w:pPr>
    </w:p>
    <w:p w14:paraId="4AE27384">
      <w:pPr>
        <w:pStyle w:val="3"/>
        <w:numPr>
          <w:ilvl w:val="1"/>
          <w:numId w:val="3"/>
        </w:numPr>
        <w:rPr>
          <w:rFonts w:hint="eastAsia"/>
          <w:color w:val="auto"/>
        </w:rPr>
      </w:pPr>
      <w:r>
        <w:rPr>
          <w:rFonts w:hint="eastAsia"/>
          <w:color w:val="auto"/>
        </w:rPr>
        <w:t>系统架构图</w:t>
      </w:r>
    </w:p>
    <w:p w14:paraId="3263C29F">
      <w:pPr>
        <w:rPr>
          <w:rFonts w:hint="eastAsia"/>
          <w:color w:val="auto"/>
        </w:rPr>
      </w:pPr>
      <w:r>
        <w:rPr>
          <w:rFonts w:hint="eastAsia"/>
          <w:color w:val="auto"/>
        </w:rPr>
        <w:t>根据现有基础上深度迭代和扩展新增相关建设内容，本项目整体功能规划如下：</w:t>
      </w:r>
    </w:p>
    <w:p w14:paraId="1BEBF3FD">
      <w:pPr>
        <w:pStyle w:val="134"/>
        <w:ind w:firstLine="0" w:firstLineChars="0"/>
        <w:rPr>
          <w:rFonts w:hint="eastAsia"/>
          <w:color w:val="auto"/>
        </w:rPr>
      </w:pPr>
      <w:bookmarkStart w:id="21" w:name="_Hlk209187257"/>
      <w:r>
        <w:rPr>
          <w:rFonts w:hint="eastAsia"/>
          <w:color w:val="auto"/>
        </w:rPr>
        <w:drawing>
          <wp:inline distT="0" distB="0" distL="0" distR="0">
            <wp:extent cx="5233035" cy="2646680"/>
            <wp:effectExtent l="0" t="0" r="5715" b="0"/>
            <wp:docPr id="78087812" name="图片 2"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7812" name="图片 2" descr="图形用户界面&#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t="7951"/>
                    <a:stretch>
                      <a:fillRect/>
                    </a:stretch>
                  </pic:blipFill>
                  <pic:spPr>
                    <a:xfrm>
                      <a:off x="0" y="0"/>
                      <a:ext cx="5255134" cy="2657739"/>
                    </a:xfrm>
                    <a:prstGeom prst="rect">
                      <a:avLst/>
                    </a:prstGeom>
                    <a:noFill/>
                    <a:ln>
                      <a:noFill/>
                    </a:ln>
                  </pic:spPr>
                </pic:pic>
              </a:graphicData>
            </a:graphic>
          </wp:inline>
        </w:drawing>
      </w:r>
    </w:p>
    <w:bookmarkEnd w:id="21"/>
    <w:p w14:paraId="100EF4F3">
      <w:pPr>
        <w:jc w:val="right"/>
        <w:rPr>
          <w:rFonts w:hint="eastAsia"/>
          <w:color w:val="auto"/>
        </w:rPr>
      </w:pPr>
      <w:r>
        <w:rPr>
          <w:rFonts w:hint="eastAsia"/>
          <w:color w:val="auto"/>
        </w:rPr>
        <w:t>注：</w:t>
      </w:r>
      <w:r>
        <w:rPr>
          <w:rFonts w:hint="eastAsia"/>
          <w:color w:val="auto"/>
        </w:rPr>
        <w:drawing>
          <wp:inline distT="0" distB="0" distL="0" distR="0">
            <wp:extent cx="381000" cy="175260"/>
            <wp:effectExtent l="0" t="0" r="0" b="0"/>
            <wp:docPr id="1524612082" name="图片 2"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2082" name="图片 2" descr="图形用户界面&#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l="72366" r="20353" b="93904"/>
                    <a:stretch>
                      <a:fillRect/>
                    </a:stretch>
                  </pic:blipFill>
                  <pic:spPr>
                    <a:xfrm>
                      <a:off x="0" y="0"/>
                      <a:ext cx="382654" cy="176021"/>
                    </a:xfrm>
                    <a:prstGeom prst="rect">
                      <a:avLst/>
                    </a:prstGeom>
                    <a:noFill/>
                    <a:ln>
                      <a:noFill/>
                    </a:ln>
                  </pic:spPr>
                </pic:pic>
              </a:graphicData>
            </a:graphic>
          </wp:inline>
        </w:drawing>
      </w:r>
      <w:r>
        <w:rPr>
          <w:rFonts w:hint="eastAsia"/>
          <w:color w:val="auto"/>
        </w:rPr>
        <w:t>本项目</w:t>
      </w:r>
    </w:p>
    <w:p w14:paraId="33277EAD">
      <w:pPr>
        <w:pStyle w:val="3"/>
        <w:rPr>
          <w:rFonts w:hint="eastAsia"/>
          <w:color w:val="auto"/>
        </w:rPr>
      </w:pPr>
      <w:r>
        <w:rPr>
          <w:rFonts w:hint="eastAsia"/>
          <w:color w:val="auto"/>
        </w:rPr>
        <w:t>部署环境和网络拓扑</w:t>
      </w:r>
    </w:p>
    <w:p w14:paraId="2895D37F">
      <w:pPr>
        <w:rPr>
          <w:rFonts w:hint="eastAsia"/>
          <w:color w:val="auto"/>
        </w:rPr>
      </w:pPr>
      <w:r>
        <w:rPr>
          <w:rFonts w:hint="eastAsia"/>
          <w:color w:val="auto"/>
        </w:rPr>
        <w:t>本项目依托上海市电子政务云平台部署，主体部署在政务外网，并通过政务外网和互联网分别面向政府部门和企业公众提供访问。</w:t>
      </w:r>
    </w:p>
    <w:p w14:paraId="18DA815D">
      <w:pPr>
        <w:pStyle w:val="3"/>
        <w:rPr>
          <w:rFonts w:hint="eastAsia"/>
          <w:color w:val="auto"/>
        </w:rPr>
      </w:pPr>
      <w:r>
        <w:rPr>
          <w:rFonts w:hint="eastAsia"/>
          <w:color w:val="auto"/>
        </w:rPr>
        <w:t>技术指标</w:t>
      </w:r>
    </w:p>
    <w:p w14:paraId="3EE8B3AC">
      <w:pPr>
        <w:pStyle w:val="61"/>
        <w:numPr>
          <w:ilvl w:val="0"/>
          <w:numId w:val="4"/>
        </w:numPr>
        <w:ind w:firstLineChars="0"/>
        <w:rPr>
          <w:color w:val="auto"/>
        </w:rPr>
      </w:pPr>
      <w:r>
        <w:rPr>
          <w:color w:val="auto"/>
        </w:rPr>
        <w:t>并发用户数≥300；</w:t>
      </w:r>
    </w:p>
    <w:p w14:paraId="5D4D853D">
      <w:pPr>
        <w:pStyle w:val="61"/>
        <w:numPr>
          <w:ilvl w:val="0"/>
          <w:numId w:val="4"/>
        </w:numPr>
        <w:ind w:firstLineChars="0"/>
        <w:rPr>
          <w:color w:val="auto"/>
        </w:rPr>
      </w:pPr>
      <w:r>
        <w:rPr>
          <w:color w:val="auto"/>
        </w:rPr>
        <w:t>并发用户数100时，系统登陆时间≤3秒；</w:t>
      </w:r>
    </w:p>
    <w:p w14:paraId="2C3E89D2">
      <w:pPr>
        <w:pStyle w:val="61"/>
        <w:numPr>
          <w:ilvl w:val="0"/>
          <w:numId w:val="4"/>
        </w:numPr>
        <w:ind w:firstLineChars="0"/>
        <w:rPr>
          <w:color w:val="auto"/>
        </w:rPr>
      </w:pPr>
      <w:r>
        <w:rPr>
          <w:color w:val="auto"/>
        </w:rPr>
        <w:t>一般查询和写入操作响应时间（90%的操作页面）≤5秒；</w:t>
      </w:r>
    </w:p>
    <w:p w14:paraId="49D79C16">
      <w:pPr>
        <w:pStyle w:val="61"/>
        <w:numPr>
          <w:ilvl w:val="0"/>
          <w:numId w:val="4"/>
        </w:numPr>
        <w:ind w:firstLineChars="0"/>
        <w:rPr>
          <w:color w:val="auto"/>
        </w:rPr>
      </w:pPr>
      <w:r>
        <w:rPr>
          <w:color w:val="auto"/>
        </w:rPr>
        <w:t>搜索类操作响应时间≤10秒；</w:t>
      </w:r>
    </w:p>
    <w:p w14:paraId="589B9323">
      <w:pPr>
        <w:pStyle w:val="61"/>
        <w:numPr>
          <w:ilvl w:val="0"/>
          <w:numId w:val="4"/>
        </w:numPr>
        <w:ind w:firstLineChars="0"/>
        <w:rPr>
          <w:color w:val="auto"/>
        </w:rPr>
      </w:pPr>
      <w:r>
        <w:rPr>
          <w:color w:val="auto"/>
        </w:rPr>
        <w:t>报表统计类操作响应时间≤15秒；</w:t>
      </w:r>
    </w:p>
    <w:p w14:paraId="253E37F1">
      <w:pPr>
        <w:pStyle w:val="61"/>
        <w:numPr>
          <w:ilvl w:val="0"/>
          <w:numId w:val="4"/>
        </w:numPr>
        <w:ind w:firstLineChars="0"/>
        <w:rPr>
          <w:color w:val="auto"/>
        </w:rPr>
      </w:pPr>
      <w:r>
        <w:rPr>
          <w:color w:val="auto"/>
        </w:rPr>
        <w:t>响应时间较长的操作页面应显示进度条。</w:t>
      </w:r>
    </w:p>
    <w:p w14:paraId="36B73A58">
      <w:pPr>
        <w:pStyle w:val="3"/>
        <w:rPr>
          <w:rFonts w:hint="eastAsia"/>
          <w:color w:val="auto"/>
        </w:rPr>
      </w:pPr>
      <w:r>
        <w:rPr>
          <w:rFonts w:hint="eastAsia"/>
          <w:color w:val="auto"/>
        </w:rPr>
        <w:t>软件开发清单</w:t>
      </w:r>
    </w:p>
    <w:tbl>
      <w:tblPr>
        <w:tblStyle w:val="35"/>
        <w:tblW w:w="5000" w:type="pct"/>
        <w:tblInd w:w="0" w:type="dxa"/>
        <w:tblLayout w:type="autofit"/>
        <w:tblCellMar>
          <w:top w:w="0" w:type="dxa"/>
          <w:left w:w="108" w:type="dxa"/>
          <w:bottom w:w="0" w:type="dxa"/>
          <w:right w:w="108" w:type="dxa"/>
        </w:tblCellMar>
      </w:tblPr>
      <w:tblGrid>
        <w:gridCol w:w="893"/>
        <w:gridCol w:w="1950"/>
        <w:gridCol w:w="2004"/>
        <w:gridCol w:w="3681"/>
      </w:tblGrid>
      <w:tr w14:paraId="1557B82A">
        <w:tblPrEx>
          <w:tblCellMar>
            <w:top w:w="0" w:type="dxa"/>
            <w:left w:w="108" w:type="dxa"/>
            <w:bottom w:w="0" w:type="dxa"/>
            <w:right w:w="108" w:type="dxa"/>
          </w:tblCellMar>
        </w:tblPrEx>
        <w:trPr>
          <w:trHeight w:val="999" w:hRule="atLeast"/>
        </w:trPr>
        <w:tc>
          <w:tcPr>
            <w:tcW w:w="524" w:type="pct"/>
            <w:tcBorders>
              <w:top w:val="single" w:color="auto" w:sz="4" w:space="0"/>
              <w:left w:val="single" w:color="auto" w:sz="4" w:space="0"/>
              <w:bottom w:val="single" w:color="auto" w:sz="4" w:space="0"/>
              <w:right w:val="single" w:color="auto" w:sz="4" w:space="0"/>
            </w:tcBorders>
            <w:vAlign w:val="center"/>
          </w:tcPr>
          <w:p w14:paraId="5CB65592">
            <w:pPr>
              <w:widowControl/>
              <w:spacing w:line="240" w:lineRule="auto"/>
              <w:ind w:firstLine="0" w:firstLineChars="0"/>
              <w:jc w:val="center"/>
              <w:rPr>
                <w:rFonts w:hint="eastAsia" w:cs="宋体"/>
                <w:b/>
                <w:bCs/>
                <w:color w:val="auto"/>
                <w:kern w:val="0"/>
                <w:sz w:val="21"/>
                <w:szCs w:val="21"/>
              </w:rPr>
            </w:pPr>
            <w:r>
              <w:rPr>
                <w:rFonts w:hint="eastAsia" w:cs="宋体"/>
                <w:b/>
                <w:bCs/>
                <w:color w:val="auto"/>
                <w:kern w:val="0"/>
                <w:sz w:val="21"/>
                <w:szCs w:val="21"/>
              </w:rPr>
              <w:t>序号</w:t>
            </w:r>
          </w:p>
        </w:tc>
        <w:tc>
          <w:tcPr>
            <w:tcW w:w="1143" w:type="pct"/>
            <w:tcBorders>
              <w:top w:val="single" w:color="auto" w:sz="4" w:space="0"/>
              <w:left w:val="nil"/>
              <w:bottom w:val="single" w:color="auto" w:sz="4" w:space="0"/>
              <w:right w:val="single" w:color="auto" w:sz="4" w:space="0"/>
            </w:tcBorders>
            <w:vAlign w:val="center"/>
          </w:tcPr>
          <w:p w14:paraId="7F04C71B">
            <w:pPr>
              <w:widowControl/>
              <w:spacing w:line="240" w:lineRule="auto"/>
              <w:ind w:firstLine="0" w:firstLineChars="0"/>
              <w:jc w:val="center"/>
              <w:rPr>
                <w:rFonts w:hint="eastAsia" w:cs="宋体"/>
                <w:b/>
                <w:bCs/>
                <w:color w:val="auto"/>
                <w:kern w:val="0"/>
                <w:sz w:val="21"/>
                <w:szCs w:val="21"/>
              </w:rPr>
            </w:pPr>
            <w:r>
              <w:rPr>
                <w:rFonts w:hint="eastAsia" w:cs="宋体"/>
                <w:b/>
                <w:bCs/>
                <w:color w:val="auto"/>
                <w:kern w:val="0"/>
                <w:sz w:val="21"/>
                <w:szCs w:val="21"/>
              </w:rPr>
              <w:t>应用系统名称</w:t>
            </w:r>
          </w:p>
        </w:tc>
        <w:tc>
          <w:tcPr>
            <w:tcW w:w="1175" w:type="pct"/>
            <w:tcBorders>
              <w:top w:val="single" w:color="auto" w:sz="4" w:space="0"/>
              <w:left w:val="nil"/>
              <w:bottom w:val="single" w:color="auto" w:sz="4" w:space="0"/>
              <w:right w:val="single" w:color="auto" w:sz="4" w:space="0"/>
            </w:tcBorders>
            <w:vAlign w:val="center"/>
          </w:tcPr>
          <w:p w14:paraId="6DECDE11">
            <w:pPr>
              <w:widowControl/>
              <w:spacing w:line="240" w:lineRule="auto"/>
              <w:ind w:firstLine="0" w:firstLineChars="0"/>
              <w:jc w:val="center"/>
              <w:rPr>
                <w:rFonts w:hint="eastAsia" w:cs="宋体"/>
                <w:b/>
                <w:bCs/>
                <w:color w:val="auto"/>
                <w:kern w:val="0"/>
                <w:sz w:val="21"/>
                <w:szCs w:val="21"/>
              </w:rPr>
            </w:pPr>
            <w:r>
              <w:rPr>
                <w:rFonts w:hint="eastAsia" w:cs="宋体"/>
                <w:b/>
                <w:bCs/>
                <w:color w:val="auto"/>
                <w:kern w:val="0"/>
                <w:sz w:val="21"/>
                <w:szCs w:val="21"/>
              </w:rPr>
              <w:t>模块名称</w:t>
            </w:r>
          </w:p>
        </w:tc>
        <w:tc>
          <w:tcPr>
            <w:tcW w:w="2158" w:type="pct"/>
            <w:tcBorders>
              <w:top w:val="single" w:color="auto" w:sz="4" w:space="0"/>
              <w:left w:val="nil"/>
              <w:bottom w:val="single" w:color="auto" w:sz="4" w:space="0"/>
              <w:right w:val="single" w:color="auto" w:sz="4" w:space="0"/>
            </w:tcBorders>
            <w:vAlign w:val="center"/>
          </w:tcPr>
          <w:p w14:paraId="5E5E3636">
            <w:pPr>
              <w:widowControl/>
              <w:spacing w:line="240" w:lineRule="auto"/>
              <w:ind w:firstLine="0" w:firstLineChars="0"/>
              <w:jc w:val="center"/>
              <w:rPr>
                <w:rFonts w:hint="eastAsia" w:cs="宋体"/>
                <w:b/>
                <w:bCs/>
                <w:color w:val="auto"/>
                <w:kern w:val="0"/>
                <w:sz w:val="21"/>
                <w:szCs w:val="21"/>
              </w:rPr>
            </w:pPr>
            <w:r>
              <w:rPr>
                <w:rFonts w:hint="eastAsia" w:cs="宋体"/>
                <w:b/>
                <w:bCs/>
                <w:color w:val="auto"/>
                <w:kern w:val="0"/>
                <w:sz w:val="21"/>
                <w:szCs w:val="21"/>
              </w:rPr>
              <w:t>模块描述</w:t>
            </w:r>
          </w:p>
        </w:tc>
      </w:tr>
      <w:tr w14:paraId="010503B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488412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w:t>
            </w:r>
          </w:p>
        </w:tc>
        <w:tc>
          <w:tcPr>
            <w:tcW w:w="1143" w:type="pct"/>
            <w:tcBorders>
              <w:top w:val="nil"/>
              <w:left w:val="nil"/>
              <w:bottom w:val="single" w:color="000000" w:sz="4" w:space="0"/>
              <w:right w:val="single" w:color="000000" w:sz="4" w:space="0"/>
            </w:tcBorders>
            <w:vAlign w:val="center"/>
          </w:tcPr>
          <w:p w14:paraId="7DB218B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5D9C8D5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智能驾驶舱-综合首页屏-准入准营宏观</w:t>
            </w:r>
          </w:p>
        </w:tc>
        <w:tc>
          <w:tcPr>
            <w:tcW w:w="2158" w:type="pct"/>
            <w:tcBorders>
              <w:top w:val="nil"/>
              <w:left w:val="nil"/>
              <w:bottom w:val="single" w:color="000000" w:sz="4" w:space="0"/>
              <w:right w:val="single" w:color="000000" w:sz="4" w:space="0"/>
            </w:tcBorders>
            <w:vAlign w:val="center"/>
          </w:tcPr>
          <w:p w14:paraId="4486226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建立查询条件，可以按日、月，按全市、16个区，进行筛选显示结果：</w:t>
            </w:r>
            <w:r>
              <w:rPr>
                <w:rFonts w:hint="eastAsia" w:cs="宋体"/>
                <w:color w:val="auto"/>
                <w:kern w:val="0"/>
                <w:sz w:val="22"/>
                <w:szCs w:val="22"/>
              </w:rPr>
              <w:br w:type="textWrapping"/>
            </w:r>
            <w:r>
              <w:rPr>
                <w:rFonts w:hint="eastAsia" w:cs="宋体"/>
                <w:color w:val="auto"/>
                <w:kern w:val="0"/>
                <w:sz w:val="22"/>
                <w:szCs w:val="22"/>
              </w:rPr>
              <w:t>（1）显示存量经营主体数量，包企业、个体工商户的数据，以及较上一年的对比情况。</w:t>
            </w:r>
            <w:r>
              <w:rPr>
                <w:rFonts w:hint="eastAsia" w:cs="宋体"/>
                <w:color w:val="auto"/>
                <w:kern w:val="0"/>
                <w:sz w:val="22"/>
                <w:szCs w:val="22"/>
              </w:rPr>
              <w:br w:type="textWrapping"/>
            </w:r>
            <w:r>
              <w:rPr>
                <w:rFonts w:hint="eastAsia" w:cs="宋体"/>
                <w:color w:val="auto"/>
                <w:kern w:val="0"/>
                <w:sz w:val="22"/>
                <w:szCs w:val="22"/>
              </w:rPr>
              <w:t>（2）显示存量企业数量，以及较上一年的对比情况。</w:t>
            </w:r>
            <w:r>
              <w:rPr>
                <w:rFonts w:hint="eastAsia" w:cs="宋体"/>
                <w:color w:val="auto"/>
                <w:kern w:val="0"/>
                <w:sz w:val="22"/>
                <w:szCs w:val="22"/>
              </w:rPr>
              <w:br w:type="textWrapping"/>
            </w:r>
            <w:r>
              <w:rPr>
                <w:rFonts w:hint="eastAsia" w:cs="宋体"/>
                <w:color w:val="auto"/>
                <w:kern w:val="0"/>
                <w:sz w:val="22"/>
                <w:szCs w:val="22"/>
              </w:rPr>
              <w:t>（3）新设经营主体的数量，以及较上月的日均数量的对比。</w:t>
            </w:r>
            <w:r>
              <w:rPr>
                <w:rFonts w:hint="eastAsia" w:cs="宋体"/>
                <w:color w:val="auto"/>
                <w:kern w:val="0"/>
                <w:sz w:val="22"/>
                <w:szCs w:val="22"/>
              </w:rPr>
              <w:br w:type="textWrapping"/>
            </w:r>
            <w:r>
              <w:rPr>
                <w:rFonts w:hint="eastAsia" w:cs="宋体"/>
                <w:color w:val="auto"/>
                <w:kern w:val="0"/>
                <w:sz w:val="22"/>
                <w:szCs w:val="22"/>
              </w:rPr>
              <w:t>（4）新设企业数据，以及较上月的日均数量的对比。</w:t>
            </w:r>
            <w:r>
              <w:rPr>
                <w:rFonts w:hint="eastAsia" w:cs="宋体"/>
                <w:color w:val="auto"/>
                <w:kern w:val="0"/>
                <w:sz w:val="22"/>
                <w:szCs w:val="22"/>
              </w:rPr>
              <w:br w:type="textWrapping"/>
            </w:r>
            <w:r>
              <w:rPr>
                <w:rFonts w:hint="eastAsia" w:cs="宋体"/>
                <w:color w:val="auto"/>
                <w:kern w:val="0"/>
                <w:sz w:val="22"/>
                <w:szCs w:val="22"/>
              </w:rPr>
              <w:t>（5）注销经营主体的数量，以及较上月的日均数量的对比。</w:t>
            </w:r>
            <w:r>
              <w:rPr>
                <w:rFonts w:hint="eastAsia" w:cs="宋体"/>
                <w:color w:val="auto"/>
                <w:kern w:val="0"/>
                <w:sz w:val="22"/>
                <w:szCs w:val="22"/>
              </w:rPr>
              <w:br w:type="textWrapping"/>
            </w:r>
            <w:r>
              <w:rPr>
                <w:rFonts w:hint="eastAsia" w:cs="宋体"/>
                <w:color w:val="auto"/>
                <w:kern w:val="0"/>
                <w:sz w:val="22"/>
                <w:szCs w:val="22"/>
              </w:rPr>
              <w:t>（6）注销企业数据，以及较上月的日均数量的对比。</w:t>
            </w:r>
          </w:p>
        </w:tc>
      </w:tr>
      <w:tr w14:paraId="5F36921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3273AE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w:t>
            </w:r>
          </w:p>
        </w:tc>
        <w:tc>
          <w:tcPr>
            <w:tcW w:w="1143" w:type="pct"/>
            <w:tcBorders>
              <w:top w:val="nil"/>
              <w:left w:val="nil"/>
              <w:bottom w:val="single" w:color="000000" w:sz="4" w:space="0"/>
              <w:right w:val="single" w:color="000000" w:sz="4" w:space="0"/>
            </w:tcBorders>
            <w:vAlign w:val="center"/>
          </w:tcPr>
          <w:p w14:paraId="3F5A449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3FA262C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智能驾驶舱-综合首页屏-质量建设宏观</w:t>
            </w:r>
          </w:p>
        </w:tc>
        <w:tc>
          <w:tcPr>
            <w:tcW w:w="2158" w:type="pct"/>
            <w:tcBorders>
              <w:top w:val="nil"/>
              <w:left w:val="nil"/>
              <w:bottom w:val="single" w:color="000000" w:sz="4" w:space="0"/>
              <w:right w:val="single" w:color="000000" w:sz="4" w:space="0"/>
            </w:tcBorders>
            <w:vAlign w:val="center"/>
          </w:tcPr>
          <w:p w14:paraId="25669A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展示质量成果、标准发展、质检服务业、计量建设的情况。</w:t>
            </w:r>
          </w:p>
        </w:tc>
      </w:tr>
      <w:tr w14:paraId="12DBD6B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FC0F0D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w:t>
            </w:r>
          </w:p>
        </w:tc>
        <w:tc>
          <w:tcPr>
            <w:tcW w:w="1143" w:type="pct"/>
            <w:tcBorders>
              <w:top w:val="nil"/>
              <w:left w:val="nil"/>
              <w:bottom w:val="single" w:color="000000" w:sz="4" w:space="0"/>
              <w:right w:val="single" w:color="000000" w:sz="4" w:space="0"/>
            </w:tcBorders>
            <w:vAlign w:val="center"/>
          </w:tcPr>
          <w:p w14:paraId="4C0DFF5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26415F3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智能驾驶舱-综合首页屏-执法监管宏观</w:t>
            </w:r>
          </w:p>
        </w:tc>
        <w:tc>
          <w:tcPr>
            <w:tcW w:w="2158" w:type="pct"/>
            <w:tcBorders>
              <w:top w:val="nil"/>
              <w:left w:val="nil"/>
              <w:bottom w:val="single" w:color="000000" w:sz="4" w:space="0"/>
              <w:right w:val="single" w:color="000000" w:sz="4" w:space="0"/>
            </w:tcBorders>
            <w:vAlign w:val="center"/>
          </w:tcPr>
          <w:p w14:paraId="3A1C2AC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展示分析精准监测、消费维权、信用监管、执法办案等方面等的业务现状。</w:t>
            </w:r>
          </w:p>
        </w:tc>
      </w:tr>
      <w:tr w14:paraId="509CA63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7113D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w:t>
            </w:r>
          </w:p>
        </w:tc>
        <w:tc>
          <w:tcPr>
            <w:tcW w:w="1143" w:type="pct"/>
            <w:tcBorders>
              <w:top w:val="nil"/>
              <w:left w:val="nil"/>
              <w:bottom w:val="single" w:color="000000" w:sz="4" w:space="0"/>
              <w:right w:val="single" w:color="000000" w:sz="4" w:space="0"/>
            </w:tcBorders>
            <w:vAlign w:val="center"/>
          </w:tcPr>
          <w:p w14:paraId="791B2F7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15259E4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智能驾驶舱-综合首页屏-守牢底线宏观</w:t>
            </w:r>
          </w:p>
        </w:tc>
        <w:tc>
          <w:tcPr>
            <w:tcW w:w="2158" w:type="pct"/>
            <w:tcBorders>
              <w:top w:val="nil"/>
              <w:left w:val="nil"/>
              <w:bottom w:val="single" w:color="000000" w:sz="4" w:space="0"/>
              <w:right w:val="single" w:color="000000" w:sz="4" w:space="0"/>
            </w:tcBorders>
            <w:vAlign w:val="center"/>
          </w:tcPr>
          <w:p w14:paraId="0FD902E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展示在食品、药品、工业产品、特种设备四个安全领域的监管情况。</w:t>
            </w:r>
          </w:p>
        </w:tc>
      </w:tr>
      <w:tr w14:paraId="5BB57E0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47605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w:t>
            </w:r>
          </w:p>
        </w:tc>
        <w:tc>
          <w:tcPr>
            <w:tcW w:w="1143" w:type="pct"/>
            <w:tcBorders>
              <w:top w:val="nil"/>
              <w:left w:val="nil"/>
              <w:bottom w:val="single" w:color="000000" w:sz="4" w:space="0"/>
              <w:right w:val="single" w:color="000000" w:sz="4" w:space="0"/>
            </w:tcBorders>
            <w:vAlign w:val="center"/>
          </w:tcPr>
          <w:p w14:paraId="11BF7A4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3E8B1D2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智能驾驶舱-准入准营-经营主体</w:t>
            </w:r>
          </w:p>
        </w:tc>
        <w:tc>
          <w:tcPr>
            <w:tcW w:w="2158" w:type="pct"/>
            <w:tcBorders>
              <w:top w:val="nil"/>
              <w:left w:val="nil"/>
              <w:bottom w:val="single" w:color="000000" w:sz="4" w:space="0"/>
              <w:right w:val="single" w:color="000000" w:sz="4" w:space="0"/>
            </w:tcBorders>
            <w:vAlign w:val="center"/>
          </w:tcPr>
          <w:p w14:paraId="036BDB1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存量经营主体：（1）通过表格的形式，统计一段时间内容的存量经营主体的主体类型（企业（私营、外资、国有）、农民专业合作社、个体工商户）、存量数量、较上年末增长/降低比率，以及该主体类型在总体的占比情况。（2）通过饼图的方式，显示存量经营主体的数量、类型及其占比。</w:t>
            </w:r>
            <w:r>
              <w:rPr>
                <w:rFonts w:hint="eastAsia" w:cs="宋体"/>
                <w:color w:val="auto"/>
                <w:kern w:val="0"/>
                <w:sz w:val="22"/>
                <w:szCs w:val="22"/>
              </w:rPr>
              <w:br w:type="textWrapping"/>
            </w:r>
            <w:r>
              <w:rPr>
                <w:rFonts w:hint="eastAsia" w:cs="宋体"/>
                <w:color w:val="auto"/>
                <w:kern w:val="0"/>
                <w:sz w:val="22"/>
                <w:szCs w:val="22"/>
              </w:rPr>
              <w:t>2、新设经营主体：（1）通过表格的形式，当年至今的新设经营主体的主体类型（企业（私营、外资、国有）、农民专业合作社、个体工商户）、新设数量、同比，以及该主体类型在总体的占比情况。（2）通过饼图的方式，显示新设经营主体的数量、类型及其占比。</w:t>
            </w:r>
            <w:r>
              <w:rPr>
                <w:rFonts w:hint="eastAsia" w:cs="宋体"/>
                <w:color w:val="auto"/>
                <w:kern w:val="0"/>
                <w:sz w:val="22"/>
                <w:szCs w:val="22"/>
              </w:rPr>
              <w:br w:type="textWrapping"/>
            </w:r>
            <w:r>
              <w:rPr>
                <w:rFonts w:hint="eastAsia" w:cs="宋体"/>
                <w:color w:val="auto"/>
                <w:kern w:val="0"/>
                <w:sz w:val="22"/>
                <w:szCs w:val="22"/>
              </w:rPr>
              <w:t>3、注销经营主体：（1）通过表格的形式，显示当年至今的注销经营主体的主体类型（企业（私营、外资、国有）、农民专业合作社、个体工商户）、注销数量、同比，以及该主体类型在总体的占比情况。（2）通过饼图的方式，显示注销经营主体的数量、类型及其占比。</w:t>
            </w:r>
            <w:r>
              <w:rPr>
                <w:rFonts w:hint="eastAsia" w:cs="宋体"/>
                <w:color w:val="auto"/>
                <w:kern w:val="0"/>
                <w:sz w:val="22"/>
                <w:szCs w:val="22"/>
              </w:rPr>
              <w:br w:type="textWrapping"/>
            </w:r>
            <w:r>
              <w:rPr>
                <w:rFonts w:hint="eastAsia" w:cs="宋体"/>
                <w:color w:val="auto"/>
                <w:kern w:val="0"/>
                <w:sz w:val="22"/>
                <w:szCs w:val="22"/>
              </w:rPr>
              <w:t>4、注销新设比：通过表格的形式，显示当年以来，主体类型以及新设、注销的数量的对比。</w:t>
            </w:r>
            <w:r>
              <w:rPr>
                <w:rFonts w:hint="eastAsia" w:cs="宋体"/>
                <w:color w:val="auto"/>
                <w:kern w:val="0"/>
                <w:sz w:val="22"/>
                <w:szCs w:val="22"/>
              </w:rPr>
              <w:br w:type="textWrapping"/>
            </w:r>
            <w:r>
              <w:rPr>
                <w:rFonts w:hint="eastAsia" w:cs="宋体"/>
                <w:color w:val="auto"/>
                <w:kern w:val="0"/>
                <w:sz w:val="22"/>
                <w:szCs w:val="22"/>
              </w:rPr>
              <w:t>5、跨省迁移：（1）通过表格的形式，显示当年以来，外省市、净迁入上海、迁入上海、迁出上海的数量。并建立排序功能，支撑按净迁入上海、迁入上海、迁出上海进行排序。（2）通过柱状图的方式，显示各省市、净迁入上海、迁入上海、迁出上海的数量。</w:t>
            </w:r>
          </w:p>
        </w:tc>
      </w:tr>
      <w:tr w14:paraId="2D77936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40136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w:t>
            </w:r>
          </w:p>
        </w:tc>
        <w:tc>
          <w:tcPr>
            <w:tcW w:w="1143" w:type="pct"/>
            <w:tcBorders>
              <w:top w:val="nil"/>
              <w:left w:val="nil"/>
              <w:bottom w:val="single" w:color="000000" w:sz="4" w:space="0"/>
              <w:right w:val="single" w:color="000000" w:sz="4" w:space="0"/>
            </w:tcBorders>
            <w:vAlign w:val="center"/>
          </w:tcPr>
          <w:p w14:paraId="31D24B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7A05AEA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智能驾驶舱-准入准营-行政许可</w:t>
            </w:r>
          </w:p>
        </w:tc>
        <w:tc>
          <w:tcPr>
            <w:tcW w:w="2158" w:type="pct"/>
            <w:tcBorders>
              <w:top w:val="nil"/>
              <w:left w:val="nil"/>
              <w:bottom w:val="single" w:color="000000" w:sz="4" w:space="0"/>
              <w:right w:val="single" w:color="000000" w:sz="4" w:space="0"/>
            </w:tcBorders>
            <w:vAlign w:val="center"/>
          </w:tcPr>
          <w:p w14:paraId="3897C6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存量许可：（1）显示存量许可的总体数量，以及较上年末的比率。（2）以图表的形式，显示许可事项、存量许可（张）、较上年末的比例。（3）支撑按许可类型进行下钻，进而通过表格、图表的形式，显示该许可证的月度趋势、年度趋势，以及发证机关分布。</w:t>
            </w:r>
            <w:r>
              <w:rPr>
                <w:rFonts w:hint="eastAsia" w:cs="宋体"/>
                <w:color w:val="auto"/>
                <w:kern w:val="0"/>
                <w:sz w:val="22"/>
                <w:szCs w:val="22"/>
              </w:rPr>
              <w:br w:type="textWrapping"/>
            </w:r>
            <w:r>
              <w:rPr>
                <w:rFonts w:hint="eastAsia" w:cs="宋体"/>
                <w:color w:val="auto"/>
                <w:kern w:val="0"/>
                <w:sz w:val="22"/>
                <w:szCs w:val="22"/>
              </w:rPr>
              <w:t>2、新设许可：（1）显示当年至今的新设许可的数量，并进行同比。（2）以图表的形式，显示许可事项、存量许可（张）、较上年末的比例。（3）并支撑按许可类型进行下钻，进而，通过表格、图表的形式，显示该许可证的月度趋势、年度趋势，以及发证机关分布。</w:t>
            </w:r>
          </w:p>
        </w:tc>
      </w:tr>
      <w:tr w14:paraId="68BAE8C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1E8BFC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w:t>
            </w:r>
          </w:p>
        </w:tc>
        <w:tc>
          <w:tcPr>
            <w:tcW w:w="1143" w:type="pct"/>
            <w:tcBorders>
              <w:top w:val="nil"/>
              <w:left w:val="nil"/>
              <w:bottom w:val="single" w:color="000000" w:sz="4" w:space="0"/>
              <w:right w:val="single" w:color="000000" w:sz="4" w:space="0"/>
            </w:tcBorders>
            <w:vAlign w:val="center"/>
          </w:tcPr>
          <w:p w14:paraId="3C384C4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053672D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智能驾驶舱-准入准营-“3+6”产业</w:t>
            </w:r>
          </w:p>
        </w:tc>
        <w:tc>
          <w:tcPr>
            <w:tcW w:w="2158" w:type="pct"/>
            <w:tcBorders>
              <w:top w:val="nil"/>
              <w:left w:val="nil"/>
              <w:bottom w:val="single" w:color="000000" w:sz="4" w:space="0"/>
              <w:right w:val="single" w:color="000000" w:sz="4" w:space="0"/>
            </w:tcBorders>
            <w:vAlign w:val="center"/>
          </w:tcPr>
          <w:p w14:paraId="10E76CF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三大先导产业：（1）显示本市存量三大先导产业的经营主体总体数量、以及注册资本的综合。（2）以表格的形式，显示产业名称、存量企业户数以其较上年末的对比比率、注册资本以其较上年末的对比比率。（3）支撑下钻，通过产业名称，进而显示该产业的产业链分布、专利分布、获投趋势、区域分布、跨省迁移情况。</w:t>
            </w:r>
            <w:r>
              <w:rPr>
                <w:rFonts w:hint="eastAsia" w:cs="宋体"/>
                <w:color w:val="auto"/>
                <w:kern w:val="0"/>
                <w:sz w:val="22"/>
                <w:szCs w:val="22"/>
              </w:rPr>
              <w:br w:type="textWrapping"/>
            </w:r>
            <w:r>
              <w:rPr>
                <w:rFonts w:hint="eastAsia" w:cs="宋体"/>
                <w:color w:val="auto"/>
                <w:kern w:val="0"/>
                <w:sz w:val="22"/>
                <w:szCs w:val="22"/>
              </w:rPr>
              <w:t>2、六大重点产业：（1）显示本市存量六大重点产业的经营主体总体数量、以及注册资本的综合。（2）以表格的形式，显示产业名称、存量企业户数以其较上年末的对比比率、注册资本以其较上年末的对比比率。（3）支撑下钻，通过产业名称，进而显示该产业的产业链分布、专利分布、获投趋势、区域分布、跨省迁移情况。</w:t>
            </w:r>
          </w:p>
        </w:tc>
      </w:tr>
      <w:tr w14:paraId="54BA807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F81C2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w:t>
            </w:r>
          </w:p>
        </w:tc>
        <w:tc>
          <w:tcPr>
            <w:tcW w:w="1143" w:type="pct"/>
            <w:tcBorders>
              <w:top w:val="nil"/>
              <w:left w:val="nil"/>
              <w:bottom w:val="single" w:color="000000" w:sz="4" w:space="0"/>
              <w:right w:val="single" w:color="000000" w:sz="4" w:space="0"/>
            </w:tcBorders>
            <w:vAlign w:val="center"/>
          </w:tcPr>
          <w:p w14:paraId="73CD72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123A059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智能驾驶舱-质量建设-质量提升</w:t>
            </w:r>
          </w:p>
        </w:tc>
        <w:tc>
          <w:tcPr>
            <w:tcW w:w="2158" w:type="pct"/>
            <w:tcBorders>
              <w:top w:val="nil"/>
              <w:left w:val="nil"/>
              <w:bottom w:val="single" w:color="000000" w:sz="4" w:space="0"/>
              <w:right w:val="single" w:color="000000" w:sz="4" w:space="0"/>
            </w:tcBorders>
            <w:vAlign w:val="center"/>
          </w:tcPr>
          <w:p w14:paraId="63DDA25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1、政府质量奖 ：（1）分类显示，从4个方面展示政府质量奖，包括中国质量奖、市场质量奖、市质量金奖、区政府质量奖。（2）奖项下钻，显示本市各行政区的获奖数量。（3）详细下钻，显示各行政区的经营主体获奖情况以名录，包括经营主体名称、奖项名称等</w:t>
            </w:r>
          </w:p>
          <w:p w14:paraId="0ADECF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2、“一站式”服务：（1）区域列表，以表格的形式，罗列各个行政区的项目数、服务次数。（2）区域下钻，以表格形式，显示该行政区的具体项目，包括项目名称、服务次数等。</w:t>
            </w:r>
          </w:p>
          <w:p w14:paraId="7B2BA4B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3、“上海品牌”：（1）区域列表，以表格的形式，罗列各个行政区的获证组织的数量、证书数量。（2）区域下钻，以表格形式，显示该行政区的具体详情，包括获证企业名称、证书号等。</w:t>
            </w:r>
          </w:p>
        </w:tc>
      </w:tr>
      <w:tr w14:paraId="4E421C4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872D6B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w:t>
            </w:r>
          </w:p>
        </w:tc>
        <w:tc>
          <w:tcPr>
            <w:tcW w:w="1143" w:type="pct"/>
            <w:tcBorders>
              <w:top w:val="nil"/>
              <w:left w:val="nil"/>
              <w:bottom w:val="single" w:color="000000" w:sz="4" w:space="0"/>
              <w:right w:val="single" w:color="000000" w:sz="4" w:space="0"/>
            </w:tcBorders>
            <w:vAlign w:val="center"/>
          </w:tcPr>
          <w:p w14:paraId="0E561C4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508DA39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智能驾驶舱-质量建设-标准引领</w:t>
            </w:r>
          </w:p>
        </w:tc>
        <w:tc>
          <w:tcPr>
            <w:tcW w:w="2158" w:type="pct"/>
            <w:tcBorders>
              <w:top w:val="nil"/>
              <w:left w:val="nil"/>
              <w:bottom w:val="single" w:color="000000" w:sz="4" w:space="0"/>
              <w:right w:val="single" w:color="000000" w:sz="4" w:space="0"/>
            </w:tcBorders>
            <w:vAlign w:val="center"/>
          </w:tcPr>
          <w:p w14:paraId="6B1853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1、国际标准：国际标准领域分布，以表格或是图形的形式，按标准领域，如电子电工、家具、中医药、船舶与海洋技术、纺织、肥料、智慧城市，显示标准数量及其占比。</w:t>
            </w:r>
            <w:r>
              <w:rPr>
                <w:rFonts w:hint="eastAsia" w:cs="宋体"/>
                <w:color w:val="auto"/>
                <w:kern w:val="0"/>
                <w:sz w:val="22"/>
                <w:szCs w:val="22"/>
              </w:rPr>
              <w:br w:type="textWrapping"/>
            </w:r>
            <w:r>
              <w:rPr>
                <w:rFonts w:hint="eastAsia" w:cs="宋体"/>
                <w:color w:val="auto"/>
                <w:kern w:val="0"/>
                <w:sz w:val="22"/>
                <w:szCs w:val="22"/>
              </w:rPr>
              <w:t>2、国家标准：国家标准领域分布，以表格或是图形的形式，按标准领域，如电工、机器、综合、电子元器件与信息技术等，显示标准数量及其占比。</w:t>
            </w:r>
            <w:r>
              <w:rPr>
                <w:rFonts w:hint="eastAsia" w:cs="宋体"/>
                <w:color w:val="auto"/>
                <w:kern w:val="0"/>
                <w:sz w:val="22"/>
                <w:szCs w:val="22"/>
              </w:rPr>
              <w:br w:type="textWrapping"/>
            </w:r>
            <w:r>
              <w:rPr>
                <w:rFonts w:hint="eastAsia" w:cs="宋体"/>
                <w:color w:val="auto"/>
                <w:kern w:val="0"/>
                <w:sz w:val="22"/>
                <w:szCs w:val="22"/>
              </w:rPr>
              <w:t>3、地方标准：地方标准领域分布，以表格或是图形的形式，分强制性、推荐性两个模块，按标准领域，如节能、环保等，显示标准数量。</w:t>
            </w:r>
            <w:r>
              <w:rPr>
                <w:rFonts w:hint="eastAsia" w:cs="宋体"/>
                <w:color w:val="auto"/>
                <w:kern w:val="0"/>
                <w:sz w:val="22"/>
                <w:szCs w:val="22"/>
              </w:rPr>
              <w:br w:type="textWrapping"/>
            </w:r>
            <w:r>
              <w:rPr>
                <w:rFonts w:hint="eastAsia" w:cs="宋体"/>
                <w:color w:val="auto"/>
                <w:kern w:val="0"/>
                <w:sz w:val="22"/>
                <w:szCs w:val="22"/>
              </w:rPr>
              <w:t>4、团体标准：团体标准行业分布，以表格或是图形的形式，按行业门类，如制造业、建筑业、租赁和商务服务业等，显示标准数量。</w:t>
            </w:r>
            <w:r>
              <w:rPr>
                <w:rFonts w:hint="eastAsia" w:cs="宋体"/>
                <w:color w:val="auto"/>
                <w:kern w:val="0"/>
                <w:sz w:val="22"/>
                <w:szCs w:val="22"/>
              </w:rPr>
              <w:br w:type="textWrapping"/>
            </w:r>
            <w:r>
              <w:rPr>
                <w:rFonts w:hint="eastAsia" w:cs="宋体"/>
                <w:color w:val="auto"/>
                <w:kern w:val="0"/>
                <w:sz w:val="22"/>
                <w:szCs w:val="22"/>
              </w:rPr>
              <w:t>5、企业标准：企业标准产品类别，以表格或是图形的形式，按产品类别，如化学原料、化学制品以及容器、食品相关产业及化妆品等，显示标准数量。</w:t>
            </w:r>
          </w:p>
        </w:tc>
      </w:tr>
      <w:tr w14:paraId="1F9BD18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81BCA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w:t>
            </w:r>
          </w:p>
        </w:tc>
        <w:tc>
          <w:tcPr>
            <w:tcW w:w="1143" w:type="pct"/>
            <w:tcBorders>
              <w:top w:val="nil"/>
              <w:left w:val="nil"/>
              <w:bottom w:val="single" w:color="000000" w:sz="4" w:space="0"/>
              <w:right w:val="single" w:color="000000" w:sz="4" w:space="0"/>
            </w:tcBorders>
            <w:vAlign w:val="center"/>
          </w:tcPr>
          <w:p w14:paraId="2A085F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2608D66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智能驾驶舱-质量建设-计量测试</w:t>
            </w:r>
          </w:p>
        </w:tc>
        <w:tc>
          <w:tcPr>
            <w:tcW w:w="2158" w:type="pct"/>
            <w:tcBorders>
              <w:top w:val="nil"/>
              <w:left w:val="nil"/>
              <w:bottom w:val="single" w:color="000000" w:sz="4" w:space="0"/>
              <w:right w:val="single" w:color="000000" w:sz="4" w:space="0"/>
            </w:tcBorders>
            <w:vAlign w:val="center"/>
          </w:tcPr>
          <w:p w14:paraId="37FCFE8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1、计量器具型式批准：（1）国产计量器具型式批准：显示国产计量器具型式批准的数量。 并支撑下站，显示其分类，如安全防护、医疗卫生、贸易结算、环境监测等的批准数量。（2）进口计量器具型式批准：显示进口计量器具型式批准的数量。并支撑下站，显示其分类，如安全防护、医疗卫生、贸易结算、环境监测等的批准数量。</w:t>
            </w:r>
            <w:r>
              <w:rPr>
                <w:rFonts w:hint="eastAsia" w:cs="宋体"/>
                <w:color w:val="auto"/>
                <w:kern w:val="0"/>
                <w:sz w:val="22"/>
                <w:szCs w:val="22"/>
              </w:rPr>
              <w:br w:type="textWrapping"/>
            </w:r>
            <w:r>
              <w:rPr>
                <w:rFonts w:hint="eastAsia" w:cs="宋体"/>
                <w:color w:val="auto"/>
                <w:kern w:val="0"/>
                <w:sz w:val="22"/>
                <w:szCs w:val="22"/>
              </w:rPr>
              <w:t>2、诚信计量：（1）区域列表，以表格的形式，罗列各个行政区的诚信计量示范街镇的数量。（2）区域下钻，具体显示行政区的诚信计量示范街镇的名称。</w:t>
            </w:r>
          </w:p>
        </w:tc>
      </w:tr>
      <w:tr w14:paraId="274B685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10ED32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w:t>
            </w:r>
          </w:p>
        </w:tc>
        <w:tc>
          <w:tcPr>
            <w:tcW w:w="1143" w:type="pct"/>
            <w:tcBorders>
              <w:top w:val="nil"/>
              <w:left w:val="nil"/>
              <w:bottom w:val="single" w:color="000000" w:sz="4" w:space="0"/>
              <w:right w:val="single" w:color="000000" w:sz="4" w:space="0"/>
            </w:tcBorders>
            <w:vAlign w:val="center"/>
          </w:tcPr>
          <w:p w14:paraId="77B9F6A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4E595C7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智能驾驶舱-质量建设-认证认可</w:t>
            </w:r>
          </w:p>
        </w:tc>
        <w:tc>
          <w:tcPr>
            <w:tcW w:w="2158" w:type="pct"/>
            <w:tcBorders>
              <w:top w:val="nil"/>
              <w:left w:val="nil"/>
              <w:bottom w:val="single" w:color="000000" w:sz="4" w:space="0"/>
              <w:right w:val="single" w:color="000000" w:sz="4" w:space="0"/>
            </w:tcBorders>
            <w:vAlign w:val="center"/>
          </w:tcPr>
          <w:p w14:paraId="212EF37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1、检验检测机构：区域列表，以表格的形式，罗列各个行政区的检验检测机构的数量及其同比。</w:t>
            </w:r>
            <w:r>
              <w:rPr>
                <w:rFonts w:hint="eastAsia" w:cs="宋体"/>
                <w:color w:val="auto"/>
                <w:kern w:val="0"/>
                <w:sz w:val="22"/>
                <w:szCs w:val="22"/>
              </w:rPr>
              <w:br w:type="textWrapping"/>
            </w:r>
            <w:r>
              <w:rPr>
                <w:rFonts w:hint="eastAsia" w:cs="宋体"/>
                <w:color w:val="auto"/>
                <w:kern w:val="0"/>
                <w:sz w:val="22"/>
                <w:szCs w:val="22"/>
              </w:rPr>
              <w:t>2、认证机构：区域列表，以表格的形式，罗列各个行政区的认证机构的数量及其同比。</w:t>
            </w:r>
          </w:p>
        </w:tc>
      </w:tr>
      <w:tr w14:paraId="5CCBF57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C13DB7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w:t>
            </w:r>
          </w:p>
        </w:tc>
        <w:tc>
          <w:tcPr>
            <w:tcW w:w="1143" w:type="pct"/>
            <w:tcBorders>
              <w:top w:val="nil"/>
              <w:left w:val="nil"/>
              <w:bottom w:val="single" w:color="000000" w:sz="4" w:space="0"/>
              <w:right w:val="single" w:color="000000" w:sz="4" w:space="0"/>
            </w:tcBorders>
            <w:vAlign w:val="center"/>
          </w:tcPr>
          <w:p w14:paraId="6C2EB5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55844C6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智能驾驶舱-执法监管-精准监测</w:t>
            </w:r>
          </w:p>
        </w:tc>
        <w:tc>
          <w:tcPr>
            <w:tcW w:w="2158" w:type="pct"/>
            <w:tcBorders>
              <w:top w:val="nil"/>
              <w:left w:val="nil"/>
              <w:bottom w:val="single" w:color="000000" w:sz="4" w:space="0"/>
              <w:right w:val="single" w:color="000000" w:sz="4" w:space="0"/>
            </w:tcBorders>
            <w:vAlign w:val="center"/>
          </w:tcPr>
          <w:p w14:paraId="67F6D5E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网络监测：（1）网络监测对象：显示网络主体数量、网站数量、交流类网站数量、网络交易平台数量等。1）网站下钻：区域列表，以表格或图形的方式，罗列各个行政区的网站的数量。2）交易类网站下钻：区域列表，以表格或图形的方式，罗列各个行政区的交易网站的数量。3）网络交易平台下钻：区域列表，以表格或图形的方式，罗列各个行政区的网络交易平台的数量。</w:t>
            </w:r>
            <w:r>
              <w:rPr>
                <w:rFonts w:hint="eastAsia" w:cs="宋体"/>
                <w:color w:val="auto"/>
                <w:kern w:val="0"/>
                <w:sz w:val="22"/>
                <w:szCs w:val="22"/>
              </w:rPr>
              <w:br w:type="textWrapping"/>
            </w:r>
            <w:r>
              <w:rPr>
                <w:rFonts w:hint="eastAsia" w:cs="宋体"/>
                <w:color w:val="auto"/>
                <w:kern w:val="0"/>
                <w:sz w:val="22"/>
                <w:szCs w:val="22"/>
              </w:rPr>
              <w:t>（2）网络监测线索：显示总局五级贯通监测处置数量、上海转型监测违法线索数量等。1）总局五级贯通监测：区域列表，以表格或图形的方式，罗列各个行政区的总局五级贯通监测的处置数及其处置率。2）上海专项监测：分类列表，以表格或是图形的方式，显示监测项目分类以及违法线索数量。</w:t>
            </w:r>
            <w:r>
              <w:rPr>
                <w:rFonts w:hint="eastAsia" w:cs="宋体"/>
                <w:color w:val="auto"/>
                <w:kern w:val="0"/>
                <w:sz w:val="22"/>
                <w:szCs w:val="22"/>
              </w:rPr>
              <w:br w:type="textWrapping"/>
            </w:r>
            <w:r>
              <w:rPr>
                <w:rFonts w:hint="eastAsia" w:cs="宋体"/>
                <w:color w:val="auto"/>
                <w:kern w:val="0"/>
                <w:sz w:val="22"/>
                <w:szCs w:val="22"/>
              </w:rPr>
              <w:t>2、广告监测： "主要展示媒体检测情况：（1）区域列表，以表格或图形的方式，按媒体类型，如互联网、新型媒体、移动网络、电视等，显示监测数、及其违法率。（2）类型下钻，以表格或图形的方式，按月份，显示监测数，及其违法率。</w:t>
            </w:r>
            <w:r>
              <w:rPr>
                <w:rFonts w:hint="eastAsia" w:cs="宋体"/>
                <w:color w:val="auto"/>
                <w:kern w:val="0"/>
                <w:sz w:val="22"/>
                <w:szCs w:val="22"/>
              </w:rPr>
              <w:br w:type="textWrapping"/>
            </w:r>
            <w:r>
              <w:rPr>
                <w:rFonts w:hint="eastAsia" w:cs="宋体"/>
                <w:color w:val="auto"/>
                <w:kern w:val="0"/>
                <w:sz w:val="22"/>
                <w:szCs w:val="22"/>
              </w:rPr>
              <w:t>3、舆 情监测： "显示上海市场舆 情案例列表，包括时间、案例名称。案件下钻，显示该案件的详情，包括舆 情概述、舆 情观点、回应情况等。</w:t>
            </w:r>
          </w:p>
        </w:tc>
      </w:tr>
      <w:tr w14:paraId="2468EE5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21C0BB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w:t>
            </w:r>
          </w:p>
        </w:tc>
        <w:tc>
          <w:tcPr>
            <w:tcW w:w="1143" w:type="pct"/>
            <w:tcBorders>
              <w:top w:val="nil"/>
              <w:left w:val="nil"/>
              <w:bottom w:val="single" w:color="000000" w:sz="4" w:space="0"/>
              <w:right w:val="single" w:color="000000" w:sz="4" w:space="0"/>
            </w:tcBorders>
            <w:vAlign w:val="center"/>
          </w:tcPr>
          <w:p w14:paraId="637BCE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55BAE81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智能驾驶舱-执法监管-消费维权</w:t>
            </w:r>
          </w:p>
        </w:tc>
        <w:tc>
          <w:tcPr>
            <w:tcW w:w="2158" w:type="pct"/>
            <w:tcBorders>
              <w:top w:val="nil"/>
              <w:left w:val="nil"/>
              <w:bottom w:val="single" w:color="000000" w:sz="4" w:space="0"/>
              <w:right w:val="single" w:color="000000" w:sz="4" w:space="0"/>
            </w:tcBorders>
            <w:vAlign w:val="center"/>
          </w:tcPr>
          <w:p w14:paraId="7A6935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1、首页内容：显示今年投诉的数量、同比；今年举报的数量、同比；按各个行政区的投诉件/举报件数量、及其同比</w:t>
            </w:r>
            <w:r>
              <w:rPr>
                <w:rFonts w:hint="eastAsia" w:cs="宋体"/>
                <w:color w:val="auto"/>
                <w:kern w:val="0"/>
                <w:sz w:val="22"/>
                <w:szCs w:val="22"/>
              </w:rPr>
              <w:br w:type="textWrapping"/>
            </w:r>
            <w:r>
              <w:rPr>
                <w:rFonts w:hint="eastAsia" w:cs="宋体"/>
                <w:color w:val="auto"/>
                <w:kern w:val="0"/>
                <w:sz w:val="22"/>
                <w:szCs w:val="22"/>
              </w:rPr>
              <w:t>2、今年投诉：（1）涉诉企业：显示被诉企业TOP10，及其被诉工单数量。</w:t>
            </w:r>
            <w:r>
              <w:rPr>
                <w:rFonts w:hint="eastAsia" w:cs="宋体"/>
                <w:color w:val="auto"/>
                <w:kern w:val="0"/>
                <w:sz w:val="22"/>
                <w:szCs w:val="22"/>
              </w:rPr>
              <w:br w:type="textWrapping"/>
            </w:r>
            <w:r>
              <w:rPr>
                <w:rFonts w:hint="eastAsia" w:cs="宋体"/>
                <w:color w:val="auto"/>
                <w:kern w:val="0"/>
                <w:sz w:val="22"/>
                <w:szCs w:val="22"/>
              </w:rPr>
              <w:t>（2）商品分类：以列表的形式，显示商品类别（如、服装、鞋帽、家具用品、家用电器、食品等）及其投诉件数量。</w:t>
            </w:r>
            <w:r>
              <w:rPr>
                <w:rFonts w:hint="eastAsia" w:cs="宋体"/>
                <w:color w:val="auto"/>
                <w:kern w:val="0"/>
                <w:sz w:val="22"/>
                <w:szCs w:val="22"/>
              </w:rPr>
              <w:br w:type="textWrapping"/>
            </w:r>
            <w:r>
              <w:rPr>
                <w:rFonts w:hint="eastAsia" w:cs="宋体"/>
                <w:color w:val="auto"/>
                <w:kern w:val="0"/>
                <w:sz w:val="22"/>
                <w:szCs w:val="22"/>
              </w:rPr>
              <w:t>（3）服务分类：以列表的形式，显示服务类别（如、销售服务、美容美发洗浴服务、教育培训服务、餐饮和住宿服务等）及其投诉件数量。</w:t>
            </w:r>
            <w:r>
              <w:rPr>
                <w:rFonts w:hint="eastAsia" w:cs="宋体"/>
                <w:color w:val="auto"/>
                <w:kern w:val="0"/>
                <w:sz w:val="22"/>
                <w:szCs w:val="22"/>
              </w:rPr>
              <w:br w:type="textWrapping"/>
            </w:r>
            <w:r>
              <w:rPr>
                <w:rFonts w:hint="eastAsia" w:cs="宋体"/>
                <w:color w:val="auto"/>
                <w:kern w:val="0"/>
                <w:sz w:val="22"/>
                <w:szCs w:val="22"/>
              </w:rPr>
              <w:t>（4）问题分类：以列表的形式，显示问题类别（如、售后服务、质量、合同、不正当竞争、侵害消费者权益行为、拍卖、招投标等）及其投诉件数量。</w:t>
            </w:r>
            <w:r>
              <w:rPr>
                <w:rFonts w:hint="eastAsia" w:cs="宋体"/>
                <w:color w:val="auto"/>
                <w:kern w:val="0"/>
                <w:sz w:val="22"/>
                <w:szCs w:val="22"/>
              </w:rPr>
              <w:br w:type="textWrapping"/>
            </w:r>
            <w:r>
              <w:rPr>
                <w:rFonts w:hint="eastAsia" w:cs="宋体"/>
                <w:color w:val="auto"/>
                <w:kern w:val="0"/>
                <w:sz w:val="22"/>
                <w:szCs w:val="22"/>
              </w:rPr>
              <w:t>3、今天举报： "（1）被举报企业：显示被举报企业TOP10，及其被举报工单数量。</w:t>
            </w:r>
            <w:r>
              <w:rPr>
                <w:rFonts w:hint="eastAsia" w:cs="宋体"/>
                <w:color w:val="auto"/>
                <w:kern w:val="0"/>
                <w:sz w:val="22"/>
                <w:szCs w:val="22"/>
              </w:rPr>
              <w:br w:type="textWrapping"/>
            </w:r>
            <w:r>
              <w:rPr>
                <w:rFonts w:hint="eastAsia" w:cs="宋体"/>
                <w:color w:val="auto"/>
                <w:kern w:val="0"/>
                <w:sz w:val="22"/>
                <w:szCs w:val="22"/>
              </w:rPr>
              <w:t>（2）商品分类：以列表的形式，显示商品类别（如、服装、鞋帽、家具用品、家用电器、食品等）及其举报件数量。</w:t>
            </w:r>
            <w:r>
              <w:rPr>
                <w:rFonts w:hint="eastAsia" w:cs="宋体"/>
                <w:color w:val="auto"/>
                <w:kern w:val="0"/>
                <w:sz w:val="22"/>
                <w:szCs w:val="22"/>
              </w:rPr>
              <w:br w:type="textWrapping"/>
            </w:r>
            <w:r>
              <w:rPr>
                <w:rFonts w:hint="eastAsia" w:cs="宋体"/>
                <w:color w:val="auto"/>
                <w:kern w:val="0"/>
                <w:sz w:val="22"/>
                <w:szCs w:val="22"/>
              </w:rPr>
              <w:t>（3）服务分类：以列表的形式，显示服务类别（如、销售服务、美容美发洗浴服务、教育培训服务、餐饮和住宿服务等）及其举报件数量。</w:t>
            </w:r>
            <w:r>
              <w:rPr>
                <w:rFonts w:hint="eastAsia" w:cs="宋体"/>
                <w:color w:val="auto"/>
                <w:kern w:val="0"/>
                <w:sz w:val="22"/>
                <w:szCs w:val="22"/>
              </w:rPr>
              <w:br w:type="textWrapping"/>
            </w:r>
            <w:r>
              <w:rPr>
                <w:rFonts w:hint="eastAsia" w:cs="宋体"/>
                <w:color w:val="auto"/>
                <w:kern w:val="0"/>
                <w:sz w:val="22"/>
                <w:szCs w:val="22"/>
              </w:rPr>
              <w:t>（4）问题分类：以列表的形式，显示问题类别（如、售后服务、质量、合同、不正当竞争、侵害消费者权益行为、拍卖、招投标等）及其举报件数量。</w:t>
            </w:r>
          </w:p>
        </w:tc>
      </w:tr>
      <w:tr w14:paraId="78B4CF9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DF23E2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w:t>
            </w:r>
          </w:p>
        </w:tc>
        <w:tc>
          <w:tcPr>
            <w:tcW w:w="1143" w:type="pct"/>
            <w:tcBorders>
              <w:top w:val="nil"/>
              <w:left w:val="nil"/>
              <w:bottom w:val="single" w:color="000000" w:sz="4" w:space="0"/>
              <w:right w:val="single" w:color="000000" w:sz="4" w:space="0"/>
            </w:tcBorders>
            <w:vAlign w:val="center"/>
          </w:tcPr>
          <w:p w14:paraId="72BFD39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6BF3922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智能驾驶舱-执法监管-信用监管</w:t>
            </w:r>
          </w:p>
        </w:tc>
        <w:tc>
          <w:tcPr>
            <w:tcW w:w="2158" w:type="pct"/>
            <w:tcBorders>
              <w:top w:val="nil"/>
              <w:left w:val="nil"/>
              <w:bottom w:val="single" w:color="000000" w:sz="4" w:space="0"/>
              <w:right w:val="single" w:color="000000" w:sz="4" w:space="0"/>
            </w:tcBorders>
            <w:vAlign w:val="center"/>
          </w:tcPr>
          <w:p w14:paraId="47A88D2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1、企业年报：</w:t>
            </w:r>
            <w:r>
              <w:rPr>
                <w:rFonts w:hint="eastAsia" w:cs="宋体"/>
                <w:color w:val="auto"/>
                <w:kern w:val="0"/>
                <w:sz w:val="22"/>
                <w:szCs w:val="22"/>
              </w:rPr>
              <w:br w:type="textWrapping"/>
            </w:r>
            <w:r>
              <w:rPr>
                <w:rFonts w:hint="eastAsia" w:cs="宋体"/>
                <w:color w:val="auto"/>
                <w:kern w:val="0"/>
                <w:sz w:val="22"/>
                <w:szCs w:val="22"/>
              </w:rPr>
              <w:t>（1）区域分布 以列表的形式，显示本市各个行政区的年报率及其同比。</w:t>
            </w:r>
            <w:r>
              <w:rPr>
                <w:rFonts w:hint="eastAsia" w:cs="宋体"/>
                <w:color w:val="auto"/>
                <w:kern w:val="0"/>
                <w:sz w:val="22"/>
                <w:szCs w:val="22"/>
              </w:rPr>
              <w:br w:type="textWrapping"/>
            </w:r>
            <w:r>
              <w:rPr>
                <w:rFonts w:hint="eastAsia" w:cs="宋体"/>
                <w:color w:val="auto"/>
                <w:kern w:val="0"/>
                <w:sz w:val="22"/>
                <w:szCs w:val="22"/>
              </w:rPr>
              <w:t>（2）企业类型分布：以列表或图形的形式，按企业类型，显示各个企业类型的年报率及其同比。</w:t>
            </w:r>
            <w:r>
              <w:rPr>
                <w:rFonts w:hint="eastAsia" w:cs="宋体"/>
                <w:color w:val="auto"/>
                <w:kern w:val="0"/>
                <w:sz w:val="22"/>
                <w:szCs w:val="22"/>
              </w:rPr>
              <w:br w:type="textWrapping"/>
            </w:r>
            <w:r>
              <w:rPr>
                <w:rFonts w:hint="eastAsia" w:cs="宋体"/>
                <w:color w:val="auto"/>
                <w:kern w:val="0"/>
                <w:sz w:val="22"/>
                <w:szCs w:val="22"/>
              </w:rPr>
              <w:t>（3）经营情况：以列表或图形的形式，按盈利规模（100万元以下、100-1000万元、1000万-1亿、1亿元以上），显示企业数量及其同比。</w:t>
            </w:r>
            <w:r>
              <w:rPr>
                <w:rFonts w:hint="eastAsia" w:cs="宋体"/>
                <w:color w:val="auto"/>
                <w:kern w:val="0"/>
                <w:sz w:val="22"/>
                <w:szCs w:val="22"/>
              </w:rPr>
              <w:br w:type="textWrapping"/>
            </w:r>
            <w:r>
              <w:rPr>
                <w:rFonts w:hint="eastAsia" w:cs="宋体"/>
                <w:color w:val="auto"/>
                <w:kern w:val="0"/>
                <w:sz w:val="22"/>
                <w:szCs w:val="22"/>
              </w:rPr>
              <w:t>（4）纳税情况：以列表或图形的形式，按纳税规模（100万元以下、100-1000万元、1000万-1亿、1亿元以上），显示企业数量及其同比。</w:t>
            </w:r>
            <w:r>
              <w:rPr>
                <w:rFonts w:hint="eastAsia" w:cs="宋体"/>
                <w:color w:val="auto"/>
                <w:kern w:val="0"/>
                <w:sz w:val="22"/>
                <w:szCs w:val="22"/>
              </w:rPr>
              <w:br w:type="textWrapping"/>
            </w:r>
            <w:r>
              <w:rPr>
                <w:rFonts w:hint="eastAsia" w:cs="宋体"/>
                <w:color w:val="auto"/>
                <w:kern w:val="0"/>
                <w:sz w:val="22"/>
                <w:szCs w:val="22"/>
              </w:rPr>
              <w:t>（5）从业人员：以列表或图形的形式，按人员规模（10人以下、10-100人、100-1000人、1000以上），显示企业数量及其同比。</w:t>
            </w:r>
            <w:r>
              <w:rPr>
                <w:rFonts w:hint="eastAsia" w:cs="宋体"/>
                <w:color w:val="auto"/>
                <w:kern w:val="0"/>
                <w:sz w:val="22"/>
                <w:szCs w:val="22"/>
              </w:rPr>
              <w:br w:type="textWrapping"/>
            </w:r>
            <w:r>
              <w:rPr>
                <w:rFonts w:hint="eastAsia" w:cs="宋体"/>
                <w:color w:val="auto"/>
                <w:kern w:val="0"/>
                <w:sz w:val="22"/>
                <w:szCs w:val="22"/>
              </w:rPr>
              <w:t>（6）实缴情况：以列表或图形的形式，按企业类型，显示各个企业类型（上年度新设企业、大型企业、外商投资企业、特种设备生产企业、海关管理企业、先导产业企业、支柱产业企业等）的实缴金额及其实缴率。</w:t>
            </w:r>
            <w:r>
              <w:rPr>
                <w:rFonts w:hint="eastAsia" w:cs="宋体"/>
                <w:color w:val="auto"/>
                <w:kern w:val="0"/>
                <w:sz w:val="22"/>
                <w:szCs w:val="22"/>
              </w:rPr>
              <w:br w:type="textWrapping"/>
            </w:r>
            <w:r>
              <w:rPr>
                <w:rFonts w:hint="eastAsia" w:cs="宋体"/>
                <w:color w:val="auto"/>
                <w:kern w:val="0"/>
                <w:sz w:val="22"/>
                <w:szCs w:val="22"/>
              </w:rPr>
              <w:t>2、信用风险分类：</w:t>
            </w:r>
            <w:r>
              <w:rPr>
                <w:rFonts w:hint="eastAsia" w:cs="宋体"/>
                <w:color w:val="auto"/>
                <w:kern w:val="0"/>
                <w:sz w:val="22"/>
                <w:szCs w:val="22"/>
              </w:rPr>
              <w:br w:type="textWrapping"/>
            </w:r>
            <w:r>
              <w:rPr>
                <w:rFonts w:hint="eastAsia" w:cs="宋体"/>
                <w:color w:val="auto"/>
                <w:kern w:val="0"/>
                <w:sz w:val="22"/>
                <w:szCs w:val="22"/>
              </w:rPr>
              <w:t>（1）首页：以企业信用风险分类，显示A类企业、B类企业、C类企业、D类企业的数量、数量占比以及同比。以“双随机、一公开”监管，显示检查户数数量以及问题发现率。</w:t>
            </w:r>
            <w:r>
              <w:rPr>
                <w:rFonts w:hint="eastAsia" w:cs="宋体"/>
                <w:color w:val="auto"/>
                <w:kern w:val="0"/>
                <w:sz w:val="22"/>
                <w:szCs w:val="22"/>
              </w:rPr>
              <w:br w:type="textWrapping"/>
            </w:r>
            <w:r>
              <w:rPr>
                <w:rFonts w:hint="eastAsia" w:cs="宋体"/>
                <w:color w:val="auto"/>
                <w:kern w:val="0"/>
                <w:sz w:val="22"/>
                <w:szCs w:val="22"/>
              </w:rPr>
              <w:t>（2）信用风险分类：1）区域分布：以列表和图形的方式，按各个行政区，展示该信用分类的企业数及其同比。2）行业分布：以列表和图形的方式，按各个行业（如，租赁和商务服务业、批发和零售业、交通运输和仓储业等），展示该信用分类的企业数及其同比。（3）双随机抽查：1）计划进度：以列表和图形的方式，按各个行政区，展示抽取户数、以及完成率。2）检查情况：以列表和图形的方式，按各个行政区，展示检查户数、以及问题发现率。</w:t>
            </w:r>
            <w:r>
              <w:rPr>
                <w:rFonts w:hint="eastAsia" w:cs="宋体"/>
                <w:color w:val="auto"/>
                <w:kern w:val="0"/>
                <w:sz w:val="22"/>
                <w:szCs w:val="22"/>
              </w:rPr>
              <w:br w:type="textWrapping"/>
            </w:r>
            <w:r>
              <w:rPr>
                <w:rFonts w:hint="eastAsia" w:cs="宋体"/>
                <w:color w:val="auto"/>
                <w:kern w:val="0"/>
                <w:sz w:val="22"/>
                <w:szCs w:val="22"/>
              </w:rPr>
              <w:t>3、信用管理：</w:t>
            </w:r>
            <w:r>
              <w:rPr>
                <w:rFonts w:hint="eastAsia" w:cs="宋体"/>
                <w:color w:val="auto"/>
                <w:kern w:val="0"/>
                <w:sz w:val="22"/>
                <w:szCs w:val="22"/>
              </w:rPr>
              <w:br w:type="textWrapping"/>
            </w:r>
            <w:r>
              <w:rPr>
                <w:rFonts w:hint="eastAsia" w:cs="宋体"/>
                <w:color w:val="auto"/>
                <w:kern w:val="0"/>
                <w:sz w:val="22"/>
                <w:szCs w:val="22"/>
              </w:rPr>
              <w:t>（1）首页：显示列入经营名录的数量，较上年末的比率；列入严重违法失信名单的数量，较上年末的比率；</w:t>
            </w:r>
            <w:r>
              <w:rPr>
                <w:rFonts w:hint="eastAsia" w:cs="宋体"/>
                <w:color w:val="auto"/>
                <w:kern w:val="0"/>
                <w:sz w:val="22"/>
                <w:szCs w:val="22"/>
              </w:rPr>
              <w:br w:type="textWrapping"/>
            </w:r>
            <w:r>
              <w:rPr>
                <w:rFonts w:hint="eastAsia" w:cs="宋体"/>
                <w:color w:val="auto"/>
                <w:kern w:val="0"/>
                <w:sz w:val="22"/>
                <w:szCs w:val="22"/>
              </w:rPr>
              <w:t>（2）显示信用修复，包括今年列异修复的数量，今年列严修复的数量。</w:t>
            </w:r>
            <w:r>
              <w:rPr>
                <w:rFonts w:hint="eastAsia" w:cs="宋体"/>
                <w:color w:val="auto"/>
                <w:kern w:val="0"/>
                <w:sz w:val="22"/>
                <w:szCs w:val="22"/>
              </w:rPr>
              <w:br w:type="textWrapping"/>
            </w:r>
            <w:r>
              <w:rPr>
                <w:rFonts w:hint="eastAsia" w:cs="宋体"/>
                <w:color w:val="auto"/>
                <w:kern w:val="0"/>
                <w:sz w:val="22"/>
                <w:szCs w:val="22"/>
              </w:rPr>
              <w:t>（3）异常经营名录：1）区域分布：以列表或图形的方式，显示本市各个行政区，列入异常经营名录的企业数量及其占比。2）主体类型：以列表或图形的方式，显示本市各类企业类型（私营企业、国有企业、外资企业、个体工商户、农民专业合作社），列入异常经营名录的企业数量及其占比；3）原因分布：以列表或图形的方式，以列入原因（未按照规定的期限公示年度报告的、通过登记的住所或者经营场所无法联系、未在规定责令的期限内公示有关企业信息的），显示列入异常经营名录的企业数量及其占比。</w:t>
            </w:r>
            <w:r>
              <w:rPr>
                <w:rFonts w:hint="eastAsia" w:cs="宋体"/>
                <w:color w:val="auto"/>
                <w:kern w:val="0"/>
                <w:sz w:val="22"/>
                <w:szCs w:val="22"/>
              </w:rPr>
              <w:br w:type="textWrapping"/>
            </w:r>
            <w:r>
              <w:rPr>
                <w:rFonts w:hint="eastAsia" w:cs="宋体"/>
                <w:color w:val="auto"/>
                <w:kern w:val="0"/>
                <w:sz w:val="22"/>
                <w:szCs w:val="22"/>
              </w:rPr>
              <w:t>（4）严重违法失信名单：1）区域分布：以列表或图形的方式，显示本市各个行政区，列入严重违法失信名单的企业数量及其占比；2）主体类型：以列表或图形的方式，显示本市各类企业类型（私营企业、国有企业、外资企业、个体工商户、农民专业合作社），列入严重违法失信名单的企业数量及其占比；3）原因分布：以列表或图形的方式，以列入原因，显示列入严重违法失信名单的企业数量及其占比。</w:t>
            </w:r>
            <w:r>
              <w:rPr>
                <w:rFonts w:hint="eastAsia" w:cs="宋体"/>
                <w:color w:val="auto"/>
                <w:kern w:val="0"/>
                <w:sz w:val="22"/>
                <w:szCs w:val="22"/>
              </w:rPr>
              <w:br w:type="textWrapping"/>
            </w:r>
            <w:r>
              <w:rPr>
                <w:rFonts w:hint="eastAsia" w:cs="宋体"/>
                <w:color w:val="auto"/>
                <w:kern w:val="0"/>
                <w:sz w:val="22"/>
                <w:szCs w:val="22"/>
              </w:rPr>
              <w:t>（5）信用修复：1）列异修复：以列表或图形的方式，根据列入原因（未按照规定的期限公示年度报告的、通过登记的住所或者经营场所无法联系、未在规定责令的期限内公示有关企业信息的），显示列异修复的企业数量及其占比。2）列严修复：以列表或图形的方式，根据领域（如、食品安全、药品安全、质量安全、侵权消费者权益、破坏公平竞争秩序等），显示列严修复的企业数量及其占比。</w:t>
            </w:r>
          </w:p>
        </w:tc>
      </w:tr>
      <w:tr w14:paraId="1A64431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0C3A5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w:t>
            </w:r>
          </w:p>
        </w:tc>
        <w:tc>
          <w:tcPr>
            <w:tcW w:w="1143" w:type="pct"/>
            <w:tcBorders>
              <w:top w:val="nil"/>
              <w:left w:val="nil"/>
              <w:bottom w:val="single" w:color="000000" w:sz="4" w:space="0"/>
              <w:right w:val="single" w:color="000000" w:sz="4" w:space="0"/>
            </w:tcBorders>
            <w:vAlign w:val="center"/>
          </w:tcPr>
          <w:p w14:paraId="4A576B8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1A8F8B4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智能驾驶舱-执法监管-执法办案</w:t>
            </w:r>
          </w:p>
        </w:tc>
        <w:tc>
          <w:tcPr>
            <w:tcW w:w="2158" w:type="pct"/>
            <w:tcBorders>
              <w:top w:val="nil"/>
              <w:left w:val="nil"/>
              <w:bottom w:val="single" w:color="000000" w:sz="4" w:space="0"/>
              <w:right w:val="single" w:color="000000" w:sz="4" w:space="0"/>
            </w:tcBorders>
            <w:vAlign w:val="center"/>
          </w:tcPr>
          <w:p w14:paraId="0996619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1：首页内容：以列表或图形的方式，显示各个执法领域（食品安全、广告、市场准入、产品质量等），案件数量及其罚没金额。</w:t>
            </w:r>
            <w:r>
              <w:rPr>
                <w:rFonts w:hint="eastAsia" w:cs="宋体"/>
                <w:color w:val="auto"/>
                <w:kern w:val="0"/>
                <w:sz w:val="22"/>
                <w:szCs w:val="22"/>
              </w:rPr>
              <w:br w:type="textWrapping"/>
            </w:r>
            <w:r>
              <w:rPr>
                <w:rFonts w:hint="eastAsia" w:cs="宋体"/>
                <w:color w:val="auto"/>
                <w:kern w:val="0"/>
                <w:sz w:val="22"/>
                <w:szCs w:val="22"/>
              </w:rPr>
              <w:t>2：执法单位： 以列表或图形的方式，显示各个行政区的案件数量及其罚没金额。</w:t>
            </w:r>
            <w:r>
              <w:rPr>
                <w:rFonts w:hint="eastAsia" w:cs="宋体"/>
                <w:color w:val="auto"/>
                <w:kern w:val="0"/>
                <w:sz w:val="22"/>
                <w:szCs w:val="22"/>
              </w:rPr>
              <w:br w:type="textWrapping"/>
            </w:r>
            <w:r>
              <w:rPr>
                <w:rFonts w:hint="eastAsia" w:cs="宋体"/>
                <w:color w:val="auto"/>
                <w:kern w:val="0"/>
                <w:sz w:val="22"/>
                <w:szCs w:val="22"/>
              </w:rPr>
              <w:t>3：月度趋势： 以列表或图形的方式，显示各个月份的案件数量及其罚没金额。</w:t>
            </w:r>
            <w:r>
              <w:rPr>
                <w:rFonts w:hint="eastAsia" w:cs="宋体"/>
                <w:color w:val="auto"/>
                <w:kern w:val="0"/>
                <w:sz w:val="22"/>
                <w:szCs w:val="22"/>
              </w:rPr>
              <w:br w:type="textWrapping"/>
            </w:r>
            <w:r>
              <w:rPr>
                <w:rFonts w:hint="eastAsia" w:cs="宋体"/>
                <w:color w:val="auto"/>
                <w:kern w:val="0"/>
                <w:sz w:val="22"/>
                <w:szCs w:val="22"/>
              </w:rPr>
              <w:t>4：处罚结果： 以列表或图形的方式，显示各类处罚结果（给与行政处罚、仅警告处罚、不予行政处罚、移送司法机关、移送其他行政管理、其他）的案件数量及其占比。</w:t>
            </w:r>
            <w:r>
              <w:rPr>
                <w:rFonts w:hint="eastAsia" w:cs="宋体"/>
                <w:color w:val="auto"/>
                <w:kern w:val="0"/>
                <w:sz w:val="22"/>
                <w:szCs w:val="22"/>
              </w:rPr>
              <w:br w:type="textWrapping"/>
            </w:r>
            <w:r>
              <w:rPr>
                <w:rFonts w:hint="eastAsia" w:cs="宋体"/>
                <w:color w:val="auto"/>
                <w:kern w:val="0"/>
                <w:sz w:val="22"/>
                <w:szCs w:val="22"/>
              </w:rPr>
              <w:t>5：罚没金额： 以列表或图形的方式，显示各个层级的罚没金额（0-1千、1-5千、5千-1万、1-5万、5-10万、10-50万、50-100万、100万以上）的案件数量及其占比。</w:t>
            </w:r>
            <w:r>
              <w:rPr>
                <w:rFonts w:hint="eastAsia" w:cs="宋体"/>
                <w:color w:val="auto"/>
                <w:kern w:val="0"/>
                <w:sz w:val="22"/>
                <w:szCs w:val="22"/>
              </w:rPr>
              <w:br w:type="textWrapping"/>
            </w:r>
            <w:r>
              <w:rPr>
                <w:rFonts w:hint="eastAsia" w:cs="宋体"/>
                <w:color w:val="auto"/>
                <w:kern w:val="0"/>
                <w:sz w:val="22"/>
                <w:szCs w:val="22"/>
              </w:rPr>
              <w:t>6、处罚强度： 以列表或图形的方式，显示各类处罚强度（一般、免罚、免强、从轻、减轻、从重）的案件数量及其占比。</w:t>
            </w:r>
          </w:p>
        </w:tc>
      </w:tr>
      <w:tr w14:paraId="3A9A4E5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B3B9D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w:t>
            </w:r>
          </w:p>
        </w:tc>
        <w:tc>
          <w:tcPr>
            <w:tcW w:w="1143" w:type="pct"/>
            <w:tcBorders>
              <w:top w:val="nil"/>
              <w:left w:val="nil"/>
              <w:bottom w:val="single" w:color="000000" w:sz="4" w:space="0"/>
              <w:right w:val="single" w:color="000000" w:sz="4" w:space="0"/>
            </w:tcBorders>
            <w:vAlign w:val="center"/>
          </w:tcPr>
          <w:p w14:paraId="6005CC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6257BC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智能驾驶舱-守牢底线-首页内容</w:t>
            </w:r>
          </w:p>
        </w:tc>
        <w:tc>
          <w:tcPr>
            <w:tcW w:w="2158" w:type="pct"/>
            <w:tcBorders>
              <w:top w:val="nil"/>
              <w:left w:val="nil"/>
              <w:bottom w:val="single" w:color="000000" w:sz="4" w:space="0"/>
              <w:right w:val="single" w:color="000000" w:sz="4" w:space="0"/>
            </w:tcBorders>
            <w:vAlign w:val="center"/>
          </w:tcPr>
          <w:p w14:paraId="1A8BC54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（1）显示食品经营主体的数量及其较上年末的比率、食品检查问题率以及较上年末的比率、食品抽检不合格率及其较上年末的比率。</w:t>
            </w:r>
            <w:r>
              <w:rPr>
                <w:rFonts w:hint="eastAsia" w:cs="宋体"/>
                <w:color w:val="auto"/>
                <w:kern w:val="0"/>
                <w:sz w:val="22"/>
                <w:szCs w:val="22"/>
              </w:rPr>
              <w:br w:type="textWrapping"/>
            </w:r>
            <w:r>
              <w:rPr>
                <w:rFonts w:hint="eastAsia" w:cs="宋体"/>
                <w:color w:val="auto"/>
                <w:kern w:val="0"/>
                <w:sz w:val="22"/>
                <w:szCs w:val="22"/>
              </w:rPr>
              <w:t>（2）显示药品经营主体的数量及其较上年末的比率、药品监管问题率以及较上年末的比率、药品抽检不合格率及其较上年末的比率。</w:t>
            </w:r>
            <w:r>
              <w:rPr>
                <w:rFonts w:hint="eastAsia" w:cs="宋体"/>
                <w:color w:val="auto"/>
                <w:kern w:val="0"/>
                <w:sz w:val="22"/>
                <w:szCs w:val="22"/>
              </w:rPr>
              <w:br w:type="textWrapping"/>
            </w:r>
            <w:r>
              <w:rPr>
                <w:rFonts w:hint="eastAsia" w:cs="宋体"/>
                <w:color w:val="auto"/>
                <w:kern w:val="0"/>
                <w:sz w:val="22"/>
                <w:szCs w:val="22"/>
              </w:rPr>
              <w:t>（3）显示工业产品获证主体的数量及其较上年末的比率、工业产品检查问题率以及较上年末的比率、工业产品抽检不合格率及其较上年末的比率。</w:t>
            </w:r>
            <w:r>
              <w:rPr>
                <w:rFonts w:hint="eastAsia" w:cs="宋体"/>
                <w:color w:val="auto"/>
                <w:kern w:val="0"/>
                <w:sz w:val="22"/>
                <w:szCs w:val="22"/>
              </w:rPr>
              <w:br w:type="textWrapping"/>
            </w:r>
            <w:r>
              <w:rPr>
                <w:rFonts w:hint="eastAsia" w:cs="宋体"/>
                <w:color w:val="auto"/>
                <w:kern w:val="0"/>
                <w:sz w:val="22"/>
                <w:szCs w:val="22"/>
              </w:rPr>
              <w:t>（4）显示特种设备获证主体的数量及其较上年末的比率、特种设备检查问题率以及较上年末的比率、特种设备抽检不合格率及其较上年末的比率。</w:t>
            </w:r>
          </w:p>
        </w:tc>
      </w:tr>
      <w:tr w14:paraId="46E61E7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080183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w:t>
            </w:r>
          </w:p>
        </w:tc>
        <w:tc>
          <w:tcPr>
            <w:tcW w:w="1143" w:type="pct"/>
            <w:tcBorders>
              <w:top w:val="nil"/>
              <w:left w:val="nil"/>
              <w:bottom w:val="single" w:color="000000" w:sz="4" w:space="0"/>
              <w:right w:val="single" w:color="000000" w:sz="4" w:space="0"/>
            </w:tcBorders>
            <w:vAlign w:val="center"/>
          </w:tcPr>
          <w:p w14:paraId="61A0D05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5AF1FD9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智能驾驶舱-守牢底线-食品安全</w:t>
            </w:r>
          </w:p>
        </w:tc>
        <w:tc>
          <w:tcPr>
            <w:tcW w:w="2158" w:type="pct"/>
            <w:tcBorders>
              <w:top w:val="nil"/>
              <w:left w:val="nil"/>
              <w:bottom w:val="single" w:color="000000" w:sz="4" w:space="0"/>
              <w:right w:val="single" w:color="000000" w:sz="4" w:space="0"/>
            </w:tcBorders>
            <w:vAlign w:val="center"/>
          </w:tcPr>
          <w:p w14:paraId="0E9A2D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1、食品获证者：分别展示食品生产者、食品销售经营者、餐饮服务经营者的数量及其较上年末的环比。并支持下钻，进一步细分食品获证者的类型、数量及其较上年末的环比。</w:t>
            </w:r>
            <w:r>
              <w:rPr>
                <w:rFonts w:hint="eastAsia" w:cs="宋体"/>
                <w:color w:val="auto"/>
                <w:kern w:val="0"/>
                <w:sz w:val="22"/>
                <w:szCs w:val="22"/>
              </w:rPr>
              <w:br w:type="textWrapping"/>
            </w:r>
            <w:r>
              <w:rPr>
                <w:rFonts w:hint="eastAsia" w:cs="宋体"/>
                <w:color w:val="auto"/>
                <w:kern w:val="0"/>
                <w:sz w:val="22"/>
                <w:szCs w:val="22"/>
              </w:rPr>
              <w:t>2、监督检查： "按本市各个行政区，显示检查户次数、发现问题数、整改完成率。按各类许可类型，显示检查户次数、发现问题数、整改完成率。</w:t>
            </w:r>
            <w:r>
              <w:rPr>
                <w:rFonts w:hint="eastAsia" w:cs="宋体"/>
                <w:color w:val="auto"/>
                <w:kern w:val="0"/>
                <w:sz w:val="22"/>
                <w:szCs w:val="22"/>
              </w:rPr>
              <w:br w:type="textWrapping"/>
            </w:r>
            <w:r>
              <w:rPr>
                <w:rFonts w:hint="eastAsia" w:cs="宋体"/>
                <w:color w:val="auto"/>
                <w:kern w:val="0"/>
                <w:sz w:val="22"/>
                <w:szCs w:val="22"/>
              </w:rPr>
              <w:t>3、监督抽查：按各个食品类型，显示抽查批次数、不合格率、以及去年的不合格率。</w:t>
            </w:r>
          </w:p>
        </w:tc>
      </w:tr>
      <w:tr w14:paraId="2584145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47DDE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w:t>
            </w:r>
          </w:p>
        </w:tc>
        <w:tc>
          <w:tcPr>
            <w:tcW w:w="1143" w:type="pct"/>
            <w:tcBorders>
              <w:top w:val="nil"/>
              <w:left w:val="nil"/>
              <w:bottom w:val="single" w:color="000000" w:sz="4" w:space="0"/>
              <w:right w:val="single" w:color="000000" w:sz="4" w:space="0"/>
            </w:tcBorders>
            <w:vAlign w:val="center"/>
          </w:tcPr>
          <w:p w14:paraId="4FF922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0C7248D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智能驾驶舱-守牢底线-药品安全</w:t>
            </w:r>
          </w:p>
        </w:tc>
        <w:tc>
          <w:tcPr>
            <w:tcW w:w="2158" w:type="pct"/>
            <w:tcBorders>
              <w:top w:val="nil"/>
              <w:left w:val="nil"/>
              <w:bottom w:val="single" w:color="000000" w:sz="4" w:space="0"/>
              <w:right w:val="single" w:color="000000" w:sz="4" w:space="0"/>
            </w:tcBorders>
            <w:vAlign w:val="center"/>
          </w:tcPr>
          <w:p w14:paraId="5766C8D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监管对象：按主体类型（药品主体、医疗器械主体、化妆品主体），显示企业数量，并支持下钻，显示生产、经营、使用企业的数量。按许可类型（药品注册、医疗器械注册、普通化妆品备案），显示企业数量，并支持下钻，显示其细分类型的企业数量。</w:t>
            </w:r>
            <w:r>
              <w:rPr>
                <w:rFonts w:hint="eastAsia" w:cs="宋体"/>
                <w:color w:val="auto"/>
                <w:kern w:val="0"/>
                <w:sz w:val="22"/>
                <w:szCs w:val="22"/>
              </w:rPr>
              <w:br w:type="textWrapping"/>
            </w:r>
            <w:r>
              <w:rPr>
                <w:rFonts w:hint="eastAsia" w:cs="宋体"/>
                <w:color w:val="auto"/>
                <w:kern w:val="0"/>
                <w:sz w:val="22"/>
                <w:szCs w:val="22"/>
              </w:rPr>
              <w:t>2、行政监管： "按本市各个行政区，显示检查次数、发现问题率、上年末的问题发现率。按各类许可类型，显示检查次数、发现问题率、上年末的问题发现率。</w:t>
            </w:r>
            <w:r>
              <w:rPr>
                <w:rFonts w:hint="eastAsia" w:cs="宋体"/>
                <w:color w:val="auto"/>
                <w:kern w:val="0"/>
                <w:sz w:val="22"/>
                <w:szCs w:val="22"/>
              </w:rPr>
              <w:br w:type="textWrapping"/>
            </w:r>
            <w:r>
              <w:rPr>
                <w:rFonts w:hint="eastAsia" w:cs="宋体"/>
                <w:color w:val="auto"/>
                <w:kern w:val="0"/>
                <w:sz w:val="22"/>
                <w:szCs w:val="22"/>
              </w:rPr>
              <w:t>3、监督抽检：按药品类型，显示抽查样品数、合格率、上年末的合格率。</w:t>
            </w:r>
          </w:p>
        </w:tc>
      </w:tr>
      <w:tr w14:paraId="4F6DB7E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C99E4B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w:t>
            </w:r>
          </w:p>
        </w:tc>
        <w:tc>
          <w:tcPr>
            <w:tcW w:w="1143" w:type="pct"/>
            <w:tcBorders>
              <w:top w:val="nil"/>
              <w:left w:val="nil"/>
              <w:bottom w:val="single" w:color="000000" w:sz="4" w:space="0"/>
              <w:right w:val="single" w:color="000000" w:sz="4" w:space="0"/>
            </w:tcBorders>
            <w:vAlign w:val="center"/>
          </w:tcPr>
          <w:p w14:paraId="5DD2B3F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781C48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智能驾驶舱-守牢底线-工业产品安全</w:t>
            </w:r>
          </w:p>
        </w:tc>
        <w:tc>
          <w:tcPr>
            <w:tcW w:w="2158" w:type="pct"/>
            <w:tcBorders>
              <w:top w:val="nil"/>
              <w:left w:val="nil"/>
              <w:bottom w:val="single" w:color="000000" w:sz="4" w:space="0"/>
              <w:right w:val="single" w:color="000000" w:sz="4" w:space="0"/>
            </w:tcBorders>
            <w:vAlign w:val="center"/>
          </w:tcPr>
          <w:p w14:paraId="13BB508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1、产品类别：按工业产品生产企业产品类别（如、建筑用钢筋、水泥、广告电视传输设备等），显示证书数量及其上年末环比。</w:t>
            </w:r>
            <w:r>
              <w:rPr>
                <w:rFonts w:hint="eastAsia" w:cs="宋体"/>
                <w:color w:val="auto"/>
                <w:kern w:val="0"/>
                <w:sz w:val="22"/>
                <w:szCs w:val="22"/>
              </w:rPr>
              <w:br w:type="textWrapping"/>
            </w:r>
            <w:r>
              <w:rPr>
                <w:rFonts w:hint="eastAsia" w:cs="宋体"/>
                <w:color w:val="auto"/>
                <w:kern w:val="0"/>
                <w:sz w:val="22"/>
                <w:szCs w:val="22"/>
              </w:rPr>
              <w:t>2、监督检查： "按本市各个行政区，显示检查单位数、发现问题数、整改完成率。按各类许可类型，显示检查单位数、发现问题数、整改完成率。</w:t>
            </w:r>
            <w:r>
              <w:rPr>
                <w:rFonts w:hint="eastAsia" w:cs="宋体"/>
                <w:color w:val="auto"/>
                <w:kern w:val="0"/>
                <w:sz w:val="22"/>
                <w:szCs w:val="22"/>
              </w:rPr>
              <w:br w:type="textWrapping"/>
            </w:r>
            <w:r>
              <w:rPr>
                <w:rFonts w:hint="eastAsia" w:cs="宋体"/>
                <w:color w:val="auto"/>
                <w:kern w:val="0"/>
                <w:sz w:val="22"/>
                <w:szCs w:val="22"/>
              </w:rPr>
              <w:t>3、监督抽检： 按产品分类，显示抽查样品数、合格率、上年末的合格率。</w:t>
            </w:r>
          </w:p>
        </w:tc>
      </w:tr>
      <w:tr w14:paraId="08F8443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649710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w:t>
            </w:r>
          </w:p>
        </w:tc>
        <w:tc>
          <w:tcPr>
            <w:tcW w:w="1143" w:type="pct"/>
            <w:tcBorders>
              <w:top w:val="nil"/>
              <w:left w:val="nil"/>
              <w:bottom w:val="single" w:color="000000" w:sz="4" w:space="0"/>
              <w:right w:val="single" w:color="000000" w:sz="4" w:space="0"/>
            </w:tcBorders>
            <w:vAlign w:val="center"/>
          </w:tcPr>
          <w:p w14:paraId="11738E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w:t>
            </w:r>
          </w:p>
        </w:tc>
        <w:tc>
          <w:tcPr>
            <w:tcW w:w="1175" w:type="pct"/>
            <w:tcBorders>
              <w:top w:val="nil"/>
              <w:left w:val="nil"/>
              <w:bottom w:val="single" w:color="000000" w:sz="4" w:space="0"/>
              <w:right w:val="single" w:color="000000" w:sz="4" w:space="0"/>
            </w:tcBorders>
            <w:vAlign w:val="center"/>
          </w:tcPr>
          <w:p w14:paraId="242D95E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智能驾驶舱-守牢底线-特种设备安全</w:t>
            </w:r>
          </w:p>
        </w:tc>
        <w:tc>
          <w:tcPr>
            <w:tcW w:w="2158" w:type="pct"/>
            <w:tcBorders>
              <w:top w:val="nil"/>
              <w:left w:val="nil"/>
              <w:bottom w:val="single" w:color="000000" w:sz="4" w:space="0"/>
              <w:right w:val="single" w:color="000000" w:sz="4" w:space="0"/>
            </w:tcBorders>
            <w:vAlign w:val="center"/>
          </w:tcPr>
          <w:p w14:paraId="7E93EDA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1、在用设备： 按设备类别（如、电梯、压力容器、起重机械等），显示特种设备数量及其上年末环比。</w:t>
            </w:r>
            <w:r>
              <w:rPr>
                <w:rFonts w:hint="eastAsia" w:cs="宋体"/>
                <w:color w:val="auto"/>
                <w:kern w:val="0"/>
                <w:sz w:val="22"/>
                <w:szCs w:val="22"/>
              </w:rPr>
              <w:br w:type="textWrapping"/>
            </w:r>
            <w:r>
              <w:rPr>
                <w:rFonts w:hint="eastAsia" w:cs="宋体"/>
                <w:color w:val="auto"/>
                <w:kern w:val="0"/>
                <w:sz w:val="22"/>
                <w:szCs w:val="22"/>
              </w:rPr>
              <w:t>2、监督检查：按本市各个行政区，显示检查单位数、发现问题数、整改完成率。按各类许可类型，显示检查单位数、发现问题数、整改完成率。</w:t>
            </w:r>
            <w:r>
              <w:rPr>
                <w:rFonts w:hint="eastAsia" w:cs="宋体"/>
                <w:color w:val="auto"/>
                <w:kern w:val="0"/>
                <w:sz w:val="22"/>
                <w:szCs w:val="22"/>
              </w:rPr>
              <w:br w:type="textWrapping"/>
            </w:r>
            <w:r>
              <w:rPr>
                <w:rFonts w:hint="eastAsia" w:cs="宋体"/>
                <w:color w:val="auto"/>
                <w:kern w:val="0"/>
                <w:sz w:val="22"/>
                <w:szCs w:val="22"/>
              </w:rPr>
              <w:t>3、隐患排查： 按特种设备分类，显示自查发现隐患数、已整改率。</w:t>
            </w:r>
          </w:p>
        </w:tc>
      </w:tr>
      <w:tr w14:paraId="10AFA1B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32C3D2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w:t>
            </w:r>
          </w:p>
        </w:tc>
        <w:tc>
          <w:tcPr>
            <w:tcW w:w="1143" w:type="pct"/>
            <w:tcBorders>
              <w:top w:val="nil"/>
              <w:left w:val="nil"/>
              <w:bottom w:val="single" w:color="000000" w:sz="4" w:space="0"/>
              <w:right w:val="single" w:color="000000" w:sz="4" w:space="0"/>
            </w:tcBorders>
            <w:vAlign w:val="center"/>
          </w:tcPr>
          <w:p w14:paraId="5369D9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0964BA1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综合监管-长三角市场监管应用场景-首页及快捷菜单</w:t>
            </w:r>
          </w:p>
        </w:tc>
        <w:tc>
          <w:tcPr>
            <w:tcW w:w="2158" w:type="pct"/>
            <w:tcBorders>
              <w:top w:val="nil"/>
              <w:left w:val="nil"/>
              <w:bottom w:val="single" w:color="000000" w:sz="4" w:space="0"/>
              <w:right w:val="single" w:color="000000" w:sz="4" w:space="0"/>
            </w:tcBorders>
            <w:vAlign w:val="center"/>
          </w:tcPr>
          <w:p w14:paraId="6290DC1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1、首页：展示长三角的整体情况：数据的情况、常用图表、友情连接</w:t>
            </w:r>
            <w:r>
              <w:rPr>
                <w:rFonts w:hint="eastAsia" w:cs="宋体"/>
                <w:color w:val="auto"/>
                <w:kern w:val="0"/>
                <w:sz w:val="22"/>
                <w:szCs w:val="22"/>
              </w:rPr>
              <w:br w:type="textWrapping"/>
            </w:r>
            <w:r>
              <w:rPr>
                <w:rFonts w:hint="eastAsia" w:cs="宋体"/>
                <w:color w:val="auto"/>
                <w:kern w:val="0"/>
                <w:sz w:val="22"/>
                <w:szCs w:val="22"/>
              </w:rPr>
              <w:t>2、通知通告：长三角相关的政策、法规、公文、通告的管理发布，包括：公告标题、类型（通知、公告、行文）、发布单位、发布时间</w:t>
            </w:r>
          </w:p>
        </w:tc>
      </w:tr>
      <w:tr w14:paraId="4B3CDD2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0B20D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w:t>
            </w:r>
          </w:p>
        </w:tc>
        <w:tc>
          <w:tcPr>
            <w:tcW w:w="1143" w:type="pct"/>
            <w:tcBorders>
              <w:top w:val="nil"/>
              <w:left w:val="nil"/>
              <w:bottom w:val="single" w:color="000000" w:sz="4" w:space="0"/>
              <w:right w:val="single" w:color="000000" w:sz="4" w:space="0"/>
            </w:tcBorders>
            <w:vAlign w:val="center"/>
          </w:tcPr>
          <w:p w14:paraId="5D3FFA1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A62EA5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综合监管-长三角市场监管应用场景-经营主体分析</w:t>
            </w:r>
          </w:p>
        </w:tc>
        <w:tc>
          <w:tcPr>
            <w:tcW w:w="2158" w:type="pct"/>
            <w:tcBorders>
              <w:top w:val="nil"/>
              <w:left w:val="nil"/>
              <w:bottom w:val="single" w:color="000000" w:sz="4" w:space="0"/>
              <w:right w:val="single" w:color="000000" w:sz="4" w:space="0"/>
            </w:tcBorders>
            <w:vAlign w:val="center"/>
          </w:tcPr>
          <w:p w14:paraId="107CB41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1、经营主体生存情况分析：包括企业的净资产、资金规模、消亡曲线、外省迁移分析</w:t>
            </w:r>
            <w:r>
              <w:rPr>
                <w:rFonts w:hint="eastAsia" w:cs="宋体"/>
                <w:color w:val="auto"/>
                <w:kern w:val="0"/>
                <w:sz w:val="22"/>
                <w:szCs w:val="22"/>
              </w:rPr>
              <w:br w:type="textWrapping"/>
            </w:r>
            <w:r>
              <w:rPr>
                <w:rFonts w:hint="eastAsia" w:cs="宋体"/>
                <w:color w:val="auto"/>
                <w:kern w:val="0"/>
                <w:sz w:val="22"/>
                <w:szCs w:val="22"/>
              </w:rPr>
              <w:t>2、经营主体经济结构分析：包括主体的年度新设趋势、年度资金趋势、年度增减资本情况</w:t>
            </w:r>
            <w:r>
              <w:rPr>
                <w:rFonts w:hint="eastAsia" w:cs="宋体"/>
                <w:color w:val="auto"/>
                <w:kern w:val="0"/>
                <w:sz w:val="22"/>
                <w:szCs w:val="22"/>
              </w:rPr>
              <w:br w:type="textWrapping"/>
            </w:r>
            <w:r>
              <w:rPr>
                <w:rFonts w:hint="eastAsia" w:cs="宋体"/>
                <w:color w:val="auto"/>
                <w:kern w:val="0"/>
                <w:sz w:val="22"/>
                <w:szCs w:val="22"/>
              </w:rPr>
              <w:t>3、经营主体产业结构分析：包括第三产业的新设、注销、吊销、处罚情况</w:t>
            </w:r>
          </w:p>
        </w:tc>
      </w:tr>
      <w:tr w14:paraId="32B3110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F4BF6A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w:t>
            </w:r>
          </w:p>
        </w:tc>
        <w:tc>
          <w:tcPr>
            <w:tcW w:w="1143" w:type="pct"/>
            <w:tcBorders>
              <w:top w:val="nil"/>
              <w:left w:val="nil"/>
              <w:bottom w:val="single" w:color="000000" w:sz="4" w:space="0"/>
              <w:right w:val="single" w:color="000000" w:sz="4" w:space="0"/>
            </w:tcBorders>
            <w:vAlign w:val="center"/>
          </w:tcPr>
          <w:p w14:paraId="02E346B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14B4E0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综合监管-长三角市场监管应用场景-专题分析-行政许可业务态势分布</w:t>
            </w:r>
          </w:p>
        </w:tc>
        <w:tc>
          <w:tcPr>
            <w:tcW w:w="2158" w:type="pct"/>
            <w:tcBorders>
              <w:top w:val="nil"/>
              <w:left w:val="nil"/>
              <w:bottom w:val="single" w:color="000000" w:sz="4" w:space="0"/>
              <w:right w:val="single" w:color="000000" w:sz="4" w:space="0"/>
            </w:tcBorders>
            <w:vAlign w:val="center"/>
          </w:tcPr>
          <w:p w14:paraId="18F4A13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包括许可的种类分布，年度业务增长分布、许可区域优势</w:t>
            </w:r>
          </w:p>
        </w:tc>
      </w:tr>
      <w:tr w14:paraId="398289E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EE547E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w:t>
            </w:r>
          </w:p>
        </w:tc>
        <w:tc>
          <w:tcPr>
            <w:tcW w:w="1143" w:type="pct"/>
            <w:tcBorders>
              <w:top w:val="nil"/>
              <w:left w:val="nil"/>
              <w:bottom w:val="single" w:color="000000" w:sz="4" w:space="0"/>
              <w:right w:val="single" w:color="000000" w:sz="4" w:space="0"/>
            </w:tcBorders>
            <w:vAlign w:val="center"/>
          </w:tcPr>
          <w:p w14:paraId="4AEFE4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A088CA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综合监管-长三角市场监管应用场景-专题分析-行政处罚分析</w:t>
            </w:r>
          </w:p>
        </w:tc>
        <w:tc>
          <w:tcPr>
            <w:tcW w:w="2158" w:type="pct"/>
            <w:tcBorders>
              <w:top w:val="nil"/>
              <w:left w:val="nil"/>
              <w:bottom w:val="single" w:color="000000" w:sz="4" w:space="0"/>
              <w:right w:val="single" w:color="000000" w:sz="4" w:space="0"/>
            </w:tcBorders>
            <w:vAlign w:val="center"/>
          </w:tcPr>
          <w:p w14:paraId="3F2B77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1、行政处罚执法效果分析：包括立案地域分布、案件种类分析、案件信用修复趋势</w:t>
            </w:r>
            <w:r>
              <w:rPr>
                <w:rFonts w:hint="eastAsia" w:cs="宋体"/>
                <w:color w:val="auto"/>
                <w:kern w:val="0"/>
                <w:sz w:val="22"/>
                <w:szCs w:val="22"/>
              </w:rPr>
              <w:br w:type="textWrapping"/>
            </w:r>
            <w:r>
              <w:rPr>
                <w:rFonts w:hint="eastAsia" w:cs="宋体"/>
                <w:color w:val="auto"/>
                <w:kern w:val="0"/>
                <w:sz w:val="22"/>
                <w:szCs w:val="22"/>
              </w:rPr>
              <w:t>2、行政处罚罚没行为分析：包括案结的罚没金额趋势、处罚强度分布</w:t>
            </w:r>
            <w:r>
              <w:rPr>
                <w:rFonts w:hint="eastAsia" w:cs="宋体"/>
                <w:color w:val="auto"/>
                <w:kern w:val="0"/>
                <w:sz w:val="22"/>
                <w:szCs w:val="22"/>
              </w:rPr>
              <w:br w:type="textWrapping"/>
            </w:r>
            <w:r>
              <w:rPr>
                <w:rFonts w:hint="eastAsia" w:cs="宋体"/>
                <w:color w:val="auto"/>
                <w:kern w:val="0"/>
                <w:sz w:val="22"/>
                <w:szCs w:val="22"/>
              </w:rPr>
              <w:t>3、行政处罚违法对象分析：包括违法对象的行业、年龄、产业多维度分析</w:t>
            </w:r>
          </w:p>
        </w:tc>
      </w:tr>
      <w:tr w14:paraId="6D85815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4149EA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w:t>
            </w:r>
          </w:p>
        </w:tc>
        <w:tc>
          <w:tcPr>
            <w:tcW w:w="1143" w:type="pct"/>
            <w:tcBorders>
              <w:top w:val="nil"/>
              <w:left w:val="nil"/>
              <w:bottom w:val="single" w:color="000000" w:sz="4" w:space="0"/>
              <w:right w:val="single" w:color="000000" w:sz="4" w:space="0"/>
            </w:tcBorders>
            <w:vAlign w:val="center"/>
          </w:tcPr>
          <w:p w14:paraId="7E3F9F3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0E0200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综合监管-长三角市场监管应用场景-专题分析-年度报告分析</w:t>
            </w:r>
          </w:p>
        </w:tc>
        <w:tc>
          <w:tcPr>
            <w:tcW w:w="2158" w:type="pct"/>
            <w:tcBorders>
              <w:top w:val="nil"/>
              <w:left w:val="nil"/>
              <w:bottom w:val="single" w:color="000000" w:sz="4" w:space="0"/>
              <w:right w:val="single" w:color="000000" w:sz="4" w:space="0"/>
            </w:tcBorders>
            <w:vAlign w:val="center"/>
          </w:tcPr>
          <w:p w14:paraId="283A887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1、年度报告自主申报分析：按地域、主体类型、填报年度多角度开展年报率的情况分析</w:t>
            </w:r>
            <w:r>
              <w:rPr>
                <w:rFonts w:hint="eastAsia" w:cs="宋体"/>
                <w:color w:val="auto"/>
                <w:kern w:val="0"/>
                <w:sz w:val="22"/>
                <w:szCs w:val="22"/>
              </w:rPr>
              <w:br w:type="textWrapping"/>
            </w:r>
            <w:r>
              <w:rPr>
                <w:rFonts w:hint="eastAsia" w:cs="宋体"/>
                <w:color w:val="auto"/>
                <w:kern w:val="0"/>
                <w:sz w:val="22"/>
                <w:szCs w:val="22"/>
              </w:rPr>
              <w:t>2、年度报告经营情况分析：按地域、年龄、利润总额、从业人数多维度开展分析</w:t>
            </w:r>
          </w:p>
        </w:tc>
      </w:tr>
      <w:tr w14:paraId="15110EF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082EB4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w:t>
            </w:r>
          </w:p>
        </w:tc>
        <w:tc>
          <w:tcPr>
            <w:tcW w:w="1143" w:type="pct"/>
            <w:tcBorders>
              <w:top w:val="nil"/>
              <w:left w:val="nil"/>
              <w:bottom w:val="single" w:color="000000" w:sz="4" w:space="0"/>
              <w:right w:val="single" w:color="000000" w:sz="4" w:space="0"/>
            </w:tcBorders>
            <w:vAlign w:val="center"/>
          </w:tcPr>
          <w:p w14:paraId="635630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7B39A5B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综合监管-长三角市场监管应用场景-专题分析-违法失信和经营异常分析</w:t>
            </w:r>
          </w:p>
        </w:tc>
        <w:tc>
          <w:tcPr>
            <w:tcW w:w="2158" w:type="pct"/>
            <w:tcBorders>
              <w:top w:val="nil"/>
              <w:left w:val="nil"/>
              <w:bottom w:val="single" w:color="000000" w:sz="4" w:space="0"/>
              <w:right w:val="single" w:color="000000" w:sz="4" w:space="0"/>
            </w:tcBorders>
            <w:vAlign w:val="center"/>
          </w:tcPr>
          <w:p w14:paraId="126C8D7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1、严重违法失信名单分析：按列入机关、原因、时间、行业多维度开展分析</w:t>
            </w:r>
            <w:r>
              <w:rPr>
                <w:rFonts w:hint="eastAsia" w:cs="宋体"/>
                <w:color w:val="auto"/>
                <w:kern w:val="0"/>
                <w:sz w:val="22"/>
                <w:szCs w:val="22"/>
              </w:rPr>
              <w:br w:type="textWrapping"/>
            </w:r>
            <w:r>
              <w:rPr>
                <w:rFonts w:hint="eastAsia" w:cs="宋体"/>
                <w:color w:val="auto"/>
                <w:kern w:val="0"/>
                <w:sz w:val="22"/>
                <w:szCs w:val="22"/>
              </w:rPr>
              <w:t>2、经营异常名录情况分析：按列入机关、原因、时间、行业多维度开展分析</w:t>
            </w:r>
          </w:p>
        </w:tc>
      </w:tr>
      <w:tr w14:paraId="1F96E85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67701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w:t>
            </w:r>
          </w:p>
        </w:tc>
        <w:tc>
          <w:tcPr>
            <w:tcW w:w="1143" w:type="pct"/>
            <w:tcBorders>
              <w:top w:val="nil"/>
              <w:left w:val="nil"/>
              <w:bottom w:val="single" w:color="000000" w:sz="4" w:space="0"/>
              <w:right w:val="single" w:color="000000" w:sz="4" w:space="0"/>
            </w:tcBorders>
            <w:vAlign w:val="center"/>
          </w:tcPr>
          <w:p w14:paraId="12E6DFB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EFA041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综合监管-长三角市场监管应用场景-专题分析-特种设备专题分析</w:t>
            </w:r>
          </w:p>
        </w:tc>
        <w:tc>
          <w:tcPr>
            <w:tcW w:w="2158" w:type="pct"/>
            <w:tcBorders>
              <w:top w:val="nil"/>
              <w:left w:val="nil"/>
              <w:bottom w:val="single" w:color="000000" w:sz="4" w:space="0"/>
              <w:right w:val="single" w:color="000000" w:sz="4" w:space="0"/>
            </w:tcBorders>
            <w:vAlign w:val="center"/>
          </w:tcPr>
          <w:p w14:paraId="48EBB85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1、特种设备作业人员分布：按发证机关，分析特种设备作业人员分布</w:t>
            </w:r>
            <w:r>
              <w:rPr>
                <w:rFonts w:hint="eastAsia" w:cs="宋体"/>
                <w:color w:val="auto"/>
                <w:kern w:val="0"/>
                <w:sz w:val="22"/>
                <w:szCs w:val="22"/>
              </w:rPr>
              <w:br w:type="textWrapping"/>
            </w:r>
            <w:r>
              <w:rPr>
                <w:rFonts w:hint="eastAsia" w:cs="宋体"/>
                <w:color w:val="auto"/>
                <w:kern w:val="0"/>
                <w:sz w:val="22"/>
                <w:szCs w:val="22"/>
              </w:rPr>
              <w:t>2、特种设备检验情况分析： 按使用单位登记机关、检验责任单位检验量、检验结果分布、超期未检预警分布</w:t>
            </w:r>
            <w:r>
              <w:rPr>
                <w:rFonts w:hint="eastAsia" w:cs="宋体"/>
                <w:color w:val="auto"/>
                <w:kern w:val="0"/>
                <w:sz w:val="22"/>
                <w:szCs w:val="22"/>
              </w:rPr>
              <w:br w:type="textWrapping"/>
            </w:r>
            <w:r>
              <w:rPr>
                <w:rFonts w:hint="eastAsia" w:cs="宋体"/>
                <w:color w:val="auto"/>
                <w:kern w:val="0"/>
                <w:sz w:val="22"/>
                <w:szCs w:val="22"/>
              </w:rPr>
              <w:t>3、特种设备生成地域分析： 按生成单位登记机关展示地域分布</w:t>
            </w:r>
          </w:p>
        </w:tc>
      </w:tr>
      <w:tr w14:paraId="1405000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CA29AB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w:t>
            </w:r>
          </w:p>
        </w:tc>
        <w:tc>
          <w:tcPr>
            <w:tcW w:w="1143" w:type="pct"/>
            <w:tcBorders>
              <w:top w:val="nil"/>
              <w:left w:val="nil"/>
              <w:bottom w:val="single" w:color="000000" w:sz="4" w:space="0"/>
              <w:right w:val="single" w:color="000000" w:sz="4" w:space="0"/>
            </w:tcBorders>
            <w:vAlign w:val="center"/>
          </w:tcPr>
          <w:p w14:paraId="056021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07C7CE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综合监管-长三角市场监管应用场景-统计查询-经营主体查询与检索</w:t>
            </w:r>
          </w:p>
        </w:tc>
        <w:tc>
          <w:tcPr>
            <w:tcW w:w="2158" w:type="pct"/>
            <w:tcBorders>
              <w:top w:val="nil"/>
              <w:left w:val="nil"/>
              <w:bottom w:val="single" w:color="000000" w:sz="4" w:space="0"/>
              <w:right w:val="single" w:color="000000" w:sz="4" w:space="0"/>
            </w:tcBorders>
            <w:vAlign w:val="center"/>
          </w:tcPr>
          <w:p w14:paraId="5C1268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根据主体名称、统一代码、登记机关条件查询主体列表。根据主体查询显示的各类字段进行组合查询和模糊查询。</w:t>
            </w:r>
            <w:r>
              <w:rPr>
                <w:rFonts w:hint="eastAsia" w:cs="宋体"/>
                <w:color w:val="auto"/>
                <w:kern w:val="0"/>
                <w:sz w:val="22"/>
                <w:szCs w:val="22"/>
              </w:rPr>
              <w:br w:type="textWrapping"/>
            </w:r>
            <w:r>
              <w:rPr>
                <w:rFonts w:hint="eastAsia" w:cs="宋体"/>
                <w:color w:val="auto"/>
                <w:kern w:val="0"/>
                <w:sz w:val="22"/>
                <w:szCs w:val="22"/>
              </w:rPr>
              <w:t>根据经营范围、住所、法人、主要成员、股东、所属行业、企业类型、成立年限、注销年限、登记状态、注册资本、登记机关、经营信息信息提供高级经营主体查询功能</w:t>
            </w:r>
          </w:p>
        </w:tc>
      </w:tr>
      <w:tr w14:paraId="2E57D78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60AAB4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w:t>
            </w:r>
          </w:p>
        </w:tc>
        <w:tc>
          <w:tcPr>
            <w:tcW w:w="1143" w:type="pct"/>
            <w:tcBorders>
              <w:top w:val="nil"/>
              <w:left w:val="nil"/>
              <w:bottom w:val="single" w:color="000000" w:sz="4" w:space="0"/>
              <w:right w:val="single" w:color="000000" w:sz="4" w:space="0"/>
            </w:tcBorders>
            <w:vAlign w:val="center"/>
          </w:tcPr>
          <w:p w14:paraId="4DB4555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097335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综合监管-长三角市场监管应用场景-统计查询-主体风险预警查询</w:t>
            </w:r>
          </w:p>
        </w:tc>
        <w:tc>
          <w:tcPr>
            <w:tcW w:w="2158" w:type="pct"/>
            <w:tcBorders>
              <w:top w:val="nil"/>
              <w:left w:val="nil"/>
              <w:bottom w:val="single" w:color="000000" w:sz="4" w:space="0"/>
              <w:right w:val="single" w:color="000000" w:sz="4" w:space="0"/>
            </w:tcBorders>
            <w:vAlign w:val="center"/>
          </w:tcPr>
          <w:p w14:paraId="268C6AF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提供一人多户（人特指法定代表人）、一地多照、超高额注册资本几类风险预警的检索</w:t>
            </w:r>
          </w:p>
        </w:tc>
      </w:tr>
      <w:tr w14:paraId="5C7B2F2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D53EB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w:t>
            </w:r>
          </w:p>
        </w:tc>
        <w:tc>
          <w:tcPr>
            <w:tcW w:w="1143" w:type="pct"/>
            <w:tcBorders>
              <w:top w:val="nil"/>
              <w:left w:val="nil"/>
              <w:bottom w:val="single" w:color="000000" w:sz="4" w:space="0"/>
              <w:right w:val="single" w:color="000000" w:sz="4" w:space="0"/>
            </w:tcBorders>
            <w:vAlign w:val="center"/>
          </w:tcPr>
          <w:p w14:paraId="79DF07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2666BC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综合监管-长三角市场监管应用场景-统计查询-经营主体列表</w:t>
            </w:r>
          </w:p>
        </w:tc>
        <w:tc>
          <w:tcPr>
            <w:tcW w:w="2158" w:type="pct"/>
            <w:tcBorders>
              <w:top w:val="nil"/>
              <w:left w:val="nil"/>
              <w:bottom w:val="single" w:color="000000" w:sz="4" w:space="0"/>
              <w:right w:val="single" w:color="000000" w:sz="4" w:space="0"/>
            </w:tcBorders>
            <w:vAlign w:val="center"/>
          </w:tcPr>
          <w:p w14:paraId="09C2E2B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列举展示经营主体的名称、状态、类型、法定代表人、注册资本、成立日期、统一社会信用代码、登记机关、地址、从业人数、数据来源单位信息，可自主选择成立日期、从业人事条件排序，当数据量过多时，用户可自主选择展示记录数</w:t>
            </w:r>
          </w:p>
        </w:tc>
      </w:tr>
      <w:tr w14:paraId="7154579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7E886A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w:t>
            </w:r>
          </w:p>
        </w:tc>
        <w:tc>
          <w:tcPr>
            <w:tcW w:w="1143" w:type="pct"/>
            <w:tcBorders>
              <w:top w:val="nil"/>
              <w:left w:val="nil"/>
              <w:bottom w:val="single" w:color="000000" w:sz="4" w:space="0"/>
              <w:right w:val="single" w:color="000000" w:sz="4" w:space="0"/>
            </w:tcBorders>
            <w:vAlign w:val="center"/>
          </w:tcPr>
          <w:p w14:paraId="6AB892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D217C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综合监管-长三角市场监管应用场景-统计查询-许可查询</w:t>
            </w:r>
          </w:p>
        </w:tc>
        <w:tc>
          <w:tcPr>
            <w:tcW w:w="2158" w:type="pct"/>
            <w:tcBorders>
              <w:top w:val="nil"/>
              <w:left w:val="nil"/>
              <w:bottom w:val="single" w:color="000000" w:sz="4" w:space="0"/>
              <w:right w:val="single" w:color="000000" w:sz="4" w:space="0"/>
            </w:tcBorders>
            <w:vAlign w:val="center"/>
          </w:tcPr>
          <w:p w14:paraId="59585B3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根据许可类型、许可证编号、统一社会信用代码条件查询许可列表</w:t>
            </w:r>
          </w:p>
        </w:tc>
      </w:tr>
      <w:tr w14:paraId="2FCD2BB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57052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w:t>
            </w:r>
          </w:p>
        </w:tc>
        <w:tc>
          <w:tcPr>
            <w:tcW w:w="1143" w:type="pct"/>
            <w:tcBorders>
              <w:top w:val="nil"/>
              <w:left w:val="nil"/>
              <w:bottom w:val="single" w:color="000000" w:sz="4" w:space="0"/>
              <w:right w:val="single" w:color="000000" w:sz="4" w:space="0"/>
            </w:tcBorders>
            <w:vAlign w:val="center"/>
          </w:tcPr>
          <w:p w14:paraId="3787CE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5C960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综合监管-长三角市场监管应用场景-统计查询-作业人员查询</w:t>
            </w:r>
          </w:p>
        </w:tc>
        <w:tc>
          <w:tcPr>
            <w:tcW w:w="2158" w:type="pct"/>
            <w:tcBorders>
              <w:top w:val="nil"/>
              <w:left w:val="nil"/>
              <w:bottom w:val="single" w:color="000000" w:sz="4" w:space="0"/>
              <w:right w:val="single" w:color="000000" w:sz="4" w:space="0"/>
            </w:tcBorders>
            <w:vAlign w:val="center"/>
          </w:tcPr>
          <w:p w14:paraId="1AFABE0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根据姓名、证件号码查询特种设备作业人员列表</w:t>
            </w:r>
          </w:p>
        </w:tc>
      </w:tr>
      <w:tr w14:paraId="79EFB42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25AE5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w:t>
            </w:r>
          </w:p>
        </w:tc>
        <w:tc>
          <w:tcPr>
            <w:tcW w:w="1143" w:type="pct"/>
            <w:tcBorders>
              <w:top w:val="nil"/>
              <w:left w:val="nil"/>
              <w:bottom w:val="single" w:color="000000" w:sz="4" w:space="0"/>
              <w:right w:val="single" w:color="000000" w:sz="4" w:space="0"/>
            </w:tcBorders>
            <w:vAlign w:val="center"/>
          </w:tcPr>
          <w:p w14:paraId="542573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4BE83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综合监管-长三角市场监管应用场景-主体画像</w:t>
            </w:r>
          </w:p>
        </w:tc>
        <w:tc>
          <w:tcPr>
            <w:tcW w:w="2158" w:type="pct"/>
            <w:tcBorders>
              <w:top w:val="nil"/>
              <w:left w:val="nil"/>
              <w:bottom w:val="single" w:color="000000" w:sz="4" w:space="0"/>
              <w:right w:val="single" w:color="000000" w:sz="4" w:space="0"/>
            </w:tcBorders>
            <w:vAlign w:val="center"/>
          </w:tcPr>
          <w:p w14:paraId="3837799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1、主体信息详情：主体信息详情，主要数据表见方案表数据项。</w:t>
            </w:r>
            <w:r>
              <w:rPr>
                <w:rFonts w:hint="eastAsia" w:cs="宋体"/>
                <w:color w:val="auto"/>
                <w:kern w:val="0"/>
                <w:sz w:val="22"/>
                <w:szCs w:val="22"/>
              </w:rPr>
              <w:br w:type="textWrapping"/>
            </w:r>
            <w:r>
              <w:rPr>
                <w:rFonts w:hint="eastAsia" w:cs="宋体"/>
                <w:color w:val="auto"/>
                <w:kern w:val="0"/>
                <w:sz w:val="22"/>
                <w:szCs w:val="22"/>
              </w:rPr>
              <w:t>2、行政许可详情：行政许可详情，主要数据表见方案表数据项。</w:t>
            </w:r>
            <w:r>
              <w:rPr>
                <w:rFonts w:hint="eastAsia" w:cs="宋体"/>
                <w:color w:val="auto"/>
                <w:kern w:val="0"/>
                <w:sz w:val="22"/>
                <w:szCs w:val="22"/>
              </w:rPr>
              <w:br w:type="textWrapping"/>
            </w:r>
            <w:r>
              <w:rPr>
                <w:rFonts w:hint="eastAsia" w:cs="宋体"/>
                <w:color w:val="auto"/>
                <w:kern w:val="0"/>
                <w:sz w:val="22"/>
                <w:szCs w:val="22"/>
              </w:rPr>
              <w:t>3、行政处罚详情：行政处罚详情，主要数据表见方案表数据项。</w:t>
            </w:r>
            <w:r>
              <w:rPr>
                <w:rFonts w:hint="eastAsia" w:cs="宋体"/>
                <w:color w:val="auto"/>
                <w:kern w:val="0"/>
                <w:sz w:val="22"/>
                <w:szCs w:val="22"/>
              </w:rPr>
              <w:br w:type="textWrapping"/>
            </w:r>
            <w:r>
              <w:rPr>
                <w:rFonts w:hint="eastAsia" w:cs="宋体"/>
                <w:color w:val="auto"/>
                <w:kern w:val="0"/>
                <w:sz w:val="22"/>
                <w:szCs w:val="22"/>
              </w:rPr>
              <w:t>4、企业年报详情：企业年报详情，主要数据表见方案表数据项。</w:t>
            </w:r>
            <w:r>
              <w:rPr>
                <w:rFonts w:hint="eastAsia" w:cs="宋体"/>
                <w:color w:val="auto"/>
                <w:kern w:val="0"/>
                <w:sz w:val="22"/>
                <w:szCs w:val="22"/>
              </w:rPr>
              <w:br w:type="textWrapping"/>
            </w:r>
            <w:r>
              <w:rPr>
                <w:rFonts w:hint="eastAsia" w:cs="宋体"/>
                <w:color w:val="auto"/>
                <w:kern w:val="0"/>
                <w:sz w:val="22"/>
                <w:szCs w:val="22"/>
              </w:rPr>
              <w:t>5、信用信息详情：信用信息详情，主要数据表见方案表数据项。</w:t>
            </w:r>
            <w:r>
              <w:rPr>
                <w:rFonts w:hint="eastAsia" w:cs="宋体"/>
                <w:color w:val="auto"/>
                <w:kern w:val="0"/>
                <w:sz w:val="22"/>
                <w:szCs w:val="22"/>
              </w:rPr>
              <w:br w:type="textWrapping"/>
            </w:r>
            <w:r>
              <w:rPr>
                <w:rFonts w:hint="eastAsia" w:cs="宋体"/>
                <w:color w:val="auto"/>
                <w:kern w:val="0"/>
                <w:sz w:val="22"/>
                <w:szCs w:val="22"/>
              </w:rPr>
              <w:t>6、特种设备信息详情：特种设备信息详情，主要数据表见方案表数据项。</w:t>
            </w:r>
            <w:r>
              <w:rPr>
                <w:rFonts w:hint="eastAsia" w:cs="宋体"/>
                <w:color w:val="auto"/>
                <w:kern w:val="0"/>
                <w:sz w:val="22"/>
                <w:szCs w:val="22"/>
              </w:rPr>
              <w:br w:type="textWrapping"/>
            </w:r>
            <w:r>
              <w:rPr>
                <w:rFonts w:hint="eastAsia" w:cs="宋体"/>
                <w:color w:val="auto"/>
                <w:kern w:val="0"/>
                <w:sz w:val="22"/>
                <w:szCs w:val="22"/>
              </w:rPr>
              <w:t>7、特种设备生产单位信息详情：特种设备生产单位信息详情，主要数据表见方案表数据项。</w:t>
            </w:r>
            <w:r>
              <w:rPr>
                <w:rFonts w:hint="eastAsia" w:cs="宋体"/>
                <w:color w:val="auto"/>
                <w:kern w:val="0"/>
                <w:sz w:val="22"/>
                <w:szCs w:val="22"/>
              </w:rPr>
              <w:br w:type="textWrapping"/>
            </w:r>
            <w:r>
              <w:rPr>
                <w:rFonts w:hint="eastAsia" w:cs="宋体"/>
                <w:color w:val="auto"/>
                <w:kern w:val="0"/>
                <w:sz w:val="22"/>
                <w:szCs w:val="22"/>
              </w:rPr>
              <w:t>8、产品质量监督抽查详情：产品质量监督抽查详情，主要数据表见方案表数据项。</w:t>
            </w:r>
          </w:p>
        </w:tc>
      </w:tr>
      <w:tr w14:paraId="12A185C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4794E3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w:t>
            </w:r>
          </w:p>
        </w:tc>
        <w:tc>
          <w:tcPr>
            <w:tcW w:w="1143" w:type="pct"/>
            <w:tcBorders>
              <w:top w:val="nil"/>
              <w:left w:val="nil"/>
              <w:bottom w:val="single" w:color="000000" w:sz="4" w:space="0"/>
              <w:right w:val="single" w:color="000000" w:sz="4" w:space="0"/>
            </w:tcBorders>
            <w:vAlign w:val="center"/>
          </w:tcPr>
          <w:p w14:paraId="67B771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2F5B54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综合监管-长三角市场监管应用场景-特种设备作业人员人员画像</w:t>
            </w:r>
          </w:p>
        </w:tc>
        <w:tc>
          <w:tcPr>
            <w:tcW w:w="2158" w:type="pct"/>
            <w:tcBorders>
              <w:top w:val="nil"/>
              <w:left w:val="nil"/>
              <w:bottom w:val="single" w:color="000000" w:sz="4" w:space="0"/>
              <w:right w:val="single" w:color="000000" w:sz="4" w:space="0"/>
            </w:tcBorders>
            <w:vAlign w:val="center"/>
          </w:tcPr>
          <w:p w14:paraId="3CD303D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特种设备作业人员信息详情，主要数据表见方案表数据项。</w:t>
            </w:r>
          </w:p>
        </w:tc>
      </w:tr>
      <w:tr w14:paraId="39E5EC8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870C18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35</w:t>
            </w:r>
          </w:p>
        </w:tc>
        <w:tc>
          <w:tcPr>
            <w:tcW w:w="1143" w:type="pct"/>
            <w:tcBorders>
              <w:top w:val="nil"/>
              <w:left w:val="nil"/>
              <w:bottom w:val="single" w:color="000000" w:sz="4" w:space="0"/>
              <w:right w:val="single" w:color="000000" w:sz="4" w:space="0"/>
            </w:tcBorders>
            <w:vAlign w:val="center"/>
          </w:tcPr>
          <w:p w14:paraId="5DE22DC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5BF8D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综合监管-长三角市场监管应用场景-数据报表-经营主体分析</w:t>
            </w:r>
          </w:p>
        </w:tc>
        <w:tc>
          <w:tcPr>
            <w:tcW w:w="2158" w:type="pct"/>
            <w:tcBorders>
              <w:top w:val="nil"/>
              <w:left w:val="nil"/>
              <w:bottom w:val="single" w:color="000000" w:sz="4" w:space="0"/>
              <w:right w:val="single" w:color="000000" w:sz="4" w:space="0"/>
            </w:tcBorders>
            <w:vAlign w:val="center"/>
          </w:tcPr>
          <w:p w14:paraId="1895A61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针对市场监管的整体情况自动生产经营主体分析月报，分析今年以来国有、集体及其控股企业、私营企业、外资企业，个体工商户、农民专业合作社的增量、同比、日均比较情况</w:t>
            </w:r>
          </w:p>
        </w:tc>
      </w:tr>
      <w:tr w14:paraId="298BE24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01BDF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36</w:t>
            </w:r>
          </w:p>
        </w:tc>
        <w:tc>
          <w:tcPr>
            <w:tcW w:w="1143" w:type="pct"/>
            <w:tcBorders>
              <w:top w:val="nil"/>
              <w:left w:val="nil"/>
              <w:bottom w:val="single" w:color="000000" w:sz="4" w:space="0"/>
              <w:right w:val="single" w:color="000000" w:sz="4" w:space="0"/>
            </w:tcBorders>
            <w:vAlign w:val="center"/>
          </w:tcPr>
          <w:p w14:paraId="1A787E7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0BE127C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综合监管-长三角市场监管应用场景-数据报表-国内重点城市分析</w:t>
            </w:r>
          </w:p>
        </w:tc>
        <w:tc>
          <w:tcPr>
            <w:tcW w:w="2158" w:type="pct"/>
            <w:tcBorders>
              <w:top w:val="nil"/>
              <w:left w:val="nil"/>
              <w:bottom w:val="single" w:color="000000" w:sz="4" w:space="0"/>
              <w:right w:val="single" w:color="000000" w:sz="4" w:space="0"/>
            </w:tcBorders>
            <w:vAlign w:val="center"/>
          </w:tcPr>
          <w:p w14:paraId="0B4659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分别统计北京、上海、广州、深圳、天津、重庆六个城市在统计时间段内的经营主体新设数量，设计公式计算同比增长率、增长率排名，补充注册类型、项目型企业的新设数量及占比变化数据，作为辅助性指标支撑原因分析。</w:t>
            </w:r>
          </w:p>
        </w:tc>
      </w:tr>
      <w:tr w14:paraId="578A481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86EEEC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37</w:t>
            </w:r>
          </w:p>
        </w:tc>
        <w:tc>
          <w:tcPr>
            <w:tcW w:w="1143" w:type="pct"/>
            <w:tcBorders>
              <w:top w:val="nil"/>
              <w:left w:val="nil"/>
              <w:bottom w:val="single" w:color="000000" w:sz="4" w:space="0"/>
              <w:right w:val="single" w:color="000000" w:sz="4" w:space="0"/>
            </w:tcBorders>
            <w:vAlign w:val="center"/>
          </w:tcPr>
          <w:p w14:paraId="3AA0B17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0F4E62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综合监管-长三角市场监管应用场景-数据报表-注销情况分析</w:t>
            </w:r>
          </w:p>
        </w:tc>
        <w:tc>
          <w:tcPr>
            <w:tcW w:w="2158" w:type="pct"/>
            <w:tcBorders>
              <w:top w:val="nil"/>
              <w:left w:val="nil"/>
              <w:bottom w:val="single" w:color="000000" w:sz="4" w:space="0"/>
              <w:right w:val="single" w:color="000000" w:sz="4" w:space="0"/>
            </w:tcBorders>
            <w:vAlign w:val="center"/>
          </w:tcPr>
          <w:p w14:paraId="0B3C3AD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管的整体情况，自动生成本市企业注销情况的分析，需要自动分析和处理累计月份总注销量及同比增长率、各类型企业的注销量及同比增长率、单月注销量及同比增长率，注销量与新设量的比值（注销新设比）。通过这些数据，自动生成月报中关于注销总量、结构变化、单月情况及注销新设比的结论。</w:t>
            </w:r>
          </w:p>
        </w:tc>
      </w:tr>
      <w:tr w14:paraId="72934FD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F9685B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38</w:t>
            </w:r>
          </w:p>
        </w:tc>
        <w:tc>
          <w:tcPr>
            <w:tcW w:w="1143" w:type="pct"/>
            <w:tcBorders>
              <w:top w:val="nil"/>
              <w:left w:val="nil"/>
              <w:bottom w:val="single" w:color="000000" w:sz="4" w:space="0"/>
              <w:right w:val="single" w:color="000000" w:sz="4" w:space="0"/>
            </w:tcBorders>
            <w:vAlign w:val="center"/>
          </w:tcPr>
          <w:p w14:paraId="017AACE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9DC38D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综合监管-长三角市场监管应用场景-数据报表-市场主体存量情况分析</w:t>
            </w:r>
          </w:p>
        </w:tc>
        <w:tc>
          <w:tcPr>
            <w:tcW w:w="2158" w:type="pct"/>
            <w:tcBorders>
              <w:top w:val="nil"/>
              <w:left w:val="nil"/>
              <w:bottom w:val="single" w:color="000000" w:sz="4" w:space="0"/>
              <w:right w:val="single" w:color="000000" w:sz="4" w:space="0"/>
            </w:tcBorders>
            <w:vAlign w:val="center"/>
          </w:tcPr>
          <w:p w14:paraId="3374A7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针对市场监管的整体情况，自动生成本市企业注销情况的分析，统计累计月份实有经营主体总量及同比增长率、统计</w:t>
            </w:r>
            <w:r>
              <w:rPr>
                <w:rFonts w:hint="eastAsia" w:cs="宋体"/>
                <w:color w:val="auto"/>
                <w:kern w:val="0"/>
                <w:sz w:val="22"/>
                <w:szCs w:val="22"/>
              </w:rPr>
              <w:br w:type="textWrapping"/>
            </w:r>
            <w:r>
              <w:rPr>
                <w:rFonts w:hint="eastAsia" w:cs="宋体"/>
                <w:color w:val="auto"/>
                <w:kern w:val="0"/>
                <w:sz w:val="22"/>
                <w:szCs w:val="22"/>
              </w:rPr>
              <w:t>分类型（企业、个体工商户）的实有数量及同比增长率、统计</w:t>
            </w:r>
            <w:r>
              <w:rPr>
                <w:rFonts w:hint="eastAsia" w:cs="宋体"/>
                <w:color w:val="auto"/>
                <w:kern w:val="0"/>
                <w:sz w:val="22"/>
                <w:szCs w:val="22"/>
              </w:rPr>
              <w:br w:type="textWrapping"/>
            </w:r>
            <w:r>
              <w:rPr>
                <w:rFonts w:hint="eastAsia" w:cs="宋体"/>
                <w:color w:val="auto"/>
                <w:kern w:val="0"/>
                <w:sz w:val="22"/>
                <w:szCs w:val="22"/>
              </w:rPr>
              <w:t>当月减资户数、减资总额及其与上个月相比的环比增长率自动生成月报中关于存量总量、结构分布、减资趋势的结论。</w:t>
            </w:r>
          </w:p>
        </w:tc>
      </w:tr>
      <w:tr w14:paraId="64F2210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BB1DAF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39</w:t>
            </w:r>
          </w:p>
        </w:tc>
        <w:tc>
          <w:tcPr>
            <w:tcW w:w="1143" w:type="pct"/>
            <w:tcBorders>
              <w:top w:val="nil"/>
              <w:left w:val="nil"/>
              <w:bottom w:val="single" w:color="000000" w:sz="4" w:space="0"/>
              <w:right w:val="single" w:color="000000" w:sz="4" w:space="0"/>
            </w:tcBorders>
            <w:vAlign w:val="center"/>
          </w:tcPr>
          <w:p w14:paraId="169783F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5D124DD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综合监管-长三角市场监管应用场景-数据报表-投诉举报情况分析</w:t>
            </w:r>
          </w:p>
        </w:tc>
        <w:tc>
          <w:tcPr>
            <w:tcW w:w="2158" w:type="pct"/>
            <w:tcBorders>
              <w:top w:val="nil"/>
              <w:left w:val="nil"/>
              <w:bottom w:val="single" w:color="000000" w:sz="4" w:space="0"/>
              <w:right w:val="single" w:color="000000" w:sz="4" w:space="0"/>
            </w:tcBorders>
            <w:vAlign w:val="center"/>
          </w:tcPr>
          <w:p w14:paraId="7559520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管的整体情况，自动生成本市投诉举报情况的分析，统计年度累计月份投诉举报总受理量、分类型（投诉、举报）的受理量、分类型投诉、举报的上一年同期受理量（用于计算同比增长率）等指标，自动生成月报中关于总受理量、投诉与举报的受理规模及增长趋势的结论。</w:t>
            </w:r>
          </w:p>
        </w:tc>
      </w:tr>
      <w:tr w14:paraId="7954D3A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F048D1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40</w:t>
            </w:r>
          </w:p>
        </w:tc>
        <w:tc>
          <w:tcPr>
            <w:tcW w:w="1143" w:type="pct"/>
            <w:tcBorders>
              <w:top w:val="nil"/>
              <w:left w:val="nil"/>
              <w:bottom w:val="single" w:color="000000" w:sz="4" w:space="0"/>
              <w:right w:val="single" w:color="000000" w:sz="4" w:space="0"/>
            </w:tcBorders>
            <w:vAlign w:val="center"/>
          </w:tcPr>
          <w:p w14:paraId="7B491C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3E879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综合监管-长三角市场监管应用场景-数据报表-行政处罚案件情况分析</w:t>
            </w:r>
          </w:p>
        </w:tc>
        <w:tc>
          <w:tcPr>
            <w:tcW w:w="2158" w:type="pct"/>
            <w:tcBorders>
              <w:top w:val="nil"/>
              <w:left w:val="nil"/>
              <w:bottom w:val="single" w:color="000000" w:sz="4" w:space="0"/>
              <w:right w:val="single" w:color="000000" w:sz="4" w:space="0"/>
            </w:tcBorders>
            <w:vAlign w:val="center"/>
          </w:tcPr>
          <w:p w14:paraId="19F19FD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管的整体情况，自动生成本市企业注销情况的分析，统计累计月份办结案件数量及其上年同期数据（用于计算同比增长率）、累计月份罚没款金额及其上年同期数据（用于计算同比增长率）、累计月实施免罚的户数和不予实施行政强制措施的户数（直接统计本期数值）。自动生成月报中关于案件办理、罚没款增长及柔性监管措施的结论。</w:t>
            </w:r>
          </w:p>
        </w:tc>
      </w:tr>
      <w:tr w14:paraId="7A5B8D7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9CFC70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41</w:t>
            </w:r>
          </w:p>
        </w:tc>
        <w:tc>
          <w:tcPr>
            <w:tcW w:w="1143" w:type="pct"/>
            <w:tcBorders>
              <w:top w:val="nil"/>
              <w:left w:val="nil"/>
              <w:bottom w:val="single" w:color="000000" w:sz="4" w:space="0"/>
              <w:right w:val="single" w:color="000000" w:sz="4" w:space="0"/>
            </w:tcBorders>
            <w:vAlign w:val="center"/>
          </w:tcPr>
          <w:p w14:paraId="55222D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217C9E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综合监管-长三角市场监管应用场景-数据报表-重点监管情况分析</w:t>
            </w:r>
          </w:p>
        </w:tc>
        <w:tc>
          <w:tcPr>
            <w:tcW w:w="2158" w:type="pct"/>
            <w:tcBorders>
              <w:top w:val="nil"/>
              <w:left w:val="nil"/>
              <w:bottom w:val="single" w:color="000000" w:sz="4" w:space="0"/>
              <w:right w:val="single" w:color="000000" w:sz="4" w:space="0"/>
            </w:tcBorders>
            <w:vAlign w:val="center"/>
          </w:tcPr>
          <w:p w14:paraId="61E5560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管的整体情况，自动生成本市企业注销情况的分析，统计两类创新药械的获批数量、食品安全抽检的大类数、总件数及合格件数、在用特种设备总数、特种设备自查次数、隐患总数及已整改数等指标，自动生成月报中关于创新药械审批、食品安全抽检、特种设备安全监管的结论。</w:t>
            </w:r>
          </w:p>
        </w:tc>
      </w:tr>
      <w:tr w14:paraId="1615D36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1FB0A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42</w:t>
            </w:r>
          </w:p>
        </w:tc>
        <w:tc>
          <w:tcPr>
            <w:tcW w:w="1143" w:type="pct"/>
            <w:tcBorders>
              <w:top w:val="nil"/>
              <w:left w:val="nil"/>
              <w:bottom w:val="single" w:color="000000" w:sz="4" w:space="0"/>
              <w:right w:val="single" w:color="000000" w:sz="4" w:space="0"/>
            </w:tcBorders>
            <w:vAlign w:val="center"/>
          </w:tcPr>
          <w:p w14:paraId="071BD31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7AFF31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综合监管-长三角市场监管应用场景-数据报表-报表自动汇总转word</w:t>
            </w:r>
          </w:p>
        </w:tc>
        <w:tc>
          <w:tcPr>
            <w:tcW w:w="2158" w:type="pct"/>
            <w:tcBorders>
              <w:top w:val="nil"/>
              <w:left w:val="nil"/>
              <w:bottom w:val="single" w:color="000000" w:sz="4" w:space="0"/>
              <w:right w:val="single" w:color="000000" w:sz="4" w:space="0"/>
            </w:tcBorders>
            <w:vAlign w:val="center"/>
          </w:tcPr>
          <w:p w14:paraId="6E11DF1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汇总经营主体、国内重点城市等各类分析结果， 支持在线以word形式导出，在线查看内容和word文件内容保持完全一致。word文件中的图表可编辑。月报中的所有数据需要切片保存，可查询不同年份不同月份同一个指标项的数据。</w:t>
            </w:r>
          </w:p>
        </w:tc>
      </w:tr>
      <w:tr w14:paraId="6F7A9EE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75E24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43</w:t>
            </w:r>
          </w:p>
        </w:tc>
        <w:tc>
          <w:tcPr>
            <w:tcW w:w="1143" w:type="pct"/>
            <w:tcBorders>
              <w:top w:val="nil"/>
              <w:left w:val="nil"/>
              <w:bottom w:val="single" w:color="000000" w:sz="4" w:space="0"/>
              <w:right w:val="single" w:color="000000" w:sz="4" w:space="0"/>
            </w:tcBorders>
            <w:vAlign w:val="center"/>
          </w:tcPr>
          <w:p w14:paraId="5A17E6F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7EF6DBC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综合监管-长三角市场监管应用场景-预警分析-一人多户</w:t>
            </w:r>
          </w:p>
        </w:tc>
        <w:tc>
          <w:tcPr>
            <w:tcW w:w="2158" w:type="pct"/>
            <w:tcBorders>
              <w:top w:val="nil"/>
              <w:left w:val="nil"/>
              <w:bottom w:val="single" w:color="000000" w:sz="4" w:space="0"/>
              <w:right w:val="single" w:color="000000" w:sz="4" w:space="0"/>
            </w:tcBorders>
            <w:vAlign w:val="center"/>
          </w:tcPr>
          <w:p w14:paraId="55ADD0E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业务处室提供的业务规则，建立一人多户预警支撑能力，更新频次根据数据更新情况即时更新，针对于敏感类数据，如身份证号、手机号等按照业务要求进行脱敏处理。针对敏感信息、证件号、手机号等多类敏感数据，做权限管控、审计，符合条件的人独立查看。提供预警结果的查询和展示，输入自然人姓名、自然人证件号、企业名称、企业信用代码等单一信息或者组合信息即可查询一人多户的情况，并将其名下企业提供列表展示和导出。</w:t>
            </w:r>
          </w:p>
        </w:tc>
      </w:tr>
      <w:tr w14:paraId="6B974DA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1F9777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44</w:t>
            </w:r>
          </w:p>
        </w:tc>
        <w:tc>
          <w:tcPr>
            <w:tcW w:w="1143" w:type="pct"/>
            <w:tcBorders>
              <w:top w:val="nil"/>
              <w:left w:val="nil"/>
              <w:bottom w:val="single" w:color="000000" w:sz="4" w:space="0"/>
              <w:right w:val="single" w:color="000000" w:sz="4" w:space="0"/>
            </w:tcBorders>
            <w:vAlign w:val="center"/>
          </w:tcPr>
          <w:p w14:paraId="36B4EAB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52F012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综合监管-长三角市场监管应用场景-预警分析-一地多照</w:t>
            </w:r>
          </w:p>
        </w:tc>
        <w:tc>
          <w:tcPr>
            <w:tcW w:w="2158" w:type="pct"/>
            <w:tcBorders>
              <w:top w:val="nil"/>
              <w:left w:val="nil"/>
              <w:bottom w:val="single" w:color="000000" w:sz="4" w:space="0"/>
              <w:right w:val="single" w:color="000000" w:sz="4" w:space="0"/>
            </w:tcBorders>
            <w:vAlign w:val="center"/>
          </w:tcPr>
          <w:p w14:paraId="4992910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业务处室提供的业务规则，建立一地多照预警支撑能力，更新频次根据数据更新情况即时更新，针对于敏感类数据按照业务要求进行脱敏处理。针对敏感信息做权限管控、审计，符合条件的人独立查看。提供预警结果的查询和展示，输入企业地址、企业名称、企业信用代码、登记机关等单一信息或者组合信息即可查询一地多照的情况，提供列表展示（展示内容包括企业地址、统一社会信用代码、企业名称、登记机关、企业状态等）。</w:t>
            </w:r>
          </w:p>
        </w:tc>
      </w:tr>
      <w:tr w14:paraId="3D1CBC3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09F159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45</w:t>
            </w:r>
          </w:p>
        </w:tc>
        <w:tc>
          <w:tcPr>
            <w:tcW w:w="1143" w:type="pct"/>
            <w:tcBorders>
              <w:top w:val="nil"/>
              <w:left w:val="nil"/>
              <w:bottom w:val="single" w:color="000000" w:sz="4" w:space="0"/>
              <w:right w:val="single" w:color="000000" w:sz="4" w:space="0"/>
            </w:tcBorders>
            <w:vAlign w:val="center"/>
          </w:tcPr>
          <w:p w14:paraId="28033C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7845AF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综合监管-长三角市场监管应用场景-预警分析-超高额注册资本</w:t>
            </w:r>
          </w:p>
        </w:tc>
        <w:tc>
          <w:tcPr>
            <w:tcW w:w="2158" w:type="pct"/>
            <w:tcBorders>
              <w:top w:val="nil"/>
              <w:left w:val="nil"/>
              <w:bottom w:val="single" w:color="000000" w:sz="4" w:space="0"/>
              <w:right w:val="single" w:color="000000" w:sz="4" w:space="0"/>
            </w:tcBorders>
            <w:vAlign w:val="center"/>
          </w:tcPr>
          <w:p w14:paraId="5226CD7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业务处室提供的业务规则，建立超高额注册资本预警支撑能力，更新频次根据数据更新情况即时更新，针对于敏感类数据，如身份证号、手机号等按照业务要求进行脱敏处理。针对敏感信息、证件号、手机号等多类敏感数据，做权限管控、审计，符合条件的人独立查看。提供预警结果的查询和展示，输入企业名称、企业信用代码、登记机关等单一信息或者组合信息即可查询超高额注册资本市场主体的情况，提供列表展示和导出，包括的内容有企业名登记机关、统一社会信用代码、注册资本和登记日期等信息。</w:t>
            </w:r>
          </w:p>
        </w:tc>
      </w:tr>
      <w:tr w14:paraId="6FA6D8E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1710D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46</w:t>
            </w:r>
          </w:p>
        </w:tc>
        <w:tc>
          <w:tcPr>
            <w:tcW w:w="1143" w:type="pct"/>
            <w:tcBorders>
              <w:top w:val="nil"/>
              <w:left w:val="nil"/>
              <w:bottom w:val="single" w:color="000000" w:sz="4" w:space="0"/>
              <w:right w:val="single" w:color="000000" w:sz="4" w:space="0"/>
            </w:tcBorders>
            <w:vAlign w:val="center"/>
          </w:tcPr>
          <w:p w14:paraId="679B322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D4EE1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综合监管-餐饮业综合监管应用场景-餐饮业综合监管场景-首页展示</w:t>
            </w:r>
          </w:p>
        </w:tc>
        <w:tc>
          <w:tcPr>
            <w:tcW w:w="2158" w:type="pct"/>
            <w:tcBorders>
              <w:top w:val="nil"/>
              <w:left w:val="nil"/>
              <w:bottom w:val="single" w:color="000000" w:sz="4" w:space="0"/>
              <w:right w:val="single" w:color="000000" w:sz="4" w:space="0"/>
            </w:tcBorders>
            <w:vAlign w:val="center"/>
          </w:tcPr>
          <w:p w14:paraId="15A756F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首页展示  5+4+N概况展示</w:t>
            </w:r>
            <w:r>
              <w:rPr>
                <w:rFonts w:hint="eastAsia" w:cs="宋体"/>
                <w:color w:val="auto"/>
                <w:kern w:val="0"/>
                <w:sz w:val="22"/>
                <w:szCs w:val="22"/>
              </w:rPr>
              <w:br w:type="textWrapping"/>
            </w:r>
            <w:r>
              <w:rPr>
                <w:rFonts w:hint="eastAsia" w:cs="宋体"/>
                <w:color w:val="auto"/>
                <w:kern w:val="0"/>
                <w:sz w:val="22"/>
                <w:szCs w:val="22"/>
              </w:rPr>
              <w:t>4大改革措施  一业一册、一业一单、一业一评、一业一码，四个部分内容展示</w:t>
            </w:r>
            <w:r>
              <w:rPr>
                <w:rFonts w:hint="eastAsia" w:cs="宋体"/>
                <w:color w:val="auto"/>
                <w:kern w:val="0"/>
                <w:sz w:val="22"/>
                <w:szCs w:val="22"/>
              </w:rPr>
              <w:br w:type="textWrapping"/>
            </w:r>
            <w:r>
              <w:rPr>
                <w:rFonts w:hint="eastAsia" w:cs="宋体"/>
                <w:color w:val="auto"/>
                <w:kern w:val="0"/>
                <w:sz w:val="22"/>
                <w:szCs w:val="22"/>
              </w:rPr>
              <w:t>5大改革任务  五部分改革任务内容展示</w:t>
            </w:r>
            <w:r>
              <w:rPr>
                <w:rFonts w:hint="eastAsia" w:cs="宋体"/>
                <w:color w:val="auto"/>
                <w:kern w:val="0"/>
                <w:sz w:val="22"/>
                <w:szCs w:val="22"/>
              </w:rPr>
              <w:br w:type="textWrapping"/>
            </w:r>
            <w:r>
              <w:rPr>
                <w:rFonts w:hint="eastAsia" w:cs="宋体"/>
                <w:color w:val="auto"/>
                <w:kern w:val="0"/>
                <w:sz w:val="22"/>
                <w:szCs w:val="22"/>
              </w:rPr>
              <w:t>N个监管事项  N个监管事项内容展示</w:t>
            </w:r>
          </w:p>
        </w:tc>
      </w:tr>
      <w:tr w14:paraId="5B70E07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6958CB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47</w:t>
            </w:r>
          </w:p>
        </w:tc>
        <w:tc>
          <w:tcPr>
            <w:tcW w:w="1143" w:type="pct"/>
            <w:tcBorders>
              <w:top w:val="nil"/>
              <w:left w:val="nil"/>
              <w:bottom w:val="single" w:color="000000" w:sz="4" w:space="0"/>
              <w:right w:val="single" w:color="000000" w:sz="4" w:space="0"/>
            </w:tcBorders>
            <w:vAlign w:val="center"/>
          </w:tcPr>
          <w:p w14:paraId="5DEC0EB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CEFE3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综合监管-餐饮业综合监管应用场景-餐饮业综合监管场景-各委办专屏</w:t>
            </w:r>
          </w:p>
        </w:tc>
        <w:tc>
          <w:tcPr>
            <w:tcW w:w="2158" w:type="pct"/>
            <w:tcBorders>
              <w:top w:val="nil"/>
              <w:left w:val="nil"/>
              <w:bottom w:val="single" w:color="000000" w:sz="4" w:space="0"/>
              <w:right w:val="single" w:color="000000" w:sz="4" w:space="0"/>
            </w:tcBorders>
            <w:vAlign w:val="center"/>
          </w:tcPr>
          <w:p w14:paraId="5088FA8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根据公安、绿容、消防、城管执法部门的实际需求，展示各委办专屏内容</w:t>
            </w:r>
          </w:p>
        </w:tc>
      </w:tr>
      <w:tr w14:paraId="2B99641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7DBCC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48</w:t>
            </w:r>
          </w:p>
        </w:tc>
        <w:tc>
          <w:tcPr>
            <w:tcW w:w="1143" w:type="pct"/>
            <w:tcBorders>
              <w:top w:val="nil"/>
              <w:left w:val="nil"/>
              <w:bottom w:val="single" w:color="000000" w:sz="4" w:space="0"/>
              <w:right w:val="single" w:color="000000" w:sz="4" w:space="0"/>
            </w:tcBorders>
            <w:vAlign w:val="center"/>
          </w:tcPr>
          <w:p w14:paraId="3CE2C9F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53C2F9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综合监管-餐饮业综合监管应用场景-餐饮业综合监管场景-综合数据展示-主体数据情况</w:t>
            </w:r>
          </w:p>
        </w:tc>
        <w:tc>
          <w:tcPr>
            <w:tcW w:w="2158" w:type="pct"/>
            <w:tcBorders>
              <w:top w:val="nil"/>
              <w:left w:val="nil"/>
              <w:bottom w:val="single" w:color="000000" w:sz="4" w:space="0"/>
              <w:right w:val="single" w:color="000000" w:sz="4" w:space="0"/>
            </w:tcBorders>
            <w:vAlign w:val="center"/>
          </w:tcPr>
          <w:p w14:paraId="3A3AD62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大屏按市局、区局、监管所三个层面数据展示，设立“餐饮业综合监管场景”专题。</w:t>
            </w:r>
            <w:r>
              <w:rPr>
                <w:rFonts w:hint="eastAsia" w:cs="宋体"/>
                <w:color w:val="auto"/>
                <w:kern w:val="0"/>
                <w:sz w:val="22"/>
                <w:szCs w:val="22"/>
              </w:rPr>
              <w:br w:type="textWrapping"/>
            </w:r>
            <w:r>
              <w:rPr>
                <w:rFonts w:hint="eastAsia" w:cs="宋体"/>
                <w:color w:val="auto"/>
                <w:kern w:val="0"/>
                <w:sz w:val="22"/>
                <w:szCs w:val="22"/>
              </w:rPr>
              <w:t>根据权限，对市区所级餐饮企业主体数据总览：餐饮业总数、细分为餐饮服务经营者、集中用餐单位食堂两大类基础数据（含标注项、采集项数据）</w:t>
            </w:r>
          </w:p>
        </w:tc>
      </w:tr>
      <w:tr w14:paraId="2D1B5D5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610227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49</w:t>
            </w:r>
          </w:p>
        </w:tc>
        <w:tc>
          <w:tcPr>
            <w:tcW w:w="1143" w:type="pct"/>
            <w:tcBorders>
              <w:top w:val="nil"/>
              <w:left w:val="nil"/>
              <w:bottom w:val="single" w:color="000000" w:sz="4" w:space="0"/>
              <w:right w:val="single" w:color="000000" w:sz="4" w:space="0"/>
            </w:tcBorders>
            <w:vAlign w:val="center"/>
          </w:tcPr>
          <w:p w14:paraId="42D1174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438EE2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综合监管-餐饮业综合监管应用场景-餐饮业综合监管场景-综合数据展示-客体数据情况</w:t>
            </w:r>
          </w:p>
        </w:tc>
        <w:tc>
          <w:tcPr>
            <w:tcW w:w="2158" w:type="pct"/>
            <w:tcBorders>
              <w:top w:val="nil"/>
              <w:left w:val="nil"/>
              <w:bottom w:val="single" w:color="000000" w:sz="4" w:space="0"/>
              <w:right w:val="single" w:color="000000" w:sz="4" w:space="0"/>
            </w:tcBorders>
            <w:vAlign w:val="center"/>
          </w:tcPr>
          <w:p w14:paraId="30F410E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通过餐饮单位统一社会信用代码匹配市区所级特种设备数据总览：电梯（台）、锅炉（台）、压力容器（台套）、压力管道（家）、气瓶（瓶）；各类特种设备涉及的餐饮企业总数情况；电梯重点指标数据：平均健康度、远程监测电梯数、加装电梯数。</w:t>
            </w:r>
          </w:p>
        </w:tc>
      </w:tr>
      <w:tr w14:paraId="7ED0B53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8B980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50</w:t>
            </w:r>
          </w:p>
        </w:tc>
        <w:tc>
          <w:tcPr>
            <w:tcW w:w="1143" w:type="pct"/>
            <w:tcBorders>
              <w:top w:val="nil"/>
              <w:left w:val="nil"/>
              <w:bottom w:val="single" w:color="000000" w:sz="4" w:space="0"/>
              <w:right w:val="single" w:color="000000" w:sz="4" w:space="0"/>
            </w:tcBorders>
            <w:vAlign w:val="center"/>
          </w:tcPr>
          <w:p w14:paraId="2A912E7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AA3AD9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综合监管-餐饮业综合监管应用场景-餐饮业综合监管场景-综合数据展示-计量器具情况</w:t>
            </w:r>
          </w:p>
        </w:tc>
        <w:tc>
          <w:tcPr>
            <w:tcW w:w="2158" w:type="pct"/>
            <w:tcBorders>
              <w:top w:val="nil"/>
              <w:left w:val="nil"/>
              <w:bottom w:val="single" w:color="000000" w:sz="4" w:space="0"/>
              <w:right w:val="single" w:color="000000" w:sz="4" w:space="0"/>
            </w:tcBorders>
            <w:vAlign w:val="center"/>
          </w:tcPr>
          <w:p w14:paraId="08D4E85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展示计量器具分类情况：计量基准器具数、计量标准器具数、工作计量器具数。计量器具强检数据。</w:t>
            </w:r>
          </w:p>
        </w:tc>
      </w:tr>
      <w:tr w14:paraId="5FB371B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E3E59F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51</w:t>
            </w:r>
          </w:p>
        </w:tc>
        <w:tc>
          <w:tcPr>
            <w:tcW w:w="1143" w:type="pct"/>
            <w:tcBorders>
              <w:top w:val="nil"/>
              <w:left w:val="nil"/>
              <w:bottom w:val="single" w:color="000000" w:sz="4" w:space="0"/>
              <w:right w:val="single" w:color="000000" w:sz="4" w:space="0"/>
            </w:tcBorders>
            <w:vAlign w:val="center"/>
          </w:tcPr>
          <w:p w14:paraId="7179549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FC3C40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综合监管-餐饮业综合监管应用场景-餐饮业综合监管场景-综合数据展示-人员情况</w:t>
            </w:r>
          </w:p>
        </w:tc>
        <w:tc>
          <w:tcPr>
            <w:tcW w:w="2158" w:type="pct"/>
            <w:tcBorders>
              <w:top w:val="nil"/>
              <w:left w:val="nil"/>
              <w:bottom w:val="single" w:color="000000" w:sz="4" w:space="0"/>
              <w:right w:val="single" w:color="000000" w:sz="4" w:space="0"/>
            </w:tcBorders>
            <w:vAlign w:val="center"/>
          </w:tcPr>
          <w:p w14:paraId="6B7D86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1、从业人员情况：从业人员情况：展示食品从业人员数、特种设备从业人员数</w:t>
            </w:r>
            <w:r>
              <w:rPr>
                <w:rFonts w:hint="eastAsia" w:cs="宋体"/>
                <w:color w:val="auto"/>
                <w:kern w:val="0"/>
                <w:sz w:val="22"/>
                <w:szCs w:val="22"/>
              </w:rPr>
              <w:br w:type="textWrapping"/>
            </w:r>
            <w:r>
              <w:rPr>
                <w:rFonts w:hint="eastAsia" w:cs="宋体"/>
                <w:color w:val="auto"/>
                <w:kern w:val="0"/>
                <w:sz w:val="22"/>
                <w:szCs w:val="22"/>
              </w:rPr>
              <w:t>2、监管人员情况：监管人员情况：市区所市场监管队伍人数、城管执法局、绿化市容局、消防救援总队等相关委办监管人员数</w:t>
            </w:r>
          </w:p>
        </w:tc>
      </w:tr>
      <w:tr w14:paraId="6657158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835865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52</w:t>
            </w:r>
          </w:p>
        </w:tc>
        <w:tc>
          <w:tcPr>
            <w:tcW w:w="1143" w:type="pct"/>
            <w:tcBorders>
              <w:top w:val="nil"/>
              <w:left w:val="nil"/>
              <w:bottom w:val="single" w:color="000000" w:sz="4" w:space="0"/>
              <w:right w:val="single" w:color="000000" w:sz="4" w:space="0"/>
            </w:tcBorders>
            <w:vAlign w:val="center"/>
          </w:tcPr>
          <w:p w14:paraId="209119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4FB41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综合监管-餐饮业综合监管应用场景-餐饮业综合监管场景-联合监管</w:t>
            </w:r>
          </w:p>
        </w:tc>
        <w:tc>
          <w:tcPr>
            <w:tcW w:w="2158" w:type="pct"/>
            <w:tcBorders>
              <w:top w:val="nil"/>
              <w:left w:val="nil"/>
              <w:bottom w:val="single" w:color="000000" w:sz="4" w:space="0"/>
              <w:right w:val="single" w:color="000000" w:sz="4" w:space="0"/>
            </w:tcBorders>
            <w:vAlign w:val="center"/>
          </w:tcPr>
          <w:p w14:paraId="02BF8A3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可按季度展示联合监管检查情况，联合监管事项数、监管对象数、各委办监管事项数</w:t>
            </w:r>
          </w:p>
        </w:tc>
      </w:tr>
      <w:tr w14:paraId="4EEF52B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98CED7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53</w:t>
            </w:r>
          </w:p>
        </w:tc>
        <w:tc>
          <w:tcPr>
            <w:tcW w:w="1143" w:type="pct"/>
            <w:tcBorders>
              <w:top w:val="nil"/>
              <w:left w:val="nil"/>
              <w:bottom w:val="single" w:color="000000" w:sz="4" w:space="0"/>
              <w:right w:val="single" w:color="000000" w:sz="4" w:space="0"/>
            </w:tcBorders>
            <w:vAlign w:val="center"/>
          </w:tcPr>
          <w:p w14:paraId="3D123D5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4483D30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综合监管-餐饮业综合监管应用场景-餐饮业综合监管场景-全生命周期图</w:t>
            </w:r>
          </w:p>
        </w:tc>
        <w:tc>
          <w:tcPr>
            <w:tcW w:w="2158" w:type="pct"/>
            <w:tcBorders>
              <w:top w:val="nil"/>
              <w:left w:val="nil"/>
              <w:bottom w:val="single" w:color="000000" w:sz="4" w:space="0"/>
              <w:right w:val="single" w:color="000000" w:sz="4" w:space="0"/>
            </w:tcBorders>
            <w:vAlign w:val="center"/>
          </w:tcPr>
          <w:p w14:paraId="771C81D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按餐饮企业生命周期涉及到的注册、变更、行政处罚、投诉举报等信息进行展示</w:t>
            </w:r>
          </w:p>
        </w:tc>
      </w:tr>
      <w:tr w14:paraId="40A3DB2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D8E1FC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54</w:t>
            </w:r>
          </w:p>
        </w:tc>
        <w:tc>
          <w:tcPr>
            <w:tcW w:w="1143" w:type="pct"/>
            <w:tcBorders>
              <w:top w:val="nil"/>
              <w:left w:val="nil"/>
              <w:bottom w:val="single" w:color="000000" w:sz="4" w:space="0"/>
              <w:right w:val="single" w:color="000000" w:sz="4" w:space="0"/>
            </w:tcBorders>
            <w:vAlign w:val="center"/>
          </w:tcPr>
          <w:p w14:paraId="195BE4B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E9881A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综合监管-餐饮业综合监管应用场景-餐饮业综合监管场景-风险+信用+分类</w:t>
            </w:r>
          </w:p>
        </w:tc>
        <w:tc>
          <w:tcPr>
            <w:tcW w:w="2158" w:type="pct"/>
            <w:tcBorders>
              <w:top w:val="nil"/>
              <w:left w:val="nil"/>
              <w:bottom w:val="single" w:color="000000" w:sz="4" w:space="0"/>
              <w:right w:val="single" w:color="000000" w:sz="4" w:space="0"/>
            </w:tcBorders>
            <w:vAlign w:val="center"/>
          </w:tcPr>
          <w:p w14:paraId="5CCAF73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餐饮单位“风险+信用”A、B、C、D四级评估数据展示：建立“风险+信用”评估模型，评估结果推送至移动监管系统对餐饮单位进行标识，根据评定结果进行分类分级监管，确定检查对象、比例、频次、事项和方式。展示风险分类等级模型及计算规则。</w:t>
            </w:r>
            <w:r>
              <w:rPr>
                <w:rFonts w:hint="eastAsia" w:cs="宋体"/>
                <w:color w:val="auto"/>
                <w:kern w:val="0"/>
                <w:sz w:val="22"/>
                <w:szCs w:val="22"/>
              </w:rPr>
              <w:br w:type="textWrapping"/>
            </w:r>
            <w:r>
              <w:rPr>
                <w:rFonts w:hint="eastAsia" w:cs="宋体"/>
                <w:color w:val="auto"/>
                <w:kern w:val="0"/>
                <w:sz w:val="22"/>
                <w:szCs w:val="22"/>
              </w:rPr>
              <w:t>2、各委办检查数和问题数，无事不扰目录清单数</w:t>
            </w:r>
            <w:r>
              <w:rPr>
                <w:rFonts w:hint="eastAsia" w:cs="宋体"/>
                <w:color w:val="auto"/>
                <w:kern w:val="0"/>
                <w:sz w:val="22"/>
                <w:szCs w:val="22"/>
              </w:rPr>
              <w:br w:type="textWrapping"/>
            </w:r>
            <w:r>
              <w:rPr>
                <w:rFonts w:hint="eastAsia" w:cs="宋体"/>
                <w:color w:val="auto"/>
                <w:kern w:val="0"/>
                <w:sz w:val="22"/>
                <w:szCs w:val="22"/>
              </w:rPr>
              <w:t>3、AI预警模型及规则，非现场检查清单数</w:t>
            </w:r>
          </w:p>
        </w:tc>
      </w:tr>
      <w:tr w14:paraId="3A38821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44D92D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55</w:t>
            </w:r>
          </w:p>
        </w:tc>
        <w:tc>
          <w:tcPr>
            <w:tcW w:w="1143" w:type="pct"/>
            <w:tcBorders>
              <w:top w:val="nil"/>
              <w:left w:val="nil"/>
              <w:bottom w:val="single" w:color="000000" w:sz="4" w:space="0"/>
              <w:right w:val="single" w:color="000000" w:sz="4" w:space="0"/>
            </w:tcBorders>
            <w:vAlign w:val="center"/>
          </w:tcPr>
          <w:p w14:paraId="283406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1E1826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综合监管-餐饮业综合监管应用场景-餐饮业综合监管场景-非现场监管情况</w:t>
            </w:r>
          </w:p>
        </w:tc>
        <w:tc>
          <w:tcPr>
            <w:tcW w:w="2158" w:type="pct"/>
            <w:tcBorders>
              <w:top w:val="nil"/>
              <w:left w:val="nil"/>
              <w:bottom w:val="single" w:color="000000" w:sz="4" w:space="0"/>
              <w:right w:val="single" w:color="000000" w:sz="4" w:space="0"/>
            </w:tcBorders>
            <w:vAlign w:val="center"/>
          </w:tcPr>
          <w:p w14:paraId="2ACD9B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1、主体责任问题：企业落实主体责任自查发现问题情况：食品安全问题数、特种设备安全问题数</w:t>
            </w:r>
            <w:r>
              <w:rPr>
                <w:rFonts w:hint="eastAsia" w:cs="宋体"/>
                <w:color w:val="auto"/>
                <w:kern w:val="0"/>
                <w:sz w:val="22"/>
                <w:szCs w:val="22"/>
              </w:rPr>
              <w:br w:type="textWrapping"/>
            </w:r>
            <w:r>
              <w:rPr>
                <w:rFonts w:hint="eastAsia" w:cs="宋体"/>
                <w:color w:val="auto"/>
                <w:kern w:val="0"/>
                <w:sz w:val="22"/>
                <w:szCs w:val="22"/>
              </w:rPr>
              <w:t>2、特种设备隐患排查：排查设备台数、 已整改数、  未整改数</w:t>
            </w:r>
            <w:r>
              <w:rPr>
                <w:rFonts w:hint="eastAsia" w:cs="宋体"/>
                <w:color w:val="auto"/>
                <w:kern w:val="0"/>
                <w:sz w:val="22"/>
                <w:szCs w:val="22"/>
              </w:rPr>
              <w:br w:type="textWrapping"/>
            </w:r>
            <w:r>
              <w:rPr>
                <w:rFonts w:hint="eastAsia" w:cs="宋体"/>
                <w:color w:val="auto"/>
                <w:kern w:val="0"/>
                <w:sz w:val="22"/>
                <w:szCs w:val="22"/>
              </w:rPr>
              <w:t>3、投诉举报情况：食品安全投诉举报数</w:t>
            </w:r>
            <w:r>
              <w:rPr>
                <w:rFonts w:hint="eastAsia" w:cs="宋体"/>
                <w:color w:val="auto"/>
                <w:kern w:val="0"/>
                <w:sz w:val="22"/>
                <w:szCs w:val="22"/>
              </w:rPr>
              <w:br w:type="textWrapping"/>
            </w:r>
            <w:r>
              <w:rPr>
                <w:rFonts w:hint="eastAsia" w:cs="宋体"/>
                <w:color w:val="auto"/>
                <w:kern w:val="0"/>
                <w:sz w:val="22"/>
                <w:szCs w:val="22"/>
              </w:rPr>
              <w:t>4、大数据预警情况：AI预警数、大数据监测预警数等</w:t>
            </w:r>
            <w:r>
              <w:rPr>
                <w:rFonts w:hint="eastAsia" w:cs="宋体"/>
                <w:color w:val="auto"/>
                <w:kern w:val="0"/>
                <w:sz w:val="22"/>
                <w:szCs w:val="22"/>
              </w:rPr>
              <w:br w:type="textWrapping"/>
            </w:r>
            <w:r>
              <w:rPr>
                <w:rFonts w:hint="eastAsia" w:cs="宋体"/>
                <w:color w:val="auto"/>
                <w:kern w:val="0"/>
                <w:sz w:val="22"/>
                <w:szCs w:val="22"/>
              </w:rPr>
              <w:t>5、废弃油脂收运情况：废弃油脂收运协议未签订家数、签订率、收运量等</w:t>
            </w:r>
            <w:r>
              <w:rPr>
                <w:rFonts w:hint="eastAsia" w:cs="宋体"/>
                <w:color w:val="auto"/>
                <w:kern w:val="0"/>
                <w:sz w:val="22"/>
                <w:szCs w:val="22"/>
              </w:rPr>
              <w:br w:type="textWrapping"/>
            </w:r>
            <w:r>
              <w:rPr>
                <w:rFonts w:hint="eastAsia" w:cs="宋体"/>
                <w:color w:val="auto"/>
                <w:kern w:val="0"/>
                <w:sz w:val="22"/>
                <w:szCs w:val="22"/>
              </w:rPr>
              <w:t>6、餐厨垃圾收运情况：餐厨垃圾收运协议未签订家数、签订率、收运量等</w:t>
            </w:r>
          </w:p>
        </w:tc>
      </w:tr>
      <w:tr w14:paraId="49F77AF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7395BB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56</w:t>
            </w:r>
          </w:p>
        </w:tc>
        <w:tc>
          <w:tcPr>
            <w:tcW w:w="1143" w:type="pct"/>
            <w:tcBorders>
              <w:top w:val="nil"/>
              <w:left w:val="nil"/>
              <w:bottom w:val="single" w:color="000000" w:sz="4" w:space="0"/>
              <w:right w:val="single" w:color="000000" w:sz="4" w:space="0"/>
            </w:tcBorders>
            <w:vAlign w:val="center"/>
          </w:tcPr>
          <w:p w14:paraId="22AC81B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A4EB92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综合监管-餐饮业综合监管应用场景-餐饮业综合监管场景-综合监管流程图</w:t>
            </w:r>
          </w:p>
        </w:tc>
        <w:tc>
          <w:tcPr>
            <w:tcW w:w="2158" w:type="pct"/>
            <w:tcBorders>
              <w:top w:val="nil"/>
              <w:left w:val="nil"/>
              <w:bottom w:val="single" w:color="000000" w:sz="4" w:space="0"/>
              <w:right w:val="single" w:color="000000" w:sz="4" w:space="0"/>
            </w:tcBorders>
            <w:vAlign w:val="center"/>
          </w:tcPr>
          <w:p w14:paraId="00C6F4C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按照餐饮业一体化综合监管流程展示业务流程图，各环节数字实时动态展示</w:t>
            </w:r>
          </w:p>
        </w:tc>
      </w:tr>
      <w:tr w14:paraId="13F02ED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211021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57</w:t>
            </w:r>
          </w:p>
        </w:tc>
        <w:tc>
          <w:tcPr>
            <w:tcW w:w="1143" w:type="pct"/>
            <w:tcBorders>
              <w:top w:val="nil"/>
              <w:left w:val="nil"/>
              <w:bottom w:val="single" w:color="000000" w:sz="4" w:space="0"/>
              <w:right w:val="single" w:color="000000" w:sz="4" w:space="0"/>
            </w:tcBorders>
            <w:vAlign w:val="center"/>
          </w:tcPr>
          <w:p w14:paraId="2B7D70F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2AD3F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综合监管-餐饮业综合监管应用场景-餐饮业综合监管场景-地图撒点</w:t>
            </w:r>
          </w:p>
        </w:tc>
        <w:tc>
          <w:tcPr>
            <w:tcW w:w="2158" w:type="pct"/>
            <w:tcBorders>
              <w:top w:val="nil"/>
              <w:left w:val="nil"/>
              <w:bottom w:val="single" w:color="000000" w:sz="4" w:space="0"/>
              <w:right w:val="single" w:color="000000" w:sz="4" w:space="0"/>
            </w:tcBorders>
            <w:vAlign w:val="center"/>
          </w:tcPr>
          <w:p w14:paraId="17C642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联合监管：地图上展示联合监管任务，可按当前任务和已完成任务进行查询，并可查看任务详情。包含各委办对象库信息、已检查清单企业信息、未检查清单企业信息、联合检查任务信息、各委办涉企检查报备信息等。</w:t>
            </w:r>
            <w:r>
              <w:rPr>
                <w:rFonts w:hint="eastAsia" w:cs="宋体"/>
                <w:color w:val="auto"/>
                <w:kern w:val="0"/>
                <w:sz w:val="22"/>
                <w:szCs w:val="22"/>
              </w:rPr>
              <w:br w:type="textWrapping"/>
            </w:r>
            <w:r>
              <w:rPr>
                <w:rFonts w:hint="eastAsia" w:cs="宋体"/>
                <w:color w:val="auto"/>
                <w:kern w:val="0"/>
                <w:sz w:val="22"/>
                <w:szCs w:val="22"/>
              </w:rPr>
              <w:t>2、餐饮企业分布：可按餐饮企业类型、名称等筛选查询企业主体信息；食品企业通过地图撒点展示，可按餐饮服务经营者、集中用餐单位食堂两类查看。以笑脸、哭脸、平脸图标分类撒点。</w:t>
            </w:r>
            <w:r>
              <w:rPr>
                <w:rFonts w:hint="eastAsia" w:cs="宋体"/>
                <w:color w:val="auto"/>
                <w:kern w:val="0"/>
                <w:sz w:val="22"/>
                <w:szCs w:val="22"/>
              </w:rPr>
              <w:br w:type="textWrapping"/>
            </w:r>
            <w:r>
              <w:rPr>
                <w:rFonts w:hint="eastAsia" w:cs="宋体"/>
                <w:color w:val="auto"/>
                <w:kern w:val="0"/>
                <w:sz w:val="22"/>
                <w:szCs w:val="22"/>
              </w:rPr>
              <w:t>3、特种设备分布：特种设备地图撒点：可按电梯、锅炉、压力容器、压力管道、气瓶进行分类查询。接入特种设备信息，特种设备清单信息、隐患排查信息、从业人员信息、主体责任信息等。</w:t>
            </w:r>
            <w:r>
              <w:rPr>
                <w:rFonts w:hint="eastAsia" w:cs="宋体"/>
                <w:color w:val="auto"/>
                <w:kern w:val="0"/>
                <w:sz w:val="22"/>
                <w:szCs w:val="22"/>
              </w:rPr>
              <w:br w:type="textWrapping"/>
            </w:r>
            <w:r>
              <w:rPr>
                <w:rFonts w:hint="eastAsia" w:cs="宋体"/>
                <w:color w:val="auto"/>
                <w:kern w:val="0"/>
                <w:sz w:val="22"/>
                <w:szCs w:val="22"/>
              </w:rPr>
              <w:t>4、智能预警： 预警撒点，并闭环流程展示。</w:t>
            </w:r>
          </w:p>
        </w:tc>
      </w:tr>
      <w:tr w14:paraId="677CCCB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8FB47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58</w:t>
            </w:r>
          </w:p>
        </w:tc>
        <w:tc>
          <w:tcPr>
            <w:tcW w:w="1143" w:type="pct"/>
            <w:tcBorders>
              <w:top w:val="nil"/>
              <w:left w:val="nil"/>
              <w:bottom w:val="single" w:color="000000" w:sz="4" w:space="0"/>
              <w:right w:val="single" w:color="000000" w:sz="4" w:space="0"/>
            </w:tcBorders>
            <w:vAlign w:val="center"/>
          </w:tcPr>
          <w:p w14:paraId="7F00C06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D1711D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综合监管-餐饮业综合监管应用场景-餐饮业综合监管场景-实时视频接入-明厨亮灶</w:t>
            </w:r>
          </w:p>
        </w:tc>
        <w:tc>
          <w:tcPr>
            <w:tcW w:w="2158" w:type="pct"/>
            <w:tcBorders>
              <w:top w:val="nil"/>
              <w:left w:val="nil"/>
              <w:bottom w:val="single" w:color="000000" w:sz="4" w:space="0"/>
              <w:right w:val="single" w:color="000000" w:sz="4" w:space="0"/>
            </w:tcBorders>
            <w:vAlign w:val="center"/>
          </w:tcPr>
          <w:p w14:paraId="7584A2F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地图上展示明厨亮灶视频播放，点击当前视频可进入明厨亮灶列表，可按名称搜索并查看对应餐饮企业实时视频</w:t>
            </w:r>
          </w:p>
        </w:tc>
      </w:tr>
      <w:tr w14:paraId="302BD6A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C462DB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59</w:t>
            </w:r>
          </w:p>
        </w:tc>
        <w:tc>
          <w:tcPr>
            <w:tcW w:w="1143" w:type="pct"/>
            <w:tcBorders>
              <w:top w:val="nil"/>
              <w:left w:val="nil"/>
              <w:bottom w:val="single" w:color="000000" w:sz="4" w:space="0"/>
              <w:right w:val="single" w:color="000000" w:sz="4" w:space="0"/>
            </w:tcBorders>
            <w:vAlign w:val="center"/>
          </w:tcPr>
          <w:p w14:paraId="27C6737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CB149F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综合监管-餐饮业综合监管应用场景-餐饮业综合监管场景-实时视频接入-电梯视频</w:t>
            </w:r>
          </w:p>
        </w:tc>
        <w:tc>
          <w:tcPr>
            <w:tcW w:w="2158" w:type="pct"/>
            <w:tcBorders>
              <w:top w:val="nil"/>
              <w:left w:val="nil"/>
              <w:bottom w:val="single" w:color="000000" w:sz="4" w:space="0"/>
              <w:right w:val="single" w:color="000000" w:sz="4" w:space="0"/>
            </w:tcBorders>
            <w:vAlign w:val="center"/>
          </w:tcPr>
          <w:p w14:paraId="55FA18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地图上展示电梯视频播放，点击当前视频可进入电梯视频列表，可按电梯编号搜索并查看对应电梯实时视频</w:t>
            </w:r>
          </w:p>
        </w:tc>
      </w:tr>
      <w:tr w14:paraId="3015A39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EDB92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60</w:t>
            </w:r>
          </w:p>
        </w:tc>
        <w:tc>
          <w:tcPr>
            <w:tcW w:w="1143" w:type="pct"/>
            <w:tcBorders>
              <w:top w:val="nil"/>
              <w:left w:val="nil"/>
              <w:bottom w:val="single" w:color="000000" w:sz="4" w:space="0"/>
              <w:right w:val="single" w:color="000000" w:sz="4" w:space="0"/>
            </w:tcBorders>
            <w:vAlign w:val="center"/>
          </w:tcPr>
          <w:p w14:paraId="13B5700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839D33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综合监管-餐饮业综合监管应用场景-餐饮业综合监管场景-监管成效-行政许可</w:t>
            </w:r>
          </w:p>
        </w:tc>
        <w:tc>
          <w:tcPr>
            <w:tcW w:w="2158" w:type="pct"/>
            <w:tcBorders>
              <w:top w:val="nil"/>
              <w:left w:val="nil"/>
              <w:bottom w:val="single" w:color="000000" w:sz="4" w:space="0"/>
              <w:right w:val="single" w:color="000000" w:sz="4" w:space="0"/>
            </w:tcBorders>
            <w:vAlign w:val="center"/>
          </w:tcPr>
          <w:p w14:paraId="19C0AF9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各委办局餐饮企业许可数量清单数，免现场检查企业家数。事前审查、证后监管等情况</w:t>
            </w:r>
          </w:p>
        </w:tc>
      </w:tr>
      <w:tr w14:paraId="1969FA0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7CB58D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61</w:t>
            </w:r>
          </w:p>
        </w:tc>
        <w:tc>
          <w:tcPr>
            <w:tcW w:w="1143" w:type="pct"/>
            <w:tcBorders>
              <w:top w:val="nil"/>
              <w:left w:val="nil"/>
              <w:bottom w:val="single" w:color="000000" w:sz="4" w:space="0"/>
              <w:right w:val="single" w:color="000000" w:sz="4" w:space="0"/>
            </w:tcBorders>
            <w:vAlign w:val="center"/>
          </w:tcPr>
          <w:p w14:paraId="309FD2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459F9D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综合监管-餐饮业综合监管应用场景-餐饮业综合监管场景-监管成效-监督检查</w:t>
            </w:r>
          </w:p>
        </w:tc>
        <w:tc>
          <w:tcPr>
            <w:tcW w:w="2158" w:type="pct"/>
            <w:tcBorders>
              <w:top w:val="nil"/>
              <w:left w:val="nil"/>
              <w:bottom w:val="single" w:color="000000" w:sz="4" w:space="0"/>
              <w:right w:val="single" w:color="000000" w:sz="4" w:space="0"/>
            </w:tcBorders>
            <w:vAlign w:val="center"/>
          </w:tcPr>
          <w:p w14:paraId="2C6D47F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接入并展示各委办检查情况：1）体现同比减少，优化营销环境（减少食品安全、特种设备安全、消防安全、餐厨垃圾和废弃油脂收运管理等高频次监管事项现场检查频次）2）触发式监管检查企业数，完成处置数。3）联合监管检查数、监管出动人次数，同比数及趋势图。4）非现场监管情况(数据来源：移动监管、事项分类)。5）各委办局任务报备数。</w:t>
            </w:r>
          </w:p>
        </w:tc>
      </w:tr>
      <w:tr w14:paraId="5566B1C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66419C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62</w:t>
            </w:r>
          </w:p>
        </w:tc>
        <w:tc>
          <w:tcPr>
            <w:tcW w:w="1143" w:type="pct"/>
            <w:tcBorders>
              <w:top w:val="nil"/>
              <w:left w:val="nil"/>
              <w:bottom w:val="single" w:color="000000" w:sz="4" w:space="0"/>
              <w:right w:val="single" w:color="000000" w:sz="4" w:space="0"/>
            </w:tcBorders>
            <w:vAlign w:val="center"/>
          </w:tcPr>
          <w:p w14:paraId="5E01568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1C8E5B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综合监管-餐饮业综合监管应用场景-餐饮业综合监管场景-监管成效-行政处罚</w:t>
            </w:r>
          </w:p>
        </w:tc>
        <w:tc>
          <w:tcPr>
            <w:tcW w:w="2158" w:type="pct"/>
            <w:tcBorders>
              <w:top w:val="nil"/>
              <w:left w:val="nil"/>
              <w:bottom w:val="single" w:color="000000" w:sz="4" w:space="0"/>
              <w:right w:val="single" w:color="000000" w:sz="4" w:space="0"/>
            </w:tcBorders>
            <w:vAlign w:val="center"/>
          </w:tcPr>
          <w:p w14:paraId="0BF7F7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接入并展示各委办行政处罚情况。点击数字，可看处罚清单（主体、处罚部门、处罚事项等）</w:t>
            </w:r>
          </w:p>
        </w:tc>
      </w:tr>
      <w:tr w14:paraId="71E0587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8AA6E8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63</w:t>
            </w:r>
          </w:p>
        </w:tc>
        <w:tc>
          <w:tcPr>
            <w:tcW w:w="1143" w:type="pct"/>
            <w:tcBorders>
              <w:top w:val="nil"/>
              <w:left w:val="nil"/>
              <w:bottom w:val="single" w:color="000000" w:sz="4" w:space="0"/>
              <w:right w:val="single" w:color="000000" w:sz="4" w:space="0"/>
            </w:tcBorders>
            <w:vAlign w:val="center"/>
          </w:tcPr>
          <w:p w14:paraId="021F716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4B0038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综合监管-餐饮业综合监管应用场景-餐饮业综合监管场景-监管成效-信用评价</w:t>
            </w:r>
          </w:p>
        </w:tc>
        <w:tc>
          <w:tcPr>
            <w:tcW w:w="2158" w:type="pct"/>
            <w:tcBorders>
              <w:top w:val="nil"/>
              <w:left w:val="nil"/>
              <w:bottom w:val="single" w:color="000000" w:sz="4" w:space="0"/>
              <w:right w:val="single" w:color="000000" w:sz="4" w:space="0"/>
            </w:tcBorders>
            <w:vAlign w:val="center"/>
          </w:tcPr>
          <w:p w14:paraId="0F71785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风险评估、放心餐厅、放心食堂、消费者满意度调查等与餐饮企业信用评价相关的信息展示，体现信用风险级别变化情况。接入银保监局食品安全责任保险数据，餐饮企业购买食品安全责任投保情况：1.全市已接三方食品安全责任保险的投保情况信息，包含投保类型、投保案件描述内容、投保受理状态；2.可查看理赔报告，包含：是否理赔、理赔类型、理赔原因、理赔金额；3.可查看投保风险商户情况，包含：商户基础信息、报案数量、理赔通过案件数量、理赔金额、投保频次，商户风险标签；4.可查看投保问题分析，包含：周期内高频投保类型、高频投保问题、高频理赔餐品、高频理赔异物、拒赔问题类型。</w:t>
            </w:r>
          </w:p>
        </w:tc>
      </w:tr>
      <w:tr w14:paraId="398BD54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190CB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64</w:t>
            </w:r>
          </w:p>
        </w:tc>
        <w:tc>
          <w:tcPr>
            <w:tcW w:w="1143" w:type="pct"/>
            <w:tcBorders>
              <w:top w:val="nil"/>
              <w:left w:val="nil"/>
              <w:bottom w:val="single" w:color="000000" w:sz="4" w:space="0"/>
              <w:right w:val="single" w:color="000000" w:sz="4" w:space="0"/>
            </w:tcBorders>
            <w:vAlign w:val="center"/>
          </w:tcPr>
          <w:p w14:paraId="676FB45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73B2021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综合监管-餐饮业综合监管应用场景-餐饮业综合监管场景-监管成效-精准监管</w:t>
            </w:r>
          </w:p>
        </w:tc>
        <w:tc>
          <w:tcPr>
            <w:tcW w:w="2158" w:type="pct"/>
            <w:tcBorders>
              <w:top w:val="nil"/>
              <w:left w:val="nil"/>
              <w:bottom w:val="single" w:color="000000" w:sz="4" w:space="0"/>
              <w:right w:val="single" w:color="000000" w:sz="4" w:space="0"/>
            </w:tcBorders>
            <w:vAlign w:val="center"/>
          </w:tcPr>
          <w:p w14:paraId="505D425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1、通过接入AI视频预警或监管人员视频巡查主动发现违规问题，例如个人卫生、加工场所吸烟、明火等不合格行为，推送至监管所通过综合监管系统处置进行处置，大屏展示总预警数，已处置和未处置数。</w:t>
            </w:r>
            <w:r>
              <w:rPr>
                <w:rFonts w:hint="eastAsia" w:cs="宋体"/>
                <w:color w:val="auto"/>
                <w:kern w:val="0"/>
                <w:sz w:val="22"/>
                <w:szCs w:val="22"/>
              </w:rPr>
              <w:br w:type="textWrapping"/>
            </w:r>
            <w:r>
              <w:rPr>
                <w:rFonts w:hint="eastAsia" w:cs="宋体"/>
                <w:color w:val="auto"/>
                <w:kern w:val="0"/>
                <w:sz w:val="22"/>
                <w:szCs w:val="22"/>
              </w:rPr>
              <w:t>2、明厨亮灶违规闭环处置规则：未按规定着装和垃圾桶未加盖等低风险问题的推送规则为同一主体同一违法行为，三天推送一次预警。其他预警（高风险：抽烟、老鼠）同一主体，同一违法行为，一天一次预警。</w:t>
            </w:r>
          </w:p>
        </w:tc>
      </w:tr>
      <w:tr w14:paraId="2E95120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1B087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65</w:t>
            </w:r>
          </w:p>
        </w:tc>
        <w:tc>
          <w:tcPr>
            <w:tcW w:w="1143" w:type="pct"/>
            <w:tcBorders>
              <w:top w:val="nil"/>
              <w:left w:val="nil"/>
              <w:bottom w:val="single" w:color="000000" w:sz="4" w:space="0"/>
              <w:right w:val="single" w:color="000000" w:sz="4" w:space="0"/>
            </w:tcBorders>
            <w:vAlign w:val="center"/>
          </w:tcPr>
          <w:p w14:paraId="16D2CAD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77B323C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综合监管-叉车安全监管应用场景-叉车安全监控与预警-行政许可数据管理</w:t>
            </w:r>
          </w:p>
        </w:tc>
        <w:tc>
          <w:tcPr>
            <w:tcW w:w="2158" w:type="pct"/>
            <w:tcBorders>
              <w:top w:val="nil"/>
              <w:left w:val="nil"/>
              <w:bottom w:val="single" w:color="000000" w:sz="4" w:space="0"/>
              <w:right w:val="single" w:color="000000" w:sz="4" w:space="0"/>
            </w:tcBorders>
            <w:vAlign w:val="center"/>
          </w:tcPr>
          <w:p w14:paraId="30B11AE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1、安全准入数据总览：动态统计叉车生产单位、注册叉车、持证作业人员总量，分析人车安全配比风险，生成图表统计展示</w:t>
            </w:r>
            <w:r>
              <w:rPr>
                <w:rFonts w:hint="eastAsia" w:cs="宋体"/>
                <w:color w:val="auto"/>
                <w:kern w:val="0"/>
                <w:sz w:val="22"/>
                <w:szCs w:val="22"/>
              </w:rPr>
              <w:br w:type="textWrapping"/>
            </w:r>
            <w:r>
              <w:rPr>
                <w:rFonts w:hint="eastAsia" w:cs="宋体"/>
                <w:color w:val="auto"/>
                <w:kern w:val="0"/>
                <w:sz w:val="22"/>
                <w:szCs w:val="22"/>
              </w:rPr>
              <w:t>2、设备类型分析：按叉车类型（电动/内燃、载重等级等）分类统计在用设备情况，识别高风险类型设备分布，生成安全风险热力图。</w:t>
            </w:r>
            <w:r>
              <w:rPr>
                <w:rFonts w:hint="eastAsia" w:cs="宋体"/>
                <w:color w:val="auto"/>
                <w:kern w:val="0"/>
                <w:sz w:val="22"/>
                <w:szCs w:val="22"/>
              </w:rPr>
              <w:br w:type="textWrapping"/>
            </w:r>
            <w:r>
              <w:rPr>
                <w:rFonts w:hint="eastAsia" w:cs="宋体"/>
                <w:color w:val="auto"/>
                <w:kern w:val="0"/>
                <w:sz w:val="22"/>
                <w:szCs w:val="22"/>
              </w:rPr>
              <w:t>3、叉车年限分析：基于叉车服役年限（1年、1-3年等）分析设备老化风险，明确超龄设备，了解设备健康情况趋势。</w:t>
            </w:r>
          </w:p>
        </w:tc>
      </w:tr>
      <w:tr w14:paraId="5BF926E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BA0A32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66</w:t>
            </w:r>
          </w:p>
        </w:tc>
        <w:tc>
          <w:tcPr>
            <w:tcW w:w="1143" w:type="pct"/>
            <w:tcBorders>
              <w:top w:val="nil"/>
              <w:left w:val="nil"/>
              <w:bottom w:val="single" w:color="000000" w:sz="4" w:space="0"/>
              <w:right w:val="single" w:color="000000" w:sz="4" w:space="0"/>
            </w:tcBorders>
            <w:vAlign w:val="center"/>
          </w:tcPr>
          <w:p w14:paraId="68F9F9E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7D8BA20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综合监管-叉车安全监管应用场景-叉车安全监控与预警-风险主体重点监控</w:t>
            </w:r>
          </w:p>
        </w:tc>
        <w:tc>
          <w:tcPr>
            <w:tcW w:w="2158" w:type="pct"/>
            <w:tcBorders>
              <w:top w:val="nil"/>
              <w:left w:val="nil"/>
              <w:bottom w:val="single" w:color="000000" w:sz="4" w:space="0"/>
              <w:right w:val="single" w:color="000000" w:sz="4" w:space="0"/>
            </w:tcBorders>
            <w:vAlign w:val="center"/>
          </w:tcPr>
          <w:p w14:paraId="2B60291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1、高危单位动态追踪：实时关联隐患事件与使用单位，滚动展示高风险单位（名称、隐患总数），支持穿透查询历史违规记录，以动态滚动方式展示联动安全信用评级。</w:t>
            </w:r>
            <w:r>
              <w:rPr>
                <w:rFonts w:hint="eastAsia" w:cs="宋体"/>
                <w:color w:val="auto"/>
                <w:kern w:val="0"/>
                <w:sz w:val="22"/>
                <w:szCs w:val="22"/>
              </w:rPr>
              <w:br w:type="textWrapping"/>
            </w:r>
            <w:r>
              <w:rPr>
                <w:rFonts w:hint="eastAsia" w:cs="宋体"/>
                <w:color w:val="auto"/>
                <w:kern w:val="0"/>
                <w:sz w:val="22"/>
                <w:szCs w:val="22"/>
              </w:rPr>
              <w:t>2、人员行为异常画像：对叉车作业人员异常行为（疲劳驾驶、违规操作等），标记高风险人员并动态展示画像。</w:t>
            </w:r>
            <w:r>
              <w:rPr>
                <w:rFonts w:hint="eastAsia" w:cs="宋体"/>
                <w:color w:val="auto"/>
                <w:kern w:val="0"/>
                <w:sz w:val="22"/>
                <w:szCs w:val="22"/>
              </w:rPr>
              <w:br w:type="textWrapping"/>
            </w:r>
            <w:r>
              <w:rPr>
                <w:rFonts w:hint="eastAsia" w:cs="宋体"/>
                <w:color w:val="auto"/>
                <w:kern w:val="0"/>
                <w:sz w:val="22"/>
                <w:szCs w:val="22"/>
              </w:rPr>
              <w:t>3、园区安全综合治理：统计园区内叉车数量、隐患事件发生情况、安全巡查覆盖率，对园区安全监管，支持重点园区定向监管。</w:t>
            </w:r>
          </w:p>
        </w:tc>
      </w:tr>
      <w:tr w14:paraId="13568F5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0107A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67</w:t>
            </w:r>
          </w:p>
        </w:tc>
        <w:tc>
          <w:tcPr>
            <w:tcW w:w="1143" w:type="pct"/>
            <w:tcBorders>
              <w:top w:val="nil"/>
              <w:left w:val="nil"/>
              <w:bottom w:val="single" w:color="000000" w:sz="4" w:space="0"/>
              <w:right w:val="single" w:color="000000" w:sz="4" w:space="0"/>
            </w:tcBorders>
            <w:vAlign w:val="center"/>
          </w:tcPr>
          <w:p w14:paraId="0314AE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2B21D2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综合监管-叉车安全监管应用场景-叉车安全监控与预警-安全隐患分析</w:t>
            </w:r>
          </w:p>
        </w:tc>
        <w:tc>
          <w:tcPr>
            <w:tcW w:w="2158" w:type="pct"/>
            <w:tcBorders>
              <w:top w:val="nil"/>
              <w:left w:val="nil"/>
              <w:bottom w:val="single" w:color="000000" w:sz="4" w:space="0"/>
              <w:right w:val="single" w:color="000000" w:sz="4" w:space="0"/>
            </w:tcBorders>
            <w:vAlign w:val="center"/>
          </w:tcPr>
          <w:p w14:paraId="3A564B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1、全维度隐患归集：按日/月/年汇总作业资质、行为管理、园区治理等13类事件（无作业资格、超速、碰撞等），统计总数并图表展示，为风险趋势预测提供支持。</w:t>
            </w:r>
            <w:r>
              <w:rPr>
                <w:rFonts w:hint="eastAsia" w:cs="宋体"/>
                <w:color w:val="auto"/>
                <w:kern w:val="0"/>
                <w:sz w:val="22"/>
                <w:szCs w:val="22"/>
              </w:rPr>
              <w:br w:type="textWrapping"/>
            </w:r>
            <w:r>
              <w:rPr>
                <w:rFonts w:hint="eastAsia" w:cs="宋体"/>
                <w:color w:val="auto"/>
                <w:kern w:val="0"/>
                <w:sz w:val="22"/>
                <w:szCs w:val="22"/>
              </w:rPr>
              <w:t>2、事件处置闭环管理：联动展示事件列表（单位、事件内容、车牌、驾驶员、时间等），动态跟踪整改流程（上报→处置闭环）支持动态滚动和图表联动。</w:t>
            </w:r>
          </w:p>
        </w:tc>
      </w:tr>
      <w:tr w14:paraId="0269888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3C70DF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68</w:t>
            </w:r>
          </w:p>
        </w:tc>
        <w:tc>
          <w:tcPr>
            <w:tcW w:w="1143" w:type="pct"/>
            <w:tcBorders>
              <w:top w:val="nil"/>
              <w:left w:val="nil"/>
              <w:bottom w:val="single" w:color="000000" w:sz="4" w:space="0"/>
              <w:right w:val="single" w:color="000000" w:sz="4" w:space="0"/>
            </w:tcBorders>
            <w:vAlign w:val="center"/>
          </w:tcPr>
          <w:p w14:paraId="41D1FF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6D40C95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综合监管-叉车安全监管应用场景-叉车安全态势总览-核心关注指标</w:t>
            </w:r>
          </w:p>
        </w:tc>
        <w:tc>
          <w:tcPr>
            <w:tcW w:w="2158" w:type="pct"/>
            <w:tcBorders>
              <w:top w:val="nil"/>
              <w:left w:val="nil"/>
              <w:bottom w:val="single" w:color="000000" w:sz="4" w:space="0"/>
              <w:right w:val="single" w:color="000000" w:sz="4" w:space="0"/>
            </w:tcBorders>
            <w:vAlign w:val="center"/>
          </w:tcPr>
          <w:p w14:paraId="1F9C4F5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全域叉车安全总览：实时统计本地管理的在用设备数（区分本地外地注册设备）、停用设备数、智慧终端覆盖率、健康度、在线率、当月检查数、当月检验数等核心指标，结合地图展示设备使用区域，支持一键钻取街镇详情。</w:t>
            </w:r>
          </w:p>
        </w:tc>
      </w:tr>
      <w:tr w14:paraId="56CC549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EA407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69</w:t>
            </w:r>
          </w:p>
        </w:tc>
        <w:tc>
          <w:tcPr>
            <w:tcW w:w="1143" w:type="pct"/>
            <w:tcBorders>
              <w:top w:val="nil"/>
              <w:left w:val="nil"/>
              <w:bottom w:val="single" w:color="000000" w:sz="4" w:space="0"/>
              <w:right w:val="single" w:color="000000" w:sz="4" w:space="0"/>
            </w:tcBorders>
            <w:vAlign w:val="center"/>
          </w:tcPr>
          <w:p w14:paraId="55DD2F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54F9C0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综合监管-叉车安全监管应用场景-叉车安全态势总览-风险告警</w:t>
            </w:r>
          </w:p>
        </w:tc>
        <w:tc>
          <w:tcPr>
            <w:tcW w:w="2158" w:type="pct"/>
            <w:tcBorders>
              <w:top w:val="nil"/>
              <w:left w:val="nil"/>
              <w:bottom w:val="single" w:color="000000" w:sz="4" w:space="0"/>
              <w:right w:val="single" w:color="000000" w:sz="4" w:space="0"/>
            </w:tcBorders>
            <w:vAlign w:val="center"/>
          </w:tcPr>
          <w:p w14:paraId="6C4D52A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1、不安全行为智能识别：对接叉车智慧终端AI识别数据，实时监测超速、离岗、电子围栏越界等违章行为，上报监管。</w:t>
            </w:r>
            <w:r>
              <w:rPr>
                <w:rFonts w:hint="eastAsia" w:cs="宋体"/>
                <w:color w:val="auto"/>
                <w:kern w:val="0"/>
                <w:sz w:val="22"/>
                <w:szCs w:val="22"/>
              </w:rPr>
              <w:br w:type="textWrapping"/>
            </w:r>
            <w:r>
              <w:rPr>
                <w:rFonts w:hint="eastAsia" w:cs="宋体"/>
                <w:color w:val="auto"/>
                <w:kern w:val="0"/>
                <w:sz w:val="22"/>
                <w:szCs w:val="22"/>
              </w:rPr>
              <w:t>2、应急事件实时提醒：对叉车违章行为实时触发红色闪跳预警，记录响应时效并生成事件信息。</w:t>
            </w:r>
          </w:p>
        </w:tc>
      </w:tr>
      <w:tr w14:paraId="258F1FC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80D5F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70</w:t>
            </w:r>
          </w:p>
        </w:tc>
        <w:tc>
          <w:tcPr>
            <w:tcW w:w="1143" w:type="pct"/>
            <w:tcBorders>
              <w:top w:val="nil"/>
              <w:left w:val="nil"/>
              <w:bottom w:val="single" w:color="000000" w:sz="4" w:space="0"/>
              <w:right w:val="single" w:color="000000" w:sz="4" w:space="0"/>
            </w:tcBorders>
            <w:vAlign w:val="center"/>
          </w:tcPr>
          <w:p w14:paraId="42E46F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1A7A31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综合监管-叉车安全监管应用场景-叉车安全态势总览-区域安全效能排名</w:t>
            </w:r>
          </w:p>
        </w:tc>
        <w:tc>
          <w:tcPr>
            <w:tcW w:w="2158" w:type="pct"/>
            <w:tcBorders>
              <w:top w:val="nil"/>
              <w:left w:val="nil"/>
              <w:bottom w:val="single" w:color="000000" w:sz="4" w:space="0"/>
              <w:right w:val="single" w:color="000000" w:sz="4" w:space="0"/>
            </w:tcBorders>
            <w:vAlign w:val="center"/>
          </w:tcPr>
          <w:p w14:paraId="30D90D3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按区域展示叉车注册量、在用量、智慧终端接入量排名（月/年），生成安全效能排行榜，支持分析薄弱区域。</w:t>
            </w:r>
          </w:p>
        </w:tc>
      </w:tr>
      <w:tr w14:paraId="6F932E6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966C5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71</w:t>
            </w:r>
          </w:p>
        </w:tc>
        <w:tc>
          <w:tcPr>
            <w:tcW w:w="1143" w:type="pct"/>
            <w:tcBorders>
              <w:top w:val="nil"/>
              <w:left w:val="nil"/>
              <w:bottom w:val="single" w:color="000000" w:sz="4" w:space="0"/>
              <w:right w:val="single" w:color="000000" w:sz="4" w:space="0"/>
            </w:tcBorders>
            <w:vAlign w:val="center"/>
          </w:tcPr>
          <w:p w14:paraId="70774D1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3340506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综合监管-叉车安全监管应用场景-叉车安全执法监督-主体责任落实</w:t>
            </w:r>
          </w:p>
        </w:tc>
        <w:tc>
          <w:tcPr>
            <w:tcW w:w="2158" w:type="pct"/>
            <w:tcBorders>
              <w:top w:val="nil"/>
              <w:left w:val="nil"/>
              <w:bottom w:val="single" w:color="000000" w:sz="4" w:space="0"/>
              <w:right w:val="single" w:color="000000" w:sz="4" w:space="0"/>
            </w:tcBorders>
            <w:vAlign w:val="center"/>
          </w:tcPr>
          <w:p w14:paraId="034BA97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1、生产主体分析  汇总叉车生产单位、制造/修理单位、使用单位数量，分析主体责任履行情况，生成分类图表。</w:t>
            </w:r>
            <w:r>
              <w:rPr>
                <w:rFonts w:hint="eastAsia" w:cs="宋体"/>
                <w:color w:val="auto"/>
                <w:kern w:val="0"/>
                <w:sz w:val="22"/>
                <w:szCs w:val="22"/>
              </w:rPr>
              <w:br w:type="textWrapping"/>
            </w:r>
            <w:r>
              <w:rPr>
                <w:rFonts w:hint="eastAsia" w:cs="宋体"/>
                <w:color w:val="auto"/>
                <w:kern w:val="0"/>
                <w:sz w:val="22"/>
                <w:szCs w:val="22"/>
              </w:rPr>
              <w:t>2、安全责任落实  统计租赁单位数、物流园区数、司机人数、安全总监人数、安全员人数、安全巡查数、违章/突发事件总数等，对安全责任落实情况进行分析。</w:t>
            </w:r>
          </w:p>
        </w:tc>
      </w:tr>
      <w:tr w14:paraId="344A022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246A1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72</w:t>
            </w:r>
          </w:p>
        </w:tc>
        <w:tc>
          <w:tcPr>
            <w:tcW w:w="1143" w:type="pct"/>
            <w:tcBorders>
              <w:top w:val="nil"/>
              <w:left w:val="nil"/>
              <w:bottom w:val="single" w:color="000000" w:sz="4" w:space="0"/>
              <w:right w:val="single" w:color="000000" w:sz="4" w:space="0"/>
            </w:tcBorders>
            <w:vAlign w:val="center"/>
          </w:tcPr>
          <w:p w14:paraId="6425EA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5F9433A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综合监管-叉车安全监管应用场景-叉车安全执法监督-监督检查</w:t>
            </w:r>
          </w:p>
        </w:tc>
        <w:tc>
          <w:tcPr>
            <w:tcW w:w="2158" w:type="pct"/>
            <w:tcBorders>
              <w:top w:val="nil"/>
              <w:left w:val="nil"/>
              <w:bottom w:val="single" w:color="000000" w:sz="4" w:space="0"/>
              <w:right w:val="single" w:color="000000" w:sz="4" w:space="0"/>
            </w:tcBorders>
            <w:vAlign w:val="center"/>
          </w:tcPr>
          <w:p w14:paraId="700AAE7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1、检查任务管理  实时展示按检查类别（常规检查、证后检查、专项检查、其他检查）统计完成情况，联动展示待执行任务百分比、出动人次数、抽查设备数等。</w:t>
            </w:r>
            <w:r>
              <w:rPr>
                <w:rFonts w:hint="eastAsia" w:cs="宋体"/>
                <w:color w:val="auto"/>
                <w:kern w:val="0"/>
                <w:sz w:val="22"/>
                <w:szCs w:val="22"/>
              </w:rPr>
              <w:br w:type="textWrapping"/>
            </w:r>
            <w:r>
              <w:rPr>
                <w:rFonts w:hint="eastAsia" w:cs="宋体"/>
                <w:color w:val="auto"/>
                <w:kern w:val="0"/>
                <w:sz w:val="22"/>
                <w:szCs w:val="22"/>
              </w:rPr>
              <w:t>2、隐患问题分析  统计发现问题总数，生成待整改/已整改占比图表，并接入行政执法数据（立案数、罚没款等），生成治理成效图表。</w:t>
            </w:r>
          </w:p>
        </w:tc>
      </w:tr>
      <w:tr w14:paraId="621BBD7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EB7EBC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73</w:t>
            </w:r>
          </w:p>
        </w:tc>
        <w:tc>
          <w:tcPr>
            <w:tcW w:w="1143" w:type="pct"/>
            <w:tcBorders>
              <w:top w:val="nil"/>
              <w:left w:val="nil"/>
              <w:bottom w:val="single" w:color="000000" w:sz="4" w:space="0"/>
              <w:right w:val="single" w:color="000000" w:sz="4" w:space="0"/>
            </w:tcBorders>
            <w:vAlign w:val="center"/>
          </w:tcPr>
          <w:p w14:paraId="135AFA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06A873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综合监管-叉车安全监管应用场景-叉车安全执法监督-叉车检验</w:t>
            </w:r>
          </w:p>
        </w:tc>
        <w:tc>
          <w:tcPr>
            <w:tcW w:w="2158" w:type="pct"/>
            <w:tcBorders>
              <w:top w:val="nil"/>
              <w:left w:val="nil"/>
              <w:bottom w:val="single" w:color="000000" w:sz="4" w:space="0"/>
              <w:right w:val="single" w:color="000000" w:sz="4" w:space="0"/>
            </w:tcBorders>
            <w:vAlign w:val="center"/>
          </w:tcPr>
          <w:p w14:paraId="3D568B1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检验数据监控：按年统计首次监督检验设备数、定期检验设备数、一次检验合格率、检验超期率等、已检验外地叉车数（即在外地办理使用登记在上海检验的叉车数）、在外地检验叉车数（即产权单位注册地在上海，且提供了外地检验报告的叉车数），分析本地/外地检验叉车安全情况。</w:t>
            </w:r>
          </w:p>
        </w:tc>
      </w:tr>
      <w:tr w14:paraId="1BB20B5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2D7A4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74</w:t>
            </w:r>
          </w:p>
        </w:tc>
        <w:tc>
          <w:tcPr>
            <w:tcW w:w="1143" w:type="pct"/>
            <w:tcBorders>
              <w:top w:val="nil"/>
              <w:left w:val="nil"/>
              <w:bottom w:val="single" w:color="000000" w:sz="4" w:space="0"/>
              <w:right w:val="single" w:color="000000" w:sz="4" w:space="0"/>
            </w:tcBorders>
            <w:vAlign w:val="center"/>
          </w:tcPr>
          <w:p w14:paraId="258C8F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w:t>
            </w:r>
          </w:p>
        </w:tc>
        <w:tc>
          <w:tcPr>
            <w:tcW w:w="1175" w:type="pct"/>
            <w:tcBorders>
              <w:top w:val="nil"/>
              <w:left w:val="nil"/>
              <w:bottom w:val="single" w:color="000000" w:sz="4" w:space="0"/>
              <w:right w:val="single" w:color="000000" w:sz="4" w:space="0"/>
            </w:tcBorders>
            <w:vAlign w:val="center"/>
          </w:tcPr>
          <w:p w14:paraId="288B16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综合监管-叉车安全监管应用场景-叉车安全执法监督-作业人员资质</w:t>
            </w:r>
          </w:p>
        </w:tc>
        <w:tc>
          <w:tcPr>
            <w:tcW w:w="2158" w:type="pct"/>
            <w:tcBorders>
              <w:top w:val="nil"/>
              <w:left w:val="nil"/>
              <w:bottom w:val="single" w:color="000000" w:sz="4" w:space="0"/>
              <w:right w:val="single" w:color="000000" w:sz="4" w:space="0"/>
            </w:tcBorders>
            <w:vAlign w:val="center"/>
          </w:tcPr>
          <w:p w14:paraId="3C15C94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人员资质画像：统计作业人员取证数、备案数、超期人数，分析性别、年龄、学历分布，识别无证上岗、资质造假风险表。</w:t>
            </w:r>
          </w:p>
        </w:tc>
      </w:tr>
      <w:tr w14:paraId="7D600E7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7B9382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75</w:t>
            </w:r>
          </w:p>
        </w:tc>
        <w:tc>
          <w:tcPr>
            <w:tcW w:w="1143" w:type="pct"/>
            <w:tcBorders>
              <w:top w:val="nil"/>
              <w:left w:val="nil"/>
              <w:bottom w:val="single" w:color="000000" w:sz="4" w:space="0"/>
              <w:right w:val="single" w:color="000000" w:sz="4" w:space="0"/>
            </w:tcBorders>
            <w:vAlign w:val="center"/>
          </w:tcPr>
          <w:p w14:paraId="171343E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791923B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电子证据统一管理-电子证据上传-证据信息录入</w:t>
            </w:r>
          </w:p>
        </w:tc>
        <w:tc>
          <w:tcPr>
            <w:tcW w:w="2158" w:type="pct"/>
            <w:tcBorders>
              <w:top w:val="nil"/>
              <w:left w:val="nil"/>
              <w:bottom w:val="single" w:color="000000" w:sz="4" w:space="0"/>
              <w:right w:val="single" w:color="000000" w:sz="4" w:space="0"/>
            </w:tcBorders>
            <w:vAlign w:val="center"/>
          </w:tcPr>
          <w:p w14:paraId="5AACF18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允许用户在上传文件时填写相关的证据信息，如证据名称、描述、相关案件、证据关联人员信息等。针对不同类型的证据文件自动采集其本身具有的属性。</w:t>
            </w:r>
          </w:p>
        </w:tc>
      </w:tr>
      <w:tr w14:paraId="48B6DDB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38183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76</w:t>
            </w:r>
          </w:p>
        </w:tc>
        <w:tc>
          <w:tcPr>
            <w:tcW w:w="1143" w:type="pct"/>
            <w:tcBorders>
              <w:top w:val="nil"/>
              <w:left w:val="nil"/>
              <w:bottom w:val="single" w:color="000000" w:sz="4" w:space="0"/>
              <w:right w:val="single" w:color="000000" w:sz="4" w:space="0"/>
            </w:tcBorders>
            <w:vAlign w:val="center"/>
          </w:tcPr>
          <w:p w14:paraId="27DDC35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30D6BBF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电子证据统一管理-电子证据上传-证据数据校验</w:t>
            </w:r>
          </w:p>
        </w:tc>
        <w:tc>
          <w:tcPr>
            <w:tcW w:w="2158" w:type="pct"/>
            <w:tcBorders>
              <w:top w:val="nil"/>
              <w:left w:val="nil"/>
              <w:bottom w:val="single" w:color="000000" w:sz="4" w:space="0"/>
              <w:right w:val="single" w:color="000000" w:sz="4" w:space="0"/>
            </w:tcBorders>
            <w:vAlign w:val="center"/>
          </w:tcPr>
          <w:p w14:paraId="33460B8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支持案件证据校验，按照不同案件所要求的证据内容和法律依据，实现案件证据校验，保证质效，实现完整性校验。</w:t>
            </w:r>
            <w:r>
              <w:rPr>
                <w:rFonts w:hint="eastAsia" w:cs="宋体"/>
                <w:color w:val="auto"/>
                <w:kern w:val="0"/>
                <w:sz w:val="22"/>
                <w:szCs w:val="22"/>
              </w:rPr>
              <w:br w:type="textWrapping"/>
            </w:r>
            <w:r>
              <w:rPr>
                <w:rFonts w:hint="eastAsia" w:cs="宋体"/>
                <w:color w:val="auto"/>
                <w:kern w:val="0"/>
                <w:sz w:val="22"/>
                <w:szCs w:val="22"/>
              </w:rPr>
              <w:t>身份证校验、营业执照校验，房产信息校验等，身份证调用总局身份核验接口实现身份证合规校验，执照信息调用总局电子营业执照接口实现执照合规校验，房产信息调用接口实现合规校验。</w:t>
            </w:r>
          </w:p>
        </w:tc>
      </w:tr>
      <w:tr w14:paraId="263497B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84C8E0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77</w:t>
            </w:r>
          </w:p>
        </w:tc>
        <w:tc>
          <w:tcPr>
            <w:tcW w:w="1143" w:type="pct"/>
            <w:tcBorders>
              <w:top w:val="nil"/>
              <w:left w:val="nil"/>
              <w:bottom w:val="single" w:color="000000" w:sz="4" w:space="0"/>
              <w:right w:val="single" w:color="000000" w:sz="4" w:space="0"/>
            </w:tcBorders>
            <w:vAlign w:val="center"/>
          </w:tcPr>
          <w:p w14:paraId="6551E6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2B4B003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电子证据统一管理-电子证据上传-证据上传</w:t>
            </w:r>
          </w:p>
        </w:tc>
        <w:tc>
          <w:tcPr>
            <w:tcW w:w="2158" w:type="pct"/>
            <w:tcBorders>
              <w:top w:val="nil"/>
              <w:left w:val="nil"/>
              <w:bottom w:val="single" w:color="000000" w:sz="4" w:space="0"/>
              <w:right w:val="single" w:color="000000" w:sz="4" w:space="0"/>
            </w:tcBorders>
            <w:vAlign w:val="center"/>
          </w:tcPr>
          <w:p w14:paraId="667155C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一个或多个接口供用户上传证据文件。支持多种文件格式包括PDF、图片、视频、音频文件。文件支持同时上传一个或者多个。不同类型的证据文件分类上传，分类录入证据相关的信息。支持一键图片与视频上传或者手动选择上传、支持单个上传和批量上传。</w:t>
            </w:r>
          </w:p>
        </w:tc>
      </w:tr>
      <w:tr w14:paraId="0A210D4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A9D2B4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78</w:t>
            </w:r>
          </w:p>
        </w:tc>
        <w:tc>
          <w:tcPr>
            <w:tcW w:w="1143" w:type="pct"/>
            <w:tcBorders>
              <w:top w:val="nil"/>
              <w:left w:val="nil"/>
              <w:bottom w:val="single" w:color="000000" w:sz="4" w:space="0"/>
              <w:right w:val="single" w:color="000000" w:sz="4" w:space="0"/>
            </w:tcBorders>
            <w:vAlign w:val="center"/>
          </w:tcPr>
          <w:p w14:paraId="4D3288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2DCB1D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电子证据统一管理-电子证据上传-证据上传日志记录</w:t>
            </w:r>
          </w:p>
        </w:tc>
        <w:tc>
          <w:tcPr>
            <w:tcW w:w="2158" w:type="pct"/>
            <w:tcBorders>
              <w:top w:val="nil"/>
              <w:left w:val="nil"/>
              <w:bottom w:val="single" w:color="000000" w:sz="4" w:space="0"/>
              <w:right w:val="single" w:color="000000" w:sz="4" w:space="0"/>
            </w:tcBorders>
            <w:vAlign w:val="center"/>
          </w:tcPr>
          <w:p w14:paraId="415E37D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记录所有上传操作的日志。对监控证据上传过程中可能出现的错误或异常进行记录并处理。</w:t>
            </w:r>
          </w:p>
        </w:tc>
      </w:tr>
      <w:tr w14:paraId="7E6DB77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DE7AF5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79</w:t>
            </w:r>
          </w:p>
        </w:tc>
        <w:tc>
          <w:tcPr>
            <w:tcW w:w="1143" w:type="pct"/>
            <w:tcBorders>
              <w:top w:val="nil"/>
              <w:left w:val="nil"/>
              <w:bottom w:val="single" w:color="000000" w:sz="4" w:space="0"/>
              <w:right w:val="single" w:color="000000" w:sz="4" w:space="0"/>
            </w:tcBorders>
            <w:vAlign w:val="center"/>
          </w:tcPr>
          <w:p w14:paraId="1B7D7F1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125EC55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电子证据统一管理-电子证据数据接入-电子证据归集标准接口</w:t>
            </w:r>
          </w:p>
        </w:tc>
        <w:tc>
          <w:tcPr>
            <w:tcW w:w="2158" w:type="pct"/>
            <w:tcBorders>
              <w:top w:val="nil"/>
              <w:left w:val="nil"/>
              <w:bottom w:val="single" w:color="000000" w:sz="4" w:space="0"/>
              <w:right w:val="single" w:color="000000" w:sz="4" w:space="0"/>
            </w:tcBorders>
            <w:vAlign w:val="center"/>
          </w:tcPr>
          <w:p w14:paraId="397D3E3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标准接口调用，将疑难复杂案件证据数据推送给电子出征系统，通过系统完成疑难复杂案件取证的电子系统出证，并将固证结果信息推送给电子取证系统。开发电子证据平台的标准接口，用于有条件的业务系统或第三方平台对接，实在证据数据的自动上传。包括用户认证、证据数据信息同步、证据上传、证据查询、证据管理、证据验证、证据共享、证据审计等接口。</w:t>
            </w:r>
            <w:r>
              <w:rPr>
                <w:rFonts w:hint="eastAsia" w:cs="宋体"/>
                <w:color w:val="auto"/>
                <w:kern w:val="0"/>
                <w:sz w:val="22"/>
                <w:szCs w:val="22"/>
              </w:rPr>
              <w:br w:type="textWrapping"/>
            </w:r>
            <w:r>
              <w:rPr>
                <w:rFonts w:hint="eastAsia" w:cs="宋体"/>
                <w:color w:val="auto"/>
                <w:kern w:val="0"/>
                <w:sz w:val="22"/>
                <w:szCs w:val="22"/>
              </w:rPr>
              <w:t>用户认证接口 用于用户登录和获取访问令牌。</w:t>
            </w:r>
            <w:r>
              <w:rPr>
                <w:rFonts w:hint="eastAsia" w:cs="宋体"/>
                <w:color w:val="auto"/>
                <w:kern w:val="0"/>
                <w:sz w:val="22"/>
                <w:szCs w:val="22"/>
              </w:rPr>
              <w:br w:type="textWrapping"/>
            </w:r>
            <w:r>
              <w:rPr>
                <w:rFonts w:hint="eastAsia" w:cs="宋体"/>
                <w:color w:val="auto"/>
                <w:kern w:val="0"/>
                <w:sz w:val="22"/>
                <w:szCs w:val="22"/>
              </w:rPr>
              <w:t>证据上传接口 允许用户上传证据文件。同时对上传接口的大小、时限等进行设置。</w:t>
            </w:r>
            <w:r>
              <w:rPr>
                <w:rFonts w:hint="eastAsia" w:cs="宋体"/>
                <w:color w:val="auto"/>
                <w:kern w:val="0"/>
                <w:sz w:val="22"/>
                <w:szCs w:val="22"/>
              </w:rPr>
              <w:br w:type="textWrapping"/>
            </w:r>
            <w:r>
              <w:rPr>
                <w:rFonts w:hint="eastAsia" w:cs="宋体"/>
                <w:color w:val="auto"/>
                <w:kern w:val="0"/>
                <w:sz w:val="22"/>
                <w:szCs w:val="22"/>
              </w:rPr>
              <w:t>证据查询接口 提供证据的搜索和查询功能。</w:t>
            </w:r>
            <w:r>
              <w:rPr>
                <w:rFonts w:hint="eastAsia" w:cs="宋体"/>
                <w:color w:val="auto"/>
                <w:kern w:val="0"/>
                <w:sz w:val="22"/>
                <w:szCs w:val="22"/>
              </w:rPr>
              <w:br w:type="textWrapping"/>
            </w:r>
            <w:r>
              <w:rPr>
                <w:rFonts w:hint="eastAsia" w:cs="宋体"/>
                <w:color w:val="auto"/>
                <w:kern w:val="0"/>
                <w:sz w:val="22"/>
                <w:szCs w:val="22"/>
              </w:rPr>
              <w:t>证据管理接口 包括证据的修改、删除、分类等管理功能。</w:t>
            </w:r>
            <w:r>
              <w:rPr>
                <w:rFonts w:hint="eastAsia" w:cs="宋体"/>
                <w:color w:val="auto"/>
                <w:kern w:val="0"/>
                <w:sz w:val="22"/>
                <w:szCs w:val="22"/>
              </w:rPr>
              <w:br w:type="textWrapping"/>
            </w:r>
            <w:r>
              <w:rPr>
                <w:rFonts w:hint="eastAsia" w:cs="宋体"/>
                <w:color w:val="auto"/>
                <w:kern w:val="0"/>
                <w:sz w:val="22"/>
                <w:szCs w:val="22"/>
              </w:rPr>
              <w:t>证据验证接口 用于验证证据的完整性和真实性。</w:t>
            </w:r>
            <w:r>
              <w:rPr>
                <w:rFonts w:hint="eastAsia" w:cs="宋体"/>
                <w:color w:val="auto"/>
                <w:kern w:val="0"/>
                <w:sz w:val="22"/>
                <w:szCs w:val="22"/>
              </w:rPr>
              <w:br w:type="textWrapping"/>
            </w:r>
            <w:r>
              <w:rPr>
                <w:rFonts w:hint="eastAsia" w:cs="宋体"/>
                <w:color w:val="auto"/>
                <w:kern w:val="0"/>
                <w:sz w:val="22"/>
                <w:szCs w:val="22"/>
              </w:rPr>
              <w:t>证据共享接口 允许证据在不同业务系统或用户之间共享。</w:t>
            </w:r>
            <w:r>
              <w:rPr>
                <w:rFonts w:hint="eastAsia" w:cs="宋体"/>
                <w:color w:val="auto"/>
                <w:kern w:val="0"/>
                <w:sz w:val="22"/>
                <w:szCs w:val="22"/>
              </w:rPr>
              <w:br w:type="textWrapping"/>
            </w:r>
            <w:r>
              <w:rPr>
                <w:rFonts w:hint="eastAsia" w:cs="宋体"/>
                <w:color w:val="auto"/>
                <w:kern w:val="0"/>
                <w:sz w:val="22"/>
                <w:szCs w:val="22"/>
              </w:rPr>
              <w:t>证据下载接口 提供证据的下载功能。</w:t>
            </w:r>
            <w:r>
              <w:rPr>
                <w:rFonts w:hint="eastAsia" w:cs="宋体"/>
                <w:color w:val="auto"/>
                <w:kern w:val="0"/>
                <w:sz w:val="22"/>
                <w:szCs w:val="22"/>
              </w:rPr>
              <w:br w:type="textWrapping"/>
            </w:r>
            <w:r>
              <w:rPr>
                <w:rFonts w:hint="eastAsia" w:cs="宋体"/>
                <w:color w:val="auto"/>
                <w:kern w:val="0"/>
                <w:sz w:val="22"/>
                <w:szCs w:val="22"/>
              </w:rPr>
              <w:t>证据审计接口 记录证据的使用和访问历史。</w:t>
            </w:r>
          </w:p>
        </w:tc>
      </w:tr>
      <w:tr w14:paraId="5B98C45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7BDEE3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80</w:t>
            </w:r>
          </w:p>
        </w:tc>
        <w:tc>
          <w:tcPr>
            <w:tcW w:w="1143" w:type="pct"/>
            <w:tcBorders>
              <w:top w:val="nil"/>
              <w:left w:val="nil"/>
              <w:bottom w:val="single" w:color="000000" w:sz="4" w:space="0"/>
              <w:right w:val="single" w:color="000000" w:sz="4" w:space="0"/>
            </w:tcBorders>
            <w:vAlign w:val="center"/>
          </w:tcPr>
          <w:p w14:paraId="5657ABC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29D364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电子证据统一管理-电子证据数据接入-行政处罚和执法监系统对接</w:t>
            </w:r>
          </w:p>
        </w:tc>
        <w:tc>
          <w:tcPr>
            <w:tcW w:w="2158" w:type="pct"/>
            <w:tcBorders>
              <w:top w:val="nil"/>
              <w:left w:val="nil"/>
              <w:bottom w:val="single" w:color="000000" w:sz="4" w:space="0"/>
              <w:right w:val="single" w:color="000000" w:sz="4" w:space="0"/>
            </w:tcBorders>
            <w:vAlign w:val="center"/>
          </w:tcPr>
          <w:p w14:paraId="0BE81D4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与行政处罚和执法监管系统对接，获取案件相关数据，通过电子证据平台完成案件的电子证据固证、系统出证，并将固证结果信息推送给政处罚和执法监管系统。</w:t>
            </w:r>
          </w:p>
        </w:tc>
      </w:tr>
      <w:tr w14:paraId="15E633E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6DDFE7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81</w:t>
            </w:r>
          </w:p>
        </w:tc>
        <w:tc>
          <w:tcPr>
            <w:tcW w:w="1143" w:type="pct"/>
            <w:tcBorders>
              <w:top w:val="nil"/>
              <w:left w:val="nil"/>
              <w:bottom w:val="single" w:color="000000" w:sz="4" w:space="0"/>
              <w:right w:val="single" w:color="000000" w:sz="4" w:space="0"/>
            </w:tcBorders>
            <w:vAlign w:val="center"/>
          </w:tcPr>
          <w:p w14:paraId="7348E03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5848258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电子证据统一管理-电子证据数据处理-数据清理</w:t>
            </w:r>
          </w:p>
        </w:tc>
        <w:tc>
          <w:tcPr>
            <w:tcW w:w="2158" w:type="pct"/>
            <w:tcBorders>
              <w:top w:val="nil"/>
              <w:left w:val="nil"/>
              <w:bottom w:val="single" w:color="000000" w:sz="4" w:space="0"/>
              <w:right w:val="single" w:color="000000" w:sz="4" w:space="0"/>
            </w:tcBorders>
            <w:vAlign w:val="center"/>
          </w:tcPr>
          <w:p w14:paraId="4399C7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去除重复的证据数据，避免数据冗余。例如执法人员在不同时间上传了同一场景的重复照片，需要进行去重处理，暂定系统识别给与上传人员提示，由上传人员在暂存区进行删除操作。</w:t>
            </w:r>
            <w:r>
              <w:rPr>
                <w:rFonts w:hint="eastAsia" w:cs="宋体"/>
                <w:color w:val="auto"/>
                <w:kern w:val="0"/>
                <w:sz w:val="22"/>
                <w:szCs w:val="22"/>
              </w:rPr>
              <w:br w:type="textWrapping"/>
            </w:r>
            <w:r>
              <w:rPr>
                <w:rFonts w:hint="eastAsia" w:cs="宋体"/>
                <w:color w:val="auto"/>
                <w:kern w:val="0"/>
                <w:sz w:val="22"/>
                <w:szCs w:val="22"/>
              </w:rPr>
              <w:t>处理缺失值，根据数据的特点和业务需求，处理。修正错误数据，如日期格式错误、数据录入错误等。</w:t>
            </w:r>
          </w:p>
        </w:tc>
      </w:tr>
      <w:tr w14:paraId="1681000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052C70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82</w:t>
            </w:r>
          </w:p>
        </w:tc>
        <w:tc>
          <w:tcPr>
            <w:tcW w:w="1143" w:type="pct"/>
            <w:tcBorders>
              <w:top w:val="nil"/>
              <w:left w:val="nil"/>
              <w:bottom w:val="single" w:color="000000" w:sz="4" w:space="0"/>
              <w:right w:val="single" w:color="000000" w:sz="4" w:space="0"/>
            </w:tcBorders>
            <w:vAlign w:val="center"/>
          </w:tcPr>
          <w:p w14:paraId="24DC735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52F662B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电子证据统一管理-电子证据数据处理-证据数据标注</w:t>
            </w:r>
          </w:p>
        </w:tc>
        <w:tc>
          <w:tcPr>
            <w:tcW w:w="2158" w:type="pct"/>
            <w:tcBorders>
              <w:top w:val="nil"/>
              <w:left w:val="nil"/>
              <w:bottom w:val="single" w:color="000000" w:sz="4" w:space="0"/>
              <w:right w:val="single" w:color="000000" w:sz="4" w:space="0"/>
            </w:tcBorders>
            <w:vAlign w:val="center"/>
          </w:tcPr>
          <w:p w14:paraId="2B49BAF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执法人员对证据进行详细的标注，包括证据的名称、来源、采集时间、采集地点、采集人员等信息。这些标注信息将有助于后续的证据关联和查询。</w:t>
            </w:r>
            <w:r>
              <w:rPr>
                <w:rFonts w:hint="eastAsia" w:cs="宋体"/>
                <w:color w:val="auto"/>
                <w:kern w:val="0"/>
                <w:sz w:val="22"/>
                <w:szCs w:val="22"/>
              </w:rPr>
              <w:br w:type="textWrapping"/>
            </w:r>
            <w:r>
              <w:rPr>
                <w:rFonts w:hint="eastAsia" w:cs="宋体"/>
                <w:color w:val="auto"/>
                <w:kern w:val="0"/>
                <w:sz w:val="22"/>
                <w:szCs w:val="22"/>
              </w:rPr>
              <w:t>支持对证据进行分类标注，如现场勘查证据、证人证言证据、物证等，以便更好地组织和管理证据。</w:t>
            </w:r>
          </w:p>
        </w:tc>
      </w:tr>
      <w:tr w14:paraId="4E4645D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CD45D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83</w:t>
            </w:r>
          </w:p>
        </w:tc>
        <w:tc>
          <w:tcPr>
            <w:tcW w:w="1143" w:type="pct"/>
            <w:tcBorders>
              <w:top w:val="nil"/>
              <w:left w:val="nil"/>
              <w:bottom w:val="single" w:color="000000" w:sz="4" w:space="0"/>
              <w:right w:val="single" w:color="000000" w:sz="4" w:space="0"/>
            </w:tcBorders>
            <w:vAlign w:val="center"/>
          </w:tcPr>
          <w:p w14:paraId="62C33C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773A8B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电子证据统一管理-电子证据上链应用-数据上链存证</w:t>
            </w:r>
          </w:p>
        </w:tc>
        <w:tc>
          <w:tcPr>
            <w:tcW w:w="2158" w:type="pct"/>
            <w:tcBorders>
              <w:top w:val="nil"/>
              <w:left w:val="nil"/>
              <w:bottom w:val="single" w:color="000000" w:sz="4" w:space="0"/>
              <w:right w:val="single" w:color="000000" w:sz="4" w:space="0"/>
            </w:tcBorders>
            <w:vAlign w:val="center"/>
          </w:tcPr>
          <w:p w14:paraId="3CB565C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电子证据平台对电子证据实现特征值上链，上链结果随文件入库。行政处罚系统对电子证据的使用实现特征值上链，上链结果随文件入库。</w:t>
            </w:r>
          </w:p>
        </w:tc>
      </w:tr>
      <w:tr w14:paraId="0D05237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7682EA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84</w:t>
            </w:r>
          </w:p>
        </w:tc>
        <w:tc>
          <w:tcPr>
            <w:tcW w:w="1143" w:type="pct"/>
            <w:tcBorders>
              <w:top w:val="nil"/>
              <w:left w:val="nil"/>
              <w:bottom w:val="single" w:color="000000" w:sz="4" w:space="0"/>
              <w:right w:val="single" w:color="000000" w:sz="4" w:space="0"/>
            </w:tcBorders>
            <w:vAlign w:val="center"/>
          </w:tcPr>
          <w:p w14:paraId="570C2B3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39DC3AC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电子证据统一管理-电子证据上链应用-证据核验</w:t>
            </w:r>
          </w:p>
        </w:tc>
        <w:tc>
          <w:tcPr>
            <w:tcW w:w="2158" w:type="pct"/>
            <w:tcBorders>
              <w:top w:val="nil"/>
              <w:left w:val="nil"/>
              <w:bottom w:val="single" w:color="000000" w:sz="4" w:space="0"/>
              <w:right w:val="single" w:color="000000" w:sz="4" w:space="0"/>
            </w:tcBorders>
            <w:vAlign w:val="center"/>
          </w:tcPr>
          <w:p w14:paraId="6CD6817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提供电子证据区块链核验接口，行政复议、行政诉讼时司法局或法院可调用核验接口，验证提交的电子证据是否篡改。</w:t>
            </w:r>
          </w:p>
        </w:tc>
      </w:tr>
      <w:tr w14:paraId="02EB7D6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0C116D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85</w:t>
            </w:r>
          </w:p>
        </w:tc>
        <w:tc>
          <w:tcPr>
            <w:tcW w:w="1143" w:type="pct"/>
            <w:tcBorders>
              <w:top w:val="nil"/>
              <w:left w:val="nil"/>
              <w:bottom w:val="single" w:color="000000" w:sz="4" w:space="0"/>
              <w:right w:val="single" w:color="000000" w:sz="4" w:space="0"/>
            </w:tcBorders>
            <w:vAlign w:val="center"/>
          </w:tcPr>
          <w:p w14:paraId="6BBD1B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079BD37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电子证据统一管理-电子证据上链应用-验证报告</w:t>
            </w:r>
          </w:p>
        </w:tc>
        <w:tc>
          <w:tcPr>
            <w:tcW w:w="2158" w:type="pct"/>
            <w:tcBorders>
              <w:top w:val="nil"/>
              <w:left w:val="nil"/>
              <w:bottom w:val="single" w:color="000000" w:sz="4" w:space="0"/>
              <w:right w:val="single" w:color="000000" w:sz="4" w:space="0"/>
            </w:tcBorders>
            <w:vAlign w:val="center"/>
          </w:tcPr>
          <w:p w14:paraId="5B5B7E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对于验证结果自动生成验证报告，支持验证报告的预览和下载。</w:t>
            </w:r>
          </w:p>
        </w:tc>
      </w:tr>
      <w:tr w14:paraId="0BF02E5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B466C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86</w:t>
            </w:r>
          </w:p>
        </w:tc>
        <w:tc>
          <w:tcPr>
            <w:tcW w:w="1143" w:type="pct"/>
            <w:tcBorders>
              <w:top w:val="nil"/>
              <w:left w:val="nil"/>
              <w:bottom w:val="single" w:color="000000" w:sz="4" w:space="0"/>
              <w:right w:val="single" w:color="000000" w:sz="4" w:space="0"/>
            </w:tcBorders>
            <w:vAlign w:val="center"/>
          </w:tcPr>
          <w:p w14:paraId="2C69B5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105E8B5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电子证据统一管理-电子证据上链应用-电子证据存证统计智能合约</w:t>
            </w:r>
          </w:p>
        </w:tc>
        <w:tc>
          <w:tcPr>
            <w:tcW w:w="2158" w:type="pct"/>
            <w:tcBorders>
              <w:top w:val="nil"/>
              <w:left w:val="nil"/>
              <w:bottom w:val="single" w:color="000000" w:sz="4" w:space="0"/>
              <w:right w:val="single" w:color="000000" w:sz="4" w:space="0"/>
            </w:tcBorders>
            <w:vAlign w:val="center"/>
          </w:tcPr>
          <w:p w14:paraId="4C7ACF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运用区块链技术开发电子证据存证统计智能合约，统计总共上链存证的数据量，并返回信息。</w:t>
            </w:r>
          </w:p>
        </w:tc>
      </w:tr>
      <w:tr w14:paraId="77ACF12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777A05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87</w:t>
            </w:r>
          </w:p>
        </w:tc>
        <w:tc>
          <w:tcPr>
            <w:tcW w:w="1143" w:type="pct"/>
            <w:tcBorders>
              <w:top w:val="nil"/>
              <w:left w:val="nil"/>
              <w:bottom w:val="single" w:color="000000" w:sz="4" w:space="0"/>
              <w:right w:val="single" w:color="000000" w:sz="4" w:space="0"/>
            </w:tcBorders>
            <w:vAlign w:val="center"/>
          </w:tcPr>
          <w:p w14:paraId="732FA62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54F7D78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电子证据统一管理-电子证据上链应用-上链情况和用链情况统计</w:t>
            </w:r>
          </w:p>
        </w:tc>
        <w:tc>
          <w:tcPr>
            <w:tcW w:w="2158" w:type="pct"/>
            <w:tcBorders>
              <w:top w:val="nil"/>
              <w:left w:val="nil"/>
              <w:bottom w:val="single" w:color="000000" w:sz="4" w:space="0"/>
              <w:right w:val="single" w:color="000000" w:sz="4" w:space="0"/>
            </w:tcBorders>
            <w:vAlign w:val="center"/>
          </w:tcPr>
          <w:p w14:paraId="67294F4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根据证据管理要求形成日月年相关报表，体现区块链上链使用情况。记录数据采集、哈希值计算、上链等操作的详细日志，便于追溯和审计，对接上海市政务区块链大屏。</w:t>
            </w:r>
          </w:p>
        </w:tc>
      </w:tr>
      <w:tr w14:paraId="3D3EBA7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6209F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88</w:t>
            </w:r>
          </w:p>
        </w:tc>
        <w:tc>
          <w:tcPr>
            <w:tcW w:w="1143" w:type="pct"/>
            <w:tcBorders>
              <w:top w:val="nil"/>
              <w:left w:val="nil"/>
              <w:bottom w:val="single" w:color="000000" w:sz="4" w:space="0"/>
              <w:right w:val="single" w:color="000000" w:sz="4" w:space="0"/>
            </w:tcBorders>
            <w:vAlign w:val="center"/>
          </w:tcPr>
          <w:p w14:paraId="497EFCD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08E50C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电子证据统一管理-系统出证-证据关联与引用</w:t>
            </w:r>
          </w:p>
        </w:tc>
        <w:tc>
          <w:tcPr>
            <w:tcW w:w="2158" w:type="pct"/>
            <w:tcBorders>
              <w:top w:val="nil"/>
              <w:left w:val="nil"/>
              <w:bottom w:val="single" w:color="000000" w:sz="4" w:space="0"/>
              <w:right w:val="single" w:color="000000" w:sz="4" w:space="0"/>
            </w:tcBorders>
            <w:vAlign w:val="center"/>
          </w:tcPr>
          <w:p w14:paraId="37066D8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将不同来源、不同格式、不同结构的电子证据数据进行关联整合，并入电子证据信息资源库，支撑各类监管业务和执法办案。开发可视化界面，支持证据之间以及证据与案件进行关联。包括手动关联和自动关联。</w:t>
            </w:r>
            <w:r>
              <w:rPr>
                <w:rFonts w:hint="eastAsia" w:cs="宋体"/>
                <w:color w:val="auto"/>
                <w:kern w:val="0"/>
                <w:sz w:val="22"/>
                <w:szCs w:val="22"/>
              </w:rPr>
              <w:br w:type="textWrapping"/>
            </w:r>
            <w:r>
              <w:rPr>
                <w:rFonts w:hint="eastAsia" w:cs="宋体"/>
                <w:color w:val="auto"/>
                <w:kern w:val="0"/>
                <w:sz w:val="22"/>
                <w:szCs w:val="22"/>
              </w:rPr>
              <w:t>执法人员能够手动将上传的证据与特定的案件进行关联。可以通过搜索案件编号或案件名称，选择要关联的证据文件，完成关联操作。支持批量关联功能，允许执法人员一次性将多个证据文件关联到同一个案件中。</w:t>
            </w:r>
            <w:r>
              <w:rPr>
                <w:rFonts w:hint="eastAsia" w:cs="宋体"/>
                <w:color w:val="auto"/>
                <w:kern w:val="0"/>
                <w:sz w:val="22"/>
                <w:szCs w:val="22"/>
              </w:rPr>
              <w:br w:type="textWrapping"/>
            </w:r>
            <w:r>
              <w:rPr>
                <w:rFonts w:hint="eastAsia" w:cs="宋体"/>
                <w:color w:val="auto"/>
                <w:kern w:val="0"/>
                <w:sz w:val="22"/>
                <w:szCs w:val="22"/>
              </w:rPr>
              <w:t>根据证据标注信息中的案件相关信息（如案件编号、市场主体名称或信用代码等），系统自动将证据与对应的案件进行关联。例如，如果证据标注中的获取时间和地点与某个案件的信息匹配，系统将自动将该证据关联到该案件中。针对业务处室提供的具有特定命名规则的证据文件，系统通过解析文件名中的案件信息，实现自动关联。</w:t>
            </w:r>
          </w:p>
        </w:tc>
      </w:tr>
      <w:tr w14:paraId="2AA98AC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B5F87C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89</w:t>
            </w:r>
          </w:p>
        </w:tc>
        <w:tc>
          <w:tcPr>
            <w:tcW w:w="1143" w:type="pct"/>
            <w:tcBorders>
              <w:top w:val="nil"/>
              <w:left w:val="nil"/>
              <w:bottom w:val="single" w:color="000000" w:sz="4" w:space="0"/>
              <w:right w:val="single" w:color="000000" w:sz="4" w:space="0"/>
            </w:tcBorders>
            <w:vAlign w:val="center"/>
          </w:tcPr>
          <w:p w14:paraId="6ED890F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5874A4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电子证据统一管理-电子证据目录-资源编目</w:t>
            </w:r>
          </w:p>
        </w:tc>
        <w:tc>
          <w:tcPr>
            <w:tcW w:w="2158" w:type="pct"/>
            <w:tcBorders>
              <w:top w:val="nil"/>
              <w:left w:val="nil"/>
              <w:bottom w:val="single" w:color="000000" w:sz="4" w:space="0"/>
              <w:right w:val="single" w:color="000000" w:sz="4" w:space="0"/>
            </w:tcBorders>
            <w:vAlign w:val="center"/>
          </w:tcPr>
          <w:p w14:paraId="5C9A194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将电子证据数据建立多级分类目录。基础分类分类。第一级拟按照证据类型划分，包括电子文档类、电子图片类、电子视频、电子数据、实物数字化证据等。第二类按照案件类型划分，如知识产权、反垄断等。第三级按照证据效力，如直接证据、间接证据、补强证据等。第四级按照保管期限等。增加动态标签和可扩展属性，支持根据个人需要进一步细分证据。</w:t>
            </w:r>
          </w:p>
        </w:tc>
      </w:tr>
      <w:tr w14:paraId="3BC49F5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40E612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90</w:t>
            </w:r>
          </w:p>
        </w:tc>
        <w:tc>
          <w:tcPr>
            <w:tcW w:w="1143" w:type="pct"/>
            <w:tcBorders>
              <w:top w:val="nil"/>
              <w:left w:val="nil"/>
              <w:bottom w:val="single" w:color="000000" w:sz="4" w:space="0"/>
              <w:right w:val="single" w:color="000000" w:sz="4" w:space="0"/>
            </w:tcBorders>
            <w:vAlign w:val="center"/>
          </w:tcPr>
          <w:p w14:paraId="13207D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6DABF4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电子证据统一管理-电子证据目录-电子证据展示</w:t>
            </w:r>
          </w:p>
        </w:tc>
        <w:tc>
          <w:tcPr>
            <w:tcW w:w="2158" w:type="pct"/>
            <w:tcBorders>
              <w:top w:val="nil"/>
              <w:left w:val="nil"/>
              <w:bottom w:val="single" w:color="000000" w:sz="4" w:space="0"/>
              <w:right w:val="single" w:color="000000" w:sz="4" w:space="0"/>
            </w:tcBorders>
            <w:vAlign w:val="center"/>
          </w:tcPr>
          <w:p w14:paraId="74219A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以时间轴形式展示同一案件的证据采集顺序，支持缩放查看时间密集区域的证据分布</w:t>
            </w:r>
          </w:p>
        </w:tc>
      </w:tr>
      <w:tr w14:paraId="02DD3F2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5E084B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91</w:t>
            </w:r>
          </w:p>
        </w:tc>
        <w:tc>
          <w:tcPr>
            <w:tcW w:w="1143" w:type="pct"/>
            <w:tcBorders>
              <w:top w:val="nil"/>
              <w:left w:val="nil"/>
              <w:bottom w:val="single" w:color="000000" w:sz="4" w:space="0"/>
              <w:right w:val="single" w:color="000000" w:sz="4" w:space="0"/>
            </w:tcBorders>
            <w:vAlign w:val="center"/>
          </w:tcPr>
          <w:p w14:paraId="6B84B35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698810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电子证据统一管理-电子证据多维管理及分析-电子证据检索与查询</w:t>
            </w:r>
          </w:p>
        </w:tc>
        <w:tc>
          <w:tcPr>
            <w:tcW w:w="2158" w:type="pct"/>
            <w:tcBorders>
              <w:top w:val="nil"/>
              <w:left w:val="nil"/>
              <w:bottom w:val="single" w:color="000000" w:sz="4" w:space="0"/>
              <w:right w:val="single" w:color="000000" w:sz="4" w:space="0"/>
            </w:tcBorders>
            <w:vAlign w:val="center"/>
          </w:tcPr>
          <w:p w14:paraId="3FFBC84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全文检索  提供一键式快速检索、高级检索和目录检索，通过输入案件、人员、时间等关键信息，帮助用户快速定位到相应的音视频等证据文件。</w:t>
            </w:r>
            <w:r>
              <w:rPr>
                <w:rFonts w:hint="eastAsia" w:cs="宋体"/>
                <w:color w:val="auto"/>
                <w:kern w:val="0"/>
                <w:sz w:val="22"/>
                <w:szCs w:val="22"/>
              </w:rPr>
              <w:br w:type="textWrapping"/>
            </w:r>
            <w:r>
              <w:rPr>
                <w:rFonts w:hint="eastAsia" w:cs="宋体"/>
                <w:color w:val="auto"/>
                <w:kern w:val="0"/>
                <w:sz w:val="22"/>
                <w:szCs w:val="22"/>
              </w:rPr>
              <w:t>组合查询  根据人员划分检索权限和检索内容，支持电子证据的组合条件查询。如支持时间范围、案件类型、案件编号、文件类型等多维度组合查询</w:t>
            </w:r>
          </w:p>
        </w:tc>
      </w:tr>
      <w:tr w14:paraId="64C300A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B532CD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92</w:t>
            </w:r>
          </w:p>
        </w:tc>
        <w:tc>
          <w:tcPr>
            <w:tcW w:w="1143" w:type="pct"/>
            <w:tcBorders>
              <w:top w:val="nil"/>
              <w:left w:val="nil"/>
              <w:bottom w:val="single" w:color="000000" w:sz="4" w:space="0"/>
              <w:right w:val="single" w:color="000000" w:sz="4" w:space="0"/>
            </w:tcBorders>
            <w:vAlign w:val="center"/>
          </w:tcPr>
          <w:p w14:paraId="6197ED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2E01A6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电子证据统一管理-电子证据多维管理及分析-电子证据调阅</w:t>
            </w:r>
          </w:p>
        </w:tc>
        <w:tc>
          <w:tcPr>
            <w:tcW w:w="2158" w:type="pct"/>
            <w:tcBorders>
              <w:top w:val="nil"/>
              <w:left w:val="nil"/>
              <w:bottom w:val="single" w:color="000000" w:sz="4" w:space="0"/>
              <w:right w:val="single" w:color="000000" w:sz="4" w:space="0"/>
            </w:tcBorders>
            <w:vAlign w:val="center"/>
          </w:tcPr>
          <w:p w14:paraId="710E9C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跨单位调阅  满足需要调阅其它单位执法人员上传的视音频文件的需求。需要时先向上级单位提出申请，经审批后即可查看和下载所需调阅的文件。</w:t>
            </w:r>
            <w:r>
              <w:rPr>
                <w:rFonts w:hint="eastAsia" w:cs="宋体"/>
                <w:color w:val="auto"/>
                <w:kern w:val="0"/>
                <w:sz w:val="22"/>
                <w:szCs w:val="22"/>
              </w:rPr>
              <w:br w:type="textWrapping"/>
            </w:r>
            <w:r>
              <w:rPr>
                <w:rFonts w:hint="eastAsia" w:cs="宋体"/>
                <w:color w:val="auto"/>
                <w:kern w:val="0"/>
                <w:sz w:val="22"/>
                <w:szCs w:val="22"/>
              </w:rPr>
              <w:t>内部调阅  针对同一单位的不同人员之间查看案件的证据，提供调阅申请、审批的管理，用户可选择同意或拒绝申请。</w:t>
            </w:r>
          </w:p>
        </w:tc>
      </w:tr>
      <w:tr w14:paraId="7E67BAF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A25CB2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93</w:t>
            </w:r>
          </w:p>
        </w:tc>
        <w:tc>
          <w:tcPr>
            <w:tcW w:w="1143" w:type="pct"/>
            <w:tcBorders>
              <w:top w:val="nil"/>
              <w:left w:val="nil"/>
              <w:bottom w:val="single" w:color="000000" w:sz="4" w:space="0"/>
              <w:right w:val="single" w:color="000000" w:sz="4" w:space="0"/>
            </w:tcBorders>
            <w:vAlign w:val="center"/>
          </w:tcPr>
          <w:p w14:paraId="619D031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65F8AD3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电子证据统一管理-电子证据多维管理及分析-电子证据预览与下载</w:t>
            </w:r>
          </w:p>
        </w:tc>
        <w:tc>
          <w:tcPr>
            <w:tcW w:w="2158" w:type="pct"/>
            <w:tcBorders>
              <w:top w:val="nil"/>
              <w:left w:val="nil"/>
              <w:bottom w:val="single" w:color="000000" w:sz="4" w:space="0"/>
              <w:right w:val="single" w:color="000000" w:sz="4" w:space="0"/>
            </w:tcBorders>
            <w:vAlign w:val="center"/>
          </w:tcPr>
          <w:p w14:paraId="42DD76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预览  对图片、视频等证据文件提供预览、在线观看功能，并可以自行选择倍速及单帧播放，音频文件可以在线收听，图片文件可以在线观看，并支持放大缩略及切换方向。</w:t>
            </w:r>
            <w:r>
              <w:rPr>
                <w:rFonts w:hint="eastAsia" w:cs="宋体"/>
                <w:color w:val="auto"/>
                <w:kern w:val="0"/>
                <w:sz w:val="22"/>
                <w:szCs w:val="22"/>
              </w:rPr>
              <w:br w:type="textWrapping"/>
            </w:r>
            <w:r>
              <w:rPr>
                <w:rFonts w:hint="eastAsia" w:cs="宋体"/>
                <w:color w:val="auto"/>
                <w:kern w:val="0"/>
                <w:sz w:val="22"/>
                <w:szCs w:val="22"/>
              </w:rPr>
              <w:t>下载  对音视频等证据文件在相应的权限内能进行下载到本地，进行其他作用，可以进行批量下载。</w:t>
            </w:r>
          </w:p>
        </w:tc>
      </w:tr>
      <w:tr w14:paraId="7070CED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491260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94</w:t>
            </w:r>
          </w:p>
        </w:tc>
        <w:tc>
          <w:tcPr>
            <w:tcW w:w="1143" w:type="pct"/>
            <w:tcBorders>
              <w:top w:val="nil"/>
              <w:left w:val="nil"/>
              <w:bottom w:val="single" w:color="000000" w:sz="4" w:space="0"/>
              <w:right w:val="single" w:color="000000" w:sz="4" w:space="0"/>
            </w:tcBorders>
            <w:vAlign w:val="center"/>
          </w:tcPr>
          <w:p w14:paraId="5CD0F11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6560082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电子证据统一管理-电子证据多维管理及分析-电子证据总览</w:t>
            </w:r>
          </w:p>
        </w:tc>
        <w:tc>
          <w:tcPr>
            <w:tcW w:w="2158" w:type="pct"/>
            <w:tcBorders>
              <w:top w:val="nil"/>
              <w:left w:val="nil"/>
              <w:bottom w:val="single" w:color="000000" w:sz="4" w:space="0"/>
              <w:right w:val="single" w:color="000000" w:sz="4" w:space="0"/>
            </w:tcBorders>
            <w:vAlign w:val="center"/>
          </w:tcPr>
          <w:p w14:paraId="1EA06BB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1、证据数据统计：依照工作流程节点，直观展现今日反馈文件数、存证文件总数、涉及案件总数、取证总次数、出证总次数等统计情况。</w:t>
            </w:r>
            <w:r>
              <w:rPr>
                <w:rFonts w:hint="eastAsia" w:cs="宋体"/>
                <w:color w:val="auto"/>
                <w:kern w:val="0"/>
                <w:sz w:val="22"/>
                <w:szCs w:val="22"/>
              </w:rPr>
              <w:br w:type="textWrapping"/>
            </w:r>
            <w:r>
              <w:rPr>
                <w:rFonts w:hint="eastAsia" w:cs="宋体"/>
                <w:color w:val="auto"/>
                <w:kern w:val="0"/>
                <w:sz w:val="22"/>
                <w:szCs w:val="22"/>
              </w:rPr>
              <w:t>2、证据图表展示：从时间维度提供数据筛选，以柱状图折线图复合图形展示存证文件、取证次数、出证次数的统计情况。</w:t>
            </w:r>
            <w:r>
              <w:rPr>
                <w:rFonts w:hint="eastAsia" w:cs="宋体"/>
                <w:color w:val="auto"/>
                <w:kern w:val="0"/>
                <w:sz w:val="22"/>
                <w:szCs w:val="22"/>
              </w:rPr>
              <w:br w:type="textWrapping"/>
            </w:r>
            <w:r>
              <w:rPr>
                <w:rFonts w:hint="eastAsia" w:cs="宋体"/>
                <w:color w:val="auto"/>
                <w:kern w:val="0"/>
                <w:sz w:val="22"/>
                <w:szCs w:val="22"/>
              </w:rPr>
              <w:t>3、证据列表展示：以降序排列的表格形式展示最新取证案件列表信息。</w:t>
            </w:r>
          </w:p>
        </w:tc>
      </w:tr>
      <w:tr w14:paraId="4139A8E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6A954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95</w:t>
            </w:r>
          </w:p>
        </w:tc>
        <w:tc>
          <w:tcPr>
            <w:tcW w:w="1143" w:type="pct"/>
            <w:tcBorders>
              <w:top w:val="nil"/>
              <w:left w:val="nil"/>
              <w:bottom w:val="single" w:color="000000" w:sz="4" w:space="0"/>
              <w:right w:val="single" w:color="000000" w:sz="4" w:space="0"/>
            </w:tcBorders>
            <w:vAlign w:val="center"/>
          </w:tcPr>
          <w:p w14:paraId="2657E4B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3E67C32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电子证据统一管理-电子证据多维管理及分析-取证记录</w:t>
            </w:r>
          </w:p>
        </w:tc>
        <w:tc>
          <w:tcPr>
            <w:tcW w:w="2158" w:type="pct"/>
            <w:tcBorders>
              <w:top w:val="nil"/>
              <w:left w:val="nil"/>
              <w:bottom w:val="single" w:color="000000" w:sz="4" w:space="0"/>
              <w:right w:val="single" w:color="000000" w:sz="4" w:space="0"/>
            </w:tcBorders>
            <w:vAlign w:val="center"/>
          </w:tcPr>
          <w:p w14:paraId="63AD29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1、取证记录查询：支持通过案件名称的快速模糊查询，也支持通过高级查询模式进行条件查询，包括案件名称、涉案对象、反馈状态等条件选项。</w:t>
            </w:r>
            <w:r>
              <w:rPr>
                <w:rFonts w:hint="eastAsia" w:cs="宋体"/>
                <w:color w:val="auto"/>
                <w:kern w:val="0"/>
                <w:sz w:val="22"/>
                <w:szCs w:val="22"/>
              </w:rPr>
              <w:br w:type="textWrapping"/>
            </w:r>
            <w:r>
              <w:rPr>
                <w:rFonts w:hint="eastAsia" w:cs="宋体"/>
                <w:color w:val="auto"/>
                <w:kern w:val="0"/>
                <w:sz w:val="22"/>
                <w:szCs w:val="22"/>
              </w:rPr>
              <w:t>2、取证记录展示：查询结果默认以时间进行排序并支持分页，每条查询结果以条块状展示案件名称、案件编号、案件类型、发起申请时间等关键信息，并展示该案的当前反馈文件数及正在反馈/反馈完成状态。案件详情独立展示，用表格形式展示详细的取证详情反馈信息，包含涉案对象、相关文件等信息列表。</w:t>
            </w:r>
          </w:p>
        </w:tc>
      </w:tr>
      <w:tr w14:paraId="1EAA8FB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F191C6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96</w:t>
            </w:r>
          </w:p>
        </w:tc>
        <w:tc>
          <w:tcPr>
            <w:tcW w:w="1143" w:type="pct"/>
            <w:tcBorders>
              <w:top w:val="nil"/>
              <w:left w:val="nil"/>
              <w:bottom w:val="single" w:color="000000" w:sz="4" w:space="0"/>
              <w:right w:val="single" w:color="000000" w:sz="4" w:space="0"/>
            </w:tcBorders>
            <w:vAlign w:val="center"/>
          </w:tcPr>
          <w:p w14:paraId="457F86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463EDD9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电子证据统一管理-电子证据多维管理及分析-我的存证</w:t>
            </w:r>
          </w:p>
        </w:tc>
        <w:tc>
          <w:tcPr>
            <w:tcW w:w="2158" w:type="pct"/>
            <w:tcBorders>
              <w:top w:val="nil"/>
              <w:left w:val="nil"/>
              <w:bottom w:val="single" w:color="000000" w:sz="4" w:space="0"/>
              <w:right w:val="single" w:color="000000" w:sz="4" w:space="0"/>
            </w:tcBorders>
            <w:vAlign w:val="center"/>
          </w:tcPr>
          <w:p w14:paraId="70B7D96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1、存证组织展示：以案件为主体进行存证证据文件信息列表的组织展示，以页面侧栏抽屉的效果展示案件名称、编号、类型、立案时间等案件基本信息，点选案件对应展示存证列表和证据列表。</w:t>
            </w:r>
            <w:r>
              <w:rPr>
                <w:rFonts w:hint="eastAsia" w:cs="宋体"/>
                <w:color w:val="auto"/>
                <w:kern w:val="0"/>
                <w:sz w:val="22"/>
                <w:szCs w:val="22"/>
              </w:rPr>
              <w:br w:type="textWrapping"/>
            </w:r>
            <w:r>
              <w:rPr>
                <w:rFonts w:hint="eastAsia" w:cs="宋体"/>
                <w:color w:val="auto"/>
                <w:kern w:val="0"/>
                <w:sz w:val="22"/>
                <w:szCs w:val="22"/>
              </w:rPr>
              <w:t>2、用户存证查看：为用户查看申请列表及每个申请对应的证据列表进行组织展示，提供证据列表展示模板。证据列表中的文件可以直接执行复选操作快捷加入出证清单。</w:t>
            </w:r>
            <w:r>
              <w:rPr>
                <w:rFonts w:hint="eastAsia" w:cs="宋体"/>
                <w:color w:val="auto"/>
                <w:kern w:val="0"/>
                <w:sz w:val="22"/>
                <w:szCs w:val="22"/>
              </w:rPr>
              <w:br w:type="textWrapping"/>
            </w:r>
            <w:r>
              <w:rPr>
                <w:rFonts w:hint="eastAsia" w:cs="宋体"/>
                <w:color w:val="auto"/>
                <w:kern w:val="0"/>
                <w:sz w:val="22"/>
                <w:szCs w:val="22"/>
              </w:rPr>
              <w:t>3、存证列表展示：存证列表展示案件名称、立案时间、申请单号、申请时间、等主要信息，申请单号对应展开的证据列表。</w:t>
            </w:r>
            <w:r>
              <w:rPr>
                <w:rFonts w:hint="eastAsia" w:cs="宋体"/>
                <w:color w:val="auto"/>
                <w:kern w:val="0"/>
                <w:sz w:val="22"/>
                <w:szCs w:val="22"/>
              </w:rPr>
              <w:br w:type="textWrapping"/>
            </w:r>
            <w:r>
              <w:rPr>
                <w:rFonts w:hint="eastAsia" w:cs="宋体"/>
                <w:color w:val="auto"/>
                <w:kern w:val="0"/>
                <w:sz w:val="22"/>
                <w:szCs w:val="22"/>
              </w:rPr>
              <w:t>4、证据列表展示：证据列表展示每个反馈文件存证的证据名称、涉案对象、主体类型、任务流水号、返回时间记录等全部详细信息，方便对存证证据文件详细信息的掌握，并支持证据的溯源信息快速查看。</w:t>
            </w:r>
          </w:p>
        </w:tc>
      </w:tr>
      <w:tr w14:paraId="137F05B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A140C4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97</w:t>
            </w:r>
          </w:p>
        </w:tc>
        <w:tc>
          <w:tcPr>
            <w:tcW w:w="1143" w:type="pct"/>
            <w:tcBorders>
              <w:top w:val="nil"/>
              <w:left w:val="nil"/>
              <w:bottom w:val="single" w:color="000000" w:sz="4" w:space="0"/>
              <w:right w:val="single" w:color="000000" w:sz="4" w:space="0"/>
            </w:tcBorders>
            <w:vAlign w:val="center"/>
          </w:tcPr>
          <w:p w14:paraId="493BCF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39BEF74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电子证据统一管理-电子证据多维管理及分析-出证清单</w:t>
            </w:r>
          </w:p>
        </w:tc>
        <w:tc>
          <w:tcPr>
            <w:tcW w:w="2158" w:type="pct"/>
            <w:tcBorders>
              <w:top w:val="nil"/>
              <w:left w:val="nil"/>
              <w:bottom w:val="single" w:color="000000" w:sz="4" w:space="0"/>
              <w:right w:val="single" w:color="000000" w:sz="4" w:space="0"/>
            </w:tcBorders>
            <w:vAlign w:val="center"/>
          </w:tcPr>
          <w:p w14:paraId="33E809D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出证文件清单展示：支持以案件为主体进行出证证据文件信息列表的组织展示。以页面侧栏抽屉的效果展示案件名称、编号、类型等案件基本信息，点选案件对应展示2证据文件列表。同时对案件涉及的主体提供条件查询，支持通过涉案对象等条件进行查询，默认以时间顺序展示所有证据文件列表。</w:t>
            </w:r>
            <w:r>
              <w:rPr>
                <w:rFonts w:hint="eastAsia" w:cs="宋体"/>
                <w:color w:val="auto"/>
                <w:kern w:val="0"/>
                <w:sz w:val="22"/>
                <w:szCs w:val="22"/>
              </w:rPr>
              <w:br w:type="textWrapping"/>
            </w:r>
            <w:r>
              <w:rPr>
                <w:rFonts w:hint="eastAsia" w:cs="宋体"/>
                <w:color w:val="auto"/>
                <w:kern w:val="0"/>
                <w:sz w:val="22"/>
                <w:szCs w:val="22"/>
              </w:rPr>
              <w:t>2、出证明细清单展示：支持以案件为主体进行出证证据文件信息列表的组织展示。以页面侧栏抽屉的效果展示案件名称、编号、类型等案件基本信息，点选案件对应展示证据明细列表。同时对案件涉及的主体提供条件查询，支持通过涉案对象等条件进行查询，默认以时间顺序展示所有证据明细列表。</w:t>
            </w:r>
            <w:r>
              <w:rPr>
                <w:rFonts w:hint="eastAsia" w:cs="宋体"/>
                <w:color w:val="auto"/>
                <w:kern w:val="0"/>
                <w:sz w:val="22"/>
                <w:szCs w:val="22"/>
              </w:rPr>
              <w:br w:type="textWrapping"/>
            </w:r>
            <w:r>
              <w:rPr>
                <w:rFonts w:hint="eastAsia" w:cs="宋体"/>
                <w:color w:val="auto"/>
                <w:kern w:val="0"/>
                <w:sz w:val="22"/>
                <w:szCs w:val="22"/>
              </w:rPr>
              <w:t>3、出证文件清单统计：对加入的证据文件，进行汇总和统计，统计出加入出证的证据文件量，并可通过条件组合查询。</w:t>
            </w:r>
            <w:r>
              <w:rPr>
                <w:rFonts w:hint="eastAsia" w:cs="宋体"/>
                <w:color w:val="auto"/>
                <w:kern w:val="0"/>
                <w:sz w:val="22"/>
                <w:szCs w:val="22"/>
              </w:rPr>
              <w:br w:type="textWrapping"/>
            </w:r>
            <w:r>
              <w:rPr>
                <w:rFonts w:hint="eastAsia" w:cs="宋体"/>
                <w:color w:val="auto"/>
                <w:kern w:val="0"/>
                <w:sz w:val="22"/>
                <w:szCs w:val="22"/>
              </w:rPr>
              <w:t>4、出证明细清单统计：对加入的证据明细数据，进行汇总和统计，统计出证据明细的数据总量，并通过条件组合查询。</w:t>
            </w:r>
          </w:p>
        </w:tc>
      </w:tr>
      <w:tr w14:paraId="254DE3A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7683F1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98</w:t>
            </w:r>
          </w:p>
        </w:tc>
        <w:tc>
          <w:tcPr>
            <w:tcW w:w="1143" w:type="pct"/>
            <w:tcBorders>
              <w:top w:val="nil"/>
              <w:left w:val="nil"/>
              <w:bottom w:val="single" w:color="000000" w:sz="4" w:space="0"/>
              <w:right w:val="single" w:color="000000" w:sz="4" w:space="0"/>
            </w:tcBorders>
            <w:vAlign w:val="center"/>
          </w:tcPr>
          <w:p w14:paraId="7AC5E8C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w:t>
            </w:r>
          </w:p>
        </w:tc>
        <w:tc>
          <w:tcPr>
            <w:tcW w:w="1175" w:type="pct"/>
            <w:tcBorders>
              <w:top w:val="nil"/>
              <w:left w:val="nil"/>
              <w:bottom w:val="single" w:color="000000" w:sz="4" w:space="0"/>
              <w:right w:val="single" w:color="000000" w:sz="4" w:space="0"/>
            </w:tcBorders>
            <w:vAlign w:val="center"/>
          </w:tcPr>
          <w:p w14:paraId="6B3CDB4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电子证据统一管理-电子证据多维管理及分析-出证记录</w:t>
            </w:r>
          </w:p>
        </w:tc>
        <w:tc>
          <w:tcPr>
            <w:tcW w:w="2158" w:type="pct"/>
            <w:tcBorders>
              <w:top w:val="nil"/>
              <w:left w:val="nil"/>
              <w:bottom w:val="single" w:color="000000" w:sz="4" w:space="0"/>
              <w:right w:val="single" w:color="000000" w:sz="4" w:space="0"/>
            </w:tcBorders>
            <w:vAlign w:val="center"/>
          </w:tcPr>
          <w:p w14:paraId="20552C7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1、出证记录查询：对出证的案件记录，按照时间维度进行顺序展示，支持对案件名称和出证时间范围的模糊查询，也支持以案件名称、涉案对象等进行条件查询。</w:t>
            </w:r>
            <w:r>
              <w:rPr>
                <w:rFonts w:hint="eastAsia" w:cs="宋体"/>
                <w:color w:val="auto"/>
                <w:kern w:val="0"/>
                <w:sz w:val="22"/>
                <w:szCs w:val="22"/>
              </w:rPr>
              <w:br w:type="textWrapping"/>
            </w:r>
            <w:r>
              <w:rPr>
                <w:rFonts w:hint="eastAsia" w:cs="宋体"/>
                <w:color w:val="auto"/>
                <w:kern w:val="0"/>
                <w:sz w:val="22"/>
                <w:szCs w:val="22"/>
              </w:rPr>
              <w:t>2、出证报告： 默认以时间降序展示全部出证记录，每一条出证的案件条目展示案件名称、案件编号、案件类型、立案时间等案件简要信息，以及申请单号、申请时间、出证时间、出证的校验值、出证说明等简要出证信息。支持出证详情报告（出证数据详情）的查看和下载。</w:t>
            </w:r>
          </w:p>
        </w:tc>
      </w:tr>
      <w:tr w14:paraId="1212C84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7B183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99</w:t>
            </w:r>
          </w:p>
        </w:tc>
        <w:tc>
          <w:tcPr>
            <w:tcW w:w="1143" w:type="pct"/>
            <w:tcBorders>
              <w:top w:val="nil"/>
              <w:left w:val="nil"/>
              <w:bottom w:val="single" w:color="000000" w:sz="4" w:space="0"/>
              <w:right w:val="single" w:color="000000" w:sz="4" w:space="0"/>
            </w:tcBorders>
            <w:vAlign w:val="center"/>
          </w:tcPr>
          <w:p w14:paraId="1702E20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65435B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特种设备“城市码”应用场景-对接“城市码”管理</w:t>
            </w:r>
          </w:p>
        </w:tc>
        <w:tc>
          <w:tcPr>
            <w:tcW w:w="2158" w:type="pct"/>
            <w:tcBorders>
              <w:top w:val="nil"/>
              <w:left w:val="nil"/>
              <w:bottom w:val="single" w:color="000000" w:sz="4" w:space="0"/>
              <w:right w:val="single" w:color="000000" w:sz="4" w:space="0"/>
            </w:tcBorders>
            <w:vAlign w:val="center"/>
          </w:tcPr>
          <w:p w14:paraId="1FCBB9D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生码，系统对接“随申码”服务体系平台实现系统接口相关功能：</w:t>
            </w:r>
            <w:r>
              <w:rPr>
                <w:rFonts w:hint="eastAsia" w:cs="宋体"/>
                <w:color w:val="auto"/>
                <w:kern w:val="0"/>
                <w:sz w:val="22"/>
                <w:szCs w:val="22"/>
              </w:rPr>
              <w:br w:type="textWrapping"/>
            </w:r>
            <w:r>
              <w:rPr>
                <w:rFonts w:hint="eastAsia" w:cs="宋体"/>
                <w:color w:val="auto"/>
                <w:kern w:val="0"/>
                <w:sz w:val="22"/>
                <w:szCs w:val="22"/>
              </w:rPr>
              <w:t>1.依据相关业务规则，通过操作界面和系统接口功能，实现“特设码”的申领，申请特种设备空码码值；</w:t>
            </w:r>
            <w:r>
              <w:rPr>
                <w:rFonts w:hint="eastAsia" w:cs="宋体"/>
                <w:color w:val="auto"/>
                <w:kern w:val="0"/>
                <w:sz w:val="22"/>
                <w:szCs w:val="22"/>
              </w:rPr>
              <w:br w:type="textWrapping"/>
            </w:r>
            <w:r>
              <w:rPr>
                <w:rFonts w:hint="eastAsia" w:cs="宋体"/>
                <w:color w:val="auto"/>
                <w:kern w:val="0"/>
                <w:sz w:val="22"/>
                <w:szCs w:val="22"/>
              </w:rPr>
              <w:t>2.完成绑码后，通过接口反馈结果数据到“随申码”服务体系平台；</w:t>
            </w:r>
            <w:r>
              <w:rPr>
                <w:rFonts w:hint="eastAsia" w:cs="宋体"/>
                <w:color w:val="auto"/>
                <w:kern w:val="0"/>
                <w:sz w:val="22"/>
                <w:szCs w:val="22"/>
              </w:rPr>
              <w:br w:type="textWrapping"/>
            </w:r>
            <w:r>
              <w:rPr>
                <w:rFonts w:hint="eastAsia" w:cs="宋体"/>
                <w:color w:val="auto"/>
                <w:kern w:val="0"/>
                <w:sz w:val="22"/>
                <w:szCs w:val="22"/>
              </w:rPr>
              <w:t>3.特设码相关基础数据发生变更，更新数据对接到“随申码”服务体系平台。</w:t>
            </w:r>
          </w:p>
        </w:tc>
      </w:tr>
      <w:tr w14:paraId="677218E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61E12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100</w:t>
            </w:r>
          </w:p>
        </w:tc>
        <w:tc>
          <w:tcPr>
            <w:tcW w:w="1143" w:type="pct"/>
            <w:tcBorders>
              <w:top w:val="nil"/>
              <w:left w:val="nil"/>
              <w:bottom w:val="single" w:color="000000" w:sz="4" w:space="0"/>
              <w:right w:val="single" w:color="000000" w:sz="4" w:space="0"/>
            </w:tcBorders>
            <w:vAlign w:val="center"/>
          </w:tcPr>
          <w:p w14:paraId="2C46F89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699375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特种设备“城市码”应用场景-特设码绑码管理-绑码管理</w:t>
            </w:r>
          </w:p>
        </w:tc>
        <w:tc>
          <w:tcPr>
            <w:tcW w:w="2158" w:type="pct"/>
            <w:tcBorders>
              <w:top w:val="nil"/>
              <w:left w:val="nil"/>
              <w:bottom w:val="single" w:color="000000" w:sz="4" w:space="0"/>
              <w:right w:val="single" w:color="000000" w:sz="4" w:space="0"/>
            </w:tcBorders>
            <w:vAlign w:val="center"/>
          </w:tcPr>
          <w:p w14:paraId="4022EF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依据相关业务规则，实现“特设码”码值与“特设码”基础信息的绑定，基础信息包含但不限于：设备类型、特种设备注册代码、空间位置信息、产品代码等。通过随申办“扫一扫”或者搜索“智慧特种设备”进行扫码绑定。</w:t>
            </w:r>
            <w:r>
              <w:rPr>
                <w:rFonts w:hint="eastAsia" w:cs="宋体"/>
                <w:color w:val="auto"/>
                <w:kern w:val="0"/>
                <w:sz w:val="22"/>
                <w:szCs w:val="22"/>
              </w:rPr>
              <w:br w:type="textWrapping"/>
            </w:r>
            <w:r>
              <w:rPr>
                <w:rFonts w:hint="eastAsia" w:cs="宋体"/>
                <w:color w:val="auto"/>
                <w:kern w:val="0"/>
                <w:sz w:val="22"/>
                <w:szCs w:val="22"/>
              </w:rPr>
              <w:t>2.依据相关业务规则，核对更新特种设备的相关信息，包含但不限于：产权单位、使用单位、使用地、关键属性参数、注册代码、空间位置信息等。</w:t>
            </w:r>
            <w:r>
              <w:rPr>
                <w:rFonts w:hint="eastAsia" w:cs="宋体"/>
                <w:color w:val="auto"/>
                <w:kern w:val="0"/>
                <w:sz w:val="22"/>
                <w:szCs w:val="22"/>
              </w:rPr>
              <w:br w:type="textWrapping"/>
            </w:r>
            <w:r>
              <w:rPr>
                <w:rFonts w:hint="eastAsia" w:cs="宋体"/>
                <w:color w:val="auto"/>
                <w:kern w:val="0"/>
                <w:sz w:val="22"/>
                <w:szCs w:val="22"/>
              </w:rPr>
              <w:t>3.为核实绑定设备与设备基本信息关联的有效性和准确性，针对不同的设备种类要求用户在绑码时上传规定的图片和视频。</w:t>
            </w:r>
          </w:p>
        </w:tc>
      </w:tr>
      <w:tr w14:paraId="24477B9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4D0C1E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101</w:t>
            </w:r>
          </w:p>
        </w:tc>
        <w:tc>
          <w:tcPr>
            <w:tcW w:w="1143" w:type="pct"/>
            <w:tcBorders>
              <w:top w:val="nil"/>
              <w:left w:val="nil"/>
              <w:bottom w:val="single" w:color="000000" w:sz="4" w:space="0"/>
              <w:right w:val="single" w:color="000000" w:sz="4" w:space="0"/>
            </w:tcBorders>
            <w:vAlign w:val="center"/>
          </w:tcPr>
          <w:p w14:paraId="6278B60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709908B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特种设备“城市码”应用场景-特设码绑码管理-绑码人配置管理</w:t>
            </w:r>
          </w:p>
        </w:tc>
        <w:tc>
          <w:tcPr>
            <w:tcW w:w="2158" w:type="pct"/>
            <w:tcBorders>
              <w:top w:val="nil"/>
              <w:left w:val="nil"/>
              <w:bottom w:val="single" w:color="000000" w:sz="4" w:space="0"/>
              <w:right w:val="single" w:color="000000" w:sz="4" w:space="0"/>
            </w:tcBorders>
            <w:vAlign w:val="center"/>
          </w:tcPr>
          <w:p w14:paraId="13C101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1.获取公共服务系统中特种设备使用单位的人员相关基本信息；</w:t>
            </w:r>
            <w:r>
              <w:rPr>
                <w:rFonts w:hint="eastAsia" w:cs="宋体"/>
                <w:color w:val="auto"/>
                <w:kern w:val="0"/>
                <w:sz w:val="22"/>
                <w:szCs w:val="22"/>
              </w:rPr>
              <w:br w:type="textWrapping"/>
            </w:r>
            <w:r>
              <w:rPr>
                <w:rFonts w:hint="eastAsia" w:cs="宋体"/>
                <w:color w:val="auto"/>
                <w:kern w:val="0"/>
                <w:sz w:val="22"/>
                <w:szCs w:val="22"/>
              </w:rPr>
              <w:t>2.由使用单位管理人月对能够现场进行绑码操作的人月按设备种类进行标记，支持同一个人对不同设备进行绑码，同时也支持一类设备由多人进行绑码。若设备和绑码人未绑定的情况的，使用单位标记的贴码人可支持删除修改。</w:t>
            </w:r>
          </w:p>
        </w:tc>
      </w:tr>
      <w:tr w14:paraId="1EC20AF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FB57A3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102</w:t>
            </w:r>
          </w:p>
        </w:tc>
        <w:tc>
          <w:tcPr>
            <w:tcW w:w="1143" w:type="pct"/>
            <w:tcBorders>
              <w:top w:val="nil"/>
              <w:left w:val="nil"/>
              <w:bottom w:val="single" w:color="000000" w:sz="4" w:space="0"/>
              <w:right w:val="single" w:color="000000" w:sz="4" w:space="0"/>
            </w:tcBorders>
            <w:vAlign w:val="center"/>
          </w:tcPr>
          <w:p w14:paraId="79685A1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6E8F2C5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特种设备“城市码”应用场景-特设码绑码管理-设备绑定</w:t>
            </w:r>
          </w:p>
        </w:tc>
        <w:tc>
          <w:tcPr>
            <w:tcW w:w="2158" w:type="pct"/>
            <w:tcBorders>
              <w:top w:val="nil"/>
              <w:left w:val="nil"/>
              <w:bottom w:val="single" w:color="000000" w:sz="4" w:space="0"/>
              <w:right w:val="single" w:color="000000" w:sz="4" w:space="0"/>
            </w:tcBorders>
            <w:vAlign w:val="center"/>
          </w:tcPr>
          <w:p w14:paraId="668AF72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绑码人与管理单元绑定后再将从许可中获取的使用单位名下所有设备分设备种类（锅炉、压力容器、气瓶、起重机械、客运索道、大型游乐设施、场（厂）内专用机动车辆）分别与增设的管理单元进行关联绑定。</w:t>
            </w:r>
          </w:p>
        </w:tc>
      </w:tr>
      <w:tr w14:paraId="6FE197F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5C22E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103</w:t>
            </w:r>
          </w:p>
        </w:tc>
        <w:tc>
          <w:tcPr>
            <w:tcW w:w="1143" w:type="pct"/>
            <w:tcBorders>
              <w:top w:val="nil"/>
              <w:left w:val="nil"/>
              <w:bottom w:val="single" w:color="000000" w:sz="4" w:space="0"/>
              <w:right w:val="single" w:color="000000" w:sz="4" w:space="0"/>
            </w:tcBorders>
            <w:vAlign w:val="center"/>
          </w:tcPr>
          <w:p w14:paraId="2790AB7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5DC602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特种设备“城市码”应用场景-特设码绑码管理-贴码绑码推进情况统计分析</w:t>
            </w:r>
          </w:p>
        </w:tc>
        <w:tc>
          <w:tcPr>
            <w:tcW w:w="2158" w:type="pct"/>
            <w:tcBorders>
              <w:top w:val="nil"/>
              <w:left w:val="nil"/>
              <w:bottom w:val="single" w:color="000000" w:sz="4" w:space="0"/>
              <w:right w:val="single" w:color="000000" w:sz="4" w:space="0"/>
            </w:tcBorders>
            <w:vAlign w:val="center"/>
          </w:tcPr>
          <w:p w14:paraId="03584AC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对各区按条件查询贴码绑码推进情况，具体如下：</w:t>
            </w:r>
            <w:r>
              <w:rPr>
                <w:rFonts w:hint="eastAsia" w:cs="宋体"/>
                <w:color w:val="auto"/>
                <w:kern w:val="0"/>
                <w:sz w:val="22"/>
                <w:szCs w:val="22"/>
              </w:rPr>
              <w:br w:type="textWrapping"/>
            </w:r>
            <w:r>
              <w:rPr>
                <w:rFonts w:hint="eastAsia" w:cs="宋体"/>
                <w:color w:val="auto"/>
                <w:kern w:val="0"/>
                <w:sz w:val="22"/>
                <w:szCs w:val="22"/>
              </w:rPr>
              <w:t>查询条件包含：所属区、监管部门、所属街道、设备种类、设备类型、设备品种、使用单位名称（模糊查询）、设备注册代码、安装地址、是否备案（是、否）、是否绑码（是、否）。</w:t>
            </w:r>
          </w:p>
        </w:tc>
      </w:tr>
      <w:tr w14:paraId="050D758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A5C3F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104</w:t>
            </w:r>
          </w:p>
        </w:tc>
        <w:tc>
          <w:tcPr>
            <w:tcW w:w="1143" w:type="pct"/>
            <w:tcBorders>
              <w:top w:val="nil"/>
              <w:left w:val="nil"/>
              <w:bottom w:val="single" w:color="000000" w:sz="4" w:space="0"/>
              <w:right w:val="single" w:color="000000" w:sz="4" w:space="0"/>
            </w:tcBorders>
            <w:vAlign w:val="center"/>
          </w:tcPr>
          <w:p w14:paraId="6FD561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6CE78E8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特种设备“城市码”应用场景-一码通识应用管理（移动端）-码上落实-使用单位-设备首页</w:t>
            </w:r>
          </w:p>
        </w:tc>
        <w:tc>
          <w:tcPr>
            <w:tcW w:w="2158" w:type="pct"/>
            <w:tcBorders>
              <w:top w:val="nil"/>
              <w:left w:val="nil"/>
              <w:bottom w:val="single" w:color="000000" w:sz="4" w:space="0"/>
              <w:right w:val="single" w:color="000000" w:sz="4" w:space="0"/>
            </w:tcBorders>
            <w:vAlign w:val="center"/>
          </w:tcPr>
          <w:p w14:paraId="09A638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与特种设备使用单位管理信息联动，当用户已在特种设备使用管理模块中进行了单位、设备、人员之间的绑定，该用户通过随申办app可以在设备主页查看管理的设备总数，点击下钻能查询设备清单明细，包含设备种类、备案绑码状态、设备地址、设备注册代码等信息。</w:t>
            </w:r>
          </w:p>
        </w:tc>
      </w:tr>
      <w:tr w14:paraId="4BE8EBE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C0597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105</w:t>
            </w:r>
          </w:p>
        </w:tc>
        <w:tc>
          <w:tcPr>
            <w:tcW w:w="1143" w:type="pct"/>
            <w:tcBorders>
              <w:top w:val="nil"/>
              <w:left w:val="nil"/>
              <w:bottom w:val="single" w:color="000000" w:sz="4" w:space="0"/>
              <w:right w:val="single" w:color="000000" w:sz="4" w:space="0"/>
            </w:tcBorders>
            <w:vAlign w:val="center"/>
          </w:tcPr>
          <w:p w14:paraId="08F5D16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02A74DE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特种设备“城市码”应用场景-一码通识应用管理（移动端）-码上落实-使用单位-已有设备贴码绑码</w:t>
            </w:r>
          </w:p>
        </w:tc>
        <w:tc>
          <w:tcPr>
            <w:tcW w:w="2158" w:type="pct"/>
            <w:tcBorders>
              <w:top w:val="nil"/>
              <w:left w:val="nil"/>
              <w:bottom w:val="single" w:color="000000" w:sz="4" w:space="0"/>
              <w:right w:val="single" w:color="000000" w:sz="4" w:space="0"/>
            </w:tcBorders>
            <w:vAlign w:val="center"/>
          </w:tcPr>
          <w:p w14:paraId="234BAD8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用户通过随申办【扫一扫】，扫描智慧特种设备二维码，根据用户体系和设备绑定情况分类展示：若已绑定，则显示该设备的基本信息；若未绑定，则显示该设备未绑定，对未绑定的设备，使用单位备案人员可进行绑码操作。选择对应的特种设备进行单台设备的绑定，确认绑定设备的基础信息并根据设备种类区分填报相关必要信息和上传图片与视频，不同的设备种类，设置不同的填报和上传图片视频的条件要求，对于压力容器设备绑定，由于填报内容涉及多项设备参数信息，在填报中进行帮助功能，最终实现对设备进行绑定。同时，可对设备根据条件进行筛选查询。</w:t>
            </w:r>
          </w:p>
        </w:tc>
      </w:tr>
      <w:tr w14:paraId="61214CC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43259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106</w:t>
            </w:r>
          </w:p>
        </w:tc>
        <w:tc>
          <w:tcPr>
            <w:tcW w:w="1143" w:type="pct"/>
            <w:tcBorders>
              <w:top w:val="nil"/>
              <w:left w:val="nil"/>
              <w:bottom w:val="single" w:color="000000" w:sz="4" w:space="0"/>
              <w:right w:val="single" w:color="000000" w:sz="4" w:space="0"/>
            </w:tcBorders>
            <w:vAlign w:val="center"/>
          </w:tcPr>
          <w:p w14:paraId="0AA9557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284EE5E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特种设备“城市码”应用场景-一码通识应用管理（移动端）-码上落实-使用单位-信息纠错</w:t>
            </w:r>
          </w:p>
        </w:tc>
        <w:tc>
          <w:tcPr>
            <w:tcW w:w="2158" w:type="pct"/>
            <w:tcBorders>
              <w:top w:val="nil"/>
              <w:left w:val="nil"/>
              <w:bottom w:val="single" w:color="000000" w:sz="4" w:space="0"/>
              <w:right w:val="single" w:color="000000" w:sz="4" w:space="0"/>
            </w:tcBorders>
            <w:vAlign w:val="center"/>
          </w:tcPr>
          <w:p w14:paraId="185B4CE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当设备绑定完成后，可以通过信息纠错功能，对已录入或上传的图片视频进行信息修改，用于对设备的实时数据情况进行跟踪记录。</w:t>
            </w:r>
          </w:p>
        </w:tc>
      </w:tr>
      <w:tr w14:paraId="6D5761C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2E9DD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107</w:t>
            </w:r>
          </w:p>
        </w:tc>
        <w:tc>
          <w:tcPr>
            <w:tcW w:w="1143" w:type="pct"/>
            <w:tcBorders>
              <w:top w:val="nil"/>
              <w:left w:val="nil"/>
              <w:bottom w:val="single" w:color="000000" w:sz="4" w:space="0"/>
              <w:right w:val="single" w:color="000000" w:sz="4" w:space="0"/>
            </w:tcBorders>
            <w:vAlign w:val="center"/>
          </w:tcPr>
          <w:p w14:paraId="2D2B6CB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403ECAD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特种设备“城市码”应用场景-一码通识应用管理（移动端）-码上落实-使用单位-查询填报</w:t>
            </w:r>
          </w:p>
        </w:tc>
        <w:tc>
          <w:tcPr>
            <w:tcW w:w="2158" w:type="pct"/>
            <w:tcBorders>
              <w:top w:val="nil"/>
              <w:left w:val="nil"/>
              <w:bottom w:val="single" w:color="000000" w:sz="4" w:space="0"/>
              <w:right w:val="single" w:color="000000" w:sz="4" w:space="0"/>
            </w:tcBorders>
            <w:vAlign w:val="center"/>
          </w:tcPr>
          <w:p w14:paraId="467DF14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开发专门针对特种设备（除电梯外）使用单位的扫码轻应用（基于H5），主要功能内容包含：1.实时查看本单位的特种设备相关信息，包括设备监管情况、维保情况（如有）、检验检测情况、主体责任落实情况等；2.设备信息录入，设备维保单位信息录入，除电梯维保单位外，其他特种设备维保单位录入名称、资质、现场维保人员等信息。包含如：锅炉司炉人员可以扫码进行交班、设备运行记录;锅炉环境监管、监测人员扫码查看锅炉详细信息和排放监测信息，并能进行监测签到和原始记录录入。</w:t>
            </w:r>
          </w:p>
        </w:tc>
      </w:tr>
      <w:tr w14:paraId="14E5FF5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5363AC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108</w:t>
            </w:r>
          </w:p>
        </w:tc>
        <w:tc>
          <w:tcPr>
            <w:tcW w:w="1143" w:type="pct"/>
            <w:tcBorders>
              <w:top w:val="nil"/>
              <w:left w:val="nil"/>
              <w:bottom w:val="single" w:color="000000" w:sz="4" w:space="0"/>
              <w:right w:val="single" w:color="000000" w:sz="4" w:space="0"/>
            </w:tcBorders>
            <w:vAlign w:val="center"/>
          </w:tcPr>
          <w:p w14:paraId="533BBA1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219E7BE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特种设备“城市码”应用场景-一码通识应用管理（移动端）-码上维保-维保单位-维保设备信息管理</w:t>
            </w:r>
          </w:p>
        </w:tc>
        <w:tc>
          <w:tcPr>
            <w:tcW w:w="2158" w:type="pct"/>
            <w:tcBorders>
              <w:top w:val="nil"/>
              <w:left w:val="nil"/>
              <w:bottom w:val="single" w:color="000000" w:sz="4" w:space="0"/>
              <w:right w:val="single" w:color="000000" w:sz="4" w:space="0"/>
            </w:tcBorders>
            <w:vAlign w:val="center"/>
          </w:tcPr>
          <w:p w14:paraId="758F5F7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开发专门针对特种设备维保单位（除电梯外）的扫码轻应用（基于H5），主要功能内容包含：</w:t>
            </w:r>
            <w:r>
              <w:rPr>
                <w:rFonts w:hint="eastAsia" w:cs="宋体"/>
                <w:color w:val="auto"/>
                <w:kern w:val="0"/>
                <w:sz w:val="22"/>
                <w:szCs w:val="22"/>
              </w:rPr>
              <w:br w:type="textWrapping"/>
            </w:r>
            <w:r>
              <w:rPr>
                <w:rFonts w:hint="eastAsia" w:cs="宋体"/>
                <w:color w:val="auto"/>
                <w:kern w:val="0"/>
                <w:sz w:val="22"/>
                <w:szCs w:val="22"/>
              </w:rPr>
              <w:t>1.信息查询，通过扫特设码，能查询特种设备的基础信息，包含使用单位现场绑码时填报的相关参数信息，便于维保人员在现场确认设备身份信息，避免误操作。</w:t>
            </w:r>
            <w:r>
              <w:rPr>
                <w:rFonts w:hint="eastAsia" w:cs="宋体"/>
                <w:color w:val="auto"/>
                <w:kern w:val="0"/>
                <w:sz w:val="22"/>
                <w:szCs w:val="22"/>
              </w:rPr>
              <w:br w:type="textWrapping"/>
            </w:r>
            <w:r>
              <w:rPr>
                <w:rFonts w:hint="eastAsia" w:cs="宋体"/>
                <w:color w:val="auto"/>
                <w:kern w:val="0"/>
                <w:sz w:val="22"/>
                <w:szCs w:val="22"/>
              </w:rPr>
              <w:t>2.历史记录，通过扫特设码，查看过往的维修记录、设备改造情况，让维保人员了解需要维保的设备曾经的故障点以及处理方式，便于精准找到隐患部位。</w:t>
            </w:r>
          </w:p>
        </w:tc>
      </w:tr>
      <w:tr w14:paraId="4234A0B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7711C9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109</w:t>
            </w:r>
          </w:p>
        </w:tc>
        <w:tc>
          <w:tcPr>
            <w:tcW w:w="1143" w:type="pct"/>
            <w:tcBorders>
              <w:top w:val="nil"/>
              <w:left w:val="nil"/>
              <w:bottom w:val="single" w:color="000000" w:sz="4" w:space="0"/>
              <w:right w:val="single" w:color="000000" w:sz="4" w:space="0"/>
            </w:tcBorders>
            <w:vAlign w:val="center"/>
          </w:tcPr>
          <w:p w14:paraId="69BB829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64E71B2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特种设备“城市码”应用场景-一码通识应用管理（移动端）-码上维保-维保单位-预警推送</w:t>
            </w:r>
          </w:p>
        </w:tc>
        <w:tc>
          <w:tcPr>
            <w:tcW w:w="2158" w:type="pct"/>
            <w:tcBorders>
              <w:top w:val="nil"/>
              <w:left w:val="nil"/>
              <w:bottom w:val="single" w:color="000000" w:sz="4" w:space="0"/>
              <w:right w:val="single" w:color="000000" w:sz="4" w:space="0"/>
            </w:tcBorders>
            <w:vAlign w:val="center"/>
          </w:tcPr>
          <w:p w14:paraId="6264ACC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结合特种设备现有数据以及实时监测数据（如有），若系统分析判断设备临近故障风险阀值，扫描特设码后向维保人员推送预警信息，提示重点排查区域。</w:t>
            </w:r>
          </w:p>
        </w:tc>
      </w:tr>
      <w:tr w14:paraId="1634CC0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0D4EB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110</w:t>
            </w:r>
          </w:p>
        </w:tc>
        <w:tc>
          <w:tcPr>
            <w:tcW w:w="1143" w:type="pct"/>
            <w:tcBorders>
              <w:top w:val="nil"/>
              <w:left w:val="nil"/>
              <w:bottom w:val="single" w:color="000000" w:sz="4" w:space="0"/>
              <w:right w:val="single" w:color="000000" w:sz="4" w:space="0"/>
            </w:tcBorders>
            <w:vAlign w:val="center"/>
          </w:tcPr>
          <w:p w14:paraId="0A36DD3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4775C9E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特种设备“城市码”应用场景-一码通识应用管理（移动端）-码上监管-监管部门-需监管设备进展情况</w:t>
            </w:r>
          </w:p>
        </w:tc>
        <w:tc>
          <w:tcPr>
            <w:tcW w:w="2158" w:type="pct"/>
            <w:tcBorders>
              <w:top w:val="nil"/>
              <w:left w:val="nil"/>
              <w:bottom w:val="single" w:color="000000" w:sz="4" w:space="0"/>
              <w:right w:val="single" w:color="000000" w:sz="4" w:space="0"/>
            </w:tcBorders>
            <w:vAlign w:val="center"/>
          </w:tcPr>
          <w:p w14:paraId="1223D62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开发专门针对特种设备监管单位的扫码轻应用（基于H5），主要功能内容包含：</w:t>
            </w:r>
            <w:r>
              <w:rPr>
                <w:rFonts w:hint="eastAsia" w:cs="宋体"/>
                <w:color w:val="auto"/>
                <w:kern w:val="0"/>
                <w:sz w:val="22"/>
                <w:szCs w:val="22"/>
              </w:rPr>
              <w:br w:type="textWrapping"/>
            </w:r>
            <w:r>
              <w:rPr>
                <w:rFonts w:hint="eastAsia" w:cs="宋体"/>
                <w:color w:val="auto"/>
                <w:kern w:val="0"/>
                <w:sz w:val="22"/>
                <w:szCs w:val="22"/>
              </w:rPr>
              <w:t>1.监管人员通过扫“特设码”，可实时查看设备基本信息、维保信息（如有）、检验检测信息、应急信息（如有）、监管信息、故障信息（如有）、公众监督信息（如有）等；</w:t>
            </w:r>
            <w:r>
              <w:rPr>
                <w:rFonts w:hint="eastAsia" w:cs="宋体"/>
                <w:color w:val="auto"/>
                <w:kern w:val="0"/>
                <w:sz w:val="22"/>
                <w:szCs w:val="22"/>
              </w:rPr>
              <w:br w:type="textWrapping"/>
            </w:r>
            <w:r>
              <w:rPr>
                <w:rFonts w:hint="eastAsia" w:cs="宋体"/>
                <w:color w:val="auto"/>
                <w:kern w:val="0"/>
                <w:sz w:val="22"/>
                <w:szCs w:val="22"/>
              </w:rPr>
              <w:t>2.监管人员通过扫“特设码”查看设备绑码完成情况。</w:t>
            </w:r>
          </w:p>
        </w:tc>
      </w:tr>
      <w:tr w14:paraId="4062B6B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9A40EE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111</w:t>
            </w:r>
          </w:p>
        </w:tc>
        <w:tc>
          <w:tcPr>
            <w:tcW w:w="1143" w:type="pct"/>
            <w:tcBorders>
              <w:top w:val="nil"/>
              <w:left w:val="nil"/>
              <w:bottom w:val="single" w:color="000000" w:sz="4" w:space="0"/>
              <w:right w:val="single" w:color="000000" w:sz="4" w:space="0"/>
            </w:tcBorders>
            <w:vAlign w:val="center"/>
          </w:tcPr>
          <w:p w14:paraId="36A6247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6283DCE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特种设备“城市码”应用场景-一码通识应用管理（移动端）-码上监管-监管部门-数据采集</w:t>
            </w:r>
          </w:p>
        </w:tc>
        <w:tc>
          <w:tcPr>
            <w:tcW w:w="2158" w:type="pct"/>
            <w:tcBorders>
              <w:top w:val="nil"/>
              <w:left w:val="nil"/>
              <w:bottom w:val="single" w:color="000000" w:sz="4" w:space="0"/>
              <w:right w:val="single" w:color="000000" w:sz="4" w:space="0"/>
            </w:tcBorders>
            <w:vAlign w:val="center"/>
          </w:tcPr>
          <w:p w14:paraId="671698B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现场数据及时录入，监管人员在扫描特设码检查时，可以将现场发现的设备实际使用情况、周边环境变化（如有）通过移动端直接录入系统，用于后续的综合数据分析。</w:t>
            </w:r>
          </w:p>
        </w:tc>
      </w:tr>
      <w:tr w14:paraId="15BA881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76753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112</w:t>
            </w:r>
          </w:p>
        </w:tc>
        <w:tc>
          <w:tcPr>
            <w:tcW w:w="1143" w:type="pct"/>
            <w:tcBorders>
              <w:top w:val="nil"/>
              <w:left w:val="nil"/>
              <w:bottom w:val="single" w:color="000000" w:sz="4" w:space="0"/>
              <w:right w:val="single" w:color="000000" w:sz="4" w:space="0"/>
            </w:tcBorders>
            <w:vAlign w:val="center"/>
          </w:tcPr>
          <w:p w14:paraId="7327D12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5C0D3B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特种设备“城市码”应用场景-一码通识应用管理（移动端）-码上检验-检验检测机构-设备检验核实情况</w:t>
            </w:r>
          </w:p>
        </w:tc>
        <w:tc>
          <w:tcPr>
            <w:tcW w:w="2158" w:type="pct"/>
            <w:tcBorders>
              <w:top w:val="nil"/>
              <w:left w:val="nil"/>
              <w:bottom w:val="single" w:color="000000" w:sz="4" w:space="0"/>
              <w:right w:val="single" w:color="000000" w:sz="4" w:space="0"/>
            </w:tcBorders>
            <w:vAlign w:val="center"/>
          </w:tcPr>
          <w:p w14:paraId="7C2A3E3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开发专门针对特种设备（除电梯外）检验检测机构的扫码轻应用（基于H5），主要功能内容包含：</w:t>
            </w:r>
            <w:r>
              <w:rPr>
                <w:rFonts w:hint="eastAsia" w:cs="宋体"/>
                <w:color w:val="auto"/>
                <w:kern w:val="0"/>
                <w:sz w:val="22"/>
                <w:szCs w:val="22"/>
              </w:rPr>
              <w:br w:type="textWrapping"/>
            </w:r>
            <w:r>
              <w:rPr>
                <w:rFonts w:hint="eastAsia" w:cs="宋体"/>
                <w:color w:val="auto"/>
                <w:kern w:val="0"/>
                <w:sz w:val="22"/>
                <w:szCs w:val="22"/>
              </w:rPr>
              <w:t>通过特设码的建设，检验检测机构可实时查看设备基本情况、日常维保情况、设备当前使用情况、历史检验检测记录等信息。</w:t>
            </w:r>
          </w:p>
        </w:tc>
      </w:tr>
      <w:tr w14:paraId="0451E82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1EB931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113</w:t>
            </w:r>
          </w:p>
        </w:tc>
        <w:tc>
          <w:tcPr>
            <w:tcW w:w="1143" w:type="pct"/>
            <w:tcBorders>
              <w:top w:val="nil"/>
              <w:left w:val="nil"/>
              <w:bottom w:val="single" w:color="000000" w:sz="4" w:space="0"/>
              <w:right w:val="single" w:color="000000" w:sz="4" w:space="0"/>
            </w:tcBorders>
            <w:vAlign w:val="center"/>
          </w:tcPr>
          <w:p w14:paraId="3DE35A2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422A8F0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特种设备“城市码”应用场景-一码通识应用管理（移动端）-码上检验-检验检测机构-已申报检验设备情况查询</w:t>
            </w:r>
          </w:p>
        </w:tc>
        <w:tc>
          <w:tcPr>
            <w:tcW w:w="2158" w:type="pct"/>
            <w:tcBorders>
              <w:top w:val="nil"/>
              <w:left w:val="nil"/>
              <w:bottom w:val="single" w:color="000000" w:sz="4" w:space="0"/>
              <w:right w:val="single" w:color="000000" w:sz="4" w:space="0"/>
            </w:tcBorders>
            <w:vAlign w:val="center"/>
          </w:tcPr>
          <w:p w14:paraId="572D9F4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与检验机构业务系统联动，对使用单位已申报检验的设备，该检验机构的检验人员通过扫特设码，可在设备主页查看管理的设备总数，点击下钻能查询设备清单明细，包含设备种类、备案绑码状态、设备地址、设备注册代码等信息。</w:t>
            </w:r>
          </w:p>
        </w:tc>
      </w:tr>
      <w:tr w14:paraId="147D6B6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CD7E8C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114</w:t>
            </w:r>
          </w:p>
        </w:tc>
        <w:tc>
          <w:tcPr>
            <w:tcW w:w="1143" w:type="pct"/>
            <w:tcBorders>
              <w:top w:val="nil"/>
              <w:left w:val="nil"/>
              <w:bottom w:val="single" w:color="000000" w:sz="4" w:space="0"/>
              <w:right w:val="single" w:color="000000" w:sz="4" w:space="0"/>
            </w:tcBorders>
            <w:vAlign w:val="center"/>
          </w:tcPr>
          <w:p w14:paraId="6084847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44CAD0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特种设备“城市码”应用场景-一码通识应用管理（移动端）-码上检验-检验检测机构-新装设备绑码</w:t>
            </w:r>
          </w:p>
        </w:tc>
        <w:tc>
          <w:tcPr>
            <w:tcW w:w="2158" w:type="pct"/>
            <w:tcBorders>
              <w:top w:val="nil"/>
              <w:left w:val="nil"/>
              <w:bottom w:val="single" w:color="000000" w:sz="4" w:space="0"/>
              <w:right w:val="single" w:color="000000" w:sz="4" w:space="0"/>
            </w:tcBorders>
            <w:vAlign w:val="center"/>
          </w:tcPr>
          <w:p w14:paraId="1D8BFC6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检验机构实现对监督检验新装设备进行扫码绑定。用户通过随申办【扫一扫】，扫描智慧特种设备二维码，根据用户体系和设备报检情况分类展示：若已绑定，则显示该设备的基本信息；若未绑定，则显示该设备未绑定，对未绑定的设备，设备申报的检验机构人员可进行绑码操作。选择对应的特种设备进行单台设备的绑定，确认绑定设备的基础信息并根据设备种类区分填报相关必要信息和上传图片与视频，不同的设备种类，设置不同的填报和上传图片视频的条件要求，对于压力容器设备绑定，由于填报内容涉及多项设备参数信息，在填报中进行帮助功能，最终实现对设备进行绑定。同时，可对设备根据条件进行筛选查询。</w:t>
            </w:r>
          </w:p>
        </w:tc>
      </w:tr>
      <w:tr w14:paraId="609B4FD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09BFF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115</w:t>
            </w:r>
          </w:p>
        </w:tc>
        <w:tc>
          <w:tcPr>
            <w:tcW w:w="1143" w:type="pct"/>
            <w:tcBorders>
              <w:top w:val="nil"/>
              <w:left w:val="nil"/>
              <w:bottom w:val="single" w:color="000000" w:sz="4" w:space="0"/>
              <w:right w:val="single" w:color="000000" w:sz="4" w:space="0"/>
            </w:tcBorders>
            <w:vAlign w:val="center"/>
          </w:tcPr>
          <w:p w14:paraId="243304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1FA4B3C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特种设备“城市码”应用场景-一码通识应用管理（移动端）-码上检验-检验检测机构-绑码信息修改</w:t>
            </w:r>
          </w:p>
        </w:tc>
        <w:tc>
          <w:tcPr>
            <w:tcW w:w="2158" w:type="pct"/>
            <w:tcBorders>
              <w:top w:val="nil"/>
              <w:left w:val="nil"/>
              <w:bottom w:val="single" w:color="000000" w:sz="4" w:space="0"/>
              <w:right w:val="single" w:color="000000" w:sz="4" w:space="0"/>
            </w:tcBorders>
            <w:vAlign w:val="center"/>
          </w:tcPr>
          <w:p w14:paraId="45F4748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当设备绑定完成后，可以通过信息纠错功能，对已录入或上传的图片视频进行信息修改，用于对设备的实时数据情况进行跟踪记录。</w:t>
            </w:r>
          </w:p>
        </w:tc>
      </w:tr>
      <w:tr w14:paraId="1495B86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EB296C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116</w:t>
            </w:r>
          </w:p>
        </w:tc>
        <w:tc>
          <w:tcPr>
            <w:tcW w:w="1143" w:type="pct"/>
            <w:tcBorders>
              <w:top w:val="nil"/>
              <w:left w:val="nil"/>
              <w:bottom w:val="single" w:color="000000" w:sz="4" w:space="0"/>
              <w:right w:val="single" w:color="000000" w:sz="4" w:space="0"/>
            </w:tcBorders>
            <w:vAlign w:val="center"/>
          </w:tcPr>
          <w:p w14:paraId="57CDBFF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09BBB5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特种设备“城市码”应用场景-一码通识应用管理（移动端）-码上服务-社会公众-设备情况公布联动</w:t>
            </w:r>
          </w:p>
        </w:tc>
        <w:tc>
          <w:tcPr>
            <w:tcW w:w="2158" w:type="pct"/>
            <w:tcBorders>
              <w:top w:val="nil"/>
              <w:left w:val="nil"/>
              <w:bottom w:val="single" w:color="000000" w:sz="4" w:space="0"/>
              <w:right w:val="single" w:color="000000" w:sz="4" w:space="0"/>
            </w:tcBorders>
            <w:vAlign w:val="center"/>
          </w:tcPr>
          <w:p w14:paraId="1AF9AA6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开发专门针对社会公众的扫码轻应用（基于H5），主要功能内容包含：</w:t>
            </w:r>
            <w:r>
              <w:rPr>
                <w:rFonts w:hint="eastAsia" w:cs="宋体"/>
                <w:color w:val="auto"/>
                <w:kern w:val="0"/>
                <w:sz w:val="22"/>
                <w:szCs w:val="22"/>
              </w:rPr>
              <w:br w:type="textWrapping"/>
            </w:r>
            <w:r>
              <w:rPr>
                <w:rFonts w:hint="eastAsia" w:cs="宋体"/>
                <w:color w:val="auto"/>
                <w:kern w:val="0"/>
                <w:sz w:val="22"/>
                <w:szCs w:val="22"/>
              </w:rPr>
              <w:t>1.设备综合信息公示，公众通过扫特设码了解设备信息，包括如：查看设备名称、注册代码、制造单位、制造日期（使用年限）、使用单位、维保单位、检验检测记录、安全评估结论、安全注意事项、责任安全员、维保记录等；</w:t>
            </w:r>
            <w:r>
              <w:rPr>
                <w:rFonts w:hint="eastAsia" w:cs="宋体"/>
                <w:color w:val="auto"/>
                <w:kern w:val="0"/>
                <w:sz w:val="22"/>
                <w:szCs w:val="22"/>
              </w:rPr>
              <w:br w:type="textWrapping"/>
            </w:r>
            <w:r>
              <w:rPr>
                <w:rFonts w:hint="eastAsia" w:cs="宋体"/>
                <w:color w:val="auto"/>
                <w:kern w:val="0"/>
                <w:sz w:val="22"/>
                <w:szCs w:val="22"/>
              </w:rPr>
              <w:t>2. “企业—监管—市民”协同功能，保障公众知情权，加强群众监督，提供线上交流、投诉举报、安全建议和反馈渠道，便于监管部门及时解决，服务企业发展；</w:t>
            </w:r>
            <w:r>
              <w:rPr>
                <w:rFonts w:hint="eastAsia" w:cs="宋体"/>
                <w:color w:val="auto"/>
                <w:kern w:val="0"/>
                <w:sz w:val="22"/>
                <w:szCs w:val="22"/>
              </w:rPr>
              <w:br w:type="textWrapping"/>
            </w:r>
            <w:r>
              <w:rPr>
                <w:rFonts w:hint="eastAsia" w:cs="宋体"/>
                <w:color w:val="auto"/>
                <w:kern w:val="0"/>
                <w:sz w:val="22"/>
                <w:szCs w:val="22"/>
              </w:rPr>
              <w:t>3.扫码查看设备已发生或正在发生的事件，并能实时了解故障、救援进展情况，（本次建设内容不含电梯）。</w:t>
            </w:r>
          </w:p>
        </w:tc>
      </w:tr>
      <w:tr w14:paraId="1D7C3E7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ADE8AA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117</w:t>
            </w:r>
          </w:p>
        </w:tc>
        <w:tc>
          <w:tcPr>
            <w:tcW w:w="1143" w:type="pct"/>
            <w:tcBorders>
              <w:top w:val="nil"/>
              <w:left w:val="nil"/>
              <w:bottom w:val="single" w:color="000000" w:sz="4" w:space="0"/>
              <w:right w:val="single" w:color="000000" w:sz="4" w:space="0"/>
            </w:tcBorders>
            <w:vAlign w:val="center"/>
          </w:tcPr>
          <w:p w14:paraId="757DAA5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1FFD6D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特种设备“城市码”应用场景-一码通识应用管理（移动端）-码上服务-社会公众-信息获取</w:t>
            </w:r>
          </w:p>
        </w:tc>
        <w:tc>
          <w:tcPr>
            <w:tcW w:w="2158" w:type="pct"/>
            <w:tcBorders>
              <w:top w:val="nil"/>
              <w:left w:val="nil"/>
              <w:bottom w:val="single" w:color="000000" w:sz="4" w:space="0"/>
              <w:right w:val="single" w:color="000000" w:sz="4" w:space="0"/>
            </w:tcBorders>
            <w:vAlign w:val="center"/>
          </w:tcPr>
          <w:p w14:paraId="2E4AB61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  二维码识别功能：调用手机摄像头，识别二维码，获取二维码中的信息。</w:t>
            </w:r>
            <w:r>
              <w:rPr>
                <w:rFonts w:hint="eastAsia" w:cs="宋体"/>
                <w:color w:val="auto"/>
                <w:kern w:val="0"/>
                <w:sz w:val="22"/>
                <w:szCs w:val="22"/>
              </w:rPr>
              <w:br w:type="textWrapping"/>
            </w:r>
            <w:r>
              <w:rPr>
                <w:rFonts w:hint="eastAsia" w:cs="宋体"/>
                <w:color w:val="auto"/>
                <w:kern w:val="0"/>
                <w:sz w:val="22"/>
                <w:szCs w:val="22"/>
              </w:rPr>
              <w:t>2. 数据传输功能：依据二维码中的信息，调用后台系统数据接口，获取数据。</w:t>
            </w:r>
            <w:r>
              <w:rPr>
                <w:rFonts w:hint="eastAsia" w:cs="宋体"/>
                <w:color w:val="auto"/>
                <w:kern w:val="0"/>
                <w:sz w:val="22"/>
                <w:szCs w:val="22"/>
              </w:rPr>
              <w:br w:type="textWrapping"/>
            </w:r>
            <w:r>
              <w:rPr>
                <w:rFonts w:hint="eastAsia" w:cs="宋体"/>
                <w:color w:val="auto"/>
                <w:kern w:val="0"/>
                <w:sz w:val="22"/>
                <w:szCs w:val="22"/>
              </w:rPr>
              <w:t>3. 数据处理功能：对传输过来的数据进行处理，验证数据的合法性、解析数据并生成展示页面。</w:t>
            </w:r>
            <w:r>
              <w:rPr>
                <w:rFonts w:hint="eastAsia" w:cs="宋体"/>
                <w:color w:val="auto"/>
                <w:kern w:val="0"/>
                <w:sz w:val="22"/>
                <w:szCs w:val="22"/>
              </w:rPr>
              <w:br w:type="textWrapping"/>
            </w:r>
            <w:r>
              <w:rPr>
                <w:rFonts w:hint="eastAsia" w:cs="宋体"/>
                <w:color w:val="auto"/>
                <w:kern w:val="0"/>
                <w:sz w:val="22"/>
                <w:szCs w:val="22"/>
              </w:rPr>
              <w:t>4. 安全防护功能：对传输过来的数据进行加密和防篡改处理，确保数据的安全性和完整性。</w:t>
            </w:r>
            <w:r>
              <w:rPr>
                <w:rFonts w:hint="eastAsia" w:cs="宋体"/>
                <w:color w:val="auto"/>
                <w:kern w:val="0"/>
                <w:sz w:val="22"/>
                <w:szCs w:val="22"/>
              </w:rPr>
              <w:br w:type="textWrapping"/>
            </w:r>
            <w:r>
              <w:rPr>
                <w:rFonts w:hint="eastAsia" w:cs="宋体"/>
                <w:color w:val="auto"/>
                <w:kern w:val="0"/>
                <w:sz w:val="22"/>
                <w:szCs w:val="22"/>
              </w:rPr>
              <w:t>5. 日志记录功能：记录用户操作日志，方便后续的审计和追溯。</w:t>
            </w:r>
            <w:r>
              <w:rPr>
                <w:rFonts w:hint="eastAsia" w:cs="宋体"/>
                <w:color w:val="auto"/>
                <w:kern w:val="0"/>
                <w:sz w:val="22"/>
                <w:szCs w:val="22"/>
              </w:rPr>
              <w:br w:type="textWrapping"/>
            </w:r>
            <w:r>
              <w:rPr>
                <w:rFonts w:hint="eastAsia" w:cs="宋体"/>
                <w:color w:val="auto"/>
                <w:kern w:val="0"/>
                <w:sz w:val="22"/>
                <w:szCs w:val="22"/>
              </w:rPr>
              <w:t>实现对“特设码”的扫码识别获取8大类设备详情，8大类展示不同页面（可公示信息）</w:t>
            </w:r>
          </w:p>
        </w:tc>
      </w:tr>
      <w:tr w14:paraId="3CC2024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F929AB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118</w:t>
            </w:r>
          </w:p>
        </w:tc>
        <w:tc>
          <w:tcPr>
            <w:tcW w:w="1143" w:type="pct"/>
            <w:tcBorders>
              <w:top w:val="nil"/>
              <w:left w:val="nil"/>
              <w:bottom w:val="single" w:color="000000" w:sz="4" w:space="0"/>
              <w:right w:val="single" w:color="000000" w:sz="4" w:space="0"/>
            </w:tcBorders>
            <w:vAlign w:val="center"/>
          </w:tcPr>
          <w:p w14:paraId="56930B5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48DF7A8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特种设备“城市码”应用场景-一码通识应用管理（移动端）-码上服务-社会公众-我的设备</w:t>
            </w:r>
          </w:p>
        </w:tc>
        <w:tc>
          <w:tcPr>
            <w:tcW w:w="2158" w:type="pct"/>
            <w:tcBorders>
              <w:top w:val="nil"/>
              <w:left w:val="nil"/>
              <w:bottom w:val="single" w:color="000000" w:sz="4" w:space="0"/>
              <w:right w:val="single" w:color="000000" w:sz="4" w:space="0"/>
            </w:tcBorders>
            <w:vAlign w:val="center"/>
          </w:tcPr>
          <w:p w14:paraId="3DD4877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 通过扫码添加特种设备。</w:t>
            </w:r>
            <w:r>
              <w:rPr>
                <w:rFonts w:hint="eastAsia" w:cs="宋体"/>
                <w:color w:val="auto"/>
                <w:kern w:val="0"/>
                <w:sz w:val="22"/>
                <w:szCs w:val="22"/>
              </w:rPr>
              <w:br w:type="textWrapping"/>
            </w:r>
            <w:r>
              <w:rPr>
                <w:rFonts w:hint="eastAsia" w:cs="宋体"/>
                <w:color w:val="auto"/>
                <w:kern w:val="0"/>
                <w:sz w:val="22"/>
                <w:szCs w:val="22"/>
              </w:rPr>
              <w:t>2. 可删除已添加的特种设备。</w:t>
            </w:r>
            <w:r>
              <w:rPr>
                <w:rFonts w:hint="eastAsia" w:cs="宋体"/>
                <w:color w:val="auto"/>
                <w:kern w:val="0"/>
                <w:sz w:val="22"/>
                <w:szCs w:val="22"/>
              </w:rPr>
              <w:br w:type="textWrapping"/>
            </w:r>
            <w:r>
              <w:rPr>
                <w:rFonts w:hint="eastAsia" w:cs="宋体"/>
                <w:color w:val="auto"/>
                <w:kern w:val="0"/>
                <w:sz w:val="22"/>
                <w:szCs w:val="22"/>
              </w:rPr>
              <w:t>3. 在已添加的特种设备清单中，做关键字查询。</w:t>
            </w:r>
            <w:r>
              <w:rPr>
                <w:rFonts w:hint="eastAsia" w:cs="宋体"/>
                <w:color w:val="auto"/>
                <w:kern w:val="0"/>
                <w:sz w:val="22"/>
                <w:szCs w:val="22"/>
              </w:rPr>
              <w:br w:type="textWrapping"/>
            </w:r>
            <w:r>
              <w:rPr>
                <w:rFonts w:hint="eastAsia" w:cs="宋体"/>
                <w:color w:val="auto"/>
                <w:kern w:val="0"/>
                <w:sz w:val="22"/>
                <w:szCs w:val="22"/>
              </w:rPr>
              <w:t>4. 浏览设备清单。</w:t>
            </w:r>
            <w:r>
              <w:rPr>
                <w:rFonts w:hint="eastAsia" w:cs="宋体"/>
                <w:color w:val="auto"/>
                <w:kern w:val="0"/>
                <w:sz w:val="22"/>
                <w:szCs w:val="22"/>
              </w:rPr>
              <w:br w:type="textWrapping"/>
            </w:r>
            <w:r>
              <w:rPr>
                <w:rFonts w:hint="eastAsia" w:cs="宋体"/>
                <w:color w:val="auto"/>
                <w:kern w:val="0"/>
                <w:sz w:val="22"/>
                <w:szCs w:val="22"/>
              </w:rPr>
              <w:t>5. 查看设备详情。</w:t>
            </w:r>
          </w:p>
        </w:tc>
      </w:tr>
      <w:tr w14:paraId="5975522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BC89B6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119</w:t>
            </w:r>
          </w:p>
        </w:tc>
        <w:tc>
          <w:tcPr>
            <w:tcW w:w="1143" w:type="pct"/>
            <w:tcBorders>
              <w:top w:val="nil"/>
              <w:left w:val="nil"/>
              <w:bottom w:val="single" w:color="000000" w:sz="4" w:space="0"/>
              <w:right w:val="single" w:color="000000" w:sz="4" w:space="0"/>
            </w:tcBorders>
            <w:vAlign w:val="center"/>
          </w:tcPr>
          <w:p w14:paraId="471903A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44A5663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特种设备“城市码”应用场景-一码通识应用管理（移动端）-码上服务-社会公众-应急报警-应急上报</w:t>
            </w:r>
          </w:p>
        </w:tc>
        <w:tc>
          <w:tcPr>
            <w:tcW w:w="2158" w:type="pct"/>
            <w:tcBorders>
              <w:top w:val="nil"/>
              <w:left w:val="nil"/>
              <w:bottom w:val="single" w:color="000000" w:sz="4" w:space="0"/>
              <w:right w:val="single" w:color="000000" w:sz="4" w:space="0"/>
            </w:tcBorders>
            <w:vAlign w:val="center"/>
          </w:tcPr>
          <w:p w14:paraId="4B02D9D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 自动获取报警人身份和联系方式信息</w:t>
            </w:r>
            <w:r>
              <w:rPr>
                <w:rFonts w:hint="eastAsia" w:cs="宋体"/>
                <w:color w:val="auto"/>
                <w:kern w:val="0"/>
                <w:sz w:val="22"/>
                <w:szCs w:val="22"/>
              </w:rPr>
              <w:br w:type="textWrapping"/>
            </w:r>
            <w:r>
              <w:rPr>
                <w:rFonts w:hint="eastAsia" w:cs="宋体"/>
                <w:color w:val="auto"/>
                <w:kern w:val="0"/>
                <w:sz w:val="22"/>
                <w:szCs w:val="22"/>
              </w:rPr>
              <w:t>2. 报警人通过报警页面填写必要信息后快速报警</w:t>
            </w:r>
            <w:r>
              <w:rPr>
                <w:rFonts w:hint="eastAsia" w:cs="宋体"/>
                <w:color w:val="auto"/>
                <w:kern w:val="0"/>
                <w:sz w:val="22"/>
                <w:szCs w:val="22"/>
              </w:rPr>
              <w:br w:type="textWrapping"/>
            </w:r>
            <w:r>
              <w:rPr>
                <w:rFonts w:hint="eastAsia" w:cs="宋体"/>
                <w:color w:val="auto"/>
                <w:kern w:val="0"/>
                <w:sz w:val="22"/>
                <w:szCs w:val="22"/>
              </w:rPr>
              <w:t>3. 系统将报警信息推送至应急处置后台系统，系统根据预定义应急处置流程推送报警信息至对应接收单位及人员</w:t>
            </w:r>
          </w:p>
        </w:tc>
      </w:tr>
      <w:tr w14:paraId="638F11B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CAC707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120</w:t>
            </w:r>
          </w:p>
        </w:tc>
        <w:tc>
          <w:tcPr>
            <w:tcW w:w="1143" w:type="pct"/>
            <w:tcBorders>
              <w:top w:val="nil"/>
              <w:left w:val="nil"/>
              <w:bottom w:val="single" w:color="000000" w:sz="4" w:space="0"/>
              <w:right w:val="single" w:color="000000" w:sz="4" w:space="0"/>
            </w:tcBorders>
            <w:vAlign w:val="center"/>
          </w:tcPr>
          <w:p w14:paraId="72E269D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205B33D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特种设备“城市码”应用场景-一码通识应用管理（移动端）-码上服务-社会公众-应急报警-处置查询</w:t>
            </w:r>
          </w:p>
        </w:tc>
        <w:tc>
          <w:tcPr>
            <w:tcW w:w="2158" w:type="pct"/>
            <w:tcBorders>
              <w:top w:val="nil"/>
              <w:left w:val="nil"/>
              <w:bottom w:val="single" w:color="000000" w:sz="4" w:space="0"/>
              <w:right w:val="single" w:color="000000" w:sz="4" w:space="0"/>
            </w:tcBorders>
            <w:vAlign w:val="center"/>
          </w:tcPr>
          <w:p w14:paraId="1E706F1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1.系统推送全程处置情况至“通知消息”模块</w:t>
            </w:r>
            <w:r>
              <w:rPr>
                <w:rFonts w:hint="eastAsia" w:cs="宋体"/>
                <w:color w:val="auto"/>
                <w:kern w:val="0"/>
                <w:sz w:val="22"/>
                <w:szCs w:val="22"/>
              </w:rPr>
              <w:br w:type="textWrapping"/>
            </w:r>
            <w:r>
              <w:rPr>
                <w:rFonts w:hint="eastAsia" w:cs="宋体"/>
                <w:color w:val="auto"/>
                <w:kern w:val="0"/>
                <w:sz w:val="22"/>
                <w:szCs w:val="22"/>
              </w:rPr>
              <w:t>2.在救援过程中可以查看救援人员实时位置信息，以地图形式展现。</w:t>
            </w:r>
          </w:p>
        </w:tc>
      </w:tr>
      <w:tr w14:paraId="6B1118F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038E1D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121</w:t>
            </w:r>
          </w:p>
        </w:tc>
        <w:tc>
          <w:tcPr>
            <w:tcW w:w="1143" w:type="pct"/>
            <w:tcBorders>
              <w:top w:val="nil"/>
              <w:left w:val="nil"/>
              <w:bottom w:val="single" w:color="000000" w:sz="4" w:space="0"/>
              <w:right w:val="single" w:color="000000" w:sz="4" w:space="0"/>
            </w:tcBorders>
            <w:vAlign w:val="center"/>
          </w:tcPr>
          <w:p w14:paraId="6BA2376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0E57F48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特种设备“城市码”应用场景-一码通识应用管理（移动端）-码上服务-社会公众-故障报修-故障上报</w:t>
            </w:r>
          </w:p>
        </w:tc>
        <w:tc>
          <w:tcPr>
            <w:tcW w:w="2158" w:type="pct"/>
            <w:tcBorders>
              <w:top w:val="nil"/>
              <w:left w:val="nil"/>
              <w:bottom w:val="single" w:color="000000" w:sz="4" w:space="0"/>
              <w:right w:val="single" w:color="000000" w:sz="4" w:space="0"/>
            </w:tcBorders>
            <w:vAlign w:val="center"/>
          </w:tcPr>
          <w:p w14:paraId="643928D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 自动获取报警人身份和联系方式信息</w:t>
            </w:r>
            <w:r>
              <w:rPr>
                <w:rFonts w:hint="eastAsia" w:cs="宋体"/>
                <w:color w:val="auto"/>
                <w:kern w:val="0"/>
                <w:sz w:val="22"/>
                <w:szCs w:val="22"/>
              </w:rPr>
              <w:br w:type="textWrapping"/>
            </w:r>
            <w:r>
              <w:rPr>
                <w:rFonts w:hint="eastAsia" w:cs="宋体"/>
                <w:color w:val="auto"/>
                <w:kern w:val="0"/>
                <w:sz w:val="22"/>
                <w:szCs w:val="22"/>
              </w:rPr>
              <w:t>2. 报修人通过故障报修页面填写必要信息后快速报修</w:t>
            </w:r>
            <w:r>
              <w:rPr>
                <w:rFonts w:hint="eastAsia" w:cs="宋体"/>
                <w:color w:val="auto"/>
                <w:kern w:val="0"/>
                <w:sz w:val="22"/>
                <w:szCs w:val="22"/>
              </w:rPr>
              <w:br w:type="textWrapping"/>
            </w:r>
            <w:r>
              <w:rPr>
                <w:rFonts w:hint="eastAsia" w:cs="宋体"/>
                <w:color w:val="auto"/>
                <w:kern w:val="0"/>
                <w:sz w:val="22"/>
                <w:szCs w:val="22"/>
              </w:rPr>
              <w:t>3. 系统将故障报修信息推送至故障急修处置后台系统，系统根据预定义故障报修流程推送报修信息至对应接收单位及人员。</w:t>
            </w:r>
          </w:p>
        </w:tc>
      </w:tr>
      <w:tr w14:paraId="41F7EFB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08D1B3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122</w:t>
            </w:r>
          </w:p>
        </w:tc>
        <w:tc>
          <w:tcPr>
            <w:tcW w:w="1143" w:type="pct"/>
            <w:tcBorders>
              <w:top w:val="nil"/>
              <w:left w:val="nil"/>
              <w:bottom w:val="single" w:color="000000" w:sz="4" w:space="0"/>
              <w:right w:val="single" w:color="000000" w:sz="4" w:space="0"/>
            </w:tcBorders>
            <w:vAlign w:val="center"/>
          </w:tcPr>
          <w:p w14:paraId="3FECA32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266B41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特种设备“城市码”应用场景-一码通识应用管理（移动端）-码上服务-社会公众-故障报修-过程查询</w:t>
            </w:r>
          </w:p>
        </w:tc>
        <w:tc>
          <w:tcPr>
            <w:tcW w:w="2158" w:type="pct"/>
            <w:tcBorders>
              <w:top w:val="nil"/>
              <w:left w:val="nil"/>
              <w:bottom w:val="single" w:color="000000" w:sz="4" w:space="0"/>
              <w:right w:val="single" w:color="000000" w:sz="4" w:space="0"/>
            </w:tcBorders>
            <w:vAlign w:val="center"/>
          </w:tcPr>
          <w:p w14:paraId="7AF11CD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系统推送全程处置情况至“通知消息”模块。</w:t>
            </w:r>
          </w:p>
        </w:tc>
      </w:tr>
      <w:tr w14:paraId="256D356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3E176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123</w:t>
            </w:r>
          </w:p>
        </w:tc>
        <w:tc>
          <w:tcPr>
            <w:tcW w:w="1143" w:type="pct"/>
            <w:tcBorders>
              <w:top w:val="nil"/>
              <w:left w:val="nil"/>
              <w:bottom w:val="single" w:color="000000" w:sz="4" w:space="0"/>
              <w:right w:val="single" w:color="000000" w:sz="4" w:space="0"/>
            </w:tcBorders>
            <w:vAlign w:val="center"/>
          </w:tcPr>
          <w:p w14:paraId="2ED864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7E68EF5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特种设备“城市码”应用场景-一码通识应用管理（移动端）-码上服务-社会公众-评价建议</w:t>
            </w:r>
          </w:p>
        </w:tc>
        <w:tc>
          <w:tcPr>
            <w:tcW w:w="2158" w:type="pct"/>
            <w:tcBorders>
              <w:top w:val="nil"/>
              <w:left w:val="nil"/>
              <w:bottom w:val="single" w:color="000000" w:sz="4" w:space="0"/>
              <w:right w:val="single" w:color="000000" w:sz="4" w:space="0"/>
            </w:tcBorders>
            <w:vAlign w:val="center"/>
          </w:tcPr>
          <w:p w14:paraId="178F50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1.自动获取评价建议人身份和联系方式信息</w:t>
            </w:r>
            <w:r>
              <w:rPr>
                <w:rFonts w:hint="eastAsia" w:cs="宋体"/>
                <w:color w:val="auto"/>
                <w:kern w:val="0"/>
                <w:sz w:val="22"/>
                <w:szCs w:val="22"/>
              </w:rPr>
              <w:br w:type="textWrapping"/>
            </w:r>
            <w:r>
              <w:rPr>
                <w:rFonts w:hint="eastAsia" w:cs="宋体"/>
                <w:color w:val="auto"/>
                <w:kern w:val="0"/>
                <w:sz w:val="22"/>
                <w:szCs w:val="22"/>
              </w:rPr>
              <w:t>2.评价建议人通过评价建议页面填写必要信息后提交信息</w:t>
            </w:r>
            <w:r>
              <w:rPr>
                <w:rFonts w:hint="eastAsia" w:cs="宋体"/>
                <w:color w:val="auto"/>
                <w:kern w:val="0"/>
                <w:sz w:val="22"/>
                <w:szCs w:val="22"/>
              </w:rPr>
              <w:br w:type="textWrapping"/>
            </w:r>
            <w:r>
              <w:rPr>
                <w:rFonts w:hint="eastAsia" w:cs="宋体"/>
                <w:color w:val="auto"/>
                <w:kern w:val="0"/>
                <w:sz w:val="22"/>
                <w:szCs w:val="22"/>
              </w:rPr>
              <w:t>3.系统将评价建议信息推送到监察，系统根据预定义评价建议流程推送信息至对应接收单位及人员。</w:t>
            </w:r>
            <w:r>
              <w:rPr>
                <w:rFonts w:hint="eastAsia" w:cs="宋体"/>
                <w:color w:val="auto"/>
                <w:kern w:val="0"/>
                <w:sz w:val="22"/>
                <w:szCs w:val="22"/>
              </w:rPr>
              <w:br w:type="textWrapping"/>
            </w:r>
            <w:r>
              <w:rPr>
                <w:rFonts w:hint="eastAsia" w:cs="宋体"/>
                <w:color w:val="auto"/>
                <w:kern w:val="0"/>
                <w:sz w:val="22"/>
                <w:szCs w:val="22"/>
              </w:rPr>
              <w:t>4.系统推送全程处置情况至“通知消息”模块。</w:t>
            </w:r>
          </w:p>
        </w:tc>
      </w:tr>
      <w:tr w14:paraId="778DAE9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5D5C98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124</w:t>
            </w:r>
          </w:p>
        </w:tc>
        <w:tc>
          <w:tcPr>
            <w:tcW w:w="1143" w:type="pct"/>
            <w:tcBorders>
              <w:top w:val="nil"/>
              <w:left w:val="nil"/>
              <w:bottom w:val="single" w:color="000000" w:sz="4" w:space="0"/>
              <w:right w:val="single" w:color="000000" w:sz="4" w:space="0"/>
            </w:tcBorders>
            <w:vAlign w:val="center"/>
          </w:tcPr>
          <w:p w14:paraId="67968B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23CDD91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特种设备“城市码”应用场景-一码通识应用管理（移动端）-码上服务-社会公众-信息公开-设备详情</w:t>
            </w:r>
          </w:p>
        </w:tc>
        <w:tc>
          <w:tcPr>
            <w:tcW w:w="2158" w:type="pct"/>
            <w:tcBorders>
              <w:top w:val="nil"/>
              <w:left w:val="nil"/>
              <w:bottom w:val="single" w:color="000000" w:sz="4" w:space="0"/>
              <w:right w:val="single" w:color="000000" w:sz="4" w:space="0"/>
            </w:tcBorders>
            <w:vAlign w:val="center"/>
          </w:tcPr>
          <w:p w14:paraId="31236C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不同类型特种设备以及用户权限，从各相关系统中调用接口获取信息并聚合展示设备相关可公示信息，包括：制造单位、设备型号、使用单位、维保单位、安全管理员、设备代码、使用场所、安装地址、救援电话、设备健康度、物联感知、各类历史记录（应急、故障、检验、检测、维保、监督检查、安全评估、单位信用评价、保险等）；8大类设备获取不同的接口相关信息。</w:t>
            </w:r>
          </w:p>
        </w:tc>
      </w:tr>
      <w:tr w14:paraId="57E1B72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2FDC91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125</w:t>
            </w:r>
          </w:p>
        </w:tc>
        <w:tc>
          <w:tcPr>
            <w:tcW w:w="1143" w:type="pct"/>
            <w:tcBorders>
              <w:top w:val="nil"/>
              <w:left w:val="nil"/>
              <w:bottom w:val="single" w:color="000000" w:sz="4" w:space="0"/>
              <w:right w:val="single" w:color="000000" w:sz="4" w:space="0"/>
            </w:tcBorders>
            <w:vAlign w:val="center"/>
          </w:tcPr>
          <w:p w14:paraId="0F08B2F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2196E6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特种设备“城市码”应用场景-特设码展示应用-运行状况统计分析-绑码率</w:t>
            </w:r>
          </w:p>
        </w:tc>
        <w:tc>
          <w:tcPr>
            <w:tcW w:w="2158" w:type="pct"/>
            <w:tcBorders>
              <w:top w:val="nil"/>
              <w:left w:val="nil"/>
              <w:bottom w:val="single" w:color="000000" w:sz="4" w:space="0"/>
              <w:right w:val="single" w:color="000000" w:sz="4" w:space="0"/>
            </w:tcBorders>
            <w:vAlign w:val="center"/>
          </w:tcPr>
          <w:p w14:paraId="201B629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特设码使用情况（各类终端、各类用户、扫码时间、使用功能、使用时长等）数据的收集、分类和统计查询，按设备所属区、按使用单位等不同用户主体进行查询统计。</w:t>
            </w:r>
          </w:p>
        </w:tc>
      </w:tr>
      <w:tr w14:paraId="4831F6F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51B8E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126</w:t>
            </w:r>
          </w:p>
        </w:tc>
        <w:tc>
          <w:tcPr>
            <w:tcW w:w="1143" w:type="pct"/>
            <w:tcBorders>
              <w:top w:val="nil"/>
              <w:left w:val="nil"/>
              <w:bottom w:val="single" w:color="000000" w:sz="4" w:space="0"/>
              <w:right w:val="single" w:color="000000" w:sz="4" w:space="0"/>
            </w:tcBorders>
            <w:vAlign w:val="center"/>
          </w:tcPr>
          <w:p w14:paraId="77FB0C0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w:t>
            </w:r>
          </w:p>
        </w:tc>
        <w:tc>
          <w:tcPr>
            <w:tcW w:w="1175" w:type="pct"/>
            <w:tcBorders>
              <w:top w:val="nil"/>
              <w:left w:val="nil"/>
              <w:bottom w:val="single" w:color="000000" w:sz="4" w:space="0"/>
              <w:right w:val="single" w:color="000000" w:sz="4" w:space="0"/>
            </w:tcBorders>
            <w:vAlign w:val="center"/>
          </w:tcPr>
          <w:p w14:paraId="0D4804A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特种设备“城市码”应用场景-特设码展示应用-运行状况统计分析-故障率</w:t>
            </w:r>
          </w:p>
        </w:tc>
        <w:tc>
          <w:tcPr>
            <w:tcW w:w="2158" w:type="pct"/>
            <w:tcBorders>
              <w:top w:val="nil"/>
              <w:left w:val="nil"/>
              <w:bottom w:val="single" w:color="000000" w:sz="4" w:space="0"/>
              <w:right w:val="single" w:color="000000" w:sz="4" w:space="0"/>
            </w:tcBorders>
            <w:vAlign w:val="center"/>
          </w:tcPr>
          <w:p w14:paraId="26E66A6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基于特设码关联的设备维修记录，按时间段统计不同类型、不同区域特种设备的故障率，并支持生成明细报表，让监管部门、使用单位清楚了解设备的可靠性表现。</w:t>
            </w:r>
          </w:p>
        </w:tc>
      </w:tr>
      <w:tr w14:paraId="7C8046D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0068F1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127</w:t>
            </w:r>
          </w:p>
        </w:tc>
        <w:tc>
          <w:tcPr>
            <w:tcW w:w="1143" w:type="pct"/>
            <w:tcBorders>
              <w:top w:val="nil"/>
              <w:left w:val="nil"/>
              <w:bottom w:val="single" w:color="000000" w:sz="4" w:space="0"/>
              <w:right w:val="single" w:color="000000" w:sz="4" w:space="0"/>
            </w:tcBorders>
            <w:vAlign w:val="center"/>
          </w:tcPr>
          <w:p w14:paraId="2031DDB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00DE64D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放心消费行动-放心消费工作管理-放心消费名单管理</w:t>
            </w:r>
          </w:p>
        </w:tc>
        <w:tc>
          <w:tcPr>
            <w:tcW w:w="2158" w:type="pct"/>
            <w:tcBorders>
              <w:top w:val="nil"/>
              <w:left w:val="nil"/>
              <w:bottom w:val="single" w:color="000000" w:sz="4" w:space="0"/>
              <w:right w:val="single" w:color="000000" w:sz="4" w:space="0"/>
            </w:tcBorders>
            <w:vAlign w:val="center"/>
          </w:tcPr>
          <w:p w14:paraId="122F57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放心消费单元管理 建立市局管理、区局维护、监管所上报的三级放心消费单元管理体系，实现相关放心消费单元名录的新增、维护、移除等功能。建立单元录入，支撑监管所上报录入放心单位信息，同时系统对接法人库，通过企业名称或统一社会信用代码，调取相关企业信息。并建立excel模板导入，支撑监管所上传单元名录。放心消费单元，包括企业、网店、网络直播间、以及村/居等单位。</w:t>
            </w:r>
            <w:r>
              <w:rPr>
                <w:rFonts w:hint="eastAsia" w:cs="宋体"/>
                <w:color w:val="auto"/>
                <w:kern w:val="0"/>
                <w:sz w:val="22"/>
                <w:szCs w:val="22"/>
              </w:rPr>
              <w:br w:type="textWrapping"/>
            </w:r>
            <w:r>
              <w:rPr>
                <w:rFonts w:hint="eastAsia" w:cs="宋体"/>
                <w:color w:val="auto"/>
                <w:kern w:val="0"/>
                <w:sz w:val="22"/>
                <w:szCs w:val="22"/>
              </w:rPr>
              <w:t>放心消费聚集区管理 放心消费集聚区是指，承载聚集放心消费单位的区域，如商圈，武康路、南京西路等；建立市局管理、区局维护、监管所上报的三级放心消费集聚区管理体系，实现相关放心消费聚集区的新增、维护、移除等功能。</w:t>
            </w:r>
            <w:r>
              <w:rPr>
                <w:rFonts w:hint="eastAsia" w:cs="宋体"/>
                <w:color w:val="auto"/>
                <w:kern w:val="0"/>
                <w:sz w:val="22"/>
                <w:szCs w:val="22"/>
              </w:rPr>
              <w:br w:type="textWrapping"/>
            </w:r>
            <w:r>
              <w:rPr>
                <w:rFonts w:hint="eastAsia" w:cs="宋体"/>
                <w:color w:val="auto"/>
                <w:kern w:val="0"/>
                <w:sz w:val="22"/>
                <w:szCs w:val="22"/>
              </w:rPr>
              <w:t>放心消费单元和聚集区的关联管理 建立放心消费单元和聚集区的关联管理，通过地址范围匹配和人工匹配，形成放心消费消费单元和聚集区的关联关系。并建立取消关联，支撑工作人员解除放心消费单元和聚集区的关联关系。</w:t>
            </w:r>
            <w:r>
              <w:rPr>
                <w:rFonts w:hint="eastAsia" w:cs="宋体"/>
                <w:color w:val="auto"/>
                <w:kern w:val="0"/>
                <w:sz w:val="22"/>
                <w:szCs w:val="22"/>
              </w:rPr>
              <w:br w:type="textWrapping"/>
            </w:r>
            <w:r>
              <w:rPr>
                <w:rFonts w:hint="eastAsia" w:cs="宋体"/>
                <w:color w:val="auto"/>
                <w:kern w:val="0"/>
                <w:sz w:val="22"/>
                <w:szCs w:val="22"/>
              </w:rPr>
              <w:t>放心消费单元失效管理 建立放心消费单元失效管理，支撑工作人员，对放心消费单位的状态进行维护。包括失效，有效等。</w:t>
            </w:r>
            <w:r>
              <w:rPr>
                <w:rFonts w:hint="eastAsia" w:cs="宋体"/>
                <w:color w:val="auto"/>
                <w:kern w:val="0"/>
                <w:sz w:val="22"/>
                <w:szCs w:val="22"/>
              </w:rPr>
              <w:br w:type="textWrapping"/>
            </w:r>
            <w:r>
              <w:rPr>
                <w:rFonts w:hint="eastAsia" w:cs="宋体"/>
                <w:color w:val="auto"/>
                <w:kern w:val="0"/>
                <w:sz w:val="22"/>
                <w:szCs w:val="22"/>
              </w:rPr>
              <w:t>放心消费名录查询统计 提供对放心消费名录，包括放心消费单元、聚集区的类型、名称、状态等情况的查询与统计功能。</w:t>
            </w:r>
          </w:p>
        </w:tc>
      </w:tr>
      <w:tr w14:paraId="174D699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38FE3D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128</w:t>
            </w:r>
          </w:p>
        </w:tc>
        <w:tc>
          <w:tcPr>
            <w:tcW w:w="1143" w:type="pct"/>
            <w:tcBorders>
              <w:top w:val="nil"/>
              <w:left w:val="nil"/>
              <w:bottom w:val="single" w:color="000000" w:sz="4" w:space="0"/>
              <w:right w:val="single" w:color="000000" w:sz="4" w:space="0"/>
            </w:tcBorders>
            <w:vAlign w:val="center"/>
          </w:tcPr>
          <w:p w14:paraId="487FAE6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4E195AB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放心消费行动-放心消费工作管理-放心消费标签管理</w:t>
            </w:r>
          </w:p>
        </w:tc>
        <w:tc>
          <w:tcPr>
            <w:tcW w:w="2158" w:type="pct"/>
            <w:tcBorders>
              <w:top w:val="nil"/>
              <w:left w:val="nil"/>
              <w:bottom w:val="single" w:color="000000" w:sz="4" w:space="0"/>
              <w:right w:val="single" w:color="000000" w:sz="4" w:space="0"/>
            </w:tcBorders>
            <w:vAlign w:val="center"/>
          </w:tcPr>
          <w:p w14:paraId="539A0B2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建立标签管理，实现放心消费标签的新增、维护、移除等功能。通过权限控制，支撑工作人员建立相关标签，如无理由退换货单位、异地异店退换货总部、异地异店退换货门店、7日不理由单位等标签。</w:t>
            </w:r>
            <w:r>
              <w:rPr>
                <w:rFonts w:hint="eastAsia" w:cs="宋体"/>
                <w:color w:val="auto"/>
                <w:kern w:val="0"/>
                <w:sz w:val="22"/>
                <w:szCs w:val="22"/>
              </w:rPr>
              <w:br w:type="textWrapping"/>
            </w:r>
            <w:r>
              <w:rPr>
                <w:rFonts w:hint="eastAsia" w:cs="宋体"/>
                <w:color w:val="auto"/>
                <w:kern w:val="0"/>
                <w:sz w:val="22"/>
                <w:szCs w:val="22"/>
              </w:rPr>
              <w:t>依托放心消费标签体系，建立标注功能，支撑工作人员对放心消费单元进行标注，如异地异店退换货总部、异地异店退换货门店等。包括新增标注、取消标注等。</w:t>
            </w:r>
          </w:p>
        </w:tc>
      </w:tr>
      <w:tr w14:paraId="7FEBB04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B9C837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129</w:t>
            </w:r>
          </w:p>
        </w:tc>
        <w:tc>
          <w:tcPr>
            <w:tcW w:w="1143" w:type="pct"/>
            <w:tcBorders>
              <w:top w:val="nil"/>
              <w:left w:val="nil"/>
              <w:bottom w:val="single" w:color="000000" w:sz="4" w:space="0"/>
              <w:right w:val="single" w:color="000000" w:sz="4" w:space="0"/>
            </w:tcBorders>
            <w:vAlign w:val="center"/>
          </w:tcPr>
          <w:p w14:paraId="5CEFB6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3FD720B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放心消费行动-放心消费工作管理-放心消费日常管理</w:t>
            </w:r>
          </w:p>
        </w:tc>
        <w:tc>
          <w:tcPr>
            <w:tcW w:w="2158" w:type="pct"/>
            <w:tcBorders>
              <w:top w:val="nil"/>
              <w:left w:val="nil"/>
              <w:bottom w:val="single" w:color="000000" w:sz="4" w:space="0"/>
              <w:right w:val="single" w:color="000000" w:sz="4" w:space="0"/>
            </w:tcBorders>
            <w:vAlign w:val="center"/>
          </w:tcPr>
          <w:p w14:paraId="53B1DD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无理由退换货承诺记录 记录放心消费单元承诺线下无理由退货相关情况，形成线下无理由退换货单位名录。</w:t>
            </w:r>
            <w:r>
              <w:rPr>
                <w:rFonts w:hint="eastAsia" w:cs="宋体"/>
                <w:color w:val="auto"/>
                <w:kern w:val="0"/>
                <w:sz w:val="22"/>
                <w:szCs w:val="22"/>
              </w:rPr>
              <w:br w:type="textWrapping"/>
            </w:r>
            <w:r>
              <w:rPr>
                <w:rFonts w:hint="eastAsia" w:cs="宋体"/>
                <w:color w:val="auto"/>
                <w:kern w:val="0"/>
                <w:sz w:val="22"/>
                <w:szCs w:val="22"/>
              </w:rPr>
              <w:t>异地异店退换货记录 记录每年放心消费单元的异地异店退换货的数量情况，系统提供excel模板导入或人工录入方式，支撑监管所录入导入相关情况。形成异地异店退换货单位名录。</w:t>
            </w:r>
            <w:r>
              <w:rPr>
                <w:rFonts w:hint="eastAsia" w:cs="宋体"/>
                <w:color w:val="auto"/>
                <w:kern w:val="0"/>
                <w:sz w:val="22"/>
                <w:szCs w:val="22"/>
              </w:rPr>
              <w:br w:type="textWrapping"/>
            </w:r>
            <w:r>
              <w:rPr>
                <w:rFonts w:hint="eastAsia" w:cs="宋体"/>
                <w:color w:val="auto"/>
                <w:kern w:val="0"/>
                <w:sz w:val="22"/>
                <w:szCs w:val="22"/>
              </w:rPr>
              <w:t>放心消费单元抽查记录 记录对放心消费单元的抽查情况与抽查结果。</w:t>
            </w:r>
            <w:r>
              <w:rPr>
                <w:rFonts w:hint="eastAsia" w:cs="宋体"/>
                <w:color w:val="auto"/>
                <w:kern w:val="0"/>
                <w:sz w:val="22"/>
                <w:szCs w:val="22"/>
              </w:rPr>
              <w:br w:type="textWrapping"/>
            </w:r>
            <w:r>
              <w:rPr>
                <w:rFonts w:hint="eastAsia" w:cs="宋体"/>
                <w:color w:val="auto"/>
                <w:kern w:val="0"/>
                <w:sz w:val="22"/>
                <w:szCs w:val="22"/>
              </w:rPr>
              <w:t>放心消费行动查询统计 提供对放心消费单元的无理由退货承诺、异地异店退换货行为、抽查等各类情况的查询与统计功能。</w:t>
            </w:r>
            <w:r>
              <w:rPr>
                <w:rFonts w:hint="eastAsia" w:cs="宋体"/>
                <w:color w:val="auto"/>
                <w:kern w:val="0"/>
                <w:sz w:val="22"/>
                <w:szCs w:val="22"/>
              </w:rPr>
              <w:br w:type="textWrapping"/>
            </w:r>
            <w:r>
              <w:rPr>
                <w:rFonts w:hint="eastAsia" w:cs="宋体"/>
                <w:color w:val="auto"/>
                <w:kern w:val="0"/>
                <w:sz w:val="22"/>
                <w:szCs w:val="22"/>
              </w:rPr>
              <w:t>放心消费行动电子地图 通过电子地图形式，展示放心消费单元、聚集区在本市分布及优秀企业的信息，包括企业名称、企业地址、是否无理由退货、是否异地退换货等的相关单位信息。</w:t>
            </w:r>
          </w:p>
        </w:tc>
      </w:tr>
      <w:tr w14:paraId="0DB312F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7D794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130</w:t>
            </w:r>
          </w:p>
        </w:tc>
        <w:tc>
          <w:tcPr>
            <w:tcW w:w="1143" w:type="pct"/>
            <w:tcBorders>
              <w:top w:val="nil"/>
              <w:left w:val="nil"/>
              <w:bottom w:val="single" w:color="000000" w:sz="4" w:space="0"/>
              <w:right w:val="single" w:color="000000" w:sz="4" w:space="0"/>
            </w:tcBorders>
            <w:vAlign w:val="center"/>
          </w:tcPr>
          <w:p w14:paraId="355FC1B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5F657A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放心消费行动-放心消费工作管理-异地异店退换货企业管理</w:t>
            </w:r>
          </w:p>
        </w:tc>
        <w:tc>
          <w:tcPr>
            <w:tcW w:w="2158" w:type="pct"/>
            <w:tcBorders>
              <w:top w:val="nil"/>
              <w:left w:val="nil"/>
              <w:bottom w:val="single" w:color="000000" w:sz="4" w:space="0"/>
              <w:right w:val="single" w:color="000000" w:sz="4" w:space="0"/>
            </w:tcBorders>
            <w:vAlign w:val="center"/>
          </w:tcPr>
          <w:p w14:paraId="2337937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异地异店退换货总部与门店的关联和查询统计 依托放心消费标签体系（异地异店退换货总部、异地异店退换货门店），建立人工匹配，支撑工作人员，通过勾选的方式，实现异地异店退换货总部与异地异店退换货门店两者的关联关系。提供异地异店线下退换货企业总部及门店的查询与统计。</w:t>
            </w:r>
            <w:r>
              <w:rPr>
                <w:rFonts w:hint="eastAsia" w:cs="宋体"/>
                <w:color w:val="auto"/>
                <w:kern w:val="0"/>
                <w:sz w:val="22"/>
                <w:szCs w:val="22"/>
              </w:rPr>
              <w:br w:type="textWrapping"/>
            </w:r>
            <w:r>
              <w:rPr>
                <w:rFonts w:hint="eastAsia" w:cs="宋体"/>
                <w:color w:val="auto"/>
                <w:kern w:val="0"/>
                <w:sz w:val="22"/>
                <w:szCs w:val="22"/>
              </w:rPr>
              <w:t>异地异店退换货企业电子地图 通过电子地图形式，展示异地异店退换货单位（总部、门店）的本市分布情况。</w:t>
            </w:r>
          </w:p>
        </w:tc>
      </w:tr>
      <w:tr w14:paraId="34CF6AE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D28F37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131</w:t>
            </w:r>
          </w:p>
        </w:tc>
        <w:tc>
          <w:tcPr>
            <w:tcW w:w="1143" w:type="pct"/>
            <w:tcBorders>
              <w:top w:val="nil"/>
              <w:left w:val="nil"/>
              <w:bottom w:val="single" w:color="000000" w:sz="4" w:space="0"/>
              <w:right w:val="single" w:color="000000" w:sz="4" w:space="0"/>
            </w:tcBorders>
            <w:vAlign w:val="center"/>
          </w:tcPr>
          <w:p w14:paraId="4A40A61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7C39B91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放心消费行动-满意消费长三角信息应用-满意消费长三角信息查询统计</w:t>
            </w:r>
          </w:p>
        </w:tc>
        <w:tc>
          <w:tcPr>
            <w:tcW w:w="2158" w:type="pct"/>
            <w:tcBorders>
              <w:top w:val="nil"/>
              <w:left w:val="nil"/>
              <w:bottom w:val="single" w:color="000000" w:sz="4" w:space="0"/>
              <w:right w:val="single" w:color="000000" w:sz="4" w:space="0"/>
            </w:tcBorders>
            <w:vAlign w:val="center"/>
          </w:tcPr>
          <w:p w14:paraId="54270E7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放心消费单位查询统计 提供对长三角放心消费单位的查询与统计功能。</w:t>
            </w:r>
            <w:r>
              <w:rPr>
                <w:rFonts w:hint="eastAsia" w:cs="宋体"/>
                <w:color w:val="auto"/>
                <w:kern w:val="0"/>
                <w:sz w:val="22"/>
                <w:szCs w:val="22"/>
              </w:rPr>
              <w:br w:type="textWrapping"/>
            </w:r>
            <w:r>
              <w:rPr>
                <w:rFonts w:hint="eastAsia" w:cs="宋体"/>
                <w:color w:val="auto"/>
                <w:kern w:val="0"/>
                <w:sz w:val="22"/>
                <w:szCs w:val="22"/>
              </w:rPr>
              <w:t>无理由退换货单位查询统计 提供对长三角无理由退换货单位的查询与统计功能。</w:t>
            </w:r>
            <w:r>
              <w:rPr>
                <w:rFonts w:hint="eastAsia" w:cs="宋体"/>
                <w:color w:val="auto"/>
                <w:kern w:val="0"/>
                <w:sz w:val="22"/>
                <w:szCs w:val="22"/>
              </w:rPr>
              <w:br w:type="textWrapping"/>
            </w:r>
            <w:r>
              <w:rPr>
                <w:rFonts w:hint="eastAsia" w:cs="宋体"/>
                <w:color w:val="auto"/>
                <w:kern w:val="0"/>
                <w:sz w:val="22"/>
                <w:szCs w:val="22"/>
              </w:rPr>
              <w:t>异地异店退换货企业查询统计 提供对长三角异地异店退换货企业总部及分支的查询与统计功能。</w:t>
            </w:r>
            <w:r>
              <w:rPr>
                <w:rFonts w:hint="eastAsia" w:cs="宋体"/>
                <w:color w:val="auto"/>
                <w:kern w:val="0"/>
                <w:sz w:val="22"/>
                <w:szCs w:val="22"/>
              </w:rPr>
              <w:br w:type="textWrapping"/>
            </w:r>
            <w:r>
              <w:rPr>
                <w:rFonts w:hint="eastAsia" w:cs="宋体"/>
                <w:color w:val="auto"/>
                <w:kern w:val="0"/>
                <w:sz w:val="22"/>
                <w:szCs w:val="22"/>
              </w:rPr>
              <w:t>投诉举报异常名录查询统计 提供对长三角投诉举报异常名录的查询与统计功能。</w:t>
            </w:r>
          </w:p>
        </w:tc>
      </w:tr>
      <w:tr w14:paraId="4DF94CD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EA7F7E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132</w:t>
            </w:r>
          </w:p>
        </w:tc>
        <w:tc>
          <w:tcPr>
            <w:tcW w:w="1143" w:type="pct"/>
            <w:tcBorders>
              <w:top w:val="nil"/>
              <w:left w:val="nil"/>
              <w:bottom w:val="single" w:color="000000" w:sz="4" w:space="0"/>
              <w:right w:val="single" w:color="000000" w:sz="4" w:space="0"/>
            </w:tcBorders>
            <w:vAlign w:val="center"/>
          </w:tcPr>
          <w:p w14:paraId="2F3C0B6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77BDFA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放心消费行动-满意消费长三角信息应用-满意消费长三角信息关联比对</w:t>
            </w:r>
          </w:p>
        </w:tc>
        <w:tc>
          <w:tcPr>
            <w:tcW w:w="2158" w:type="pct"/>
            <w:tcBorders>
              <w:top w:val="nil"/>
              <w:left w:val="nil"/>
              <w:bottom w:val="single" w:color="000000" w:sz="4" w:space="0"/>
              <w:right w:val="single" w:color="000000" w:sz="4" w:space="0"/>
            </w:tcBorders>
            <w:vAlign w:val="center"/>
          </w:tcPr>
          <w:p w14:paraId="5606A15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明确数据共享标准规范，建立字段格式统一的数据库，通过长三角数据共享交换平台，实现长三角地区放心消费单位、无理由退换货单位、异地异店退换货企业、以及投诉举报异常名录等信息归集共享之后，实现与长三角经营主体库、本市经营主体库的关联。</w:t>
            </w:r>
          </w:p>
        </w:tc>
      </w:tr>
      <w:tr w14:paraId="328C345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C6554B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133</w:t>
            </w:r>
          </w:p>
        </w:tc>
        <w:tc>
          <w:tcPr>
            <w:tcW w:w="1143" w:type="pct"/>
            <w:tcBorders>
              <w:top w:val="nil"/>
              <w:left w:val="nil"/>
              <w:bottom w:val="single" w:color="000000" w:sz="4" w:space="0"/>
              <w:right w:val="single" w:color="000000" w:sz="4" w:space="0"/>
            </w:tcBorders>
            <w:vAlign w:val="center"/>
          </w:tcPr>
          <w:p w14:paraId="2AD85A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294295C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放心消费行动-满意消费长三角信息应用-投诉举报异常名录信息应用</w:t>
            </w:r>
          </w:p>
        </w:tc>
        <w:tc>
          <w:tcPr>
            <w:tcW w:w="2158" w:type="pct"/>
            <w:tcBorders>
              <w:top w:val="nil"/>
              <w:left w:val="nil"/>
              <w:bottom w:val="single" w:color="000000" w:sz="4" w:space="0"/>
              <w:right w:val="single" w:color="000000" w:sz="4" w:space="0"/>
            </w:tcBorders>
            <w:vAlign w:val="center"/>
          </w:tcPr>
          <w:p w14:paraId="4AE3245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通过数据共享与接口服务，实现长三角投诉举报异常名录在本市公众诉求处置系统中的应用，形成长三角地区对投诉举报异常名录的共享应用与协同监管。</w:t>
            </w:r>
          </w:p>
        </w:tc>
      </w:tr>
      <w:tr w14:paraId="24D6063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0F6B75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134</w:t>
            </w:r>
          </w:p>
        </w:tc>
        <w:tc>
          <w:tcPr>
            <w:tcW w:w="1143" w:type="pct"/>
            <w:tcBorders>
              <w:top w:val="nil"/>
              <w:left w:val="nil"/>
              <w:bottom w:val="single" w:color="000000" w:sz="4" w:space="0"/>
              <w:right w:val="single" w:color="000000" w:sz="4" w:space="0"/>
            </w:tcBorders>
            <w:vAlign w:val="center"/>
          </w:tcPr>
          <w:p w14:paraId="1A212A6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642555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放心消费行动-满意消费公众服务-线下无理由退换货单位查询</w:t>
            </w:r>
          </w:p>
        </w:tc>
        <w:tc>
          <w:tcPr>
            <w:tcW w:w="2158" w:type="pct"/>
            <w:tcBorders>
              <w:top w:val="nil"/>
              <w:left w:val="nil"/>
              <w:bottom w:val="single" w:color="000000" w:sz="4" w:space="0"/>
              <w:right w:val="single" w:color="000000" w:sz="4" w:space="0"/>
            </w:tcBorders>
            <w:vAlign w:val="center"/>
          </w:tcPr>
          <w:p w14:paraId="7CDE208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面向社会公众，提供本市无理由退货单位的查询功能，并提供该企业相关的放心消费和退换货承诺等信息。</w:t>
            </w:r>
          </w:p>
        </w:tc>
      </w:tr>
      <w:tr w14:paraId="34116E0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965A5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135</w:t>
            </w:r>
          </w:p>
        </w:tc>
        <w:tc>
          <w:tcPr>
            <w:tcW w:w="1143" w:type="pct"/>
            <w:tcBorders>
              <w:top w:val="nil"/>
              <w:left w:val="nil"/>
              <w:bottom w:val="single" w:color="000000" w:sz="4" w:space="0"/>
              <w:right w:val="single" w:color="000000" w:sz="4" w:space="0"/>
            </w:tcBorders>
            <w:vAlign w:val="center"/>
          </w:tcPr>
          <w:p w14:paraId="39BF49B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w:t>
            </w:r>
          </w:p>
        </w:tc>
        <w:tc>
          <w:tcPr>
            <w:tcW w:w="1175" w:type="pct"/>
            <w:tcBorders>
              <w:top w:val="nil"/>
              <w:left w:val="nil"/>
              <w:bottom w:val="single" w:color="000000" w:sz="4" w:space="0"/>
              <w:right w:val="single" w:color="000000" w:sz="4" w:space="0"/>
            </w:tcBorders>
            <w:vAlign w:val="center"/>
          </w:tcPr>
          <w:p w14:paraId="57174E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放心消费行动-满意消费公众服务-异地异店退换货企业查询</w:t>
            </w:r>
          </w:p>
        </w:tc>
        <w:tc>
          <w:tcPr>
            <w:tcW w:w="2158" w:type="pct"/>
            <w:tcBorders>
              <w:top w:val="nil"/>
              <w:left w:val="nil"/>
              <w:bottom w:val="single" w:color="000000" w:sz="4" w:space="0"/>
              <w:right w:val="single" w:color="000000" w:sz="4" w:space="0"/>
            </w:tcBorders>
            <w:vAlign w:val="center"/>
          </w:tcPr>
          <w:p w14:paraId="783C8C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面向社会公众，提供异地异店退换货企业的查询功能，并提供该企业相关的总部或分支单位信息。</w:t>
            </w:r>
          </w:p>
        </w:tc>
      </w:tr>
      <w:tr w14:paraId="3CF2B93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0C1D9B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136</w:t>
            </w:r>
          </w:p>
        </w:tc>
        <w:tc>
          <w:tcPr>
            <w:tcW w:w="1143" w:type="pct"/>
            <w:tcBorders>
              <w:top w:val="nil"/>
              <w:left w:val="nil"/>
              <w:bottom w:val="single" w:color="000000" w:sz="4" w:space="0"/>
              <w:right w:val="single" w:color="000000" w:sz="4" w:space="0"/>
            </w:tcBorders>
            <w:vAlign w:val="center"/>
          </w:tcPr>
          <w:p w14:paraId="582141C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1E0AEF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数字档案-独立归档模块定开-登记档案归档</w:t>
            </w:r>
          </w:p>
        </w:tc>
        <w:tc>
          <w:tcPr>
            <w:tcW w:w="2158" w:type="pct"/>
            <w:tcBorders>
              <w:top w:val="nil"/>
              <w:left w:val="nil"/>
              <w:bottom w:val="single" w:color="000000" w:sz="4" w:space="0"/>
              <w:right w:val="single" w:color="000000" w:sz="4" w:space="0"/>
            </w:tcBorders>
            <w:vAlign w:val="center"/>
          </w:tcPr>
          <w:p w14:paraId="5461A82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1、针对登记系统内资、外资、个体、农专的新办、变更、注销等事项分别制定归档范围和元数据进行档案收集</w:t>
            </w:r>
            <w:r>
              <w:rPr>
                <w:rFonts w:hint="eastAsia" w:cs="宋体"/>
                <w:color w:val="auto"/>
                <w:kern w:val="0"/>
                <w:sz w:val="22"/>
                <w:szCs w:val="22"/>
              </w:rPr>
              <w:br w:type="textWrapping"/>
            </w:r>
            <w:r>
              <w:rPr>
                <w:rFonts w:hint="eastAsia" w:cs="宋体"/>
                <w:color w:val="auto"/>
                <w:kern w:val="0"/>
                <w:sz w:val="22"/>
                <w:szCs w:val="22"/>
              </w:rPr>
              <w:t>2、对接登记系统，通过接口调取市场主体的信息，自动预填元数据</w:t>
            </w:r>
            <w:r>
              <w:rPr>
                <w:rFonts w:hint="eastAsia" w:cs="宋体"/>
                <w:color w:val="auto"/>
                <w:kern w:val="0"/>
                <w:sz w:val="22"/>
                <w:szCs w:val="22"/>
              </w:rPr>
              <w:br w:type="textWrapping"/>
            </w:r>
            <w:r>
              <w:rPr>
                <w:rFonts w:hint="eastAsia" w:cs="宋体"/>
                <w:color w:val="auto"/>
                <w:kern w:val="0"/>
                <w:sz w:val="22"/>
                <w:szCs w:val="22"/>
              </w:rPr>
              <w:t>3、生成电子档案号通过接口返回登记系统</w:t>
            </w:r>
          </w:p>
        </w:tc>
      </w:tr>
      <w:tr w14:paraId="79CD1CE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B2B173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137</w:t>
            </w:r>
          </w:p>
        </w:tc>
        <w:tc>
          <w:tcPr>
            <w:tcW w:w="1143" w:type="pct"/>
            <w:tcBorders>
              <w:top w:val="nil"/>
              <w:left w:val="nil"/>
              <w:bottom w:val="single" w:color="000000" w:sz="4" w:space="0"/>
              <w:right w:val="single" w:color="000000" w:sz="4" w:space="0"/>
            </w:tcBorders>
            <w:vAlign w:val="center"/>
          </w:tcPr>
          <w:p w14:paraId="217E2DE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506BCF7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数字档案-独立归档模块定开-文书档案归档</w:t>
            </w:r>
          </w:p>
        </w:tc>
        <w:tc>
          <w:tcPr>
            <w:tcW w:w="2158" w:type="pct"/>
            <w:tcBorders>
              <w:top w:val="nil"/>
              <w:left w:val="nil"/>
              <w:bottom w:val="single" w:color="000000" w:sz="4" w:space="0"/>
              <w:right w:val="single" w:color="000000" w:sz="4" w:space="0"/>
            </w:tcBorders>
            <w:vAlign w:val="center"/>
          </w:tcPr>
          <w:p w14:paraId="364A1DA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针对市场监督管理局各个处室分别制定归档范围和元数据进行收集</w:t>
            </w:r>
          </w:p>
        </w:tc>
      </w:tr>
      <w:tr w14:paraId="299A115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E1FDC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138</w:t>
            </w:r>
          </w:p>
        </w:tc>
        <w:tc>
          <w:tcPr>
            <w:tcW w:w="1143" w:type="pct"/>
            <w:tcBorders>
              <w:top w:val="nil"/>
              <w:left w:val="nil"/>
              <w:bottom w:val="single" w:color="000000" w:sz="4" w:space="0"/>
              <w:right w:val="single" w:color="000000" w:sz="4" w:space="0"/>
            </w:tcBorders>
            <w:vAlign w:val="center"/>
          </w:tcPr>
          <w:p w14:paraId="7284393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40E87EC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数字档案-独立归档模块定开-会计类档案归档</w:t>
            </w:r>
          </w:p>
        </w:tc>
        <w:tc>
          <w:tcPr>
            <w:tcW w:w="2158" w:type="pct"/>
            <w:tcBorders>
              <w:top w:val="nil"/>
              <w:left w:val="nil"/>
              <w:bottom w:val="single" w:color="000000" w:sz="4" w:space="0"/>
              <w:right w:val="single" w:color="000000" w:sz="4" w:space="0"/>
            </w:tcBorders>
            <w:vAlign w:val="center"/>
          </w:tcPr>
          <w:p w14:paraId="168CDDB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针对市场监督管理局科财处制定归档范围和元数据进行收集</w:t>
            </w:r>
          </w:p>
        </w:tc>
      </w:tr>
      <w:tr w14:paraId="1D8381E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44B9EB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139</w:t>
            </w:r>
          </w:p>
        </w:tc>
        <w:tc>
          <w:tcPr>
            <w:tcW w:w="1143" w:type="pct"/>
            <w:tcBorders>
              <w:top w:val="nil"/>
              <w:left w:val="nil"/>
              <w:bottom w:val="single" w:color="000000" w:sz="4" w:space="0"/>
              <w:right w:val="single" w:color="000000" w:sz="4" w:space="0"/>
            </w:tcBorders>
            <w:vAlign w:val="center"/>
          </w:tcPr>
          <w:p w14:paraId="0C8DFCC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0F27799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数字档案-独立归档模块定开-人事类档案归档</w:t>
            </w:r>
          </w:p>
        </w:tc>
        <w:tc>
          <w:tcPr>
            <w:tcW w:w="2158" w:type="pct"/>
            <w:tcBorders>
              <w:top w:val="nil"/>
              <w:left w:val="nil"/>
              <w:bottom w:val="single" w:color="000000" w:sz="4" w:space="0"/>
              <w:right w:val="single" w:color="000000" w:sz="4" w:space="0"/>
            </w:tcBorders>
            <w:vAlign w:val="center"/>
          </w:tcPr>
          <w:p w14:paraId="77BF31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针对市场监督管理局老干部处制定归档范围和元数据进行收集</w:t>
            </w:r>
          </w:p>
        </w:tc>
      </w:tr>
      <w:tr w14:paraId="0A688C6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96352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140</w:t>
            </w:r>
          </w:p>
        </w:tc>
        <w:tc>
          <w:tcPr>
            <w:tcW w:w="1143" w:type="pct"/>
            <w:tcBorders>
              <w:top w:val="nil"/>
              <w:left w:val="nil"/>
              <w:bottom w:val="single" w:color="000000" w:sz="4" w:space="0"/>
              <w:right w:val="single" w:color="000000" w:sz="4" w:space="0"/>
            </w:tcBorders>
            <w:vAlign w:val="center"/>
          </w:tcPr>
          <w:p w14:paraId="52F59E3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16406D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数字档案-独立归档模块定开-科技类档案归档</w:t>
            </w:r>
          </w:p>
        </w:tc>
        <w:tc>
          <w:tcPr>
            <w:tcW w:w="2158" w:type="pct"/>
            <w:tcBorders>
              <w:top w:val="nil"/>
              <w:left w:val="nil"/>
              <w:bottom w:val="single" w:color="000000" w:sz="4" w:space="0"/>
              <w:right w:val="single" w:color="000000" w:sz="4" w:space="0"/>
            </w:tcBorders>
            <w:vAlign w:val="center"/>
          </w:tcPr>
          <w:p w14:paraId="7120C6B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针对市场监督管理局相关处室分别制定归档范围和元数据进行收集</w:t>
            </w:r>
          </w:p>
        </w:tc>
      </w:tr>
      <w:tr w14:paraId="73C7AC3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06787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141</w:t>
            </w:r>
          </w:p>
        </w:tc>
        <w:tc>
          <w:tcPr>
            <w:tcW w:w="1143" w:type="pct"/>
            <w:tcBorders>
              <w:top w:val="nil"/>
              <w:left w:val="nil"/>
              <w:bottom w:val="single" w:color="000000" w:sz="4" w:space="0"/>
              <w:right w:val="single" w:color="000000" w:sz="4" w:space="0"/>
            </w:tcBorders>
            <w:vAlign w:val="center"/>
          </w:tcPr>
          <w:p w14:paraId="4A9F01D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4A46B6A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数字档案-分类整理定开-辅助检查</w:t>
            </w:r>
          </w:p>
        </w:tc>
        <w:tc>
          <w:tcPr>
            <w:tcW w:w="2158" w:type="pct"/>
            <w:tcBorders>
              <w:top w:val="nil"/>
              <w:left w:val="nil"/>
              <w:bottom w:val="single" w:color="000000" w:sz="4" w:space="0"/>
              <w:right w:val="single" w:color="000000" w:sz="4" w:space="0"/>
            </w:tcBorders>
            <w:vAlign w:val="center"/>
          </w:tcPr>
          <w:p w14:paraId="653BE14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除四性检测以外，需要人工检查的内容，系统能够辅助进行检查。可辅助提示、辅助著录、补充完善缺失信息、能够部分替代人工</w:t>
            </w:r>
          </w:p>
        </w:tc>
      </w:tr>
      <w:tr w14:paraId="3951E78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5BE7F0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142</w:t>
            </w:r>
          </w:p>
        </w:tc>
        <w:tc>
          <w:tcPr>
            <w:tcW w:w="1143" w:type="pct"/>
            <w:tcBorders>
              <w:top w:val="nil"/>
              <w:left w:val="nil"/>
              <w:bottom w:val="single" w:color="000000" w:sz="4" w:space="0"/>
              <w:right w:val="single" w:color="000000" w:sz="4" w:space="0"/>
            </w:tcBorders>
            <w:vAlign w:val="center"/>
          </w:tcPr>
          <w:p w14:paraId="3A33C8D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3EDA8BD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数字档案-保管利用功能模块-开放鉴定流程定制</w:t>
            </w:r>
          </w:p>
        </w:tc>
        <w:tc>
          <w:tcPr>
            <w:tcW w:w="2158" w:type="pct"/>
            <w:tcBorders>
              <w:top w:val="nil"/>
              <w:left w:val="nil"/>
              <w:bottom w:val="single" w:color="000000" w:sz="4" w:space="0"/>
              <w:right w:val="single" w:color="000000" w:sz="4" w:space="0"/>
            </w:tcBorders>
            <w:vAlign w:val="center"/>
          </w:tcPr>
          <w:p w14:paraId="3F93AA8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对业务处室归档的文件进行是否对外开放的鉴定（有的档案归档，不提供对外利用权限），对业务处室归档的文件进行是否对外开放的鉴定提供定制化流程。</w:t>
            </w:r>
          </w:p>
        </w:tc>
      </w:tr>
      <w:tr w14:paraId="0A52C46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D7BD21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143</w:t>
            </w:r>
          </w:p>
        </w:tc>
        <w:tc>
          <w:tcPr>
            <w:tcW w:w="1143" w:type="pct"/>
            <w:tcBorders>
              <w:top w:val="nil"/>
              <w:left w:val="nil"/>
              <w:bottom w:val="single" w:color="000000" w:sz="4" w:space="0"/>
              <w:right w:val="single" w:color="000000" w:sz="4" w:space="0"/>
            </w:tcBorders>
            <w:vAlign w:val="center"/>
          </w:tcPr>
          <w:p w14:paraId="3F21D20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55A08E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数字档案-保管利用功能模块-辅助编研特色应用-文件读取能力</w:t>
            </w:r>
          </w:p>
        </w:tc>
        <w:tc>
          <w:tcPr>
            <w:tcW w:w="2158" w:type="pct"/>
            <w:tcBorders>
              <w:top w:val="nil"/>
              <w:left w:val="nil"/>
              <w:bottom w:val="single" w:color="000000" w:sz="4" w:space="0"/>
              <w:right w:val="single" w:color="000000" w:sz="4" w:space="0"/>
            </w:tcBorders>
            <w:vAlign w:val="center"/>
          </w:tcPr>
          <w:p w14:paraId="0EB9E0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文件读取能力：用户可以轻松地将所需编研的Word、PDF等格式文件上传到AI助手中。在文件被上传后，AI助手首先会对其进行深入的内容解析，识别其中的关键信息、结构和内容</w:t>
            </w:r>
          </w:p>
        </w:tc>
      </w:tr>
      <w:tr w14:paraId="2D79CA5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B4F951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144</w:t>
            </w:r>
          </w:p>
        </w:tc>
        <w:tc>
          <w:tcPr>
            <w:tcW w:w="1143" w:type="pct"/>
            <w:tcBorders>
              <w:top w:val="nil"/>
              <w:left w:val="nil"/>
              <w:bottom w:val="single" w:color="000000" w:sz="4" w:space="0"/>
              <w:right w:val="single" w:color="000000" w:sz="4" w:space="0"/>
            </w:tcBorders>
            <w:vAlign w:val="center"/>
          </w:tcPr>
          <w:p w14:paraId="765AB39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33427EB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数字档案-保管利用功能模块-辅助编研特色应用-多模态输出能能力</w:t>
            </w:r>
          </w:p>
        </w:tc>
        <w:tc>
          <w:tcPr>
            <w:tcW w:w="2158" w:type="pct"/>
            <w:tcBorders>
              <w:top w:val="nil"/>
              <w:left w:val="nil"/>
              <w:bottom w:val="single" w:color="000000" w:sz="4" w:space="0"/>
              <w:right w:val="single" w:color="000000" w:sz="4" w:space="0"/>
            </w:tcBorders>
            <w:vAlign w:val="center"/>
          </w:tcPr>
          <w:p w14:paraId="12613F2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多模态输出能能力：用户通过向AI助手提问，不仅可以获取文字型的答案，还可以根据需求获取更加直观和详实的数据展示。AI助手的高级数据处理和分析能力使其可以针对用户的咨询内容，生成相应的数据统计和图表</w:t>
            </w:r>
          </w:p>
        </w:tc>
      </w:tr>
      <w:tr w14:paraId="78EE92E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99BB91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145</w:t>
            </w:r>
          </w:p>
        </w:tc>
        <w:tc>
          <w:tcPr>
            <w:tcW w:w="1143" w:type="pct"/>
            <w:tcBorders>
              <w:top w:val="nil"/>
              <w:left w:val="nil"/>
              <w:bottom w:val="single" w:color="000000" w:sz="4" w:space="0"/>
              <w:right w:val="single" w:color="000000" w:sz="4" w:space="0"/>
            </w:tcBorders>
            <w:vAlign w:val="center"/>
          </w:tcPr>
          <w:p w14:paraId="1C92D97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0EA9DA2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数字档案-保管利用功能模块-辅助编研特色应用-全宗介绍、组织沿革、大事记及专题目录汇编等辅助编研</w:t>
            </w:r>
          </w:p>
        </w:tc>
        <w:tc>
          <w:tcPr>
            <w:tcW w:w="2158" w:type="pct"/>
            <w:tcBorders>
              <w:top w:val="nil"/>
              <w:left w:val="nil"/>
              <w:bottom w:val="single" w:color="000000" w:sz="4" w:space="0"/>
              <w:right w:val="single" w:color="000000" w:sz="4" w:space="0"/>
            </w:tcBorders>
            <w:vAlign w:val="center"/>
          </w:tcPr>
          <w:p w14:paraId="3CBC0A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全宗介绍、组织沿革、大事记及专题目录汇编等辅助编研。建模：通过大量全宗介绍、组织沿革、大事记及专题目录文本的学习，建立相应模型。通过AI文件读取和大模型技术，提炼出适合档案的全宗介绍、组织沿革、大事记及专题目录内容，供用户参考。最后形成独立全宗介绍、组织沿革、大事记及专题目录文本分类归集，可以进行相关档案分类查询调阅并进行上传管理。</w:t>
            </w:r>
          </w:p>
        </w:tc>
      </w:tr>
      <w:tr w14:paraId="7ECF26B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6A39C6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146</w:t>
            </w:r>
          </w:p>
        </w:tc>
        <w:tc>
          <w:tcPr>
            <w:tcW w:w="1143" w:type="pct"/>
            <w:tcBorders>
              <w:top w:val="nil"/>
              <w:left w:val="nil"/>
              <w:bottom w:val="single" w:color="000000" w:sz="4" w:space="0"/>
              <w:right w:val="single" w:color="000000" w:sz="4" w:space="0"/>
            </w:tcBorders>
            <w:vAlign w:val="center"/>
          </w:tcPr>
          <w:p w14:paraId="5355E0D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537E6DC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数字档案-互联网查档服务公证员查档定制化开发-公证员身份认证</w:t>
            </w:r>
          </w:p>
        </w:tc>
        <w:tc>
          <w:tcPr>
            <w:tcW w:w="2158" w:type="pct"/>
            <w:tcBorders>
              <w:top w:val="nil"/>
              <w:left w:val="nil"/>
              <w:bottom w:val="single" w:color="000000" w:sz="4" w:space="0"/>
              <w:right w:val="single" w:color="000000" w:sz="4" w:space="0"/>
            </w:tcBorders>
            <w:vAlign w:val="center"/>
          </w:tcPr>
          <w:p w14:paraId="3021653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在市场监管外网主页，通过调用一网通办身份验证功能和公证员验证功能，对公证员身份进行认证。</w:t>
            </w:r>
          </w:p>
        </w:tc>
      </w:tr>
      <w:tr w14:paraId="0D823EB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04773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147</w:t>
            </w:r>
          </w:p>
        </w:tc>
        <w:tc>
          <w:tcPr>
            <w:tcW w:w="1143" w:type="pct"/>
            <w:tcBorders>
              <w:top w:val="nil"/>
              <w:left w:val="nil"/>
              <w:bottom w:val="single" w:color="000000" w:sz="4" w:space="0"/>
              <w:right w:val="single" w:color="000000" w:sz="4" w:space="0"/>
            </w:tcBorders>
            <w:vAlign w:val="center"/>
          </w:tcPr>
          <w:p w14:paraId="7F7BB78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70AD695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数字档案-互联网查档服务公证员查档定制化开发-公证员档案查阅结果通知</w:t>
            </w:r>
          </w:p>
        </w:tc>
        <w:tc>
          <w:tcPr>
            <w:tcW w:w="2158" w:type="pct"/>
            <w:tcBorders>
              <w:top w:val="nil"/>
              <w:left w:val="nil"/>
              <w:bottom w:val="single" w:color="000000" w:sz="4" w:space="0"/>
              <w:right w:val="single" w:color="000000" w:sz="4" w:space="0"/>
            </w:tcBorders>
            <w:vAlign w:val="center"/>
          </w:tcPr>
          <w:p w14:paraId="2EE705C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公证员提交对应档案查阅申请操作，系统进行审核并生成报告。报告生成后通过短信通知提醒对应公证员，公证员可再次登录市监局档案查阅系统查阅或下载对应核查报告。</w:t>
            </w:r>
          </w:p>
        </w:tc>
      </w:tr>
      <w:tr w14:paraId="24F338F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7DD355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148</w:t>
            </w:r>
          </w:p>
        </w:tc>
        <w:tc>
          <w:tcPr>
            <w:tcW w:w="1143" w:type="pct"/>
            <w:tcBorders>
              <w:top w:val="nil"/>
              <w:left w:val="nil"/>
              <w:bottom w:val="single" w:color="000000" w:sz="4" w:space="0"/>
              <w:right w:val="single" w:color="000000" w:sz="4" w:space="0"/>
            </w:tcBorders>
            <w:vAlign w:val="center"/>
          </w:tcPr>
          <w:p w14:paraId="4763E7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14DD59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数字档案-互联网查档服务公证员查档定制化开发-公证员相关接口开发</w:t>
            </w:r>
          </w:p>
        </w:tc>
        <w:tc>
          <w:tcPr>
            <w:tcW w:w="2158" w:type="pct"/>
            <w:tcBorders>
              <w:top w:val="nil"/>
              <w:left w:val="nil"/>
              <w:bottom w:val="single" w:color="000000" w:sz="4" w:space="0"/>
              <w:right w:val="single" w:color="000000" w:sz="4" w:space="0"/>
            </w:tcBorders>
            <w:vAlign w:val="center"/>
          </w:tcPr>
          <w:p w14:paraId="47A4BF3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1、新增公证员接口开发：由档案系统开放新增公证员信息接口，用于接收办证系统推送的公证员信息。</w:t>
            </w:r>
            <w:r>
              <w:rPr>
                <w:rFonts w:hint="eastAsia" w:cs="宋体"/>
                <w:color w:val="auto"/>
                <w:kern w:val="0"/>
                <w:sz w:val="22"/>
                <w:szCs w:val="22"/>
              </w:rPr>
              <w:br w:type="textWrapping"/>
            </w:r>
            <w:r>
              <w:rPr>
                <w:rFonts w:hint="eastAsia" w:cs="宋体"/>
                <w:color w:val="auto"/>
                <w:kern w:val="0"/>
                <w:sz w:val="22"/>
                <w:szCs w:val="22"/>
              </w:rPr>
              <w:t>2、更新公证员执业机构接口开发：由档案系统开放更新公证员执业机构信息接口，用于接收办证系统推送的公证员执业机构变更信息</w:t>
            </w:r>
            <w:r>
              <w:rPr>
                <w:rFonts w:hint="eastAsia" w:cs="宋体"/>
                <w:color w:val="auto"/>
                <w:kern w:val="0"/>
                <w:sz w:val="22"/>
                <w:szCs w:val="22"/>
              </w:rPr>
              <w:br w:type="textWrapping"/>
            </w:r>
            <w:r>
              <w:rPr>
                <w:rFonts w:hint="eastAsia" w:cs="宋体"/>
                <w:color w:val="auto"/>
                <w:kern w:val="0"/>
                <w:sz w:val="22"/>
                <w:szCs w:val="22"/>
              </w:rPr>
              <w:t>3、更新公证员执业状态接口开发：由档案系统开放更新公证员执业状态接口，用于接收办证系统推送的公证员执业状态变更信息</w:t>
            </w:r>
            <w:r>
              <w:rPr>
                <w:rFonts w:hint="eastAsia" w:cs="宋体"/>
                <w:color w:val="auto"/>
                <w:kern w:val="0"/>
                <w:sz w:val="22"/>
                <w:szCs w:val="22"/>
              </w:rPr>
              <w:br w:type="textWrapping"/>
            </w:r>
            <w:r>
              <w:rPr>
                <w:rFonts w:hint="eastAsia" w:cs="宋体"/>
                <w:color w:val="auto"/>
                <w:kern w:val="0"/>
                <w:sz w:val="22"/>
                <w:szCs w:val="22"/>
              </w:rPr>
              <w:t>4、移除公证员接口开发：由档案系统开放移除公证员执业状态接口，用于办证系统更新删除公证员信息。</w:t>
            </w:r>
          </w:p>
        </w:tc>
      </w:tr>
      <w:tr w14:paraId="7A9426F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6B7D5C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149</w:t>
            </w:r>
          </w:p>
        </w:tc>
        <w:tc>
          <w:tcPr>
            <w:tcW w:w="1143" w:type="pct"/>
            <w:tcBorders>
              <w:top w:val="nil"/>
              <w:left w:val="nil"/>
              <w:bottom w:val="single" w:color="000000" w:sz="4" w:space="0"/>
              <w:right w:val="single" w:color="000000" w:sz="4" w:space="0"/>
            </w:tcBorders>
            <w:vAlign w:val="center"/>
          </w:tcPr>
          <w:p w14:paraId="5F4FE38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667CF5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数字档案-破产管理员查档服务定制化开发-新增破产管理员接口开发</w:t>
            </w:r>
          </w:p>
        </w:tc>
        <w:tc>
          <w:tcPr>
            <w:tcW w:w="2158" w:type="pct"/>
            <w:tcBorders>
              <w:top w:val="nil"/>
              <w:left w:val="nil"/>
              <w:bottom w:val="single" w:color="000000" w:sz="4" w:space="0"/>
              <w:right w:val="single" w:color="000000" w:sz="4" w:space="0"/>
            </w:tcBorders>
            <w:vAlign w:val="center"/>
          </w:tcPr>
          <w:p w14:paraId="28944B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由档案系统开放新增破产管理员信息接口，用于接收办证系统推送的公证员信息</w:t>
            </w:r>
          </w:p>
        </w:tc>
      </w:tr>
      <w:tr w14:paraId="6608AFA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246A23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150</w:t>
            </w:r>
          </w:p>
        </w:tc>
        <w:tc>
          <w:tcPr>
            <w:tcW w:w="1143" w:type="pct"/>
            <w:tcBorders>
              <w:top w:val="nil"/>
              <w:left w:val="nil"/>
              <w:bottom w:val="single" w:color="000000" w:sz="4" w:space="0"/>
              <w:right w:val="single" w:color="000000" w:sz="4" w:space="0"/>
            </w:tcBorders>
            <w:vAlign w:val="center"/>
          </w:tcPr>
          <w:p w14:paraId="520AAF2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4FE72EF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数字档案-破产管理员查档服务定制化开发-外网查档移动端对接查档接口</w:t>
            </w:r>
          </w:p>
        </w:tc>
        <w:tc>
          <w:tcPr>
            <w:tcW w:w="2158" w:type="pct"/>
            <w:tcBorders>
              <w:top w:val="nil"/>
              <w:left w:val="nil"/>
              <w:bottom w:val="single" w:color="000000" w:sz="4" w:space="0"/>
              <w:right w:val="single" w:color="000000" w:sz="4" w:space="0"/>
            </w:tcBorders>
            <w:vAlign w:val="center"/>
          </w:tcPr>
          <w:p w14:paraId="4966DB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互联网查档移动端对接互联网查档申请接口，互联网查档状态接口，互联网查档档案获取接口。</w:t>
            </w:r>
          </w:p>
        </w:tc>
      </w:tr>
      <w:tr w14:paraId="54F1858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C3F068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151</w:t>
            </w:r>
          </w:p>
        </w:tc>
        <w:tc>
          <w:tcPr>
            <w:tcW w:w="1143" w:type="pct"/>
            <w:tcBorders>
              <w:top w:val="nil"/>
              <w:left w:val="nil"/>
              <w:bottom w:val="single" w:color="000000" w:sz="4" w:space="0"/>
              <w:right w:val="single" w:color="000000" w:sz="4" w:space="0"/>
            </w:tcBorders>
            <w:vAlign w:val="center"/>
          </w:tcPr>
          <w:p w14:paraId="1724418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27A0FF7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数字档案-破产管理员查档服务定制化开发-外网查档查阅功能</w:t>
            </w:r>
          </w:p>
        </w:tc>
        <w:tc>
          <w:tcPr>
            <w:tcW w:w="2158" w:type="pct"/>
            <w:tcBorders>
              <w:top w:val="nil"/>
              <w:left w:val="nil"/>
              <w:bottom w:val="single" w:color="000000" w:sz="4" w:space="0"/>
              <w:right w:val="single" w:color="000000" w:sz="4" w:space="0"/>
            </w:tcBorders>
            <w:vAlign w:val="center"/>
          </w:tcPr>
          <w:p w14:paraId="7B7544A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建设互联网查档移动端档案查阅功能，支持打开档案卷宗目录和打开已签章档案文件。</w:t>
            </w:r>
          </w:p>
        </w:tc>
      </w:tr>
      <w:tr w14:paraId="620D932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3CD71E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152</w:t>
            </w:r>
          </w:p>
        </w:tc>
        <w:tc>
          <w:tcPr>
            <w:tcW w:w="1143" w:type="pct"/>
            <w:tcBorders>
              <w:top w:val="nil"/>
              <w:left w:val="nil"/>
              <w:bottom w:val="single" w:color="000000" w:sz="4" w:space="0"/>
              <w:right w:val="single" w:color="000000" w:sz="4" w:space="0"/>
            </w:tcBorders>
            <w:vAlign w:val="center"/>
          </w:tcPr>
          <w:p w14:paraId="26DE06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0CD653D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数字档案-系统管理定制开发-档案移交档案局功能</w:t>
            </w:r>
          </w:p>
        </w:tc>
        <w:tc>
          <w:tcPr>
            <w:tcW w:w="2158" w:type="pct"/>
            <w:tcBorders>
              <w:top w:val="nil"/>
              <w:left w:val="nil"/>
              <w:bottom w:val="single" w:color="000000" w:sz="4" w:space="0"/>
              <w:right w:val="single" w:color="000000" w:sz="4" w:space="0"/>
            </w:tcBorders>
            <w:vAlign w:val="center"/>
          </w:tcPr>
          <w:p w14:paraId="78BBAB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对接市档案局接口 根据一网通办要求，对接市档案局档案移交接口，将市场局档案通过接口移交给档案局，并记录调应记录等日志信息</w:t>
            </w:r>
            <w:r>
              <w:rPr>
                <w:rFonts w:hint="eastAsia" w:cs="宋体"/>
                <w:color w:val="auto"/>
                <w:kern w:val="0"/>
                <w:sz w:val="22"/>
                <w:szCs w:val="22"/>
              </w:rPr>
              <w:br w:type="textWrapping"/>
            </w:r>
            <w:r>
              <w:rPr>
                <w:rFonts w:hint="eastAsia" w:cs="宋体"/>
                <w:color w:val="auto"/>
                <w:kern w:val="0"/>
                <w:sz w:val="22"/>
                <w:szCs w:val="22"/>
              </w:rPr>
              <w:t>移交方式设计 离线移交与在线移交</w:t>
            </w:r>
          </w:p>
        </w:tc>
      </w:tr>
      <w:tr w14:paraId="7444466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70D4B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153</w:t>
            </w:r>
          </w:p>
        </w:tc>
        <w:tc>
          <w:tcPr>
            <w:tcW w:w="1143" w:type="pct"/>
            <w:tcBorders>
              <w:top w:val="nil"/>
              <w:left w:val="nil"/>
              <w:bottom w:val="single" w:color="000000" w:sz="4" w:space="0"/>
              <w:right w:val="single" w:color="000000" w:sz="4" w:space="0"/>
            </w:tcBorders>
            <w:vAlign w:val="center"/>
          </w:tcPr>
          <w:p w14:paraId="08E493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253304A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数字档案-系统管理定制开发-页面适配和基础对接</w:t>
            </w:r>
          </w:p>
        </w:tc>
        <w:tc>
          <w:tcPr>
            <w:tcW w:w="2158" w:type="pct"/>
            <w:tcBorders>
              <w:top w:val="nil"/>
              <w:left w:val="nil"/>
              <w:bottom w:val="single" w:color="000000" w:sz="4" w:space="0"/>
              <w:right w:val="single" w:color="000000" w:sz="4" w:space="0"/>
            </w:tcBorders>
            <w:vAlign w:val="center"/>
          </w:tcPr>
          <w:p w14:paraId="24BBF09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档案管理页面需要改造，适配市场监管局，统一授权对接、统一门户对接、组织架构对接。</w:t>
            </w:r>
          </w:p>
        </w:tc>
      </w:tr>
      <w:tr w14:paraId="2A4FBE2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A30FE2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154</w:t>
            </w:r>
          </w:p>
        </w:tc>
        <w:tc>
          <w:tcPr>
            <w:tcW w:w="1143" w:type="pct"/>
            <w:tcBorders>
              <w:top w:val="nil"/>
              <w:left w:val="nil"/>
              <w:bottom w:val="single" w:color="000000" w:sz="4" w:space="0"/>
              <w:right w:val="single" w:color="000000" w:sz="4" w:space="0"/>
            </w:tcBorders>
            <w:vAlign w:val="center"/>
          </w:tcPr>
          <w:p w14:paraId="73A1AA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1730AFE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数字档案-特色功能-一企一档</w:t>
            </w:r>
          </w:p>
        </w:tc>
        <w:tc>
          <w:tcPr>
            <w:tcW w:w="2158" w:type="pct"/>
            <w:tcBorders>
              <w:top w:val="nil"/>
              <w:left w:val="nil"/>
              <w:bottom w:val="single" w:color="000000" w:sz="4" w:space="0"/>
              <w:right w:val="single" w:color="000000" w:sz="4" w:space="0"/>
            </w:tcBorders>
            <w:vAlign w:val="center"/>
          </w:tcPr>
          <w:p w14:paraId="2BC60C9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针对原登记档案进行相应配套改造。将将涉及同一企业的13+1类档案进行串联，建立“一企一档”。</w:t>
            </w:r>
          </w:p>
        </w:tc>
      </w:tr>
      <w:tr w14:paraId="108F377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11B4E3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155</w:t>
            </w:r>
          </w:p>
        </w:tc>
        <w:tc>
          <w:tcPr>
            <w:tcW w:w="1143" w:type="pct"/>
            <w:tcBorders>
              <w:top w:val="nil"/>
              <w:left w:val="nil"/>
              <w:bottom w:val="single" w:color="000000" w:sz="4" w:space="0"/>
              <w:right w:val="single" w:color="000000" w:sz="4" w:space="0"/>
            </w:tcBorders>
            <w:vAlign w:val="center"/>
          </w:tcPr>
          <w:p w14:paraId="2CBF693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w:t>
            </w:r>
          </w:p>
        </w:tc>
        <w:tc>
          <w:tcPr>
            <w:tcW w:w="1175" w:type="pct"/>
            <w:tcBorders>
              <w:top w:val="nil"/>
              <w:left w:val="nil"/>
              <w:bottom w:val="single" w:color="000000" w:sz="4" w:space="0"/>
              <w:right w:val="single" w:color="000000" w:sz="4" w:space="0"/>
            </w:tcBorders>
            <w:vAlign w:val="center"/>
          </w:tcPr>
          <w:p w14:paraId="5CEA59C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数字档案-数字档案综合展示大屏定制化-全市档案利用情况监控</w:t>
            </w:r>
          </w:p>
        </w:tc>
        <w:tc>
          <w:tcPr>
            <w:tcW w:w="2158" w:type="pct"/>
            <w:tcBorders>
              <w:top w:val="nil"/>
              <w:left w:val="nil"/>
              <w:bottom w:val="single" w:color="000000" w:sz="4" w:space="0"/>
              <w:right w:val="single" w:color="000000" w:sz="4" w:space="0"/>
            </w:tcBorders>
            <w:vAlign w:val="center"/>
          </w:tcPr>
          <w:p w14:paraId="660CB4E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按照市区两级市场监管部门的不同，通过集成“一张图”平台，展示本行政管辖区域的GIS地图。其中，市级展示全市地图，区级展示该区地图。可以展示档案的出处，市局、区局相关专业档案的分布。调阅、移档。全市档案利用工作。</w:t>
            </w:r>
          </w:p>
        </w:tc>
      </w:tr>
      <w:tr w14:paraId="5D369DD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834E4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156</w:t>
            </w:r>
          </w:p>
        </w:tc>
        <w:tc>
          <w:tcPr>
            <w:tcW w:w="1143" w:type="pct"/>
            <w:tcBorders>
              <w:top w:val="nil"/>
              <w:left w:val="nil"/>
              <w:bottom w:val="single" w:color="000000" w:sz="4" w:space="0"/>
              <w:right w:val="single" w:color="000000" w:sz="4" w:space="0"/>
            </w:tcBorders>
            <w:vAlign w:val="center"/>
          </w:tcPr>
          <w:p w14:paraId="1CA0724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4C90CC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质量基础设施一站式服务-平台导航-体系分类导航</w:t>
            </w:r>
          </w:p>
        </w:tc>
        <w:tc>
          <w:tcPr>
            <w:tcW w:w="2158" w:type="pct"/>
            <w:tcBorders>
              <w:top w:val="nil"/>
              <w:left w:val="nil"/>
              <w:bottom w:val="single" w:color="000000" w:sz="4" w:space="0"/>
              <w:right w:val="single" w:color="000000" w:sz="4" w:space="0"/>
            </w:tcBorders>
            <w:vAlign w:val="center"/>
          </w:tcPr>
          <w:p w14:paraId="0E64E3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1、质量在线： 提供面向使用者的信息分类向导，包括用户可接受服务的分类，向平台内容组织和体系化提供支撑。</w:t>
            </w:r>
            <w:r>
              <w:rPr>
                <w:rFonts w:hint="eastAsia" w:cs="宋体"/>
                <w:color w:val="auto"/>
                <w:kern w:val="0"/>
                <w:sz w:val="22"/>
                <w:szCs w:val="22"/>
              </w:rPr>
              <w:br w:type="textWrapping"/>
            </w:r>
            <w:r>
              <w:rPr>
                <w:rFonts w:hint="eastAsia" w:cs="宋体"/>
                <w:color w:val="auto"/>
                <w:kern w:val="0"/>
                <w:sz w:val="22"/>
                <w:szCs w:val="22"/>
              </w:rPr>
              <w:t>2、标准在线： 包括信息咨询、标准制修订、标准实施、标准推广和标准信息查询等。</w:t>
            </w:r>
            <w:r>
              <w:rPr>
                <w:rFonts w:hint="eastAsia" w:cs="宋体"/>
                <w:color w:val="auto"/>
                <w:kern w:val="0"/>
                <w:sz w:val="22"/>
                <w:szCs w:val="22"/>
              </w:rPr>
              <w:br w:type="textWrapping"/>
            </w:r>
            <w:r>
              <w:rPr>
                <w:rFonts w:hint="eastAsia" w:cs="宋体"/>
                <w:color w:val="auto"/>
                <w:kern w:val="0"/>
                <w:sz w:val="22"/>
                <w:szCs w:val="22"/>
              </w:rPr>
              <w:t>3、计量在线： 计量信息服务包括多种类型，例如：计量单位和标准的提供、测量方法和仪器设备的指导、计量认证和校准服务、计量技术培训和咨询，提供领域内有关计量单位、测量方法、仪器设备和相关标准等信息的专业服务。</w:t>
            </w:r>
            <w:r>
              <w:rPr>
                <w:rFonts w:hint="eastAsia" w:cs="宋体"/>
                <w:color w:val="auto"/>
                <w:kern w:val="0"/>
                <w:sz w:val="22"/>
                <w:szCs w:val="22"/>
              </w:rPr>
              <w:br w:type="textWrapping"/>
            </w:r>
            <w:r>
              <w:rPr>
                <w:rFonts w:hint="eastAsia" w:cs="宋体"/>
                <w:color w:val="auto"/>
                <w:kern w:val="0"/>
                <w:sz w:val="22"/>
                <w:szCs w:val="22"/>
              </w:rPr>
              <w:t>4、质量认证： 针对认证领域的信息和服务提供整合，覆盖认证机构、从业人员、认证结果等，包括强制性产品认证、管理体系认证、服务认证、绿色产品认证、食品农产品认证等领域，对认证认可信息进行收集、整理、发布和查询服务。</w:t>
            </w:r>
            <w:r>
              <w:rPr>
                <w:rFonts w:hint="eastAsia" w:cs="宋体"/>
                <w:color w:val="auto"/>
                <w:kern w:val="0"/>
                <w:sz w:val="22"/>
                <w:szCs w:val="22"/>
              </w:rPr>
              <w:br w:type="textWrapping"/>
            </w:r>
            <w:r>
              <w:rPr>
                <w:rFonts w:hint="eastAsia" w:cs="宋体"/>
                <w:color w:val="auto"/>
                <w:kern w:val="0"/>
                <w:sz w:val="22"/>
                <w:szCs w:val="22"/>
              </w:rPr>
              <w:t>5、检验检测： 整合检验检测领域内信息资源与服务资源构建专栏，结合平台质量技术服务所提供的交互机制建立信息的集成。</w:t>
            </w:r>
            <w:r>
              <w:rPr>
                <w:rFonts w:hint="eastAsia" w:cs="宋体"/>
                <w:color w:val="auto"/>
                <w:kern w:val="0"/>
                <w:sz w:val="22"/>
                <w:szCs w:val="22"/>
              </w:rPr>
              <w:br w:type="textWrapping"/>
            </w:r>
            <w:r>
              <w:rPr>
                <w:rFonts w:hint="eastAsia" w:cs="宋体"/>
                <w:color w:val="auto"/>
                <w:kern w:val="0"/>
                <w:sz w:val="22"/>
                <w:szCs w:val="22"/>
              </w:rPr>
              <w:t>6、质量长三角：提供长三角产业计量测试共享服务导航服务。</w:t>
            </w:r>
          </w:p>
        </w:tc>
      </w:tr>
      <w:tr w14:paraId="7FC19E4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98C24B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157</w:t>
            </w:r>
          </w:p>
        </w:tc>
        <w:tc>
          <w:tcPr>
            <w:tcW w:w="1143" w:type="pct"/>
            <w:tcBorders>
              <w:top w:val="nil"/>
              <w:left w:val="nil"/>
              <w:bottom w:val="single" w:color="000000" w:sz="4" w:space="0"/>
              <w:right w:val="single" w:color="000000" w:sz="4" w:space="0"/>
            </w:tcBorders>
            <w:vAlign w:val="center"/>
          </w:tcPr>
          <w:p w14:paraId="7397C0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8A7D98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质量基础设施一站式服务-平台导航-智能在线客服-智能在线客服</w:t>
            </w:r>
          </w:p>
        </w:tc>
        <w:tc>
          <w:tcPr>
            <w:tcW w:w="2158" w:type="pct"/>
            <w:tcBorders>
              <w:top w:val="nil"/>
              <w:left w:val="nil"/>
              <w:bottom w:val="single" w:color="000000" w:sz="4" w:space="0"/>
              <w:right w:val="single" w:color="000000" w:sz="4" w:space="0"/>
            </w:tcBorders>
            <w:vAlign w:val="center"/>
          </w:tcPr>
          <w:p w14:paraId="169DD6E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利用数据慧治平台能力，为相关企业与社会公众提供质量、标准、计量、品牌认证、检验检测等领域的智能在线客服。</w:t>
            </w:r>
          </w:p>
        </w:tc>
      </w:tr>
      <w:tr w14:paraId="40B7D78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E8537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158</w:t>
            </w:r>
          </w:p>
        </w:tc>
        <w:tc>
          <w:tcPr>
            <w:tcW w:w="1143" w:type="pct"/>
            <w:tcBorders>
              <w:top w:val="nil"/>
              <w:left w:val="nil"/>
              <w:bottom w:val="single" w:color="000000" w:sz="4" w:space="0"/>
              <w:right w:val="single" w:color="000000" w:sz="4" w:space="0"/>
            </w:tcBorders>
            <w:vAlign w:val="center"/>
          </w:tcPr>
          <w:p w14:paraId="4C7FBAD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191550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质量基础设施一站式服务-质量信息服务-信息服务-质量政策</w:t>
            </w:r>
          </w:p>
        </w:tc>
        <w:tc>
          <w:tcPr>
            <w:tcW w:w="2158" w:type="pct"/>
            <w:tcBorders>
              <w:top w:val="nil"/>
              <w:left w:val="nil"/>
              <w:bottom w:val="single" w:color="000000" w:sz="4" w:space="0"/>
              <w:right w:val="single" w:color="000000" w:sz="4" w:space="0"/>
            </w:tcBorders>
            <w:vAlign w:val="center"/>
          </w:tcPr>
          <w:p w14:paraId="10197F5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法律法规：提供质量相关法律法规的发布展示，同时提供对信息主题订阅方的信息推送，提供法律法规的关联推荐、收藏等信息访问支持功能。2、政策文件：提供质量相关政策文件的发布展示，同时提供对信息主题订阅方的信息推送，提供政策文件及解读的关联推荐、收藏等信息访问支持功能。3、政策解读：提供质量相关政策解读的发布展示，同时提供对信息主题订阅方的信息推送，提供政策解读及政策的关联推荐、收藏等信息访问支持功能。</w:t>
            </w:r>
          </w:p>
        </w:tc>
      </w:tr>
      <w:tr w14:paraId="13DFA71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FAA588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159</w:t>
            </w:r>
          </w:p>
        </w:tc>
        <w:tc>
          <w:tcPr>
            <w:tcW w:w="1143" w:type="pct"/>
            <w:tcBorders>
              <w:top w:val="nil"/>
              <w:left w:val="nil"/>
              <w:bottom w:val="single" w:color="000000" w:sz="4" w:space="0"/>
              <w:right w:val="single" w:color="000000" w:sz="4" w:space="0"/>
            </w:tcBorders>
            <w:vAlign w:val="center"/>
          </w:tcPr>
          <w:p w14:paraId="47CF90A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CC75F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质量基础设施一站式服务-质量信息服务-信息服务-质量动态</w:t>
            </w:r>
          </w:p>
        </w:tc>
        <w:tc>
          <w:tcPr>
            <w:tcW w:w="2158" w:type="pct"/>
            <w:tcBorders>
              <w:top w:val="nil"/>
              <w:left w:val="nil"/>
              <w:bottom w:val="single" w:color="000000" w:sz="4" w:space="0"/>
              <w:right w:val="single" w:color="000000" w:sz="4" w:space="0"/>
            </w:tcBorders>
            <w:vAlign w:val="center"/>
          </w:tcPr>
          <w:p w14:paraId="618617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新闻资讯：提供新闻资讯类质量动态的发布展示，同时提供对信息主题订阅方的信息推送，提供新闻资讯的关联推荐、收藏等信息访问支持功能。2、工作动态：提供上海市市场监管质量相关工作动态的发布展示，同时提供对信息主题订阅方的信息推送，提供工作动态的关联推荐、收藏等信息访问支持功能。3、质量公告：提供上海市市场监管质量相关公告公示信息的发布展示，同时提供对信息主题订阅方的信息推送，提供工作动态的关联推荐、收藏等信息访问支持功能。4、标准动态：，提供标准的发布展示和阅览下载，同时提供对信息主题订阅方的信息推送，提供工作动态的关联推荐、收藏等信息访问支持功能。提供最新发布标准（执行中标准）、即将实施标准和即将作废标准等信息划分归类。</w:t>
            </w:r>
          </w:p>
        </w:tc>
      </w:tr>
      <w:tr w14:paraId="537A65C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17F4E9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160</w:t>
            </w:r>
          </w:p>
        </w:tc>
        <w:tc>
          <w:tcPr>
            <w:tcW w:w="1143" w:type="pct"/>
            <w:tcBorders>
              <w:top w:val="nil"/>
              <w:left w:val="nil"/>
              <w:bottom w:val="single" w:color="000000" w:sz="4" w:space="0"/>
              <w:right w:val="single" w:color="000000" w:sz="4" w:space="0"/>
            </w:tcBorders>
            <w:vAlign w:val="center"/>
          </w:tcPr>
          <w:p w14:paraId="36F7C4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98124F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质量基础设施一站式服务-质量信息服务-信息服务-质量活动</w:t>
            </w:r>
          </w:p>
        </w:tc>
        <w:tc>
          <w:tcPr>
            <w:tcW w:w="2158" w:type="pct"/>
            <w:tcBorders>
              <w:top w:val="nil"/>
              <w:left w:val="nil"/>
              <w:bottom w:val="single" w:color="000000" w:sz="4" w:space="0"/>
              <w:right w:val="single" w:color="000000" w:sz="4" w:space="0"/>
            </w:tcBorders>
            <w:vAlign w:val="center"/>
          </w:tcPr>
          <w:p w14:paraId="44FCD9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公开征集：提供征集信息发布功能，包括征集主题、要求、发布范围、反馈渠道和方式、截止日期等；通过信息推送、专题、展示等渠道功能，确保用户及时获取相关信息；对于支持线上反馈的，提供线上反馈内容采集服务，对反馈内容进行接收、汇总和统计；系统在公开征集的截止日期，进行反馈渠道关闭操作；公开征集的活动组织方可发布对活动的总结，供浏览者和参与方查看，进一步提升活动参与积极性。</w:t>
            </w:r>
            <w:r>
              <w:rPr>
                <w:rFonts w:hint="eastAsia" w:cs="宋体"/>
                <w:color w:val="auto"/>
                <w:kern w:val="0"/>
                <w:sz w:val="22"/>
                <w:szCs w:val="22"/>
              </w:rPr>
              <w:br w:type="textWrapping"/>
            </w:r>
            <w:r>
              <w:rPr>
                <w:rFonts w:hint="eastAsia" w:cs="宋体"/>
                <w:color w:val="auto"/>
                <w:kern w:val="0"/>
                <w:sz w:val="22"/>
                <w:szCs w:val="22"/>
              </w:rPr>
              <w:t>2、报名参与：提供报名参与信息发布功能，包括活动主题、活动内容、发布范围、报名渠道和方式、活动地点和日期等；提供便捷的在线报名和确认功能，由使用者提供报名预订信息；</w:t>
            </w:r>
            <w:r>
              <w:rPr>
                <w:rFonts w:hint="eastAsia" w:cs="宋体"/>
                <w:color w:val="auto"/>
                <w:kern w:val="0"/>
                <w:sz w:val="22"/>
                <w:szCs w:val="22"/>
              </w:rPr>
              <w:br w:type="textWrapping"/>
            </w:r>
            <w:r>
              <w:rPr>
                <w:rFonts w:hint="eastAsia" w:cs="宋体"/>
                <w:color w:val="auto"/>
                <w:kern w:val="0"/>
                <w:sz w:val="22"/>
                <w:szCs w:val="22"/>
              </w:rPr>
              <w:t>3、材料反馈：提供材料反馈信息发布功能，包括主题、归集范围、信息要求、反馈要求（数据模板）、反馈时间等；通过信息推送渠道功能，向材料信息要求对象告知；信息提供方收到并查看归集反馈要求，下载数据模板，提供反馈信息及上传数据文件。</w:t>
            </w:r>
            <w:r>
              <w:rPr>
                <w:rFonts w:hint="eastAsia" w:cs="宋体"/>
                <w:color w:val="auto"/>
                <w:kern w:val="0"/>
                <w:sz w:val="22"/>
                <w:szCs w:val="22"/>
              </w:rPr>
              <w:br w:type="textWrapping"/>
            </w:r>
            <w:r>
              <w:rPr>
                <w:rFonts w:hint="eastAsia" w:cs="宋体"/>
                <w:color w:val="auto"/>
                <w:kern w:val="0"/>
                <w:sz w:val="22"/>
                <w:szCs w:val="22"/>
              </w:rPr>
              <w:t>4、活动订阅：质量信息服务消费方可按照主题、领域、角色等维度标签订阅所对应的活动分类，获取新发起的活动信息推送。</w:t>
            </w:r>
            <w:r>
              <w:rPr>
                <w:rFonts w:hint="eastAsia" w:cs="宋体"/>
                <w:color w:val="auto"/>
                <w:kern w:val="0"/>
                <w:sz w:val="22"/>
                <w:szCs w:val="22"/>
              </w:rPr>
              <w:br w:type="textWrapping"/>
            </w:r>
            <w:r>
              <w:rPr>
                <w:rFonts w:hint="eastAsia" w:cs="宋体"/>
                <w:color w:val="auto"/>
                <w:kern w:val="0"/>
                <w:sz w:val="22"/>
                <w:szCs w:val="22"/>
              </w:rPr>
              <w:t>5、信息推送：系统后台在各类活动发起后，根据发布范围、订阅等要素确定推送对象并执行信息推送。</w:t>
            </w:r>
            <w:r>
              <w:rPr>
                <w:rFonts w:hint="eastAsia" w:cs="宋体"/>
                <w:color w:val="auto"/>
                <w:kern w:val="0"/>
                <w:sz w:val="22"/>
                <w:szCs w:val="22"/>
              </w:rPr>
              <w:br w:type="textWrapping"/>
            </w:r>
            <w:r>
              <w:rPr>
                <w:rFonts w:hint="eastAsia" w:cs="宋体"/>
                <w:color w:val="auto"/>
                <w:kern w:val="0"/>
                <w:sz w:val="22"/>
                <w:szCs w:val="22"/>
              </w:rPr>
              <w:t>6、活动排片：系统根据活动发起和结束时间等要素生成活动日历，支持前端日历形式、列表形式等的活动排片，支持在临期时进行特别标识和提示。</w:t>
            </w:r>
          </w:p>
        </w:tc>
      </w:tr>
      <w:tr w14:paraId="5971316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183D6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161</w:t>
            </w:r>
          </w:p>
        </w:tc>
        <w:tc>
          <w:tcPr>
            <w:tcW w:w="1143" w:type="pct"/>
            <w:tcBorders>
              <w:top w:val="nil"/>
              <w:left w:val="nil"/>
              <w:bottom w:val="single" w:color="000000" w:sz="4" w:space="0"/>
              <w:right w:val="single" w:color="000000" w:sz="4" w:space="0"/>
            </w:tcBorders>
            <w:vAlign w:val="center"/>
          </w:tcPr>
          <w:p w14:paraId="62DCE90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770A7E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质量基础设施一站式服务-质量信息服务-质量公示-质量许可</w:t>
            </w:r>
          </w:p>
        </w:tc>
        <w:tc>
          <w:tcPr>
            <w:tcW w:w="2158" w:type="pct"/>
            <w:tcBorders>
              <w:top w:val="nil"/>
              <w:left w:val="nil"/>
              <w:bottom w:val="single" w:color="000000" w:sz="4" w:space="0"/>
              <w:right w:val="single" w:color="000000" w:sz="4" w:space="0"/>
            </w:tcBorders>
            <w:vAlign w:val="center"/>
          </w:tcPr>
          <w:p w14:paraId="4C867E8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计量许可体系：提供对计量相关行政许可业务体系的描述；链接一网通办应用体系，提供面向计量许可领域业务的平台功能入口的集中。2、检验许可体系：提供对检验相关行政许可业务体系的描述；提供面向检验许可领域业务的平台功能入口的集中。</w:t>
            </w:r>
          </w:p>
        </w:tc>
      </w:tr>
      <w:tr w14:paraId="345C2D9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494EBB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162</w:t>
            </w:r>
          </w:p>
        </w:tc>
        <w:tc>
          <w:tcPr>
            <w:tcW w:w="1143" w:type="pct"/>
            <w:tcBorders>
              <w:top w:val="nil"/>
              <w:left w:val="nil"/>
              <w:bottom w:val="single" w:color="000000" w:sz="4" w:space="0"/>
              <w:right w:val="single" w:color="000000" w:sz="4" w:space="0"/>
            </w:tcBorders>
            <w:vAlign w:val="center"/>
          </w:tcPr>
          <w:p w14:paraId="580F3C2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F563ED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质量基础设施一站式服务-质量信息服务-质量公示-质量机构</w:t>
            </w:r>
          </w:p>
        </w:tc>
        <w:tc>
          <w:tcPr>
            <w:tcW w:w="2158" w:type="pct"/>
            <w:tcBorders>
              <w:top w:val="nil"/>
              <w:left w:val="nil"/>
              <w:bottom w:val="single" w:color="000000" w:sz="4" w:space="0"/>
              <w:right w:val="single" w:color="000000" w:sz="4" w:space="0"/>
            </w:tcBorders>
            <w:vAlign w:val="center"/>
          </w:tcPr>
          <w:p w14:paraId="76066F1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检定机构信息服务：法定计量检定机构是指政府计量行政部门为实施计量监督而设置的法定计量技术机构，其任务是保证全国计量单位制的统一和量值的准确可靠，提供面向法定计量检定机构的查询功能；授权计量检定机构是由政府计量行政部门依法设置或授权的计量技术机构，主要负责从事计量检定、校准、测试等工作，以确保国家量值准确可靠，提供面向授权计量检定机构的查询功能。</w:t>
            </w:r>
            <w:r>
              <w:rPr>
                <w:rFonts w:hint="eastAsia" w:cs="宋体"/>
                <w:color w:val="auto"/>
                <w:kern w:val="0"/>
                <w:sz w:val="22"/>
                <w:szCs w:val="22"/>
              </w:rPr>
              <w:br w:type="textWrapping"/>
            </w:r>
            <w:r>
              <w:rPr>
                <w:rFonts w:hint="eastAsia" w:cs="宋体"/>
                <w:color w:val="auto"/>
                <w:kern w:val="0"/>
                <w:sz w:val="22"/>
                <w:szCs w:val="22"/>
              </w:rPr>
              <w:t>2、认证机构信息服务：质量认证机构是专业从事质量认证工作的机构，它们通过对企业的产品或服务进行评估和审核，确认其符合特定的质量标准或规范，并颁发相应的认证证书。这些机构在保障消费者权益、推动企业提升质量水平、促进国际贸易等方面发挥着重要作用。提供对认证机构相关信息的查询功能。</w:t>
            </w:r>
          </w:p>
        </w:tc>
      </w:tr>
      <w:tr w14:paraId="1F46D81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CC7632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163</w:t>
            </w:r>
          </w:p>
        </w:tc>
        <w:tc>
          <w:tcPr>
            <w:tcW w:w="1143" w:type="pct"/>
            <w:tcBorders>
              <w:top w:val="nil"/>
              <w:left w:val="nil"/>
              <w:bottom w:val="single" w:color="000000" w:sz="4" w:space="0"/>
              <w:right w:val="single" w:color="000000" w:sz="4" w:space="0"/>
            </w:tcBorders>
            <w:vAlign w:val="center"/>
          </w:tcPr>
          <w:p w14:paraId="7FF800C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61E1B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质量基础设施一站式服务-质量信息服务-质量公示-质量专家</w:t>
            </w:r>
          </w:p>
        </w:tc>
        <w:tc>
          <w:tcPr>
            <w:tcW w:w="2158" w:type="pct"/>
            <w:tcBorders>
              <w:top w:val="nil"/>
              <w:left w:val="nil"/>
              <w:bottom w:val="single" w:color="000000" w:sz="4" w:space="0"/>
              <w:right w:val="single" w:color="000000" w:sz="4" w:space="0"/>
            </w:tcBorders>
            <w:vAlign w:val="center"/>
          </w:tcPr>
          <w:p w14:paraId="1275574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计量人员信息服务：计量人员包括计量标准考评员、法定计量检定机构考评员、一级注册计量师、二级注册计量师、能源计量专家等类型。基于计量人员信息整合，提供相应的查询服务。2、（检验检测）授权签字人考核信息服务：授权签字人考核是确保实验室或检验检测机构报告准确性和可靠性的重要环节。考核通常涉及多个方面，以确保授权签字人具备必要的技术水平、职责意识以及对检测/校准结果的完整性和准确性负责的能力。提供授权签字人考核信息查询和信息访问功能。</w:t>
            </w:r>
          </w:p>
        </w:tc>
      </w:tr>
      <w:tr w14:paraId="0B8D57B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10A2C4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164</w:t>
            </w:r>
          </w:p>
        </w:tc>
        <w:tc>
          <w:tcPr>
            <w:tcW w:w="1143" w:type="pct"/>
            <w:tcBorders>
              <w:top w:val="nil"/>
              <w:left w:val="nil"/>
              <w:bottom w:val="single" w:color="000000" w:sz="4" w:space="0"/>
              <w:right w:val="single" w:color="000000" w:sz="4" w:space="0"/>
            </w:tcBorders>
            <w:vAlign w:val="center"/>
          </w:tcPr>
          <w:p w14:paraId="0FDA81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4E8EDC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质量基础设施一站式服务-质量信息服务-质量公示-荣誉榜单</w:t>
            </w:r>
          </w:p>
        </w:tc>
        <w:tc>
          <w:tcPr>
            <w:tcW w:w="2158" w:type="pct"/>
            <w:tcBorders>
              <w:top w:val="nil"/>
              <w:left w:val="nil"/>
              <w:bottom w:val="single" w:color="000000" w:sz="4" w:space="0"/>
              <w:right w:val="single" w:color="000000" w:sz="4" w:space="0"/>
            </w:tcBorders>
            <w:vAlign w:val="center"/>
          </w:tcPr>
          <w:p w14:paraId="51898E0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1、质量奖项  整合行政奖励、鼓励方面的信息，如市长质量奖，提供查询服务。</w:t>
            </w:r>
            <w:r>
              <w:rPr>
                <w:rFonts w:hint="eastAsia" w:cs="宋体"/>
                <w:color w:val="auto"/>
                <w:kern w:val="0"/>
                <w:sz w:val="22"/>
                <w:szCs w:val="22"/>
              </w:rPr>
              <w:br w:type="textWrapping"/>
            </w:r>
            <w:r>
              <w:rPr>
                <w:rFonts w:hint="eastAsia" w:cs="宋体"/>
                <w:color w:val="auto"/>
                <w:kern w:val="0"/>
                <w:sz w:val="22"/>
                <w:szCs w:val="22"/>
              </w:rPr>
              <w:t>2、质量攻关成果推介  对质量攻关活动及成果进行宣传和推介，提供针对质量攻关成果的查询。</w:t>
            </w:r>
            <w:r>
              <w:rPr>
                <w:rFonts w:hint="eastAsia" w:cs="宋体"/>
                <w:color w:val="auto"/>
                <w:kern w:val="0"/>
                <w:sz w:val="22"/>
                <w:szCs w:val="22"/>
              </w:rPr>
              <w:br w:type="textWrapping"/>
            </w:r>
            <w:r>
              <w:rPr>
                <w:rFonts w:hint="eastAsia" w:cs="宋体"/>
                <w:color w:val="auto"/>
                <w:kern w:val="0"/>
                <w:sz w:val="22"/>
                <w:szCs w:val="22"/>
              </w:rPr>
              <w:t>3、获证机构信息服务  整合多渠道认证信息，提供对获认证的企业、单位、机构相关信息的查询功能。</w:t>
            </w:r>
          </w:p>
        </w:tc>
      </w:tr>
      <w:tr w14:paraId="25656D3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9ADB0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165</w:t>
            </w:r>
          </w:p>
        </w:tc>
        <w:tc>
          <w:tcPr>
            <w:tcW w:w="1143" w:type="pct"/>
            <w:tcBorders>
              <w:top w:val="nil"/>
              <w:left w:val="nil"/>
              <w:bottom w:val="single" w:color="000000" w:sz="4" w:space="0"/>
              <w:right w:val="single" w:color="000000" w:sz="4" w:space="0"/>
            </w:tcBorders>
            <w:vAlign w:val="center"/>
          </w:tcPr>
          <w:p w14:paraId="403E44D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237004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质量基础设施一站式服务-质量信息服务-质量公示-领域服务</w:t>
            </w:r>
          </w:p>
        </w:tc>
        <w:tc>
          <w:tcPr>
            <w:tcW w:w="2158" w:type="pct"/>
            <w:tcBorders>
              <w:top w:val="nil"/>
              <w:left w:val="nil"/>
              <w:bottom w:val="single" w:color="000000" w:sz="4" w:space="0"/>
              <w:right w:val="single" w:color="000000" w:sz="4" w:space="0"/>
            </w:tcBorders>
            <w:vAlign w:val="center"/>
          </w:tcPr>
          <w:p w14:paraId="1C27243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1、团标自我声明查询  基于一网通办团标自我声明数据，提供查询服务。</w:t>
            </w:r>
            <w:r>
              <w:rPr>
                <w:rFonts w:hint="eastAsia" w:cs="宋体"/>
                <w:color w:val="auto"/>
                <w:kern w:val="0"/>
                <w:sz w:val="22"/>
                <w:szCs w:val="22"/>
              </w:rPr>
              <w:br w:type="textWrapping"/>
            </w:r>
            <w:r>
              <w:rPr>
                <w:rFonts w:hint="eastAsia" w:cs="宋体"/>
                <w:color w:val="auto"/>
                <w:kern w:val="0"/>
                <w:sz w:val="22"/>
                <w:szCs w:val="22"/>
              </w:rPr>
              <w:t>2、企标自我声明查询  基于一网通办企标自我声明数据，提供查询服务。</w:t>
            </w:r>
            <w:r>
              <w:rPr>
                <w:rFonts w:hint="eastAsia" w:cs="宋体"/>
                <w:color w:val="auto"/>
                <w:kern w:val="0"/>
                <w:sz w:val="22"/>
                <w:szCs w:val="22"/>
              </w:rPr>
              <w:br w:type="textWrapping"/>
            </w:r>
            <w:r>
              <w:rPr>
                <w:rFonts w:hint="eastAsia" w:cs="宋体"/>
                <w:color w:val="auto"/>
                <w:kern w:val="0"/>
                <w:sz w:val="22"/>
                <w:szCs w:val="22"/>
              </w:rPr>
              <w:t>3、产业计量测试中心及联盟信息查询  提供基本信息查询搜索、产业计量测试服务能力、计量技术能力等的查询和信息服务能力。</w:t>
            </w:r>
            <w:r>
              <w:rPr>
                <w:rFonts w:hint="eastAsia" w:cs="宋体"/>
                <w:color w:val="auto"/>
                <w:kern w:val="0"/>
                <w:sz w:val="22"/>
                <w:szCs w:val="22"/>
              </w:rPr>
              <w:br w:type="textWrapping"/>
            </w:r>
            <w:r>
              <w:rPr>
                <w:rFonts w:hint="eastAsia" w:cs="宋体"/>
                <w:color w:val="auto"/>
                <w:kern w:val="0"/>
                <w:sz w:val="22"/>
                <w:szCs w:val="22"/>
              </w:rPr>
              <w:t>4、认证技术信息服务  认证技术是能帮助确定认证对象满足规定要求程度，或提高认证效率或效果的具有客观性、独立性、可靠性、准确性、系统性一种或多种特性的技能和技巧的总和。提供对认证技术相关信息的查询功能。</w:t>
            </w:r>
            <w:r>
              <w:rPr>
                <w:rFonts w:hint="eastAsia" w:cs="宋体"/>
                <w:color w:val="auto"/>
                <w:kern w:val="0"/>
                <w:sz w:val="22"/>
                <w:szCs w:val="22"/>
              </w:rPr>
              <w:br w:type="textWrapping"/>
            </w:r>
            <w:r>
              <w:rPr>
                <w:rFonts w:hint="eastAsia" w:cs="宋体"/>
                <w:color w:val="auto"/>
                <w:kern w:val="0"/>
                <w:sz w:val="22"/>
                <w:szCs w:val="22"/>
              </w:rPr>
              <w:t>5、计量标准信息服务  提供面向计量标准器具核准相关信息的查询功能；提供面向计量器具型式批准相关信息的查询功能；提供面向社会公用计量标准相关信息查询和信息访问功能。</w:t>
            </w:r>
            <w:r>
              <w:rPr>
                <w:rFonts w:hint="eastAsia" w:cs="宋体"/>
                <w:color w:val="auto"/>
                <w:kern w:val="0"/>
                <w:sz w:val="22"/>
                <w:szCs w:val="22"/>
              </w:rPr>
              <w:br w:type="textWrapping"/>
            </w:r>
            <w:r>
              <w:rPr>
                <w:rFonts w:hint="eastAsia" w:cs="宋体"/>
                <w:color w:val="auto"/>
                <w:kern w:val="0"/>
                <w:sz w:val="22"/>
                <w:szCs w:val="22"/>
              </w:rPr>
              <w:t>6、企业计量声明信息服务  提供针对定量包装商品生产企业计量保证能力自我声明的查询和公示能力。</w:t>
            </w:r>
            <w:r>
              <w:rPr>
                <w:rFonts w:hint="eastAsia" w:cs="宋体"/>
                <w:color w:val="auto"/>
                <w:kern w:val="0"/>
                <w:sz w:val="22"/>
                <w:szCs w:val="22"/>
              </w:rPr>
              <w:br w:type="textWrapping"/>
            </w:r>
            <w:r>
              <w:rPr>
                <w:rFonts w:hint="eastAsia" w:cs="宋体"/>
                <w:color w:val="auto"/>
                <w:kern w:val="0"/>
                <w:sz w:val="22"/>
                <w:szCs w:val="22"/>
              </w:rPr>
              <w:t>7、计量技术规范信息服务  提供面向上海市地方计量技术规范的信息访问体系。</w:t>
            </w:r>
            <w:r>
              <w:rPr>
                <w:rFonts w:hint="eastAsia" w:cs="宋体"/>
                <w:color w:val="auto"/>
                <w:kern w:val="0"/>
                <w:sz w:val="22"/>
                <w:szCs w:val="22"/>
              </w:rPr>
              <w:br w:type="textWrapping"/>
            </w:r>
            <w:r>
              <w:rPr>
                <w:rFonts w:hint="eastAsia" w:cs="宋体"/>
                <w:color w:val="auto"/>
                <w:kern w:val="0"/>
                <w:sz w:val="22"/>
                <w:szCs w:val="22"/>
              </w:rPr>
              <w:t>8、检验检测信息服务  提供检验检测机构查询功能；面向检验检测机构能力提供查询功能，用户可针对特定能力查询具备相应能力的检验检测机构。</w:t>
            </w:r>
            <w:r>
              <w:rPr>
                <w:rFonts w:hint="eastAsia" w:cs="宋体"/>
                <w:color w:val="auto"/>
                <w:kern w:val="0"/>
                <w:sz w:val="22"/>
                <w:szCs w:val="22"/>
              </w:rPr>
              <w:br w:type="textWrapping"/>
            </w:r>
            <w:r>
              <w:rPr>
                <w:rFonts w:hint="eastAsia" w:cs="宋体"/>
                <w:color w:val="auto"/>
                <w:kern w:val="0"/>
                <w:sz w:val="22"/>
                <w:szCs w:val="22"/>
              </w:rPr>
              <w:t>9、能力验证信息服务  提供面向检验检测能力验证项目库的查询功能；提供面向检验检测能力验证结果数据的查询功能。</w:t>
            </w:r>
            <w:r>
              <w:rPr>
                <w:rFonts w:hint="eastAsia" w:cs="宋体"/>
                <w:color w:val="auto"/>
                <w:kern w:val="0"/>
                <w:sz w:val="22"/>
                <w:szCs w:val="22"/>
              </w:rPr>
              <w:br w:type="textWrapping"/>
            </w:r>
            <w:r>
              <w:rPr>
                <w:rFonts w:hint="eastAsia" w:cs="宋体"/>
                <w:color w:val="auto"/>
                <w:kern w:val="0"/>
                <w:sz w:val="22"/>
                <w:szCs w:val="22"/>
              </w:rPr>
              <w:t>10、国检中心信息服务  建立国检中心信息专栏，提供国家质检中心信息查询服务。</w:t>
            </w:r>
            <w:r>
              <w:rPr>
                <w:rFonts w:hint="eastAsia" w:cs="宋体"/>
                <w:color w:val="auto"/>
                <w:kern w:val="0"/>
                <w:sz w:val="22"/>
                <w:szCs w:val="22"/>
              </w:rPr>
              <w:br w:type="textWrapping"/>
            </w:r>
            <w:r>
              <w:rPr>
                <w:rFonts w:hint="eastAsia" w:cs="宋体"/>
                <w:color w:val="auto"/>
                <w:kern w:val="0"/>
                <w:sz w:val="22"/>
                <w:szCs w:val="22"/>
              </w:rPr>
              <w:t>11、市检中心信息服务  建立市检中心信息专栏，提供上海市质检中心信息查询服务。</w:t>
            </w:r>
          </w:p>
        </w:tc>
      </w:tr>
      <w:tr w14:paraId="58C3900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8ED686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166</w:t>
            </w:r>
          </w:p>
        </w:tc>
        <w:tc>
          <w:tcPr>
            <w:tcW w:w="1143" w:type="pct"/>
            <w:tcBorders>
              <w:top w:val="nil"/>
              <w:left w:val="nil"/>
              <w:bottom w:val="single" w:color="000000" w:sz="4" w:space="0"/>
              <w:right w:val="single" w:color="000000" w:sz="4" w:space="0"/>
            </w:tcBorders>
            <w:vAlign w:val="center"/>
          </w:tcPr>
          <w:p w14:paraId="1D59589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C31BEA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质量基础设施一站式服务-质量发展服务-质量发展-政府质量奖评选</w:t>
            </w:r>
          </w:p>
        </w:tc>
        <w:tc>
          <w:tcPr>
            <w:tcW w:w="2158" w:type="pct"/>
            <w:tcBorders>
              <w:top w:val="nil"/>
              <w:left w:val="nil"/>
              <w:bottom w:val="single" w:color="000000" w:sz="4" w:space="0"/>
              <w:right w:val="single" w:color="000000" w:sz="4" w:space="0"/>
            </w:tcBorders>
            <w:vAlign w:val="center"/>
          </w:tcPr>
          <w:p w14:paraId="1B2AFB0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业务介绍：上海市政府质量奖，包括“上海市市长质量奖”和“上海市质量金奖”，均分为“先进质量管理模式”和“先进质量管理成果”。组织可申报先进质量管理模式，个人可申报先进质量管理成果。对上海市政府质量奖进行具体介绍。2、申报入口：提供上海市政府质量奖申报入口的集成和引导。3、结果公示：提供结果公示公开，对上海市政府质量奖评审结果进行公示确认。4、历年结果：提供对历年上海市政府质量奖评选结果的查询功能。</w:t>
            </w:r>
          </w:p>
        </w:tc>
      </w:tr>
      <w:tr w14:paraId="6CFF422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D92DA2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167</w:t>
            </w:r>
          </w:p>
        </w:tc>
        <w:tc>
          <w:tcPr>
            <w:tcW w:w="1143" w:type="pct"/>
            <w:tcBorders>
              <w:top w:val="nil"/>
              <w:left w:val="nil"/>
              <w:bottom w:val="single" w:color="000000" w:sz="4" w:space="0"/>
              <w:right w:val="single" w:color="000000" w:sz="4" w:space="0"/>
            </w:tcBorders>
            <w:vAlign w:val="center"/>
          </w:tcPr>
          <w:p w14:paraId="7F270C2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31E30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质量基础设施一站式服务-质量发展服务-质量发展-质量选树</w:t>
            </w:r>
          </w:p>
        </w:tc>
        <w:tc>
          <w:tcPr>
            <w:tcW w:w="2158" w:type="pct"/>
            <w:tcBorders>
              <w:top w:val="nil"/>
              <w:left w:val="nil"/>
              <w:bottom w:val="single" w:color="000000" w:sz="4" w:space="0"/>
              <w:right w:val="single" w:color="000000" w:sz="4" w:space="0"/>
            </w:tcBorders>
            <w:vAlign w:val="center"/>
          </w:tcPr>
          <w:p w14:paraId="244C0DF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1、选树事项管理  对质量选树所涉事项及其相关参数进行管理，相关质量选树活动可包括一站式服务、质量示范、质量攻关、首席质量官、长三角相关的选拔和树立活动。</w:t>
            </w:r>
            <w:r>
              <w:rPr>
                <w:rFonts w:hint="eastAsia" w:cs="宋体"/>
                <w:color w:val="auto"/>
                <w:kern w:val="0"/>
                <w:sz w:val="22"/>
                <w:szCs w:val="22"/>
              </w:rPr>
              <w:br w:type="textWrapping"/>
            </w:r>
            <w:r>
              <w:rPr>
                <w:rFonts w:hint="eastAsia" w:cs="宋体"/>
                <w:color w:val="auto"/>
                <w:kern w:val="0"/>
                <w:sz w:val="22"/>
                <w:szCs w:val="22"/>
              </w:rPr>
              <w:t>2、选树活动发起  按权限控制发布方，由发布方提供活动信息，包括项目基本信息（项目名称、选树时间要求、选树对象要求）、项目相关文件、申报截至时间、申报模板文件、申报联系方式等，系统按活动类型提供质量发展选树活动的信息发布及申请模板。</w:t>
            </w:r>
            <w:r>
              <w:rPr>
                <w:rFonts w:hint="eastAsia" w:cs="宋体"/>
                <w:color w:val="auto"/>
                <w:kern w:val="0"/>
                <w:sz w:val="22"/>
                <w:szCs w:val="22"/>
              </w:rPr>
              <w:br w:type="textWrapping"/>
            </w:r>
            <w:r>
              <w:rPr>
                <w:rFonts w:hint="eastAsia" w:cs="宋体"/>
                <w:color w:val="auto"/>
                <w:kern w:val="0"/>
                <w:sz w:val="22"/>
                <w:szCs w:val="22"/>
              </w:rPr>
              <w:t>3、选树参与通道（面向企业）  企业直接提交参与选树活动的相关信息和必要材料</w:t>
            </w:r>
            <w:r>
              <w:rPr>
                <w:rFonts w:hint="eastAsia" w:cs="宋体"/>
                <w:color w:val="auto"/>
                <w:kern w:val="0"/>
                <w:sz w:val="22"/>
                <w:szCs w:val="22"/>
              </w:rPr>
              <w:br w:type="textWrapping"/>
            </w:r>
            <w:r>
              <w:rPr>
                <w:rFonts w:hint="eastAsia" w:cs="宋体"/>
                <w:color w:val="auto"/>
                <w:kern w:val="0"/>
                <w:sz w:val="22"/>
                <w:szCs w:val="22"/>
              </w:rPr>
              <w:t>4、选树参与通道（面向区县）  由区县市场监管部门代理或汇总提交的选树活动，面向区县提供信息提交通道，包括逐个录入和批量导入相关功能</w:t>
            </w:r>
            <w:r>
              <w:rPr>
                <w:rFonts w:hint="eastAsia" w:cs="宋体"/>
                <w:color w:val="auto"/>
                <w:kern w:val="0"/>
                <w:sz w:val="22"/>
                <w:szCs w:val="22"/>
              </w:rPr>
              <w:br w:type="textWrapping"/>
            </w:r>
            <w:r>
              <w:rPr>
                <w:rFonts w:hint="eastAsia" w:cs="宋体"/>
                <w:color w:val="auto"/>
                <w:kern w:val="0"/>
                <w:sz w:val="22"/>
                <w:szCs w:val="22"/>
              </w:rPr>
              <w:t>5、成果发布通道  提供质量选树活动的成果发布通道功能。</w:t>
            </w:r>
          </w:p>
        </w:tc>
      </w:tr>
      <w:tr w14:paraId="69D7A71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5E052B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168</w:t>
            </w:r>
          </w:p>
        </w:tc>
        <w:tc>
          <w:tcPr>
            <w:tcW w:w="1143" w:type="pct"/>
            <w:tcBorders>
              <w:top w:val="nil"/>
              <w:left w:val="nil"/>
              <w:bottom w:val="single" w:color="000000" w:sz="4" w:space="0"/>
              <w:right w:val="single" w:color="000000" w:sz="4" w:space="0"/>
            </w:tcBorders>
            <w:vAlign w:val="center"/>
          </w:tcPr>
          <w:p w14:paraId="2740122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473801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质量基础设施一站式服务-质量发展服务-质量发展-消费品召回服务</w:t>
            </w:r>
          </w:p>
        </w:tc>
        <w:tc>
          <w:tcPr>
            <w:tcW w:w="2158" w:type="pct"/>
            <w:tcBorders>
              <w:top w:val="nil"/>
              <w:left w:val="nil"/>
              <w:bottom w:val="single" w:color="000000" w:sz="4" w:space="0"/>
              <w:right w:val="single" w:color="000000" w:sz="4" w:space="0"/>
            </w:tcBorders>
            <w:vAlign w:val="center"/>
          </w:tcPr>
          <w:p w14:paraId="1B6A4B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1、消费品召回服务：介绍消费品召回相关制度要求与业务指南。</w:t>
            </w:r>
            <w:r>
              <w:rPr>
                <w:rFonts w:hint="eastAsia" w:cs="宋体"/>
                <w:color w:val="auto"/>
                <w:kern w:val="0"/>
                <w:sz w:val="22"/>
                <w:szCs w:val="22"/>
              </w:rPr>
              <w:br w:type="textWrapping"/>
            </w:r>
            <w:r>
              <w:rPr>
                <w:rFonts w:hint="eastAsia" w:cs="宋体"/>
                <w:color w:val="auto"/>
                <w:kern w:val="0"/>
                <w:sz w:val="22"/>
                <w:szCs w:val="22"/>
              </w:rPr>
              <w:t>2、生产者主动信息报告：生产者和其他经营者发现其生产经营的消费品存在“在中华人民共和国境外实施召回”或“已经造成或者可能造成死亡、严重人身伤害、重大财产损失”情况的的，应当自发现之日起二个工作日内向所在地省级市场监督管理部门报告；</w:t>
            </w:r>
            <w:r>
              <w:rPr>
                <w:rFonts w:hint="eastAsia" w:cs="宋体"/>
                <w:color w:val="auto"/>
                <w:kern w:val="0"/>
                <w:sz w:val="22"/>
                <w:szCs w:val="22"/>
              </w:rPr>
              <w:br w:type="textWrapping"/>
            </w:r>
            <w:r>
              <w:rPr>
                <w:rFonts w:hint="eastAsia" w:cs="宋体"/>
                <w:color w:val="auto"/>
                <w:kern w:val="0"/>
                <w:sz w:val="22"/>
                <w:szCs w:val="22"/>
              </w:rPr>
              <w:t>3、生产者主动实施召回：（1）填报《消费品召回计划》、《消费品召回事项说明》；（2）提交《消费品召回阶段性报告》；（3）提交《消费品召回总结报告》</w:t>
            </w:r>
            <w:r>
              <w:rPr>
                <w:rFonts w:hint="eastAsia" w:cs="宋体"/>
                <w:color w:val="auto"/>
                <w:kern w:val="0"/>
                <w:sz w:val="22"/>
                <w:szCs w:val="22"/>
              </w:rPr>
              <w:br w:type="textWrapping"/>
            </w:r>
            <w:r>
              <w:rPr>
                <w:rFonts w:hint="eastAsia" w:cs="宋体"/>
                <w:color w:val="auto"/>
                <w:kern w:val="0"/>
                <w:sz w:val="22"/>
                <w:szCs w:val="22"/>
              </w:rPr>
              <w:t>4、编辑发布《召回计划》：接到召回计划报告的市场监督管理部门应当向社会公示生产者报告的召回计划。</w:t>
            </w:r>
            <w:r>
              <w:rPr>
                <w:rFonts w:hint="eastAsia" w:cs="宋体"/>
                <w:color w:val="auto"/>
                <w:kern w:val="0"/>
                <w:sz w:val="22"/>
                <w:szCs w:val="22"/>
              </w:rPr>
              <w:br w:type="textWrapping"/>
            </w:r>
            <w:r>
              <w:rPr>
                <w:rFonts w:hint="eastAsia" w:cs="宋体"/>
                <w:color w:val="auto"/>
                <w:kern w:val="0"/>
                <w:sz w:val="22"/>
                <w:szCs w:val="22"/>
              </w:rPr>
              <w:t>5、召回计划查看：消费者查看召回计划</w:t>
            </w:r>
          </w:p>
        </w:tc>
      </w:tr>
      <w:tr w14:paraId="32688A0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F2AB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169</w:t>
            </w:r>
          </w:p>
        </w:tc>
        <w:tc>
          <w:tcPr>
            <w:tcW w:w="1143" w:type="pct"/>
            <w:tcBorders>
              <w:top w:val="nil"/>
              <w:left w:val="nil"/>
              <w:bottom w:val="single" w:color="000000" w:sz="4" w:space="0"/>
              <w:right w:val="single" w:color="000000" w:sz="4" w:space="0"/>
            </w:tcBorders>
            <w:vAlign w:val="center"/>
          </w:tcPr>
          <w:p w14:paraId="1B8A757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DC0E4B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质量基础设施一站式服务-质量发展服务-标准服务-国标实施反馈</w:t>
            </w:r>
          </w:p>
        </w:tc>
        <w:tc>
          <w:tcPr>
            <w:tcW w:w="2158" w:type="pct"/>
            <w:tcBorders>
              <w:top w:val="nil"/>
              <w:left w:val="nil"/>
              <w:bottom w:val="single" w:color="000000" w:sz="4" w:space="0"/>
              <w:right w:val="single" w:color="000000" w:sz="4" w:space="0"/>
            </w:tcBorders>
            <w:vAlign w:val="center"/>
          </w:tcPr>
          <w:p w14:paraId="5C9ABD2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国标参与渠道公开与国家标准查询入口：公布国家标准参与渠道，提供全标委、行业标委、环保部门等国家层面标准制定相关单位的线上线下联络渠道，提供相关信息维护和访问支持；国家标准由总局统一公开，提供对国家标准的查询入口。</w:t>
            </w:r>
            <w:r>
              <w:rPr>
                <w:rFonts w:hint="eastAsia" w:cs="宋体"/>
                <w:color w:val="auto"/>
                <w:kern w:val="0"/>
                <w:sz w:val="22"/>
                <w:szCs w:val="22"/>
              </w:rPr>
              <w:br w:type="textWrapping"/>
            </w:r>
            <w:r>
              <w:rPr>
                <w:rFonts w:hint="eastAsia" w:cs="宋体"/>
                <w:color w:val="auto"/>
                <w:kern w:val="0"/>
                <w:sz w:val="22"/>
                <w:szCs w:val="22"/>
              </w:rPr>
              <w:t>2、国标实施反馈：在国家标准查询入口提供“国标实施反馈”入口，实施对国家标准实时反馈情况的采集，采集内容与地方标准类似，其中的标准名称、标准号等，由反馈人员自己填写。国标实施反馈处理，国标实施反馈由标准技术处（市局被授权人员）负责，进行简单结果分类以便统计，但处理结果不需要对外答复。</w:t>
            </w:r>
          </w:p>
        </w:tc>
      </w:tr>
      <w:tr w14:paraId="63435D0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15C44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170</w:t>
            </w:r>
          </w:p>
        </w:tc>
        <w:tc>
          <w:tcPr>
            <w:tcW w:w="1143" w:type="pct"/>
            <w:tcBorders>
              <w:top w:val="nil"/>
              <w:left w:val="nil"/>
              <w:bottom w:val="single" w:color="000000" w:sz="4" w:space="0"/>
              <w:right w:val="single" w:color="000000" w:sz="4" w:space="0"/>
            </w:tcBorders>
            <w:vAlign w:val="center"/>
          </w:tcPr>
          <w:p w14:paraId="367CD4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7A3021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质量基础设施一站式服务-质量发展服务-标准服务-地方标准专区</w:t>
            </w:r>
          </w:p>
        </w:tc>
        <w:tc>
          <w:tcPr>
            <w:tcW w:w="2158" w:type="pct"/>
            <w:tcBorders>
              <w:top w:val="nil"/>
              <w:left w:val="nil"/>
              <w:bottom w:val="single" w:color="000000" w:sz="4" w:space="0"/>
              <w:right w:val="single" w:color="000000" w:sz="4" w:space="0"/>
            </w:tcBorders>
            <w:vAlign w:val="center"/>
          </w:tcPr>
          <w:p w14:paraId="22F779B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1、地方标准立项：对地方标准立项相关计划和编制情况进行说明和公开。</w:t>
            </w:r>
            <w:r>
              <w:rPr>
                <w:rFonts w:hint="eastAsia" w:cs="宋体"/>
                <w:color w:val="auto"/>
                <w:kern w:val="0"/>
                <w:sz w:val="22"/>
                <w:szCs w:val="22"/>
              </w:rPr>
              <w:br w:type="textWrapping"/>
            </w:r>
            <w:r>
              <w:rPr>
                <w:rFonts w:hint="eastAsia" w:cs="宋体"/>
                <w:color w:val="auto"/>
                <w:kern w:val="0"/>
                <w:sz w:val="22"/>
                <w:szCs w:val="22"/>
              </w:rPr>
              <w:t>2、地方标准意见征求：地方标准管理过程中，需要征求社会意见的，都纳入系统流程中，通过外网发布征求意见函，结合平台信息服务进行发布。社会各方面针对意见征求，在线提供意见和建议反馈，使地方标准更加科学、合理、实用。组织制定单位接收意见反馈。</w:t>
            </w:r>
            <w:r>
              <w:rPr>
                <w:rFonts w:hint="eastAsia" w:cs="宋体"/>
                <w:color w:val="auto"/>
                <w:kern w:val="0"/>
                <w:sz w:val="22"/>
                <w:szCs w:val="22"/>
              </w:rPr>
              <w:br w:type="textWrapping"/>
            </w:r>
            <w:r>
              <w:rPr>
                <w:rFonts w:hint="eastAsia" w:cs="宋体"/>
                <w:color w:val="auto"/>
                <w:kern w:val="0"/>
                <w:sz w:val="22"/>
                <w:szCs w:val="22"/>
              </w:rPr>
              <w:t>3、地方标准公开：提供地方标准公开功能，包括查询、在线阅读、下载等功能。</w:t>
            </w:r>
            <w:r>
              <w:rPr>
                <w:rFonts w:hint="eastAsia" w:cs="宋体"/>
                <w:color w:val="auto"/>
                <w:kern w:val="0"/>
                <w:sz w:val="22"/>
                <w:szCs w:val="22"/>
              </w:rPr>
              <w:br w:type="textWrapping"/>
            </w:r>
            <w:r>
              <w:rPr>
                <w:rFonts w:hint="eastAsia" w:cs="宋体"/>
                <w:color w:val="auto"/>
                <w:kern w:val="0"/>
                <w:sz w:val="22"/>
                <w:szCs w:val="22"/>
              </w:rPr>
              <w:t>4、地方标准实施反馈：地方标准的“实施反馈”面向自然人开放，需要进行身份认证（结合平台用户体系）。实施反馈的信息包括反馈人、反馈人身份证号、反馈人联系方式、反馈的地方标准名称（编号，不可改）、反馈意见、附件材料（限制格式，数量）等。</w:t>
            </w:r>
          </w:p>
        </w:tc>
      </w:tr>
      <w:tr w14:paraId="062FED1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9B67FD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171</w:t>
            </w:r>
          </w:p>
        </w:tc>
        <w:tc>
          <w:tcPr>
            <w:tcW w:w="1143" w:type="pct"/>
            <w:tcBorders>
              <w:top w:val="nil"/>
              <w:left w:val="nil"/>
              <w:bottom w:val="single" w:color="000000" w:sz="4" w:space="0"/>
              <w:right w:val="single" w:color="000000" w:sz="4" w:space="0"/>
            </w:tcBorders>
            <w:vAlign w:val="center"/>
          </w:tcPr>
          <w:p w14:paraId="30B0FF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63DF43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质量基础设施一站式服务-质量发展服务-计量服务-计量比对服务专区</w:t>
            </w:r>
          </w:p>
        </w:tc>
        <w:tc>
          <w:tcPr>
            <w:tcW w:w="2158" w:type="pct"/>
            <w:tcBorders>
              <w:top w:val="nil"/>
              <w:left w:val="nil"/>
              <w:bottom w:val="single" w:color="000000" w:sz="4" w:space="0"/>
              <w:right w:val="single" w:color="000000" w:sz="4" w:space="0"/>
            </w:tcBorders>
            <w:vAlign w:val="center"/>
          </w:tcPr>
          <w:p w14:paraId="0AA76AA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提供计量比对业务体系宣介与业务办理入口。</w:t>
            </w:r>
            <w:r>
              <w:rPr>
                <w:rFonts w:hint="eastAsia" w:cs="宋体"/>
                <w:color w:val="auto"/>
                <w:kern w:val="0"/>
                <w:sz w:val="22"/>
                <w:szCs w:val="22"/>
              </w:rPr>
              <w:br w:type="textWrapping"/>
            </w:r>
            <w:r>
              <w:rPr>
                <w:rFonts w:hint="eastAsia" w:cs="宋体"/>
                <w:color w:val="auto"/>
                <w:kern w:val="0"/>
                <w:sz w:val="22"/>
                <w:szCs w:val="22"/>
              </w:rPr>
              <w:t>市场监督管理单位按照《计量法》和《计量法实施细则》开展计量比对相关业务，对相关业务体系进行宣介。针对计量比对相关参与方功能差异，提供各角色入口集成。</w:t>
            </w:r>
          </w:p>
        </w:tc>
      </w:tr>
      <w:tr w14:paraId="557E000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6C6193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172</w:t>
            </w:r>
          </w:p>
        </w:tc>
        <w:tc>
          <w:tcPr>
            <w:tcW w:w="1143" w:type="pct"/>
            <w:tcBorders>
              <w:top w:val="nil"/>
              <w:left w:val="nil"/>
              <w:bottom w:val="single" w:color="000000" w:sz="4" w:space="0"/>
              <w:right w:val="single" w:color="000000" w:sz="4" w:space="0"/>
            </w:tcBorders>
            <w:vAlign w:val="center"/>
          </w:tcPr>
          <w:p w14:paraId="3E3C7B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AEAC9C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质量基础设施一站式服务-质量发展服务-计量服务-计量强检服务专区</w:t>
            </w:r>
          </w:p>
        </w:tc>
        <w:tc>
          <w:tcPr>
            <w:tcW w:w="2158" w:type="pct"/>
            <w:tcBorders>
              <w:top w:val="nil"/>
              <w:left w:val="nil"/>
              <w:bottom w:val="single" w:color="000000" w:sz="4" w:space="0"/>
              <w:right w:val="single" w:color="000000" w:sz="4" w:space="0"/>
            </w:tcBorders>
            <w:vAlign w:val="center"/>
          </w:tcPr>
          <w:p w14:paraId="6601176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提供计量强检业务体系宣介与业务办理入口。</w:t>
            </w:r>
            <w:r>
              <w:rPr>
                <w:rFonts w:hint="eastAsia" w:cs="宋体"/>
                <w:color w:val="auto"/>
                <w:kern w:val="0"/>
                <w:sz w:val="22"/>
                <w:szCs w:val="22"/>
              </w:rPr>
              <w:br w:type="textWrapping"/>
            </w:r>
            <w:r>
              <w:rPr>
                <w:rFonts w:hint="eastAsia" w:cs="宋体"/>
                <w:color w:val="auto"/>
                <w:kern w:val="0"/>
                <w:sz w:val="22"/>
                <w:szCs w:val="22"/>
              </w:rPr>
              <w:t>县级以上人民政府计量行政部门对社会公用计量标准器具，部门和企业、事业单位使用的最高计量标准器具，以及用于贸易结算、安全防护、医疗卫生、环境监测方面的列入强制检定目录的工作计量器具，实行强制检定，对相关业务体系进行宣介。针对计量强检相关功能服务，提供入口集成。</w:t>
            </w:r>
          </w:p>
        </w:tc>
      </w:tr>
      <w:tr w14:paraId="1C039C4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0EB97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173</w:t>
            </w:r>
          </w:p>
        </w:tc>
        <w:tc>
          <w:tcPr>
            <w:tcW w:w="1143" w:type="pct"/>
            <w:tcBorders>
              <w:top w:val="nil"/>
              <w:left w:val="nil"/>
              <w:bottom w:val="single" w:color="000000" w:sz="4" w:space="0"/>
              <w:right w:val="single" w:color="000000" w:sz="4" w:space="0"/>
            </w:tcBorders>
            <w:vAlign w:val="center"/>
          </w:tcPr>
          <w:p w14:paraId="288912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B90D76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质量基础设施一站式服务-质量发展服务-计量服务-诚信计量服务专区</w:t>
            </w:r>
          </w:p>
        </w:tc>
        <w:tc>
          <w:tcPr>
            <w:tcW w:w="2158" w:type="pct"/>
            <w:tcBorders>
              <w:top w:val="nil"/>
              <w:left w:val="nil"/>
              <w:bottom w:val="single" w:color="000000" w:sz="4" w:space="0"/>
              <w:right w:val="single" w:color="000000" w:sz="4" w:space="0"/>
            </w:tcBorders>
            <w:vAlign w:val="center"/>
          </w:tcPr>
          <w:p w14:paraId="0D9A4CF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开展诚信计量，是贯彻新发展理念、推动高质量发展的必然要求，也是建设现代化经济体系的重要举措，对相关业务体系进行宣介。诚信计量业务体系宣介，提供基于“诚信计量示范”单位名录的查询功能。</w:t>
            </w:r>
          </w:p>
        </w:tc>
      </w:tr>
      <w:tr w14:paraId="457240A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323AEA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174</w:t>
            </w:r>
          </w:p>
        </w:tc>
        <w:tc>
          <w:tcPr>
            <w:tcW w:w="1143" w:type="pct"/>
            <w:tcBorders>
              <w:top w:val="nil"/>
              <w:left w:val="nil"/>
              <w:bottom w:val="single" w:color="000000" w:sz="4" w:space="0"/>
              <w:right w:val="single" w:color="000000" w:sz="4" w:space="0"/>
            </w:tcBorders>
            <w:vAlign w:val="center"/>
          </w:tcPr>
          <w:p w14:paraId="126E65B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D91B3A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质量基础设施一站式服务-质量发展服务-计量服务-其他计量服务发展信息</w:t>
            </w:r>
          </w:p>
        </w:tc>
        <w:tc>
          <w:tcPr>
            <w:tcW w:w="2158" w:type="pct"/>
            <w:tcBorders>
              <w:top w:val="nil"/>
              <w:left w:val="nil"/>
              <w:bottom w:val="single" w:color="000000" w:sz="4" w:space="0"/>
              <w:right w:val="single" w:color="000000" w:sz="4" w:space="0"/>
            </w:tcBorders>
            <w:vAlign w:val="center"/>
          </w:tcPr>
          <w:p w14:paraId="5857905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1、国家计量数据建设应用基地：以信息专栏形式，向访问者提供国家计量数据建设应用基地相关信息的浏览。2、计量人才实训基地：以信息专栏形式，向访问者提供计量人才实训基地相关信息的浏览。</w:t>
            </w:r>
          </w:p>
        </w:tc>
      </w:tr>
      <w:tr w14:paraId="4DF94A4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9A8BE6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175</w:t>
            </w:r>
          </w:p>
        </w:tc>
        <w:tc>
          <w:tcPr>
            <w:tcW w:w="1143" w:type="pct"/>
            <w:tcBorders>
              <w:top w:val="nil"/>
              <w:left w:val="nil"/>
              <w:bottom w:val="single" w:color="000000" w:sz="4" w:space="0"/>
              <w:right w:val="single" w:color="000000" w:sz="4" w:space="0"/>
            </w:tcBorders>
            <w:vAlign w:val="center"/>
          </w:tcPr>
          <w:p w14:paraId="73E9140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5BBF5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质量基础设施一站式服务-质量发展服务-品牌认证-上海品牌服务专区</w:t>
            </w:r>
          </w:p>
        </w:tc>
        <w:tc>
          <w:tcPr>
            <w:tcW w:w="2158" w:type="pct"/>
            <w:tcBorders>
              <w:top w:val="nil"/>
              <w:left w:val="nil"/>
              <w:bottom w:val="single" w:color="000000" w:sz="4" w:space="0"/>
              <w:right w:val="single" w:color="000000" w:sz="4" w:space="0"/>
            </w:tcBorders>
            <w:vAlign w:val="center"/>
          </w:tcPr>
          <w:p w14:paraId="3C6CBCD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上海品牌”认证是自愿性高端品质认证，根据国际通行的合格评定方式，依据“上海品牌”标准及相关规定，对申请“上海品牌”认证的市场主体及其产品或服务进行的第三方评价活动。对“上海品牌”认证相关业务体系进行宣介与成果展示。提供“上海品牌”认证相关获证机构的查询功能。2、CCC免办：提供对CCC免办的业务宣介和信息集成。</w:t>
            </w:r>
          </w:p>
        </w:tc>
      </w:tr>
      <w:tr w14:paraId="4490A35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820B7C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176</w:t>
            </w:r>
          </w:p>
        </w:tc>
        <w:tc>
          <w:tcPr>
            <w:tcW w:w="1143" w:type="pct"/>
            <w:tcBorders>
              <w:top w:val="nil"/>
              <w:left w:val="nil"/>
              <w:bottom w:val="single" w:color="000000" w:sz="4" w:space="0"/>
              <w:right w:val="single" w:color="000000" w:sz="4" w:space="0"/>
            </w:tcBorders>
            <w:vAlign w:val="center"/>
          </w:tcPr>
          <w:p w14:paraId="710160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F3B143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质量基础设施一站式服务-质量发展服务-检验检测-检验检测机构能力验证</w:t>
            </w:r>
          </w:p>
        </w:tc>
        <w:tc>
          <w:tcPr>
            <w:tcW w:w="2158" w:type="pct"/>
            <w:tcBorders>
              <w:top w:val="nil"/>
              <w:left w:val="nil"/>
              <w:bottom w:val="single" w:color="000000" w:sz="4" w:space="0"/>
              <w:right w:val="single" w:color="000000" w:sz="4" w:space="0"/>
            </w:tcBorders>
            <w:vAlign w:val="center"/>
          </w:tcPr>
          <w:p w14:paraId="615613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检验检测机构能力验证，是指市场监管部门采取实验室间比对等方式，按照相关标准或者技术规范预先制定的考核规则，对检验检测机构技术能力是否持续符合资质认定条件和要求实施的技术管理手段。市场监管部门根据检验检测机构管理工作需要提出能力验证需求，征集能力验证项目，制定年度能力验证工作计划，系统提供对项目征集、工作计划发布等环节的应用支持；市场监管部门应当及时向社会公布其组织实施的能力验证结果信息，系统提供能力验证结果的发布。</w:t>
            </w:r>
          </w:p>
        </w:tc>
      </w:tr>
      <w:tr w14:paraId="3D246A3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08D627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177</w:t>
            </w:r>
          </w:p>
        </w:tc>
        <w:tc>
          <w:tcPr>
            <w:tcW w:w="1143" w:type="pct"/>
            <w:tcBorders>
              <w:top w:val="nil"/>
              <w:left w:val="nil"/>
              <w:bottom w:val="single" w:color="000000" w:sz="4" w:space="0"/>
              <w:right w:val="single" w:color="000000" w:sz="4" w:space="0"/>
            </w:tcBorders>
            <w:vAlign w:val="center"/>
          </w:tcPr>
          <w:p w14:paraId="523B81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2A6131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质量基础设施一站式服务-用户专区-用户体系</w:t>
            </w:r>
          </w:p>
        </w:tc>
        <w:tc>
          <w:tcPr>
            <w:tcW w:w="2158" w:type="pct"/>
            <w:tcBorders>
              <w:top w:val="nil"/>
              <w:left w:val="nil"/>
              <w:bottom w:val="single" w:color="000000" w:sz="4" w:space="0"/>
              <w:right w:val="single" w:color="000000" w:sz="4" w:space="0"/>
            </w:tcBorders>
            <w:vAlign w:val="center"/>
          </w:tcPr>
          <w:p w14:paraId="46AC6D3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用户体系接入：平台用户包括政府机构、质量服务机构、企业、质量专家、一般用户等多重用户。系统用户体系以一网通办为主体，结合国家政务服务平台、企业电子营业执照等认证和验证体系，进行用户身份识别、标记和验证；结合平台需求进行用户角色的定义，例如诚信计量所涉及的乡镇街道、行业协会等应用角色，形成组织或虚拟组织的标签。</w:t>
            </w:r>
            <w:r>
              <w:rPr>
                <w:rFonts w:hint="eastAsia" w:cs="宋体"/>
                <w:color w:val="auto"/>
                <w:kern w:val="0"/>
                <w:sz w:val="22"/>
                <w:szCs w:val="22"/>
              </w:rPr>
              <w:br w:type="textWrapping"/>
            </w:r>
            <w:r>
              <w:rPr>
                <w:rFonts w:hint="eastAsia" w:cs="宋体"/>
                <w:color w:val="auto"/>
                <w:kern w:val="0"/>
                <w:sz w:val="22"/>
                <w:szCs w:val="22"/>
              </w:rPr>
              <w:t>访问授权控制：根据平台用户性质，确定该类用户的访问范围和操作类型权限，进行具体权限（功能权、事权和信息访问权）分配；提供角色定义及分配，根据用户性质和定位，确认平台用户角色。包括企业用户的角色（如团标制订参与方、接受计量服务）、质量服务机构定位及能力的角色分配机制（如特定类型信息发布者、质量服务接洽）等</w:t>
            </w:r>
          </w:p>
        </w:tc>
      </w:tr>
      <w:tr w14:paraId="33C9A4A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739901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178</w:t>
            </w:r>
          </w:p>
        </w:tc>
        <w:tc>
          <w:tcPr>
            <w:tcW w:w="1143" w:type="pct"/>
            <w:tcBorders>
              <w:top w:val="nil"/>
              <w:left w:val="nil"/>
              <w:bottom w:val="single" w:color="000000" w:sz="4" w:space="0"/>
              <w:right w:val="single" w:color="000000" w:sz="4" w:space="0"/>
            </w:tcBorders>
            <w:vAlign w:val="center"/>
          </w:tcPr>
          <w:p w14:paraId="69C4AE6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627881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质量基础设施一站式服务-用户专区-信息管理与互动</w:t>
            </w:r>
          </w:p>
        </w:tc>
        <w:tc>
          <w:tcPr>
            <w:tcW w:w="2158" w:type="pct"/>
            <w:tcBorders>
              <w:top w:val="nil"/>
              <w:left w:val="nil"/>
              <w:bottom w:val="single" w:color="000000" w:sz="4" w:space="0"/>
              <w:right w:val="single" w:color="000000" w:sz="4" w:space="0"/>
            </w:tcBorders>
            <w:vAlign w:val="center"/>
          </w:tcPr>
          <w:p w14:paraId="76BE839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1、政策、动态、活动等发布与管理：结合政策、动态、活动等内容提供后台支撑，包括提供图文混编可带附件按栏目进行的发布；活动组织者管理后台，方便发布活动、查看报名情况、管理参与者等。</w:t>
            </w:r>
            <w:r>
              <w:rPr>
                <w:rFonts w:hint="eastAsia" w:cs="宋体"/>
                <w:color w:val="auto"/>
                <w:kern w:val="0"/>
                <w:sz w:val="22"/>
                <w:szCs w:val="22"/>
              </w:rPr>
              <w:br w:type="textWrapping"/>
            </w:r>
            <w:r>
              <w:rPr>
                <w:rFonts w:hint="eastAsia" w:cs="宋体"/>
                <w:color w:val="auto"/>
                <w:kern w:val="0"/>
                <w:sz w:val="22"/>
                <w:szCs w:val="22"/>
              </w:rPr>
              <w:t>2、平台交互互动：向市场监管单位提供服务，展示和管理在质量基础设施一站式服务中开展的活动发起组织信息；提供管理员后台通知功能，方便告知特定范围企业（已报名确认）相关活动通知。</w:t>
            </w:r>
          </w:p>
        </w:tc>
      </w:tr>
      <w:tr w14:paraId="2A6FE91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AD8FD9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179</w:t>
            </w:r>
          </w:p>
        </w:tc>
        <w:tc>
          <w:tcPr>
            <w:tcW w:w="1143" w:type="pct"/>
            <w:tcBorders>
              <w:top w:val="nil"/>
              <w:left w:val="nil"/>
              <w:bottom w:val="single" w:color="000000" w:sz="4" w:space="0"/>
              <w:right w:val="single" w:color="000000" w:sz="4" w:space="0"/>
            </w:tcBorders>
            <w:vAlign w:val="center"/>
          </w:tcPr>
          <w:p w14:paraId="55438FE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A164F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质量基础设施一站式管理-消费品召回管理-接收生产者主动信息报告-接收查看《境外召回报告信息表》（市局行政服务中心）</w:t>
            </w:r>
          </w:p>
        </w:tc>
        <w:tc>
          <w:tcPr>
            <w:tcW w:w="2158" w:type="pct"/>
            <w:tcBorders>
              <w:top w:val="nil"/>
              <w:left w:val="nil"/>
              <w:bottom w:val="single" w:color="000000" w:sz="4" w:space="0"/>
              <w:right w:val="single" w:color="000000" w:sz="4" w:space="0"/>
            </w:tcBorders>
            <w:vAlign w:val="center"/>
          </w:tcPr>
          <w:p w14:paraId="32FBDD0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生产者在一站式服务平台发起境外召回报告，提交《境外召回报告信息表》，业务应用提供待办（待查看）信息，由市局行政服务中心接收并查看（标记已接收查看）。</w:t>
            </w:r>
          </w:p>
        </w:tc>
      </w:tr>
      <w:tr w14:paraId="62D0BF6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E771B4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180</w:t>
            </w:r>
          </w:p>
        </w:tc>
        <w:tc>
          <w:tcPr>
            <w:tcW w:w="1143" w:type="pct"/>
            <w:tcBorders>
              <w:top w:val="nil"/>
              <w:left w:val="nil"/>
              <w:bottom w:val="single" w:color="000000" w:sz="4" w:space="0"/>
              <w:right w:val="single" w:color="000000" w:sz="4" w:space="0"/>
            </w:tcBorders>
            <w:vAlign w:val="center"/>
          </w:tcPr>
          <w:p w14:paraId="452D0A6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212B58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质量基础设施一站式管理-消费品召回管理-接收生产者主动信息报告-接收查看《事故及危险报告信息表》（市局行政服务中心）</w:t>
            </w:r>
          </w:p>
        </w:tc>
        <w:tc>
          <w:tcPr>
            <w:tcW w:w="2158" w:type="pct"/>
            <w:tcBorders>
              <w:top w:val="nil"/>
              <w:left w:val="nil"/>
              <w:bottom w:val="single" w:color="000000" w:sz="4" w:space="0"/>
              <w:right w:val="single" w:color="000000" w:sz="4" w:space="0"/>
            </w:tcBorders>
            <w:vAlign w:val="center"/>
          </w:tcPr>
          <w:p w14:paraId="75D7052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生产者在一站式服务平台发起事故及危险报告，提交《事故及危险报告信息表》，业务应用提供待办（待查看）信息，由市局行政服务中心接收并查看（标记已接收查看）。</w:t>
            </w:r>
          </w:p>
        </w:tc>
      </w:tr>
      <w:tr w14:paraId="1CB0057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C1BDC5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181</w:t>
            </w:r>
          </w:p>
        </w:tc>
        <w:tc>
          <w:tcPr>
            <w:tcW w:w="1143" w:type="pct"/>
            <w:tcBorders>
              <w:top w:val="nil"/>
              <w:left w:val="nil"/>
              <w:bottom w:val="single" w:color="000000" w:sz="4" w:space="0"/>
              <w:right w:val="single" w:color="000000" w:sz="4" w:space="0"/>
            </w:tcBorders>
            <w:vAlign w:val="center"/>
          </w:tcPr>
          <w:p w14:paraId="23C0C0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F906C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质量基础设施一站式管理-消费品召回管理-审查生产者主动实施召回-审查召回事项与召回计划（市局行政服务中心）</w:t>
            </w:r>
          </w:p>
        </w:tc>
        <w:tc>
          <w:tcPr>
            <w:tcW w:w="2158" w:type="pct"/>
            <w:tcBorders>
              <w:top w:val="nil"/>
              <w:left w:val="nil"/>
              <w:bottom w:val="single" w:color="000000" w:sz="4" w:space="0"/>
              <w:right w:val="single" w:color="000000" w:sz="4" w:space="0"/>
            </w:tcBorders>
            <w:vAlign w:val="center"/>
          </w:tcPr>
          <w:p w14:paraId="13B8AF9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对于生产者（主动）实施召回的，由市局行政服务中心审查生产者提交的召回事项与召回计划，对是否同意做出反馈。业务应用提供期间的待办和业务流转支撑。</w:t>
            </w:r>
          </w:p>
        </w:tc>
      </w:tr>
      <w:tr w14:paraId="22685F8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161043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182</w:t>
            </w:r>
          </w:p>
        </w:tc>
        <w:tc>
          <w:tcPr>
            <w:tcW w:w="1143" w:type="pct"/>
            <w:tcBorders>
              <w:top w:val="nil"/>
              <w:left w:val="nil"/>
              <w:bottom w:val="single" w:color="000000" w:sz="4" w:space="0"/>
              <w:right w:val="single" w:color="000000" w:sz="4" w:space="0"/>
            </w:tcBorders>
            <w:vAlign w:val="center"/>
          </w:tcPr>
          <w:p w14:paraId="0840DE7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16B94C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质量基础设施一站式管理-消费品召回管理-审查生产者主动实施召回-审核召回事项与召回计划（市局质量发展处）</w:t>
            </w:r>
          </w:p>
        </w:tc>
        <w:tc>
          <w:tcPr>
            <w:tcW w:w="2158" w:type="pct"/>
            <w:tcBorders>
              <w:top w:val="nil"/>
              <w:left w:val="nil"/>
              <w:bottom w:val="single" w:color="000000" w:sz="4" w:space="0"/>
              <w:right w:val="single" w:color="000000" w:sz="4" w:space="0"/>
            </w:tcBorders>
            <w:vAlign w:val="center"/>
          </w:tcPr>
          <w:p w14:paraId="31A471F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对于生产者（主动）实施召回的，由市局质量发展处审核生产者提交的召回事项与召回计划，对是否同意做出最终决定。业务应用提供期间的待办和业务流转支撑。</w:t>
            </w:r>
          </w:p>
        </w:tc>
      </w:tr>
      <w:tr w14:paraId="48A9E39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86C021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183</w:t>
            </w:r>
          </w:p>
        </w:tc>
        <w:tc>
          <w:tcPr>
            <w:tcW w:w="1143" w:type="pct"/>
            <w:tcBorders>
              <w:top w:val="nil"/>
              <w:left w:val="nil"/>
              <w:bottom w:val="single" w:color="000000" w:sz="4" w:space="0"/>
              <w:right w:val="single" w:color="000000" w:sz="4" w:space="0"/>
            </w:tcBorders>
            <w:vAlign w:val="center"/>
          </w:tcPr>
          <w:p w14:paraId="72DF805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85CDF1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质量基础设施一站式管理-消费品召回管理-审查生产者主动实施召回-查看《消费品召回阶段性报告》</w:t>
            </w:r>
          </w:p>
        </w:tc>
        <w:tc>
          <w:tcPr>
            <w:tcW w:w="2158" w:type="pct"/>
            <w:tcBorders>
              <w:top w:val="nil"/>
              <w:left w:val="nil"/>
              <w:bottom w:val="single" w:color="000000" w:sz="4" w:space="0"/>
              <w:right w:val="single" w:color="000000" w:sz="4" w:space="0"/>
            </w:tcBorders>
            <w:vAlign w:val="center"/>
          </w:tcPr>
          <w:p w14:paraId="76BD2D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生产者提交《消费品召回阶段性报告》后，业务应用生成待办，召回监管方可查看《消费品召回阶段性报告》。</w:t>
            </w:r>
          </w:p>
        </w:tc>
      </w:tr>
      <w:tr w14:paraId="0E2DEA8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F91555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184</w:t>
            </w:r>
          </w:p>
        </w:tc>
        <w:tc>
          <w:tcPr>
            <w:tcW w:w="1143" w:type="pct"/>
            <w:tcBorders>
              <w:top w:val="nil"/>
              <w:left w:val="nil"/>
              <w:bottom w:val="single" w:color="000000" w:sz="4" w:space="0"/>
              <w:right w:val="single" w:color="000000" w:sz="4" w:space="0"/>
            </w:tcBorders>
            <w:vAlign w:val="center"/>
          </w:tcPr>
          <w:p w14:paraId="76250FC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8CE661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质量基础设施一站式管理-消费品召回管理-审查生产者主动实施召回-审查《消费品召回总结报告》</w:t>
            </w:r>
          </w:p>
        </w:tc>
        <w:tc>
          <w:tcPr>
            <w:tcW w:w="2158" w:type="pct"/>
            <w:tcBorders>
              <w:top w:val="nil"/>
              <w:left w:val="nil"/>
              <w:bottom w:val="single" w:color="000000" w:sz="4" w:space="0"/>
              <w:right w:val="single" w:color="000000" w:sz="4" w:space="0"/>
            </w:tcBorders>
            <w:vAlign w:val="center"/>
          </w:tcPr>
          <w:p w14:paraId="458B222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生产者提交《消费品召回总结报告》后，业务应用生成待办，召回监管方可查看《消费品召回总结报告》。</w:t>
            </w:r>
          </w:p>
        </w:tc>
      </w:tr>
      <w:tr w14:paraId="21B95D7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C8027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185</w:t>
            </w:r>
          </w:p>
        </w:tc>
        <w:tc>
          <w:tcPr>
            <w:tcW w:w="1143" w:type="pct"/>
            <w:tcBorders>
              <w:top w:val="nil"/>
              <w:left w:val="nil"/>
              <w:bottom w:val="single" w:color="000000" w:sz="4" w:space="0"/>
              <w:right w:val="single" w:color="000000" w:sz="4" w:space="0"/>
            </w:tcBorders>
            <w:vAlign w:val="center"/>
          </w:tcPr>
          <w:p w14:paraId="144D341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90E51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质量基础设施一站式管理-消费品召回管理-消费品（缺陷产品）召回监督管理-核实信息及缺陷分析</w:t>
            </w:r>
          </w:p>
        </w:tc>
        <w:tc>
          <w:tcPr>
            <w:tcW w:w="2158" w:type="pct"/>
            <w:tcBorders>
              <w:top w:val="nil"/>
              <w:left w:val="nil"/>
              <w:bottom w:val="single" w:color="000000" w:sz="4" w:space="0"/>
              <w:right w:val="single" w:color="000000" w:sz="4" w:space="0"/>
            </w:tcBorders>
            <w:vAlign w:val="center"/>
          </w:tcPr>
          <w:p w14:paraId="61D38CE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缺陷线索录入：召回监管人员多途径接收可能得缺陷线索，对其进行研判，确认存在较高风险的，由相关人员录入信息系统。</w:t>
            </w:r>
            <w:r>
              <w:rPr>
                <w:rFonts w:hint="eastAsia" w:cs="宋体"/>
                <w:color w:val="auto"/>
                <w:kern w:val="0"/>
                <w:sz w:val="22"/>
                <w:szCs w:val="22"/>
              </w:rPr>
              <w:br w:type="textWrapping"/>
            </w:r>
            <w:r>
              <w:rPr>
                <w:rFonts w:hint="eastAsia" w:cs="宋体"/>
                <w:color w:val="auto"/>
                <w:kern w:val="0"/>
                <w:sz w:val="22"/>
                <w:szCs w:val="22"/>
              </w:rPr>
              <w:t>按期别记录专家风险研判信息：专家对或存缺陷进行风险研判，由业务人员按讨论交流期别，记录专家风险研判过程中的关键信息</w:t>
            </w:r>
          </w:p>
        </w:tc>
      </w:tr>
      <w:tr w14:paraId="5211CEE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6B3C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186</w:t>
            </w:r>
          </w:p>
        </w:tc>
        <w:tc>
          <w:tcPr>
            <w:tcW w:w="1143" w:type="pct"/>
            <w:tcBorders>
              <w:top w:val="nil"/>
              <w:left w:val="nil"/>
              <w:bottom w:val="single" w:color="000000" w:sz="4" w:space="0"/>
              <w:right w:val="single" w:color="000000" w:sz="4" w:space="0"/>
            </w:tcBorders>
            <w:vAlign w:val="center"/>
          </w:tcPr>
          <w:p w14:paraId="4200D7E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9A7F3C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质量基础设施一站式管理-消费品召回管理-消费品（缺陷产品）召回监督管理-调查分析（生产者调查）</w:t>
            </w:r>
          </w:p>
        </w:tc>
        <w:tc>
          <w:tcPr>
            <w:tcW w:w="2158" w:type="pct"/>
            <w:tcBorders>
              <w:top w:val="nil"/>
              <w:left w:val="nil"/>
              <w:bottom w:val="single" w:color="000000" w:sz="4" w:space="0"/>
              <w:right w:val="single" w:color="000000" w:sz="4" w:space="0"/>
            </w:tcBorders>
            <w:vAlign w:val="center"/>
          </w:tcPr>
          <w:p w14:paraId="506EBF5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消费品调查分析通知书》生成：监管方根据《消费品召回管理暂行规定》（国家市场监督管理总局第19号令）的要求，要求生产者对相关产品进行调查分析，在指定期限内将调查分析结果报送监管方。若生产者确认产品存在缺陷，应按照《消费品召回管理暂行规定》的要求，主动实施召回。监管方工作人员录入产品基本信息（名称、品牌、型号、批次）、可能存在的缺陷、缺陷可能导致的后果等信息，生成《消费品调查分析通知书》。</w:t>
            </w:r>
            <w:r>
              <w:rPr>
                <w:rFonts w:hint="eastAsia" w:cs="宋体"/>
                <w:color w:val="auto"/>
                <w:kern w:val="0"/>
                <w:sz w:val="22"/>
                <w:szCs w:val="22"/>
              </w:rPr>
              <w:br w:type="textWrapping"/>
            </w:r>
            <w:r>
              <w:rPr>
                <w:rFonts w:hint="eastAsia" w:cs="宋体"/>
                <w:color w:val="auto"/>
                <w:kern w:val="0"/>
                <w:sz w:val="22"/>
                <w:szCs w:val="22"/>
              </w:rPr>
              <w:t>2、市局行政服务中心审核：市局行政服务中心审核《消费品调查分析通知书》相关信息。业务应用提供期间的待办和业务流转支撑。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3、分派区局与区局待办：市局将《消费品调查分析通知书》按照所涉及的区局，分派到区局。区局制作《消费品调查分析通知书》，打印并盖章，做行政部门业务存档。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4、送达文书（记录送达回执）：监管单位将《消费品调查分析通知书》送达生产者后，记录送达情况。</w:t>
            </w:r>
            <w:r>
              <w:rPr>
                <w:rFonts w:hint="eastAsia" w:cs="宋体"/>
                <w:color w:val="auto"/>
                <w:kern w:val="0"/>
                <w:sz w:val="22"/>
                <w:szCs w:val="22"/>
              </w:rPr>
              <w:br w:type="textWrapping"/>
            </w:r>
            <w:r>
              <w:rPr>
                <w:rFonts w:hint="eastAsia" w:cs="宋体"/>
                <w:color w:val="auto"/>
                <w:kern w:val="0"/>
                <w:sz w:val="22"/>
                <w:szCs w:val="22"/>
              </w:rPr>
              <w:t>5、生产者自我调查反馈及安全隐患定性（控制后续流程走向）：生产者进行自我调查，反馈调查结果并对安全隐患定性。监管方对反馈结果进行记录，若生产者确认产品存在缺陷，应按照《消费品召回管理暂行规定》的要求，主动实施召回；否则根据隐患情况和生产者反馈信息，判断是否进行监管方发起的缺陷调查，或直接发起强制要求召回。</w:t>
            </w:r>
          </w:p>
        </w:tc>
      </w:tr>
      <w:tr w14:paraId="24CC95F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4E8253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187</w:t>
            </w:r>
          </w:p>
        </w:tc>
        <w:tc>
          <w:tcPr>
            <w:tcW w:w="1143" w:type="pct"/>
            <w:tcBorders>
              <w:top w:val="nil"/>
              <w:left w:val="nil"/>
              <w:bottom w:val="single" w:color="000000" w:sz="4" w:space="0"/>
              <w:right w:val="single" w:color="000000" w:sz="4" w:space="0"/>
            </w:tcBorders>
            <w:vAlign w:val="center"/>
          </w:tcPr>
          <w:p w14:paraId="5AA8028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F52AD3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质量基础设施一站式管理-消费品召回管理-消费品（缺陷产品）召回监督管理-缺陷调查（区局调查）</w:t>
            </w:r>
          </w:p>
        </w:tc>
        <w:tc>
          <w:tcPr>
            <w:tcW w:w="2158" w:type="pct"/>
            <w:tcBorders>
              <w:top w:val="nil"/>
              <w:left w:val="nil"/>
              <w:bottom w:val="single" w:color="000000" w:sz="4" w:space="0"/>
              <w:right w:val="single" w:color="000000" w:sz="4" w:space="0"/>
            </w:tcBorders>
            <w:vAlign w:val="center"/>
          </w:tcPr>
          <w:p w14:paraId="211E3E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1、生成《消费品缺陷调查通知书》 监管方根据《消费品召回管理暂行规定》（国家市场监督管理总局第19号令）的规定，由于生产者未按照监管通知要求开展产品调查分析（或由于生产者提供的关于产品调查分析结果不能证明产品不存在缺陷，或可能存在足以造成严重后果或者影响范围较大的缺陷）。由监管单位发起对生产者所生产产品开展缺陷调查。通过《消费品缺陷调查通知书》通知生产者，并告知生产者需提供必要配合。监管方工作人员录入产品基本信息（名称、品牌、型号、批次）、可能存在的缺陷、缺陷可能导致的后果等信息，生成《消费品缺陷调查通知书》。</w:t>
            </w:r>
            <w:r>
              <w:rPr>
                <w:rFonts w:hint="eastAsia" w:cs="宋体"/>
                <w:color w:val="auto"/>
                <w:kern w:val="0"/>
                <w:sz w:val="22"/>
                <w:szCs w:val="22"/>
              </w:rPr>
              <w:br w:type="textWrapping"/>
            </w:r>
            <w:r>
              <w:rPr>
                <w:rFonts w:hint="eastAsia" w:cs="宋体"/>
                <w:color w:val="auto"/>
                <w:kern w:val="0"/>
                <w:sz w:val="22"/>
                <w:szCs w:val="22"/>
              </w:rPr>
              <w:t>2、市局行政服务中心审查 市局行政服务中心审查《消费品缺陷调查通知书》相关信息。业务应用提供期间的待办和业务流转支撑。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3、市局质量发展处审核 市局质量发展处审核《消费品缺陷调查通知书》相关信息，决定是否发起。业务应用提供期间的待办和业务流转支撑。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4、分派区局与区局待办 市局将《消费品缺陷调查通知书》按照所涉及的区局，分派到区局，由区局具体执行缺陷调查。区局制作《消费品调查分析通知书》，打印并盖章，做5、行政部门业务存档。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6、送达文书（记录送达回执） 监管单位将《消费品缺陷调查通知书》送达生产者后，记录送达情况。</w:t>
            </w:r>
            <w:r>
              <w:rPr>
                <w:rFonts w:hint="eastAsia" w:cs="宋体"/>
                <w:color w:val="auto"/>
                <w:kern w:val="0"/>
                <w:sz w:val="22"/>
                <w:szCs w:val="22"/>
              </w:rPr>
              <w:br w:type="textWrapping"/>
            </w:r>
            <w:r>
              <w:rPr>
                <w:rFonts w:hint="eastAsia" w:cs="宋体"/>
                <w:color w:val="auto"/>
                <w:kern w:val="0"/>
                <w:sz w:val="22"/>
                <w:szCs w:val="22"/>
              </w:rPr>
              <w:t>7、区局组织缺陷调查（必要信息记录与处理流程流向） 监督管理单位执行缺陷调查，记录调查结果并对安全隐患定性。若确认产品存在缺陷，按照《消费品召回管理暂行规定》的要求，要求生产者实施召回，启动《消费品召回通知书》相关流程；否则，产品不存在严重缺陷，关闭流程。</w:t>
            </w:r>
          </w:p>
        </w:tc>
      </w:tr>
      <w:tr w14:paraId="16FDCD9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C004B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188</w:t>
            </w:r>
          </w:p>
        </w:tc>
        <w:tc>
          <w:tcPr>
            <w:tcW w:w="1143" w:type="pct"/>
            <w:tcBorders>
              <w:top w:val="nil"/>
              <w:left w:val="nil"/>
              <w:bottom w:val="single" w:color="000000" w:sz="4" w:space="0"/>
              <w:right w:val="single" w:color="000000" w:sz="4" w:space="0"/>
            </w:tcBorders>
            <w:vAlign w:val="center"/>
          </w:tcPr>
          <w:p w14:paraId="22F3575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D4685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质量基础设施一站式管理-消费品召回管理-消费品（缺陷产品）召回监督管理-召回启动实施（生产者召回/区局监督）</w:t>
            </w:r>
          </w:p>
        </w:tc>
        <w:tc>
          <w:tcPr>
            <w:tcW w:w="2158" w:type="pct"/>
            <w:tcBorders>
              <w:top w:val="nil"/>
              <w:left w:val="nil"/>
              <w:bottom w:val="single" w:color="000000" w:sz="4" w:space="0"/>
              <w:right w:val="single" w:color="000000" w:sz="4" w:space="0"/>
            </w:tcBorders>
            <w:vAlign w:val="center"/>
          </w:tcPr>
          <w:p w14:paraId="0354E4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生成《消费品召回通知书》：经监管单位对消费品缺陷问题的缺陷调查及合适认定工作，确定产品存在缺陷。监管方工作人员录入产品基本信息（名称、品牌、型号、批次）、可能存在的缺陷、缺陷可能导致的后果等信息，生成《消费品召回通知书》。</w:t>
            </w:r>
            <w:r>
              <w:rPr>
                <w:rFonts w:hint="eastAsia" w:cs="宋体"/>
                <w:color w:val="auto"/>
                <w:kern w:val="0"/>
                <w:sz w:val="22"/>
                <w:szCs w:val="22"/>
              </w:rPr>
              <w:br w:type="textWrapping"/>
            </w:r>
            <w:r>
              <w:rPr>
                <w:rFonts w:hint="eastAsia" w:cs="宋体"/>
                <w:color w:val="auto"/>
                <w:kern w:val="0"/>
                <w:sz w:val="22"/>
                <w:szCs w:val="22"/>
              </w:rPr>
              <w:t>2、市局行政服务中心审查 市局行政服务中心审查《消费品召回通知书》相关信息。业务应用提供期间的待办和业务流转支撑。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3、市局质量发展处审核 市局质量发展处审核《消费品召回通知书》相关信息，决定是否发起。业务应用提供期间的待办和业务流转支撑。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4、分派区局与区局待办 市局将《消费品召回通知书》按照所涉及的区局，分派到区局，由区局具体执行缺陷调查。区局制作《消费品召回通知书》，打印并盖章，做行政部门业务存档。业务应用提供期间的待办和业务流转支撑。</w:t>
            </w:r>
            <w:r>
              <w:rPr>
                <w:rFonts w:hint="eastAsia" w:cs="宋体"/>
                <w:color w:val="auto"/>
                <w:kern w:val="0"/>
                <w:sz w:val="22"/>
                <w:szCs w:val="22"/>
              </w:rPr>
              <w:br w:type="textWrapping"/>
            </w:r>
            <w:r>
              <w:rPr>
                <w:rFonts w:hint="eastAsia" w:cs="宋体"/>
                <w:color w:val="auto"/>
                <w:kern w:val="0"/>
                <w:sz w:val="22"/>
                <w:szCs w:val="22"/>
              </w:rPr>
              <w:t>5、送达文书（记录送达回执） 监管单位将《消费品缺陷调查通知书》送达生产者后，记录送达情况，并根据送达日期计算生产者异议期限，发起待办监控。</w:t>
            </w:r>
            <w:r>
              <w:rPr>
                <w:rFonts w:hint="eastAsia" w:cs="宋体"/>
                <w:color w:val="auto"/>
                <w:kern w:val="0"/>
                <w:sz w:val="22"/>
                <w:szCs w:val="22"/>
              </w:rPr>
              <w:br w:type="textWrapping"/>
            </w:r>
            <w:r>
              <w:rPr>
                <w:rFonts w:hint="eastAsia" w:cs="宋体"/>
                <w:color w:val="auto"/>
                <w:kern w:val="0"/>
                <w:sz w:val="22"/>
                <w:szCs w:val="22"/>
              </w:rPr>
              <w:t>6、确认召回事件 根据异议期限、生产者是否发起主动召回等情况进行流程处理，若生产者发起主动召回，流程完成，进入相应主动召回相关流程，监管单位对期间消费品召回阶段性报告、消费品召回总结报告进行掌握；若生产者发起异议，按异议处理，再次确定是否召回；异议期限到期，且未发起主动召回，监管单位责令生产者实施召回，责令召回情况及行政处罚信息记入企业信用档案，依法向社会公布。</w:t>
            </w:r>
          </w:p>
        </w:tc>
      </w:tr>
      <w:tr w14:paraId="5386323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B39B1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189</w:t>
            </w:r>
          </w:p>
        </w:tc>
        <w:tc>
          <w:tcPr>
            <w:tcW w:w="1143" w:type="pct"/>
            <w:tcBorders>
              <w:top w:val="nil"/>
              <w:left w:val="nil"/>
              <w:bottom w:val="single" w:color="000000" w:sz="4" w:space="0"/>
              <w:right w:val="single" w:color="000000" w:sz="4" w:space="0"/>
            </w:tcBorders>
            <w:vAlign w:val="center"/>
          </w:tcPr>
          <w:p w14:paraId="4E55B27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CC9CE4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质量基础设施一站式管理-消费品召回管理-消费品（缺陷产品）召回监督管理-召回监管</w:t>
            </w:r>
          </w:p>
        </w:tc>
        <w:tc>
          <w:tcPr>
            <w:tcW w:w="2158" w:type="pct"/>
            <w:tcBorders>
              <w:top w:val="nil"/>
              <w:left w:val="nil"/>
              <w:bottom w:val="single" w:color="000000" w:sz="4" w:space="0"/>
              <w:right w:val="single" w:color="000000" w:sz="4" w:space="0"/>
            </w:tcBorders>
            <w:vAlign w:val="center"/>
          </w:tcPr>
          <w:p w14:paraId="4C91370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1、信息发布：市场监督管理局在网站上统一对外依法发布全省消费品召回信息和风险提示。根据召回监管流程中的各种情况，发起相应的信息发布和风险提示。</w:t>
            </w:r>
            <w:r>
              <w:rPr>
                <w:rFonts w:hint="eastAsia" w:cs="宋体"/>
                <w:color w:val="auto"/>
                <w:kern w:val="0"/>
                <w:sz w:val="22"/>
                <w:szCs w:val="22"/>
              </w:rPr>
              <w:br w:type="textWrapping"/>
            </w:r>
            <w:r>
              <w:rPr>
                <w:rFonts w:hint="eastAsia" w:cs="宋体"/>
                <w:color w:val="auto"/>
                <w:kern w:val="0"/>
                <w:sz w:val="22"/>
                <w:szCs w:val="22"/>
              </w:rPr>
              <w:t>2、监督抽查和过程跟踪：市场监督管理部门可根据工作实际，对生产者实施召回情况进行抽查，对召回效果进行评价，并填写《消费品召回实施情况监督检查记录表》，重点检查以下内容：</w:t>
            </w:r>
            <w:r>
              <w:rPr>
                <w:rFonts w:hint="eastAsia" w:cs="宋体"/>
                <w:color w:val="auto"/>
                <w:kern w:val="0"/>
                <w:sz w:val="22"/>
                <w:szCs w:val="22"/>
              </w:rPr>
              <w:br w:type="textWrapping"/>
            </w:r>
            <w:r>
              <w:rPr>
                <w:rFonts w:hint="eastAsia" w:cs="宋体"/>
                <w:color w:val="auto"/>
                <w:kern w:val="0"/>
                <w:sz w:val="22"/>
                <w:szCs w:val="22"/>
              </w:rPr>
              <w:t>（一）是否及时发布缺陷消费品召回信息；</w:t>
            </w:r>
            <w:r>
              <w:rPr>
                <w:rFonts w:hint="eastAsia" w:cs="宋体"/>
                <w:color w:val="auto"/>
                <w:kern w:val="0"/>
                <w:sz w:val="22"/>
                <w:szCs w:val="22"/>
              </w:rPr>
              <w:br w:type="textWrapping"/>
            </w:r>
            <w:r>
              <w:rPr>
                <w:rFonts w:hint="eastAsia" w:cs="宋体"/>
                <w:color w:val="auto"/>
                <w:kern w:val="0"/>
                <w:sz w:val="22"/>
                <w:szCs w:val="22"/>
              </w:rPr>
              <w:t>（二）通知经营者停止销售的情况；</w:t>
            </w:r>
            <w:r>
              <w:rPr>
                <w:rFonts w:hint="eastAsia" w:cs="宋体"/>
                <w:color w:val="auto"/>
                <w:kern w:val="0"/>
                <w:sz w:val="22"/>
                <w:szCs w:val="22"/>
              </w:rPr>
              <w:br w:type="textWrapping"/>
            </w:r>
            <w:r>
              <w:rPr>
                <w:rFonts w:hint="eastAsia" w:cs="宋体"/>
                <w:color w:val="auto"/>
                <w:kern w:val="0"/>
                <w:sz w:val="22"/>
                <w:szCs w:val="22"/>
              </w:rPr>
              <w:t>（三）对已召回的消费品采取后续处理措施；</w:t>
            </w:r>
            <w:r>
              <w:rPr>
                <w:rFonts w:hint="eastAsia" w:cs="宋体"/>
                <w:color w:val="auto"/>
                <w:kern w:val="0"/>
                <w:sz w:val="22"/>
                <w:szCs w:val="22"/>
              </w:rPr>
              <w:br w:type="textWrapping"/>
            </w:r>
            <w:r>
              <w:rPr>
                <w:rFonts w:hint="eastAsia" w:cs="宋体"/>
                <w:color w:val="auto"/>
                <w:kern w:val="0"/>
                <w:sz w:val="22"/>
                <w:szCs w:val="22"/>
              </w:rPr>
              <w:t>（四）缺陷消除情况、召回实施后网络舆 情情况、消费者对召回满意度、检查召回档案管理情况等。</w:t>
            </w:r>
            <w:r>
              <w:rPr>
                <w:rFonts w:hint="eastAsia" w:cs="宋体"/>
                <w:color w:val="auto"/>
                <w:kern w:val="0"/>
                <w:sz w:val="22"/>
                <w:szCs w:val="22"/>
              </w:rPr>
              <w:br w:type="textWrapping"/>
            </w:r>
            <w:r>
              <w:rPr>
                <w:rFonts w:hint="eastAsia" w:cs="宋体"/>
                <w:color w:val="auto"/>
                <w:kern w:val="0"/>
                <w:sz w:val="22"/>
                <w:szCs w:val="22"/>
              </w:rPr>
              <w:t>相关过程监督可反馈至相应的监管系统，与日常监管等工作进行融合。</w:t>
            </w:r>
            <w:r>
              <w:rPr>
                <w:rFonts w:hint="eastAsia" w:cs="宋体"/>
                <w:color w:val="auto"/>
                <w:kern w:val="0"/>
                <w:sz w:val="22"/>
                <w:szCs w:val="22"/>
              </w:rPr>
              <w:br w:type="textWrapping"/>
            </w:r>
            <w:r>
              <w:rPr>
                <w:rFonts w:hint="eastAsia" w:cs="宋体"/>
                <w:color w:val="auto"/>
                <w:kern w:val="0"/>
                <w:sz w:val="22"/>
                <w:szCs w:val="22"/>
              </w:rPr>
              <w:t>3、线索提供：全省各级市场监督管理部门对本行政区域内生产者和其他经营者在消费品召回中的违法行为可依据法律法规规章处理。消费品召回相关流程中，可将事件作为线索，提供至相应监管系统。</w:t>
            </w:r>
          </w:p>
        </w:tc>
      </w:tr>
      <w:tr w14:paraId="4DB3551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1165D8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190</w:t>
            </w:r>
          </w:p>
        </w:tc>
        <w:tc>
          <w:tcPr>
            <w:tcW w:w="1143" w:type="pct"/>
            <w:tcBorders>
              <w:top w:val="nil"/>
              <w:left w:val="nil"/>
              <w:bottom w:val="single" w:color="000000" w:sz="4" w:space="0"/>
              <w:right w:val="single" w:color="000000" w:sz="4" w:space="0"/>
            </w:tcBorders>
            <w:vAlign w:val="center"/>
          </w:tcPr>
          <w:p w14:paraId="0111693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E40C0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质量基础设施一站式管理-标准编写协同在线服务-标准协同在线服务-标准文本文档多人在线协同编写</w:t>
            </w:r>
          </w:p>
        </w:tc>
        <w:tc>
          <w:tcPr>
            <w:tcW w:w="2158" w:type="pct"/>
            <w:tcBorders>
              <w:top w:val="nil"/>
              <w:left w:val="nil"/>
              <w:bottom w:val="single" w:color="000000" w:sz="4" w:space="0"/>
              <w:right w:val="single" w:color="000000" w:sz="4" w:space="0"/>
            </w:tcBorders>
            <w:vAlign w:val="center"/>
          </w:tcPr>
          <w:p w14:paraId="087B9C8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通过互联网浏览器实现多人起草标准，标准编写过程支持多人实时协同编辑，协作编辑过程中标准负责人发送文件链接给协作者进行协同编辑。</w:t>
            </w:r>
          </w:p>
        </w:tc>
      </w:tr>
      <w:tr w14:paraId="72F6CAA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B051D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191</w:t>
            </w:r>
          </w:p>
        </w:tc>
        <w:tc>
          <w:tcPr>
            <w:tcW w:w="1143" w:type="pct"/>
            <w:tcBorders>
              <w:top w:val="nil"/>
              <w:left w:val="nil"/>
              <w:bottom w:val="single" w:color="000000" w:sz="4" w:space="0"/>
              <w:right w:val="single" w:color="000000" w:sz="4" w:space="0"/>
            </w:tcBorders>
            <w:vAlign w:val="center"/>
          </w:tcPr>
          <w:p w14:paraId="2E65682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62966B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质量基础设施一站式管理-标准编写协同在线服务-标准协同在线服务-标准编写协作辅助</w:t>
            </w:r>
          </w:p>
        </w:tc>
        <w:tc>
          <w:tcPr>
            <w:tcW w:w="2158" w:type="pct"/>
            <w:tcBorders>
              <w:top w:val="nil"/>
              <w:left w:val="nil"/>
              <w:bottom w:val="single" w:color="000000" w:sz="4" w:space="0"/>
              <w:right w:val="single" w:color="000000" w:sz="4" w:space="0"/>
            </w:tcBorders>
            <w:vAlign w:val="center"/>
          </w:tcPr>
          <w:p w14:paraId="3FC6B9D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标准编写协作记录：支持查询标准编辑过程协作记录</w:t>
            </w:r>
            <w:r>
              <w:rPr>
                <w:rFonts w:hint="eastAsia" w:cs="宋体"/>
                <w:color w:val="auto"/>
                <w:kern w:val="0"/>
                <w:sz w:val="22"/>
                <w:szCs w:val="22"/>
              </w:rPr>
              <w:br w:type="textWrapping"/>
            </w:r>
            <w:r>
              <w:rPr>
                <w:rFonts w:hint="eastAsia" w:cs="宋体"/>
                <w:color w:val="auto"/>
                <w:kern w:val="0"/>
                <w:sz w:val="22"/>
                <w:szCs w:val="22"/>
              </w:rPr>
              <w:t>标准编写历史版本记录查询：支持查询已生成的历史版本记录</w:t>
            </w:r>
            <w:r>
              <w:rPr>
                <w:rFonts w:hint="eastAsia" w:cs="宋体"/>
                <w:color w:val="auto"/>
                <w:kern w:val="0"/>
                <w:sz w:val="22"/>
                <w:szCs w:val="22"/>
              </w:rPr>
              <w:br w:type="textWrapping"/>
            </w:r>
            <w:r>
              <w:rPr>
                <w:rFonts w:hint="eastAsia" w:cs="宋体"/>
                <w:color w:val="auto"/>
                <w:kern w:val="0"/>
                <w:sz w:val="22"/>
                <w:szCs w:val="22"/>
              </w:rPr>
              <w:t>文件重命名：支持在编辑窗口直接修改文件名</w:t>
            </w:r>
            <w:r>
              <w:rPr>
                <w:rFonts w:hint="eastAsia" w:cs="宋体"/>
                <w:color w:val="auto"/>
                <w:kern w:val="0"/>
                <w:sz w:val="22"/>
                <w:szCs w:val="22"/>
              </w:rPr>
              <w:br w:type="textWrapping"/>
            </w:r>
            <w:r>
              <w:rPr>
                <w:rFonts w:hint="eastAsia" w:cs="宋体"/>
                <w:color w:val="auto"/>
                <w:kern w:val="0"/>
                <w:sz w:val="22"/>
                <w:szCs w:val="22"/>
              </w:rPr>
              <w:t>文件协作通知：支持通知企业打开文件总数、打印或导出、加入协作、打开或关闭页面等，市场局管理用户可以实时统计在线编辑协同人数。</w:t>
            </w:r>
          </w:p>
        </w:tc>
      </w:tr>
      <w:tr w14:paraId="753061F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EA5987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192</w:t>
            </w:r>
          </w:p>
        </w:tc>
        <w:tc>
          <w:tcPr>
            <w:tcW w:w="1143" w:type="pct"/>
            <w:tcBorders>
              <w:top w:val="nil"/>
              <w:left w:val="nil"/>
              <w:bottom w:val="single" w:color="000000" w:sz="4" w:space="0"/>
              <w:right w:val="single" w:color="000000" w:sz="4" w:space="0"/>
            </w:tcBorders>
            <w:vAlign w:val="center"/>
          </w:tcPr>
          <w:p w14:paraId="56972A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6E46A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质量基础设施一站式管理-标准编写协同在线服务-标准协同在线服务-文档智能辅助</w:t>
            </w:r>
          </w:p>
        </w:tc>
        <w:tc>
          <w:tcPr>
            <w:tcW w:w="2158" w:type="pct"/>
            <w:tcBorders>
              <w:top w:val="nil"/>
              <w:left w:val="nil"/>
              <w:bottom w:val="single" w:color="000000" w:sz="4" w:space="0"/>
              <w:right w:val="single" w:color="000000" w:sz="4" w:space="0"/>
            </w:tcBorders>
            <w:vAlign w:val="center"/>
          </w:tcPr>
          <w:p w14:paraId="258F51A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智能排版：按照预设企业标准、团体标准模板来自动调整文档内容格式；2、文档在线预览：实现企业标准、团体标准文档通过浏览器在线预览功能。3、版式文件预览：实现企业标准、团体标准PDF、OFD格式文档通过浏览器在线预览功能能。4、标准编写清稿：支持接受全部修订（删除批注或评论）以及关闭批注。在标准编写最后一个环节，进行标准核稿申报操作中，预览标准终稿效果或直接将修改结果清除，进入下一步标准申报环节。5、文档格式转换：多人协同编辑完成后能够对标准文件进行Doc、Pdf、Ofd格式输出，且支持xml输出做后续结构化数据利用；6、版本功能：支持对文档进行版本化的设计，可对同一篇标准进行多个版本的管理，相同标准仅有一个有效的版本，对新的版本重新编辑时，可引用原有版本的内容进行编辑，以保障内容的继承性。7、文档分享：编辑标准文档过程中，标准负责人可邀请其它外部人员参与对文档进行编辑、审核等操作，且支持权限的设置。</w:t>
            </w:r>
          </w:p>
        </w:tc>
      </w:tr>
      <w:tr w14:paraId="7A2450C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F3E17D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193</w:t>
            </w:r>
          </w:p>
        </w:tc>
        <w:tc>
          <w:tcPr>
            <w:tcW w:w="1143" w:type="pct"/>
            <w:tcBorders>
              <w:top w:val="nil"/>
              <w:left w:val="nil"/>
              <w:bottom w:val="single" w:color="000000" w:sz="4" w:space="0"/>
              <w:right w:val="single" w:color="000000" w:sz="4" w:space="0"/>
            </w:tcBorders>
            <w:vAlign w:val="center"/>
          </w:tcPr>
          <w:p w14:paraId="2DCEB0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93D2BA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质量基础设施一站式管理-标准编写协同在线服务-标准协作编辑文件模板定制-标准文本文件起草模板定制</w:t>
            </w:r>
          </w:p>
        </w:tc>
        <w:tc>
          <w:tcPr>
            <w:tcW w:w="2158" w:type="pct"/>
            <w:tcBorders>
              <w:top w:val="nil"/>
              <w:left w:val="nil"/>
              <w:bottom w:val="single" w:color="000000" w:sz="4" w:space="0"/>
              <w:right w:val="single" w:color="000000" w:sz="4" w:space="0"/>
            </w:tcBorders>
            <w:vAlign w:val="center"/>
          </w:tcPr>
          <w:p w14:paraId="1198AD3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标准模板定制， 按照《GB/T 1.1-2020 标准化工作导则第1部分：标准化文件的结构和起草规则》实现对企业产品和服务标准、团体/联盟标准、地方标准模板定制开发。1、标准文件结构层次模板定制，包括部分、章、条、段和列项5个层次模板定制。2、标准要素模板定制，包括正文首页格式、封底格式、封面格式、目次格式、前言或引言格式、参考文献格式、索引格式、附录格式。</w:t>
            </w:r>
          </w:p>
        </w:tc>
      </w:tr>
      <w:tr w14:paraId="2ECD3EF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91A55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194</w:t>
            </w:r>
          </w:p>
        </w:tc>
        <w:tc>
          <w:tcPr>
            <w:tcW w:w="1143" w:type="pct"/>
            <w:tcBorders>
              <w:top w:val="nil"/>
              <w:left w:val="nil"/>
              <w:bottom w:val="single" w:color="000000" w:sz="4" w:space="0"/>
              <w:right w:val="single" w:color="000000" w:sz="4" w:space="0"/>
            </w:tcBorders>
            <w:vAlign w:val="center"/>
          </w:tcPr>
          <w:p w14:paraId="6A0630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105BA0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质量基础设施一站式管理-标准编写协同在线服务-标准协作编辑文件模板定制-标准结构化模板定制</w:t>
            </w:r>
          </w:p>
        </w:tc>
        <w:tc>
          <w:tcPr>
            <w:tcW w:w="2158" w:type="pct"/>
            <w:tcBorders>
              <w:top w:val="nil"/>
              <w:left w:val="nil"/>
              <w:bottom w:val="single" w:color="000000" w:sz="4" w:space="0"/>
              <w:right w:val="single" w:color="000000" w:sz="4" w:space="0"/>
            </w:tcBorders>
            <w:vAlign w:val="center"/>
          </w:tcPr>
          <w:p w14:paraId="3C96BD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实现企业产品和服务标准、团体/联盟标准、地方标准基于XML的STS（Structured Text Schema）结构化文本模板定制，用于描述标准XML文件的结构、数据类型和约束规则。</w:t>
            </w:r>
          </w:p>
        </w:tc>
      </w:tr>
      <w:tr w14:paraId="77ABBB0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2314C2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195</w:t>
            </w:r>
          </w:p>
        </w:tc>
        <w:tc>
          <w:tcPr>
            <w:tcW w:w="1143" w:type="pct"/>
            <w:tcBorders>
              <w:top w:val="nil"/>
              <w:left w:val="nil"/>
              <w:bottom w:val="single" w:color="000000" w:sz="4" w:space="0"/>
              <w:right w:val="single" w:color="000000" w:sz="4" w:space="0"/>
            </w:tcBorders>
            <w:vAlign w:val="center"/>
          </w:tcPr>
          <w:p w14:paraId="725921A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8D9D2A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质量基础设施一站式管理-标准编写协同在线服务-标准协作编辑文件模板定制-关键技术指标数字化模板定制及抽取</w:t>
            </w:r>
          </w:p>
        </w:tc>
        <w:tc>
          <w:tcPr>
            <w:tcW w:w="2158" w:type="pct"/>
            <w:tcBorders>
              <w:top w:val="nil"/>
              <w:left w:val="nil"/>
              <w:bottom w:val="single" w:color="000000" w:sz="4" w:space="0"/>
              <w:right w:val="single" w:color="000000" w:sz="4" w:space="0"/>
            </w:tcBorders>
            <w:vAlign w:val="center"/>
          </w:tcPr>
          <w:p w14:paraId="3138E6B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标准中的一些关键指标，可通过指标模板及自定义模板的方式，让起草用户通过模板的方式进行指标的填写，从而一方面有效的抽取数据指标为后面的数据化提供支持（如方便后期可针对指标项进行数据分析）。在相对不太影响用户操作便利性的情况下，完成数据采集的工作。</w:t>
            </w:r>
          </w:p>
        </w:tc>
      </w:tr>
      <w:tr w14:paraId="5CA1E4A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1A2CF0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196</w:t>
            </w:r>
          </w:p>
        </w:tc>
        <w:tc>
          <w:tcPr>
            <w:tcW w:w="1143" w:type="pct"/>
            <w:tcBorders>
              <w:top w:val="nil"/>
              <w:left w:val="nil"/>
              <w:bottom w:val="single" w:color="000000" w:sz="4" w:space="0"/>
              <w:right w:val="single" w:color="000000" w:sz="4" w:space="0"/>
            </w:tcBorders>
            <w:vAlign w:val="center"/>
          </w:tcPr>
          <w:p w14:paraId="20ECD4B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3B530E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质量基础设施一站式管理-标准编写协同在线服务-标准协同过程管理</w:t>
            </w:r>
          </w:p>
        </w:tc>
        <w:tc>
          <w:tcPr>
            <w:tcW w:w="2158" w:type="pct"/>
            <w:tcBorders>
              <w:top w:val="nil"/>
              <w:left w:val="nil"/>
              <w:bottom w:val="single" w:color="000000" w:sz="4" w:space="0"/>
              <w:right w:val="single" w:color="000000" w:sz="4" w:space="0"/>
            </w:tcBorders>
            <w:vAlign w:val="center"/>
          </w:tcPr>
          <w:p w14:paraId="756909B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在“企业产品和服务标准自我声明公开”、“团体/联盟标准自我声明公开”事项办理环节：1、增加“立项申请”功能，在申报系统设定“标准名称”及其他参数设置，申请内容同步到现有监管端后台进行审核，审核通过进入“起草编写”流程，用户权限同步到“标准在线协作编写平台”开通在线协同编写功能；2、增加“标准起草”功能，在申报系统设定“标准名称”及其他参数设置，以及邀请标准起草的成员，通过手机短信通知成员登录标准起草平台进行操作，成员用户权限同步到“标准在线协作编写平台”；3、增加“技术审查”功能，由各区局工作人员对提交的标准文本进行在线技术审查，审查通过的标准，进入征求意见环节；4、增加“征求意见”功能，根据反馈意见进行意见处理，然后进入审定环节；5、实现标准在线辅助模块编辑完成的标准文本，可以“一键发布”到企业产品和服务标准、团体/联盟标准自我声明公开子系统进行后续的申请和流转，不再需要重新手动上传标准文本文件。</w:t>
            </w:r>
          </w:p>
        </w:tc>
      </w:tr>
      <w:tr w14:paraId="32E4181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59C6CA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197</w:t>
            </w:r>
          </w:p>
        </w:tc>
        <w:tc>
          <w:tcPr>
            <w:tcW w:w="1143" w:type="pct"/>
            <w:tcBorders>
              <w:top w:val="nil"/>
              <w:left w:val="nil"/>
              <w:bottom w:val="single" w:color="000000" w:sz="4" w:space="0"/>
              <w:right w:val="single" w:color="000000" w:sz="4" w:space="0"/>
            </w:tcBorders>
            <w:vAlign w:val="center"/>
          </w:tcPr>
          <w:p w14:paraId="18D681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754CBA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质量基础设施一站式管理-标准编写协同在线服务-标准编写协同配置管理-标准结构化内容抽取</w:t>
            </w:r>
          </w:p>
        </w:tc>
        <w:tc>
          <w:tcPr>
            <w:tcW w:w="2158" w:type="pct"/>
            <w:tcBorders>
              <w:top w:val="nil"/>
              <w:left w:val="nil"/>
              <w:bottom w:val="single" w:color="000000" w:sz="4" w:space="0"/>
              <w:right w:val="single" w:color="000000" w:sz="4" w:space="0"/>
            </w:tcBorders>
            <w:vAlign w:val="center"/>
          </w:tcPr>
          <w:p w14:paraId="3B96BCD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将标准文本内容，按照预定义的标准模板STS格式进行结构化抽取，形成结构化XML格式文件。</w:t>
            </w:r>
          </w:p>
        </w:tc>
      </w:tr>
      <w:tr w14:paraId="0AA2DB5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55735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198</w:t>
            </w:r>
          </w:p>
        </w:tc>
        <w:tc>
          <w:tcPr>
            <w:tcW w:w="1143" w:type="pct"/>
            <w:tcBorders>
              <w:top w:val="nil"/>
              <w:left w:val="nil"/>
              <w:bottom w:val="single" w:color="000000" w:sz="4" w:space="0"/>
              <w:right w:val="single" w:color="000000" w:sz="4" w:space="0"/>
            </w:tcBorders>
            <w:vAlign w:val="center"/>
          </w:tcPr>
          <w:p w14:paraId="0604EFC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A1CBAB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质量基础设施一站式管理-标准编写协同在线服务-标准编写协同配置管理-标准版式文件合成接口开发</w:t>
            </w:r>
          </w:p>
        </w:tc>
        <w:tc>
          <w:tcPr>
            <w:tcW w:w="2158" w:type="pct"/>
            <w:tcBorders>
              <w:top w:val="nil"/>
              <w:left w:val="nil"/>
              <w:bottom w:val="single" w:color="000000" w:sz="4" w:space="0"/>
              <w:right w:val="single" w:color="000000" w:sz="4" w:space="0"/>
            </w:tcBorders>
            <w:vAlign w:val="center"/>
          </w:tcPr>
          <w:p w14:paraId="1647545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将多人协作编辑生成的标准word文件取出，页眉添加编码；添加指定图片水印形成正文临时文件；将标准文本封面和正文临时文件合并生成一个文件；将生成的封面与原标准临时文件合并形成一个pdf文件；输出Doc文件和XML文件。</w:t>
            </w:r>
          </w:p>
        </w:tc>
      </w:tr>
      <w:tr w14:paraId="0647686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2C6155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199</w:t>
            </w:r>
          </w:p>
        </w:tc>
        <w:tc>
          <w:tcPr>
            <w:tcW w:w="1143" w:type="pct"/>
            <w:tcBorders>
              <w:top w:val="nil"/>
              <w:left w:val="nil"/>
              <w:bottom w:val="single" w:color="000000" w:sz="4" w:space="0"/>
              <w:right w:val="single" w:color="000000" w:sz="4" w:space="0"/>
            </w:tcBorders>
            <w:vAlign w:val="center"/>
          </w:tcPr>
          <w:p w14:paraId="5380F68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BC5793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质量基础设施一站式管理-标准编写协同在线服务-标准编写协同配置管理-标准编写协同外部用户管理</w:t>
            </w:r>
          </w:p>
        </w:tc>
        <w:tc>
          <w:tcPr>
            <w:tcW w:w="2158" w:type="pct"/>
            <w:tcBorders>
              <w:top w:val="nil"/>
              <w:left w:val="nil"/>
              <w:bottom w:val="single" w:color="000000" w:sz="4" w:space="0"/>
              <w:right w:val="single" w:color="000000" w:sz="4" w:space="0"/>
            </w:tcBorders>
            <w:vAlign w:val="center"/>
          </w:tcPr>
          <w:p w14:paraId="28E9E12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文档协作用户新增同步：标准在线文档协同编辑模块用户与标准化项目申报系统对接开发，标准起草负责人在业务系统邀请参与标准编辑的用户，新增用户，开通文档编辑权限。2、用户认证接口对接开发：标准在线文档协同编辑模块用户与标准化项目申报系统对接开发实现文档协作编辑用户认证服务功能。3、标准编写协同外部用户管理：实现对参与标准文本编辑的的外部用户进行管理，包括标准负责用户和协同编辑用户开通情况进行管理。4、用户身份认证接口对接开发：实现与“一网通办”自然人身份认证接口开发，外部用户通过“一网通办”认证登录接口登录系统进行操作。5、按照标准维护用户查询：可以查看当前在线编辑标准的用户情况。6、按照业务分类维护用户：可以按照企业标准、团体标准正在进行在线编辑标准的用户情况。7、协作编辑用户注销及文档归档：对于标准已经编写完成，并审核发布的标准，通过手动或者自动的方式进行用户注销；系统自动把编辑的标准文档进行归档保存，并提醒用户。</w:t>
            </w:r>
          </w:p>
        </w:tc>
      </w:tr>
      <w:tr w14:paraId="4459D5E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5D4100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200</w:t>
            </w:r>
          </w:p>
        </w:tc>
        <w:tc>
          <w:tcPr>
            <w:tcW w:w="1143" w:type="pct"/>
            <w:tcBorders>
              <w:top w:val="nil"/>
              <w:left w:val="nil"/>
              <w:bottom w:val="single" w:color="000000" w:sz="4" w:space="0"/>
              <w:right w:val="single" w:color="000000" w:sz="4" w:space="0"/>
            </w:tcBorders>
            <w:vAlign w:val="center"/>
          </w:tcPr>
          <w:p w14:paraId="57FADEE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53900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质量基础设施一站式管理-标准编写协同在线服务-标准协同编写辅助-标准文本在线校对</w:t>
            </w:r>
          </w:p>
        </w:tc>
        <w:tc>
          <w:tcPr>
            <w:tcW w:w="2158" w:type="pct"/>
            <w:tcBorders>
              <w:top w:val="nil"/>
              <w:left w:val="nil"/>
              <w:bottom w:val="single" w:color="000000" w:sz="4" w:space="0"/>
              <w:right w:val="single" w:color="000000" w:sz="4" w:space="0"/>
            </w:tcBorders>
            <w:vAlign w:val="center"/>
          </w:tcPr>
          <w:p w14:paraId="3C905B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字词类错误校对：对标准文本字词类错误校对，包括错别字、同音字、音近字、形近字、多字、漏字、颠倒、繁体字、异形词、重叠词、英文单词拼写等。2、政治类错误校对：包括重要领导人姓名、职务、排序，涉台用语，宗教问题，重要讲话引用，政治口号，国家各大会议名称错写、落马官员等。3、敏感词错误校对：包括新华社禁用词，涉及暴恐、色情、违禁、侮辱、歧视、脏话等不健康用词。4、知识类错误校对：包括行政区域地名错写、变更以及从属关系不规范，纪年错误，古诗文、成语等常见搭配不当，各行业术语名词错误等。5、其他常见错误校对：标点符号、数字、量词、计量单位、大小写、时间表述等。6、上下文查重：上下文带标点4 字以上重复内容会被标记。7、词库管理：内含核心大规模专业词库和专业词库。支持自定义用户库、重点词监控库、敏感库、领导人职务库和排序库等词库。</w:t>
            </w:r>
          </w:p>
        </w:tc>
      </w:tr>
      <w:tr w14:paraId="50F933F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23C7BC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201</w:t>
            </w:r>
          </w:p>
        </w:tc>
        <w:tc>
          <w:tcPr>
            <w:tcW w:w="1143" w:type="pct"/>
            <w:tcBorders>
              <w:top w:val="nil"/>
              <w:left w:val="nil"/>
              <w:bottom w:val="single" w:color="000000" w:sz="4" w:space="0"/>
              <w:right w:val="single" w:color="000000" w:sz="4" w:space="0"/>
            </w:tcBorders>
            <w:vAlign w:val="center"/>
          </w:tcPr>
          <w:p w14:paraId="0994A66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345B24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质量基础设施一站式管理-标准编写协同在线服务-标准协同编写辅助-相关标准查询</w:t>
            </w:r>
          </w:p>
        </w:tc>
        <w:tc>
          <w:tcPr>
            <w:tcW w:w="2158" w:type="pct"/>
            <w:tcBorders>
              <w:top w:val="nil"/>
              <w:left w:val="nil"/>
              <w:bottom w:val="single" w:color="000000" w:sz="4" w:space="0"/>
              <w:right w:val="single" w:color="000000" w:sz="4" w:space="0"/>
            </w:tcBorders>
            <w:vAlign w:val="center"/>
          </w:tcPr>
          <w:p w14:paraId="77D2221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支持对行业、关键词、标签的检索，支持对标准类型、标准时间、制定单位等多种条件进行检索。并可以支持二次检索，以提高客户的检索准确性。</w:t>
            </w:r>
          </w:p>
        </w:tc>
      </w:tr>
      <w:tr w14:paraId="3331C03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8AB893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202</w:t>
            </w:r>
          </w:p>
        </w:tc>
        <w:tc>
          <w:tcPr>
            <w:tcW w:w="1143" w:type="pct"/>
            <w:tcBorders>
              <w:top w:val="nil"/>
              <w:left w:val="nil"/>
              <w:bottom w:val="single" w:color="000000" w:sz="4" w:space="0"/>
              <w:right w:val="single" w:color="000000" w:sz="4" w:space="0"/>
            </w:tcBorders>
            <w:vAlign w:val="center"/>
          </w:tcPr>
          <w:p w14:paraId="3C4B34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F5D5C5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质量基础设施一站式管理-标准编写协同在线服务-标准协同编写辅助-类似标准推荐</w:t>
            </w:r>
          </w:p>
        </w:tc>
        <w:tc>
          <w:tcPr>
            <w:tcW w:w="2158" w:type="pct"/>
            <w:tcBorders>
              <w:top w:val="nil"/>
              <w:left w:val="nil"/>
              <w:bottom w:val="single" w:color="000000" w:sz="4" w:space="0"/>
              <w:right w:val="single" w:color="000000" w:sz="4" w:space="0"/>
            </w:tcBorders>
            <w:vAlign w:val="center"/>
          </w:tcPr>
          <w:p w14:paraId="1325E71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可根据用户检索的关键词，结合行业、标签等多种因素，结合用户的历史检索等为用户推荐符合用户需求的企业、团体标准。</w:t>
            </w:r>
          </w:p>
        </w:tc>
      </w:tr>
      <w:tr w14:paraId="2B914F7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36B7FB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203</w:t>
            </w:r>
          </w:p>
        </w:tc>
        <w:tc>
          <w:tcPr>
            <w:tcW w:w="1143" w:type="pct"/>
            <w:tcBorders>
              <w:top w:val="nil"/>
              <w:left w:val="nil"/>
              <w:bottom w:val="single" w:color="000000" w:sz="4" w:space="0"/>
              <w:right w:val="single" w:color="000000" w:sz="4" w:space="0"/>
            </w:tcBorders>
            <w:vAlign w:val="center"/>
          </w:tcPr>
          <w:p w14:paraId="52A188A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189AF7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质量基础设施一站式管理-计量管理子系统（升级）-长三角产业计量测试共享服务（新建）-产业计量测试服务主体管理</w:t>
            </w:r>
          </w:p>
        </w:tc>
        <w:tc>
          <w:tcPr>
            <w:tcW w:w="2158" w:type="pct"/>
            <w:tcBorders>
              <w:top w:val="nil"/>
              <w:left w:val="nil"/>
              <w:bottom w:val="single" w:color="000000" w:sz="4" w:space="0"/>
              <w:right w:val="single" w:color="000000" w:sz="4" w:space="0"/>
            </w:tcBorders>
            <w:vAlign w:val="center"/>
          </w:tcPr>
          <w:p w14:paraId="086BC66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产业计量测试服务主体信息 针对产业计量测试服务主体——长三角国家和省（市）产业计量测试中心的管理，建设健全产业计量测试服务主体信息体系，动态管理主体基本信息、产业计量测试服务能力、服务案例成果等</w:t>
            </w:r>
            <w:r>
              <w:rPr>
                <w:rFonts w:hint="eastAsia" w:cs="宋体"/>
                <w:color w:val="auto"/>
                <w:kern w:val="0"/>
                <w:sz w:val="22"/>
                <w:szCs w:val="22"/>
              </w:rPr>
              <w:br w:type="textWrapping"/>
            </w:r>
            <w:r>
              <w:rPr>
                <w:rFonts w:hint="eastAsia" w:cs="宋体"/>
                <w:color w:val="auto"/>
                <w:kern w:val="0"/>
                <w:sz w:val="22"/>
                <w:szCs w:val="22"/>
              </w:rPr>
              <w:t>长三角产业计量测试服务资源 建立以产业计量测试服务主体为主轴的长三角产业计量测试服务资源网络，支持长三角地区各级计量主管部门聚焦空白、需求的产业领域进一步推动产业计量测试能力建设。</w:t>
            </w:r>
            <w:r>
              <w:rPr>
                <w:rFonts w:hint="eastAsia" w:cs="宋体"/>
                <w:color w:val="auto"/>
                <w:kern w:val="0"/>
                <w:sz w:val="22"/>
                <w:szCs w:val="22"/>
              </w:rPr>
              <w:br w:type="textWrapping"/>
            </w:r>
            <w:r>
              <w:rPr>
                <w:rFonts w:hint="eastAsia" w:cs="宋体"/>
                <w:color w:val="auto"/>
                <w:kern w:val="0"/>
                <w:sz w:val="22"/>
                <w:szCs w:val="22"/>
              </w:rPr>
              <w:t>动态管理产业计量服务主体状态信息 动态管理产业计量服务主体状态信息，已取得的计量授权项目能力、产业计量测试服务能力等。</w:t>
            </w:r>
          </w:p>
        </w:tc>
      </w:tr>
      <w:tr w14:paraId="4588107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4EEA4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204</w:t>
            </w:r>
          </w:p>
        </w:tc>
        <w:tc>
          <w:tcPr>
            <w:tcW w:w="1143" w:type="pct"/>
            <w:tcBorders>
              <w:top w:val="nil"/>
              <w:left w:val="nil"/>
              <w:bottom w:val="single" w:color="000000" w:sz="4" w:space="0"/>
              <w:right w:val="single" w:color="000000" w:sz="4" w:space="0"/>
            </w:tcBorders>
            <w:vAlign w:val="center"/>
          </w:tcPr>
          <w:p w14:paraId="0077F62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3855E3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质量基础设施一站式管理-计量管理子系统（升级）-长三角产业计量测试共享服务（新建）-产业计量技术联盟管理</w:t>
            </w:r>
          </w:p>
        </w:tc>
        <w:tc>
          <w:tcPr>
            <w:tcW w:w="2158" w:type="pct"/>
            <w:tcBorders>
              <w:top w:val="nil"/>
              <w:left w:val="nil"/>
              <w:bottom w:val="single" w:color="000000" w:sz="4" w:space="0"/>
              <w:right w:val="single" w:color="000000" w:sz="4" w:space="0"/>
            </w:tcBorders>
            <w:vAlign w:val="center"/>
          </w:tcPr>
          <w:p w14:paraId="2752335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产业计量技术联盟组织协作 "针对产业计量技术联盟中涉及的产业链上下游 行业企业、技术机构、高校院所、销售单位等，为产业计量技术联盟组织协作。</w:t>
            </w:r>
            <w:r>
              <w:rPr>
                <w:rFonts w:hint="eastAsia" w:cs="宋体"/>
                <w:color w:val="auto"/>
                <w:kern w:val="0"/>
                <w:sz w:val="22"/>
                <w:szCs w:val="22"/>
              </w:rPr>
              <w:br w:type="textWrapping"/>
            </w:r>
            <w:r>
              <w:rPr>
                <w:rFonts w:hint="eastAsia" w:cs="宋体"/>
                <w:color w:val="auto"/>
                <w:kern w:val="0"/>
                <w:sz w:val="22"/>
                <w:szCs w:val="22"/>
              </w:rPr>
              <w:t>面向不同角色，结合平台用户角色权限相关机制，构建相应的组织管理"</w:t>
            </w:r>
            <w:r>
              <w:rPr>
                <w:rFonts w:hint="eastAsia" w:cs="宋体"/>
                <w:color w:val="auto"/>
                <w:kern w:val="0"/>
                <w:sz w:val="22"/>
                <w:szCs w:val="22"/>
              </w:rPr>
              <w:br w:type="textWrapping"/>
            </w:r>
            <w:r>
              <w:rPr>
                <w:rFonts w:hint="eastAsia" w:cs="宋体"/>
                <w:color w:val="auto"/>
                <w:kern w:val="0"/>
                <w:sz w:val="22"/>
                <w:szCs w:val="22"/>
              </w:rPr>
              <w:t>产业计量技术联盟相关主体状态信息管理 动态管理产业计量技术联盟相关主体状态信息、所在产业链位置、现有计量技术能力等。</w:t>
            </w:r>
          </w:p>
        </w:tc>
      </w:tr>
      <w:tr w14:paraId="687A414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A27EE5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205</w:t>
            </w:r>
          </w:p>
        </w:tc>
        <w:tc>
          <w:tcPr>
            <w:tcW w:w="1143" w:type="pct"/>
            <w:tcBorders>
              <w:top w:val="nil"/>
              <w:left w:val="nil"/>
              <w:bottom w:val="single" w:color="000000" w:sz="4" w:space="0"/>
              <w:right w:val="single" w:color="000000" w:sz="4" w:space="0"/>
            </w:tcBorders>
            <w:vAlign w:val="center"/>
          </w:tcPr>
          <w:p w14:paraId="70E9C3E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A7187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质量基础设施一站式管理-计量管理子系统（升级）-长三角产业计量测试共享服务（新建）-产业计量测试服务中转站</w:t>
            </w:r>
          </w:p>
        </w:tc>
        <w:tc>
          <w:tcPr>
            <w:tcW w:w="2158" w:type="pct"/>
            <w:tcBorders>
              <w:top w:val="nil"/>
              <w:left w:val="nil"/>
              <w:bottom w:val="single" w:color="000000" w:sz="4" w:space="0"/>
              <w:right w:val="single" w:color="000000" w:sz="4" w:space="0"/>
            </w:tcBorders>
            <w:vAlign w:val="center"/>
          </w:tcPr>
          <w:p w14:paraId="283A391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计量检定、校准 展示长三角区域各国家和省（市）级产业计量测试中心计量检定、校准以及产业特色计量测试服务，为企业提供计量服务直达路径。</w:t>
            </w:r>
            <w:r>
              <w:rPr>
                <w:rFonts w:hint="eastAsia" w:cs="宋体"/>
                <w:color w:val="auto"/>
                <w:kern w:val="0"/>
                <w:sz w:val="22"/>
                <w:szCs w:val="22"/>
              </w:rPr>
              <w:br w:type="textWrapping"/>
            </w:r>
            <w:r>
              <w:rPr>
                <w:rFonts w:hint="eastAsia" w:cs="宋体"/>
                <w:color w:val="auto"/>
                <w:kern w:val="0"/>
                <w:sz w:val="22"/>
                <w:szCs w:val="22"/>
              </w:rPr>
              <w:t>产业特色计量测试服务 展示长三角区域各国家和省（市）级产业计量测试中心产业特色计量测试服务，为企业提供计量服务直达路径。</w:t>
            </w:r>
          </w:p>
        </w:tc>
      </w:tr>
      <w:tr w14:paraId="59610CF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CC18E5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206</w:t>
            </w:r>
          </w:p>
        </w:tc>
        <w:tc>
          <w:tcPr>
            <w:tcW w:w="1143" w:type="pct"/>
            <w:tcBorders>
              <w:top w:val="nil"/>
              <w:left w:val="nil"/>
              <w:bottom w:val="single" w:color="000000" w:sz="4" w:space="0"/>
              <w:right w:val="single" w:color="000000" w:sz="4" w:space="0"/>
            </w:tcBorders>
            <w:vAlign w:val="center"/>
          </w:tcPr>
          <w:p w14:paraId="03F54E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640F4B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质量基础设施一站式管理-计量管理子系统（升级）-长三角产业计量测试共享服务（新建）-产业计量测试需求发布管理</w:t>
            </w:r>
          </w:p>
        </w:tc>
        <w:tc>
          <w:tcPr>
            <w:tcW w:w="2158" w:type="pct"/>
            <w:tcBorders>
              <w:top w:val="nil"/>
              <w:left w:val="nil"/>
              <w:bottom w:val="single" w:color="000000" w:sz="4" w:space="0"/>
              <w:right w:val="single" w:color="000000" w:sz="4" w:space="0"/>
            </w:tcBorders>
            <w:vAlign w:val="center"/>
          </w:tcPr>
          <w:p w14:paraId="2A1A7DE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信息整合 收集产业计量科技成果和研发需求，提供信息整合支持</w:t>
            </w:r>
            <w:r>
              <w:rPr>
                <w:rFonts w:hint="eastAsia" w:cs="宋体"/>
                <w:color w:val="auto"/>
                <w:kern w:val="0"/>
                <w:sz w:val="22"/>
                <w:szCs w:val="22"/>
              </w:rPr>
              <w:br w:type="textWrapping"/>
            </w:r>
            <w:r>
              <w:rPr>
                <w:rFonts w:hint="eastAsia" w:cs="宋体"/>
                <w:color w:val="auto"/>
                <w:kern w:val="0"/>
                <w:sz w:val="22"/>
                <w:szCs w:val="22"/>
              </w:rPr>
              <w:t>发布支持 发布产业计量科技成果和研发需求，提供信息发布支持</w:t>
            </w:r>
            <w:r>
              <w:rPr>
                <w:rFonts w:hint="eastAsia" w:cs="宋体"/>
                <w:color w:val="auto"/>
                <w:kern w:val="0"/>
                <w:sz w:val="22"/>
                <w:szCs w:val="22"/>
              </w:rPr>
              <w:br w:type="textWrapping"/>
            </w:r>
            <w:r>
              <w:rPr>
                <w:rFonts w:hint="eastAsia" w:cs="宋体"/>
                <w:color w:val="auto"/>
                <w:kern w:val="0"/>
                <w:sz w:val="22"/>
                <w:szCs w:val="22"/>
              </w:rPr>
              <w:t>动态更新需求信息及解决状态 动态更新需求信息及解决状态。</w:t>
            </w:r>
          </w:p>
        </w:tc>
      </w:tr>
      <w:tr w14:paraId="35F04F3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82ECDC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207</w:t>
            </w:r>
          </w:p>
        </w:tc>
        <w:tc>
          <w:tcPr>
            <w:tcW w:w="1143" w:type="pct"/>
            <w:tcBorders>
              <w:top w:val="nil"/>
              <w:left w:val="nil"/>
              <w:bottom w:val="single" w:color="000000" w:sz="4" w:space="0"/>
              <w:right w:val="single" w:color="000000" w:sz="4" w:space="0"/>
            </w:tcBorders>
            <w:vAlign w:val="center"/>
          </w:tcPr>
          <w:p w14:paraId="2D7316F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303ACE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质量基础设施一站式管理-计量管理子系统（升级）-长三角产业计量测试共享服务（新建）-技术解决方案提交管理</w:t>
            </w:r>
          </w:p>
        </w:tc>
        <w:tc>
          <w:tcPr>
            <w:tcW w:w="2158" w:type="pct"/>
            <w:tcBorders>
              <w:top w:val="nil"/>
              <w:left w:val="nil"/>
              <w:bottom w:val="single" w:color="000000" w:sz="4" w:space="0"/>
              <w:right w:val="single" w:color="000000" w:sz="4" w:space="0"/>
            </w:tcBorders>
            <w:vAlign w:val="center"/>
          </w:tcPr>
          <w:p w14:paraId="7764BF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获取产业计量测试需求 "技术机构、科研院所、高校等参与“长三角产业计量技术创新挑战赛”的计量测试技术创新主体通过平台获取产业计量测试需求</w:t>
            </w:r>
            <w:r>
              <w:rPr>
                <w:rFonts w:hint="eastAsia" w:cs="宋体"/>
                <w:color w:val="auto"/>
                <w:kern w:val="0"/>
                <w:sz w:val="22"/>
                <w:szCs w:val="22"/>
              </w:rPr>
              <w:br w:type="textWrapping"/>
            </w:r>
            <w:r>
              <w:rPr>
                <w:rFonts w:hint="eastAsia" w:cs="宋体"/>
                <w:color w:val="auto"/>
                <w:kern w:val="0"/>
                <w:sz w:val="22"/>
                <w:szCs w:val="22"/>
              </w:rPr>
              <w:t>提供创新主体注册登录，需求检索管理"</w:t>
            </w:r>
            <w:r>
              <w:rPr>
                <w:rFonts w:hint="eastAsia" w:cs="宋体"/>
                <w:color w:val="auto"/>
                <w:kern w:val="0"/>
                <w:sz w:val="22"/>
                <w:szCs w:val="22"/>
              </w:rPr>
              <w:br w:type="textWrapping"/>
            </w:r>
            <w:r>
              <w:rPr>
                <w:rFonts w:hint="eastAsia" w:cs="宋体"/>
                <w:color w:val="auto"/>
                <w:kern w:val="0"/>
                <w:sz w:val="22"/>
                <w:szCs w:val="22"/>
              </w:rPr>
              <w:t>提交初步解决方案 提交初步解决方案，包括解决方案提交、调整等。</w:t>
            </w:r>
            <w:r>
              <w:rPr>
                <w:rFonts w:hint="eastAsia" w:cs="宋体"/>
                <w:color w:val="auto"/>
                <w:kern w:val="0"/>
                <w:sz w:val="22"/>
                <w:szCs w:val="22"/>
              </w:rPr>
              <w:br w:type="textWrapping"/>
            </w:r>
            <w:r>
              <w:rPr>
                <w:rFonts w:hint="eastAsia" w:cs="宋体"/>
                <w:color w:val="auto"/>
                <w:kern w:val="0"/>
                <w:sz w:val="22"/>
                <w:szCs w:val="22"/>
              </w:rPr>
              <w:t>与需求提出企业建立沟通 计量测试技术创新主体依托平台与需求提出企业建立沟通。</w:t>
            </w:r>
          </w:p>
        </w:tc>
      </w:tr>
      <w:tr w14:paraId="0B4F0DF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EE6DA7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208</w:t>
            </w:r>
          </w:p>
        </w:tc>
        <w:tc>
          <w:tcPr>
            <w:tcW w:w="1143" w:type="pct"/>
            <w:tcBorders>
              <w:top w:val="nil"/>
              <w:left w:val="nil"/>
              <w:bottom w:val="single" w:color="000000" w:sz="4" w:space="0"/>
              <w:right w:val="single" w:color="000000" w:sz="4" w:space="0"/>
            </w:tcBorders>
            <w:vAlign w:val="center"/>
          </w:tcPr>
          <w:p w14:paraId="259A8DA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58FD4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质量基础设施一站式管理-计量管理子系统（升级）-长三角产业计量测试共享服务（新建）-产业计量咨询交互</w:t>
            </w:r>
          </w:p>
        </w:tc>
        <w:tc>
          <w:tcPr>
            <w:tcW w:w="2158" w:type="pct"/>
            <w:tcBorders>
              <w:top w:val="nil"/>
              <w:left w:val="nil"/>
              <w:bottom w:val="single" w:color="000000" w:sz="4" w:space="0"/>
              <w:right w:val="single" w:color="000000" w:sz="4" w:space="0"/>
            </w:tcBorders>
            <w:vAlign w:val="center"/>
          </w:tcPr>
          <w:p w14:paraId="0EDF0C9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产业及产业计量相关知识科普 提供咨询交互功能，进行产业及产业计量相关知识科普</w:t>
            </w:r>
            <w:r>
              <w:rPr>
                <w:rFonts w:hint="eastAsia" w:cs="宋体"/>
                <w:color w:val="auto"/>
                <w:kern w:val="0"/>
                <w:sz w:val="22"/>
                <w:szCs w:val="22"/>
              </w:rPr>
              <w:br w:type="textWrapping"/>
            </w:r>
            <w:r>
              <w:rPr>
                <w:rFonts w:hint="eastAsia" w:cs="宋体"/>
                <w:color w:val="auto"/>
                <w:kern w:val="0"/>
                <w:sz w:val="22"/>
                <w:szCs w:val="22"/>
              </w:rPr>
              <w:t>普及产业计量专业知识 提供咨询交互功能，普及产业计量专业知识。</w:t>
            </w:r>
          </w:p>
        </w:tc>
      </w:tr>
      <w:tr w14:paraId="2E1B0CA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B2A2F3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209</w:t>
            </w:r>
          </w:p>
        </w:tc>
        <w:tc>
          <w:tcPr>
            <w:tcW w:w="1143" w:type="pct"/>
            <w:tcBorders>
              <w:top w:val="nil"/>
              <w:left w:val="nil"/>
              <w:bottom w:val="single" w:color="000000" w:sz="4" w:space="0"/>
              <w:right w:val="single" w:color="000000" w:sz="4" w:space="0"/>
            </w:tcBorders>
            <w:vAlign w:val="center"/>
          </w:tcPr>
          <w:p w14:paraId="72DC929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3FACAB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质量基础设施一站式管理-计量管理子系统（升级）-长三角产业计量测试共享服务（新建）-数据统计分析与服务构建</w:t>
            </w:r>
          </w:p>
        </w:tc>
        <w:tc>
          <w:tcPr>
            <w:tcW w:w="2158" w:type="pct"/>
            <w:tcBorders>
              <w:top w:val="nil"/>
              <w:left w:val="nil"/>
              <w:bottom w:val="single" w:color="000000" w:sz="4" w:space="0"/>
              <w:right w:val="single" w:color="000000" w:sz="4" w:space="0"/>
            </w:tcBorders>
            <w:vAlign w:val="center"/>
          </w:tcPr>
          <w:p w14:paraId="221EC33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分析对象准备 对所涉及的分析对象，包括各类主体、计量测试服务能力、需求/解决方案等平台活动相关数据进行准备和处理。</w:t>
            </w:r>
            <w:r>
              <w:rPr>
                <w:rFonts w:hint="eastAsia" w:cs="宋体"/>
                <w:color w:val="auto"/>
                <w:kern w:val="0"/>
                <w:sz w:val="22"/>
                <w:szCs w:val="22"/>
              </w:rPr>
              <w:br w:type="textWrapping"/>
            </w:r>
            <w:r>
              <w:rPr>
                <w:rFonts w:hint="eastAsia" w:cs="宋体"/>
                <w:color w:val="auto"/>
                <w:kern w:val="0"/>
                <w:sz w:val="22"/>
                <w:szCs w:val="22"/>
              </w:rPr>
              <w:t>产业计量测试中心及联盟信息查询 提供产业计量测试中心及联盟信息查询服务和接口.</w:t>
            </w:r>
            <w:r>
              <w:rPr>
                <w:rFonts w:hint="eastAsia" w:cs="宋体"/>
                <w:color w:val="auto"/>
                <w:kern w:val="0"/>
                <w:sz w:val="22"/>
                <w:szCs w:val="22"/>
              </w:rPr>
              <w:br w:type="textWrapping"/>
            </w:r>
            <w:r>
              <w:rPr>
                <w:rFonts w:hint="eastAsia" w:cs="宋体"/>
                <w:color w:val="auto"/>
                <w:kern w:val="0"/>
                <w:sz w:val="22"/>
                <w:szCs w:val="22"/>
              </w:rPr>
              <w:t>产业领域计量测试资源及需求等统计分析 针对产业领域，提供计量测试资源及需求等的统计分析，提供相应的可视化展示。</w:t>
            </w:r>
            <w:r>
              <w:rPr>
                <w:rFonts w:hint="eastAsia" w:cs="宋体"/>
                <w:color w:val="auto"/>
                <w:kern w:val="0"/>
                <w:sz w:val="22"/>
                <w:szCs w:val="22"/>
              </w:rPr>
              <w:br w:type="textWrapping"/>
            </w:r>
            <w:r>
              <w:rPr>
                <w:rFonts w:hint="eastAsia" w:cs="宋体"/>
                <w:color w:val="auto"/>
                <w:kern w:val="0"/>
                <w:sz w:val="22"/>
                <w:szCs w:val="22"/>
              </w:rPr>
              <w:t>计量技术创新挑战赛 包括提供本辖区相关主体活动情况查看、分类分区域对需求/解决方案信息进行统计分析,提供相应的可视化展示。</w:t>
            </w:r>
          </w:p>
        </w:tc>
      </w:tr>
      <w:tr w14:paraId="73D80A0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B305E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210</w:t>
            </w:r>
          </w:p>
        </w:tc>
        <w:tc>
          <w:tcPr>
            <w:tcW w:w="1143" w:type="pct"/>
            <w:tcBorders>
              <w:top w:val="nil"/>
              <w:left w:val="nil"/>
              <w:bottom w:val="single" w:color="000000" w:sz="4" w:space="0"/>
              <w:right w:val="single" w:color="000000" w:sz="4" w:space="0"/>
            </w:tcBorders>
            <w:vAlign w:val="center"/>
          </w:tcPr>
          <w:p w14:paraId="63D62EC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9A42D7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质量基础设施一站式管理-计量管理子系统（升级）-诚信计量管理与服务（新建）-申报单位管理</w:t>
            </w:r>
            <w:r>
              <w:rPr>
                <w:rFonts w:hint="eastAsia" w:cs="宋体"/>
                <w:color w:val="auto"/>
                <w:kern w:val="0"/>
                <w:sz w:val="22"/>
                <w:szCs w:val="22"/>
              </w:rPr>
              <w:br w:type="textWrapping"/>
            </w:r>
            <w:r>
              <w:rPr>
                <w:rFonts w:hint="eastAsia" w:cs="宋体"/>
                <w:color w:val="auto"/>
                <w:kern w:val="0"/>
                <w:sz w:val="22"/>
                <w:szCs w:val="22"/>
              </w:rPr>
              <w:t>（市局）</w:t>
            </w:r>
          </w:p>
        </w:tc>
        <w:tc>
          <w:tcPr>
            <w:tcW w:w="2158" w:type="pct"/>
            <w:tcBorders>
              <w:top w:val="nil"/>
              <w:left w:val="nil"/>
              <w:bottom w:val="single" w:color="000000" w:sz="4" w:space="0"/>
              <w:right w:val="single" w:color="000000" w:sz="4" w:space="0"/>
            </w:tcBorders>
            <w:vAlign w:val="center"/>
          </w:tcPr>
          <w:p w14:paraId="2FD59FC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新增和维护申报街道、申报行业信息，初始化诚信示范申报工作相关内容，按照角色，开通相关单位信息访问权限和功能权限。2、标记删除申报街道、申报行业、申报单位信息，已生成台账的申报单位不能删除。3、提供街道、行业、单位终止申报相关信息，设置状态为“已终止；未完成评审的申报单位”。4、提供街道、行业、单位撤销申报相关信息，设置状态为“已撤销；已评审通过的示范单位”。</w:t>
            </w:r>
          </w:p>
        </w:tc>
      </w:tr>
      <w:tr w14:paraId="13B528F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072986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211</w:t>
            </w:r>
          </w:p>
        </w:tc>
        <w:tc>
          <w:tcPr>
            <w:tcW w:w="1143" w:type="pct"/>
            <w:tcBorders>
              <w:top w:val="nil"/>
              <w:left w:val="nil"/>
              <w:bottom w:val="single" w:color="000000" w:sz="4" w:space="0"/>
              <w:right w:val="single" w:color="000000" w:sz="4" w:space="0"/>
            </w:tcBorders>
            <w:vAlign w:val="center"/>
          </w:tcPr>
          <w:p w14:paraId="156E8B7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27E478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质量基础设施一站式管理-计量管理子系统（升级）-诚信计量管理与服务（新建）-示范工作申报（申报街道/行业）</w:t>
            </w:r>
          </w:p>
        </w:tc>
        <w:tc>
          <w:tcPr>
            <w:tcW w:w="2158" w:type="pct"/>
            <w:tcBorders>
              <w:top w:val="nil"/>
              <w:left w:val="nil"/>
              <w:bottom w:val="single" w:color="000000" w:sz="4" w:space="0"/>
              <w:right w:val="single" w:color="000000" w:sz="4" w:space="0"/>
            </w:tcBorders>
            <w:vAlign w:val="center"/>
          </w:tcPr>
          <w:p w14:paraId="169B2E5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参建单位名录管理 1、参建单位同步录入：维护参建单位名录清单信息。对接强检平台，选择本街道计量器具使用单位作为创建单位。2、参建企业选择录入：对于新设主体，还没有进入强检平台的情况，对接市场主体库，选择本街道的企业。选择录入企业，确认为参建单位，进入参建单位名录。3、参建个体选择录入：对于新设主体，还没有进入强检平台的情况，对接市场主体库，选择本街道的个体工商户。选择录入个体，确认为参建单位，进入参建单位名录。4、其他单位选择录入：对于其他新设单位，还没有进入强检平台的情况，对接法人库，选择录入计量器具使用单位（如医院），确认为参建单位，进入参建单位名录。5、对于主动被动退出的参建单位进行名录管理。</w:t>
            </w:r>
            <w:r>
              <w:rPr>
                <w:rFonts w:hint="eastAsia" w:cs="宋体"/>
                <w:color w:val="auto"/>
                <w:kern w:val="0"/>
                <w:sz w:val="22"/>
                <w:szCs w:val="22"/>
              </w:rPr>
              <w:br w:type="textWrapping"/>
            </w:r>
            <w:r>
              <w:rPr>
                <w:rFonts w:hint="eastAsia" w:cs="宋体"/>
                <w:color w:val="auto"/>
                <w:kern w:val="0"/>
                <w:sz w:val="22"/>
                <w:szCs w:val="22"/>
              </w:rPr>
              <w:t>参建单位信息同步 1、参建单位信息同步：对接市场主体库，同步归集更新参建单位的信息、状态等相关信息。2、计量器具信息同步：对接强检平台，同步归集更新参建单位的计量器具相关信息。3、信息同步主动提示：对同步归集的关键信息进行主动提示，并推送至相关终端。</w:t>
            </w:r>
            <w:r>
              <w:rPr>
                <w:rFonts w:hint="eastAsia" w:cs="宋体"/>
                <w:color w:val="auto"/>
                <w:kern w:val="0"/>
                <w:sz w:val="22"/>
                <w:szCs w:val="22"/>
              </w:rPr>
              <w:br w:type="textWrapping"/>
            </w:r>
            <w:r>
              <w:rPr>
                <w:rFonts w:hint="eastAsia" w:cs="宋体"/>
                <w:color w:val="auto"/>
                <w:kern w:val="0"/>
                <w:sz w:val="22"/>
                <w:szCs w:val="22"/>
              </w:rPr>
              <w:t>参建单位信息维护 1、参建单位信息补充：维护参建单位相关补充信息，如联系方式等。2、参建单位日常记录：录入申报结果日常工作中针对该单位的情况记录，维护录入参建单位台账、周检计划、监督检查等相关日常信息。</w:t>
            </w:r>
            <w:r>
              <w:rPr>
                <w:rFonts w:hint="eastAsia" w:cs="宋体"/>
                <w:color w:val="auto"/>
                <w:kern w:val="0"/>
                <w:sz w:val="22"/>
                <w:szCs w:val="22"/>
              </w:rPr>
              <w:br w:type="textWrapping"/>
            </w:r>
            <w:r>
              <w:rPr>
                <w:rFonts w:hint="eastAsia" w:cs="宋体"/>
                <w:color w:val="auto"/>
                <w:kern w:val="0"/>
                <w:sz w:val="22"/>
                <w:szCs w:val="22"/>
              </w:rPr>
              <w:t>参建单位信息查询 1、参建单位查询：向申报单位等相关单位提供参建单位查询访问能力。2、参建器具查询：向申报单位等相关单位提供参建器具查询访问能力。提供按单位、按器具分类进行查询的功能。3、器具强检查询：向申报单位等相关单位提供器具强检查询访问能力。提供按强检情况进行查询的功能，包括上次强检结果和下一次检查日期等。</w:t>
            </w:r>
            <w:r>
              <w:rPr>
                <w:rFonts w:hint="eastAsia" w:cs="宋体"/>
                <w:color w:val="auto"/>
                <w:kern w:val="0"/>
                <w:sz w:val="22"/>
                <w:szCs w:val="22"/>
              </w:rPr>
              <w:br w:type="textWrapping"/>
            </w:r>
            <w:r>
              <w:rPr>
                <w:rFonts w:hint="eastAsia" w:cs="宋体"/>
                <w:color w:val="auto"/>
                <w:kern w:val="0"/>
                <w:sz w:val="22"/>
                <w:szCs w:val="22"/>
              </w:rPr>
              <w:t>诚信申报工作进展 1、申报进展查看：向申报单位等相关单位提供申报进展查看功能。2、复审工作提示：向审核单位提供复审工作提示相关功能。</w:t>
            </w:r>
            <w:r>
              <w:rPr>
                <w:rFonts w:hint="eastAsia" w:cs="宋体"/>
                <w:color w:val="auto"/>
                <w:kern w:val="0"/>
                <w:sz w:val="22"/>
                <w:szCs w:val="22"/>
              </w:rPr>
              <w:br w:type="textWrapping"/>
            </w:r>
            <w:r>
              <w:rPr>
                <w:rFonts w:hint="eastAsia" w:cs="宋体"/>
                <w:color w:val="auto"/>
                <w:kern w:val="0"/>
                <w:sz w:val="22"/>
                <w:szCs w:val="22"/>
              </w:rPr>
              <w:t>台账维护日志查询 提供参建单位台账、计量器具台账信息维护日志（包括录入、维护、同步、补充相关操作日志）的查询、访问和信息筛选查看。</w:t>
            </w:r>
          </w:p>
        </w:tc>
      </w:tr>
      <w:tr w14:paraId="3F84F4F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86D741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212</w:t>
            </w:r>
          </w:p>
        </w:tc>
        <w:tc>
          <w:tcPr>
            <w:tcW w:w="1143" w:type="pct"/>
            <w:tcBorders>
              <w:top w:val="nil"/>
              <w:left w:val="nil"/>
              <w:bottom w:val="single" w:color="000000" w:sz="4" w:space="0"/>
              <w:right w:val="single" w:color="000000" w:sz="4" w:space="0"/>
            </w:tcBorders>
            <w:vAlign w:val="center"/>
          </w:tcPr>
          <w:p w14:paraId="68FF93C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026AC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质量基础设施一站式管理-计量管理子系统（升级）-诚信计量管理与服务（新建）-申报过程记录（市计量协会/申报行业）</w:t>
            </w:r>
          </w:p>
        </w:tc>
        <w:tc>
          <w:tcPr>
            <w:tcW w:w="2158" w:type="pct"/>
            <w:tcBorders>
              <w:top w:val="nil"/>
              <w:left w:val="nil"/>
              <w:bottom w:val="single" w:color="000000" w:sz="4" w:space="0"/>
              <w:right w:val="single" w:color="000000" w:sz="4" w:space="0"/>
            </w:tcBorders>
            <w:vAlign w:val="center"/>
          </w:tcPr>
          <w:p w14:paraId="02DAAE4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1、暗访情况记录 "暗访主要是对申报主体进行实地考察、评估和核实，重点是其计量器具、工作流程、检验方法、数据记录等方面的诚信情况。暗访通常需要采取不通知、不透露身份等隐蔽方式进行，以避免申报主体提前做好准备，影响评估结果的真实性和可靠性。暗访的目的是对申报主体的诚信计量状况进行全面了解和评估，以确定其是否符合诚信标准，并为其提供改进建议。暗访通常只针对申报主体进行评估和核查，不需要通知其他相关方。社会创建，由市计量协会进行暗访；行业创建，由行业协会自己进行暗访。</w:t>
            </w:r>
            <w:r>
              <w:rPr>
                <w:rFonts w:hint="eastAsia" w:cs="宋体"/>
                <w:color w:val="auto"/>
                <w:kern w:val="0"/>
                <w:sz w:val="22"/>
                <w:szCs w:val="22"/>
              </w:rPr>
              <w:br w:type="textWrapping"/>
            </w:r>
            <w:r>
              <w:rPr>
                <w:rFonts w:hint="eastAsia" w:cs="宋体"/>
                <w:color w:val="auto"/>
                <w:kern w:val="0"/>
                <w:sz w:val="22"/>
                <w:szCs w:val="22"/>
              </w:rPr>
              <w:t>2、中途检查情况记录 "中途检查是在申报主体已经获得相关资格或认证之后对其进行的监督检查，重点是其是否持续保持了相应的诚信状况，是否存在违反诚信原则的行为。诚信计量申报过程中的暗访和中途检查虽然目的相同，但是具体操作方式、操作时间、操作重点等方面存在差异，需要根据具体情况进行具体安排。由行业中介组织（市计量协会、各民生领域行业协会等）在计划好的时间，安排专业人员前往申报主体进行检查，采取现场观察、检查记录、核对文件等方式，对申报主体的诚信计量情况进行分析和评估。</w:t>
            </w:r>
            <w:r>
              <w:rPr>
                <w:rFonts w:hint="eastAsia" w:cs="宋体"/>
                <w:color w:val="auto"/>
                <w:kern w:val="0"/>
                <w:sz w:val="22"/>
                <w:szCs w:val="22"/>
              </w:rPr>
              <w:br w:type="textWrapping"/>
            </w:r>
            <w:r>
              <w:rPr>
                <w:rFonts w:hint="eastAsia" w:cs="宋体"/>
                <w:color w:val="auto"/>
                <w:kern w:val="0"/>
                <w:sz w:val="22"/>
                <w:szCs w:val="22"/>
              </w:rPr>
              <w:t>3、预验收情况记录 "预验收是诚信计量申报预验收过程中的重要环节之一，它可以保证申报主体在后续的监督和管理中得到公平、公正的评价和管理。信息记录的内容应该全面、真实、准确，包括预验收过程中所有的数据、记录、文件等，以便监督部门可以对申报主体的诚信计量情况进行全面了解和评估。同时，信息记录也可以为申报主体提供自我保护和自我完善的机会，使其在后续的管理中更加规范和合规。</w:t>
            </w:r>
            <w:r>
              <w:rPr>
                <w:rFonts w:hint="eastAsia" w:cs="宋体"/>
                <w:color w:val="auto"/>
                <w:kern w:val="0"/>
                <w:sz w:val="22"/>
                <w:szCs w:val="22"/>
              </w:rPr>
              <w:br w:type="textWrapping"/>
            </w:r>
            <w:r>
              <w:rPr>
                <w:rFonts w:hint="eastAsia" w:cs="宋体"/>
                <w:color w:val="auto"/>
                <w:kern w:val="0"/>
                <w:sz w:val="22"/>
                <w:szCs w:val="22"/>
              </w:rPr>
              <w:t>4、评审情况记录 "评审是在预验收之后对申报主体进行的更为全面和细致的评估，以确定其是否具备诚信计量管理体系的运行能力。评审则由评审机构主导，申报主体需要接受评审机构的全面评估和审核。评审通过后，面向申报单位进行荣誉授予。</w:t>
            </w:r>
            <w:r>
              <w:rPr>
                <w:rFonts w:hint="eastAsia" w:cs="宋体"/>
                <w:color w:val="auto"/>
                <w:kern w:val="0"/>
                <w:sz w:val="22"/>
                <w:szCs w:val="22"/>
              </w:rPr>
              <w:br w:type="textWrapping"/>
            </w:r>
            <w:r>
              <w:rPr>
                <w:rFonts w:hint="eastAsia" w:cs="宋体"/>
                <w:color w:val="auto"/>
                <w:kern w:val="0"/>
                <w:sz w:val="22"/>
                <w:szCs w:val="22"/>
              </w:rPr>
              <w:t>5、复评情况记录 "复评是在评审之后对已经获得诚信计量管理体系认证的申报主体进行监督检查，以防止其违反诚信原则或出现重大变化。</w:t>
            </w:r>
            <w:r>
              <w:rPr>
                <w:rFonts w:hint="eastAsia" w:cs="宋体"/>
                <w:color w:val="auto"/>
                <w:kern w:val="0"/>
                <w:sz w:val="22"/>
                <w:szCs w:val="22"/>
              </w:rPr>
              <w:br w:type="textWrapping"/>
            </w:r>
            <w:r>
              <w:rPr>
                <w:rFonts w:hint="eastAsia" w:cs="宋体"/>
                <w:color w:val="auto"/>
                <w:kern w:val="0"/>
                <w:sz w:val="22"/>
                <w:szCs w:val="22"/>
              </w:rPr>
              <w:t>评审通过后，进行周期性的复评，复评流程与评审一致。</w:t>
            </w:r>
          </w:p>
        </w:tc>
      </w:tr>
      <w:tr w14:paraId="4FEC662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7B2206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213</w:t>
            </w:r>
          </w:p>
        </w:tc>
        <w:tc>
          <w:tcPr>
            <w:tcW w:w="1143" w:type="pct"/>
            <w:tcBorders>
              <w:top w:val="nil"/>
              <w:left w:val="nil"/>
              <w:bottom w:val="single" w:color="000000" w:sz="4" w:space="0"/>
              <w:right w:val="single" w:color="000000" w:sz="4" w:space="0"/>
            </w:tcBorders>
            <w:vAlign w:val="center"/>
          </w:tcPr>
          <w:p w14:paraId="605B5B4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0A15E2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质量基础设施一站式管理-计量管理子系统（升级）-诚信计量管理与服务（新建）-申报工作查询</w:t>
            </w:r>
          </w:p>
        </w:tc>
        <w:tc>
          <w:tcPr>
            <w:tcW w:w="2158" w:type="pct"/>
            <w:tcBorders>
              <w:top w:val="nil"/>
              <w:left w:val="nil"/>
              <w:bottom w:val="single" w:color="000000" w:sz="4" w:space="0"/>
              <w:right w:val="single" w:color="000000" w:sz="4" w:space="0"/>
            </w:tcBorders>
            <w:vAlign w:val="center"/>
          </w:tcPr>
          <w:p w14:paraId="1D72300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申报单位信息查询 1、申报单位信息：以申报单位为观察视角，提供申报单位信息查询及基于申报单位的整合信息查看。2、申报进展查看：以申报业务为信息单位，查询并查看诚信计量申报情况。3、参建单位信息：以参建单位为中心，提供参建单位信息查询及基于参建单位的整合信息查看。4、参建器具信息：查询参建器具检验校准信息及相关历史记录。5、属地监管检查查询：向属地监管部门提供辖区相关计量监管信息的查询和访问功能。</w:t>
            </w:r>
            <w:r>
              <w:rPr>
                <w:rFonts w:hint="eastAsia" w:cs="宋体"/>
                <w:color w:val="auto"/>
                <w:kern w:val="0"/>
                <w:sz w:val="22"/>
                <w:szCs w:val="22"/>
              </w:rPr>
              <w:br w:type="textWrapping"/>
            </w:r>
            <w:r>
              <w:rPr>
                <w:rFonts w:hint="eastAsia" w:cs="宋体"/>
                <w:color w:val="auto"/>
                <w:kern w:val="0"/>
                <w:sz w:val="22"/>
                <w:szCs w:val="22"/>
              </w:rPr>
              <w:t>参建单位综合查询 1、参建单位信息：归集单位名录信息，形成参建单位综合档案内容，并提供统一查询服务。2、参建器具信息：归集整合参建器具信息，形成参建单位综合档案内容，并提供统一查询服务。3、器具强检信息：归集整合参建器具强检信息，形成参建单位综合档案内容，并提供统一查询服务。4、日常情况记录：归集整合参建单位日常监管信息，形成参建单位综合档案内容，并提供统一查询服务。</w:t>
            </w:r>
          </w:p>
        </w:tc>
      </w:tr>
      <w:tr w14:paraId="5060877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3261EB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214</w:t>
            </w:r>
          </w:p>
        </w:tc>
        <w:tc>
          <w:tcPr>
            <w:tcW w:w="1143" w:type="pct"/>
            <w:tcBorders>
              <w:top w:val="nil"/>
              <w:left w:val="nil"/>
              <w:bottom w:val="single" w:color="000000" w:sz="4" w:space="0"/>
              <w:right w:val="single" w:color="000000" w:sz="4" w:space="0"/>
            </w:tcBorders>
            <w:vAlign w:val="center"/>
          </w:tcPr>
          <w:p w14:paraId="1769E65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18B539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质量基础设施一站式管理-计量管理子系统（升级）-诚信计量管理与服务（新建）-重点信息导出</w:t>
            </w:r>
          </w:p>
        </w:tc>
        <w:tc>
          <w:tcPr>
            <w:tcW w:w="2158" w:type="pct"/>
            <w:tcBorders>
              <w:top w:val="nil"/>
              <w:left w:val="nil"/>
              <w:bottom w:val="single" w:color="000000" w:sz="4" w:space="0"/>
              <w:right w:val="single" w:color="000000" w:sz="4" w:space="0"/>
            </w:tcBorders>
            <w:vAlign w:val="center"/>
          </w:tcPr>
          <w:p w14:paraId="7929D93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对通过验收单位、不再列入“诚信计量”名单的单位信息，提供信息导出能力；2、在暗访等过程中或形成最终验收结论时，将相关结果与属地监管部门共享，及时要求参建单位进行整改，有计量违法行为的及时进行处理；形成“诚信计量”白名单、黑名单，以供监管部门在日常监管中调整监管方式和频次；3、计算复评时间，对期间内复评单位提供清单导出；4、对“诚信计量”提供实时信息公示，对于不再列入“诚信计量”名单的单位及时取消其公示。5、风险预警：在获得验收结果信息后，系统根据设定的时间自动计算有效期，在有效期届满前6个月提醒地方政府部门做好复评审准备，在有效期届满前3个月提醒地方政府部门提交复评审申请。</w:t>
            </w:r>
          </w:p>
        </w:tc>
      </w:tr>
      <w:tr w14:paraId="74D50BD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8C8B3E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215</w:t>
            </w:r>
          </w:p>
        </w:tc>
        <w:tc>
          <w:tcPr>
            <w:tcW w:w="1143" w:type="pct"/>
            <w:tcBorders>
              <w:top w:val="nil"/>
              <w:left w:val="nil"/>
              <w:bottom w:val="single" w:color="000000" w:sz="4" w:space="0"/>
              <w:right w:val="single" w:color="000000" w:sz="4" w:space="0"/>
            </w:tcBorders>
            <w:vAlign w:val="center"/>
          </w:tcPr>
          <w:p w14:paraId="49D369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179592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质量基础设施一站式管理-计量管理子系统（升级）-诚信计量管理与服务（新建）-异常名录管理</w:t>
            </w:r>
          </w:p>
        </w:tc>
        <w:tc>
          <w:tcPr>
            <w:tcW w:w="2158" w:type="pct"/>
            <w:tcBorders>
              <w:top w:val="nil"/>
              <w:left w:val="nil"/>
              <w:bottom w:val="single" w:color="000000" w:sz="4" w:space="0"/>
              <w:right w:val="single" w:color="000000" w:sz="4" w:space="0"/>
            </w:tcBorders>
            <w:vAlign w:val="center"/>
          </w:tcPr>
          <w:p w14:paraId="6DF491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自动列入异常名录（未及时开展复评审的）：超过有效期的街镇或重点民生行业领域“诚信计量示范”单位未及时开展复评审，系统将自动将其列入异常名录，1个月内只能由市局根据相关单位情况说明决定是否将其移出名录，超过1个月的判为超期，不再列入“诚信计量示范”名单。对于未及时开展复评审的，自动列入异常名录。2、相关单位情况说明（对异常情况进行说明）：委相关单位情况提供提交相关说明的功能。3、市局是否移除决定：移出“诚信计量示范”名单，1个月内只能由市局根据相关单位情况说明决定是否将其移出名录。4、自动移出“诚信计量示范”名单：超过1个月的判为超期，不再列入“诚信计量示范”名单。</w:t>
            </w:r>
          </w:p>
        </w:tc>
      </w:tr>
      <w:tr w14:paraId="6A6666B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D48A3C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216</w:t>
            </w:r>
          </w:p>
        </w:tc>
        <w:tc>
          <w:tcPr>
            <w:tcW w:w="1143" w:type="pct"/>
            <w:tcBorders>
              <w:top w:val="nil"/>
              <w:left w:val="nil"/>
              <w:bottom w:val="single" w:color="000000" w:sz="4" w:space="0"/>
              <w:right w:val="single" w:color="000000" w:sz="4" w:space="0"/>
            </w:tcBorders>
            <w:vAlign w:val="center"/>
          </w:tcPr>
          <w:p w14:paraId="4E5B21E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A145D3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质量基础设施一站式管理-计量管理子系统（升级）-计量比对管理与服务（新建）-比对项目征集</w:t>
            </w:r>
          </w:p>
        </w:tc>
        <w:tc>
          <w:tcPr>
            <w:tcW w:w="2158" w:type="pct"/>
            <w:tcBorders>
              <w:top w:val="nil"/>
              <w:left w:val="nil"/>
              <w:bottom w:val="single" w:color="000000" w:sz="4" w:space="0"/>
              <w:right w:val="single" w:color="000000" w:sz="4" w:space="0"/>
            </w:tcBorders>
            <w:vAlign w:val="center"/>
          </w:tcPr>
          <w:p w14:paraId="261EC51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项目征集通告 由市市场监督管理局发布比对项目征集通告，提供近三年计量比对项目信息作为参考信息（避免重复申报，3年内已组织过同类计量比对项目原则上不得重复申请）及计量比对项目申报书的内容与格式的要求。</w:t>
            </w:r>
            <w:r>
              <w:rPr>
                <w:rFonts w:hint="eastAsia" w:cs="宋体"/>
                <w:color w:val="auto"/>
                <w:kern w:val="0"/>
                <w:sz w:val="22"/>
                <w:szCs w:val="22"/>
              </w:rPr>
              <w:br w:type="textWrapping"/>
            </w:r>
            <w:r>
              <w:rPr>
                <w:rFonts w:hint="eastAsia" w:cs="宋体"/>
                <w:color w:val="auto"/>
                <w:kern w:val="0"/>
                <w:sz w:val="22"/>
                <w:szCs w:val="22"/>
              </w:rPr>
              <w:t>项目征集信息推送 向相关单位进行针对性的信息推送。</w:t>
            </w:r>
          </w:p>
        </w:tc>
      </w:tr>
      <w:tr w14:paraId="723EB2B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D20599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217</w:t>
            </w:r>
          </w:p>
        </w:tc>
        <w:tc>
          <w:tcPr>
            <w:tcW w:w="1143" w:type="pct"/>
            <w:tcBorders>
              <w:top w:val="nil"/>
              <w:left w:val="nil"/>
              <w:bottom w:val="single" w:color="000000" w:sz="4" w:space="0"/>
              <w:right w:val="single" w:color="000000" w:sz="4" w:space="0"/>
            </w:tcBorders>
            <w:vAlign w:val="center"/>
          </w:tcPr>
          <w:p w14:paraId="193F324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129384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质量基础设施一站式管理-计量管理子系统（升级）-计量比对管理与服务（新建）-比对项目申报</w:t>
            </w:r>
          </w:p>
        </w:tc>
        <w:tc>
          <w:tcPr>
            <w:tcW w:w="2158" w:type="pct"/>
            <w:tcBorders>
              <w:top w:val="nil"/>
              <w:left w:val="nil"/>
              <w:bottom w:val="single" w:color="000000" w:sz="4" w:space="0"/>
              <w:right w:val="single" w:color="000000" w:sz="4" w:space="0"/>
            </w:tcBorders>
            <w:vAlign w:val="center"/>
          </w:tcPr>
          <w:p w14:paraId="06FC4E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在线申报 申报单位填写计量比对项目申报书，通过系统报送市市场监管局计量处。项目申报书包括项目名称、起止时间、项目负责人、申报单位、比对类型、所属专业（长度、力学、声学、温度、电磁、无线电、时间频率、电离辐射、化学、光学、标准物质）、主导实验室、项目联系人及手机号、申报日期等格式化内容，以及相关具体描述内容</w:t>
            </w:r>
          </w:p>
        </w:tc>
      </w:tr>
      <w:tr w14:paraId="39210A6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1A1CC0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218</w:t>
            </w:r>
          </w:p>
        </w:tc>
        <w:tc>
          <w:tcPr>
            <w:tcW w:w="1143" w:type="pct"/>
            <w:tcBorders>
              <w:top w:val="nil"/>
              <w:left w:val="nil"/>
              <w:bottom w:val="single" w:color="000000" w:sz="4" w:space="0"/>
              <w:right w:val="single" w:color="000000" w:sz="4" w:space="0"/>
            </w:tcBorders>
            <w:vAlign w:val="center"/>
          </w:tcPr>
          <w:p w14:paraId="7120A0B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104B9B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质量基础设施一站式管理-计量管理子系统（升级）-计量比对管理与服务（新建）-比对项目遴选及确认主导实验室</w:t>
            </w:r>
          </w:p>
        </w:tc>
        <w:tc>
          <w:tcPr>
            <w:tcW w:w="2158" w:type="pct"/>
            <w:tcBorders>
              <w:top w:val="nil"/>
              <w:left w:val="nil"/>
              <w:bottom w:val="single" w:color="000000" w:sz="4" w:space="0"/>
              <w:right w:val="single" w:color="000000" w:sz="4" w:space="0"/>
            </w:tcBorders>
            <w:vAlign w:val="center"/>
          </w:tcPr>
          <w:p w14:paraId="60E76D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申报时限截止后，市市场监管局计量处组织行业专家组成评审专家组对征集的计量比对项目进行审评和论证，申报单位进行现场答辩。经遴选，部分项目列入年度上海市计量比对项目。</w:t>
            </w:r>
          </w:p>
        </w:tc>
      </w:tr>
      <w:tr w14:paraId="56385FD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7375F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219</w:t>
            </w:r>
          </w:p>
        </w:tc>
        <w:tc>
          <w:tcPr>
            <w:tcW w:w="1143" w:type="pct"/>
            <w:tcBorders>
              <w:top w:val="nil"/>
              <w:left w:val="nil"/>
              <w:bottom w:val="single" w:color="000000" w:sz="4" w:space="0"/>
              <w:right w:val="single" w:color="000000" w:sz="4" w:space="0"/>
            </w:tcBorders>
            <w:vAlign w:val="center"/>
          </w:tcPr>
          <w:p w14:paraId="2583084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A66661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质量基础设施一站式管理-计量管理子系统（升级）-计量比对管理与服务（新建）-比对项目发布</w:t>
            </w:r>
          </w:p>
        </w:tc>
        <w:tc>
          <w:tcPr>
            <w:tcW w:w="2158" w:type="pct"/>
            <w:tcBorders>
              <w:top w:val="nil"/>
              <w:left w:val="nil"/>
              <w:bottom w:val="single" w:color="000000" w:sz="4" w:space="0"/>
              <w:right w:val="single" w:color="000000" w:sz="4" w:space="0"/>
            </w:tcBorders>
            <w:vAlign w:val="center"/>
          </w:tcPr>
          <w:p w14:paraId="4007C9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比对项目通告 "计量处发布组织实施当年度本市计量比对项目的通告，通告包括计量比对项目信息（ABC三类各包括哪些项目）及相关要求，组织实施相关要求,计量比对结果使用说明等内容。</w:t>
            </w:r>
            <w:r>
              <w:rPr>
                <w:rFonts w:hint="eastAsia" w:cs="宋体"/>
                <w:color w:val="auto"/>
                <w:kern w:val="0"/>
                <w:sz w:val="22"/>
                <w:szCs w:val="22"/>
              </w:rPr>
              <w:br w:type="textWrapping"/>
            </w:r>
            <w:r>
              <w:rPr>
                <w:rFonts w:hint="eastAsia" w:cs="宋体"/>
                <w:color w:val="auto"/>
                <w:kern w:val="0"/>
                <w:sz w:val="22"/>
                <w:szCs w:val="22"/>
              </w:rPr>
              <w:t>同时发布上海市计量比对项目汇总表，包括项目编号、项目名称、项目参数、比对类型、主导实验室、联系人及联系方式、比对项目起止时间等信息。</w:t>
            </w:r>
            <w:r>
              <w:rPr>
                <w:rFonts w:hint="eastAsia" w:cs="宋体"/>
                <w:color w:val="auto"/>
                <w:kern w:val="0"/>
                <w:sz w:val="22"/>
                <w:szCs w:val="22"/>
              </w:rPr>
              <w:br w:type="textWrapping"/>
            </w:r>
            <w:r>
              <w:rPr>
                <w:rFonts w:hint="eastAsia" w:cs="宋体"/>
                <w:color w:val="auto"/>
                <w:kern w:val="0"/>
                <w:sz w:val="22"/>
                <w:szCs w:val="22"/>
              </w:rPr>
              <w:t>比对项目信息推送 向有关单位进行针对性的推送</w:t>
            </w:r>
          </w:p>
        </w:tc>
      </w:tr>
      <w:tr w14:paraId="2230B4D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AF835D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220</w:t>
            </w:r>
          </w:p>
        </w:tc>
        <w:tc>
          <w:tcPr>
            <w:tcW w:w="1143" w:type="pct"/>
            <w:tcBorders>
              <w:top w:val="nil"/>
              <w:left w:val="nil"/>
              <w:bottom w:val="single" w:color="000000" w:sz="4" w:space="0"/>
              <w:right w:val="single" w:color="000000" w:sz="4" w:space="0"/>
            </w:tcBorders>
            <w:vAlign w:val="center"/>
          </w:tcPr>
          <w:p w14:paraId="640592F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2FFD3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质量基础设施一站式管理-计量管理子系统（升级）-计量比对管理与服务（新建）-比对组织实施</w:t>
            </w:r>
          </w:p>
        </w:tc>
        <w:tc>
          <w:tcPr>
            <w:tcW w:w="2158" w:type="pct"/>
            <w:tcBorders>
              <w:top w:val="nil"/>
              <w:left w:val="nil"/>
              <w:bottom w:val="single" w:color="000000" w:sz="4" w:space="0"/>
              <w:right w:val="single" w:color="000000" w:sz="4" w:space="0"/>
            </w:tcBorders>
            <w:vAlign w:val="center"/>
          </w:tcPr>
          <w:p w14:paraId="3C52221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参与报名 参比实验室向相关项目的主导实验室报名，主导实验室角色获取相应的报名信息，予以确认。</w:t>
            </w:r>
            <w:r>
              <w:rPr>
                <w:rFonts w:hint="eastAsia" w:cs="宋体"/>
                <w:color w:val="auto"/>
                <w:kern w:val="0"/>
                <w:sz w:val="22"/>
                <w:szCs w:val="22"/>
              </w:rPr>
              <w:br w:type="textWrapping"/>
            </w:r>
            <w:r>
              <w:rPr>
                <w:rFonts w:hint="eastAsia" w:cs="宋体"/>
                <w:color w:val="auto"/>
                <w:kern w:val="0"/>
                <w:sz w:val="22"/>
                <w:szCs w:val="22"/>
              </w:rPr>
              <w:t>比对方案 主导实验室在系统中录入比对方案格式化信息（关键数据格式、计算方法、关键时间节点等），上传比对方案。相关信息可被同一项目的相关方，包括主导实验室、参比实验室及项目相关监管单位访问。</w:t>
            </w:r>
          </w:p>
        </w:tc>
      </w:tr>
      <w:tr w14:paraId="422F6E1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2D45BC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221</w:t>
            </w:r>
          </w:p>
        </w:tc>
        <w:tc>
          <w:tcPr>
            <w:tcW w:w="1143" w:type="pct"/>
            <w:tcBorders>
              <w:top w:val="nil"/>
              <w:left w:val="nil"/>
              <w:bottom w:val="single" w:color="000000" w:sz="4" w:space="0"/>
              <w:right w:val="single" w:color="000000" w:sz="4" w:space="0"/>
            </w:tcBorders>
            <w:vAlign w:val="center"/>
          </w:tcPr>
          <w:p w14:paraId="7D1522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5CF104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质量基础设施一站式管理-计量管理子系统（升级）-计量比对管理与服务（新建）-比对项目跟踪</w:t>
            </w:r>
          </w:p>
        </w:tc>
        <w:tc>
          <w:tcPr>
            <w:tcW w:w="2158" w:type="pct"/>
            <w:tcBorders>
              <w:top w:val="nil"/>
              <w:left w:val="nil"/>
              <w:bottom w:val="single" w:color="000000" w:sz="4" w:space="0"/>
              <w:right w:val="single" w:color="000000" w:sz="4" w:space="0"/>
            </w:tcBorders>
            <w:vAlign w:val="center"/>
          </w:tcPr>
          <w:p w14:paraId="2FC75AF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接收单位填写计量比对传递标准（样品）交接单，并告知主导实验室。</w:t>
            </w:r>
            <w:r>
              <w:rPr>
                <w:rFonts w:hint="eastAsia" w:cs="宋体"/>
                <w:color w:val="auto"/>
                <w:kern w:val="0"/>
                <w:sz w:val="22"/>
                <w:szCs w:val="22"/>
              </w:rPr>
              <w:br w:type="textWrapping"/>
            </w:r>
            <w:r>
              <w:rPr>
                <w:rFonts w:hint="eastAsia" w:cs="宋体"/>
                <w:color w:val="auto"/>
                <w:kern w:val="0"/>
                <w:sz w:val="22"/>
                <w:szCs w:val="22"/>
              </w:rPr>
              <w:t>计量比对的结果数据，由参与实验室填报。</w:t>
            </w:r>
            <w:r>
              <w:rPr>
                <w:rFonts w:hint="eastAsia" w:cs="宋体"/>
                <w:color w:val="auto"/>
                <w:kern w:val="0"/>
                <w:sz w:val="22"/>
                <w:szCs w:val="22"/>
              </w:rPr>
              <w:br w:type="textWrapping"/>
            </w:r>
            <w:r>
              <w:rPr>
                <w:rFonts w:hint="eastAsia" w:cs="宋体"/>
                <w:color w:val="auto"/>
                <w:kern w:val="0"/>
                <w:sz w:val="22"/>
                <w:szCs w:val="22"/>
              </w:rPr>
              <w:t>参比实验室可在系统中录入相关执行情况及关键信息。</w:t>
            </w:r>
          </w:p>
        </w:tc>
      </w:tr>
      <w:tr w14:paraId="27B87EE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B5FB3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222</w:t>
            </w:r>
          </w:p>
        </w:tc>
        <w:tc>
          <w:tcPr>
            <w:tcW w:w="1143" w:type="pct"/>
            <w:tcBorders>
              <w:top w:val="nil"/>
              <w:left w:val="nil"/>
              <w:bottom w:val="single" w:color="000000" w:sz="4" w:space="0"/>
              <w:right w:val="single" w:color="000000" w:sz="4" w:space="0"/>
            </w:tcBorders>
            <w:vAlign w:val="center"/>
          </w:tcPr>
          <w:p w14:paraId="7ABA728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1B81E6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质量基础设施一站式管理-计量管理子系统（升级）-计量比对管理与服务（新建）-比对结果评价</w:t>
            </w:r>
          </w:p>
        </w:tc>
        <w:tc>
          <w:tcPr>
            <w:tcW w:w="2158" w:type="pct"/>
            <w:tcBorders>
              <w:top w:val="nil"/>
              <w:left w:val="nil"/>
              <w:bottom w:val="single" w:color="000000" w:sz="4" w:space="0"/>
              <w:right w:val="single" w:color="000000" w:sz="4" w:space="0"/>
            </w:tcBorders>
            <w:vAlign w:val="center"/>
          </w:tcPr>
          <w:p w14:paraId="6B085CB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比对结果评价计算 系统根据比对方案确定数据及实测结果数据，按照计量比对技术规范JJF 1117-2010，计算归一化偏差En或Z比分数辅助评价，给出基于评判原则的提示信息。</w:t>
            </w:r>
            <w:r>
              <w:rPr>
                <w:rFonts w:hint="eastAsia" w:cs="宋体"/>
                <w:color w:val="auto"/>
                <w:kern w:val="0"/>
                <w:sz w:val="22"/>
                <w:szCs w:val="22"/>
              </w:rPr>
              <w:br w:type="textWrapping"/>
            </w:r>
            <w:r>
              <w:rPr>
                <w:rFonts w:hint="eastAsia" w:cs="宋体"/>
                <w:color w:val="auto"/>
                <w:kern w:val="0"/>
                <w:sz w:val="22"/>
                <w:szCs w:val="22"/>
              </w:rPr>
              <w:t>比对结果评价图 针对特定比对项目，基于计算结果，生成整体的比对结果评价图。</w:t>
            </w:r>
          </w:p>
        </w:tc>
      </w:tr>
      <w:tr w14:paraId="5F12529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06801C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223</w:t>
            </w:r>
          </w:p>
        </w:tc>
        <w:tc>
          <w:tcPr>
            <w:tcW w:w="1143" w:type="pct"/>
            <w:tcBorders>
              <w:top w:val="nil"/>
              <w:left w:val="nil"/>
              <w:bottom w:val="single" w:color="000000" w:sz="4" w:space="0"/>
              <w:right w:val="single" w:color="000000" w:sz="4" w:space="0"/>
            </w:tcBorders>
            <w:vAlign w:val="center"/>
          </w:tcPr>
          <w:p w14:paraId="2C35E9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117C27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质量基础设施一站式管理-计量管理子系统（升级）-计量比对管理与服务（新建）-比对总结</w:t>
            </w:r>
          </w:p>
        </w:tc>
        <w:tc>
          <w:tcPr>
            <w:tcW w:w="2158" w:type="pct"/>
            <w:tcBorders>
              <w:top w:val="nil"/>
              <w:left w:val="nil"/>
              <w:bottom w:val="single" w:color="000000" w:sz="4" w:space="0"/>
              <w:right w:val="single" w:color="000000" w:sz="4" w:space="0"/>
            </w:tcBorders>
            <w:vAlign w:val="center"/>
          </w:tcPr>
          <w:p w14:paraId="2C52A51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系统对比对总结会相关情况进行记录，包括专家、比对总结报告、会议纪要、整改要求及补测报告等。</w:t>
            </w:r>
          </w:p>
        </w:tc>
      </w:tr>
      <w:tr w14:paraId="4B36CB5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00055E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224</w:t>
            </w:r>
          </w:p>
        </w:tc>
        <w:tc>
          <w:tcPr>
            <w:tcW w:w="1143" w:type="pct"/>
            <w:tcBorders>
              <w:top w:val="nil"/>
              <w:left w:val="nil"/>
              <w:bottom w:val="single" w:color="000000" w:sz="4" w:space="0"/>
              <w:right w:val="single" w:color="000000" w:sz="4" w:space="0"/>
            </w:tcBorders>
            <w:vAlign w:val="center"/>
          </w:tcPr>
          <w:p w14:paraId="2E97BD5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92ED5B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质量基础设施一站式管理-计量管理子系统（升级）-计量比对管理与服务（新建）-比对结果公示</w:t>
            </w:r>
          </w:p>
        </w:tc>
        <w:tc>
          <w:tcPr>
            <w:tcW w:w="2158" w:type="pct"/>
            <w:tcBorders>
              <w:top w:val="nil"/>
              <w:left w:val="nil"/>
              <w:bottom w:val="single" w:color="000000" w:sz="4" w:space="0"/>
              <w:right w:val="single" w:color="000000" w:sz="4" w:space="0"/>
            </w:tcBorders>
            <w:vAlign w:val="center"/>
          </w:tcPr>
          <w:p w14:paraId="35911E5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市局摘录比对报告信息，形成对外公示信息；原始的比对报告（及补测报告）作为对外公示的附件。</w:t>
            </w:r>
            <w:r>
              <w:rPr>
                <w:rFonts w:hint="eastAsia" w:cs="宋体"/>
                <w:color w:val="auto"/>
                <w:kern w:val="0"/>
                <w:sz w:val="22"/>
                <w:szCs w:val="22"/>
              </w:rPr>
              <w:br w:type="textWrapping"/>
            </w:r>
            <w:r>
              <w:rPr>
                <w:rFonts w:hint="eastAsia" w:cs="宋体"/>
                <w:color w:val="auto"/>
                <w:kern w:val="0"/>
                <w:sz w:val="22"/>
                <w:szCs w:val="22"/>
              </w:rPr>
              <w:t>比对结果通过市场监管门户网站、一站式服务平台进行发布和公示。</w:t>
            </w:r>
          </w:p>
        </w:tc>
      </w:tr>
      <w:tr w14:paraId="48A3C63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368B3C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225</w:t>
            </w:r>
          </w:p>
        </w:tc>
        <w:tc>
          <w:tcPr>
            <w:tcW w:w="1143" w:type="pct"/>
            <w:tcBorders>
              <w:top w:val="nil"/>
              <w:left w:val="nil"/>
              <w:bottom w:val="single" w:color="000000" w:sz="4" w:space="0"/>
              <w:right w:val="single" w:color="000000" w:sz="4" w:space="0"/>
            </w:tcBorders>
            <w:vAlign w:val="center"/>
          </w:tcPr>
          <w:p w14:paraId="1CFE072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1C1BC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质量基础设施一站式管理-计量管理子系统（升级）-计量比对管理与服务（新建）-比对结果应用</w:t>
            </w:r>
          </w:p>
        </w:tc>
        <w:tc>
          <w:tcPr>
            <w:tcW w:w="2158" w:type="pct"/>
            <w:tcBorders>
              <w:top w:val="nil"/>
              <w:left w:val="nil"/>
              <w:bottom w:val="single" w:color="000000" w:sz="4" w:space="0"/>
              <w:right w:val="single" w:color="000000" w:sz="4" w:space="0"/>
            </w:tcBorders>
            <w:vAlign w:val="center"/>
          </w:tcPr>
          <w:p w14:paraId="1812921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计量比对可提供给各种认证、认可、考核评审, 作为实验室能力的证明。将计量比对项目结果作为相应机构的档案的一部分，进行“一企一档”式的信息整合。</w:t>
            </w:r>
            <w:r>
              <w:rPr>
                <w:rFonts w:hint="eastAsia" w:cs="宋体"/>
                <w:color w:val="auto"/>
                <w:kern w:val="0"/>
                <w:sz w:val="22"/>
                <w:szCs w:val="22"/>
              </w:rPr>
              <w:br w:type="textWrapping"/>
            </w:r>
            <w:r>
              <w:rPr>
                <w:rFonts w:hint="eastAsia" w:cs="宋体"/>
                <w:color w:val="auto"/>
                <w:kern w:val="0"/>
                <w:sz w:val="22"/>
                <w:szCs w:val="22"/>
              </w:rPr>
              <w:t>当市民使用计量标准项目等查询服务时，展示计量机构同时，展示一定周期（例如三年）内计量机构参与的计量比对活动和相应评价。</w:t>
            </w:r>
            <w:r>
              <w:rPr>
                <w:rFonts w:hint="eastAsia" w:cs="宋体"/>
                <w:color w:val="auto"/>
                <w:kern w:val="0"/>
                <w:sz w:val="22"/>
                <w:szCs w:val="22"/>
              </w:rPr>
              <w:br w:type="textWrapping"/>
            </w:r>
            <w:r>
              <w:rPr>
                <w:rFonts w:hint="eastAsia" w:cs="宋体"/>
                <w:color w:val="auto"/>
                <w:kern w:val="0"/>
                <w:sz w:val="22"/>
                <w:szCs w:val="22"/>
              </w:rPr>
              <w:t>对主导实验室和比对结果符合规定要求的计量技术机构，在接受计量授权监督检查和到期复核、计量标准监督检查和复查考核时，相关项目可在5年内免于现场试验。</w:t>
            </w:r>
          </w:p>
        </w:tc>
      </w:tr>
      <w:tr w14:paraId="5D3F477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41151B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226</w:t>
            </w:r>
          </w:p>
        </w:tc>
        <w:tc>
          <w:tcPr>
            <w:tcW w:w="1143" w:type="pct"/>
            <w:tcBorders>
              <w:top w:val="nil"/>
              <w:left w:val="nil"/>
              <w:bottom w:val="single" w:color="000000" w:sz="4" w:space="0"/>
              <w:right w:val="single" w:color="000000" w:sz="4" w:space="0"/>
            </w:tcBorders>
            <w:vAlign w:val="center"/>
          </w:tcPr>
          <w:p w14:paraId="0E67784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6492A6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质量基础设施一站式管理-计量管理子系统（升级）-计量比对管理与服务（新建）-时限提醒</w:t>
            </w:r>
          </w:p>
        </w:tc>
        <w:tc>
          <w:tcPr>
            <w:tcW w:w="2158" w:type="pct"/>
            <w:tcBorders>
              <w:top w:val="nil"/>
              <w:left w:val="nil"/>
              <w:bottom w:val="single" w:color="000000" w:sz="4" w:space="0"/>
              <w:right w:val="single" w:color="000000" w:sz="4" w:space="0"/>
            </w:tcBorders>
            <w:vAlign w:val="center"/>
          </w:tcPr>
          <w:p w14:paraId="77D6549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系统针对组织方（计量监管部门）、主导实验室、参比实验室角色分工及不同的应用环节设置业务办理时限。</w:t>
            </w:r>
            <w:r>
              <w:rPr>
                <w:rFonts w:hint="eastAsia" w:cs="宋体"/>
                <w:color w:val="auto"/>
                <w:kern w:val="0"/>
                <w:sz w:val="22"/>
                <w:szCs w:val="22"/>
              </w:rPr>
              <w:br w:type="textWrapping"/>
            </w:r>
            <w:r>
              <w:rPr>
                <w:rFonts w:hint="eastAsia" w:cs="宋体"/>
                <w:color w:val="auto"/>
                <w:kern w:val="0"/>
                <w:sz w:val="22"/>
                <w:szCs w:val="22"/>
              </w:rPr>
              <w:t>例如，项目征集期限、参比实验室报名期限、比对方案确认、比对项目跟踪反馈（结果上报）、项目整体推进（计划完成时间）等，与时间期限相关的环节进行跟踪，当临期时，基于既定规则向相关方发出提醒或警示信息。</w:t>
            </w:r>
          </w:p>
        </w:tc>
      </w:tr>
      <w:tr w14:paraId="72BE4CE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8280A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227</w:t>
            </w:r>
          </w:p>
        </w:tc>
        <w:tc>
          <w:tcPr>
            <w:tcW w:w="1143" w:type="pct"/>
            <w:tcBorders>
              <w:top w:val="nil"/>
              <w:left w:val="nil"/>
              <w:bottom w:val="single" w:color="000000" w:sz="4" w:space="0"/>
              <w:right w:val="single" w:color="000000" w:sz="4" w:space="0"/>
            </w:tcBorders>
            <w:vAlign w:val="center"/>
          </w:tcPr>
          <w:p w14:paraId="450EA2D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C4C03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质量基础设施一站式管理-计量管理子系统（升级）-计量比对管理与服务（新建）-参与方监控</w:t>
            </w:r>
          </w:p>
        </w:tc>
        <w:tc>
          <w:tcPr>
            <w:tcW w:w="2158" w:type="pct"/>
            <w:tcBorders>
              <w:top w:val="nil"/>
              <w:left w:val="nil"/>
              <w:bottom w:val="single" w:color="000000" w:sz="4" w:space="0"/>
              <w:right w:val="single" w:color="000000" w:sz="4" w:space="0"/>
            </w:tcBorders>
            <w:vAlign w:val="center"/>
          </w:tcPr>
          <w:p w14:paraId="41006A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对于A类比对项目，按照计量标准考核证书的类目进行要求，无正当理由，不得不参加; 对于C类比对项目，已取得相关计量标准考核证书的计量技术机构需报名参加，确有特殊情况不能报名参加的，需主导实验室书面同意，并事先报发证机构同意。</w:t>
            </w:r>
            <w:r>
              <w:rPr>
                <w:rFonts w:hint="eastAsia" w:cs="宋体"/>
                <w:color w:val="auto"/>
                <w:kern w:val="0"/>
                <w:sz w:val="22"/>
                <w:szCs w:val="22"/>
              </w:rPr>
              <w:br w:type="textWrapping"/>
            </w:r>
            <w:r>
              <w:rPr>
                <w:rFonts w:hint="eastAsia" w:cs="宋体"/>
                <w:color w:val="auto"/>
                <w:kern w:val="0"/>
                <w:sz w:val="22"/>
                <w:szCs w:val="22"/>
              </w:rPr>
              <w:t>系统在比对项目报名截止前，发现有应报名参比A类/C类项目而未报名的，发出警示消息，便于监管跟踪。</w:t>
            </w:r>
            <w:r>
              <w:rPr>
                <w:rFonts w:hint="eastAsia" w:cs="宋体"/>
                <w:color w:val="auto"/>
                <w:kern w:val="0"/>
                <w:sz w:val="22"/>
                <w:szCs w:val="22"/>
              </w:rPr>
              <w:br w:type="textWrapping"/>
            </w:r>
            <w:r>
              <w:rPr>
                <w:rFonts w:hint="eastAsia" w:cs="宋体"/>
                <w:color w:val="auto"/>
                <w:kern w:val="0"/>
                <w:sz w:val="22"/>
                <w:szCs w:val="22"/>
              </w:rPr>
              <w:t>对于有正当理由的，可在录入相应理由后关闭该条警示信息。</w:t>
            </w:r>
          </w:p>
        </w:tc>
      </w:tr>
      <w:tr w14:paraId="441A52E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201168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228</w:t>
            </w:r>
          </w:p>
        </w:tc>
        <w:tc>
          <w:tcPr>
            <w:tcW w:w="1143" w:type="pct"/>
            <w:tcBorders>
              <w:top w:val="nil"/>
              <w:left w:val="nil"/>
              <w:bottom w:val="single" w:color="000000" w:sz="4" w:space="0"/>
              <w:right w:val="single" w:color="000000" w:sz="4" w:space="0"/>
            </w:tcBorders>
            <w:vAlign w:val="center"/>
          </w:tcPr>
          <w:p w14:paraId="338C05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051C1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质量基础设施一站式管理-计量管理子系统（升级）-计量比对管理与服务（新建）-计量风险预警</w:t>
            </w:r>
          </w:p>
        </w:tc>
        <w:tc>
          <w:tcPr>
            <w:tcW w:w="2158" w:type="pct"/>
            <w:tcBorders>
              <w:top w:val="nil"/>
              <w:left w:val="nil"/>
              <w:bottom w:val="single" w:color="000000" w:sz="4" w:space="0"/>
              <w:right w:val="single" w:color="000000" w:sz="4" w:space="0"/>
            </w:tcBorders>
            <w:vAlign w:val="center"/>
          </w:tcPr>
          <w:p w14:paraId="13701E1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对于高风险内容，例如，计量比对结果没有达到合理的预期（或偏差大于阈值的）;时序化同一实验室在不同比对项目中的En值，连续下降或频繁异常的，发起预警，可作为监管线索进行处理。</w:t>
            </w:r>
          </w:p>
        </w:tc>
      </w:tr>
      <w:tr w14:paraId="65E01C7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D8391D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229</w:t>
            </w:r>
          </w:p>
        </w:tc>
        <w:tc>
          <w:tcPr>
            <w:tcW w:w="1143" w:type="pct"/>
            <w:tcBorders>
              <w:top w:val="nil"/>
              <w:left w:val="nil"/>
              <w:bottom w:val="single" w:color="000000" w:sz="4" w:space="0"/>
              <w:right w:val="single" w:color="000000" w:sz="4" w:space="0"/>
            </w:tcBorders>
            <w:vAlign w:val="center"/>
          </w:tcPr>
          <w:p w14:paraId="15B0C8D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E53DAD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质量基础设施一站式管理-计量管理子系统（升级）-计量比对管理与服务（新建）-计量比对数据查询服务</w:t>
            </w:r>
          </w:p>
        </w:tc>
        <w:tc>
          <w:tcPr>
            <w:tcW w:w="2158" w:type="pct"/>
            <w:tcBorders>
              <w:top w:val="nil"/>
              <w:left w:val="nil"/>
              <w:bottom w:val="single" w:color="000000" w:sz="4" w:space="0"/>
              <w:right w:val="single" w:color="000000" w:sz="4" w:space="0"/>
            </w:tcBorders>
            <w:vAlign w:val="center"/>
          </w:tcPr>
          <w:p w14:paraId="0B1A39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1、主导实验室 "主导实验室同时应具备《计量标准考核证书》，存在信息整合要求。</w:t>
            </w:r>
            <w:r>
              <w:rPr>
                <w:rFonts w:hint="eastAsia" w:cs="宋体"/>
                <w:color w:val="auto"/>
                <w:kern w:val="0"/>
                <w:sz w:val="22"/>
                <w:szCs w:val="22"/>
              </w:rPr>
              <w:br w:type="textWrapping"/>
            </w:r>
            <w:r>
              <w:rPr>
                <w:rFonts w:hint="eastAsia" w:cs="宋体"/>
                <w:color w:val="auto"/>
                <w:kern w:val="0"/>
                <w:sz w:val="22"/>
                <w:szCs w:val="22"/>
              </w:rPr>
              <w:t>提供基于主导实验室的信息聚合，并提供相应的数据访问服务，便于计量比对及相关计量业务复用。</w:t>
            </w:r>
            <w:r>
              <w:rPr>
                <w:rFonts w:hint="eastAsia" w:cs="宋体"/>
                <w:color w:val="auto"/>
                <w:kern w:val="0"/>
                <w:sz w:val="22"/>
                <w:szCs w:val="22"/>
              </w:rPr>
              <w:br w:type="textWrapping"/>
            </w:r>
            <w:r>
              <w:rPr>
                <w:rFonts w:hint="eastAsia" w:cs="宋体"/>
                <w:color w:val="auto"/>
                <w:kern w:val="0"/>
                <w:sz w:val="22"/>
                <w:szCs w:val="22"/>
              </w:rPr>
              <w:t>2、比对项目 提供基于比对项目的信息聚合，并提供相应的数据访问服务，便于计量比对及相关计量业务复用。</w:t>
            </w:r>
            <w:r>
              <w:rPr>
                <w:rFonts w:hint="eastAsia" w:cs="宋体"/>
                <w:color w:val="auto"/>
                <w:kern w:val="0"/>
                <w:sz w:val="22"/>
                <w:szCs w:val="22"/>
              </w:rPr>
              <w:br w:type="textWrapping"/>
            </w:r>
            <w:r>
              <w:rPr>
                <w:rFonts w:hint="eastAsia" w:cs="宋体"/>
                <w:color w:val="auto"/>
                <w:kern w:val="0"/>
                <w:sz w:val="22"/>
                <w:szCs w:val="22"/>
              </w:rPr>
              <w:t>3、计量专家 计量比对领域专家，一般包括一级计量标准考评员（总局发证，定期Excel收集）、二级计量标准考评员（市局发证），基于相关行政许可和数据归集，建立相应的信息访问机制。</w:t>
            </w:r>
          </w:p>
        </w:tc>
      </w:tr>
      <w:tr w14:paraId="4146895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F60F23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230</w:t>
            </w:r>
          </w:p>
        </w:tc>
        <w:tc>
          <w:tcPr>
            <w:tcW w:w="1143" w:type="pct"/>
            <w:tcBorders>
              <w:top w:val="nil"/>
              <w:left w:val="nil"/>
              <w:bottom w:val="single" w:color="000000" w:sz="4" w:space="0"/>
              <w:right w:val="single" w:color="000000" w:sz="4" w:space="0"/>
            </w:tcBorders>
            <w:vAlign w:val="center"/>
          </w:tcPr>
          <w:p w14:paraId="1FC9D47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BE02C7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质量基础设施一站式管理-计量管理子系统（升级）-计量强检管理与服务（升级）-监管端升级改造-移动端电子地图展示</w:t>
            </w:r>
          </w:p>
        </w:tc>
        <w:tc>
          <w:tcPr>
            <w:tcW w:w="2158" w:type="pct"/>
            <w:tcBorders>
              <w:top w:val="nil"/>
              <w:left w:val="nil"/>
              <w:bottom w:val="single" w:color="000000" w:sz="4" w:space="0"/>
              <w:right w:val="single" w:color="000000" w:sz="4" w:space="0"/>
            </w:tcBorders>
            <w:vAlign w:val="center"/>
          </w:tcPr>
          <w:p w14:paraId="65538C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利用电子地图应用，提升监管人员现场执法效率，在手机端,依托电子地图,展示企业位置、器具数量等信息。</w:t>
            </w:r>
          </w:p>
        </w:tc>
      </w:tr>
      <w:tr w14:paraId="52BA499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F455D9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231</w:t>
            </w:r>
          </w:p>
        </w:tc>
        <w:tc>
          <w:tcPr>
            <w:tcW w:w="1143" w:type="pct"/>
            <w:tcBorders>
              <w:top w:val="nil"/>
              <w:left w:val="nil"/>
              <w:bottom w:val="single" w:color="000000" w:sz="4" w:space="0"/>
              <w:right w:val="single" w:color="000000" w:sz="4" w:space="0"/>
            </w:tcBorders>
            <w:vAlign w:val="center"/>
          </w:tcPr>
          <w:p w14:paraId="2467AD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C9FAAE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质量基础设施一站式管理-计量管理子系统（升级）-计量强检管理与服务（升级）-监管端升级改造-移动端—器具信息查询</w:t>
            </w:r>
          </w:p>
        </w:tc>
        <w:tc>
          <w:tcPr>
            <w:tcW w:w="2158" w:type="pct"/>
            <w:tcBorders>
              <w:top w:val="nil"/>
              <w:left w:val="nil"/>
              <w:bottom w:val="single" w:color="000000" w:sz="4" w:space="0"/>
              <w:right w:val="single" w:color="000000" w:sz="4" w:space="0"/>
            </w:tcBorders>
            <w:vAlign w:val="center"/>
          </w:tcPr>
          <w:p w14:paraId="571D7B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在移动端实现简易快速查询；提升日常巡查时处置问题能力扫码查询器具基本信息。根据所属单位、所属区、所属街道、器具种类、检定有效期、检定结果等条件查询器具基本信息。</w:t>
            </w:r>
          </w:p>
        </w:tc>
      </w:tr>
      <w:tr w14:paraId="3E1D901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C7003E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232</w:t>
            </w:r>
          </w:p>
        </w:tc>
        <w:tc>
          <w:tcPr>
            <w:tcW w:w="1143" w:type="pct"/>
            <w:tcBorders>
              <w:top w:val="nil"/>
              <w:left w:val="nil"/>
              <w:bottom w:val="single" w:color="000000" w:sz="4" w:space="0"/>
              <w:right w:val="single" w:color="000000" w:sz="4" w:space="0"/>
            </w:tcBorders>
            <w:vAlign w:val="center"/>
          </w:tcPr>
          <w:p w14:paraId="170CAA0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B4050A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质量基础设施一站式管理-计量管理子系统（升级）-计量强检管理与服务（升级）-监管端升级改造-移动端-核实（修改）器具信息</w:t>
            </w:r>
          </w:p>
        </w:tc>
        <w:tc>
          <w:tcPr>
            <w:tcW w:w="2158" w:type="pct"/>
            <w:tcBorders>
              <w:top w:val="nil"/>
              <w:left w:val="nil"/>
              <w:bottom w:val="single" w:color="000000" w:sz="4" w:space="0"/>
              <w:right w:val="single" w:color="000000" w:sz="4" w:space="0"/>
            </w:tcBorders>
            <w:vAlign w:val="center"/>
          </w:tcPr>
          <w:p w14:paraId="1278D56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巡查人员利用移动端，进行核实(修改)器具所属街道、安装地点等信息。</w:t>
            </w:r>
          </w:p>
        </w:tc>
      </w:tr>
      <w:tr w14:paraId="72FE2DA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0DADF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233</w:t>
            </w:r>
          </w:p>
        </w:tc>
        <w:tc>
          <w:tcPr>
            <w:tcW w:w="1143" w:type="pct"/>
            <w:tcBorders>
              <w:top w:val="nil"/>
              <w:left w:val="nil"/>
              <w:bottom w:val="single" w:color="000000" w:sz="4" w:space="0"/>
              <w:right w:val="single" w:color="000000" w:sz="4" w:space="0"/>
            </w:tcBorders>
            <w:vAlign w:val="center"/>
          </w:tcPr>
          <w:p w14:paraId="415C3BD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CE8F0F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质量基础设施一站式管理-计量管理子系统（升级）-计量强检管理与服务（升级）-监管端升级改造-移动端-器具报废处理</w:t>
            </w:r>
          </w:p>
        </w:tc>
        <w:tc>
          <w:tcPr>
            <w:tcW w:w="2158" w:type="pct"/>
            <w:tcBorders>
              <w:top w:val="nil"/>
              <w:left w:val="nil"/>
              <w:bottom w:val="single" w:color="000000" w:sz="4" w:space="0"/>
              <w:right w:val="single" w:color="000000" w:sz="4" w:space="0"/>
            </w:tcBorders>
            <w:vAlign w:val="center"/>
          </w:tcPr>
          <w:p w14:paraId="62E92E8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对于超期使用的器具,可在移动端做报废处理。</w:t>
            </w:r>
          </w:p>
        </w:tc>
      </w:tr>
      <w:tr w14:paraId="36678FB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C6C61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234</w:t>
            </w:r>
          </w:p>
        </w:tc>
        <w:tc>
          <w:tcPr>
            <w:tcW w:w="1143" w:type="pct"/>
            <w:tcBorders>
              <w:top w:val="nil"/>
              <w:left w:val="nil"/>
              <w:bottom w:val="single" w:color="000000" w:sz="4" w:space="0"/>
              <w:right w:val="single" w:color="000000" w:sz="4" w:space="0"/>
            </w:tcBorders>
            <w:vAlign w:val="center"/>
          </w:tcPr>
          <w:p w14:paraId="23643B0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5FAFF9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质量基础设施一站式管理-计量管理子系统（升级）-计量强检管理与服务（升级）-监管端升级改造-监管信息推送</w:t>
            </w:r>
          </w:p>
        </w:tc>
        <w:tc>
          <w:tcPr>
            <w:tcW w:w="2158" w:type="pct"/>
            <w:tcBorders>
              <w:top w:val="nil"/>
              <w:left w:val="nil"/>
              <w:bottom w:val="single" w:color="000000" w:sz="4" w:space="0"/>
              <w:right w:val="single" w:color="000000" w:sz="4" w:space="0"/>
            </w:tcBorders>
            <w:vAlign w:val="center"/>
          </w:tcPr>
          <w:p w14:paraId="1DCB45D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目前监管工作人员需要通过PC登录监管端才能获取相关监管信息。本次项目由平台功能模块生成监管信息,并推送至局内部门户进行监管消息提醒。</w:t>
            </w:r>
          </w:p>
        </w:tc>
      </w:tr>
      <w:tr w14:paraId="39FBACD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0F11E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235</w:t>
            </w:r>
          </w:p>
        </w:tc>
        <w:tc>
          <w:tcPr>
            <w:tcW w:w="1143" w:type="pct"/>
            <w:tcBorders>
              <w:top w:val="nil"/>
              <w:left w:val="nil"/>
              <w:bottom w:val="single" w:color="000000" w:sz="4" w:space="0"/>
              <w:right w:val="single" w:color="000000" w:sz="4" w:space="0"/>
            </w:tcBorders>
            <w:vAlign w:val="center"/>
          </w:tcPr>
          <w:p w14:paraId="358E8F8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C65A6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质量基础设施一站式管理-计量管理子系统（升级）-计量强检管理与服务（升级）-企业用户移动端升级改造-企业用户移动端-登录(升级)</w:t>
            </w:r>
          </w:p>
        </w:tc>
        <w:tc>
          <w:tcPr>
            <w:tcW w:w="2158" w:type="pct"/>
            <w:tcBorders>
              <w:top w:val="nil"/>
              <w:left w:val="nil"/>
              <w:bottom w:val="single" w:color="000000" w:sz="4" w:space="0"/>
              <w:right w:val="single" w:color="000000" w:sz="4" w:space="0"/>
            </w:tcBorders>
            <w:vAlign w:val="center"/>
          </w:tcPr>
          <w:p w14:paraId="70A2804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身份资料上传 个体户、小商户等用户在移动端个人用户通过上传电子营业执照、身份证的照片,绑定企业和器具责任人信息。</w:t>
            </w:r>
            <w:r>
              <w:rPr>
                <w:rFonts w:hint="eastAsia" w:cs="宋体"/>
                <w:color w:val="auto"/>
                <w:kern w:val="0"/>
                <w:sz w:val="22"/>
                <w:szCs w:val="22"/>
              </w:rPr>
              <w:br w:type="textWrapping"/>
            </w:r>
            <w:r>
              <w:rPr>
                <w:rFonts w:hint="eastAsia" w:cs="宋体"/>
                <w:color w:val="auto"/>
                <w:kern w:val="0"/>
                <w:sz w:val="22"/>
                <w:szCs w:val="22"/>
              </w:rPr>
              <w:t>身份自动/人工审核 个体户、小商户等用户移动端上传照片等资料通过OCR识别后,并经监管端人工审核后，用户开通系统访问权限，可以通过在电脑端以个人身份登录平台，通过电子营业执照登录移动端。</w:t>
            </w:r>
            <w:r>
              <w:rPr>
                <w:rFonts w:hint="eastAsia" w:cs="宋体"/>
                <w:color w:val="auto"/>
                <w:kern w:val="0"/>
                <w:sz w:val="22"/>
                <w:szCs w:val="22"/>
              </w:rPr>
              <w:br w:type="textWrapping"/>
            </w:r>
            <w:r>
              <w:rPr>
                <w:rFonts w:hint="eastAsia" w:cs="宋体"/>
                <w:color w:val="auto"/>
                <w:kern w:val="0"/>
                <w:sz w:val="22"/>
                <w:szCs w:val="22"/>
              </w:rPr>
              <w:t>PC端、移动端身份认证 PC端身份认证，个体户、小商户等用户在电脑端以个人身份登录平台。移动端身份认证，个体户、小商户等用户在移动端通过电子营业执照登录平台。</w:t>
            </w:r>
          </w:p>
        </w:tc>
      </w:tr>
      <w:tr w14:paraId="6D28E75D">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266D8B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236</w:t>
            </w:r>
          </w:p>
        </w:tc>
        <w:tc>
          <w:tcPr>
            <w:tcW w:w="1143" w:type="pct"/>
            <w:tcBorders>
              <w:top w:val="nil"/>
              <w:left w:val="nil"/>
              <w:bottom w:val="single" w:color="000000" w:sz="4" w:space="0"/>
              <w:right w:val="single" w:color="000000" w:sz="4" w:space="0"/>
            </w:tcBorders>
            <w:vAlign w:val="center"/>
          </w:tcPr>
          <w:p w14:paraId="4E09072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A904A9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质量基础设施一站式管理-计量管理子系统（升级）-计量强检管理与服务（升级）-企业用户移动端升级改造-企业用户移动端-扫码送检</w:t>
            </w:r>
          </w:p>
        </w:tc>
        <w:tc>
          <w:tcPr>
            <w:tcW w:w="2158" w:type="pct"/>
            <w:tcBorders>
              <w:top w:val="nil"/>
              <w:left w:val="nil"/>
              <w:bottom w:val="single" w:color="000000" w:sz="4" w:space="0"/>
              <w:right w:val="single" w:color="000000" w:sz="4" w:space="0"/>
            </w:tcBorders>
            <w:vAlign w:val="center"/>
          </w:tcPr>
          <w:p w14:paraId="0FB83F2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对于周期检定的器具,提升移动端送检效率，扫一扫器具二维码,通过解码程序获得器具编码,自动添加到送检队列。</w:t>
            </w:r>
          </w:p>
        </w:tc>
      </w:tr>
      <w:tr w14:paraId="55C0CB0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521633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237</w:t>
            </w:r>
          </w:p>
        </w:tc>
        <w:tc>
          <w:tcPr>
            <w:tcW w:w="1143" w:type="pct"/>
            <w:tcBorders>
              <w:top w:val="nil"/>
              <w:left w:val="nil"/>
              <w:bottom w:val="single" w:color="000000" w:sz="4" w:space="0"/>
              <w:right w:val="single" w:color="000000" w:sz="4" w:space="0"/>
            </w:tcBorders>
            <w:vAlign w:val="center"/>
          </w:tcPr>
          <w:p w14:paraId="3EC8971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C94D1C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质量基础设施一站式管理-计量管理子系统（升级）-计量强检管理与服务（升级）-企业用户移动端升级改造-企业用户移动端-拍照识别器具信息</w:t>
            </w:r>
          </w:p>
        </w:tc>
        <w:tc>
          <w:tcPr>
            <w:tcW w:w="2158" w:type="pct"/>
            <w:tcBorders>
              <w:top w:val="nil"/>
              <w:left w:val="nil"/>
              <w:bottom w:val="single" w:color="000000" w:sz="4" w:space="0"/>
              <w:right w:val="single" w:color="000000" w:sz="4" w:space="0"/>
            </w:tcBorders>
            <w:vAlign w:val="center"/>
          </w:tcPr>
          <w:p w14:paraId="03493D1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简化用户建立台账过程，新增器具时,通过拍照片,自动识别铭牌上的器具基本信息。</w:t>
            </w:r>
          </w:p>
        </w:tc>
      </w:tr>
      <w:tr w14:paraId="3E8F947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E69E8A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238</w:t>
            </w:r>
          </w:p>
        </w:tc>
        <w:tc>
          <w:tcPr>
            <w:tcW w:w="1143" w:type="pct"/>
            <w:tcBorders>
              <w:top w:val="nil"/>
              <w:left w:val="nil"/>
              <w:bottom w:val="single" w:color="000000" w:sz="4" w:space="0"/>
              <w:right w:val="single" w:color="000000" w:sz="4" w:space="0"/>
            </w:tcBorders>
            <w:vAlign w:val="center"/>
          </w:tcPr>
          <w:p w14:paraId="52DAE2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3D0C11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质量基础设施一站式管理-计量管理子系统（升级）-计量强检管理与服务（升级）-企业用户移动端升级改造-企业用户移动端-预警提醒信息推送</w:t>
            </w:r>
          </w:p>
        </w:tc>
        <w:tc>
          <w:tcPr>
            <w:tcW w:w="2158" w:type="pct"/>
            <w:tcBorders>
              <w:top w:val="nil"/>
              <w:left w:val="nil"/>
              <w:bottom w:val="single" w:color="000000" w:sz="4" w:space="0"/>
              <w:right w:val="single" w:color="000000" w:sz="4" w:space="0"/>
            </w:tcBorders>
            <w:vAlign w:val="center"/>
          </w:tcPr>
          <w:p w14:paraId="0CBC03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对企业/个人用户器具送检情况进行主动预警提醒信息推送，包括器具临期提醒、超期未检预警、器具编码重复提醒等预警提醒信息。</w:t>
            </w:r>
          </w:p>
        </w:tc>
      </w:tr>
      <w:tr w14:paraId="4D2FF26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F97928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239</w:t>
            </w:r>
          </w:p>
        </w:tc>
        <w:tc>
          <w:tcPr>
            <w:tcW w:w="1143" w:type="pct"/>
            <w:tcBorders>
              <w:top w:val="nil"/>
              <w:left w:val="nil"/>
              <w:bottom w:val="single" w:color="000000" w:sz="4" w:space="0"/>
              <w:right w:val="single" w:color="000000" w:sz="4" w:space="0"/>
            </w:tcBorders>
            <w:vAlign w:val="center"/>
          </w:tcPr>
          <w:p w14:paraId="23AC5D3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B34E0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质量基础设施一站式管理-计量管理子系统（升级）-计量强检管理与服务（升级）-新增三表强制检定“二检合一”功能</w:t>
            </w:r>
          </w:p>
        </w:tc>
        <w:tc>
          <w:tcPr>
            <w:tcW w:w="2158" w:type="pct"/>
            <w:tcBorders>
              <w:top w:val="nil"/>
              <w:left w:val="nil"/>
              <w:bottom w:val="single" w:color="000000" w:sz="4" w:space="0"/>
              <w:right w:val="single" w:color="000000" w:sz="4" w:space="0"/>
            </w:tcBorders>
            <w:vAlign w:val="center"/>
          </w:tcPr>
          <w:p w14:paraId="759F26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新增三表强制检定“二检合一”功能，将三表出厂检定与上海市计量器具强制检定公共服务平台“二检合一”，需要对现有强检业务流程管理进行功能升级改造：</w:t>
            </w:r>
            <w:r>
              <w:rPr>
                <w:rFonts w:hint="eastAsia" w:cs="宋体"/>
                <w:color w:val="auto"/>
                <w:kern w:val="0"/>
                <w:sz w:val="22"/>
                <w:szCs w:val="22"/>
              </w:rPr>
              <w:br w:type="textWrapping"/>
            </w:r>
            <w:r>
              <w:rPr>
                <w:rFonts w:hint="eastAsia" w:cs="宋体"/>
                <w:color w:val="auto"/>
                <w:kern w:val="0"/>
                <w:sz w:val="22"/>
                <w:szCs w:val="22"/>
              </w:rPr>
              <w:t>1、三表企业（机构）上传出厂检定数据；</w:t>
            </w:r>
            <w:r>
              <w:rPr>
                <w:rFonts w:hint="eastAsia" w:cs="宋体"/>
                <w:color w:val="auto"/>
                <w:kern w:val="0"/>
                <w:sz w:val="22"/>
                <w:szCs w:val="22"/>
              </w:rPr>
              <w:br w:type="textWrapping"/>
            </w:r>
            <w:r>
              <w:rPr>
                <w:rFonts w:hint="eastAsia" w:cs="宋体"/>
                <w:color w:val="auto"/>
                <w:kern w:val="0"/>
                <w:sz w:val="22"/>
                <w:szCs w:val="22"/>
              </w:rPr>
              <w:t>2、选择（设置）抽检机构；</w:t>
            </w:r>
            <w:r>
              <w:rPr>
                <w:rFonts w:hint="eastAsia" w:cs="宋体"/>
                <w:color w:val="auto"/>
                <w:kern w:val="0"/>
                <w:sz w:val="22"/>
                <w:szCs w:val="22"/>
              </w:rPr>
              <w:br w:type="textWrapping"/>
            </w:r>
            <w:r>
              <w:rPr>
                <w:rFonts w:hint="eastAsia" w:cs="宋体"/>
                <w:color w:val="auto"/>
                <w:kern w:val="0"/>
                <w:sz w:val="22"/>
                <w:szCs w:val="22"/>
              </w:rPr>
              <w:t>3、检定机构设置抽检合格率；</w:t>
            </w:r>
            <w:r>
              <w:rPr>
                <w:rFonts w:hint="eastAsia" w:cs="宋体"/>
                <w:color w:val="auto"/>
                <w:kern w:val="0"/>
                <w:sz w:val="22"/>
                <w:szCs w:val="22"/>
              </w:rPr>
              <w:br w:type="textWrapping"/>
            </w:r>
            <w:r>
              <w:rPr>
                <w:rFonts w:hint="eastAsia" w:cs="宋体"/>
                <w:color w:val="auto"/>
                <w:kern w:val="0"/>
                <w:sz w:val="22"/>
                <w:szCs w:val="22"/>
              </w:rPr>
              <w:t>4、检定机构查看出厂检定列表；</w:t>
            </w:r>
            <w:r>
              <w:rPr>
                <w:rFonts w:hint="eastAsia" w:cs="宋体"/>
                <w:color w:val="auto"/>
                <w:kern w:val="0"/>
                <w:sz w:val="22"/>
                <w:szCs w:val="22"/>
              </w:rPr>
              <w:br w:type="textWrapping"/>
            </w:r>
            <w:r>
              <w:rPr>
                <w:rFonts w:hint="eastAsia" w:cs="宋体"/>
                <w:color w:val="auto"/>
                <w:kern w:val="0"/>
                <w:sz w:val="22"/>
                <w:szCs w:val="22"/>
              </w:rPr>
              <w:t>5、检定机构抽检器具并生成抽检检定单</w:t>
            </w:r>
            <w:r>
              <w:rPr>
                <w:rFonts w:hint="eastAsia" w:cs="宋体"/>
                <w:color w:val="auto"/>
                <w:kern w:val="0"/>
                <w:sz w:val="22"/>
                <w:szCs w:val="22"/>
              </w:rPr>
              <w:br w:type="textWrapping"/>
            </w:r>
            <w:r>
              <w:rPr>
                <w:rFonts w:hint="eastAsia" w:cs="宋体"/>
                <w:color w:val="auto"/>
                <w:kern w:val="0"/>
                <w:sz w:val="22"/>
                <w:szCs w:val="22"/>
              </w:rPr>
              <w:t>6、机构抽检检定单结果上报</w:t>
            </w:r>
            <w:r>
              <w:rPr>
                <w:rFonts w:hint="eastAsia" w:cs="宋体"/>
                <w:color w:val="auto"/>
                <w:kern w:val="0"/>
                <w:sz w:val="22"/>
                <w:szCs w:val="22"/>
              </w:rPr>
              <w:br w:type="textWrapping"/>
            </w:r>
            <w:r>
              <w:rPr>
                <w:rFonts w:hint="eastAsia" w:cs="宋体"/>
                <w:color w:val="auto"/>
                <w:kern w:val="0"/>
                <w:sz w:val="22"/>
                <w:szCs w:val="22"/>
              </w:rPr>
              <w:t>7、根据检定合格率是否达标确认是否整批数据转为强检检定结果。</w:t>
            </w:r>
          </w:p>
        </w:tc>
      </w:tr>
      <w:tr w14:paraId="63A8F55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C3B4C7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240</w:t>
            </w:r>
          </w:p>
        </w:tc>
        <w:tc>
          <w:tcPr>
            <w:tcW w:w="1143" w:type="pct"/>
            <w:tcBorders>
              <w:top w:val="nil"/>
              <w:left w:val="nil"/>
              <w:bottom w:val="single" w:color="000000" w:sz="4" w:space="0"/>
              <w:right w:val="single" w:color="000000" w:sz="4" w:space="0"/>
            </w:tcBorders>
            <w:vAlign w:val="center"/>
          </w:tcPr>
          <w:p w14:paraId="0F84A2A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AD288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质量基础设施一站式管理-计量管理子系统（升级）-计量强检管理与服务（升级）-监管风险分析功能-短时间内大量超期/临期未检提醒</w:t>
            </w:r>
          </w:p>
        </w:tc>
        <w:tc>
          <w:tcPr>
            <w:tcW w:w="2158" w:type="pct"/>
            <w:tcBorders>
              <w:top w:val="nil"/>
              <w:left w:val="nil"/>
              <w:bottom w:val="single" w:color="000000" w:sz="4" w:space="0"/>
              <w:right w:val="single" w:color="000000" w:sz="4" w:space="0"/>
            </w:tcBorders>
            <w:vAlign w:val="center"/>
          </w:tcPr>
          <w:p w14:paraId="5681F95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便于街道所安排商贸称集中现场检定上门项目,便于机构安排检定计划，依据各机构检定能力设置阈值,定期统计区域内超期/临期数量,当超过阈值,向机构端和监管端用户提供预警。</w:t>
            </w:r>
          </w:p>
        </w:tc>
      </w:tr>
      <w:tr w14:paraId="2884B44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FEFF1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241</w:t>
            </w:r>
          </w:p>
        </w:tc>
        <w:tc>
          <w:tcPr>
            <w:tcW w:w="1143" w:type="pct"/>
            <w:tcBorders>
              <w:top w:val="nil"/>
              <w:left w:val="nil"/>
              <w:bottom w:val="single" w:color="000000" w:sz="4" w:space="0"/>
              <w:right w:val="single" w:color="000000" w:sz="4" w:space="0"/>
            </w:tcBorders>
            <w:vAlign w:val="center"/>
          </w:tcPr>
          <w:p w14:paraId="630A56C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56EAA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质量基础设施一站式管理-计量管理子系统（升级）-计量强检管理与服务（升级）-监管风险分析功能-合格率趋势分析</w:t>
            </w:r>
          </w:p>
        </w:tc>
        <w:tc>
          <w:tcPr>
            <w:tcW w:w="2158" w:type="pct"/>
            <w:tcBorders>
              <w:top w:val="nil"/>
              <w:left w:val="nil"/>
              <w:bottom w:val="single" w:color="000000" w:sz="4" w:space="0"/>
              <w:right w:val="single" w:color="000000" w:sz="4" w:space="0"/>
            </w:tcBorders>
            <w:vAlign w:val="center"/>
          </w:tcPr>
          <w:p w14:paraId="6FB4DC0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为制定重点监管对象、开展专项行动、完善监管计划等提供支撑。定期统计各项目检定不合格率、首检不合格率,当超过阈值,向监管预警</w:t>
            </w:r>
          </w:p>
        </w:tc>
      </w:tr>
      <w:tr w14:paraId="28F3E17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C96463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242</w:t>
            </w:r>
          </w:p>
        </w:tc>
        <w:tc>
          <w:tcPr>
            <w:tcW w:w="1143" w:type="pct"/>
            <w:tcBorders>
              <w:top w:val="nil"/>
              <w:left w:val="nil"/>
              <w:bottom w:val="single" w:color="000000" w:sz="4" w:space="0"/>
              <w:right w:val="single" w:color="000000" w:sz="4" w:space="0"/>
            </w:tcBorders>
            <w:vAlign w:val="center"/>
          </w:tcPr>
          <w:p w14:paraId="4B97F33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E2B13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质量基础设施一站式管理-计量管理子系统（升级）-计量强检管理与服务（升级）-监管风险分析功能-企业分级监管功能升级</w:t>
            </w:r>
          </w:p>
        </w:tc>
        <w:tc>
          <w:tcPr>
            <w:tcW w:w="2158" w:type="pct"/>
            <w:tcBorders>
              <w:top w:val="nil"/>
              <w:left w:val="nil"/>
              <w:bottom w:val="single" w:color="000000" w:sz="4" w:space="0"/>
              <w:right w:val="single" w:color="000000" w:sz="4" w:space="0"/>
            </w:tcBorders>
            <w:vAlign w:val="center"/>
          </w:tcPr>
          <w:p w14:paraId="3B8FB85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将器具多的单位纳入重点单位管理，根据器具数量，实现重点单位打标签，对重点单位进行重点监督。</w:t>
            </w:r>
            <w:r>
              <w:rPr>
                <w:rFonts w:hint="eastAsia" w:cs="宋体"/>
                <w:color w:val="auto"/>
                <w:kern w:val="0"/>
                <w:sz w:val="22"/>
                <w:szCs w:val="22"/>
              </w:rPr>
              <w:br w:type="textWrapping"/>
            </w:r>
            <w:r>
              <w:rPr>
                <w:rFonts w:hint="eastAsia" w:cs="宋体"/>
                <w:color w:val="auto"/>
                <w:kern w:val="0"/>
                <w:sz w:val="22"/>
                <w:szCs w:val="22"/>
              </w:rPr>
              <w:t>定期统计所有企业台账数、送检率、不合格率,当超过阈值,向监管预警。</w:t>
            </w:r>
            <w:r>
              <w:rPr>
                <w:rFonts w:hint="eastAsia" w:cs="宋体"/>
                <w:color w:val="auto"/>
                <w:kern w:val="0"/>
                <w:sz w:val="22"/>
                <w:szCs w:val="22"/>
              </w:rPr>
              <w:br w:type="textWrapping"/>
            </w:r>
            <w:r>
              <w:rPr>
                <w:rFonts w:hint="eastAsia" w:cs="宋体"/>
                <w:color w:val="auto"/>
                <w:kern w:val="0"/>
                <w:sz w:val="22"/>
                <w:szCs w:val="22"/>
              </w:rPr>
              <w:t>对标签为重点单位企业进行单独分析，定期对重点单位台账数、送检率、不合格率,当超过阈值,向监管预警。</w:t>
            </w:r>
          </w:p>
        </w:tc>
      </w:tr>
      <w:tr w14:paraId="17364E2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2AEE8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243</w:t>
            </w:r>
          </w:p>
        </w:tc>
        <w:tc>
          <w:tcPr>
            <w:tcW w:w="1143" w:type="pct"/>
            <w:tcBorders>
              <w:top w:val="nil"/>
              <w:left w:val="nil"/>
              <w:bottom w:val="single" w:color="000000" w:sz="4" w:space="0"/>
              <w:right w:val="single" w:color="000000" w:sz="4" w:space="0"/>
            </w:tcBorders>
            <w:vAlign w:val="center"/>
          </w:tcPr>
          <w:p w14:paraId="338BAB4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7DE85E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质量基础设施一站式管理-计量管理子系统（升级）-计量强检管理与服务（升级）-监管风险分析功能-检定机构承载能力分析</w:t>
            </w:r>
          </w:p>
        </w:tc>
        <w:tc>
          <w:tcPr>
            <w:tcW w:w="2158" w:type="pct"/>
            <w:tcBorders>
              <w:top w:val="nil"/>
              <w:left w:val="nil"/>
              <w:bottom w:val="single" w:color="000000" w:sz="4" w:space="0"/>
              <w:right w:val="single" w:color="000000" w:sz="4" w:space="0"/>
            </w:tcBorders>
            <w:vAlign w:val="center"/>
          </w:tcPr>
          <w:p w14:paraId="0900884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检定机构和器具数据，搭建检定机构承载能力分析模型，对区域检定机构承载能力分析、预警。例如，某区拥有大量电子秤但机构能力建设不够导致送检需多个工作日才能完成检定时，系统能发出预警，促进监管部门、技术机构进一步提升能力建设。</w:t>
            </w:r>
            <w:r>
              <w:rPr>
                <w:rFonts w:hint="eastAsia" w:cs="宋体"/>
                <w:color w:val="auto"/>
                <w:kern w:val="0"/>
                <w:sz w:val="22"/>
                <w:szCs w:val="22"/>
              </w:rPr>
              <w:br w:type="textWrapping"/>
            </w:r>
            <w:r>
              <w:rPr>
                <w:rFonts w:hint="eastAsia" w:cs="宋体"/>
                <w:color w:val="auto"/>
                <w:kern w:val="0"/>
                <w:sz w:val="22"/>
                <w:szCs w:val="22"/>
              </w:rPr>
              <w:t>如某些检定工作大量集中于某个机构，平台可自动分流检定任务。机构录入计量标准器具信息、计量标准可开展的检定项目、授权范围、检定人员信息、检定人员可开展的检定项目(已有);统计人均检定量,标准装置套均检定量;根据报检日期、完成检定日期，计算检定时间，当检定时间超过阈值时，提醒机构和监管人员。</w:t>
            </w:r>
          </w:p>
        </w:tc>
      </w:tr>
      <w:tr w14:paraId="3B70490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E6E6EE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244</w:t>
            </w:r>
          </w:p>
        </w:tc>
        <w:tc>
          <w:tcPr>
            <w:tcW w:w="1143" w:type="pct"/>
            <w:tcBorders>
              <w:top w:val="nil"/>
              <w:left w:val="nil"/>
              <w:bottom w:val="single" w:color="000000" w:sz="4" w:space="0"/>
              <w:right w:val="single" w:color="000000" w:sz="4" w:space="0"/>
            </w:tcBorders>
            <w:vAlign w:val="center"/>
          </w:tcPr>
          <w:p w14:paraId="6589F4B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A32E57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质量基础设施一站式管理-计量管理子系统（升级）-计量强检管理与服务（升级）-监管风险分析功能-重点计量器具关键参数统计分析</w:t>
            </w:r>
          </w:p>
        </w:tc>
        <w:tc>
          <w:tcPr>
            <w:tcW w:w="2158" w:type="pct"/>
            <w:tcBorders>
              <w:top w:val="nil"/>
              <w:left w:val="nil"/>
              <w:bottom w:val="single" w:color="000000" w:sz="4" w:space="0"/>
              <w:right w:val="single" w:color="000000" w:sz="4" w:space="0"/>
            </w:tcBorders>
            <w:vAlign w:val="center"/>
          </w:tcPr>
          <w:p w14:paraId="4E00013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依托于关键计量参数数据库，对器具信息、检定结果信息进行信息抽取和规范化整理，对重点计量器具关键参数进行统计分析。</w:t>
            </w:r>
          </w:p>
        </w:tc>
      </w:tr>
      <w:tr w14:paraId="3BE2DDA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FB01C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245</w:t>
            </w:r>
          </w:p>
        </w:tc>
        <w:tc>
          <w:tcPr>
            <w:tcW w:w="1143" w:type="pct"/>
            <w:tcBorders>
              <w:top w:val="nil"/>
              <w:left w:val="nil"/>
              <w:bottom w:val="single" w:color="000000" w:sz="4" w:space="0"/>
              <w:right w:val="single" w:color="000000" w:sz="4" w:space="0"/>
            </w:tcBorders>
            <w:vAlign w:val="center"/>
          </w:tcPr>
          <w:p w14:paraId="6BA9B4A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022C6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质量基础设施一站式管理-计量管理子系统（升级）-计量强检管理与服务（升级）-监管风险分析功能-重点商圈和特色街区监管数据可视化</w:t>
            </w:r>
          </w:p>
        </w:tc>
        <w:tc>
          <w:tcPr>
            <w:tcW w:w="2158" w:type="pct"/>
            <w:tcBorders>
              <w:top w:val="nil"/>
              <w:left w:val="nil"/>
              <w:bottom w:val="single" w:color="000000" w:sz="4" w:space="0"/>
              <w:right w:val="single" w:color="000000" w:sz="4" w:space="0"/>
            </w:tcBorders>
            <w:vAlign w:val="center"/>
          </w:tcPr>
          <w:p w14:paraId="4F173D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诚信计量示范商圈(街区)创建,依托电子地图,划定重点商圈和特色街区的边界,汇总区域内商铺信息、器具信息和检定情况。</w:t>
            </w:r>
          </w:p>
        </w:tc>
      </w:tr>
      <w:tr w14:paraId="66D19EB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8CED54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246</w:t>
            </w:r>
          </w:p>
        </w:tc>
        <w:tc>
          <w:tcPr>
            <w:tcW w:w="1143" w:type="pct"/>
            <w:tcBorders>
              <w:top w:val="nil"/>
              <w:left w:val="nil"/>
              <w:bottom w:val="single" w:color="000000" w:sz="4" w:space="0"/>
              <w:right w:val="single" w:color="000000" w:sz="4" w:space="0"/>
            </w:tcBorders>
            <w:vAlign w:val="center"/>
          </w:tcPr>
          <w:p w14:paraId="61BFE0E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F46A82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质量基础设施一站式管理-计量管理子系统（升级）-计量强检管理与服务（升级）-强制检定业务数据规整-检测机构电子证书共享接口开发</w:t>
            </w:r>
          </w:p>
        </w:tc>
        <w:tc>
          <w:tcPr>
            <w:tcW w:w="2158" w:type="pct"/>
            <w:tcBorders>
              <w:top w:val="nil"/>
              <w:left w:val="nil"/>
              <w:bottom w:val="single" w:color="000000" w:sz="4" w:space="0"/>
              <w:right w:val="single" w:color="000000" w:sz="4" w:space="0"/>
            </w:tcBorders>
            <w:vAlign w:val="center"/>
          </w:tcPr>
          <w:p w14:paraId="3D1D1F4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检测机构证书采集接口 形成业务闭环，完成检定后,由市计测院、市质检院等机构提供电子证书下载链接,在检定单管理中提供下载证书和批量下载证书。</w:t>
            </w:r>
            <w:r>
              <w:rPr>
                <w:rFonts w:hint="eastAsia" w:cs="宋体"/>
                <w:color w:val="auto"/>
                <w:kern w:val="0"/>
                <w:sz w:val="22"/>
                <w:szCs w:val="22"/>
              </w:rPr>
              <w:br w:type="textWrapping"/>
            </w:r>
            <w:r>
              <w:rPr>
                <w:rFonts w:hint="eastAsia" w:cs="宋体"/>
                <w:color w:val="auto"/>
                <w:kern w:val="0"/>
                <w:sz w:val="22"/>
                <w:szCs w:val="22"/>
              </w:rPr>
              <w:t>证书查询、预览 根据检定单，对采集的pdf证书进行查询和在线预览。</w:t>
            </w:r>
          </w:p>
        </w:tc>
      </w:tr>
      <w:tr w14:paraId="49116EC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7396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247</w:t>
            </w:r>
          </w:p>
        </w:tc>
        <w:tc>
          <w:tcPr>
            <w:tcW w:w="1143" w:type="pct"/>
            <w:tcBorders>
              <w:top w:val="nil"/>
              <w:left w:val="nil"/>
              <w:bottom w:val="single" w:color="000000" w:sz="4" w:space="0"/>
              <w:right w:val="single" w:color="000000" w:sz="4" w:space="0"/>
            </w:tcBorders>
            <w:vAlign w:val="center"/>
          </w:tcPr>
          <w:p w14:paraId="12F229E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FB9EB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质量基础设施一站式管理-计量管理子系统（升级）-计量强检管理与服务（升级）-强制检定业务数据规整-关键计量参数业务库构建</w:t>
            </w:r>
          </w:p>
        </w:tc>
        <w:tc>
          <w:tcPr>
            <w:tcW w:w="2158" w:type="pct"/>
            <w:tcBorders>
              <w:top w:val="nil"/>
              <w:left w:val="nil"/>
              <w:bottom w:val="single" w:color="000000" w:sz="4" w:space="0"/>
              <w:right w:val="single" w:color="000000" w:sz="4" w:space="0"/>
            </w:tcBorders>
            <w:vAlign w:val="center"/>
          </w:tcPr>
          <w:p w14:paraId="70383D9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试点关键计量参数数据库，增设前置机和数据接口,按需同步器具信息、检定结果信息,根据规范格式化信息,进行数据整理，为对重点计量器具关键参数统计分析提供数据基础。</w:t>
            </w:r>
          </w:p>
        </w:tc>
      </w:tr>
      <w:tr w14:paraId="27FC639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9CAAA4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248</w:t>
            </w:r>
          </w:p>
        </w:tc>
        <w:tc>
          <w:tcPr>
            <w:tcW w:w="1143" w:type="pct"/>
            <w:tcBorders>
              <w:top w:val="nil"/>
              <w:left w:val="nil"/>
              <w:bottom w:val="single" w:color="000000" w:sz="4" w:space="0"/>
              <w:right w:val="single" w:color="000000" w:sz="4" w:space="0"/>
            </w:tcBorders>
            <w:vAlign w:val="center"/>
          </w:tcPr>
          <w:p w14:paraId="1D3B282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FB7BFC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质量基础设施一站式管理-计量管理子系统（升级）-计量强检管理与服务（升级）-强制检定业务数据规整-重点民生领域计量器具数据共享接口开发</w:t>
            </w:r>
          </w:p>
        </w:tc>
        <w:tc>
          <w:tcPr>
            <w:tcW w:w="2158" w:type="pct"/>
            <w:tcBorders>
              <w:top w:val="nil"/>
              <w:left w:val="nil"/>
              <w:bottom w:val="single" w:color="000000" w:sz="4" w:space="0"/>
              <w:right w:val="single" w:color="000000" w:sz="4" w:space="0"/>
            </w:tcBorders>
            <w:vAlign w:val="center"/>
          </w:tcPr>
          <w:p w14:paraId="347D195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联联平台数据共享接口开发 上海市计量器具强制检定公共服务系统与联联平台数据共享接口开发，实现用户端计量器具数据同步接口开发。</w:t>
            </w:r>
            <w:r>
              <w:rPr>
                <w:rFonts w:hint="eastAsia" w:cs="宋体"/>
                <w:color w:val="auto"/>
                <w:kern w:val="0"/>
                <w:sz w:val="22"/>
                <w:szCs w:val="22"/>
              </w:rPr>
              <w:br w:type="textWrapping"/>
            </w:r>
            <w:r>
              <w:rPr>
                <w:rFonts w:hint="eastAsia" w:cs="宋体"/>
                <w:color w:val="auto"/>
                <w:kern w:val="0"/>
                <w:sz w:val="22"/>
                <w:szCs w:val="22"/>
              </w:rPr>
              <w:t>国家电网电力侧数据共享接口开发 实现上海市计量器具强制检定公共服务系统与国家电网电力侧数据共享接口开发，实现用户端、机构端计量器具数据同步接口开发。</w:t>
            </w:r>
            <w:r>
              <w:rPr>
                <w:rFonts w:hint="eastAsia" w:cs="宋体"/>
                <w:color w:val="auto"/>
                <w:kern w:val="0"/>
                <w:sz w:val="22"/>
                <w:szCs w:val="22"/>
              </w:rPr>
              <w:br w:type="textWrapping"/>
            </w:r>
            <w:r>
              <w:rPr>
                <w:rFonts w:hint="eastAsia" w:cs="宋体"/>
                <w:color w:val="auto"/>
                <w:kern w:val="0"/>
                <w:sz w:val="22"/>
                <w:szCs w:val="22"/>
              </w:rPr>
              <w:t>诚信计量信息公示平台数据共享接口开发 上海市计量器具强制检定公共服务系统与诚信计量信息公示平台，实现监管端计量器具数据同步接口开发。</w:t>
            </w:r>
            <w:r>
              <w:rPr>
                <w:rFonts w:hint="eastAsia" w:cs="宋体"/>
                <w:color w:val="auto"/>
                <w:kern w:val="0"/>
                <w:sz w:val="22"/>
                <w:szCs w:val="22"/>
              </w:rPr>
              <w:br w:type="textWrapping"/>
            </w:r>
            <w:r>
              <w:rPr>
                <w:rFonts w:hint="eastAsia" w:cs="宋体"/>
                <w:color w:val="auto"/>
                <w:kern w:val="0"/>
                <w:sz w:val="22"/>
                <w:szCs w:val="22"/>
              </w:rPr>
              <w:t>强生出租数据共享接口开发 上海市计量器具强制检定公共服务系统与强生出租企业用户端数据同步，实现强生交通集团数据中台批量自动获取出租车计价器强检结果数据。</w:t>
            </w:r>
            <w:r>
              <w:rPr>
                <w:rFonts w:hint="eastAsia" w:cs="宋体"/>
                <w:color w:val="auto"/>
                <w:kern w:val="0"/>
                <w:sz w:val="22"/>
                <w:szCs w:val="22"/>
              </w:rPr>
              <w:br w:type="textWrapping"/>
            </w:r>
            <w:r>
              <w:rPr>
                <w:rFonts w:hint="eastAsia" w:cs="宋体"/>
                <w:color w:val="auto"/>
                <w:kern w:val="0"/>
                <w:sz w:val="22"/>
                <w:szCs w:val="22"/>
              </w:rPr>
              <w:t>浦东区局、国能中心数据共享接口开发 上海市计量器具强制检定公共服务系统与浦东区局、国能中心通过前置机实现数据同步。</w:t>
            </w:r>
          </w:p>
        </w:tc>
      </w:tr>
      <w:tr w14:paraId="0FE5A26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AB0957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249</w:t>
            </w:r>
          </w:p>
        </w:tc>
        <w:tc>
          <w:tcPr>
            <w:tcW w:w="1143" w:type="pct"/>
            <w:tcBorders>
              <w:top w:val="nil"/>
              <w:left w:val="nil"/>
              <w:bottom w:val="single" w:color="000000" w:sz="4" w:space="0"/>
              <w:right w:val="single" w:color="000000" w:sz="4" w:space="0"/>
            </w:tcBorders>
            <w:vAlign w:val="center"/>
          </w:tcPr>
          <w:p w14:paraId="72ACCBA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4822F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质量基础设施一站式管理-计量管理子系统（升级）-计量强检管理与服务（升级）-强制检定业务数据规整-检定结果数据接口(升级)</w:t>
            </w:r>
          </w:p>
        </w:tc>
        <w:tc>
          <w:tcPr>
            <w:tcW w:w="2158" w:type="pct"/>
            <w:tcBorders>
              <w:top w:val="nil"/>
              <w:left w:val="nil"/>
              <w:bottom w:val="single" w:color="000000" w:sz="4" w:space="0"/>
              <w:right w:val="single" w:color="000000" w:sz="4" w:space="0"/>
            </w:tcBorders>
            <w:vAlign w:val="center"/>
          </w:tcPr>
          <w:p w14:paraId="0B076F5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检定结果数据接口(升级),增加信息反馈。</w:t>
            </w:r>
          </w:p>
        </w:tc>
      </w:tr>
      <w:tr w14:paraId="19768C4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36ED5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250</w:t>
            </w:r>
          </w:p>
        </w:tc>
        <w:tc>
          <w:tcPr>
            <w:tcW w:w="1143" w:type="pct"/>
            <w:tcBorders>
              <w:top w:val="nil"/>
              <w:left w:val="nil"/>
              <w:bottom w:val="single" w:color="000000" w:sz="4" w:space="0"/>
              <w:right w:val="single" w:color="000000" w:sz="4" w:space="0"/>
            </w:tcBorders>
            <w:vAlign w:val="center"/>
          </w:tcPr>
          <w:p w14:paraId="631A2D4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71745A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质量基础设施一站式管理-计量管理子系统（升级）-计量强检管理与服务（升级）-强制检定业务数据规整-强制检定业务数据统计分析功能升级</w:t>
            </w:r>
          </w:p>
        </w:tc>
        <w:tc>
          <w:tcPr>
            <w:tcW w:w="2158" w:type="pct"/>
            <w:tcBorders>
              <w:top w:val="nil"/>
              <w:left w:val="nil"/>
              <w:bottom w:val="single" w:color="000000" w:sz="4" w:space="0"/>
              <w:right w:val="single" w:color="000000" w:sz="4" w:space="0"/>
            </w:tcBorders>
            <w:vAlign w:val="center"/>
          </w:tcPr>
          <w:p w14:paraId="0001121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统计分析模块(升级),提升查询和导出数量上限,提供完整的器具详情、检定结果详情的导出。</w:t>
            </w:r>
          </w:p>
        </w:tc>
      </w:tr>
      <w:tr w14:paraId="3E72120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E5D30A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251</w:t>
            </w:r>
          </w:p>
        </w:tc>
        <w:tc>
          <w:tcPr>
            <w:tcW w:w="1143" w:type="pct"/>
            <w:tcBorders>
              <w:top w:val="nil"/>
              <w:left w:val="nil"/>
              <w:bottom w:val="single" w:color="000000" w:sz="4" w:space="0"/>
              <w:right w:val="single" w:color="000000" w:sz="4" w:space="0"/>
            </w:tcBorders>
            <w:vAlign w:val="center"/>
          </w:tcPr>
          <w:p w14:paraId="0129461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BBD03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质量基础设施一站式管理-计量管理子系统（升级）-包装有度/商品包装初判程序（新建）-框架搭建</w:t>
            </w:r>
          </w:p>
        </w:tc>
        <w:tc>
          <w:tcPr>
            <w:tcW w:w="2158" w:type="pct"/>
            <w:tcBorders>
              <w:top w:val="nil"/>
              <w:left w:val="nil"/>
              <w:bottom w:val="single" w:color="000000" w:sz="4" w:space="0"/>
              <w:right w:val="single" w:color="000000" w:sz="4" w:space="0"/>
            </w:tcBorders>
            <w:vAlign w:val="center"/>
          </w:tcPr>
          <w:p w14:paraId="61A8BAE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包装有度系统（商品包装初判系统）依据强制性国家标准，对于31类食品、16类化妆品和5类食用农产品的包装空隙率、包装层数、包装成本的限量要求可给出初步判定，为消费者、监管单位、生产企业判断商品包装是否适度提供参考。</w:t>
            </w:r>
            <w:r>
              <w:rPr>
                <w:rFonts w:hint="eastAsia" w:cs="宋体"/>
                <w:color w:val="auto"/>
                <w:kern w:val="0"/>
                <w:sz w:val="22"/>
                <w:szCs w:val="22"/>
              </w:rPr>
              <w:br w:type="textWrapping"/>
            </w:r>
            <w:r>
              <w:rPr>
                <w:rFonts w:hint="eastAsia" w:cs="宋体"/>
                <w:color w:val="auto"/>
                <w:kern w:val="0"/>
                <w:sz w:val="22"/>
                <w:szCs w:val="22"/>
              </w:rPr>
              <w:t>构建包装有度相关移动端、PC端、小程序框架体系。</w:t>
            </w:r>
            <w:r>
              <w:rPr>
                <w:rFonts w:hint="eastAsia" w:cs="宋体"/>
                <w:color w:val="auto"/>
                <w:kern w:val="0"/>
                <w:sz w:val="22"/>
                <w:szCs w:val="22"/>
              </w:rPr>
              <w:br w:type="textWrapping"/>
            </w:r>
            <w:r>
              <w:rPr>
                <w:rFonts w:hint="eastAsia" w:cs="宋体"/>
                <w:color w:val="auto"/>
                <w:kern w:val="0"/>
                <w:sz w:val="22"/>
                <w:szCs w:val="22"/>
              </w:rPr>
              <w:t>移动端框架：移动端采用H5（HTML5）服务框架，H5服务框架是一种用于构建基于Web技术的移动应用程序的工具和平台。</w:t>
            </w:r>
            <w:r>
              <w:rPr>
                <w:rFonts w:hint="eastAsia" w:cs="宋体"/>
                <w:color w:val="auto"/>
                <w:kern w:val="0"/>
                <w:sz w:val="22"/>
                <w:szCs w:val="22"/>
              </w:rPr>
              <w:br w:type="textWrapping"/>
            </w:r>
            <w:r>
              <w:rPr>
                <w:rFonts w:hint="eastAsia" w:cs="宋体"/>
                <w:color w:val="auto"/>
                <w:kern w:val="0"/>
                <w:sz w:val="22"/>
                <w:szCs w:val="22"/>
              </w:rPr>
              <w:t>PC端框架：PC端管理采用Spring Cloud框架。Spring Cloud 是一个用于构建分布式系统和微服务架构的开源框架，它是 Spring 生态系统的一部分。</w:t>
            </w:r>
            <w:r>
              <w:rPr>
                <w:rFonts w:hint="eastAsia" w:cs="宋体"/>
                <w:color w:val="auto"/>
                <w:kern w:val="0"/>
                <w:sz w:val="22"/>
                <w:szCs w:val="22"/>
              </w:rPr>
              <w:br w:type="textWrapping"/>
            </w:r>
            <w:r>
              <w:rPr>
                <w:rFonts w:hint="eastAsia" w:cs="宋体"/>
                <w:color w:val="auto"/>
                <w:kern w:val="0"/>
                <w:sz w:val="22"/>
                <w:szCs w:val="22"/>
              </w:rPr>
              <w:t>小程序框架：构建包装有度小程序框架。</w:t>
            </w:r>
          </w:p>
        </w:tc>
      </w:tr>
      <w:tr w14:paraId="7E51115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4B161B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252</w:t>
            </w:r>
          </w:p>
        </w:tc>
        <w:tc>
          <w:tcPr>
            <w:tcW w:w="1143" w:type="pct"/>
            <w:tcBorders>
              <w:top w:val="nil"/>
              <w:left w:val="nil"/>
              <w:bottom w:val="single" w:color="000000" w:sz="4" w:space="0"/>
              <w:right w:val="single" w:color="000000" w:sz="4" w:space="0"/>
            </w:tcBorders>
            <w:vAlign w:val="center"/>
          </w:tcPr>
          <w:p w14:paraId="38A143E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557C6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质量基础设施一站式管理-计量管理子系统（升级）-包装有度/商品包装初判程序（新建）-标准管理</w:t>
            </w:r>
          </w:p>
        </w:tc>
        <w:tc>
          <w:tcPr>
            <w:tcW w:w="2158" w:type="pct"/>
            <w:tcBorders>
              <w:top w:val="nil"/>
              <w:left w:val="nil"/>
              <w:bottom w:val="single" w:color="000000" w:sz="4" w:space="0"/>
              <w:right w:val="single" w:color="000000" w:sz="4" w:space="0"/>
            </w:tcBorders>
            <w:vAlign w:val="center"/>
          </w:tcPr>
          <w:p w14:paraId="053055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提供标准、商品类别、包装层数、包装成本维护等标准字典的新建、编辑、作废、删除维护功能。</w:t>
            </w:r>
          </w:p>
        </w:tc>
      </w:tr>
      <w:tr w14:paraId="6326A48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510D0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253</w:t>
            </w:r>
          </w:p>
        </w:tc>
        <w:tc>
          <w:tcPr>
            <w:tcW w:w="1143" w:type="pct"/>
            <w:tcBorders>
              <w:top w:val="nil"/>
              <w:left w:val="nil"/>
              <w:bottom w:val="single" w:color="000000" w:sz="4" w:space="0"/>
              <w:right w:val="single" w:color="000000" w:sz="4" w:space="0"/>
            </w:tcBorders>
            <w:vAlign w:val="center"/>
          </w:tcPr>
          <w:p w14:paraId="4F3FF95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091A0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质量基础设施一站式管理-计量管理子系统（升级）-包装有度/商品包装初判程序（新建）-初判服务-选择商品</w:t>
            </w:r>
          </w:p>
        </w:tc>
        <w:tc>
          <w:tcPr>
            <w:tcW w:w="2158" w:type="pct"/>
            <w:tcBorders>
              <w:top w:val="nil"/>
              <w:left w:val="nil"/>
              <w:bottom w:val="single" w:color="000000" w:sz="4" w:space="0"/>
              <w:right w:val="single" w:color="000000" w:sz="4" w:space="0"/>
            </w:tcBorders>
            <w:vAlign w:val="center"/>
          </w:tcPr>
          <w:p w14:paraId="3C0ADB7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用户先选择商品分类，包括食品、化妆品或食用农产品。系统将根据用户选择的商品分类展示商品类别。商品分类和商品类别将根据标准管理的数据实现同步更新。商品选择可以滑动寻找，也可以直接搜索，系统会进行智能搜索实现后台匹配库。商品分类和商品类别根据类别序号升序展示</w:t>
            </w:r>
          </w:p>
        </w:tc>
      </w:tr>
      <w:tr w14:paraId="3A8696F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C98CCB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254</w:t>
            </w:r>
          </w:p>
        </w:tc>
        <w:tc>
          <w:tcPr>
            <w:tcW w:w="1143" w:type="pct"/>
            <w:tcBorders>
              <w:top w:val="nil"/>
              <w:left w:val="nil"/>
              <w:bottom w:val="single" w:color="000000" w:sz="4" w:space="0"/>
              <w:right w:val="single" w:color="000000" w:sz="4" w:space="0"/>
            </w:tcBorders>
            <w:vAlign w:val="center"/>
          </w:tcPr>
          <w:p w14:paraId="1383EF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2268DD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质量基础设施一站式管理-计量管理子系统（升级）-包装有度/商品包装初判程序（新建）-初判服务-选择初判类型</w:t>
            </w:r>
          </w:p>
        </w:tc>
        <w:tc>
          <w:tcPr>
            <w:tcW w:w="2158" w:type="pct"/>
            <w:tcBorders>
              <w:top w:val="nil"/>
              <w:left w:val="nil"/>
              <w:bottom w:val="single" w:color="000000" w:sz="4" w:space="0"/>
              <w:right w:val="single" w:color="000000" w:sz="4" w:space="0"/>
            </w:tcBorders>
            <w:vAlign w:val="center"/>
          </w:tcPr>
          <w:p w14:paraId="60963AA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初判类型分为包装空隙率、包装层数、包装成本，不同的商品类别商品将根据国家标准分别进行展示。</w:t>
            </w:r>
          </w:p>
        </w:tc>
      </w:tr>
      <w:tr w14:paraId="6B91EAD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41C7DF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255</w:t>
            </w:r>
          </w:p>
        </w:tc>
        <w:tc>
          <w:tcPr>
            <w:tcW w:w="1143" w:type="pct"/>
            <w:tcBorders>
              <w:top w:val="nil"/>
              <w:left w:val="nil"/>
              <w:bottom w:val="single" w:color="000000" w:sz="4" w:space="0"/>
              <w:right w:val="single" w:color="000000" w:sz="4" w:space="0"/>
            </w:tcBorders>
            <w:vAlign w:val="center"/>
          </w:tcPr>
          <w:p w14:paraId="515505A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888A24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质量基础设施一站式管理-计量管理子系统（升级）-包装有度/商品包装初判程序（新建）-初判服务-包装参数手动维护</w:t>
            </w:r>
          </w:p>
        </w:tc>
        <w:tc>
          <w:tcPr>
            <w:tcW w:w="2158" w:type="pct"/>
            <w:tcBorders>
              <w:top w:val="nil"/>
              <w:left w:val="nil"/>
              <w:bottom w:val="single" w:color="000000" w:sz="4" w:space="0"/>
              <w:right w:val="single" w:color="000000" w:sz="4" w:space="0"/>
            </w:tcBorders>
            <w:vAlign w:val="center"/>
          </w:tcPr>
          <w:p w14:paraId="2898C2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包装参数维护分为自动识别参数和手动维护参数两种方式。手动维护参数是用户输入文字或输入语音后由系统转换为文字。包装参数包括了净含量、包装体积、包装层数、销售价格。</w:t>
            </w:r>
          </w:p>
        </w:tc>
      </w:tr>
      <w:tr w14:paraId="1E94F5E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9390A8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256</w:t>
            </w:r>
          </w:p>
        </w:tc>
        <w:tc>
          <w:tcPr>
            <w:tcW w:w="1143" w:type="pct"/>
            <w:tcBorders>
              <w:top w:val="nil"/>
              <w:left w:val="nil"/>
              <w:bottom w:val="single" w:color="000000" w:sz="4" w:space="0"/>
              <w:right w:val="single" w:color="000000" w:sz="4" w:space="0"/>
            </w:tcBorders>
            <w:vAlign w:val="center"/>
          </w:tcPr>
          <w:p w14:paraId="23488A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9FF2A4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质量基础设施一站式管理-计量管理子系统（升级）-包装有度/商品包装初判程序（新建）-初判服务-包装参数自动识别</w:t>
            </w:r>
          </w:p>
        </w:tc>
        <w:tc>
          <w:tcPr>
            <w:tcW w:w="2158" w:type="pct"/>
            <w:tcBorders>
              <w:top w:val="nil"/>
              <w:left w:val="nil"/>
              <w:bottom w:val="single" w:color="000000" w:sz="4" w:space="0"/>
              <w:right w:val="single" w:color="000000" w:sz="4" w:space="0"/>
            </w:tcBorders>
            <w:vAlign w:val="center"/>
          </w:tcPr>
          <w:p w14:paraId="686E8E9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获取摄像头数据 "自动识别参数是通过手机摄像头拍摄的图片或视频进行参数识别。</w:t>
            </w:r>
            <w:r>
              <w:rPr>
                <w:rFonts w:hint="eastAsia" w:cs="宋体"/>
                <w:color w:val="auto"/>
                <w:kern w:val="0"/>
                <w:sz w:val="22"/>
                <w:szCs w:val="22"/>
              </w:rPr>
              <w:br w:type="textWrapping"/>
            </w:r>
            <w:r>
              <w:rPr>
                <w:rFonts w:hint="eastAsia" w:cs="宋体"/>
                <w:color w:val="auto"/>
                <w:kern w:val="0"/>
                <w:sz w:val="22"/>
                <w:szCs w:val="22"/>
              </w:rPr>
              <w:t>使用AR开发平台，获取来自手机摄像头的实时图像数据。</w:t>
            </w:r>
            <w:r>
              <w:rPr>
                <w:rFonts w:hint="eastAsia" w:cs="宋体"/>
                <w:color w:val="auto"/>
                <w:kern w:val="0"/>
                <w:sz w:val="22"/>
                <w:szCs w:val="22"/>
              </w:rPr>
              <w:br w:type="textWrapping"/>
            </w:r>
            <w:r>
              <w:rPr>
                <w:rFonts w:hint="eastAsia" w:cs="宋体"/>
                <w:color w:val="auto"/>
                <w:kern w:val="0"/>
                <w:sz w:val="22"/>
                <w:szCs w:val="22"/>
              </w:rPr>
              <w:t>特征检测和跟踪 使用特征点检测、SLAM（同时定位与地图构建），在图像上执行特征检测和跟踪，确定物体的位置和方向。</w:t>
            </w:r>
            <w:r>
              <w:rPr>
                <w:rFonts w:hint="eastAsia" w:cs="宋体"/>
                <w:color w:val="auto"/>
                <w:kern w:val="0"/>
                <w:sz w:val="22"/>
                <w:szCs w:val="22"/>
              </w:rPr>
              <w:br w:type="textWrapping"/>
            </w:r>
            <w:r>
              <w:rPr>
                <w:rFonts w:hint="eastAsia" w:cs="宋体"/>
                <w:color w:val="auto"/>
                <w:kern w:val="0"/>
                <w:sz w:val="22"/>
                <w:szCs w:val="22"/>
              </w:rPr>
              <w:t>标定 标定相机以确定相机的内部参数和外部参数，提高测量的准确性。</w:t>
            </w:r>
            <w:r>
              <w:rPr>
                <w:rFonts w:hint="eastAsia" w:cs="宋体"/>
                <w:color w:val="auto"/>
                <w:kern w:val="0"/>
                <w:sz w:val="22"/>
                <w:szCs w:val="22"/>
              </w:rPr>
              <w:br w:type="textWrapping"/>
            </w:r>
            <w:r>
              <w:rPr>
                <w:rFonts w:hint="eastAsia" w:cs="宋体"/>
                <w:color w:val="auto"/>
                <w:kern w:val="0"/>
                <w:sz w:val="22"/>
                <w:szCs w:val="22"/>
              </w:rPr>
              <w:t>物体识别 使用图像分析和计算机视觉算法，根据检测到的特征，识别物体或物体的边界。</w:t>
            </w:r>
            <w:r>
              <w:rPr>
                <w:rFonts w:hint="eastAsia" w:cs="宋体"/>
                <w:color w:val="auto"/>
                <w:kern w:val="0"/>
                <w:sz w:val="22"/>
                <w:szCs w:val="22"/>
              </w:rPr>
              <w:br w:type="textWrapping"/>
            </w:r>
            <w:r>
              <w:rPr>
                <w:rFonts w:hint="eastAsia" w:cs="宋体"/>
                <w:color w:val="auto"/>
                <w:kern w:val="0"/>
                <w:sz w:val="22"/>
                <w:szCs w:val="22"/>
              </w:rPr>
              <w:t>测量 物体被识别后，通过物体的位置和相机参数测量尺寸。</w:t>
            </w:r>
            <w:r>
              <w:rPr>
                <w:rFonts w:hint="eastAsia" w:cs="宋体"/>
                <w:color w:val="auto"/>
                <w:kern w:val="0"/>
                <w:sz w:val="22"/>
                <w:szCs w:val="22"/>
              </w:rPr>
              <w:br w:type="textWrapping"/>
            </w:r>
            <w:r>
              <w:rPr>
                <w:rFonts w:hint="eastAsia" w:cs="宋体"/>
                <w:color w:val="auto"/>
                <w:kern w:val="0"/>
                <w:sz w:val="22"/>
                <w:szCs w:val="22"/>
              </w:rPr>
              <w:t>渲染 在AR应用程序中渲染测量的结果，通过将测量的线、点或虚拟对象叠加到摄像头的图像上。</w:t>
            </w:r>
            <w:r>
              <w:rPr>
                <w:rFonts w:hint="eastAsia" w:cs="宋体"/>
                <w:color w:val="auto"/>
                <w:kern w:val="0"/>
                <w:sz w:val="22"/>
                <w:szCs w:val="22"/>
              </w:rPr>
              <w:br w:type="textWrapping"/>
            </w:r>
            <w:r>
              <w:rPr>
                <w:rFonts w:hint="eastAsia" w:cs="宋体"/>
                <w:color w:val="auto"/>
                <w:kern w:val="0"/>
                <w:sz w:val="22"/>
                <w:szCs w:val="22"/>
              </w:rPr>
              <w:t>精确度和校准 确保测量准确性和稳定性，需要对工具进行校准。</w:t>
            </w:r>
          </w:p>
        </w:tc>
      </w:tr>
      <w:tr w14:paraId="70CABE8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33812C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257</w:t>
            </w:r>
          </w:p>
        </w:tc>
        <w:tc>
          <w:tcPr>
            <w:tcW w:w="1143" w:type="pct"/>
            <w:tcBorders>
              <w:top w:val="nil"/>
              <w:left w:val="nil"/>
              <w:bottom w:val="single" w:color="000000" w:sz="4" w:space="0"/>
              <w:right w:val="single" w:color="000000" w:sz="4" w:space="0"/>
            </w:tcBorders>
            <w:vAlign w:val="center"/>
          </w:tcPr>
          <w:p w14:paraId="1646384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C7327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质量基础设施一站式管理-计量管理子系统（升级）-包装有度/商品包装初判程序（新建）-初判服务-初判计算和结果展示</w:t>
            </w:r>
          </w:p>
        </w:tc>
        <w:tc>
          <w:tcPr>
            <w:tcW w:w="2158" w:type="pct"/>
            <w:tcBorders>
              <w:top w:val="nil"/>
              <w:left w:val="nil"/>
              <w:bottom w:val="single" w:color="000000" w:sz="4" w:space="0"/>
              <w:right w:val="single" w:color="000000" w:sz="4" w:space="0"/>
            </w:tcBorders>
            <w:vAlign w:val="center"/>
          </w:tcPr>
          <w:p w14:paraId="047808E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所有必填信息都输入完成后，系统会自动计算测量结果。内容包含商品的实际体积、最大允许体积、实际包装层数及最大包装层数，商品的包装空隙率、包装层数均符合要求时，会提示正常包装，商品包装有一项不符合国家标准规定的要求,则初判该商品的包装为过度包装。</w:t>
            </w:r>
          </w:p>
        </w:tc>
      </w:tr>
      <w:tr w14:paraId="47051E3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E61C9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258</w:t>
            </w:r>
          </w:p>
        </w:tc>
        <w:tc>
          <w:tcPr>
            <w:tcW w:w="1143" w:type="pct"/>
            <w:tcBorders>
              <w:top w:val="nil"/>
              <w:left w:val="nil"/>
              <w:bottom w:val="single" w:color="000000" w:sz="4" w:space="0"/>
              <w:right w:val="single" w:color="000000" w:sz="4" w:space="0"/>
            </w:tcBorders>
            <w:vAlign w:val="center"/>
          </w:tcPr>
          <w:p w14:paraId="61A652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2B9201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质量基础设施一站式管理-计量管理子系统（升级）-包装有度/商品包装初判程序（新建）-初判资料管理</w:t>
            </w:r>
          </w:p>
        </w:tc>
        <w:tc>
          <w:tcPr>
            <w:tcW w:w="2158" w:type="pct"/>
            <w:tcBorders>
              <w:top w:val="nil"/>
              <w:left w:val="nil"/>
              <w:bottom w:val="single" w:color="000000" w:sz="4" w:space="0"/>
              <w:right w:val="single" w:color="000000" w:sz="4" w:space="0"/>
            </w:tcBorders>
            <w:vAlign w:val="center"/>
          </w:tcPr>
          <w:p w14:paraId="30CB697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初判基础资料、初判辅助信息的新建和查看两种操作方式。</w:t>
            </w:r>
            <w:r>
              <w:rPr>
                <w:rFonts w:hint="eastAsia" w:cs="宋体"/>
                <w:color w:val="auto"/>
                <w:kern w:val="0"/>
                <w:sz w:val="22"/>
                <w:szCs w:val="22"/>
              </w:rPr>
              <w:br w:type="textWrapping"/>
            </w:r>
            <w:r>
              <w:rPr>
                <w:rFonts w:hint="eastAsia" w:cs="宋体"/>
                <w:color w:val="auto"/>
                <w:kern w:val="0"/>
                <w:sz w:val="22"/>
                <w:szCs w:val="22"/>
              </w:rPr>
              <w:t>初判基础资料的内容包括初判时产生的图片资料，商品的分类、类别信息，商品信息、商品包装参数信息，商品初判对应的国家标准，商品初判结果信息等。初判辅助信息的内容包括初判的时间、地点，商品生产企业和销售企业信息。</w:t>
            </w:r>
          </w:p>
        </w:tc>
      </w:tr>
      <w:tr w14:paraId="4E7B6FF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8C3E07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259</w:t>
            </w:r>
          </w:p>
        </w:tc>
        <w:tc>
          <w:tcPr>
            <w:tcW w:w="1143" w:type="pct"/>
            <w:tcBorders>
              <w:top w:val="nil"/>
              <w:left w:val="nil"/>
              <w:bottom w:val="single" w:color="000000" w:sz="4" w:space="0"/>
              <w:right w:val="single" w:color="000000" w:sz="4" w:space="0"/>
            </w:tcBorders>
            <w:vAlign w:val="center"/>
          </w:tcPr>
          <w:p w14:paraId="47B2A50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6C80DE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质量基础设施一站式管理-计量管理子系统（升级）-包装有度/商品包装初判程序（新建）-线索库管理</w:t>
            </w:r>
          </w:p>
        </w:tc>
        <w:tc>
          <w:tcPr>
            <w:tcW w:w="2158" w:type="pct"/>
            <w:tcBorders>
              <w:top w:val="nil"/>
              <w:left w:val="nil"/>
              <w:bottom w:val="single" w:color="000000" w:sz="4" w:space="0"/>
              <w:right w:val="single" w:color="000000" w:sz="4" w:space="0"/>
            </w:tcBorders>
            <w:vAlign w:val="center"/>
          </w:tcPr>
          <w:p w14:paraId="550ABCE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线索登记 商品初判不合格的资料由系统自动登记，纳入商品不合格包装线索库。线索包括了初判服务产生的基础资料和辅助信息，线索状态。线索库的线索记录不允许删除，对于无效的线索，可以标记为作废状态。</w:t>
            </w:r>
            <w:r>
              <w:rPr>
                <w:rFonts w:hint="eastAsia" w:cs="宋体"/>
                <w:color w:val="auto"/>
                <w:kern w:val="0"/>
                <w:sz w:val="22"/>
                <w:szCs w:val="22"/>
              </w:rPr>
              <w:br w:type="textWrapping"/>
            </w:r>
            <w:r>
              <w:rPr>
                <w:rFonts w:hint="eastAsia" w:cs="宋体"/>
                <w:color w:val="auto"/>
                <w:kern w:val="0"/>
                <w:sz w:val="22"/>
                <w:szCs w:val="22"/>
              </w:rPr>
              <w:t>线索查询 线索查询的条件包括时间区间、行政区域、商品分类、商品类别、检测类型进行查询，查询结果以列表显示。查询结果列表默认排序为初判时间降序，用户可以选择列表的行查看线索的详细信息。</w:t>
            </w:r>
            <w:r>
              <w:rPr>
                <w:rFonts w:hint="eastAsia" w:cs="宋体"/>
                <w:color w:val="auto"/>
                <w:kern w:val="0"/>
                <w:sz w:val="22"/>
                <w:szCs w:val="22"/>
              </w:rPr>
              <w:br w:type="textWrapping"/>
            </w:r>
            <w:r>
              <w:rPr>
                <w:rFonts w:hint="eastAsia" w:cs="宋体"/>
                <w:color w:val="auto"/>
                <w:kern w:val="0"/>
                <w:sz w:val="22"/>
                <w:szCs w:val="22"/>
              </w:rPr>
              <w:t>线索处理 线索入库后，可以记录线索的处理状态，处理状态分为未处理、处理中，检测合格、检测不合格、作废五种。线索登记入库后，默认状态为未处理。用户可以选择线索进行处理状态的更新，检测合格和检测不合格两种状态更新时，记录检测时间和检测机构信息。作废状态更新时，记录作废时间和操作人信息。</w:t>
            </w:r>
          </w:p>
        </w:tc>
      </w:tr>
      <w:tr w14:paraId="4BD5F4D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65E8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260</w:t>
            </w:r>
          </w:p>
        </w:tc>
        <w:tc>
          <w:tcPr>
            <w:tcW w:w="1143" w:type="pct"/>
            <w:tcBorders>
              <w:top w:val="nil"/>
              <w:left w:val="nil"/>
              <w:bottom w:val="single" w:color="000000" w:sz="4" w:space="0"/>
              <w:right w:val="single" w:color="000000" w:sz="4" w:space="0"/>
            </w:tcBorders>
            <w:vAlign w:val="center"/>
          </w:tcPr>
          <w:p w14:paraId="5F0407A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A9F3F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质量基础设施一站式管理-计量管理子系统（升级）-包装有度/商品包装初判程序（新建）-资讯管理</w:t>
            </w:r>
          </w:p>
        </w:tc>
        <w:tc>
          <w:tcPr>
            <w:tcW w:w="2158" w:type="pct"/>
            <w:tcBorders>
              <w:top w:val="nil"/>
              <w:left w:val="nil"/>
              <w:bottom w:val="single" w:color="000000" w:sz="4" w:space="0"/>
              <w:right w:val="single" w:color="000000" w:sz="4" w:space="0"/>
            </w:tcBorders>
            <w:vAlign w:val="center"/>
          </w:tcPr>
          <w:p w14:paraId="32F429C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后台管理用户可以添加增加资讯，资讯内容包括资讯类别、资讯标题、资讯正文、发布时间、发布人。资讯正文中可以编辑文字和图片。只有发布后的资讯才转入前端展示。资讯可以随时修改、删除资讯，删除的资讯不再展示。前端展示列表按照发布时间降序排列。</w:t>
            </w:r>
            <w:r>
              <w:rPr>
                <w:rFonts w:hint="eastAsia" w:cs="宋体"/>
                <w:color w:val="auto"/>
                <w:kern w:val="0"/>
                <w:sz w:val="22"/>
                <w:szCs w:val="22"/>
              </w:rPr>
              <w:br w:type="textWrapping"/>
            </w:r>
            <w:r>
              <w:rPr>
                <w:rFonts w:hint="eastAsia" w:cs="宋体"/>
                <w:color w:val="auto"/>
                <w:kern w:val="0"/>
                <w:sz w:val="22"/>
                <w:szCs w:val="22"/>
              </w:rPr>
              <w:t>所有用户均可以浏览资讯，也可以根据资讯类别、关键词搜索资讯，用户浏览资讯后系统自动记录浏览数。</w:t>
            </w:r>
          </w:p>
        </w:tc>
      </w:tr>
      <w:tr w14:paraId="515B064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07389F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261</w:t>
            </w:r>
          </w:p>
        </w:tc>
        <w:tc>
          <w:tcPr>
            <w:tcW w:w="1143" w:type="pct"/>
            <w:tcBorders>
              <w:top w:val="nil"/>
              <w:left w:val="nil"/>
              <w:bottom w:val="single" w:color="000000" w:sz="4" w:space="0"/>
              <w:right w:val="single" w:color="000000" w:sz="4" w:space="0"/>
            </w:tcBorders>
            <w:vAlign w:val="center"/>
          </w:tcPr>
          <w:p w14:paraId="7B5118C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98663D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质量基础设施一站式管理-计量管理子系统（升级）-包装有度/商品包装初判程序（新建）-统计分析-业务数据分析</w:t>
            </w:r>
          </w:p>
        </w:tc>
        <w:tc>
          <w:tcPr>
            <w:tcW w:w="2158" w:type="pct"/>
            <w:tcBorders>
              <w:top w:val="nil"/>
              <w:left w:val="nil"/>
              <w:bottom w:val="single" w:color="000000" w:sz="4" w:space="0"/>
              <w:right w:val="single" w:color="000000" w:sz="4" w:space="0"/>
            </w:tcBorders>
            <w:vAlign w:val="center"/>
          </w:tcPr>
          <w:p w14:paraId="09ECE11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业务数据分析包括商品初判次数、商品初判合格数、商品初判不合格数、商品初判不合格比例、线索库处理情况的统计和分析。支持用户按时间区间、商品类别、区域、检测类型、线索处理情况等条件分别进行统计。</w:t>
            </w:r>
          </w:p>
        </w:tc>
      </w:tr>
      <w:tr w14:paraId="1F11737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41BDFD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262</w:t>
            </w:r>
          </w:p>
        </w:tc>
        <w:tc>
          <w:tcPr>
            <w:tcW w:w="1143" w:type="pct"/>
            <w:tcBorders>
              <w:top w:val="nil"/>
              <w:left w:val="nil"/>
              <w:bottom w:val="single" w:color="000000" w:sz="4" w:space="0"/>
              <w:right w:val="single" w:color="000000" w:sz="4" w:space="0"/>
            </w:tcBorders>
            <w:vAlign w:val="center"/>
          </w:tcPr>
          <w:p w14:paraId="5F6A4D2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4A4C5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质量基础设施一站式管理-计量管理子系统（升级）-包装有度/商品包装初判程序（新建）-统计分析-运营数据分析</w:t>
            </w:r>
          </w:p>
        </w:tc>
        <w:tc>
          <w:tcPr>
            <w:tcW w:w="2158" w:type="pct"/>
            <w:tcBorders>
              <w:top w:val="nil"/>
              <w:left w:val="nil"/>
              <w:bottom w:val="single" w:color="000000" w:sz="4" w:space="0"/>
              <w:right w:val="single" w:color="000000" w:sz="4" w:space="0"/>
            </w:tcBorders>
            <w:vAlign w:val="center"/>
          </w:tcPr>
          <w:p w14:paraId="0012925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运营数据分析包括用户数、用户访问量、主要功能使用次数的统计与分析。支持用户按时间区间、用户类型、用户所在区域分别进行统计。</w:t>
            </w:r>
          </w:p>
        </w:tc>
      </w:tr>
      <w:tr w14:paraId="7B6A2B8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DDF6D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263</w:t>
            </w:r>
          </w:p>
        </w:tc>
        <w:tc>
          <w:tcPr>
            <w:tcW w:w="1143" w:type="pct"/>
            <w:tcBorders>
              <w:top w:val="nil"/>
              <w:left w:val="nil"/>
              <w:bottom w:val="single" w:color="000000" w:sz="4" w:space="0"/>
              <w:right w:val="single" w:color="000000" w:sz="4" w:space="0"/>
            </w:tcBorders>
            <w:vAlign w:val="center"/>
          </w:tcPr>
          <w:p w14:paraId="28EB87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70F9F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质量基础设施一站式管理-计量管理子系统（升级）-包装有度/商品包装初判程序（新建）-用户接入</w:t>
            </w:r>
          </w:p>
        </w:tc>
        <w:tc>
          <w:tcPr>
            <w:tcW w:w="2158" w:type="pct"/>
            <w:tcBorders>
              <w:top w:val="nil"/>
              <w:left w:val="nil"/>
              <w:bottom w:val="single" w:color="000000" w:sz="4" w:space="0"/>
              <w:right w:val="single" w:color="000000" w:sz="4" w:space="0"/>
            </w:tcBorders>
            <w:vAlign w:val="center"/>
          </w:tcPr>
          <w:p w14:paraId="3557E03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支持从随申办进入系统的用户接入，记录用户从随申办进入系统时的基础信息，包括用户名称、联系方式、用户所在机构、认证方式、用户状态等信息。根据随申办传递的用户信息，将用户分为自然人、企业用户和政府工作人员三种类型，并自动按类型分配权限。用户行为记录，包括用户操作时间、操作内容等，以上行为由系统功能模块自动收集，用于今后的用户行为分析。</w:t>
            </w:r>
          </w:p>
        </w:tc>
      </w:tr>
      <w:tr w14:paraId="2A840E4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277FBA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264</w:t>
            </w:r>
          </w:p>
        </w:tc>
        <w:tc>
          <w:tcPr>
            <w:tcW w:w="1143" w:type="pct"/>
            <w:tcBorders>
              <w:top w:val="nil"/>
              <w:left w:val="nil"/>
              <w:bottom w:val="single" w:color="000000" w:sz="4" w:space="0"/>
              <w:right w:val="single" w:color="000000" w:sz="4" w:space="0"/>
            </w:tcBorders>
            <w:vAlign w:val="center"/>
          </w:tcPr>
          <w:p w14:paraId="011C3F6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5E565EF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质量基础设施一站式管理-计量管理子系统（升级）-包装有度/商品包装初判程序（新建）-小程序限制商品包装初判服务</w:t>
            </w:r>
          </w:p>
        </w:tc>
        <w:tc>
          <w:tcPr>
            <w:tcW w:w="2158" w:type="pct"/>
            <w:tcBorders>
              <w:top w:val="nil"/>
              <w:left w:val="nil"/>
              <w:bottom w:val="single" w:color="000000" w:sz="4" w:space="0"/>
              <w:right w:val="single" w:color="000000" w:sz="4" w:space="0"/>
            </w:tcBorders>
            <w:vAlign w:val="center"/>
          </w:tcPr>
          <w:p w14:paraId="7653096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提供小程序限制商品包装初判服务，包括参数手动维护、参数自动识别、初判自动计算、资讯服务等。</w:t>
            </w:r>
          </w:p>
        </w:tc>
      </w:tr>
      <w:tr w14:paraId="6A98FFE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321540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265</w:t>
            </w:r>
          </w:p>
        </w:tc>
        <w:tc>
          <w:tcPr>
            <w:tcW w:w="1143" w:type="pct"/>
            <w:tcBorders>
              <w:top w:val="nil"/>
              <w:left w:val="nil"/>
              <w:bottom w:val="single" w:color="000000" w:sz="4" w:space="0"/>
              <w:right w:val="single" w:color="000000" w:sz="4" w:space="0"/>
            </w:tcBorders>
            <w:vAlign w:val="center"/>
          </w:tcPr>
          <w:p w14:paraId="2E670C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AE8D2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质量基础设施一站式管理-检验检测与认证认可子系统（升级）-上海品牌培育与服务（新建）-培育申请</w:t>
            </w:r>
          </w:p>
        </w:tc>
        <w:tc>
          <w:tcPr>
            <w:tcW w:w="2158" w:type="pct"/>
            <w:tcBorders>
              <w:top w:val="nil"/>
              <w:left w:val="nil"/>
              <w:bottom w:val="single" w:color="000000" w:sz="4" w:space="0"/>
              <w:right w:val="single" w:color="000000" w:sz="4" w:space="0"/>
            </w:tcBorders>
            <w:vAlign w:val="center"/>
          </w:tcPr>
          <w:p w14:paraId="0755E7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培育申请 为上海品牌培育的申请者，包括本市企业、本市事业单位以及个体工商户提供上海品牌培育的申请功能。促进“上海品牌”培育过程规范化，向有意愿申请“上海品牌”培育组织开放，由其填报并上传培育所需信息等，按表填报资料，支持上传附件材料。</w:t>
            </w:r>
            <w:r>
              <w:rPr>
                <w:rFonts w:hint="eastAsia" w:cs="宋体"/>
                <w:color w:val="auto"/>
                <w:kern w:val="0"/>
                <w:sz w:val="22"/>
                <w:szCs w:val="22"/>
              </w:rPr>
              <w:br w:type="textWrapping"/>
            </w:r>
            <w:r>
              <w:rPr>
                <w:rFonts w:hint="eastAsia" w:cs="宋体"/>
                <w:color w:val="auto"/>
                <w:kern w:val="0"/>
                <w:sz w:val="22"/>
                <w:szCs w:val="22"/>
              </w:rPr>
              <w:t xml:space="preserve"> 智能预填 能结合申请用户的单位信息，预填申请单位基本信息、政府质量奖等获奖信息。</w:t>
            </w:r>
          </w:p>
        </w:tc>
      </w:tr>
      <w:tr w14:paraId="108E929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5E1A83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266</w:t>
            </w:r>
          </w:p>
        </w:tc>
        <w:tc>
          <w:tcPr>
            <w:tcW w:w="1143" w:type="pct"/>
            <w:tcBorders>
              <w:top w:val="nil"/>
              <w:left w:val="nil"/>
              <w:bottom w:val="single" w:color="000000" w:sz="4" w:space="0"/>
              <w:right w:val="single" w:color="000000" w:sz="4" w:space="0"/>
            </w:tcBorders>
            <w:vAlign w:val="center"/>
          </w:tcPr>
          <w:p w14:paraId="7FDBCB6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9DF725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质量基础设施一站式管理-检验检测与认证认可子系统（升级）-上海品牌培育与服务（新建）-培育预筛</w:t>
            </w:r>
          </w:p>
        </w:tc>
        <w:tc>
          <w:tcPr>
            <w:tcW w:w="2158" w:type="pct"/>
            <w:tcBorders>
              <w:top w:val="nil"/>
              <w:left w:val="nil"/>
              <w:bottom w:val="single" w:color="000000" w:sz="4" w:space="0"/>
              <w:right w:val="single" w:color="000000" w:sz="4" w:space="0"/>
            </w:tcBorders>
            <w:vAlign w:val="center"/>
          </w:tcPr>
          <w:p w14:paraId="70308B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培育预筛 培育预筛包括：（1）区局预筛；（2）行业协会预筛：目前特指质量协会。</w:t>
            </w:r>
            <w:r>
              <w:rPr>
                <w:rFonts w:hint="eastAsia" w:cs="宋体"/>
                <w:color w:val="auto"/>
                <w:kern w:val="0"/>
                <w:sz w:val="22"/>
                <w:szCs w:val="22"/>
              </w:rPr>
              <w:br w:type="textWrapping"/>
            </w:r>
            <w:r>
              <w:rPr>
                <w:rFonts w:hint="eastAsia" w:cs="宋体"/>
                <w:color w:val="auto"/>
                <w:kern w:val="0"/>
                <w:sz w:val="22"/>
                <w:szCs w:val="22"/>
              </w:rPr>
              <w:t>智能辅助 为审查人员，主动关联申请者的历史行政处罚记录、失信记录、异常状态等，对申请者是否通过初筛提供智能辅助。</w:t>
            </w:r>
            <w:r>
              <w:rPr>
                <w:rFonts w:hint="eastAsia" w:cs="宋体"/>
                <w:color w:val="auto"/>
                <w:kern w:val="0"/>
                <w:sz w:val="22"/>
                <w:szCs w:val="22"/>
              </w:rPr>
              <w:br w:type="textWrapping"/>
            </w:r>
            <w:r>
              <w:rPr>
                <w:rFonts w:hint="eastAsia" w:cs="宋体"/>
                <w:color w:val="auto"/>
                <w:kern w:val="0"/>
                <w:sz w:val="22"/>
                <w:szCs w:val="22"/>
              </w:rPr>
              <w:t>退回补正 区局预筛、行业协会预筛过程中，会有需要申请企业补充材料的需求。</w:t>
            </w:r>
          </w:p>
        </w:tc>
      </w:tr>
      <w:tr w14:paraId="0D95F63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B8917E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267</w:t>
            </w:r>
          </w:p>
        </w:tc>
        <w:tc>
          <w:tcPr>
            <w:tcW w:w="1143" w:type="pct"/>
            <w:tcBorders>
              <w:top w:val="nil"/>
              <w:left w:val="nil"/>
              <w:bottom w:val="single" w:color="000000" w:sz="4" w:space="0"/>
              <w:right w:val="single" w:color="000000" w:sz="4" w:space="0"/>
            </w:tcBorders>
            <w:vAlign w:val="center"/>
          </w:tcPr>
          <w:p w14:paraId="7D4DA9F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13C660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质量基础设施一站式管理-检验检测与认证认可子系统（升级）-上海品牌培育与服务（新建）-培育打分</w:t>
            </w:r>
          </w:p>
        </w:tc>
        <w:tc>
          <w:tcPr>
            <w:tcW w:w="2158" w:type="pct"/>
            <w:tcBorders>
              <w:top w:val="nil"/>
              <w:left w:val="nil"/>
              <w:bottom w:val="single" w:color="000000" w:sz="4" w:space="0"/>
              <w:right w:val="single" w:color="000000" w:sz="4" w:space="0"/>
            </w:tcBorders>
            <w:vAlign w:val="center"/>
          </w:tcPr>
          <w:p w14:paraId="2A008D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书面评审打分 "书面评审包括两个环节，包括：</w:t>
            </w:r>
            <w:r>
              <w:rPr>
                <w:rFonts w:hint="eastAsia" w:cs="宋体"/>
                <w:color w:val="auto"/>
                <w:kern w:val="0"/>
                <w:sz w:val="22"/>
                <w:szCs w:val="22"/>
              </w:rPr>
              <w:br w:type="textWrapping"/>
            </w:r>
            <w:r>
              <w:rPr>
                <w:rFonts w:hint="eastAsia" w:cs="宋体"/>
                <w:color w:val="auto"/>
                <w:kern w:val="0"/>
                <w:sz w:val="22"/>
                <w:szCs w:val="22"/>
              </w:rPr>
              <w:t>（1）选派专家：行业协会选择专家（2-5个）；</w:t>
            </w:r>
            <w:r>
              <w:rPr>
                <w:rFonts w:hint="eastAsia" w:cs="宋体"/>
                <w:color w:val="auto"/>
                <w:kern w:val="0"/>
                <w:sz w:val="22"/>
                <w:szCs w:val="22"/>
              </w:rPr>
              <w:br w:type="textWrapping"/>
            </w:r>
            <w:r>
              <w:rPr>
                <w:rFonts w:hint="eastAsia" w:cs="宋体"/>
                <w:color w:val="auto"/>
                <w:kern w:val="0"/>
                <w:sz w:val="22"/>
                <w:szCs w:val="22"/>
              </w:rPr>
              <w:t>（2）专家评审：专家打分评审。</w:t>
            </w:r>
            <w:r>
              <w:rPr>
                <w:rFonts w:hint="eastAsia" w:cs="宋体"/>
                <w:color w:val="auto"/>
                <w:kern w:val="0"/>
                <w:sz w:val="22"/>
                <w:szCs w:val="22"/>
              </w:rPr>
              <w:br w:type="textWrapping"/>
            </w:r>
            <w:r>
              <w:rPr>
                <w:rFonts w:hint="eastAsia" w:cs="宋体"/>
                <w:color w:val="auto"/>
                <w:kern w:val="0"/>
                <w:sz w:val="22"/>
                <w:szCs w:val="22"/>
              </w:rPr>
              <w:t>系统记录专家打分结果。</w:t>
            </w:r>
            <w:r>
              <w:rPr>
                <w:rFonts w:hint="eastAsia" w:cs="宋体"/>
                <w:color w:val="auto"/>
                <w:kern w:val="0"/>
                <w:sz w:val="22"/>
                <w:szCs w:val="22"/>
              </w:rPr>
              <w:br w:type="textWrapping"/>
            </w:r>
            <w:r>
              <w:rPr>
                <w:rFonts w:hint="eastAsia" w:cs="宋体"/>
                <w:color w:val="auto"/>
                <w:kern w:val="0"/>
                <w:sz w:val="22"/>
                <w:szCs w:val="22"/>
              </w:rPr>
              <w:t>现场答辩打分 现场答辩由协会组织专家与企业，进行现场答辩，专家现场打分。系统记录现场打分结果。</w:t>
            </w:r>
            <w:r>
              <w:rPr>
                <w:rFonts w:hint="eastAsia" w:cs="宋体"/>
                <w:color w:val="auto"/>
                <w:kern w:val="0"/>
                <w:sz w:val="22"/>
                <w:szCs w:val="22"/>
              </w:rPr>
              <w:br w:type="textWrapping"/>
            </w:r>
            <w:r>
              <w:rPr>
                <w:rFonts w:hint="eastAsia" w:cs="宋体"/>
                <w:color w:val="auto"/>
                <w:kern w:val="0"/>
                <w:sz w:val="22"/>
                <w:szCs w:val="22"/>
              </w:rPr>
              <w:t>综合打分 "（1）书面评审分30% + 现场答辩分70%；</w:t>
            </w:r>
            <w:r>
              <w:rPr>
                <w:rFonts w:hint="eastAsia" w:cs="宋体"/>
                <w:color w:val="auto"/>
                <w:kern w:val="0"/>
                <w:sz w:val="22"/>
                <w:szCs w:val="22"/>
              </w:rPr>
              <w:br w:type="textWrapping"/>
            </w:r>
            <w:r>
              <w:rPr>
                <w:rFonts w:hint="eastAsia" w:cs="宋体"/>
                <w:color w:val="auto"/>
                <w:kern w:val="0"/>
                <w:sz w:val="22"/>
                <w:szCs w:val="22"/>
              </w:rPr>
              <w:t>（2）总分达到75%以上的，培育申请通过，加入“上海认证培育库”。</w:t>
            </w:r>
          </w:p>
        </w:tc>
      </w:tr>
      <w:tr w14:paraId="1A63257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83DEEC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268</w:t>
            </w:r>
          </w:p>
        </w:tc>
        <w:tc>
          <w:tcPr>
            <w:tcW w:w="1143" w:type="pct"/>
            <w:tcBorders>
              <w:top w:val="nil"/>
              <w:left w:val="nil"/>
              <w:bottom w:val="single" w:color="000000" w:sz="4" w:space="0"/>
              <w:right w:val="single" w:color="000000" w:sz="4" w:space="0"/>
            </w:tcBorders>
            <w:vAlign w:val="center"/>
          </w:tcPr>
          <w:p w14:paraId="02DA3E3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DB23A2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质量基础设施一站式管理-检验检测与认证认可子系统（升级）-上海品牌培育与服务（新建）-对接”上海品牌“认证</w:t>
            </w:r>
          </w:p>
        </w:tc>
        <w:tc>
          <w:tcPr>
            <w:tcW w:w="2158" w:type="pct"/>
            <w:tcBorders>
              <w:top w:val="nil"/>
              <w:left w:val="nil"/>
              <w:bottom w:val="single" w:color="000000" w:sz="4" w:space="0"/>
              <w:right w:val="single" w:color="000000" w:sz="4" w:space="0"/>
            </w:tcBorders>
            <w:vAlign w:val="center"/>
          </w:tcPr>
          <w:p w14:paraId="3CEB97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提供培育企业批量导出功能，能对接“上海品牌”认证；并预留对接服务接口。</w:t>
            </w:r>
          </w:p>
        </w:tc>
      </w:tr>
      <w:tr w14:paraId="294A282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F49F49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269</w:t>
            </w:r>
          </w:p>
        </w:tc>
        <w:tc>
          <w:tcPr>
            <w:tcW w:w="1143" w:type="pct"/>
            <w:tcBorders>
              <w:top w:val="nil"/>
              <w:left w:val="nil"/>
              <w:bottom w:val="single" w:color="000000" w:sz="4" w:space="0"/>
              <w:right w:val="single" w:color="000000" w:sz="4" w:space="0"/>
            </w:tcBorders>
            <w:vAlign w:val="center"/>
          </w:tcPr>
          <w:p w14:paraId="1449602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318FD6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质量基础设施一站式管理-检验检测与认证认可子系统（升级）-上海品牌培育与服务（新建）-培育公示管理</w:t>
            </w:r>
          </w:p>
        </w:tc>
        <w:tc>
          <w:tcPr>
            <w:tcW w:w="2158" w:type="pct"/>
            <w:tcBorders>
              <w:top w:val="nil"/>
              <w:left w:val="nil"/>
              <w:bottom w:val="single" w:color="000000" w:sz="4" w:space="0"/>
              <w:right w:val="single" w:color="000000" w:sz="4" w:space="0"/>
            </w:tcBorders>
            <w:vAlign w:val="center"/>
          </w:tcPr>
          <w:p w14:paraId="7178F90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（1）D类培育对象：申请参与品牌培育的企业；</w:t>
            </w:r>
            <w:r>
              <w:rPr>
                <w:rFonts w:hint="eastAsia" w:cs="宋体"/>
                <w:color w:val="auto"/>
                <w:kern w:val="0"/>
                <w:sz w:val="22"/>
                <w:szCs w:val="22"/>
              </w:rPr>
              <w:br w:type="textWrapping"/>
            </w:r>
            <w:r>
              <w:rPr>
                <w:rFonts w:hint="eastAsia" w:cs="宋体"/>
                <w:color w:val="auto"/>
                <w:kern w:val="0"/>
                <w:sz w:val="22"/>
                <w:szCs w:val="22"/>
              </w:rPr>
              <w:t>（2）C类培育对象：通过区局、协会初筛的企业；</w:t>
            </w:r>
            <w:r>
              <w:rPr>
                <w:rFonts w:hint="eastAsia" w:cs="宋体"/>
                <w:color w:val="auto"/>
                <w:kern w:val="0"/>
                <w:sz w:val="22"/>
                <w:szCs w:val="22"/>
              </w:rPr>
              <w:br w:type="textWrapping"/>
            </w:r>
            <w:r>
              <w:rPr>
                <w:rFonts w:hint="eastAsia" w:cs="宋体"/>
                <w:color w:val="auto"/>
                <w:kern w:val="0"/>
                <w:sz w:val="22"/>
                <w:szCs w:val="22"/>
              </w:rPr>
              <w:t>（3）B类培育对象：通过书面评审，但现场答辩未通过的企业；</w:t>
            </w:r>
            <w:r>
              <w:rPr>
                <w:rFonts w:hint="eastAsia" w:cs="宋体"/>
                <w:color w:val="auto"/>
                <w:kern w:val="0"/>
                <w:sz w:val="22"/>
                <w:szCs w:val="22"/>
              </w:rPr>
              <w:br w:type="textWrapping"/>
            </w:r>
            <w:r>
              <w:rPr>
                <w:rFonts w:hint="eastAsia" w:cs="宋体"/>
                <w:color w:val="auto"/>
                <w:kern w:val="0"/>
                <w:sz w:val="22"/>
                <w:szCs w:val="22"/>
              </w:rPr>
              <w:t>（4）A类对象：拟授予“上海品牌”认证的培育企业，其中市局再选出“市局关注”的培育对象；</w:t>
            </w:r>
            <w:r>
              <w:rPr>
                <w:rFonts w:hint="eastAsia" w:cs="宋体"/>
                <w:color w:val="auto"/>
                <w:kern w:val="0"/>
                <w:sz w:val="22"/>
                <w:szCs w:val="22"/>
              </w:rPr>
              <w:br w:type="textWrapping"/>
            </w:r>
            <w:r>
              <w:rPr>
                <w:rFonts w:hint="eastAsia" w:cs="宋体"/>
                <w:color w:val="auto"/>
                <w:kern w:val="0"/>
                <w:sz w:val="22"/>
                <w:szCs w:val="22"/>
              </w:rPr>
              <w:t>（5）培育对象公示，对拟授予“上海品牌”认证的培育企业进行公示。</w:t>
            </w:r>
          </w:p>
        </w:tc>
      </w:tr>
      <w:tr w14:paraId="68D188A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01BB09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270</w:t>
            </w:r>
          </w:p>
        </w:tc>
        <w:tc>
          <w:tcPr>
            <w:tcW w:w="1143" w:type="pct"/>
            <w:tcBorders>
              <w:top w:val="nil"/>
              <w:left w:val="nil"/>
              <w:bottom w:val="single" w:color="000000" w:sz="4" w:space="0"/>
              <w:right w:val="single" w:color="000000" w:sz="4" w:space="0"/>
            </w:tcBorders>
            <w:vAlign w:val="center"/>
          </w:tcPr>
          <w:p w14:paraId="79BE1F0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4EFE8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质量基础设施一站式管理-检验检测与认证认可子系统（升级）-上海品牌培育与服务（新建）-培育查询</w:t>
            </w:r>
          </w:p>
        </w:tc>
        <w:tc>
          <w:tcPr>
            <w:tcW w:w="2158" w:type="pct"/>
            <w:tcBorders>
              <w:top w:val="nil"/>
              <w:left w:val="nil"/>
              <w:bottom w:val="single" w:color="000000" w:sz="4" w:space="0"/>
              <w:right w:val="single" w:color="000000" w:sz="4" w:space="0"/>
            </w:tcBorders>
            <w:vAlign w:val="center"/>
          </w:tcPr>
          <w:p w14:paraId="2094A5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提供上海品牌培育查询统计功能。市局不直接参与培育申请评审过程，但可以全程查看与统计。</w:t>
            </w:r>
          </w:p>
        </w:tc>
      </w:tr>
      <w:tr w14:paraId="42CB741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4E859E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271</w:t>
            </w:r>
          </w:p>
        </w:tc>
        <w:tc>
          <w:tcPr>
            <w:tcW w:w="1143" w:type="pct"/>
            <w:tcBorders>
              <w:top w:val="nil"/>
              <w:left w:val="nil"/>
              <w:bottom w:val="single" w:color="000000" w:sz="4" w:space="0"/>
              <w:right w:val="single" w:color="000000" w:sz="4" w:space="0"/>
            </w:tcBorders>
            <w:vAlign w:val="center"/>
          </w:tcPr>
          <w:p w14:paraId="6354186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AC9F2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质量基础设施一站式管理-检验检测与认证认可子系统（升级）-上海品牌培育与服务（新建）-上海品牌认证清单管理</w:t>
            </w:r>
          </w:p>
        </w:tc>
        <w:tc>
          <w:tcPr>
            <w:tcW w:w="2158" w:type="pct"/>
            <w:tcBorders>
              <w:top w:val="nil"/>
              <w:left w:val="nil"/>
              <w:bottom w:val="single" w:color="000000" w:sz="4" w:space="0"/>
              <w:right w:val="single" w:color="000000" w:sz="4" w:space="0"/>
            </w:tcBorders>
            <w:vAlign w:val="center"/>
          </w:tcPr>
          <w:p w14:paraId="0B2D1D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联盟数据报送 "市场监管部门不直接参与“上海品牌”认证过程，但需要能及时获知“上海品牌”认证的结果及进展。</w:t>
            </w:r>
            <w:r>
              <w:rPr>
                <w:rFonts w:hint="eastAsia" w:cs="宋体"/>
                <w:color w:val="auto"/>
                <w:kern w:val="0"/>
                <w:sz w:val="22"/>
                <w:szCs w:val="22"/>
              </w:rPr>
              <w:br w:type="textWrapping"/>
            </w:r>
            <w:r>
              <w:rPr>
                <w:rFonts w:hint="eastAsia" w:cs="宋体"/>
                <w:color w:val="auto"/>
                <w:kern w:val="0"/>
                <w:sz w:val="22"/>
                <w:szCs w:val="22"/>
              </w:rPr>
              <w:t>“上海品牌”认证联盟在接收”上海品牌“认证信息后，联盟实时通过市场监管局系统录入办理过程和结果。</w:t>
            </w:r>
            <w:r>
              <w:rPr>
                <w:rFonts w:hint="eastAsia" w:cs="宋体"/>
                <w:color w:val="auto"/>
                <w:kern w:val="0"/>
                <w:sz w:val="22"/>
                <w:szCs w:val="22"/>
              </w:rPr>
              <w:br w:type="textWrapping"/>
            </w:r>
            <w:r>
              <w:rPr>
                <w:rFonts w:hint="eastAsia" w:cs="宋体"/>
                <w:color w:val="auto"/>
                <w:kern w:val="0"/>
                <w:sz w:val="22"/>
                <w:szCs w:val="22"/>
              </w:rPr>
              <w:t>监管清单查询 市场监管部门查询和统计”上海品牌“认证情况，并可以关联查询被认证企业的详细信息。</w:t>
            </w:r>
            <w:r>
              <w:rPr>
                <w:rFonts w:hint="eastAsia" w:cs="宋体"/>
                <w:color w:val="auto"/>
                <w:kern w:val="0"/>
                <w:sz w:val="22"/>
                <w:szCs w:val="22"/>
              </w:rPr>
              <w:br w:type="textWrapping"/>
            </w:r>
            <w:r>
              <w:rPr>
                <w:rFonts w:hint="eastAsia" w:cs="宋体"/>
                <w:color w:val="auto"/>
                <w:kern w:val="0"/>
                <w:sz w:val="22"/>
                <w:szCs w:val="22"/>
              </w:rPr>
              <w:t>认证技术文件管理 建立认证技术文件管理机制。统一入库标准字段，形成规范化的数据储存模式，提供认证技术文件数据分类、数据查询的功能。</w:t>
            </w:r>
            <w:r>
              <w:rPr>
                <w:rFonts w:hint="eastAsia" w:cs="宋体"/>
                <w:color w:val="auto"/>
                <w:kern w:val="0"/>
                <w:sz w:val="22"/>
                <w:szCs w:val="22"/>
              </w:rPr>
              <w:br w:type="textWrapping"/>
            </w:r>
            <w:r>
              <w:rPr>
                <w:rFonts w:hint="eastAsia" w:cs="宋体"/>
                <w:color w:val="auto"/>
                <w:kern w:val="0"/>
                <w:sz w:val="22"/>
                <w:szCs w:val="22"/>
              </w:rPr>
              <w:t>优质品牌企业管理 建立优质品牌企业数据管理机制。统一入库标准字段，形成规范化的数据储存模式，提供优质品牌企业数据分类、数据查询的功能。</w:t>
            </w:r>
            <w:r>
              <w:rPr>
                <w:rFonts w:hint="eastAsia" w:cs="宋体"/>
                <w:color w:val="auto"/>
                <w:kern w:val="0"/>
                <w:sz w:val="22"/>
                <w:szCs w:val="22"/>
              </w:rPr>
              <w:br w:type="textWrapping"/>
            </w:r>
            <w:r>
              <w:rPr>
                <w:rFonts w:hint="eastAsia" w:cs="宋体"/>
                <w:color w:val="auto"/>
                <w:kern w:val="0"/>
                <w:sz w:val="22"/>
                <w:szCs w:val="22"/>
              </w:rPr>
              <w:t>品牌认证专家管理 建立行业专家数据管理机制。统一入库标准字段，形成规范化的数据储存模式，提供品牌认证专家数据分类、数据查询的功能。</w:t>
            </w:r>
            <w:r>
              <w:rPr>
                <w:rFonts w:hint="eastAsia" w:cs="宋体"/>
                <w:color w:val="auto"/>
                <w:kern w:val="0"/>
                <w:sz w:val="22"/>
                <w:szCs w:val="22"/>
              </w:rPr>
              <w:br w:type="textWrapping"/>
            </w:r>
            <w:r>
              <w:rPr>
                <w:rFonts w:hint="eastAsia" w:cs="宋体"/>
                <w:color w:val="auto"/>
                <w:kern w:val="0"/>
                <w:sz w:val="22"/>
                <w:szCs w:val="22"/>
              </w:rPr>
              <w:t>品牌认证统计服务 提供系统相关数据指标生成和统计生成服务</w:t>
            </w:r>
          </w:p>
        </w:tc>
      </w:tr>
      <w:tr w14:paraId="502005F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BA1588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272</w:t>
            </w:r>
          </w:p>
        </w:tc>
        <w:tc>
          <w:tcPr>
            <w:tcW w:w="1143" w:type="pct"/>
            <w:tcBorders>
              <w:top w:val="nil"/>
              <w:left w:val="nil"/>
              <w:bottom w:val="single" w:color="000000" w:sz="4" w:space="0"/>
              <w:right w:val="single" w:color="000000" w:sz="4" w:space="0"/>
            </w:tcBorders>
            <w:vAlign w:val="center"/>
          </w:tcPr>
          <w:p w14:paraId="7AB22FF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3AFB7D8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质量基础设施一站式管理-检验检测与认证认可子系统（升级）-检验检测监管系统（升级）-国家质检中心信息管理（新建）</w:t>
            </w:r>
          </w:p>
        </w:tc>
        <w:tc>
          <w:tcPr>
            <w:tcW w:w="2158" w:type="pct"/>
            <w:tcBorders>
              <w:top w:val="nil"/>
              <w:left w:val="nil"/>
              <w:bottom w:val="single" w:color="000000" w:sz="4" w:space="0"/>
              <w:right w:val="single" w:color="000000" w:sz="4" w:space="0"/>
            </w:tcBorders>
            <w:vAlign w:val="center"/>
          </w:tcPr>
          <w:p w14:paraId="003D700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维护国家质检中心信息，构建国家质检中心信息查询服务能力。</w:t>
            </w:r>
          </w:p>
        </w:tc>
      </w:tr>
      <w:tr w14:paraId="41D1DCD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E1479B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273</w:t>
            </w:r>
          </w:p>
        </w:tc>
        <w:tc>
          <w:tcPr>
            <w:tcW w:w="1143" w:type="pct"/>
            <w:tcBorders>
              <w:top w:val="nil"/>
              <w:left w:val="nil"/>
              <w:bottom w:val="single" w:color="000000" w:sz="4" w:space="0"/>
              <w:right w:val="single" w:color="000000" w:sz="4" w:space="0"/>
            </w:tcBorders>
            <w:vAlign w:val="center"/>
          </w:tcPr>
          <w:p w14:paraId="0C29F46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EFCC51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质量基础设施一站式管理-检验检测与认证认可子系统（升级）-检验检测监管系统（升级）-上海市质检中心信息管理（新建）</w:t>
            </w:r>
          </w:p>
        </w:tc>
        <w:tc>
          <w:tcPr>
            <w:tcW w:w="2158" w:type="pct"/>
            <w:tcBorders>
              <w:top w:val="nil"/>
              <w:left w:val="nil"/>
              <w:bottom w:val="single" w:color="000000" w:sz="4" w:space="0"/>
              <w:right w:val="single" w:color="000000" w:sz="4" w:space="0"/>
            </w:tcBorders>
            <w:vAlign w:val="center"/>
          </w:tcPr>
          <w:p w14:paraId="73D78AC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上海市质检中心通过创建申报审批流程，经过申报、初审、复审、评审考核、结果判断及公示形成申报闭环，帮助检验检测机构引导检验检测机构加强实验室管理信息化数字化建设，助力检验检测机构服务能级提升。</w:t>
            </w:r>
          </w:p>
        </w:tc>
      </w:tr>
      <w:tr w14:paraId="64CAECC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86E8AC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274</w:t>
            </w:r>
          </w:p>
        </w:tc>
        <w:tc>
          <w:tcPr>
            <w:tcW w:w="1143" w:type="pct"/>
            <w:tcBorders>
              <w:top w:val="nil"/>
              <w:left w:val="nil"/>
              <w:bottom w:val="single" w:color="000000" w:sz="4" w:space="0"/>
              <w:right w:val="single" w:color="000000" w:sz="4" w:space="0"/>
            </w:tcBorders>
            <w:vAlign w:val="center"/>
          </w:tcPr>
          <w:p w14:paraId="55EA1DD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920F67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质量基础设施一站式管理-检验检测与认证认可子系统（升级）-检验检测监管系统（升级）-授权签字人考核管理（新建）</w:t>
            </w:r>
          </w:p>
        </w:tc>
        <w:tc>
          <w:tcPr>
            <w:tcW w:w="2158" w:type="pct"/>
            <w:tcBorders>
              <w:top w:val="nil"/>
              <w:left w:val="nil"/>
              <w:bottom w:val="single" w:color="000000" w:sz="4" w:space="0"/>
              <w:right w:val="single" w:color="000000" w:sz="4" w:space="0"/>
            </w:tcBorders>
            <w:vAlign w:val="center"/>
          </w:tcPr>
          <w:p w14:paraId="33DC00C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新建授权签字人考核管理功能，包括授权签字人考核计划发布、授权签字人报名管理、授权签字人考核结果录入和发布以及授权签字人历史信息汇总查询。</w:t>
            </w:r>
          </w:p>
        </w:tc>
      </w:tr>
      <w:tr w14:paraId="42F31DD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CCDFC5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275</w:t>
            </w:r>
          </w:p>
        </w:tc>
        <w:tc>
          <w:tcPr>
            <w:tcW w:w="1143" w:type="pct"/>
            <w:tcBorders>
              <w:top w:val="nil"/>
              <w:left w:val="nil"/>
              <w:bottom w:val="single" w:color="000000" w:sz="4" w:space="0"/>
              <w:right w:val="single" w:color="000000" w:sz="4" w:space="0"/>
            </w:tcBorders>
            <w:vAlign w:val="center"/>
          </w:tcPr>
          <w:p w14:paraId="696EFC7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D6A2B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质量基础设施一站式管理-检验检测与认证认可子系统（升级）-检验检测监管系统（升级）-检验检测机构能力验证功能（升级）-能力验证项目库的动态管理和在线查询</w:t>
            </w:r>
          </w:p>
        </w:tc>
        <w:tc>
          <w:tcPr>
            <w:tcW w:w="2158" w:type="pct"/>
            <w:tcBorders>
              <w:top w:val="nil"/>
              <w:left w:val="nil"/>
              <w:bottom w:val="single" w:color="000000" w:sz="4" w:space="0"/>
              <w:right w:val="single" w:color="000000" w:sz="4" w:space="0"/>
            </w:tcBorders>
            <w:vAlign w:val="center"/>
          </w:tcPr>
          <w:p w14:paraId="6A1D0C0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为方便管理人员对上海市检验检测机构能力验证管理功能，系统提供能力验证项目库的动态管理和在线查询功能。工作人员通过该功能完成能力验证项目库的新增、修改、删除、查询等操作，完成上海市检验检测机构能力验证项目信息的日常管理。</w:t>
            </w:r>
          </w:p>
        </w:tc>
      </w:tr>
      <w:tr w14:paraId="6B39507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888711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276</w:t>
            </w:r>
          </w:p>
        </w:tc>
        <w:tc>
          <w:tcPr>
            <w:tcW w:w="1143" w:type="pct"/>
            <w:tcBorders>
              <w:top w:val="nil"/>
              <w:left w:val="nil"/>
              <w:bottom w:val="single" w:color="000000" w:sz="4" w:space="0"/>
              <w:right w:val="single" w:color="000000" w:sz="4" w:space="0"/>
            </w:tcBorders>
            <w:vAlign w:val="center"/>
          </w:tcPr>
          <w:p w14:paraId="3665FD0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94B9D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质量基础设施一站式管理-检验检测与认证认可子系统（升级）-检验检测监管系统（升级）-检验检测机构能力验证功能（升级）-年度能力验证计划发布</w:t>
            </w:r>
          </w:p>
        </w:tc>
        <w:tc>
          <w:tcPr>
            <w:tcW w:w="2158" w:type="pct"/>
            <w:tcBorders>
              <w:top w:val="nil"/>
              <w:left w:val="nil"/>
              <w:bottom w:val="single" w:color="000000" w:sz="4" w:space="0"/>
              <w:right w:val="single" w:color="000000" w:sz="4" w:space="0"/>
            </w:tcBorders>
            <w:vAlign w:val="center"/>
          </w:tcPr>
          <w:p w14:paraId="254B97B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根据每年对检验检测机构年度能力监督检查情况，定期发布上海市检验检测机构能力情况。提供年度能力验证信息的新增、修改、删除等编辑功能，并通过年度能力验证计划发布功能定期发布信息。</w:t>
            </w:r>
          </w:p>
        </w:tc>
      </w:tr>
      <w:tr w14:paraId="2E902E9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3A602B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277</w:t>
            </w:r>
          </w:p>
        </w:tc>
        <w:tc>
          <w:tcPr>
            <w:tcW w:w="1143" w:type="pct"/>
            <w:tcBorders>
              <w:top w:val="nil"/>
              <w:left w:val="nil"/>
              <w:bottom w:val="single" w:color="000000" w:sz="4" w:space="0"/>
              <w:right w:val="single" w:color="000000" w:sz="4" w:space="0"/>
            </w:tcBorders>
            <w:vAlign w:val="center"/>
          </w:tcPr>
          <w:p w14:paraId="1130821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CEE919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质量基础设施一站式管理-检验检测与认证认可子系统（升级）-检验检测监管系统（升级）-检验检测机构能力验证功能（升级）-检验检测机构报名</w:t>
            </w:r>
          </w:p>
        </w:tc>
        <w:tc>
          <w:tcPr>
            <w:tcW w:w="2158" w:type="pct"/>
            <w:tcBorders>
              <w:top w:val="nil"/>
              <w:left w:val="nil"/>
              <w:bottom w:val="single" w:color="000000" w:sz="4" w:space="0"/>
              <w:right w:val="single" w:color="000000" w:sz="4" w:space="0"/>
            </w:tcBorders>
            <w:vAlign w:val="center"/>
          </w:tcPr>
          <w:p w14:paraId="58C6152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为鼓励检验检测机构参加政府部门、国际组织、专业技术评价机构、行业协会等开展的能力验证和比对，系统提供检验检测机构报名功能，取得资质许可的检验检测机构可以按照规定参加资质许可部门开展的能力验证和比对，并通过系统完成检验检测机构报名工作，以及报名接受情况和能力验证结果。工作人员通过系统完成检验检测机构报名的接受操作，并提供检验检测机构报名信息导出功能。</w:t>
            </w:r>
          </w:p>
        </w:tc>
      </w:tr>
      <w:tr w14:paraId="07785E5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FF45C2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278</w:t>
            </w:r>
          </w:p>
        </w:tc>
        <w:tc>
          <w:tcPr>
            <w:tcW w:w="1143" w:type="pct"/>
            <w:tcBorders>
              <w:top w:val="nil"/>
              <w:left w:val="nil"/>
              <w:bottom w:val="single" w:color="000000" w:sz="4" w:space="0"/>
              <w:right w:val="single" w:color="000000" w:sz="4" w:space="0"/>
            </w:tcBorders>
            <w:vAlign w:val="center"/>
          </w:tcPr>
          <w:p w14:paraId="7BD9DCF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4D1787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质量基础设施一站式管理-检验检测与认证认可子系统（升级）-检验检测监管系统（升级）-检验检测机构能力验证功能（升级）-能力验证结果录入和发布</w:t>
            </w:r>
          </w:p>
        </w:tc>
        <w:tc>
          <w:tcPr>
            <w:tcW w:w="2158" w:type="pct"/>
            <w:tcBorders>
              <w:top w:val="nil"/>
              <w:left w:val="nil"/>
              <w:bottom w:val="single" w:color="000000" w:sz="4" w:space="0"/>
              <w:right w:val="single" w:color="000000" w:sz="4" w:space="0"/>
            </w:tcBorders>
            <w:vAlign w:val="center"/>
          </w:tcPr>
          <w:p w14:paraId="08CA2A4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为方政府部门、国际组织、专业技术评价机构、行业协会等开展的能力验证和比对能力工作，系统能力验证结果录入和发布功能。工作人员通过该功能模块完成能力验证结果录入和发布等操作。</w:t>
            </w:r>
          </w:p>
        </w:tc>
      </w:tr>
      <w:tr w14:paraId="1A594BC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80E60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279</w:t>
            </w:r>
          </w:p>
        </w:tc>
        <w:tc>
          <w:tcPr>
            <w:tcW w:w="1143" w:type="pct"/>
            <w:tcBorders>
              <w:top w:val="nil"/>
              <w:left w:val="nil"/>
              <w:bottom w:val="single" w:color="000000" w:sz="4" w:space="0"/>
              <w:right w:val="single" w:color="000000" w:sz="4" w:space="0"/>
            </w:tcBorders>
            <w:vAlign w:val="center"/>
          </w:tcPr>
          <w:p w14:paraId="305623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EEEA7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质量基础设施一站式管理-检验检测与认证认可子系统（升级）-检验检测监管系统（升级）-检验检测机构能力验证功能（升级）-能力验证历史信息汇总查询</w:t>
            </w:r>
          </w:p>
        </w:tc>
        <w:tc>
          <w:tcPr>
            <w:tcW w:w="2158" w:type="pct"/>
            <w:tcBorders>
              <w:top w:val="nil"/>
              <w:left w:val="nil"/>
              <w:bottom w:val="single" w:color="000000" w:sz="4" w:space="0"/>
              <w:right w:val="single" w:color="000000" w:sz="4" w:space="0"/>
            </w:tcBorders>
            <w:vAlign w:val="center"/>
          </w:tcPr>
          <w:p w14:paraId="60E700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系统提供能力验证历史信息汇总查询功能。基于上海市检验检测机构能力验证能力验证采集信息，系统汇总上海市历年的能力验证历史信息，工作人员通过该功能模块完成检验检测机构能力验证的查询等操作。</w:t>
            </w:r>
          </w:p>
        </w:tc>
      </w:tr>
      <w:tr w14:paraId="4F2C9F8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15A9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280</w:t>
            </w:r>
          </w:p>
        </w:tc>
        <w:tc>
          <w:tcPr>
            <w:tcW w:w="1143" w:type="pct"/>
            <w:tcBorders>
              <w:top w:val="nil"/>
              <w:left w:val="nil"/>
              <w:bottom w:val="single" w:color="000000" w:sz="4" w:space="0"/>
              <w:right w:val="single" w:color="000000" w:sz="4" w:space="0"/>
            </w:tcBorders>
            <w:vAlign w:val="center"/>
          </w:tcPr>
          <w:p w14:paraId="3338CAC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77EEED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质量基础设施一站式管理-检验检测与认证认可子系统（升级）-检验检测监管系统（升级）-检验检测机构盲样考核功能（升级）-盲样考核计划发布</w:t>
            </w:r>
          </w:p>
        </w:tc>
        <w:tc>
          <w:tcPr>
            <w:tcW w:w="2158" w:type="pct"/>
            <w:tcBorders>
              <w:top w:val="nil"/>
              <w:left w:val="nil"/>
              <w:bottom w:val="single" w:color="000000" w:sz="4" w:space="0"/>
              <w:right w:val="single" w:color="000000" w:sz="4" w:space="0"/>
            </w:tcBorders>
            <w:vAlign w:val="center"/>
          </w:tcPr>
          <w:p w14:paraId="308A287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为方便科室部门对盲样考核管理工作，系统提供盲样考核计划发布功能，系统提供盲样考核信息的新增、修改、删除等操作，通过该功能完成盲样考核的制定，并通过系统发布盲样考核计划信息。</w:t>
            </w:r>
          </w:p>
        </w:tc>
      </w:tr>
      <w:tr w14:paraId="6802BC6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D63D8D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281</w:t>
            </w:r>
          </w:p>
        </w:tc>
        <w:tc>
          <w:tcPr>
            <w:tcW w:w="1143" w:type="pct"/>
            <w:tcBorders>
              <w:top w:val="nil"/>
              <w:left w:val="nil"/>
              <w:bottom w:val="single" w:color="000000" w:sz="4" w:space="0"/>
              <w:right w:val="single" w:color="000000" w:sz="4" w:space="0"/>
            </w:tcBorders>
            <w:vAlign w:val="center"/>
          </w:tcPr>
          <w:p w14:paraId="15BBB47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928E6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质量基础设施一站式管理-检验检测与认证认可子系统（升级）-检验检测监管系统（升级）-检验检测机构盲样考核功能（升级）-盲样样品信息管理</w:t>
            </w:r>
          </w:p>
        </w:tc>
        <w:tc>
          <w:tcPr>
            <w:tcW w:w="2158" w:type="pct"/>
            <w:tcBorders>
              <w:top w:val="nil"/>
              <w:left w:val="nil"/>
              <w:bottom w:val="single" w:color="000000" w:sz="4" w:space="0"/>
              <w:right w:val="single" w:color="000000" w:sz="4" w:space="0"/>
            </w:tcBorders>
            <w:vAlign w:val="center"/>
          </w:tcPr>
          <w:p w14:paraId="22212AC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针对盲样考核工作业务需求，系统提供盲样样品数据库的管理功能，支持盲样样品信息的新增、修改、删除等操作。工作人员通过该功能模块完成对盲样样品信息的采集管理，方便工作人员对上海市盲样样品数据库管理维护。</w:t>
            </w:r>
          </w:p>
        </w:tc>
      </w:tr>
      <w:tr w14:paraId="2DF2518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A4EA50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282</w:t>
            </w:r>
          </w:p>
        </w:tc>
        <w:tc>
          <w:tcPr>
            <w:tcW w:w="1143" w:type="pct"/>
            <w:tcBorders>
              <w:top w:val="nil"/>
              <w:left w:val="nil"/>
              <w:bottom w:val="single" w:color="000000" w:sz="4" w:space="0"/>
              <w:right w:val="single" w:color="000000" w:sz="4" w:space="0"/>
            </w:tcBorders>
            <w:vAlign w:val="center"/>
          </w:tcPr>
          <w:p w14:paraId="367CED5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DADC1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质量基础设施一站式管理-检验检测与认证认可子系统（升级）-检验检测监管系统（升级）-检验检测机构盲样考核功能（升级）-盲样考核结果录入和发布</w:t>
            </w:r>
          </w:p>
        </w:tc>
        <w:tc>
          <w:tcPr>
            <w:tcW w:w="2158" w:type="pct"/>
            <w:tcBorders>
              <w:top w:val="nil"/>
              <w:left w:val="nil"/>
              <w:bottom w:val="single" w:color="000000" w:sz="4" w:space="0"/>
              <w:right w:val="single" w:color="000000" w:sz="4" w:space="0"/>
            </w:tcBorders>
            <w:vAlign w:val="center"/>
          </w:tcPr>
          <w:p w14:paraId="708B621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系统提供盲样考核结果录入和发布功能，支持盲样考核结果新增、修改、删除等采集操作。工作人员通过该功能模块完成盲样考核结果录入采集操作，并通过系统可以查询到具体盲样考核结果信息。</w:t>
            </w:r>
          </w:p>
        </w:tc>
      </w:tr>
      <w:tr w14:paraId="4A78E6D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9A7DA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283</w:t>
            </w:r>
          </w:p>
        </w:tc>
        <w:tc>
          <w:tcPr>
            <w:tcW w:w="1143" w:type="pct"/>
            <w:tcBorders>
              <w:top w:val="nil"/>
              <w:left w:val="nil"/>
              <w:bottom w:val="single" w:color="000000" w:sz="4" w:space="0"/>
              <w:right w:val="single" w:color="000000" w:sz="4" w:space="0"/>
            </w:tcBorders>
            <w:vAlign w:val="center"/>
          </w:tcPr>
          <w:p w14:paraId="112382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8B02D5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质量基础设施一站式管理-检验检测与认证认可子系统（升级）-检验检测监管系统（升级）-检验检测机构盲样考核功能（升级）-盲样考核历史信息汇总查询</w:t>
            </w:r>
          </w:p>
        </w:tc>
        <w:tc>
          <w:tcPr>
            <w:tcW w:w="2158" w:type="pct"/>
            <w:tcBorders>
              <w:top w:val="nil"/>
              <w:left w:val="nil"/>
              <w:bottom w:val="single" w:color="000000" w:sz="4" w:space="0"/>
              <w:right w:val="single" w:color="000000" w:sz="4" w:space="0"/>
            </w:tcBorders>
            <w:vAlign w:val="center"/>
          </w:tcPr>
          <w:p w14:paraId="53B2A8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基于盲样考核结果录入信息，系统自动汇总上海市盲样考核结果信息，且提供盲样考核历史信息查询功能。工作人员可以根据业务需要，通过该功能模块查询具体某盲样考核结果状况。</w:t>
            </w:r>
          </w:p>
        </w:tc>
      </w:tr>
      <w:tr w14:paraId="0C80D67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9B4B39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284</w:t>
            </w:r>
          </w:p>
        </w:tc>
        <w:tc>
          <w:tcPr>
            <w:tcW w:w="1143" w:type="pct"/>
            <w:tcBorders>
              <w:top w:val="nil"/>
              <w:left w:val="nil"/>
              <w:bottom w:val="single" w:color="000000" w:sz="4" w:space="0"/>
              <w:right w:val="single" w:color="000000" w:sz="4" w:space="0"/>
            </w:tcBorders>
            <w:vAlign w:val="center"/>
          </w:tcPr>
          <w:p w14:paraId="762330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C225D3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质量基础设施一站式管理-检验检测与认证认可子系统（升级）-检验检测行业资源统计（升级）-检验检测认证机构资源年报统计（升级）-上年度信息带入</w:t>
            </w:r>
          </w:p>
        </w:tc>
        <w:tc>
          <w:tcPr>
            <w:tcW w:w="2158" w:type="pct"/>
            <w:tcBorders>
              <w:top w:val="nil"/>
              <w:left w:val="nil"/>
              <w:bottom w:val="single" w:color="000000" w:sz="4" w:space="0"/>
              <w:right w:val="single" w:color="000000" w:sz="4" w:space="0"/>
            </w:tcBorders>
            <w:vAlign w:val="center"/>
          </w:tcPr>
          <w:p w14:paraId="1B0E2AA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表一《基本概况表》增加上年度填写信息自动带入预填功能，增加切换至下一张表填报时，作确认提示“请核实本表信息！”“确认无误”和“继续修改”。</w:t>
            </w:r>
          </w:p>
        </w:tc>
      </w:tr>
      <w:tr w14:paraId="32EFCB1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B0AE94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285</w:t>
            </w:r>
          </w:p>
        </w:tc>
        <w:tc>
          <w:tcPr>
            <w:tcW w:w="1143" w:type="pct"/>
            <w:tcBorders>
              <w:top w:val="nil"/>
              <w:left w:val="nil"/>
              <w:bottom w:val="single" w:color="000000" w:sz="4" w:space="0"/>
              <w:right w:val="single" w:color="000000" w:sz="4" w:space="0"/>
            </w:tcBorders>
            <w:vAlign w:val="center"/>
          </w:tcPr>
          <w:p w14:paraId="0D42391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A77451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质量基础设施一站式管理-检验检测与认证认可子系统（升级）-检验检测行业资源统计（升级）-检验检测认证机构资源年报统计（升级）-年报统计进度可视化</w:t>
            </w:r>
          </w:p>
        </w:tc>
        <w:tc>
          <w:tcPr>
            <w:tcW w:w="2158" w:type="pct"/>
            <w:tcBorders>
              <w:top w:val="nil"/>
              <w:left w:val="nil"/>
              <w:bottom w:val="single" w:color="000000" w:sz="4" w:space="0"/>
              <w:right w:val="single" w:color="000000" w:sz="4" w:space="0"/>
            </w:tcBorders>
            <w:vAlign w:val="center"/>
          </w:tcPr>
          <w:p w14:paraId="032FA0B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参照总局统计进度展示效果，增加各区年报进度统计表可视化展示统计图（饼图、柱状图）</w:t>
            </w:r>
          </w:p>
        </w:tc>
      </w:tr>
      <w:tr w14:paraId="71590A2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CC6E28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286</w:t>
            </w:r>
          </w:p>
        </w:tc>
        <w:tc>
          <w:tcPr>
            <w:tcW w:w="1143" w:type="pct"/>
            <w:tcBorders>
              <w:top w:val="nil"/>
              <w:left w:val="nil"/>
              <w:bottom w:val="single" w:color="000000" w:sz="4" w:space="0"/>
              <w:right w:val="single" w:color="000000" w:sz="4" w:space="0"/>
            </w:tcBorders>
            <w:vAlign w:val="center"/>
          </w:tcPr>
          <w:p w14:paraId="784BC59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85C343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质量基础设施一站式管理-检验检测与认证认可子系统（升级）-检验检测行业资源统计（升级）-检验检测认证机构资源年报统计（升级）-分领域统计进度可视化</w:t>
            </w:r>
          </w:p>
        </w:tc>
        <w:tc>
          <w:tcPr>
            <w:tcW w:w="2158" w:type="pct"/>
            <w:tcBorders>
              <w:top w:val="nil"/>
              <w:left w:val="nil"/>
              <w:bottom w:val="single" w:color="000000" w:sz="4" w:space="0"/>
              <w:right w:val="single" w:color="000000" w:sz="4" w:space="0"/>
            </w:tcBorders>
            <w:vAlign w:val="center"/>
          </w:tcPr>
          <w:p w14:paraId="1D503D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参照总局统计进度展示效果，增加三个分领域年报进度统计表可视化展示统计图（饼图、柱状图）</w:t>
            </w:r>
          </w:p>
        </w:tc>
      </w:tr>
      <w:tr w14:paraId="6E44D58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A7FE60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287</w:t>
            </w:r>
          </w:p>
        </w:tc>
        <w:tc>
          <w:tcPr>
            <w:tcW w:w="1143" w:type="pct"/>
            <w:tcBorders>
              <w:top w:val="nil"/>
              <w:left w:val="nil"/>
              <w:bottom w:val="single" w:color="000000" w:sz="4" w:space="0"/>
              <w:right w:val="single" w:color="000000" w:sz="4" w:space="0"/>
            </w:tcBorders>
            <w:vAlign w:val="center"/>
          </w:tcPr>
          <w:p w14:paraId="085B2DA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A6AC3C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质量基础设施一站式管理-检验检测与认证认可子系统（升级）-检验检测行业资源统计（升级）-检验检测认证机构资源年报统计（升级）-增减表间表内校验</w:t>
            </w:r>
          </w:p>
        </w:tc>
        <w:tc>
          <w:tcPr>
            <w:tcW w:w="2158" w:type="pct"/>
            <w:tcBorders>
              <w:top w:val="nil"/>
              <w:left w:val="nil"/>
              <w:bottom w:val="single" w:color="000000" w:sz="4" w:space="0"/>
              <w:right w:val="single" w:color="000000" w:sz="4" w:space="0"/>
            </w:tcBorders>
            <w:vAlign w:val="center"/>
          </w:tcPr>
          <w:p w14:paraId="331EE3E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1、745独立法人填写的表六和表十二需要实现表间校核。</w:t>
            </w:r>
            <w:r>
              <w:rPr>
                <w:rFonts w:hint="eastAsia" w:cs="宋体"/>
                <w:color w:val="auto"/>
                <w:kern w:val="0"/>
                <w:sz w:val="22"/>
                <w:szCs w:val="22"/>
              </w:rPr>
              <w:br w:type="textWrapping"/>
            </w:r>
            <w:r>
              <w:rPr>
                <w:rFonts w:hint="eastAsia" w:cs="宋体"/>
                <w:color w:val="auto"/>
                <w:kern w:val="0"/>
                <w:sz w:val="22"/>
                <w:szCs w:val="22"/>
              </w:rPr>
              <w:t>企业：表六“检验检测业务收入”应与表十二“营业收入”相同；表六“检验检测业务利润”应与表十二“营业利润”相同；</w:t>
            </w:r>
            <w:r>
              <w:rPr>
                <w:rFonts w:hint="eastAsia" w:cs="宋体"/>
                <w:color w:val="auto"/>
                <w:kern w:val="0"/>
                <w:sz w:val="22"/>
                <w:szCs w:val="22"/>
              </w:rPr>
              <w:br w:type="textWrapping"/>
            </w:r>
            <w:r>
              <w:rPr>
                <w:rFonts w:hint="eastAsia" w:cs="宋体"/>
                <w:color w:val="auto"/>
                <w:kern w:val="0"/>
                <w:sz w:val="22"/>
                <w:szCs w:val="22"/>
              </w:rPr>
              <w:t>行政、事业：表六“检验检测业务收入”应与表十二“本年收入合计”相同。</w:t>
            </w:r>
            <w:r>
              <w:rPr>
                <w:rFonts w:hint="eastAsia" w:cs="宋体"/>
                <w:color w:val="auto"/>
                <w:kern w:val="0"/>
                <w:sz w:val="22"/>
                <w:szCs w:val="22"/>
              </w:rPr>
              <w:br w:type="textWrapping"/>
            </w:r>
            <w:r>
              <w:rPr>
                <w:rFonts w:hint="eastAsia" w:cs="宋体"/>
                <w:color w:val="auto"/>
                <w:kern w:val="0"/>
                <w:sz w:val="22"/>
                <w:szCs w:val="22"/>
              </w:rPr>
              <w:t>2、表二“获得行政部门检验检测机构资质许可名称”栏内，如果勾选“进出口商品检验鉴定机构资格证书”，则应在表三“检验检测领域”-7重点领域栏内自动关联勾选“进出口商品检验鉴定”，并在-4栏内出现“检验”“鉴定”；“检验”和“鉴定”业务收入之和应等于36个小项中“产商品检验、验货”的收入；</w:t>
            </w:r>
            <w:r>
              <w:rPr>
                <w:rFonts w:hint="eastAsia" w:cs="宋体"/>
                <w:color w:val="auto"/>
                <w:kern w:val="0"/>
                <w:sz w:val="22"/>
                <w:szCs w:val="22"/>
              </w:rPr>
              <w:br w:type="textWrapping"/>
            </w:r>
            <w:r>
              <w:rPr>
                <w:rFonts w:hint="eastAsia" w:cs="宋体"/>
                <w:color w:val="auto"/>
                <w:kern w:val="0"/>
                <w:sz w:val="22"/>
                <w:szCs w:val="22"/>
              </w:rPr>
              <w:t>3、上海机动车检验机构资源调查表增加33个表内校验规则。</w:t>
            </w:r>
          </w:p>
        </w:tc>
      </w:tr>
      <w:tr w14:paraId="39E4E56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FFDBA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288</w:t>
            </w:r>
          </w:p>
        </w:tc>
        <w:tc>
          <w:tcPr>
            <w:tcW w:w="1143" w:type="pct"/>
            <w:tcBorders>
              <w:top w:val="nil"/>
              <w:left w:val="nil"/>
              <w:bottom w:val="single" w:color="000000" w:sz="4" w:space="0"/>
              <w:right w:val="single" w:color="000000" w:sz="4" w:space="0"/>
            </w:tcBorders>
            <w:vAlign w:val="center"/>
          </w:tcPr>
          <w:p w14:paraId="4DA0437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510E2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质量基础设施一站式管理-检验检测与认证认可子系统（升级）-检验检测行业资源统计（升级）-检验检测认证机构资源年报统计（升级）-增加统计采集项</w:t>
            </w:r>
          </w:p>
        </w:tc>
        <w:tc>
          <w:tcPr>
            <w:tcW w:w="2158" w:type="pct"/>
            <w:tcBorders>
              <w:top w:val="nil"/>
              <w:left w:val="nil"/>
              <w:bottom w:val="single" w:color="000000" w:sz="4" w:space="0"/>
              <w:right w:val="single" w:color="000000" w:sz="4" w:space="0"/>
            </w:tcBorders>
            <w:vAlign w:val="center"/>
          </w:tcPr>
          <w:p w14:paraId="4A5AD74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1、表一《基本概况表》增加1个采集项。</w:t>
            </w:r>
            <w:r>
              <w:rPr>
                <w:rFonts w:hint="eastAsia" w:cs="宋体"/>
                <w:color w:val="auto"/>
                <w:kern w:val="0"/>
                <w:sz w:val="22"/>
                <w:szCs w:val="22"/>
              </w:rPr>
              <w:br w:type="textWrapping"/>
            </w:r>
            <w:r>
              <w:rPr>
                <w:rFonts w:hint="eastAsia" w:cs="宋体"/>
                <w:color w:val="auto"/>
                <w:kern w:val="0"/>
                <w:sz w:val="22"/>
                <w:szCs w:val="22"/>
              </w:rPr>
              <w:t>2、表三《检验检测机构服务支撑情况》增加10个采集项。</w:t>
            </w:r>
            <w:r>
              <w:rPr>
                <w:rFonts w:hint="eastAsia" w:cs="宋体"/>
                <w:color w:val="auto"/>
                <w:kern w:val="0"/>
                <w:sz w:val="22"/>
                <w:szCs w:val="22"/>
              </w:rPr>
              <w:br w:type="textWrapping"/>
            </w:r>
            <w:r>
              <w:rPr>
                <w:rFonts w:hint="eastAsia" w:cs="宋体"/>
                <w:color w:val="auto"/>
                <w:kern w:val="0"/>
                <w:sz w:val="22"/>
                <w:szCs w:val="22"/>
              </w:rPr>
              <w:t>3、表四《检验检测机构专业资源投入情况》增加5个采集项。</w:t>
            </w:r>
            <w:r>
              <w:rPr>
                <w:rFonts w:hint="eastAsia" w:cs="宋体"/>
                <w:color w:val="auto"/>
                <w:kern w:val="0"/>
                <w:sz w:val="22"/>
                <w:szCs w:val="22"/>
              </w:rPr>
              <w:br w:type="textWrapping"/>
            </w:r>
            <w:r>
              <w:rPr>
                <w:rFonts w:hint="eastAsia" w:cs="宋体"/>
                <w:color w:val="auto"/>
                <w:kern w:val="0"/>
                <w:sz w:val="22"/>
                <w:szCs w:val="22"/>
              </w:rPr>
              <w:t>4、表五《检验检测机构能力提升与创新情况》增加 智能化、数字化发展情况 采集内容。</w:t>
            </w:r>
            <w:r>
              <w:rPr>
                <w:rFonts w:hint="eastAsia" w:cs="宋体"/>
                <w:color w:val="auto"/>
                <w:kern w:val="0"/>
                <w:sz w:val="22"/>
                <w:szCs w:val="22"/>
              </w:rPr>
              <w:br w:type="textWrapping"/>
            </w:r>
            <w:r>
              <w:rPr>
                <w:rFonts w:hint="eastAsia" w:cs="宋体"/>
                <w:color w:val="auto"/>
                <w:kern w:val="0"/>
                <w:sz w:val="22"/>
                <w:szCs w:val="22"/>
              </w:rPr>
              <w:t>以上增加的采集项同时在详情页，审核页、审批页同步展示。</w:t>
            </w:r>
          </w:p>
        </w:tc>
      </w:tr>
      <w:tr w14:paraId="6CF8EAA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612E2E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289</w:t>
            </w:r>
          </w:p>
        </w:tc>
        <w:tc>
          <w:tcPr>
            <w:tcW w:w="1143" w:type="pct"/>
            <w:tcBorders>
              <w:top w:val="nil"/>
              <w:left w:val="nil"/>
              <w:bottom w:val="single" w:color="000000" w:sz="4" w:space="0"/>
              <w:right w:val="single" w:color="000000" w:sz="4" w:space="0"/>
            </w:tcBorders>
            <w:vAlign w:val="center"/>
          </w:tcPr>
          <w:p w14:paraId="4D2589E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E3CC86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质量基础设施一站式管理-检验检测与认证认可子系统（升级）-检验检测行业资源统计（升级）-检验检测认证机构资源年报统计（升级）-年报辅助审查</w:t>
            </w:r>
          </w:p>
        </w:tc>
        <w:tc>
          <w:tcPr>
            <w:tcW w:w="2158" w:type="pct"/>
            <w:tcBorders>
              <w:top w:val="nil"/>
              <w:left w:val="nil"/>
              <w:bottom w:val="single" w:color="000000" w:sz="4" w:space="0"/>
              <w:right w:val="single" w:color="000000" w:sz="4" w:space="0"/>
            </w:tcBorders>
            <w:vAlign w:val="center"/>
          </w:tcPr>
          <w:p w14:paraId="01624AA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在年报审核、审批界面下，增加重点指标同前两个年度数据作比对的功能；在填报界面下，对重点指标数值较上年度超过正负30%的，作提示“该指标数值较上年度偏离较大，请核实！”</w:t>
            </w:r>
            <w:r>
              <w:rPr>
                <w:rFonts w:hint="eastAsia" w:cs="宋体"/>
                <w:color w:val="auto"/>
                <w:kern w:val="0"/>
                <w:sz w:val="22"/>
                <w:szCs w:val="22"/>
              </w:rPr>
              <w:br w:type="textWrapping"/>
            </w:r>
            <w:r>
              <w:rPr>
                <w:rFonts w:hint="eastAsia" w:cs="宋体"/>
                <w:color w:val="auto"/>
                <w:kern w:val="0"/>
                <w:sz w:val="22"/>
                <w:szCs w:val="22"/>
              </w:rPr>
              <w:t>指标包括：表四中仪器设备总数、资产原值，实验室面积，从业人数；表六中检验检测报告数、收入数及利润。</w:t>
            </w:r>
          </w:p>
        </w:tc>
      </w:tr>
      <w:tr w14:paraId="0EE1AC4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13107A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290</w:t>
            </w:r>
          </w:p>
        </w:tc>
        <w:tc>
          <w:tcPr>
            <w:tcW w:w="1143" w:type="pct"/>
            <w:tcBorders>
              <w:top w:val="nil"/>
              <w:left w:val="nil"/>
              <w:bottom w:val="single" w:color="000000" w:sz="4" w:space="0"/>
              <w:right w:val="single" w:color="000000" w:sz="4" w:space="0"/>
            </w:tcBorders>
            <w:vAlign w:val="center"/>
          </w:tcPr>
          <w:p w14:paraId="78DF2EC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376543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质量基础设施一站式管理-检验检测与认证认可子系统（升级）-检验检测行业资源统计（升级）-检验检测认证机构资源年报统计（升级）-统计催报功能</w:t>
            </w:r>
          </w:p>
        </w:tc>
        <w:tc>
          <w:tcPr>
            <w:tcW w:w="2158" w:type="pct"/>
            <w:tcBorders>
              <w:top w:val="nil"/>
              <w:left w:val="nil"/>
              <w:bottom w:val="single" w:color="000000" w:sz="4" w:space="0"/>
              <w:right w:val="single" w:color="000000" w:sz="4" w:space="0"/>
            </w:tcBorders>
            <w:vAlign w:val="center"/>
          </w:tcPr>
          <w:p w14:paraId="5FD7004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对状态为未填报、未修改、未提交的机构，自动或人工发出手机短信催报提醒</w:t>
            </w:r>
          </w:p>
        </w:tc>
      </w:tr>
      <w:tr w14:paraId="5385C49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536BD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291</w:t>
            </w:r>
          </w:p>
        </w:tc>
        <w:tc>
          <w:tcPr>
            <w:tcW w:w="1143" w:type="pct"/>
            <w:tcBorders>
              <w:top w:val="nil"/>
              <w:left w:val="nil"/>
              <w:bottom w:val="single" w:color="000000" w:sz="4" w:space="0"/>
              <w:right w:val="single" w:color="000000" w:sz="4" w:space="0"/>
            </w:tcBorders>
            <w:vAlign w:val="center"/>
          </w:tcPr>
          <w:p w14:paraId="00810D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343F33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质量基础设施一站式管理-检验检测与认证认可子系统（升级）-检验检测行业资源统计（升级）-检验检测认证机构资源年报统计（升级）-半年报填报</w:t>
            </w:r>
          </w:p>
        </w:tc>
        <w:tc>
          <w:tcPr>
            <w:tcW w:w="2158" w:type="pct"/>
            <w:tcBorders>
              <w:top w:val="nil"/>
              <w:left w:val="nil"/>
              <w:bottom w:val="single" w:color="000000" w:sz="4" w:space="0"/>
              <w:right w:val="single" w:color="000000" w:sz="4" w:space="0"/>
            </w:tcBorders>
            <w:vAlign w:val="center"/>
          </w:tcPr>
          <w:p w14:paraId="77A41BA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1、增加检验检测机构半年报范围设定功能，按业务处室划定的范围自动生成或导入生成半年报应报清单。</w:t>
            </w:r>
            <w:r>
              <w:rPr>
                <w:rFonts w:hint="eastAsia" w:cs="宋体"/>
                <w:color w:val="auto"/>
                <w:kern w:val="0"/>
                <w:sz w:val="22"/>
                <w:szCs w:val="22"/>
              </w:rPr>
              <w:br w:type="textWrapping"/>
            </w:r>
            <w:r>
              <w:rPr>
                <w:rFonts w:hint="eastAsia" w:cs="宋体"/>
                <w:color w:val="auto"/>
                <w:kern w:val="0"/>
                <w:sz w:val="22"/>
                <w:szCs w:val="22"/>
              </w:rPr>
              <w:t>2、增加半年报填报功能，本年度新增机构填写年报1-4表和半年报采集表，存量机构填写半年报。</w:t>
            </w:r>
            <w:r>
              <w:rPr>
                <w:rFonts w:hint="eastAsia" w:cs="宋体"/>
                <w:color w:val="auto"/>
                <w:kern w:val="0"/>
                <w:sz w:val="22"/>
                <w:szCs w:val="22"/>
              </w:rPr>
              <w:br w:type="textWrapping"/>
            </w:r>
            <w:r>
              <w:rPr>
                <w:rFonts w:hint="eastAsia" w:cs="宋体"/>
                <w:color w:val="auto"/>
                <w:kern w:val="0"/>
                <w:sz w:val="22"/>
                <w:szCs w:val="22"/>
              </w:rPr>
              <w:t>3、增加半年度审核功能，审核人员审核时查看半年报信息，给出审核意见及审核结果。</w:t>
            </w:r>
            <w:r>
              <w:rPr>
                <w:rFonts w:hint="eastAsia" w:cs="宋体"/>
                <w:color w:val="auto"/>
                <w:kern w:val="0"/>
                <w:sz w:val="22"/>
                <w:szCs w:val="22"/>
              </w:rPr>
              <w:br w:type="textWrapping"/>
            </w:r>
            <w:r>
              <w:rPr>
                <w:rFonts w:hint="eastAsia" w:cs="宋体"/>
                <w:color w:val="auto"/>
                <w:kern w:val="0"/>
                <w:sz w:val="22"/>
                <w:szCs w:val="22"/>
              </w:rPr>
              <w:t>4、增加半年度审批功能，审批人员审核时查看半年报信息，给出审批意见及审核结果。</w:t>
            </w:r>
          </w:p>
        </w:tc>
      </w:tr>
      <w:tr w14:paraId="276FEB2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B12BDB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292</w:t>
            </w:r>
          </w:p>
        </w:tc>
        <w:tc>
          <w:tcPr>
            <w:tcW w:w="1143" w:type="pct"/>
            <w:tcBorders>
              <w:top w:val="nil"/>
              <w:left w:val="nil"/>
              <w:bottom w:val="single" w:color="000000" w:sz="4" w:space="0"/>
              <w:right w:val="single" w:color="000000" w:sz="4" w:space="0"/>
            </w:tcBorders>
            <w:vAlign w:val="center"/>
          </w:tcPr>
          <w:p w14:paraId="635EEF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70BB036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质量基础设施一站式管理-检验检测与认证认可子系统（升级）-检验检测行业资源统计（升级）-检验检测认证机构资源年报统计（升级）-定式报表制作和导出</w:t>
            </w:r>
          </w:p>
        </w:tc>
        <w:tc>
          <w:tcPr>
            <w:tcW w:w="2158" w:type="pct"/>
            <w:tcBorders>
              <w:top w:val="nil"/>
              <w:left w:val="nil"/>
              <w:bottom w:val="single" w:color="000000" w:sz="4" w:space="0"/>
              <w:right w:val="single" w:color="000000" w:sz="4" w:space="0"/>
            </w:tcBorders>
            <w:vAlign w:val="center"/>
          </w:tcPr>
          <w:p w14:paraId="5EECA3F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实现检验检测机构出具报告汇总表、业务经济指标汇总表、仪器设备数汇总表、仪器设备资产原值汇总表等28张定式报表制作和导出功能。</w:t>
            </w:r>
          </w:p>
        </w:tc>
      </w:tr>
      <w:tr w14:paraId="190E584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3371D0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293</w:t>
            </w:r>
          </w:p>
        </w:tc>
        <w:tc>
          <w:tcPr>
            <w:tcW w:w="1143" w:type="pct"/>
            <w:tcBorders>
              <w:top w:val="nil"/>
              <w:left w:val="nil"/>
              <w:bottom w:val="single" w:color="000000" w:sz="4" w:space="0"/>
              <w:right w:val="single" w:color="000000" w:sz="4" w:space="0"/>
            </w:tcBorders>
            <w:vAlign w:val="center"/>
          </w:tcPr>
          <w:p w14:paraId="60DBD50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AB9D6C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质量基础设施一站式管理-质量综合管理服务-智能机器人质量产业链图谱-智能机器人产业链构建</w:t>
            </w:r>
          </w:p>
        </w:tc>
        <w:tc>
          <w:tcPr>
            <w:tcW w:w="2158" w:type="pct"/>
            <w:tcBorders>
              <w:top w:val="nil"/>
              <w:left w:val="nil"/>
              <w:bottom w:val="single" w:color="000000" w:sz="4" w:space="0"/>
              <w:right w:val="single" w:color="000000" w:sz="4" w:space="0"/>
            </w:tcBorders>
            <w:vAlign w:val="center"/>
          </w:tcPr>
          <w:p w14:paraId="745ED1B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智能机器人质量产业链图谱，旨在以智能机器人产业链上、中、下游的构建，产业链相关企业与机构的汇聚。对企业、机构、资质、能力、荣誉、标准等各类信息进行分析，一方面，提炼质量体系对产业链的支撑作用，为潜力企业提供发展意见；另一方面，优化产业分类标签，挖掘潜在企业。</w:t>
            </w:r>
            <w:r>
              <w:rPr>
                <w:rFonts w:hint="eastAsia" w:cs="宋体"/>
                <w:color w:val="auto"/>
                <w:kern w:val="0"/>
                <w:sz w:val="22"/>
                <w:szCs w:val="22"/>
              </w:rPr>
              <w:br w:type="textWrapping"/>
            </w:r>
            <w:r>
              <w:rPr>
                <w:rFonts w:hint="eastAsia" w:cs="宋体"/>
                <w:color w:val="auto"/>
                <w:kern w:val="0"/>
                <w:sz w:val="22"/>
                <w:szCs w:val="22"/>
              </w:rPr>
              <w:t>智能机器人产业链构建包括产业链上下游 行业配置与产业链上下游 行业属性。</w:t>
            </w:r>
          </w:p>
        </w:tc>
      </w:tr>
      <w:tr w14:paraId="60962E2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326ABD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294</w:t>
            </w:r>
          </w:p>
        </w:tc>
        <w:tc>
          <w:tcPr>
            <w:tcW w:w="1143" w:type="pct"/>
            <w:tcBorders>
              <w:top w:val="nil"/>
              <w:left w:val="nil"/>
              <w:bottom w:val="single" w:color="000000" w:sz="4" w:space="0"/>
              <w:right w:val="single" w:color="000000" w:sz="4" w:space="0"/>
            </w:tcBorders>
            <w:vAlign w:val="center"/>
          </w:tcPr>
          <w:p w14:paraId="2B8F373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E48CB5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质量基础设施一站式管理-质量综合管理服务-智能机器人质量产业链图谱-智能机器人企业筛选</w:t>
            </w:r>
          </w:p>
        </w:tc>
        <w:tc>
          <w:tcPr>
            <w:tcW w:w="2158" w:type="pct"/>
            <w:tcBorders>
              <w:top w:val="nil"/>
              <w:left w:val="nil"/>
              <w:bottom w:val="single" w:color="000000" w:sz="4" w:space="0"/>
              <w:right w:val="single" w:color="000000" w:sz="4" w:space="0"/>
            </w:tcBorders>
            <w:vAlign w:val="center"/>
          </w:tcPr>
          <w:p w14:paraId="58475C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建立智能机器人企业专题库，汇集智能机器人产业链主体以及主体相关信息，形成智能机器人产业链企业的筛选，包括自动筛选、人工补录、筛选查阅、筛选确定等。</w:t>
            </w:r>
          </w:p>
        </w:tc>
      </w:tr>
      <w:tr w14:paraId="664B5E6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90D55A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295</w:t>
            </w:r>
          </w:p>
        </w:tc>
        <w:tc>
          <w:tcPr>
            <w:tcW w:w="1143" w:type="pct"/>
            <w:tcBorders>
              <w:top w:val="nil"/>
              <w:left w:val="nil"/>
              <w:bottom w:val="single" w:color="000000" w:sz="4" w:space="0"/>
              <w:right w:val="single" w:color="000000" w:sz="4" w:space="0"/>
            </w:tcBorders>
            <w:vAlign w:val="center"/>
          </w:tcPr>
          <w:p w14:paraId="1CC687B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0AA49A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质量基础设施一站式管理-质量综合管理服务-智能机器人质量产业链图谱-智能机器人企业产业链归类</w:t>
            </w:r>
          </w:p>
        </w:tc>
        <w:tc>
          <w:tcPr>
            <w:tcW w:w="2158" w:type="pct"/>
            <w:tcBorders>
              <w:top w:val="nil"/>
              <w:left w:val="nil"/>
              <w:bottom w:val="single" w:color="000000" w:sz="4" w:space="0"/>
              <w:right w:val="single" w:color="000000" w:sz="4" w:space="0"/>
            </w:tcBorders>
            <w:vAlign w:val="center"/>
          </w:tcPr>
          <w:p w14:paraId="68A19CB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建立智能机器人企业标注，旨在分析企业，归类于哪项智能机器人产业链的各个上下游，如核心零部件、基础技术及软件等，包括自动归类、人工确认等。</w:t>
            </w:r>
          </w:p>
        </w:tc>
      </w:tr>
      <w:tr w14:paraId="67C76B8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87208F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296</w:t>
            </w:r>
          </w:p>
        </w:tc>
        <w:tc>
          <w:tcPr>
            <w:tcW w:w="1143" w:type="pct"/>
            <w:tcBorders>
              <w:top w:val="nil"/>
              <w:left w:val="nil"/>
              <w:bottom w:val="single" w:color="000000" w:sz="4" w:space="0"/>
              <w:right w:val="single" w:color="000000" w:sz="4" w:space="0"/>
            </w:tcBorders>
            <w:vAlign w:val="center"/>
          </w:tcPr>
          <w:p w14:paraId="728D96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ADFE08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质量基础设施一站式管理-质量综合管理服务-智能机器人质量产业链图谱-智能机器人质量数据汇聚-链上企业质量数据汇聚</w:t>
            </w:r>
          </w:p>
        </w:tc>
        <w:tc>
          <w:tcPr>
            <w:tcW w:w="2158" w:type="pct"/>
            <w:tcBorders>
              <w:top w:val="nil"/>
              <w:left w:val="nil"/>
              <w:bottom w:val="single" w:color="000000" w:sz="4" w:space="0"/>
              <w:right w:val="single" w:color="000000" w:sz="4" w:space="0"/>
            </w:tcBorders>
            <w:vAlign w:val="center"/>
          </w:tcPr>
          <w:p w14:paraId="3447E7A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依托数据慧治平台，汇聚链上企业相关标准、质量、认证、监管等相关数据。包括、标准信息（企业标准自我声明公开、企业参与制修订标准）、质量许可（重要工业产品生产许可）、认证信息（企业获证情况、CCC强制性认证、CCC自我声明结果）、质量监管（监督抽查）。</w:t>
            </w:r>
          </w:p>
        </w:tc>
      </w:tr>
      <w:tr w14:paraId="18C1EA50">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217831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297</w:t>
            </w:r>
          </w:p>
        </w:tc>
        <w:tc>
          <w:tcPr>
            <w:tcW w:w="1143" w:type="pct"/>
            <w:tcBorders>
              <w:top w:val="nil"/>
              <w:left w:val="nil"/>
              <w:bottom w:val="single" w:color="000000" w:sz="4" w:space="0"/>
              <w:right w:val="single" w:color="000000" w:sz="4" w:space="0"/>
            </w:tcBorders>
            <w:vAlign w:val="center"/>
          </w:tcPr>
          <w:p w14:paraId="4DA39C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B58F56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质量基础设施一站式管理-质量综合管理服务-智能机器人质量产业链图谱-智能机器人质量数据汇聚-质量底座数据汇聚</w:t>
            </w:r>
          </w:p>
        </w:tc>
        <w:tc>
          <w:tcPr>
            <w:tcW w:w="2158" w:type="pct"/>
            <w:tcBorders>
              <w:top w:val="nil"/>
              <w:left w:val="nil"/>
              <w:bottom w:val="single" w:color="000000" w:sz="4" w:space="0"/>
              <w:right w:val="single" w:color="000000" w:sz="4" w:space="0"/>
            </w:tcBorders>
            <w:vAlign w:val="center"/>
          </w:tcPr>
          <w:p w14:paraId="12E0526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依托数据慧治平台，汇聚本市关于智能机器人相关标准、质量、认证、监管等相关数据。包括标准体系（国家标准/行业标准/地方标准/团体标准）、计量规程（地方计量检定规程、计量校准规范）、认证机构、检验检测（机构资质认定、机构能力）。</w:t>
            </w:r>
          </w:p>
        </w:tc>
      </w:tr>
      <w:tr w14:paraId="384B19B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B86BCE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298</w:t>
            </w:r>
          </w:p>
        </w:tc>
        <w:tc>
          <w:tcPr>
            <w:tcW w:w="1143" w:type="pct"/>
            <w:tcBorders>
              <w:top w:val="nil"/>
              <w:left w:val="nil"/>
              <w:bottom w:val="single" w:color="000000" w:sz="4" w:space="0"/>
              <w:right w:val="single" w:color="000000" w:sz="4" w:space="0"/>
            </w:tcBorders>
            <w:vAlign w:val="center"/>
          </w:tcPr>
          <w:p w14:paraId="6FB8E69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1E7A9E7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质量基础设施一站式管理-质量综合管理服务-智能机器人质量产业链图谱-智能机器人链上企业质量关联</w:t>
            </w:r>
          </w:p>
        </w:tc>
        <w:tc>
          <w:tcPr>
            <w:tcW w:w="2158" w:type="pct"/>
            <w:tcBorders>
              <w:top w:val="nil"/>
              <w:left w:val="nil"/>
              <w:bottom w:val="single" w:color="000000" w:sz="4" w:space="0"/>
              <w:right w:val="single" w:color="000000" w:sz="4" w:space="0"/>
            </w:tcBorders>
            <w:vAlign w:val="center"/>
          </w:tcPr>
          <w:p w14:paraId="08303F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质量智能关联 以智能机器人产业链链上企业为底板，关联其所涉及的标准、计量、认证以及检验检测机构的相关信息。建立智能机器人企业与质量体系进行关联。</w:t>
            </w:r>
            <w:r>
              <w:rPr>
                <w:rFonts w:hint="eastAsia" w:cs="宋体"/>
                <w:color w:val="auto"/>
                <w:kern w:val="0"/>
                <w:sz w:val="22"/>
                <w:szCs w:val="22"/>
              </w:rPr>
              <w:br w:type="textWrapping"/>
            </w:r>
            <w:r>
              <w:rPr>
                <w:rFonts w:hint="eastAsia" w:cs="宋体"/>
                <w:color w:val="auto"/>
                <w:kern w:val="0"/>
                <w:sz w:val="22"/>
                <w:szCs w:val="22"/>
              </w:rPr>
              <w:t>质量人工关联 针对数据分析的初步的关联建议，或是数据间暂时无法形成关联等情况，建立质量人工关联功能，支撑工作人员，可以手工将企业产品与服务，与质量许可、标准信息、质量荣誉、认证信息、质量监管进行关联。</w:t>
            </w:r>
          </w:p>
        </w:tc>
      </w:tr>
      <w:tr w14:paraId="01ACB2F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6D82E1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299</w:t>
            </w:r>
          </w:p>
        </w:tc>
        <w:tc>
          <w:tcPr>
            <w:tcW w:w="1143" w:type="pct"/>
            <w:tcBorders>
              <w:top w:val="nil"/>
              <w:left w:val="nil"/>
              <w:bottom w:val="single" w:color="000000" w:sz="4" w:space="0"/>
              <w:right w:val="single" w:color="000000" w:sz="4" w:space="0"/>
            </w:tcBorders>
            <w:vAlign w:val="center"/>
          </w:tcPr>
          <w:p w14:paraId="4228595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6296B33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质量基础设施一站式管理-质量综合管理服务-智能机器人质量产业链图谱-智能机器人产业链质量图谱-智能机器人产业链图谱</w:t>
            </w:r>
          </w:p>
        </w:tc>
        <w:tc>
          <w:tcPr>
            <w:tcW w:w="2158" w:type="pct"/>
            <w:tcBorders>
              <w:top w:val="nil"/>
              <w:left w:val="nil"/>
              <w:bottom w:val="single" w:color="000000" w:sz="4" w:space="0"/>
              <w:right w:val="single" w:color="000000" w:sz="4" w:space="0"/>
            </w:tcBorders>
            <w:vAlign w:val="center"/>
          </w:tcPr>
          <w:p w14:paraId="38B0106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通过产业链行业配置功能，将智能机器人上下游 行业进行配置，显示产业链的行业；通过智能机器人企业筛选功能，将筛选过、过滤过的企业，匹配装入产业链，形成上下游的产业图谱。</w:t>
            </w:r>
          </w:p>
        </w:tc>
      </w:tr>
      <w:tr w14:paraId="361B895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73BFC1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300</w:t>
            </w:r>
          </w:p>
        </w:tc>
        <w:tc>
          <w:tcPr>
            <w:tcW w:w="1143" w:type="pct"/>
            <w:tcBorders>
              <w:top w:val="nil"/>
              <w:left w:val="nil"/>
              <w:bottom w:val="single" w:color="000000" w:sz="4" w:space="0"/>
              <w:right w:val="single" w:color="000000" w:sz="4" w:space="0"/>
            </w:tcBorders>
            <w:vAlign w:val="center"/>
          </w:tcPr>
          <w:p w14:paraId="6175B57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395390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质量基础设施一站式管理-质量综合管理服务-智能机器人质量产业链图谱-智能机器人产业链质量图谱-智能机器人产业链质量图谱</w:t>
            </w:r>
          </w:p>
        </w:tc>
        <w:tc>
          <w:tcPr>
            <w:tcW w:w="2158" w:type="pct"/>
            <w:tcBorders>
              <w:top w:val="nil"/>
              <w:left w:val="nil"/>
              <w:bottom w:val="single" w:color="000000" w:sz="4" w:space="0"/>
              <w:right w:val="single" w:color="000000" w:sz="4" w:space="0"/>
            </w:tcBorders>
            <w:vAlign w:val="center"/>
          </w:tcPr>
          <w:p w14:paraId="475A49F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以智能机器人产业链图谱为底板，通过质量关联功能，统计市场监管的质量体系，包括标准、计量、认可、认证等体系以及相关机构（标院、计量服务机构、检验检测机构等），形成智能机器人产业链质量图谱。</w:t>
            </w:r>
            <w:r>
              <w:rPr>
                <w:rFonts w:hint="eastAsia" w:cs="宋体"/>
                <w:color w:val="auto"/>
                <w:kern w:val="0"/>
                <w:sz w:val="22"/>
                <w:szCs w:val="22"/>
              </w:rPr>
              <w:br w:type="textWrapping"/>
            </w:r>
            <w:r>
              <w:rPr>
                <w:rFonts w:hint="eastAsia" w:cs="宋体"/>
                <w:color w:val="auto"/>
                <w:kern w:val="0"/>
                <w:sz w:val="22"/>
                <w:szCs w:val="22"/>
              </w:rPr>
              <w:t>1、质量发展状况</w:t>
            </w:r>
            <w:r>
              <w:rPr>
                <w:rFonts w:hint="eastAsia" w:cs="宋体"/>
                <w:color w:val="auto"/>
                <w:kern w:val="0"/>
                <w:sz w:val="22"/>
                <w:szCs w:val="22"/>
              </w:rPr>
              <w:br w:type="textWrapping"/>
            </w:r>
            <w:r>
              <w:rPr>
                <w:rFonts w:hint="eastAsia" w:cs="宋体"/>
                <w:color w:val="auto"/>
                <w:kern w:val="0"/>
                <w:sz w:val="22"/>
                <w:szCs w:val="22"/>
              </w:rPr>
              <w:t>建立查询统计功能，按区域（市、区）显示智能机器人产业质量发展体系，包括政府质量奖、质量攻关、等质量选树及上海标准、上海品牌。</w:t>
            </w:r>
            <w:r>
              <w:rPr>
                <w:rFonts w:hint="eastAsia" w:cs="宋体"/>
                <w:color w:val="auto"/>
                <w:kern w:val="0"/>
                <w:sz w:val="22"/>
                <w:szCs w:val="22"/>
              </w:rPr>
              <w:br w:type="textWrapping"/>
            </w:r>
            <w:r>
              <w:rPr>
                <w:rFonts w:hint="eastAsia" w:cs="宋体"/>
                <w:color w:val="auto"/>
                <w:kern w:val="0"/>
                <w:sz w:val="22"/>
                <w:szCs w:val="22"/>
              </w:rPr>
              <w:t>2、质量支撑体系</w:t>
            </w:r>
            <w:r>
              <w:rPr>
                <w:rFonts w:hint="eastAsia" w:cs="宋体"/>
                <w:color w:val="auto"/>
                <w:kern w:val="0"/>
                <w:sz w:val="22"/>
                <w:szCs w:val="22"/>
              </w:rPr>
              <w:br w:type="textWrapping"/>
            </w:r>
            <w:r>
              <w:rPr>
                <w:rFonts w:hint="eastAsia" w:cs="宋体"/>
                <w:color w:val="auto"/>
                <w:kern w:val="0"/>
                <w:sz w:val="22"/>
                <w:szCs w:val="22"/>
              </w:rPr>
              <w:t>按区域（市、区）显示标院、计量服务机构、检验检测机构在全市、各区的分布。</w:t>
            </w:r>
          </w:p>
        </w:tc>
      </w:tr>
      <w:tr w14:paraId="5E9B8DD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08A5CD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301</w:t>
            </w:r>
          </w:p>
        </w:tc>
        <w:tc>
          <w:tcPr>
            <w:tcW w:w="1143" w:type="pct"/>
            <w:tcBorders>
              <w:top w:val="nil"/>
              <w:left w:val="nil"/>
              <w:bottom w:val="single" w:color="000000" w:sz="4" w:space="0"/>
              <w:right w:val="single" w:color="000000" w:sz="4" w:space="0"/>
            </w:tcBorders>
            <w:vAlign w:val="center"/>
          </w:tcPr>
          <w:p w14:paraId="7738165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216926E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质量基础设施一站式管理-质量综合管理服务-智能机器人质量产业链图谱-智能机器人产业链质量底座-质量支撑机构底座</w:t>
            </w:r>
          </w:p>
        </w:tc>
        <w:tc>
          <w:tcPr>
            <w:tcW w:w="2158" w:type="pct"/>
            <w:tcBorders>
              <w:top w:val="nil"/>
              <w:left w:val="nil"/>
              <w:bottom w:val="single" w:color="000000" w:sz="4" w:space="0"/>
              <w:right w:val="single" w:color="000000" w:sz="4" w:space="0"/>
            </w:tcBorders>
            <w:vAlign w:val="center"/>
          </w:tcPr>
          <w:p w14:paraId="4B1EAE2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建立智能机器人产业链质量底座，汇聚市场监管领域的智能机器人产业的相关标准、计量、认可、认证的能力以及相关机构。</w:t>
            </w:r>
            <w:r>
              <w:rPr>
                <w:rFonts w:hint="eastAsia" w:cs="宋体"/>
                <w:color w:val="auto"/>
                <w:kern w:val="0"/>
                <w:sz w:val="22"/>
                <w:szCs w:val="22"/>
              </w:rPr>
              <w:br w:type="textWrapping"/>
            </w:r>
            <w:r>
              <w:rPr>
                <w:rFonts w:hint="eastAsia" w:cs="宋体"/>
                <w:color w:val="auto"/>
                <w:kern w:val="0"/>
                <w:sz w:val="22"/>
                <w:szCs w:val="22"/>
              </w:rPr>
              <w:t>建立质量支撑机构功能，可按区域（市、区）统计标准机构、计量机构、认证机构，检验检测机构在全市、各区的分布。</w:t>
            </w:r>
          </w:p>
        </w:tc>
      </w:tr>
      <w:tr w14:paraId="11CF396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C6E1E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302</w:t>
            </w:r>
          </w:p>
        </w:tc>
        <w:tc>
          <w:tcPr>
            <w:tcW w:w="1143" w:type="pct"/>
            <w:tcBorders>
              <w:top w:val="nil"/>
              <w:left w:val="nil"/>
              <w:bottom w:val="single" w:color="000000" w:sz="4" w:space="0"/>
              <w:right w:val="single" w:color="000000" w:sz="4" w:space="0"/>
            </w:tcBorders>
            <w:vAlign w:val="center"/>
          </w:tcPr>
          <w:p w14:paraId="5E81D96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0C74920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质量基础设施一站式管理-质量综合管理服务-智能机器人质量产业链图谱-智能机器人产业链质量底座-质量支撑能力底座</w:t>
            </w:r>
          </w:p>
        </w:tc>
        <w:tc>
          <w:tcPr>
            <w:tcW w:w="2158" w:type="pct"/>
            <w:tcBorders>
              <w:top w:val="nil"/>
              <w:left w:val="nil"/>
              <w:bottom w:val="single" w:color="000000" w:sz="4" w:space="0"/>
              <w:right w:val="single" w:color="000000" w:sz="4" w:space="0"/>
            </w:tcBorders>
            <w:vAlign w:val="center"/>
          </w:tcPr>
          <w:p w14:paraId="377B700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建立质量支撑能力功能，按标准、计量、认可、认证等维度，统计分析其相关能力以及参数。如，按标准，分别展示产业链的相关国家标准、地方标准、行业标准等。</w:t>
            </w:r>
          </w:p>
        </w:tc>
      </w:tr>
      <w:tr w14:paraId="40CAA7E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7B8B81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303</w:t>
            </w:r>
          </w:p>
        </w:tc>
        <w:tc>
          <w:tcPr>
            <w:tcW w:w="1143" w:type="pct"/>
            <w:tcBorders>
              <w:top w:val="nil"/>
              <w:left w:val="nil"/>
              <w:bottom w:val="single" w:color="000000" w:sz="4" w:space="0"/>
              <w:right w:val="single" w:color="000000" w:sz="4" w:space="0"/>
            </w:tcBorders>
            <w:vAlign w:val="center"/>
          </w:tcPr>
          <w:p w14:paraId="77955FD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质量基础设施一站式服务</w:t>
            </w:r>
          </w:p>
        </w:tc>
        <w:tc>
          <w:tcPr>
            <w:tcW w:w="1175" w:type="pct"/>
            <w:tcBorders>
              <w:top w:val="nil"/>
              <w:left w:val="nil"/>
              <w:bottom w:val="single" w:color="000000" w:sz="4" w:space="0"/>
              <w:right w:val="single" w:color="000000" w:sz="4" w:space="0"/>
            </w:tcBorders>
            <w:vAlign w:val="center"/>
          </w:tcPr>
          <w:p w14:paraId="46FB68F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质量基础设施一站式管理-质量综合管理服务-智能机器人质量产业链图谱-智能机器人产业链图谱可视化展示</w:t>
            </w:r>
          </w:p>
        </w:tc>
        <w:tc>
          <w:tcPr>
            <w:tcW w:w="2158" w:type="pct"/>
            <w:tcBorders>
              <w:top w:val="nil"/>
              <w:left w:val="nil"/>
              <w:bottom w:val="single" w:color="000000" w:sz="4" w:space="0"/>
              <w:right w:val="single" w:color="000000" w:sz="4" w:space="0"/>
            </w:tcBorders>
            <w:vAlign w:val="center"/>
          </w:tcPr>
          <w:p w14:paraId="1CBFA0F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通过可视化技术，将产业链图谱、产业链质量底座以图表、列表等形式在大屏中进行展示，便于检阅与分析。</w:t>
            </w:r>
          </w:p>
        </w:tc>
      </w:tr>
      <w:tr w14:paraId="250882D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347BF1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304</w:t>
            </w:r>
          </w:p>
        </w:tc>
        <w:tc>
          <w:tcPr>
            <w:tcW w:w="1143" w:type="pct"/>
            <w:tcBorders>
              <w:top w:val="nil"/>
              <w:left w:val="nil"/>
              <w:bottom w:val="single" w:color="000000" w:sz="4" w:space="0"/>
              <w:right w:val="single" w:color="000000" w:sz="4" w:space="0"/>
            </w:tcBorders>
            <w:vAlign w:val="center"/>
          </w:tcPr>
          <w:p w14:paraId="5193E47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EFC735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综合监管支撑服务功能-综合监管风险预警-企业法定代表人任职限制预警</w:t>
            </w:r>
          </w:p>
        </w:tc>
        <w:tc>
          <w:tcPr>
            <w:tcW w:w="2158" w:type="pct"/>
            <w:tcBorders>
              <w:top w:val="nil"/>
              <w:left w:val="nil"/>
              <w:bottom w:val="single" w:color="000000" w:sz="4" w:space="0"/>
              <w:right w:val="single" w:color="000000" w:sz="4" w:space="0"/>
            </w:tcBorders>
            <w:vAlign w:val="center"/>
          </w:tcPr>
          <w:p w14:paraId="2C6AA1F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数据来源：综合监管系统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 xml:space="preserve">检查情形：对市场主体违法办理变更登记的行政检查 </w:t>
            </w:r>
            <w:r>
              <w:rPr>
                <w:rFonts w:hint="eastAsia" w:cs="宋体"/>
                <w:color w:val="auto"/>
                <w:kern w:val="0"/>
                <w:sz w:val="22"/>
                <w:szCs w:val="22"/>
              </w:rPr>
              <w:br w:type="textWrapping"/>
            </w:r>
            <w:r>
              <w:rPr>
                <w:rFonts w:hint="eastAsia" w:cs="宋体"/>
                <w:color w:val="auto"/>
                <w:kern w:val="0"/>
                <w:sz w:val="22"/>
                <w:szCs w:val="22"/>
              </w:rPr>
              <w:t>预警规则：参照现有综合监管系统中的相关功能进行预警，列入严重违法失信名单的企业法定代表人不列入预警。</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处理方式：触发预警条件后，在属地监管机构生成待办任务。直接在属地监管机构生成待办任务，如果属地监管机构是区局的，可以由区局分派到所队。</w:t>
            </w:r>
          </w:p>
        </w:tc>
      </w:tr>
      <w:tr w14:paraId="0C8F82E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3C35F6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305</w:t>
            </w:r>
          </w:p>
        </w:tc>
        <w:tc>
          <w:tcPr>
            <w:tcW w:w="1143" w:type="pct"/>
            <w:tcBorders>
              <w:top w:val="nil"/>
              <w:left w:val="nil"/>
              <w:bottom w:val="single" w:color="000000" w:sz="4" w:space="0"/>
              <w:right w:val="single" w:color="000000" w:sz="4" w:space="0"/>
            </w:tcBorders>
            <w:vAlign w:val="center"/>
          </w:tcPr>
          <w:p w14:paraId="1C9570A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49F9286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综合监管支撑服务功能-综合监管风险预警-实缴资本风险预警</w:t>
            </w:r>
          </w:p>
        </w:tc>
        <w:tc>
          <w:tcPr>
            <w:tcW w:w="2158" w:type="pct"/>
            <w:tcBorders>
              <w:top w:val="nil"/>
              <w:left w:val="nil"/>
              <w:bottom w:val="single" w:color="000000" w:sz="4" w:space="0"/>
              <w:right w:val="single" w:color="000000" w:sz="4" w:space="0"/>
            </w:tcBorders>
            <w:vAlign w:val="center"/>
          </w:tcPr>
          <w:p w14:paraId="30D29DD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数据来源：市场局企业信用信息公示系统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w:t>
            </w:r>
            <w:r>
              <w:rPr>
                <w:rFonts w:hint="eastAsia" w:cs="宋体"/>
                <w:color w:val="auto"/>
                <w:kern w:val="0"/>
                <w:sz w:val="22"/>
                <w:szCs w:val="22"/>
              </w:rPr>
              <w:br w:type="textWrapping"/>
            </w:r>
            <w:r>
              <w:rPr>
                <w:rFonts w:hint="eastAsia" w:cs="宋体"/>
                <w:color w:val="auto"/>
                <w:kern w:val="0"/>
                <w:sz w:val="22"/>
                <w:szCs w:val="22"/>
              </w:rPr>
              <w:t>ü对虚报注册资本取得市场主体登记的行政检查；</w:t>
            </w:r>
            <w:r>
              <w:rPr>
                <w:rFonts w:hint="eastAsia" w:cs="宋体"/>
                <w:color w:val="auto"/>
                <w:kern w:val="0"/>
                <w:sz w:val="22"/>
                <w:szCs w:val="22"/>
              </w:rPr>
              <w:br w:type="textWrapping"/>
            </w:r>
            <w:r>
              <w:rPr>
                <w:rFonts w:hint="eastAsia" w:cs="宋体"/>
                <w:color w:val="auto"/>
                <w:kern w:val="0"/>
                <w:sz w:val="22"/>
                <w:szCs w:val="22"/>
              </w:rPr>
              <w:t>ü对实行注册资本实缴登记制的市场主体的发起人、股东虚假出资，未交付或者未按期交付作为出资的货币或者非货币财产的行政检查；</w:t>
            </w:r>
            <w:r>
              <w:rPr>
                <w:rFonts w:hint="eastAsia" w:cs="宋体"/>
                <w:color w:val="auto"/>
                <w:kern w:val="0"/>
                <w:sz w:val="22"/>
                <w:szCs w:val="22"/>
              </w:rPr>
              <w:br w:type="textWrapping"/>
            </w:r>
            <w:r>
              <w:rPr>
                <w:rFonts w:hint="eastAsia" w:cs="宋体"/>
                <w:color w:val="auto"/>
                <w:kern w:val="0"/>
                <w:sz w:val="22"/>
                <w:szCs w:val="22"/>
              </w:rPr>
              <w:t>ü对实行注册资本实缴登记制的市场主体的发起人、股东在市场主体成立后抽逃出资的行政检查。</w:t>
            </w:r>
            <w:r>
              <w:rPr>
                <w:rFonts w:hint="eastAsia" w:cs="宋体"/>
                <w:color w:val="auto"/>
                <w:kern w:val="0"/>
                <w:sz w:val="22"/>
                <w:szCs w:val="22"/>
              </w:rPr>
              <w:br w:type="textWrapping"/>
            </w:r>
            <w:r>
              <w:rPr>
                <w:rFonts w:hint="eastAsia" w:cs="宋体"/>
                <w:color w:val="auto"/>
                <w:kern w:val="0"/>
                <w:sz w:val="22"/>
                <w:szCs w:val="22"/>
              </w:rPr>
              <w:t>预警规则：</w:t>
            </w:r>
            <w:r>
              <w:rPr>
                <w:rFonts w:hint="eastAsia" w:cs="宋体"/>
                <w:color w:val="auto"/>
                <w:kern w:val="0"/>
                <w:sz w:val="22"/>
                <w:szCs w:val="22"/>
              </w:rPr>
              <w:br w:type="textWrapping"/>
            </w:r>
            <w:r>
              <w:rPr>
                <w:rFonts w:hint="eastAsia" w:cs="宋体"/>
                <w:color w:val="auto"/>
                <w:kern w:val="0"/>
                <w:sz w:val="22"/>
                <w:szCs w:val="22"/>
              </w:rPr>
              <w:t>ü企业年报或即时公示信息中的实缴信息（含货币出资）总额大于100万元人民币，外资的需转换为人民币后计算；</w:t>
            </w:r>
            <w:r>
              <w:rPr>
                <w:rFonts w:hint="eastAsia" w:cs="宋体"/>
                <w:color w:val="auto"/>
                <w:kern w:val="0"/>
                <w:sz w:val="22"/>
                <w:szCs w:val="22"/>
              </w:rPr>
              <w:br w:type="textWrapping"/>
            </w:r>
            <w:r>
              <w:rPr>
                <w:rFonts w:hint="eastAsia" w:cs="宋体"/>
                <w:color w:val="auto"/>
                <w:kern w:val="0"/>
                <w:sz w:val="22"/>
                <w:szCs w:val="22"/>
              </w:rPr>
              <w:t>ü企业年报中的经营数据：资产总额、所有者权益合计、负债总额、营业总收入、主营业务收入、利润总额、净利润、纳税总额均为0；</w:t>
            </w:r>
            <w:r>
              <w:rPr>
                <w:rFonts w:hint="eastAsia" w:cs="宋体"/>
                <w:color w:val="auto"/>
                <w:kern w:val="0"/>
                <w:sz w:val="22"/>
                <w:szCs w:val="22"/>
              </w:rPr>
              <w:br w:type="textWrapping"/>
            </w:r>
            <w:r>
              <w:rPr>
                <w:rFonts w:hint="eastAsia" w:cs="宋体"/>
                <w:color w:val="auto"/>
                <w:kern w:val="0"/>
                <w:sz w:val="22"/>
                <w:szCs w:val="22"/>
              </w:rPr>
              <w:t>ü企业年报中的从业人数为0。</w:t>
            </w:r>
            <w:r>
              <w:rPr>
                <w:rFonts w:hint="eastAsia" w:cs="宋体"/>
                <w:color w:val="auto"/>
                <w:kern w:val="0"/>
                <w:sz w:val="22"/>
                <w:szCs w:val="22"/>
              </w:rPr>
              <w:br w:type="textWrapping"/>
            </w:r>
            <w:r>
              <w:rPr>
                <w:rFonts w:hint="eastAsia" w:cs="宋体"/>
                <w:color w:val="auto"/>
                <w:kern w:val="0"/>
                <w:sz w:val="22"/>
                <w:szCs w:val="22"/>
              </w:rPr>
              <w:t>ü企业年报数据读取范围：读取2024年年报数据，如未填报2024年年报，则读取2023年年报数据。</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处理方式：触发预警条件后，生成市局信用处的待办问题线索，信用处可以选择关闭或者分派处理。分派处理的，可逐级下派到区局、所队进行检查。</w:t>
            </w:r>
          </w:p>
        </w:tc>
      </w:tr>
      <w:tr w14:paraId="52D85E6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EA3620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306</w:t>
            </w:r>
          </w:p>
        </w:tc>
        <w:tc>
          <w:tcPr>
            <w:tcW w:w="1143" w:type="pct"/>
            <w:tcBorders>
              <w:top w:val="nil"/>
              <w:left w:val="nil"/>
              <w:bottom w:val="single" w:color="000000" w:sz="4" w:space="0"/>
              <w:right w:val="single" w:color="000000" w:sz="4" w:space="0"/>
            </w:tcBorders>
            <w:vAlign w:val="center"/>
          </w:tcPr>
          <w:p w14:paraId="1103795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28A3703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综合监管支撑服务功能-综合监管风险预警-电商平台亮照亮证风险预警</w:t>
            </w:r>
          </w:p>
        </w:tc>
        <w:tc>
          <w:tcPr>
            <w:tcW w:w="2158" w:type="pct"/>
            <w:tcBorders>
              <w:top w:val="nil"/>
              <w:left w:val="nil"/>
              <w:bottom w:val="single" w:color="000000" w:sz="4" w:space="0"/>
              <w:right w:val="single" w:color="000000" w:sz="4" w:space="0"/>
            </w:tcBorders>
            <w:vAlign w:val="center"/>
          </w:tcPr>
          <w:p w14:paraId="14E83B8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数据来源：网络交易监管系统</w:t>
            </w:r>
            <w:r>
              <w:rPr>
                <w:rFonts w:hint="eastAsia" w:cs="宋体"/>
                <w:color w:val="auto"/>
                <w:kern w:val="0"/>
                <w:sz w:val="22"/>
                <w:szCs w:val="22"/>
              </w:rPr>
              <w:br w:type="textWrapping"/>
            </w:r>
            <w:r>
              <w:rPr>
                <w:rFonts w:hint="eastAsia" w:cs="宋体"/>
                <w:color w:val="auto"/>
                <w:kern w:val="0"/>
                <w:sz w:val="22"/>
                <w:szCs w:val="22"/>
              </w:rPr>
              <w:t>模型类别：信用评价类</w:t>
            </w:r>
            <w:r>
              <w:rPr>
                <w:rFonts w:hint="eastAsia" w:cs="宋体"/>
                <w:color w:val="auto"/>
                <w:kern w:val="0"/>
                <w:sz w:val="22"/>
                <w:szCs w:val="22"/>
              </w:rPr>
              <w:br w:type="textWrapping"/>
            </w:r>
            <w:r>
              <w:rPr>
                <w:rFonts w:hint="eastAsia" w:cs="宋体"/>
                <w:color w:val="auto"/>
                <w:kern w:val="0"/>
                <w:sz w:val="22"/>
                <w:szCs w:val="22"/>
              </w:rPr>
              <w:t>检查情形：平台责任落实</w:t>
            </w:r>
            <w:r>
              <w:rPr>
                <w:rFonts w:hint="eastAsia" w:cs="宋体"/>
                <w:color w:val="auto"/>
                <w:kern w:val="0"/>
                <w:sz w:val="22"/>
                <w:szCs w:val="22"/>
              </w:rPr>
              <w:br w:type="textWrapping"/>
            </w:r>
            <w:r>
              <w:rPr>
                <w:rFonts w:hint="eastAsia" w:cs="宋体"/>
                <w:color w:val="auto"/>
                <w:kern w:val="0"/>
                <w:sz w:val="22"/>
                <w:szCs w:val="22"/>
              </w:rPr>
              <w:t>预警规则：通过网络监测抽查电商平台内经营者公示资质情况（营业执照、行政许可、自我声明），平台内公示率低于90%的平台企业列入预警名单。</w:t>
            </w:r>
            <w:r>
              <w:rPr>
                <w:rFonts w:hint="eastAsia" w:cs="宋体"/>
                <w:color w:val="auto"/>
                <w:kern w:val="0"/>
                <w:sz w:val="22"/>
                <w:szCs w:val="22"/>
              </w:rPr>
              <w:br w:type="textWrapping"/>
            </w:r>
            <w:r>
              <w:rPr>
                <w:rFonts w:hint="eastAsia" w:cs="宋体"/>
                <w:color w:val="auto"/>
                <w:kern w:val="0"/>
                <w:sz w:val="22"/>
                <w:szCs w:val="22"/>
              </w:rPr>
              <w:t>计算频次：每年1次</w:t>
            </w:r>
            <w:r>
              <w:rPr>
                <w:rFonts w:hint="eastAsia" w:cs="宋体"/>
                <w:color w:val="auto"/>
                <w:kern w:val="0"/>
                <w:sz w:val="22"/>
                <w:szCs w:val="22"/>
              </w:rPr>
              <w:br w:type="textWrapping"/>
            </w:r>
            <w:r>
              <w:rPr>
                <w:rFonts w:hint="eastAsia" w:cs="宋体"/>
                <w:color w:val="auto"/>
                <w:kern w:val="0"/>
                <w:sz w:val="22"/>
                <w:szCs w:val="22"/>
              </w:rPr>
              <w:t>处理方式：提示属地市场监管部门。</w:t>
            </w:r>
          </w:p>
        </w:tc>
      </w:tr>
      <w:tr w14:paraId="4212F09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7E159B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307</w:t>
            </w:r>
          </w:p>
        </w:tc>
        <w:tc>
          <w:tcPr>
            <w:tcW w:w="1143" w:type="pct"/>
            <w:tcBorders>
              <w:top w:val="nil"/>
              <w:left w:val="nil"/>
              <w:bottom w:val="single" w:color="000000" w:sz="4" w:space="0"/>
              <w:right w:val="single" w:color="000000" w:sz="4" w:space="0"/>
            </w:tcBorders>
            <w:vAlign w:val="center"/>
          </w:tcPr>
          <w:p w14:paraId="3537DEA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755735A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综合监管支撑服务功能-综合监管风险预警-网络监测风险预警</w:t>
            </w:r>
          </w:p>
        </w:tc>
        <w:tc>
          <w:tcPr>
            <w:tcW w:w="2158" w:type="pct"/>
            <w:tcBorders>
              <w:top w:val="nil"/>
              <w:left w:val="nil"/>
              <w:bottom w:val="single" w:color="000000" w:sz="4" w:space="0"/>
              <w:right w:val="single" w:color="000000" w:sz="4" w:space="0"/>
            </w:tcBorders>
            <w:vAlign w:val="center"/>
          </w:tcPr>
          <w:p w14:paraId="51AA9D2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数据来源：网络监测系统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检查情形：平台责任落实</w:t>
            </w:r>
            <w:r>
              <w:rPr>
                <w:rFonts w:hint="eastAsia" w:cs="宋体"/>
                <w:color w:val="auto"/>
                <w:kern w:val="0"/>
                <w:sz w:val="22"/>
                <w:szCs w:val="22"/>
              </w:rPr>
              <w:br w:type="textWrapping"/>
            </w:r>
            <w:r>
              <w:rPr>
                <w:rFonts w:hint="eastAsia" w:cs="宋体"/>
                <w:color w:val="auto"/>
                <w:kern w:val="0"/>
                <w:sz w:val="22"/>
                <w:szCs w:val="22"/>
              </w:rPr>
              <w:t>预警规则：预警信息由网络监测系统中生成。</w:t>
            </w:r>
            <w:r>
              <w:rPr>
                <w:rFonts w:hint="eastAsia" w:cs="宋体"/>
                <w:color w:val="auto"/>
                <w:kern w:val="0"/>
                <w:sz w:val="22"/>
                <w:szCs w:val="22"/>
              </w:rPr>
              <w:br w:type="textWrapping"/>
            </w:r>
            <w:r>
              <w:rPr>
                <w:rFonts w:hint="eastAsia" w:cs="宋体"/>
                <w:color w:val="auto"/>
                <w:kern w:val="0"/>
                <w:sz w:val="22"/>
                <w:szCs w:val="22"/>
              </w:rPr>
              <w:t>计算频次：用户手工导入线索文件（excel文件）后，进行及时计算。</w:t>
            </w:r>
            <w:r>
              <w:rPr>
                <w:rFonts w:hint="eastAsia" w:cs="宋体"/>
                <w:color w:val="auto"/>
                <w:kern w:val="0"/>
                <w:sz w:val="22"/>
                <w:szCs w:val="22"/>
              </w:rPr>
              <w:br w:type="textWrapping"/>
            </w:r>
            <w:r>
              <w:rPr>
                <w:rFonts w:hint="eastAsia" w:cs="宋体"/>
                <w:color w:val="auto"/>
                <w:kern w:val="0"/>
                <w:sz w:val="22"/>
                <w:szCs w:val="22"/>
              </w:rPr>
              <w:t>处理方式：网络监测系统中生成的预警信息需接入一体化平台预警中心，生成待办任务。待办任务发到属地市场监管部门。</w:t>
            </w:r>
          </w:p>
        </w:tc>
      </w:tr>
      <w:tr w14:paraId="794895F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BDCACC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308</w:t>
            </w:r>
          </w:p>
        </w:tc>
        <w:tc>
          <w:tcPr>
            <w:tcW w:w="1143" w:type="pct"/>
            <w:tcBorders>
              <w:top w:val="nil"/>
              <w:left w:val="nil"/>
              <w:bottom w:val="single" w:color="000000" w:sz="4" w:space="0"/>
              <w:right w:val="single" w:color="000000" w:sz="4" w:space="0"/>
            </w:tcBorders>
            <w:vAlign w:val="center"/>
          </w:tcPr>
          <w:p w14:paraId="57F7B1E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74097F3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综合监管支撑服务功能-综合监管风险预警-广告违法行为预警</w:t>
            </w:r>
          </w:p>
        </w:tc>
        <w:tc>
          <w:tcPr>
            <w:tcW w:w="2158" w:type="pct"/>
            <w:tcBorders>
              <w:top w:val="nil"/>
              <w:left w:val="nil"/>
              <w:bottom w:val="single" w:color="000000" w:sz="4" w:space="0"/>
              <w:right w:val="single" w:color="000000" w:sz="4" w:space="0"/>
            </w:tcBorders>
            <w:vAlign w:val="center"/>
          </w:tcPr>
          <w:p w14:paraId="1311EA0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行政处罚系统中，需对涉及以下两类广告违法行为的企业进行标记。</w:t>
            </w:r>
            <w:r>
              <w:rPr>
                <w:rFonts w:hint="eastAsia" w:cs="宋体"/>
                <w:color w:val="auto"/>
                <w:kern w:val="0"/>
                <w:sz w:val="22"/>
                <w:szCs w:val="22"/>
              </w:rPr>
              <w:br w:type="textWrapping"/>
            </w:r>
            <w:r>
              <w:rPr>
                <w:rFonts w:hint="eastAsia" w:cs="宋体"/>
                <w:color w:val="auto"/>
                <w:kern w:val="0"/>
                <w:sz w:val="22"/>
                <w:szCs w:val="22"/>
              </w:rPr>
              <w:t>ü两年内收到两次以上虚假广告行政处罚的企业。</w:t>
            </w:r>
            <w:r>
              <w:rPr>
                <w:rFonts w:hint="eastAsia" w:cs="宋体"/>
                <w:color w:val="auto"/>
                <w:kern w:val="0"/>
                <w:sz w:val="22"/>
                <w:szCs w:val="22"/>
              </w:rPr>
              <w:br w:type="textWrapping"/>
            </w:r>
            <w:r>
              <w:rPr>
                <w:rFonts w:hint="eastAsia" w:cs="宋体"/>
                <w:color w:val="auto"/>
                <w:kern w:val="0"/>
                <w:sz w:val="22"/>
                <w:szCs w:val="22"/>
              </w:rPr>
              <w:t>ü违反《广告法》第六十四条规定限制广告审查的企业。</w:t>
            </w:r>
            <w:r>
              <w:rPr>
                <w:rFonts w:hint="eastAsia" w:cs="宋体"/>
                <w:color w:val="auto"/>
                <w:kern w:val="0"/>
                <w:sz w:val="22"/>
                <w:szCs w:val="22"/>
              </w:rPr>
              <w:br w:type="textWrapping"/>
            </w:r>
            <w:r>
              <w:rPr>
                <w:rFonts w:hint="eastAsia" w:cs="宋体"/>
                <w:color w:val="auto"/>
                <w:kern w:val="0"/>
                <w:sz w:val="22"/>
                <w:szCs w:val="22"/>
              </w:rPr>
              <w:t>违法线索查处时，若关联的当事企业涉及以上广告违法行为，则需在系统中进行风险预警提示。</w:t>
            </w:r>
          </w:p>
        </w:tc>
      </w:tr>
      <w:tr w14:paraId="4D97C77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CBC6B2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309</w:t>
            </w:r>
          </w:p>
        </w:tc>
        <w:tc>
          <w:tcPr>
            <w:tcW w:w="1143" w:type="pct"/>
            <w:tcBorders>
              <w:top w:val="nil"/>
              <w:left w:val="nil"/>
              <w:bottom w:val="single" w:color="000000" w:sz="4" w:space="0"/>
              <w:right w:val="single" w:color="000000" w:sz="4" w:space="0"/>
            </w:tcBorders>
            <w:vAlign w:val="center"/>
          </w:tcPr>
          <w:p w14:paraId="59BAECC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DA2128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综合监管支撑服务功能-综合监管风险预警-广告监测风险预警</w:t>
            </w:r>
          </w:p>
        </w:tc>
        <w:tc>
          <w:tcPr>
            <w:tcW w:w="2158" w:type="pct"/>
            <w:tcBorders>
              <w:top w:val="nil"/>
              <w:left w:val="nil"/>
              <w:bottom w:val="single" w:color="000000" w:sz="4" w:space="0"/>
              <w:right w:val="single" w:color="000000" w:sz="4" w:space="0"/>
            </w:tcBorders>
            <w:vAlign w:val="center"/>
          </w:tcPr>
          <w:p w14:paraId="05F0C6A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数据来源：广告监测系统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检查情形：平台责任落实</w:t>
            </w:r>
            <w:r>
              <w:rPr>
                <w:rFonts w:hint="eastAsia" w:cs="宋体"/>
                <w:color w:val="auto"/>
                <w:kern w:val="0"/>
                <w:sz w:val="22"/>
                <w:szCs w:val="22"/>
              </w:rPr>
              <w:br w:type="textWrapping"/>
            </w:r>
            <w:r>
              <w:rPr>
                <w:rFonts w:hint="eastAsia" w:cs="宋体"/>
                <w:color w:val="auto"/>
                <w:kern w:val="0"/>
                <w:sz w:val="22"/>
                <w:szCs w:val="22"/>
              </w:rPr>
              <w:t>预警规则：预警信息由广告监测系统生成。</w:t>
            </w:r>
            <w:r>
              <w:rPr>
                <w:rFonts w:hint="eastAsia" w:cs="宋体"/>
                <w:color w:val="auto"/>
                <w:kern w:val="0"/>
                <w:sz w:val="22"/>
                <w:szCs w:val="22"/>
              </w:rPr>
              <w:br w:type="textWrapping"/>
            </w:r>
            <w:r>
              <w:rPr>
                <w:rFonts w:hint="eastAsia" w:cs="宋体"/>
                <w:color w:val="auto"/>
                <w:kern w:val="0"/>
                <w:sz w:val="22"/>
                <w:szCs w:val="22"/>
              </w:rPr>
              <w:t>计算频次：实时</w:t>
            </w:r>
            <w:r>
              <w:rPr>
                <w:rFonts w:hint="eastAsia" w:cs="宋体"/>
                <w:color w:val="auto"/>
                <w:kern w:val="0"/>
                <w:sz w:val="22"/>
                <w:szCs w:val="22"/>
              </w:rPr>
              <w:br w:type="textWrapping"/>
            </w:r>
            <w:r>
              <w:rPr>
                <w:rFonts w:hint="eastAsia" w:cs="宋体"/>
                <w:color w:val="auto"/>
                <w:kern w:val="0"/>
                <w:sz w:val="22"/>
                <w:szCs w:val="22"/>
              </w:rPr>
              <w:t>处理方式：将广告监测系统发现的涉嫌严重违法广告线索接入一体化平台预警中心，生成待办任务。待办任务发到属地市场监管部门。</w:t>
            </w:r>
          </w:p>
        </w:tc>
      </w:tr>
      <w:tr w14:paraId="2D37D52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F8CB2A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310</w:t>
            </w:r>
          </w:p>
        </w:tc>
        <w:tc>
          <w:tcPr>
            <w:tcW w:w="1143" w:type="pct"/>
            <w:tcBorders>
              <w:top w:val="nil"/>
              <w:left w:val="nil"/>
              <w:bottom w:val="single" w:color="000000" w:sz="4" w:space="0"/>
              <w:right w:val="single" w:color="000000" w:sz="4" w:space="0"/>
            </w:tcBorders>
            <w:vAlign w:val="center"/>
          </w:tcPr>
          <w:p w14:paraId="2578EDD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48788D5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综合监管支撑服务功能-综合监管风险预警-媒体广告发布单位广告风险预警</w:t>
            </w:r>
          </w:p>
        </w:tc>
        <w:tc>
          <w:tcPr>
            <w:tcW w:w="2158" w:type="pct"/>
            <w:tcBorders>
              <w:top w:val="nil"/>
              <w:left w:val="nil"/>
              <w:bottom w:val="single" w:color="000000" w:sz="4" w:space="0"/>
              <w:right w:val="single" w:color="000000" w:sz="4" w:space="0"/>
            </w:tcBorders>
            <w:vAlign w:val="center"/>
          </w:tcPr>
          <w:p w14:paraId="3EF2E32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数据来源：广告监测系统</w:t>
            </w:r>
            <w:r>
              <w:rPr>
                <w:rFonts w:hint="eastAsia" w:cs="宋体"/>
                <w:color w:val="auto"/>
                <w:kern w:val="0"/>
                <w:sz w:val="22"/>
                <w:szCs w:val="22"/>
              </w:rPr>
              <w:br w:type="textWrapping"/>
            </w:r>
            <w:r>
              <w:rPr>
                <w:rFonts w:hint="eastAsia" w:cs="宋体"/>
                <w:color w:val="auto"/>
                <w:kern w:val="0"/>
                <w:sz w:val="22"/>
                <w:szCs w:val="22"/>
              </w:rPr>
              <w:t>模型类别：信用评价类</w:t>
            </w:r>
            <w:r>
              <w:rPr>
                <w:rFonts w:hint="eastAsia" w:cs="宋体"/>
                <w:color w:val="auto"/>
                <w:kern w:val="0"/>
                <w:sz w:val="22"/>
                <w:szCs w:val="22"/>
              </w:rPr>
              <w:br w:type="textWrapping"/>
            </w:r>
            <w:r>
              <w:rPr>
                <w:rFonts w:hint="eastAsia" w:cs="宋体"/>
                <w:color w:val="auto"/>
                <w:kern w:val="0"/>
                <w:sz w:val="22"/>
                <w:szCs w:val="22"/>
              </w:rPr>
              <w:t>检查情形：媒体广告发布</w:t>
            </w:r>
            <w:r>
              <w:rPr>
                <w:rFonts w:hint="eastAsia" w:cs="宋体"/>
                <w:color w:val="auto"/>
                <w:kern w:val="0"/>
                <w:sz w:val="22"/>
                <w:szCs w:val="22"/>
              </w:rPr>
              <w:br w:type="textWrapping"/>
            </w:r>
            <w:r>
              <w:rPr>
                <w:rFonts w:hint="eastAsia" w:cs="宋体"/>
                <w:color w:val="auto"/>
                <w:kern w:val="0"/>
                <w:sz w:val="22"/>
                <w:szCs w:val="22"/>
              </w:rPr>
              <w:t>预警规则：预警信息由广告监测系统生成。</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处理方式：广告监测系统中生成的预警信息需接入一体化平台预警中心，提示广告发布单位属地监管单位。</w:t>
            </w:r>
          </w:p>
        </w:tc>
      </w:tr>
      <w:tr w14:paraId="6E72D99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D909FE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311</w:t>
            </w:r>
          </w:p>
        </w:tc>
        <w:tc>
          <w:tcPr>
            <w:tcW w:w="1143" w:type="pct"/>
            <w:tcBorders>
              <w:top w:val="nil"/>
              <w:left w:val="nil"/>
              <w:bottom w:val="single" w:color="000000" w:sz="4" w:space="0"/>
              <w:right w:val="single" w:color="000000" w:sz="4" w:space="0"/>
            </w:tcBorders>
            <w:vAlign w:val="center"/>
          </w:tcPr>
          <w:p w14:paraId="7E6B561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057F9CD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综合监管支撑服务功能-综合监管风险预警-产品质量安全风险监测预警</w:t>
            </w:r>
          </w:p>
        </w:tc>
        <w:tc>
          <w:tcPr>
            <w:tcW w:w="2158" w:type="pct"/>
            <w:tcBorders>
              <w:top w:val="nil"/>
              <w:left w:val="nil"/>
              <w:bottom w:val="single" w:color="000000" w:sz="4" w:space="0"/>
              <w:right w:val="single" w:color="000000" w:sz="4" w:space="0"/>
            </w:tcBorders>
            <w:vAlign w:val="center"/>
          </w:tcPr>
          <w:p w14:paraId="53F5A80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数据来源：产品质量管理系统</w:t>
            </w:r>
            <w:r>
              <w:rPr>
                <w:rFonts w:hint="eastAsia" w:cs="宋体"/>
                <w:color w:val="auto"/>
                <w:kern w:val="0"/>
                <w:sz w:val="22"/>
                <w:szCs w:val="22"/>
              </w:rPr>
              <w:br w:type="textWrapping"/>
            </w:r>
            <w:r>
              <w:rPr>
                <w:rFonts w:hint="eastAsia" w:cs="宋体"/>
                <w:color w:val="auto"/>
                <w:kern w:val="0"/>
                <w:sz w:val="22"/>
                <w:szCs w:val="22"/>
              </w:rPr>
              <w:t>模型类别：信用评价类</w:t>
            </w:r>
            <w:r>
              <w:rPr>
                <w:rFonts w:hint="eastAsia" w:cs="宋体"/>
                <w:color w:val="auto"/>
                <w:kern w:val="0"/>
                <w:sz w:val="22"/>
                <w:szCs w:val="22"/>
              </w:rPr>
              <w:br w:type="textWrapping"/>
            </w:r>
            <w:r>
              <w:rPr>
                <w:rFonts w:hint="eastAsia" w:cs="宋体"/>
                <w:color w:val="auto"/>
                <w:kern w:val="0"/>
                <w:sz w:val="22"/>
                <w:szCs w:val="22"/>
              </w:rPr>
              <w:t>检查情形：</w:t>
            </w:r>
            <w:r>
              <w:rPr>
                <w:rFonts w:hint="eastAsia" w:cs="宋体"/>
                <w:color w:val="auto"/>
                <w:kern w:val="0"/>
                <w:sz w:val="22"/>
                <w:szCs w:val="22"/>
              </w:rPr>
              <w:br w:type="textWrapping"/>
            </w:r>
            <w:r>
              <w:rPr>
                <w:rFonts w:hint="eastAsia" w:cs="宋体"/>
                <w:color w:val="auto"/>
                <w:kern w:val="0"/>
                <w:sz w:val="22"/>
                <w:szCs w:val="22"/>
              </w:rPr>
              <w:t>ü对生产、销售掺杂、掺假，以假充真，以次充好，或者以不合格冒充合格产品的行政检查（生产者）；</w:t>
            </w:r>
            <w:r>
              <w:rPr>
                <w:rFonts w:hint="eastAsia" w:cs="宋体"/>
                <w:color w:val="auto"/>
                <w:kern w:val="0"/>
                <w:sz w:val="22"/>
                <w:szCs w:val="22"/>
              </w:rPr>
              <w:br w:type="textWrapping"/>
            </w:r>
            <w:r>
              <w:rPr>
                <w:rFonts w:hint="eastAsia" w:cs="宋体"/>
                <w:color w:val="auto"/>
                <w:kern w:val="0"/>
                <w:sz w:val="22"/>
                <w:szCs w:val="22"/>
              </w:rPr>
              <w:t>ü对生产、销售掺杂、掺假，以假充真，以次充好，或者以不合格冒充合格产品的行政检查（销售者）；</w:t>
            </w:r>
            <w:r>
              <w:rPr>
                <w:rFonts w:hint="eastAsia" w:cs="宋体"/>
                <w:color w:val="auto"/>
                <w:kern w:val="0"/>
                <w:sz w:val="22"/>
                <w:szCs w:val="22"/>
              </w:rPr>
              <w:br w:type="textWrapping"/>
            </w:r>
            <w:r>
              <w:rPr>
                <w:rFonts w:hint="eastAsia" w:cs="宋体"/>
                <w:color w:val="auto"/>
                <w:kern w:val="0"/>
                <w:sz w:val="22"/>
                <w:szCs w:val="22"/>
              </w:rPr>
              <w:t>ü对取得生产许可证后国抽或省抽不合格的企业的行政检查（生产列入目录产品的企业）；</w:t>
            </w:r>
            <w:r>
              <w:rPr>
                <w:rFonts w:hint="eastAsia" w:cs="宋体"/>
                <w:color w:val="auto"/>
                <w:kern w:val="0"/>
                <w:sz w:val="22"/>
                <w:szCs w:val="22"/>
              </w:rPr>
              <w:br w:type="textWrapping"/>
            </w:r>
            <w:r>
              <w:rPr>
                <w:rFonts w:hint="eastAsia" w:cs="宋体"/>
                <w:color w:val="auto"/>
                <w:kern w:val="0"/>
                <w:sz w:val="22"/>
                <w:szCs w:val="22"/>
              </w:rPr>
              <w:t>ü对工业产品生产单位落实质量安全主体责任的检查（生产单位）；</w:t>
            </w:r>
            <w:r>
              <w:rPr>
                <w:rFonts w:hint="eastAsia" w:cs="宋体"/>
                <w:color w:val="auto"/>
                <w:kern w:val="0"/>
                <w:sz w:val="22"/>
                <w:szCs w:val="22"/>
              </w:rPr>
              <w:br w:type="textWrapping"/>
            </w:r>
            <w:r>
              <w:rPr>
                <w:rFonts w:hint="eastAsia" w:cs="宋体"/>
                <w:color w:val="auto"/>
                <w:kern w:val="0"/>
                <w:sz w:val="22"/>
                <w:szCs w:val="22"/>
              </w:rPr>
              <w:t>ü对工业产品生产单位落实质量安全主体责任的检查（销售单位）。</w:t>
            </w:r>
            <w:r>
              <w:rPr>
                <w:rFonts w:hint="eastAsia" w:cs="宋体"/>
                <w:color w:val="auto"/>
                <w:kern w:val="0"/>
                <w:sz w:val="22"/>
                <w:szCs w:val="22"/>
              </w:rPr>
              <w:br w:type="textWrapping"/>
            </w:r>
            <w:r>
              <w:rPr>
                <w:rFonts w:hint="eastAsia" w:cs="宋体"/>
                <w:color w:val="auto"/>
                <w:kern w:val="0"/>
                <w:sz w:val="22"/>
                <w:szCs w:val="22"/>
              </w:rPr>
              <w:t>预警规则：对2年内监督抽查有不合格的生产企业或销售企业进行预警。一体化平台每月月初对当日之前两年内有1次或2次不合格情况进行普通预警提醒；对3次及以上不合格情况进行高频预警提醒。</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处理方式：一体化平台预警提示信息栏展示预警信息，监管干部点击“阅知”按钮可确认取消本次预警。预警提醒到属地所。</w:t>
            </w:r>
          </w:p>
        </w:tc>
      </w:tr>
      <w:tr w14:paraId="1BD72B9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4068F9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312</w:t>
            </w:r>
          </w:p>
        </w:tc>
        <w:tc>
          <w:tcPr>
            <w:tcW w:w="1143" w:type="pct"/>
            <w:tcBorders>
              <w:top w:val="nil"/>
              <w:left w:val="nil"/>
              <w:bottom w:val="single" w:color="000000" w:sz="4" w:space="0"/>
              <w:right w:val="single" w:color="000000" w:sz="4" w:space="0"/>
            </w:tcBorders>
            <w:vAlign w:val="center"/>
          </w:tcPr>
          <w:p w14:paraId="4F2AE13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CC3F0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综合监管支撑服务功能-综合监管风险预警-食品生产企业主体存在异常预警</w:t>
            </w:r>
          </w:p>
        </w:tc>
        <w:tc>
          <w:tcPr>
            <w:tcW w:w="2158" w:type="pct"/>
            <w:tcBorders>
              <w:top w:val="nil"/>
              <w:left w:val="nil"/>
              <w:bottom w:val="single" w:color="000000" w:sz="4" w:space="0"/>
              <w:right w:val="single" w:color="000000" w:sz="4" w:space="0"/>
            </w:tcBorders>
            <w:vAlign w:val="center"/>
          </w:tcPr>
          <w:p w14:paraId="78F71C4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数据来源：企业信用风险分类系统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检查情形：对A类食品生产企业的行政检查</w:t>
            </w:r>
            <w:r>
              <w:rPr>
                <w:rFonts w:hint="eastAsia" w:cs="宋体"/>
                <w:color w:val="auto"/>
                <w:kern w:val="0"/>
                <w:sz w:val="22"/>
                <w:szCs w:val="22"/>
              </w:rPr>
              <w:br w:type="textWrapping"/>
            </w:r>
            <w:r>
              <w:rPr>
                <w:rFonts w:hint="eastAsia" w:cs="宋体"/>
                <w:color w:val="auto"/>
                <w:kern w:val="0"/>
                <w:sz w:val="22"/>
                <w:szCs w:val="22"/>
              </w:rPr>
              <w:t>预警规则：预警信息由企业信用风险分类系统中生成。</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处理方式：企业信用风险分类系统中生成的预警信息需接入一体化平台预警中心，生成待办任务。任务发给企业属地监管所，若不能确定属地监管所，则发给对应的区局食品生产科或区局特食科。</w:t>
            </w:r>
          </w:p>
        </w:tc>
      </w:tr>
      <w:tr w14:paraId="226CBE6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3D785D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313</w:t>
            </w:r>
          </w:p>
        </w:tc>
        <w:tc>
          <w:tcPr>
            <w:tcW w:w="1143" w:type="pct"/>
            <w:tcBorders>
              <w:top w:val="nil"/>
              <w:left w:val="nil"/>
              <w:bottom w:val="single" w:color="000000" w:sz="4" w:space="0"/>
              <w:right w:val="single" w:color="000000" w:sz="4" w:space="0"/>
            </w:tcBorders>
            <w:vAlign w:val="center"/>
          </w:tcPr>
          <w:p w14:paraId="33B45E3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AA9AB5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综合监管支撑服务功能-综合监管风险预警-特殊食品生产企业主体存在异常预警</w:t>
            </w:r>
          </w:p>
        </w:tc>
        <w:tc>
          <w:tcPr>
            <w:tcW w:w="2158" w:type="pct"/>
            <w:tcBorders>
              <w:top w:val="nil"/>
              <w:left w:val="nil"/>
              <w:bottom w:val="single" w:color="000000" w:sz="4" w:space="0"/>
              <w:right w:val="single" w:color="000000" w:sz="4" w:space="0"/>
            </w:tcBorders>
            <w:vAlign w:val="center"/>
          </w:tcPr>
          <w:p w14:paraId="606FC1D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数据来源：企业信用风险分类系统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检查情形：对特殊食品生产企业的的行政检查（A类企业）</w:t>
            </w:r>
            <w:r>
              <w:rPr>
                <w:rFonts w:hint="eastAsia" w:cs="宋体"/>
                <w:color w:val="auto"/>
                <w:kern w:val="0"/>
                <w:sz w:val="22"/>
                <w:szCs w:val="22"/>
              </w:rPr>
              <w:br w:type="textWrapping"/>
            </w:r>
            <w:r>
              <w:rPr>
                <w:rFonts w:hint="eastAsia" w:cs="宋体"/>
                <w:color w:val="auto"/>
                <w:kern w:val="0"/>
                <w:sz w:val="22"/>
                <w:szCs w:val="22"/>
              </w:rPr>
              <w:t>预警规则：预警信息由企业信用风险分类系统中生成。</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处理方式：企业信用风险分类系统中生成的预警信息需接入一体化平台预警中心，生成待办任务。任务发给企业属地监管所，若不能确定属地监管所，则发给对应的区局食品生产科或区局特食科。</w:t>
            </w:r>
          </w:p>
        </w:tc>
      </w:tr>
      <w:tr w14:paraId="71FBC53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659A2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314</w:t>
            </w:r>
          </w:p>
        </w:tc>
        <w:tc>
          <w:tcPr>
            <w:tcW w:w="1143" w:type="pct"/>
            <w:tcBorders>
              <w:top w:val="nil"/>
              <w:left w:val="nil"/>
              <w:bottom w:val="single" w:color="000000" w:sz="4" w:space="0"/>
              <w:right w:val="single" w:color="000000" w:sz="4" w:space="0"/>
            </w:tcBorders>
            <w:vAlign w:val="center"/>
          </w:tcPr>
          <w:p w14:paraId="5299C5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AE647E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综合监管支撑服务功能-综合监管风险预警-食品经营许可证临期提醒（流通、餐饮）</w:t>
            </w:r>
          </w:p>
        </w:tc>
        <w:tc>
          <w:tcPr>
            <w:tcW w:w="2158" w:type="pct"/>
            <w:tcBorders>
              <w:top w:val="nil"/>
              <w:left w:val="nil"/>
              <w:bottom w:val="single" w:color="000000" w:sz="4" w:space="0"/>
              <w:right w:val="single" w:color="000000" w:sz="4" w:space="0"/>
            </w:tcBorders>
            <w:vAlign w:val="center"/>
          </w:tcPr>
          <w:p w14:paraId="642D670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数据来源：许可系统</w:t>
            </w:r>
            <w:r>
              <w:rPr>
                <w:rFonts w:hint="eastAsia" w:cs="宋体"/>
                <w:color w:val="auto"/>
                <w:kern w:val="0"/>
                <w:sz w:val="22"/>
                <w:szCs w:val="22"/>
              </w:rPr>
              <w:br w:type="textWrapping"/>
            </w:r>
            <w:r>
              <w:rPr>
                <w:rFonts w:hint="eastAsia" w:cs="宋体"/>
                <w:color w:val="auto"/>
                <w:kern w:val="0"/>
                <w:sz w:val="22"/>
                <w:szCs w:val="22"/>
              </w:rPr>
              <w:t>模型类别：信用评价类</w:t>
            </w:r>
            <w:r>
              <w:rPr>
                <w:rFonts w:hint="eastAsia" w:cs="宋体"/>
                <w:color w:val="auto"/>
                <w:kern w:val="0"/>
                <w:sz w:val="22"/>
                <w:szCs w:val="22"/>
              </w:rPr>
              <w:br w:type="textWrapping"/>
            </w:r>
            <w:r>
              <w:rPr>
                <w:rFonts w:hint="eastAsia" w:cs="宋体"/>
                <w:color w:val="auto"/>
                <w:kern w:val="0"/>
                <w:sz w:val="22"/>
                <w:szCs w:val="22"/>
              </w:rPr>
              <w:t xml:space="preserve">检查情形：食品经营许可证有效期 </w:t>
            </w:r>
            <w:r>
              <w:rPr>
                <w:rFonts w:hint="eastAsia" w:cs="宋体"/>
                <w:color w:val="auto"/>
                <w:kern w:val="0"/>
                <w:sz w:val="22"/>
                <w:szCs w:val="22"/>
              </w:rPr>
              <w:br w:type="textWrapping"/>
            </w:r>
            <w:r>
              <w:rPr>
                <w:rFonts w:hint="eastAsia" w:cs="宋体"/>
                <w:color w:val="auto"/>
                <w:kern w:val="0"/>
                <w:sz w:val="22"/>
                <w:szCs w:val="22"/>
              </w:rPr>
              <w:t>预警规则：食品经营许可证到期前15天进行预警。</w:t>
            </w:r>
            <w:r>
              <w:rPr>
                <w:rFonts w:hint="eastAsia" w:cs="宋体"/>
                <w:color w:val="auto"/>
                <w:kern w:val="0"/>
                <w:sz w:val="22"/>
                <w:szCs w:val="22"/>
              </w:rPr>
              <w:br w:type="textWrapping"/>
            </w:r>
            <w:r>
              <w:rPr>
                <w:rFonts w:hint="eastAsia" w:cs="宋体"/>
                <w:color w:val="auto"/>
                <w:kern w:val="0"/>
                <w:sz w:val="22"/>
                <w:szCs w:val="22"/>
              </w:rPr>
              <w:t>计算频次：每年1次</w:t>
            </w:r>
            <w:r>
              <w:rPr>
                <w:rFonts w:hint="eastAsia" w:cs="宋体"/>
                <w:color w:val="auto"/>
                <w:kern w:val="0"/>
                <w:sz w:val="22"/>
                <w:szCs w:val="22"/>
              </w:rPr>
              <w:br w:type="textWrapping"/>
            </w:r>
            <w:r>
              <w:rPr>
                <w:rFonts w:hint="eastAsia" w:cs="宋体"/>
                <w:color w:val="auto"/>
                <w:kern w:val="0"/>
                <w:sz w:val="22"/>
                <w:szCs w:val="22"/>
              </w:rPr>
              <w:t>处理方式：预警信息提醒。</w:t>
            </w:r>
          </w:p>
        </w:tc>
      </w:tr>
      <w:tr w14:paraId="7969200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3DB83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315</w:t>
            </w:r>
          </w:p>
        </w:tc>
        <w:tc>
          <w:tcPr>
            <w:tcW w:w="1143" w:type="pct"/>
            <w:tcBorders>
              <w:top w:val="nil"/>
              <w:left w:val="nil"/>
              <w:bottom w:val="single" w:color="000000" w:sz="4" w:space="0"/>
              <w:right w:val="single" w:color="000000" w:sz="4" w:space="0"/>
            </w:tcBorders>
            <w:vAlign w:val="center"/>
          </w:tcPr>
          <w:p w14:paraId="6D001B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9A2C4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综合监管支撑服务功能-综合监管风险预警-食品抽检风险预警</w:t>
            </w:r>
          </w:p>
        </w:tc>
        <w:tc>
          <w:tcPr>
            <w:tcW w:w="2158" w:type="pct"/>
            <w:tcBorders>
              <w:top w:val="nil"/>
              <w:left w:val="nil"/>
              <w:bottom w:val="single" w:color="000000" w:sz="4" w:space="0"/>
              <w:right w:val="single" w:color="000000" w:sz="4" w:space="0"/>
            </w:tcBorders>
            <w:vAlign w:val="center"/>
          </w:tcPr>
          <w:p w14:paraId="6392E0A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数据来源：食品安全信息追溯系统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检查情形：根据企业许可证对应检查事项</w:t>
            </w:r>
            <w:r>
              <w:rPr>
                <w:rFonts w:hint="eastAsia" w:cs="宋体"/>
                <w:color w:val="auto"/>
                <w:kern w:val="0"/>
                <w:sz w:val="22"/>
                <w:szCs w:val="22"/>
              </w:rPr>
              <w:br w:type="textWrapping"/>
            </w:r>
            <w:r>
              <w:rPr>
                <w:rFonts w:hint="eastAsia" w:cs="宋体"/>
                <w:color w:val="auto"/>
                <w:kern w:val="0"/>
                <w:sz w:val="22"/>
                <w:szCs w:val="22"/>
              </w:rPr>
              <w:t>预警规则：预警信息由食品安全信息追溯系统生成。</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食品安全信息追溯系统中生成的预警信息需接入一体化平台预警中心，生成待办任务。待办任务发到区局科里（根据主体食品许可证类型到具体科室，有食品生产许可证到食品生产领域对应科室，有其他食品许可证到食品经营领域对应科室）。</w:t>
            </w:r>
          </w:p>
        </w:tc>
      </w:tr>
      <w:tr w14:paraId="6F17EA0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476D1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316</w:t>
            </w:r>
          </w:p>
        </w:tc>
        <w:tc>
          <w:tcPr>
            <w:tcW w:w="1143" w:type="pct"/>
            <w:tcBorders>
              <w:top w:val="nil"/>
              <w:left w:val="nil"/>
              <w:bottom w:val="single" w:color="000000" w:sz="4" w:space="0"/>
              <w:right w:val="single" w:color="000000" w:sz="4" w:space="0"/>
            </w:tcBorders>
            <w:vAlign w:val="center"/>
          </w:tcPr>
          <w:p w14:paraId="1C42956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2E9CE2F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综合监管支撑服务功能-综合监管风险预警-电梯困人超期预警</w:t>
            </w:r>
          </w:p>
        </w:tc>
        <w:tc>
          <w:tcPr>
            <w:tcW w:w="2158" w:type="pct"/>
            <w:tcBorders>
              <w:top w:val="nil"/>
              <w:left w:val="nil"/>
              <w:bottom w:val="single" w:color="000000" w:sz="4" w:space="0"/>
              <w:right w:val="single" w:color="000000" w:sz="4" w:space="0"/>
            </w:tcBorders>
            <w:vAlign w:val="center"/>
          </w:tcPr>
          <w:p w14:paraId="4063A3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数据来源：上海智慧电梯平台</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预警规则：预警信息由上海智慧电梯平台系统生成。</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处理方式：上海智慧电梯平台系统中生成的预警信息需接入一体化平台预警中心，生成待办任务。待办任务发到电梯设备对应的监管所。</w:t>
            </w:r>
          </w:p>
        </w:tc>
      </w:tr>
      <w:tr w14:paraId="7AFD50C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D66329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317</w:t>
            </w:r>
          </w:p>
        </w:tc>
        <w:tc>
          <w:tcPr>
            <w:tcW w:w="1143" w:type="pct"/>
            <w:tcBorders>
              <w:top w:val="nil"/>
              <w:left w:val="nil"/>
              <w:bottom w:val="single" w:color="000000" w:sz="4" w:space="0"/>
              <w:right w:val="single" w:color="000000" w:sz="4" w:space="0"/>
            </w:tcBorders>
            <w:vAlign w:val="center"/>
          </w:tcPr>
          <w:p w14:paraId="7217C9B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63730FF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综合监管支撑服务功能-综合监管风险预警-计量器具强制检定预警</w:t>
            </w:r>
          </w:p>
        </w:tc>
        <w:tc>
          <w:tcPr>
            <w:tcW w:w="2158" w:type="pct"/>
            <w:tcBorders>
              <w:top w:val="nil"/>
              <w:left w:val="nil"/>
              <w:bottom w:val="single" w:color="000000" w:sz="4" w:space="0"/>
              <w:right w:val="single" w:color="000000" w:sz="4" w:space="0"/>
            </w:tcBorders>
            <w:vAlign w:val="center"/>
          </w:tcPr>
          <w:p w14:paraId="364F3C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数据来源：上海市计量器具强检公共服务平台</w:t>
            </w:r>
            <w:r>
              <w:rPr>
                <w:rFonts w:hint="eastAsia" w:cs="宋体"/>
                <w:color w:val="auto"/>
                <w:kern w:val="0"/>
                <w:sz w:val="22"/>
                <w:szCs w:val="22"/>
              </w:rPr>
              <w:br w:type="textWrapping"/>
            </w:r>
            <w:r>
              <w:rPr>
                <w:rFonts w:hint="eastAsia" w:cs="宋体"/>
                <w:color w:val="auto"/>
                <w:kern w:val="0"/>
                <w:sz w:val="22"/>
                <w:szCs w:val="22"/>
              </w:rPr>
              <w:t>模型类别：信用评价类</w:t>
            </w:r>
            <w:r>
              <w:rPr>
                <w:rFonts w:hint="eastAsia" w:cs="宋体"/>
                <w:color w:val="auto"/>
                <w:kern w:val="0"/>
                <w:sz w:val="22"/>
                <w:szCs w:val="22"/>
              </w:rPr>
              <w:br w:type="textWrapping"/>
            </w:r>
            <w:r>
              <w:rPr>
                <w:rFonts w:hint="eastAsia" w:cs="宋体"/>
                <w:color w:val="auto"/>
                <w:kern w:val="0"/>
                <w:sz w:val="22"/>
                <w:szCs w:val="22"/>
              </w:rPr>
              <w:t>检查情形：对强检计量器具未按规定申请检定和非强制检定范围的计量器具未自行定期检定或者送其他计量检定机构定期检定的，以及经检定不合格继续使用行为的行政检查。</w:t>
            </w:r>
            <w:r>
              <w:rPr>
                <w:rFonts w:hint="eastAsia" w:cs="宋体"/>
                <w:color w:val="auto"/>
                <w:kern w:val="0"/>
                <w:sz w:val="22"/>
                <w:szCs w:val="22"/>
              </w:rPr>
              <w:br w:type="textWrapping"/>
            </w:r>
            <w:r>
              <w:rPr>
                <w:rFonts w:hint="eastAsia" w:cs="宋体"/>
                <w:color w:val="auto"/>
                <w:kern w:val="0"/>
                <w:sz w:val="22"/>
                <w:szCs w:val="22"/>
              </w:rPr>
              <w:t>预警规则：计量器具超期前15天进行预警。</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处理方式：预警信息提醒计量器具所在地的所级监管人员。</w:t>
            </w:r>
          </w:p>
        </w:tc>
      </w:tr>
      <w:tr w14:paraId="6EFFE17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83640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318</w:t>
            </w:r>
          </w:p>
        </w:tc>
        <w:tc>
          <w:tcPr>
            <w:tcW w:w="1143" w:type="pct"/>
            <w:tcBorders>
              <w:top w:val="nil"/>
              <w:left w:val="nil"/>
              <w:bottom w:val="single" w:color="000000" w:sz="4" w:space="0"/>
              <w:right w:val="single" w:color="000000" w:sz="4" w:space="0"/>
            </w:tcBorders>
            <w:vAlign w:val="center"/>
          </w:tcPr>
          <w:p w14:paraId="5741BEB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64EA8B5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综合监管支撑服务功能-综合监管风险预警-商品条码有效性预警</w:t>
            </w:r>
          </w:p>
        </w:tc>
        <w:tc>
          <w:tcPr>
            <w:tcW w:w="2158" w:type="pct"/>
            <w:tcBorders>
              <w:top w:val="nil"/>
              <w:left w:val="nil"/>
              <w:bottom w:val="single" w:color="000000" w:sz="4" w:space="0"/>
              <w:right w:val="single" w:color="000000" w:sz="4" w:space="0"/>
            </w:tcBorders>
            <w:vAlign w:val="center"/>
          </w:tcPr>
          <w:p w14:paraId="6DB4A99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数据来源：从国家商品条码数据库手工导入的数据</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检查情形：对企业商品条码有效性及使用合规性的监管。</w:t>
            </w:r>
            <w:r>
              <w:rPr>
                <w:rFonts w:hint="eastAsia" w:cs="宋体"/>
                <w:color w:val="auto"/>
                <w:kern w:val="0"/>
                <w:sz w:val="22"/>
                <w:szCs w:val="22"/>
              </w:rPr>
              <w:br w:type="textWrapping"/>
            </w:r>
            <w:r>
              <w:rPr>
                <w:rFonts w:hint="eastAsia" w:cs="宋体"/>
                <w:color w:val="auto"/>
                <w:kern w:val="0"/>
                <w:sz w:val="22"/>
                <w:szCs w:val="22"/>
              </w:rPr>
              <w:t>预警规则：厂商识别代码有效期≤3个月进行预警</w:t>
            </w:r>
            <w:r>
              <w:rPr>
                <w:rFonts w:hint="eastAsia" w:cs="宋体"/>
                <w:color w:val="auto"/>
                <w:kern w:val="0"/>
                <w:sz w:val="22"/>
                <w:szCs w:val="22"/>
              </w:rPr>
              <w:br w:type="textWrapping"/>
            </w:r>
            <w:r>
              <w:rPr>
                <w:rFonts w:hint="eastAsia" w:cs="宋体"/>
                <w:color w:val="auto"/>
                <w:kern w:val="0"/>
                <w:sz w:val="22"/>
                <w:szCs w:val="22"/>
              </w:rPr>
              <w:t>计算频次：每季度1次</w:t>
            </w:r>
            <w:r>
              <w:rPr>
                <w:rFonts w:hint="eastAsia" w:cs="宋体"/>
                <w:color w:val="auto"/>
                <w:kern w:val="0"/>
                <w:sz w:val="22"/>
                <w:szCs w:val="22"/>
              </w:rPr>
              <w:br w:type="textWrapping"/>
            </w:r>
            <w:r>
              <w:rPr>
                <w:rFonts w:hint="eastAsia" w:cs="宋体"/>
                <w:color w:val="auto"/>
                <w:kern w:val="0"/>
                <w:sz w:val="22"/>
                <w:szCs w:val="22"/>
              </w:rPr>
              <w:t>处理方式：商品代码有效期≤3个月的企业，以短信或其他方式提醒企业办理延展手续。预警转任务，以“双随机”方式对条码有效性进行监督检查。</w:t>
            </w:r>
          </w:p>
        </w:tc>
      </w:tr>
      <w:tr w14:paraId="08D3EE07">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19EF84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319</w:t>
            </w:r>
          </w:p>
        </w:tc>
        <w:tc>
          <w:tcPr>
            <w:tcW w:w="1143" w:type="pct"/>
            <w:tcBorders>
              <w:top w:val="nil"/>
              <w:left w:val="nil"/>
              <w:bottom w:val="single" w:color="000000" w:sz="4" w:space="0"/>
              <w:right w:val="single" w:color="000000" w:sz="4" w:space="0"/>
            </w:tcBorders>
            <w:vAlign w:val="center"/>
          </w:tcPr>
          <w:p w14:paraId="55E2386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7562E23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综合监管支撑服务功能-综合监管风险预警-认证活动风险预警</w:t>
            </w:r>
          </w:p>
        </w:tc>
        <w:tc>
          <w:tcPr>
            <w:tcW w:w="2158" w:type="pct"/>
            <w:tcBorders>
              <w:top w:val="nil"/>
              <w:left w:val="nil"/>
              <w:bottom w:val="single" w:color="000000" w:sz="4" w:space="0"/>
              <w:right w:val="single" w:color="000000" w:sz="4" w:space="0"/>
            </w:tcBorders>
            <w:vAlign w:val="center"/>
          </w:tcPr>
          <w:p w14:paraId="486590C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数据来源：总局认证机构风险分类名单、总局“认证活动计划”数据清单</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检查情形：对认证活动的监督检查</w:t>
            </w:r>
            <w:r>
              <w:rPr>
                <w:rFonts w:hint="eastAsia" w:cs="宋体"/>
                <w:color w:val="auto"/>
                <w:kern w:val="0"/>
                <w:sz w:val="22"/>
                <w:szCs w:val="22"/>
              </w:rPr>
              <w:br w:type="textWrapping"/>
            </w:r>
            <w:r>
              <w:rPr>
                <w:rFonts w:hint="eastAsia" w:cs="宋体"/>
                <w:color w:val="auto"/>
                <w:kern w:val="0"/>
                <w:sz w:val="22"/>
                <w:szCs w:val="22"/>
              </w:rPr>
              <w:t>预警规则：将系统中从总局系统获取的分级分类数据清单与从总局系统中获取的“认证活动计划”来匹配筛选已报备的计划，对于等级为C、D的机构认证的活动进行预警。</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处理方式：预警信息发送机构属地监管所人员。</w:t>
            </w:r>
          </w:p>
        </w:tc>
      </w:tr>
      <w:tr w14:paraId="7DB2845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48A6B0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320</w:t>
            </w:r>
          </w:p>
        </w:tc>
        <w:tc>
          <w:tcPr>
            <w:tcW w:w="1143" w:type="pct"/>
            <w:tcBorders>
              <w:top w:val="nil"/>
              <w:left w:val="nil"/>
              <w:bottom w:val="single" w:color="000000" w:sz="4" w:space="0"/>
              <w:right w:val="single" w:color="000000" w:sz="4" w:space="0"/>
            </w:tcBorders>
            <w:vAlign w:val="center"/>
          </w:tcPr>
          <w:p w14:paraId="3C6F44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7755DF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综合监管支撑服务功能-综合监管风险预警-检验检测机构资质能力预警</w:t>
            </w:r>
          </w:p>
        </w:tc>
        <w:tc>
          <w:tcPr>
            <w:tcW w:w="2158" w:type="pct"/>
            <w:tcBorders>
              <w:top w:val="nil"/>
              <w:left w:val="nil"/>
              <w:bottom w:val="single" w:color="000000" w:sz="4" w:space="0"/>
              <w:right w:val="single" w:color="000000" w:sz="4" w:space="0"/>
            </w:tcBorders>
            <w:vAlign w:val="center"/>
          </w:tcPr>
          <w:p w14:paraId="5493F8E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检验检测资质证书超期预警模型 "数据来源：许可审批系统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检查情形：对检验检测机构未依法取得资质认定，擅自向社会出具具有证明作用的数据、结果的行政检查。</w:t>
            </w:r>
            <w:r>
              <w:rPr>
                <w:rFonts w:hint="eastAsia" w:cs="宋体"/>
                <w:color w:val="auto"/>
                <w:kern w:val="0"/>
                <w:sz w:val="22"/>
                <w:szCs w:val="22"/>
              </w:rPr>
              <w:br w:type="textWrapping"/>
            </w:r>
            <w:r>
              <w:rPr>
                <w:rFonts w:hint="eastAsia" w:cs="宋体"/>
                <w:color w:val="auto"/>
                <w:kern w:val="0"/>
                <w:sz w:val="22"/>
                <w:szCs w:val="22"/>
              </w:rPr>
              <w:t>预警规则：系统每天晚上对检验检测资质证书有效期进行计算，资质认证证书到期前5个工作日机进行预警。</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处理方式：预警线索信息发送给实验室所在的区局，生成待办任务。如果检验检测机构有多个场所的，要生成多个区局的待办任务。</w:t>
            </w:r>
            <w:r>
              <w:rPr>
                <w:rFonts w:hint="eastAsia" w:cs="宋体"/>
                <w:color w:val="auto"/>
                <w:kern w:val="0"/>
                <w:sz w:val="22"/>
                <w:szCs w:val="22"/>
              </w:rPr>
              <w:br w:type="textWrapping"/>
            </w:r>
            <w:r>
              <w:rPr>
                <w:rFonts w:hint="eastAsia" w:cs="宋体"/>
                <w:color w:val="auto"/>
                <w:kern w:val="0"/>
                <w:sz w:val="22"/>
                <w:szCs w:val="22"/>
              </w:rPr>
              <w:t>检验检测机构频繁申请告知承诺类资质认定预警模型 "数据来源：许可审批系统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检查情形：对检验检测机构应当持续具备与其开展检验检测活动相适应的能力的行政检查。</w:t>
            </w:r>
            <w:r>
              <w:rPr>
                <w:rFonts w:hint="eastAsia" w:cs="宋体"/>
                <w:color w:val="auto"/>
                <w:kern w:val="0"/>
                <w:sz w:val="22"/>
                <w:szCs w:val="22"/>
              </w:rPr>
              <w:br w:type="textWrapping"/>
            </w:r>
            <w:r>
              <w:rPr>
                <w:rFonts w:hint="eastAsia" w:cs="宋体"/>
                <w:color w:val="auto"/>
                <w:kern w:val="0"/>
                <w:sz w:val="22"/>
                <w:szCs w:val="22"/>
              </w:rPr>
              <w:t>预警规则：系统每天晚上计算一次，判断近6个月内办理3次及以上告知承诺的，进行预警。对应事项完成一次检查任务后，重新计算6个月周期。</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处理方式：预警线索信息发送给实验室所在的区局，生成待办任务。如果检验检测机构有多个场所的，要生成多个区局的待办任务。</w:t>
            </w:r>
          </w:p>
        </w:tc>
      </w:tr>
      <w:tr w14:paraId="5BEBAB2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0AAEF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321</w:t>
            </w:r>
          </w:p>
        </w:tc>
        <w:tc>
          <w:tcPr>
            <w:tcW w:w="1143" w:type="pct"/>
            <w:tcBorders>
              <w:top w:val="nil"/>
              <w:left w:val="nil"/>
              <w:bottom w:val="single" w:color="000000" w:sz="4" w:space="0"/>
              <w:right w:val="single" w:color="000000" w:sz="4" w:space="0"/>
            </w:tcBorders>
            <w:vAlign w:val="center"/>
          </w:tcPr>
          <w:p w14:paraId="358D881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45ECFEB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综合监管支撑服务功能-综合监管风险预警-电动自行车经营性拼加改装潜在风险预警</w:t>
            </w:r>
          </w:p>
        </w:tc>
        <w:tc>
          <w:tcPr>
            <w:tcW w:w="2158" w:type="pct"/>
            <w:tcBorders>
              <w:top w:val="nil"/>
              <w:left w:val="nil"/>
              <w:bottom w:val="single" w:color="000000" w:sz="4" w:space="0"/>
              <w:right w:val="single" w:color="000000" w:sz="4" w:space="0"/>
            </w:tcBorders>
            <w:vAlign w:val="center"/>
          </w:tcPr>
          <w:p w14:paraId="79E7698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数据来源：行政处罚系统、广告监测系统、网络监测系统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检查情形：对从事经营性拼装、加装、改装非机动车或者销售拼装、加装、改装非机动车的监督检查。</w:t>
            </w:r>
            <w:r>
              <w:rPr>
                <w:rFonts w:hint="eastAsia" w:cs="宋体"/>
                <w:color w:val="auto"/>
                <w:kern w:val="0"/>
                <w:sz w:val="22"/>
                <w:szCs w:val="22"/>
              </w:rPr>
              <w:br w:type="textWrapping"/>
            </w:r>
            <w:r>
              <w:rPr>
                <w:rFonts w:hint="eastAsia" w:cs="宋体"/>
                <w:color w:val="auto"/>
                <w:kern w:val="0"/>
                <w:sz w:val="22"/>
                <w:szCs w:val="22"/>
              </w:rPr>
              <w:t>预警规则：</w:t>
            </w:r>
            <w:r>
              <w:rPr>
                <w:rFonts w:hint="eastAsia" w:cs="宋体"/>
                <w:color w:val="auto"/>
                <w:kern w:val="0"/>
                <w:sz w:val="22"/>
                <w:szCs w:val="22"/>
              </w:rPr>
              <w:br w:type="textWrapping"/>
            </w:r>
            <w:r>
              <w:rPr>
                <w:rFonts w:hint="eastAsia" w:cs="宋体"/>
                <w:color w:val="auto"/>
                <w:kern w:val="0"/>
                <w:sz w:val="22"/>
                <w:szCs w:val="22"/>
              </w:rPr>
              <w:t>ü结合处罚系统，新立案的电动自行车经营性拼加改装案件中，涉及品牌、型号。系统实时检索过去两年案件中，是否有涉及同样品牌、型号的案件。</w:t>
            </w:r>
            <w:r>
              <w:rPr>
                <w:rFonts w:hint="eastAsia" w:cs="宋体"/>
                <w:color w:val="auto"/>
                <w:kern w:val="0"/>
                <w:sz w:val="22"/>
                <w:szCs w:val="22"/>
              </w:rPr>
              <w:br w:type="textWrapping"/>
            </w:r>
            <w:r>
              <w:rPr>
                <w:rFonts w:hint="eastAsia" w:cs="宋体"/>
                <w:color w:val="auto"/>
                <w:kern w:val="0"/>
                <w:sz w:val="22"/>
                <w:szCs w:val="22"/>
              </w:rPr>
              <w:t>ü结合广告监测系统、网络监测系统，监测本市电动自行车经营商户在线直播、网点售卖产品中，有超过48V电池、超过400W电机、解除限速等相关表述或产品的。</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处理方式：预警信息发送属地监管所。</w:t>
            </w:r>
          </w:p>
        </w:tc>
      </w:tr>
      <w:tr w14:paraId="2AE1335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CD2FE0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322</w:t>
            </w:r>
          </w:p>
        </w:tc>
        <w:tc>
          <w:tcPr>
            <w:tcW w:w="1143" w:type="pct"/>
            <w:tcBorders>
              <w:top w:val="nil"/>
              <w:left w:val="nil"/>
              <w:bottom w:val="single" w:color="000000" w:sz="4" w:space="0"/>
              <w:right w:val="single" w:color="000000" w:sz="4" w:space="0"/>
            </w:tcBorders>
            <w:vAlign w:val="center"/>
          </w:tcPr>
          <w:p w14:paraId="5589C09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67B8E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综合监管支撑服务功能-综合监管风险预警-虚假宣传潜在风险预警</w:t>
            </w:r>
          </w:p>
        </w:tc>
        <w:tc>
          <w:tcPr>
            <w:tcW w:w="2158" w:type="pct"/>
            <w:tcBorders>
              <w:top w:val="nil"/>
              <w:left w:val="nil"/>
              <w:bottom w:val="single" w:color="000000" w:sz="4" w:space="0"/>
              <w:right w:val="single" w:color="000000" w:sz="4" w:space="0"/>
            </w:tcBorders>
            <w:vAlign w:val="center"/>
          </w:tcPr>
          <w:p w14:paraId="71FFF45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数据来源：行政处罚系统、广告监测系统、投诉举报系统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检查情形：对从事经营性拼装、加装、改装非机动车或者销售拼装、加装、改装非机动车的监督检查。</w:t>
            </w:r>
            <w:r>
              <w:rPr>
                <w:rFonts w:hint="eastAsia" w:cs="宋体"/>
                <w:color w:val="auto"/>
                <w:kern w:val="0"/>
                <w:sz w:val="22"/>
                <w:szCs w:val="22"/>
              </w:rPr>
              <w:br w:type="textWrapping"/>
            </w:r>
            <w:r>
              <w:rPr>
                <w:rFonts w:hint="eastAsia" w:cs="宋体"/>
                <w:color w:val="auto"/>
                <w:kern w:val="0"/>
                <w:sz w:val="22"/>
                <w:szCs w:val="22"/>
              </w:rPr>
              <w:t>预警规则：</w:t>
            </w:r>
            <w:r>
              <w:rPr>
                <w:rFonts w:hint="eastAsia" w:cs="宋体"/>
                <w:color w:val="auto"/>
                <w:kern w:val="0"/>
                <w:sz w:val="22"/>
                <w:szCs w:val="22"/>
              </w:rPr>
              <w:br w:type="textWrapping"/>
            </w:r>
            <w:r>
              <w:rPr>
                <w:rFonts w:hint="eastAsia" w:cs="宋体"/>
                <w:color w:val="auto"/>
                <w:kern w:val="0"/>
                <w:sz w:val="22"/>
                <w:szCs w:val="22"/>
              </w:rPr>
              <w:t>ü 同一当事人因虚假宣传、虚假广告违法行为，三年内被处罚两次及两次以上的；</w:t>
            </w:r>
            <w:r>
              <w:rPr>
                <w:rFonts w:hint="eastAsia" w:cs="宋体"/>
                <w:color w:val="auto"/>
                <w:kern w:val="0"/>
                <w:sz w:val="22"/>
                <w:szCs w:val="22"/>
              </w:rPr>
              <w:br w:type="textWrapping"/>
            </w:r>
            <w:r>
              <w:rPr>
                <w:rFonts w:hint="eastAsia" w:cs="宋体"/>
                <w:color w:val="auto"/>
                <w:kern w:val="0"/>
                <w:sz w:val="22"/>
                <w:szCs w:val="22"/>
              </w:rPr>
              <w:t>ü 同一当事人两年内被投诉涉嫌存在虚假宣传、虚假广告违法行为五次以上的；</w:t>
            </w:r>
            <w:r>
              <w:rPr>
                <w:rFonts w:hint="eastAsia" w:cs="宋体"/>
                <w:color w:val="auto"/>
                <w:kern w:val="0"/>
                <w:sz w:val="22"/>
                <w:szCs w:val="22"/>
              </w:rPr>
              <w:br w:type="textWrapping"/>
            </w:r>
            <w:r>
              <w:rPr>
                <w:rFonts w:hint="eastAsia" w:cs="宋体"/>
                <w:color w:val="auto"/>
                <w:kern w:val="0"/>
                <w:sz w:val="22"/>
                <w:szCs w:val="22"/>
              </w:rPr>
              <w:t>ü 同一当事人两年内被举报涉嫌存在虚假宣传违法行为五次以上的。</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处理方式：预警信息发送属地市场监管部门。</w:t>
            </w:r>
          </w:p>
        </w:tc>
      </w:tr>
      <w:tr w14:paraId="2C23E21E">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C964AB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323</w:t>
            </w:r>
          </w:p>
        </w:tc>
        <w:tc>
          <w:tcPr>
            <w:tcW w:w="1143" w:type="pct"/>
            <w:tcBorders>
              <w:top w:val="nil"/>
              <w:left w:val="nil"/>
              <w:bottom w:val="single" w:color="000000" w:sz="4" w:space="0"/>
              <w:right w:val="single" w:color="000000" w:sz="4" w:space="0"/>
            </w:tcBorders>
            <w:vAlign w:val="center"/>
          </w:tcPr>
          <w:p w14:paraId="6477049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7FE69CF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综合监管支撑服务功能-综合监管风险预警-涉嫌传销违法行为主体预警</w:t>
            </w:r>
          </w:p>
        </w:tc>
        <w:tc>
          <w:tcPr>
            <w:tcW w:w="2158" w:type="pct"/>
            <w:tcBorders>
              <w:top w:val="nil"/>
              <w:left w:val="nil"/>
              <w:bottom w:val="single" w:color="000000" w:sz="4" w:space="0"/>
              <w:right w:val="single" w:color="000000" w:sz="4" w:space="0"/>
            </w:tcBorders>
            <w:vAlign w:val="center"/>
          </w:tcPr>
          <w:p w14:paraId="1EC4114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数据来源：行政处罚系统</w:t>
            </w:r>
            <w:r>
              <w:rPr>
                <w:rFonts w:hint="eastAsia" w:cs="宋体"/>
                <w:color w:val="auto"/>
                <w:kern w:val="0"/>
                <w:sz w:val="22"/>
                <w:szCs w:val="22"/>
              </w:rPr>
              <w:br w:type="textWrapping"/>
            </w:r>
            <w:r>
              <w:rPr>
                <w:rFonts w:hint="eastAsia" w:cs="宋体"/>
                <w:color w:val="auto"/>
                <w:kern w:val="0"/>
                <w:sz w:val="22"/>
                <w:szCs w:val="22"/>
              </w:rPr>
              <w:t>模型类别：风险预警类</w:t>
            </w:r>
            <w:r>
              <w:rPr>
                <w:rFonts w:hint="eastAsia" w:cs="宋体"/>
                <w:color w:val="auto"/>
                <w:kern w:val="0"/>
                <w:sz w:val="22"/>
                <w:szCs w:val="22"/>
              </w:rPr>
              <w:br w:type="textWrapping"/>
            </w:r>
            <w:r>
              <w:rPr>
                <w:rFonts w:hint="eastAsia" w:cs="宋体"/>
                <w:color w:val="auto"/>
                <w:kern w:val="0"/>
                <w:sz w:val="22"/>
                <w:szCs w:val="22"/>
              </w:rPr>
              <w:t>检查情形：对涉嫌传销违法行为主体的预警</w:t>
            </w:r>
            <w:r>
              <w:rPr>
                <w:rFonts w:hint="eastAsia" w:cs="宋体"/>
                <w:color w:val="auto"/>
                <w:kern w:val="0"/>
                <w:sz w:val="22"/>
                <w:szCs w:val="22"/>
              </w:rPr>
              <w:br w:type="textWrapping"/>
            </w:r>
            <w:r>
              <w:rPr>
                <w:rFonts w:hint="eastAsia" w:cs="宋体"/>
                <w:color w:val="auto"/>
                <w:kern w:val="0"/>
                <w:sz w:val="22"/>
                <w:szCs w:val="22"/>
              </w:rPr>
              <w:t>预警规则：因涉嫌传销行为被处罚的当事人，处罚决定书签发后一年进行预警。</w:t>
            </w:r>
            <w:r>
              <w:rPr>
                <w:rFonts w:hint="eastAsia" w:cs="宋体"/>
                <w:color w:val="auto"/>
                <w:kern w:val="0"/>
                <w:sz w:val="22"/>
                <w:szCs w:val="22"/>
              </w:rPr>
              <w:br w:type="textWrapping"/>
            </w:r>
            <w:r>
              <w:rPr>
                <w:rFonts w:hint="eastAsia" w:cs="宋体"/>
                <w:color w:val="auto"/>
                <w:kern w:val="0"/>
                <w:sz w:val="22"/>
                <w:szCs w:val="22"/>
              </w:rPr>
              <w:t>计算频次：每日1次</w:t>
            </w:r>
            <w:r>
              <w:rPr>
                <w:rFonts w:hint="eastAsia" w:cs="宋体"/>
                <w:color w:val="auto"/>
                <w:kern w:val="0"/>
                <w:sz w:val="22"/>
                <w:szCs w:val="22"/>
              </w:rPr>
              <w:br w:type="textWrapping"/>
            </w:r>
            <w:r>
              <w:rPr>
                <w:rFonts w:hint="eastAsia" w:cs="宋体"/>
                <w:color w:val="auto"/>
                <w:kern w:val="0"/>
                <w:sz w:val="22"/>
                <w:szCs w:val="22"/>
              </w:rPr>
              <w:t>处理方式：预警信息发送属地监管所。</w:t>
            </w:r>
          </w:p>
        </w:tc>
      </w:tr>
      <w:tr w14:paraId="6815104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512010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324</w:t>
            </w:r>
          </w:p>
        </w:tc>
        <w:tc>
          <w:tcPr>
            <w:tcW w:w="1143" w:type="pct"/>
            <w:tcBorders>
              <w:top w:val="nil"/>
              <w:left w:val="nil"/>
              <w:bottom w:val="single" w:color="000000" w:sz="4" w:space="0"/>
              <w:right w:val="single" w:color="000000" w:sz="4" w:space="0"/>
            </w:tcBorders>
            <w:vAlign w:val="center"/>
          </w:tcPr>
          <w:p w14:paraId="76E563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DEDF8B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综合监管支撑服务功能-综合监管风险预警-价格监管预警信息对接</w:t>
            </w:r>
          </w:p>
        </w:tc>
        <w:tc>
          <w:tcPr>
            <w:tcW w:w="2158" w:type="pct"/>
            <w:tcBorders>
              <w:top w:val="nil"/>
              <w:left w:val="nil"/>
              <w:bottom w:val="single" w:color="000000" w:sz="4" w:space="0"/>
              <w:right w:val="single" w:color="000000" w:sz="4" w:space="0"/>
            </w:tcBorders>
            <w:vAlign w:val="center"/>
          </w:tcPr>
          <w:p w14:paraId="665EC33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反垄断价监办使用总局的价格监管系统，进行预警信息对接。</w:t>
            </w:r>
          </w:p>
        </w:tc>
      </w:tr>
      <w:tr w14:paraId="06DBFE2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46E22B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325</w:t>
            </w:r>
          </w:p>
        </w:tc>
        <w:tc>
          <w:tcPr>
            <w:tcW w:w="1143" w:type="pct"/>
            <w:tcBorders>
              <w:top w:val="nil"/>
              <w:left w:val="nil"/>
              <w:bottom w:val="single" w:color="000000" w:sz="4" w:space="0"/>
              <w:right w:val="single" w:color="000000" w:sz="4" w:space="0"/>
            </w:tcBorders>
            <w:vAlign w:val="center"/>
          </w:tcPr>
          <w:p w14:paraId="02A1239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0F5100A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综合监管支撑服务功能-专业领域企业信用风险分级分类-个体工商户信用风险分类</w:t>
            </w:r>
          </w:p>
        </w:tc>
        <w:tc>
          <w:tcPr>
            <w:tcW w:w="2158" w:type="pct"/>
            <w:tcBorders>
              <w:top w:val="nil"/>
              <w:left w:val="nil"/>
              <w:bottom w:val="single" w:color="000000" w:sz="4" w:space="0"/>
              <w:right w:val="single" w:color="000000" w:sz="4" w:space="0"/>
            </w:tcBorders>
            <w:vAlign w:val="center"/>
          </w:tcPr>
          <w:p w14:paraId="0A6F680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全面归集个体工商户信用信息。全面归集市场平监管部门个体工商户登记注册、行政许可、年报公示行政执法、抽查检查、投诉举报、分型分类、信用修复等各类信息，协调推动归集有关部门在履职过程中掌握的行政许可、行政执法、抽查检查、社保缴纳、纳税、司法判决、信用评价等个体工商户相关信息;选择性归集有关公用企事业单位行业协会商会、大型台企业等有关方面掌握的与个体工商户密切相关的经营规模、资产状况、信誉评分等信息，构建个体工商户精准分类数据专题库。以个体工商户基础属性信息、经营评价信息、监管执法信息等方面为通用型个体工商户信用风险分类指标体系，结合上海的特定指标，构建个体工商户信用风险分类模型，应用于双随机一公开监管等监管场景。</w:t>
            </w:r>
          </w:p>
        </w:tc>
      </w:tr>
      <w:tr w14:paraId="3F7BCF6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F83961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326</w:t>
            </w:r>
          </w:p>
        </w:tc>
        <w:tc>
          <w:tcPr>
            <w:tcW w:w="1143" w:type="pct"/>
            <w:tcBorders>
              <w:top w:val="nil"/>
              <w:left w:val="nil"/>
              <w:bottom w:val="single" w:color="000000" w:sz="4" w:space="0"/>
              <w:right w:val="single" w:color="000000" w:sz="4" w:space="0"/>
            </w:tcBorders>
            <w:vAlign w:val="center"/>
          </w:tcPr>
          <w:p w14:paraId="1148778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030EB5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综合监管支撑服务功能-专业领域企业信用风险分级分类-电商平台信用风险分类</w:t>
            </w:r>
          </w:p>
        </w:tc>
        <w:tc>
          <w:tcPr>
            <w:tcW w:w="2158" w:type="pct"/>
            <w:tcBorders>
              <w:top w:val="nil"/>
              <w:left w:val="nil"/>
              <w:bottom w:val="single" w:color="000000" w:sz="4" w:space="0"/>
              <w:right w:val="single" w:color="000000" w:sz="4" w:space="0"/>
            </w:tcBorders>
            <w:vAlign w:val="center"/>
          </w:tcPr>
          <w:p w14:paraId="06A9B50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归集与电商平台相关的各类信用信息。包括从电商平台直接获取的商家注册信息、经营许可、商品信息、交易记录、消费者评价、投诉举报等直接数据，同时根据市场监管过程中掌握的行政执法、抽查检查结果、税务缴纳、司法判决等关键信息。选择性归集来自第三方机构如信用评级公司、消费者协会等的信誉评分、行业评价等补充信息。以商家的基础属性信息、经营评价信息、监管执法信息等方面为通用型指标，同时结合电商平台特有的运营模式和风险特征，构建电商平台信用风险分类指标体系。将电商平台信用风险分类结果应用于电商平台的日常监管、风险预警及处置等场景。</w:t>
            </w:r>
          </w:p>
        </w:tc>
      </w:tr>
      <w:tr w14:paraId="5EBA2F0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8C515C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327</w:t>
            </w:r>
          </w:p>
        </w:tc>
        <w:tc>
          <w:tcPr>
            <w:tcW w:w="1143" w:type="pct"/>
            <w:tcBorders>
              <w:top w:val="nil"/>
              <w:left w:val="nil"/>
              <w:bottom w:val="single" w:color="000000" w:sz="4" w:space="0"/>
              <w:right w:val="single" w:color="000000" w:sz="4" w:space="0"/>
            </w:tcBorders>
            <w:vAlign w:val="center"/>
          </w:tcPr>
          <w:p w14:paraId="5EB58C8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6401A60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综合监管支撑服务功能-专业领域企业信用风险分级分类-企业价格信用风险分类</w:t>
            </w:r>
          </w:p>
        </w:tc>
        <w:tc>
          <w:tcPr>
            <w:tcW w:w="2158" w:type="pct"/>
            <w:tcBorders>
              <w:top w:val="nil"/>
              <w:left w:val="nil"/>
              <w:bottom w:val="single" w:color="000000" w:sz="4" w:space="0"/>
              <w:right w:val="single" w:color="000000" w:sz="4" w:space="0"/>
            </w:tcBorders>
            <w:vAlign w:val="center"/>
          </w:tcPr>
          <w:p w14:paraId="3A2D76F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企业价格信用风险分类模型，具体模型件见方案。</w:t>
            </w:r>
          </w:p>
        </w:tc>
      </w:tr>
      <w:tr w14:paraId="3799CB42">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05E013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328</w:t>
            </w:r>
          </w:p>
        </w:tc>
        <w:tc>
          <w:tcPr>
            <w:tcW w:w="1143" w:type="pct"/>
            <w:tcBorders>
              <w:top w:val="nil"/>
              <w:left w:val="nil"/>
              <w:bottom w:val="single" w:color="000000" w:sz="4" w:space="0"/>
              <w:right w:val="single" w:color="000000" w:sz="4" w:space="0"/>
            </w:tcBorders>
            <w:vAlign w:val="center"/>
          </w:tcPr>
          <w:p w14:paraId="206D0BB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C9B789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综合监管支撑服务功能-专业领域企业信用风险分级分类-广告企业信用风险分级分类</w:t>
            </w:r>
          </w:p>
        </w:tc>
        <w:tc>
          <w:tcPr>
            <w:tcW w:w="2158" w:type="pct"/>
            <w:tcBorders>
              <w:top w:val="nil"/>
              <w:left w:val="nil"/>
              <w:bottom w:val="single" w:color="000000" w:sz="4" w:space="0"/>
              <w:right w:val="single" w:color="000000" w:sz="4" w:space="0"/>
            </w:tcBorders>
            <w:vAlign w:val="center"/>
          </w:tcPr>
          <w:p w14:paraId="4FFB6D9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广告企业信用风险分级分类模型，具体模型件见方案。</w:t>
            </w:r>
          </w:p>
        </w:tc>
      </w:tr>
      <w:tr w14:paraId="0A2C402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61D8D5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329</w:t>
            </w:r>
          </w:p>
        </w:tc>
        <w:tc>
          <w:tcPr>
            <w:tcW w:w="1143" w:type="pct"/>
            <w:tcBorders>
              <w:top w:val="nil"/>
              <w:left w:val="nil"/>
              <w:bottom w:val="single" w:color="000000" w:sz="4" w:space="0"/>
              <w:right w:val="single" w:color="000000" w:sz="4" w:space="0"/>
            </w:tcBorders>
            <w:vAlign w:val="center"/>
          </w:tcPr>
          <w:p w14:paraId="5DE8595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71617C6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综合监管支撑服务功能-专业领域企业信用风险分级分类-计量监管分级分类</w:t>
            </w:r>
          </w:p>
        </w:tc>
        <w:tc>
          <w:tcPr>
            <w:tcW w:w="2158" w:type="pct"/>
            <w:tcBorders>
              <w:top w:val="nil"/>
              <w:left w:val="nil"/>
              <w:bottom w:val="single" w:color="000000" w:sz="4" w:space="0"/>
              <w:right w:val="single" w:color="000000" w:sz="4" w:space="0"/>
            </w:tcBorders>
            <w:vAlign w:val="center"/>
          </w:tcPr>
          <w:p w14:paraId="512257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计量监管分级分类模型，具体模型件见方案。</w:t>
            </w:r>
          </w:p>
        </w:tc>
      </w:tr>
      <w:tr w14:paraId="711CCE7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F9901B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330</w:t>
            </w:r>
          </w:p>
        </w:tc>
        <w:tc>
          <w:tcPr>
            <w:tcW w:w="1143" w:type="pct"/>
            <w:tcBorders>
              <w:top w:val="nil"/>
              <w:left w:val="nil"/>
              <w:bottom w:val="single" w:color="000000" w:sz="4" w:space="0"/>
              <w:right w:val="single" w:color="000000" w:sz="4" w:space="0"/>
            </w:tcBorders>
            <w:vAlign w:val="center"/>
          </w:tcPr>
          <w:p w14:paraId="674A6F4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220A20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综合监管支撑服务功能-专业领域企业信用风险分级分类-检验检测机构信用风险分类</w:t>
            </w:r>
          </w:p>
        </w:tc>
        <w:tc>
          <w:tcPr>
            <w:tcW w:w="2158" w:type="pct"/>
            <w:tcBorders>
              <w:top w:val="nil"/>
              <w:left w:val="nil"/>
              <w:bottom w:val="single" w:color="000000" w:sz="4" w:space="0"/>
              <w:right w:val="single" w:color="000000" w:sz="4" w:space="0"/>
            </w:tcBorders>
            <w:vAlign w:val="center"/>
          </w:tcPr>
          <w:p w14:paraId="3B1F32DD">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检验检测机构信用风险分类模型，具体模型件见方案。</w:t>
            </w:r>
          </w:p>
        </w:tc>
      </w:tr>
      <w:tr w14:paraId="745BC99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4C9939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331</w:t>
            </w:r>
          </w:p>
        </w:tc>
        <w:tc>
          <w:tcPr>
            <w:tcW w:w="1143" w:type="pct"/>
            <w:tcBorders>
              <w:top w:val="nil"/>
              <w:left w:val="nil"/>
              <w:bottom w:val="single" w:color="000000" w:sz="4" w:space="0"/>
              <w:right w:val="single" w:color="000000" w:sz="4" w:space="0"/>
            </w:tcBorders>
            <w:vAlign w:val="center"/>
          </w:tcPr>
          <w:p w14:paraId="2AB6A32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4754636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综合监管支撑服务功能-餐饮业量化分级-餐饮业量化分级标准规则及分级评定</w:t>
            </w:r>
          </w:p>
        </w:tc>
        <w:tc>
          <w:tcPr>
            <w:tcW w:w="2158" w:type="pct"/>
            <w:tcBorders>
              <w:top w:val="nil"/>
              <w:left w:val="nil"/>
              <w:bottom w:val="single" w:color="000000" w:sz="4" w:space="0"/>
              <w:right w:val="single" w:color="000000" w:sz="4" w:space="0"/>
            </w:tcBorders>
            <w:vAlign w:val="center"/>
          </w:tcPr>
          <w:p w14:paraId="26930D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设立一套餐饮业量化分级标准规则及模型算法，对动态等级的评定规则、年度等级的评定规则进行设置，可动态调整模型算法。建立餐饮业量化分级模型调优，对模型所涉及的参数、权重、分值进行调整，便于管理人员进行模型优化。</w:t>
            </w:r>
          </w:p>
        </w:tc>
      </w:tr>
      <w:tr w14:paraId="2B08921F">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0D2CB19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332</w:t>
            </w:r>
          </w:p>
        </w:tc>
        <w:tc>
          <w:tcPr>
            <w:tcW w:w="1143" w:type="pct"/>
            <w:tcBorders>
              <w:top w:val="nil"/>
              <w:left w:val="nil"/>
              <w:bottom w:val="single" w:color="000000" w:sz="4" w:space="0"/>
              <w:right w:val="single" w:color="000000" w:sz="4" w:space="0"/>
            </w:tcBorders>
            <w:vAlign w:val="center"/>
          </w:tcPr>
          <w:p w14:paraId="5218217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2B1D93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综合监管支撑服务功能-餐饮业量化分级-差异化监管标准及智能提醒</w:t>
            </w:r>
          </w:p>
        </w:tc>
        <w:tc>
          <w:tcPr>
            <w:tcW w:w="2158" w:type="pct"/>
            <w:tcBorders>
              <w:top w:val="nil"/>
              <w:left w:val="nil"/>
              <w:bottom w:val="single" w:color="000000" w:sz="4" w:space="0"/>
              <w:right w:val="single" w:color="000000" w:sz="4" w:space="0"/>
            </w:tcBorders>
            <w:vAlign w:val="center"/>
          </w:tcPr>
          <w:p w14:paraId="4C0440D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差异化监管标准设置：各部门结合餐饮单位风险与信用等级评定结果，制定本领域的分级分类差异化监管标准，并可动态调整设置。</w:t>
            </w:r>
            <w:r>
              <w:rPr>
                <w:rFonts w:hint="eastAsia" w:cs="宋体"/>
                <w:color w:val="auto"/>
                <w:kern w:val="0"/>
                <w:sz w:val="22"/>
                <w:szCs w:val="22"/>
              </w:rPr>
              <w:br w:type="textWrapping"/>
            </w:r>
            <w:r>
              <w:rPr>
                <w:rFonts w:hint="eastAsia" w:cs="宋体"/>
                <w:color w:val="auto"/>
                <w:kern w:val="0"/>
                <w:sz w:val="22"/>
                <w:szCs w:val="22"/>
              </w:rPr>
              <w:t>差异化监管智能提醒：针对不同类别不同等级的风险实施差异化监管，设定分级分类差异化管理制度（对各类餐饮单位实施一体化综合监管，对风险信用评价为“A”类餐饮单位实施现场检查频次不超过2次/年，“B”类餐饮单位实施现场检查频次不超过4次/年），利用互联网技术实现对信用风险分级分类差异化管理的智能建议推送（如：低风险每月监管一次，中风险每月监管2次，高风险每月监管3次），系统自动按分级分类管理制度智能推荐是否需加大监管，对需加大监管的风险置顶或高亮展示</w:t>
            </w:r>
          </w:p>
        </w:tc>
      </w:tr>
      <w:tr w14:paraId="433D1A51">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F18145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333</w:t>
            </w:r>
          </w:p>
        </w:tc>
        <w:tc>
          <w:tcPr>
            <w:tcW w:w="1143" w:type="pct"/>
            <w:tcBorders>
              <w:top w:val="nil"/>
              <w:left w:val="nil"/>
              <w:bottom w:val="single" w:color="000000" w:sz="4" w:space="0"/>
              <w:right w:val="single" w:color="000000" w:sz="4" w:space="0"/>
            </w:tcBorders>
            <w:vAlign w:val="center"/>
          </w:tcPr>
          <w:p w14:paraId="5718D84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28425C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综合监管支撑服务功能-无感监管对象管理-公示信息抽查</w:t>
            </w:r>
          </w:p>
        </w:tc>
        <w:tc>
          <w:tcPr>
            <w:tcW w:w="2158" w:type="pct"/>
            <w:tcBorders>
              <w:top w:val="nil"/>
              <w:left w:val="nil"/>
              <w:bottom w:val="single" w:color="000000" w:sz="4" w:space="0"/>
              <w:right w:val="single" w:color="000000" w:sz="4" w:space="0"/>
            </w:tcBorders>
            <w:vAlign w:val="center"/>
          </w:tcPr>
          <w:p w14:paraId="4193F30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根据监管事项类别建设无感监管对象库，服务涉企检查等业务。</w:t>
            </w:r>
            <w:r>
              <w:rPr>
                <w:rFonts w:hint="eastAsia" w:cs="宋体"/>
                <w:color w:val="auto"/>
                <w:kern w:val="0"/>
                <w:sz w:val="22"/>
                <w:szCs w:val="22"/>
              </w:rPr>
              <w:br w:type="textWrapping"/>
            </w:r>
            <w:r>
              <w:rPr>
                <w:rFonts w:hint="eastAsia" w:cs="宋体"/>
                <w:color w:val="auto"/>
                <w:kern w:val="0"/>
                <w:sz w:val="22"/>
                <w:szCs w:val="22"/>
              </w:rPr>
              <w:t>来源：市场局企业信用信息公示系统，通用型企业信用风险分类结果为A的企业。</w:t>
            </w:r>
            <w:r>
              <w:rPr>
                <w:rFonts w:hint="eastAsia" w:cs="宋体"/>
                <w:color w:val="auto"/>
                <w:kern w:val="0"/>
                <w:sz w:val="22"/>
                <w:szCs w:val="22"/>
              </w:rPr>
              <w:br w:type="textWrapping"/>
            </w:r>
            <w:r>
              <w:rPr>
                <w:rFonts w:hint="eastAsia" w:cs="宋体"/>
                <w:color w:val="auto"/>
                <w:kern w:val="0"/>
                <w:sz w:val="22"/>
                <w:szCs w:val="22"/>
              </w:rPr>
              <w:t>扣除因素：</w:t>
            </w:r>
            <w:r>
              <w:rPr>
                <w:rFonts w:hint="eastAsia" w:cs="宋体"/>
                <w:color w:val="auto"/>
                <w:kern w:val="0"/>
                <w:sz w:val="22"/>
                <w:szCs w:val="22"/>
              </w:rPr>
              <w:br w:type="textWrapping"/>
            </w:r>
            <w:r>
              <w:rPr>
                <w:rFonts w:hint="eastAsia" w:cs="宋体"/>
                <w:color w:val="auto"/>
                <w:kern w:val="0"/>
                <w:sz w:val="22"/>
                <w:szCs w:val="22"/>
              </w:rPr>
              <w:t>ü“企业法定代表人任职限制”“注册资本登记异常”等预警模型产生的预警企业；</w:t>
            </w:r>
            <w:r>
              <w:rPr>
                <w:rFonts w:hint="eastAsia" w:cs="宋体"/>
                <w:color w:val="auto"/>
                <w:kern w:val="0"/>
                <w:sz w:val="22"/>
                <w:szCs w:val="22"/>
              </w:rPr>
              <w:br w:type="textWrapping"/>
            </w:r>
            <w:r>
              <w:rPr>
                <w:rFonts w:hint="eastAsia" w:cs="宋体"/>
                <w:color w:val="auto"/>
                <w:kern w:val="0"/>
                <w:sz w:val="22"/>
                <w:szCs w:val="22"/>
              </w:rPr>
              <w:t>ü总局要求关注的“大型企业”名单；</w:t>
            </w:r>
            <w:r>
              <w:rPr>
                <w:rFonts w:hint="eastAsia" w:cs="宋体"/>
                <w:color w:val="auto"/>
                <w:kern w:val="0"/>
                <w:sz w:val="22"/>
                <w:szCs w:val="22"/>
              </w:rPr>
              <w:br w:type="textWrapping"/>
            </w:r>
            <w:r>
              <w:rPr>
                <w:rFonts w:hint="eastAsia" w:cs="宋体"/>
                <w:color w:val="auto"/>
                <w:kern w:val="0"/>
                <w:sz w:val="22"/>
                <w:szCs w:val="22"/>
              </w:rPr>
              <w:t>ü市委金融办抄送的“金融风险”企业名单；</w:t>
            </w:r>
            <w:r>
              <w:rPr>
                <w:rFonts w:hint="eastAsia" w:cs="宋体"/>
                <w:color w:val="auto"/>
                <w:kern w:val="0"/>
                <w:sz w:val="22"/>
                <w:szCs w:val="22"/>
              </w:rPr>
              <w:br w:type="textWrapping"/>
            </w:r>
            <w:r>
              <w:rPr>
                <w:rFonts w:hint="eastAsia" w:cs="宋体"/>
                <w:color w:val="auto"/>
                <w:kern w:val="0"/>
                <w:sz w:val="22"/>
                <w:szCs w:val="22"/>
              </w:rPr>
              <w:t>ü其他需要剔除的企业。</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筛选形成名单：综合考虑以上因素，形成信用处公示信息抽查“无感监管”对象清单。</w:t>
            </w:r>
          </w:p>
        </w:tc>
      </w:tr>
      <w:tr w14:paraId="4C8A9C55">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369D05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334</w:t>
            </w:r>
          </w:p>
        </w:tc>
        <w:tc>
          <w:tcPr>
            <w:tcW w:w="1143" w:type="pct"/>
            <w:tcBorders>
              <w:top w:val="nil"/>
              <w:left w:val="nil"/>
              <w:bottom w:val="single" w:color="000000" w:sz="4" w:space="0"/>
              <w:right w:val="single" w:color="000000" w:sz="4" w:space="0"/>
            </w:tcBorders>
            <w:vAlign w:val="center"/>
          </w:tcPr>
          <w:p w14:paraId="2889C0C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7DB3438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综合监管支撑服务功能-无感监管对象管理-价格监管</w:t>
            </w:r>
          </w:p>
        </w:tc>
        <w:tc>
          <w:tcPr>
            <w:tcW w:w="2158" w:type="pct"/>
            <w:tcBorders>
              <w:top w:val="nil"/>
              <w:left w:val="nil"/>
              <w:bottom w:val="single" w:color="000000" w:sz="4" w:space="0"/>
              <w:right w:val="single" w:color="000000" w:sz="4" w:space="0"/>
            </w:tcBorders>
            <w:vAlign w:val="center"/>
          </w:tcPr>
          <w:p w14:paraId="6661B3A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来源：专业分级分类等级为A的企业。</w:t>
            </w:r>
            <w:r>
              <w:rPr>
                <w:rFonts w:hint="eastAsia" w:cs="宋体"/>
                <w:color w:val="auto"/>
                <w:kern w:val="0"/>
                <w:sz w:val="22"/>
                <w:szCs w:val="22"/>
              </w:rPr>
              <w:br w:type="textWrapping"/>
            </w:r>
            <w:r>
              <w:rPr>
                <w:rFonts w:hint="eastAsia" w:cs="宋体"/>
                <w:color w:val="auto"/>
                <w:kern w:val="0"/>
                <w:sz w:val="22"/>
                <w:szCs w:val="22"/>
              </w:rPr>
              <w:t>计算频次：每半年1次</w:t>
            </w:r>
          </w:p>
        </w:tc>
      </w:tr>
      <w:tr w14:paraId="0BE0AC7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404011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335</w:t>
            </w:r>
          </w:p>
        </w:tc>
        <w:tc>
          <w:tcPr>
            <w:tcW w:w="1143" w:type="pct"/>
            <w:tcBorders>
              <w:top w:val="nil"/>
              <w:left w:val="nil"/>
              <w:bottom w:val="single" w:color="000000" w:sz="4" w:space="0"/>
              <w:right w:val="single" w:color="000000" w:sz="4" w:space="0"/>
            </w:tcBorders>
            <w:vAlign w:val="center"/>
          </w:tcPr>
          <w:p w14:paraId="62D9DF4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259E906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综合监管支撑服务功能-无感监管对象管理-平台责任落实抽查</w:t>
            </w:r>
          </w:p>
        </w:tc>
        <w:tc>
          <w:tcPr>
            <w:tcW w:w="2158" w:type="pct"/>
            <w:tcBorders>
              <w:top w:val="nil"/>
              <w:left w:val="nil"/>
              <w:bottom w:val="single" w:color="000000" w:sz="4" w:space="0"/>
              <w:right w:val="single" w:color="000000" w:sz="4" w:space="0"/>
            </w:tcBorders>
            <w:vAlign w:val="center"/>
          </w:tcPr>
          <w:p w14:paraId="74D33C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来源：网络交易监管系统，电商平台企业信用风险分类结果为A，且平台类型为BtoB的企业。</w:t>
            </w:r>
            <w:r>
              <w:rPr>
                <w:rFonts w:hint="eastAsia" w:cs="宋体"/>
                <w:color w:val="auto"/>
                <w:kern w:val="0"/>
                <w:sz w:val="22"/>
                <w:szCs w:val="22"/>
              </w:rPr>
              <w:br w:type="textWrapping"/>
            </w:r>
            <w:r>
              <w:rPr>
                <w:rFonts w:hint="eastAsia" w:cs="宋体"/>
                <w:color w:val="auto"/>
                <w:kern w:val="0"/>
                <w:sz w:val="22"/>
                <w:szCs w:val="22"/>
              </w:rPr>
              <w:t>扣除因素：</w:t>
            </w:r>
            <w:r>
              <w:rPr>
                <w:rFonts w:hint="eastAsia" w:cs="宋体"/>
                <w:color w:val="auto"/>
                <w:kern w:val="0"/>
                <w:sz w:val="22"/>
                <w:szCs w:val="22"/>
              </w:rPr>
              <w:br w:type="textWrapping"/>
            </w:r>
            <w:r>
              <w:rPr>
                <w:rFonts w:hint="eastAsia" w:cs="宋体"/>
                <w:color w:val="auto"/>
                <w:kern w:val="0"/>
                <w:sz w:val="22"/>
                <w:szCs w:val="22"/>
              </w:rPr>
              <w:t>ü2年内未开展平台责任落实抽查的电商平台企业。</w:t>
            </w:r>
            <w:r>
              <w:rPr>
                <w:rFonts w:hint="eastAsia" w:cs="宋体"/>
                <w:color w:val="auto"/>
                <w:kern w:val="0"/>
                <w:sz w:val="22"/>
                <w:szCs w:val="22"/>
              </w:rPr>
              <w:br w:type="textWrapping"/>
            </w:r>
            <w:r>
              <w:rPr>
                <w:rFonts w:hint="eastAsia" w:cs="宋体"/>
                <w:color w:val="auto"/>
                <w:kern w:val="0"/>
                <w:sz w:val="22"/>
                <w:szCs w:val="22"/>
              </w:rPr>
              <w:t>ü1年内被行政处罚的“无感监管”平台企业。</w:t>
            </w:r>
            <w:r>
              <w:rPr>
                <w:rFonts w:hint="eastAsia" w:cs="宋体"/>
                <w:color w:val="auto"/>
                <w:kern w:val="0"/>
                <w:sz w:val="22"/>
                <w:szCs w:val="22"/>
              </w:rPr>
              <w:br w:type="textWrapping"/>
            </w:r>
            <w:r>
              <w:rPr>
                <w:rFonts w:hint="eastAsia" w:cs="宋体"/>
                <w:color w:val="auto"/>
                <w:kern w:val="0"/>
                <w:sz w:val="22"/>
                <w:szCs w:val="22"/>
              </w:rPr>
              <w:t>ü相关部门确定有监管风险的企业。</w:t>
            </w:r>
            <w:r>
              <w:rPr>
                <w:rFonts w:hint="eastAsia" w:cs="宋体"/>
                <w:color w:val="auto"/>
                <w:kern w:val="0"/>
                <w:sz w:val="22"/>
                <w:szCs w:val="22"/>
              </w:rPr>
              <w:br w:type="textWrapping"/>
            </w:r>
            <w:r>
              <w:rPr>
                <w:rFonts w:hint="eastAsia" w:cs="宋体"/>
                <w:color w:val="auto"/>
                <w:kern w:val="0"/>
                <w:sz w:val="22"/>
                <w:szCs w:val="22"/>
              </w:rPr>
              <w:t>计算频次：每年1次</w:t>
            </w:r>
            <w:r>
              <w:rPr>
                <w:rFonts w:hint="eastAsia" w:cs="宋体"/>
                <w:color w:val="auto"/>
                <w:kern w:val="0"/>
                <w:sz w:val="22"/>
                <w:szCs w:val="22"/>
              </w:rPr>
              <w:br w:type="textWrapping"/>
            </w:r>
            <w:r>
              <w:rPr>
                <w:rFonts w:hint="eastAsia" w:cs="宋体"/>
                <w:color w:val="auto"/>
                <w:kern w:val="0"/>
                <w:sz w:val="22"/>
                <w:szCs w:val="22"/>
              </w:rPr>
              <w:t>筛选形成名单：综合考虑以上因素，形成网监处平台责任落实抽查“无感监管”对象清单。</w:t>
            </w:r>
          </w:p>
        </w:tc>
      </w:tr>
      <w:tr w14:paraId="3664570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1271D5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336</w:t>
            </w:r>
          </w:p>
        </w:tc>
        <w:tc>
          <w:tcPr>
            <w:tcW w:w="1143" w:type="pct"/>
            <w:tcBorders>
              <w:top w:val="nil"/>
              <w:left w:val="nil"/>
              <w:bottom w:val="single" w:color="000000" w:sz="4" w:space="0"/>
              <w:right w:val="single" w:color="000000" w:sz="4" w:space="0"/>
            </w:tcBorders>
            <w:vAlign w:val="center"/>
          </w:tcPr>
          <w:p w14:paraId="448F284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5798971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综合监管支撑服务功能-无感监管对象管理-广告经营单位广告管理制度执行情况抽查</w:t>
            </w:r>
          </w:p>
        </w:tc>
        <w:tc>
          <w:tcPr>
            <w:tcW w:w="2158" w:type="pct"/>
            <w:tcBorders>
              <w:top w:val="nil"/>
              <w:left w:val="nil"/>
              <w:bottom w:val="single" w:color="000000" w:sz="4" w:space="0"/>
              <w:right w:val="single" w:color="000000" w:sz="4" w:space="0"/>
            </w:tcBorders>
            <w:vAlign w:val="center"/>
          </w:tcPr>
          <w:p w14:paraId="136E826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来源：通用型企业信用风险分类结果为A的企业。</w:t>
            </w:r>
            <w:r>
              <w:rPr>
                <w:rFonts w:hint="eastAsia" w:cs="宋体"/>
                <w:color w:val="auto"/>
                <w:kern w:val="0"/>
                <w:sz w:val="22"/>
                <w:szCs w:val="22"/>
              </w:rPr>
              <w:br w:type="textWrapping"/>
            </w:r>
            <w:r>
              <w:rPr>
                <w:rFonts w:hint="eastAsia" w:cs="宋体"/>
                <w:color w:val="auto"/>
                <w:kern w:val="0"/>
                <w:sz w:val="22"/>
                <w:szCs w:val="22"/>
              </w:rPr>
              <w:t>扣除因素：纳入本市广告媒体发布单位信用风险评价的广告经营企业。</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筛选形成名单：综合考虑以上因素，形成抽查“无感监管”对象清单。</w:t>
            </w:r>
          </w:p>
        </w:tc>
      </w:tr>
      <w:tr w14:paraId="304FCFB9">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356588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337</w:t>
            </w:r>
          </w:p>
        </w:tc>
        <w:tc>
          <w:tcPr>
            <w:tcW w:w="1143" w:type="pct"/>
            <w:tcBorders>
              <w:top w:val="nil"/>
              <w:left w:val="nil"/>
              <w:bottom w:val="single" w:color="000000" w:sz="4" w:space="0"/>
              <w:right w:val="single" w:color="000000" w:sz="4" w:space="0"/>
            </w:tcBorders>
            <w:vAlign w:val="center"/>
          </w:tcPr>
          <w:p w14:paraId="6AC0540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21D5AB7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综合监管支撑服务功能-无感监管对象管理-三品一械广告审查发布情况抽查</w:t>
            </w:r>
          </w:p>
        </w:tc>
        <w:tc>
          <w:tcPr>
            <w:tcW w:w="2158" w:type="pct"/>
            <w:tcBorders>
              <w:top w:val="nil"/>
              <w:left w:val="nil"/>
              <w:bottom w:val="single" w:color="000000" w:sz="4" w:space="0"/>
              <w:right w:val="single" w:color="000000" w:sz="4" w:space="0"/>
            </w:tcBorders>
            <w:vAlign w:val="center"/>
          </w:tcPr>
          <w:p w14:paraId="0B2EF12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来源：通用型企业信用风险分类结果为A的企业。</w:t>
            </w:r>
            <w:r>
              <w:rPr>
                <w:rFonts w:hint="eastAsia" w:cs="宋体"/>
                <w:color w:val="auto"/>
                <w:kern w:val="0"/>
                <w:sz w:val="22"/>
                <w:szCs w:val="22"/>
              </w:rPr>
              <w:br w:type="textWrapping"/>
            </w:r>
            <w:r>
              <w:rPr>
                <w:rFonts w:hint="eastAsia" w:cs="宋体"/>
                <w:color w:val="auto"/>
                <w:kern w:val="0"/>
                <w:sz w:val="22"/>
                <w:szCs w:val="22"/>
              </w:rPr>
              <w:t>扣除因素：二年内因广告违法行为受到行政处罚的企业。</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筛选形成名单：综合考虑以上因素，形成抽查“无感监管”对象清单。</w:t>
            </w:r>
          </w:p>
        </w:tc>
      </w:tr>
      <w:tr w14:paraId="32E91D24">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43FCEB6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338</w:t>
            </w:r>
          </w:p>
        </w:tc>
        <w:tc>
          <w:tcPr>
            <w:tcW w:w="1143" w:type="pct"/>
            <w:tcBorders>
              <w:top w:val="nil"/>
              <w:left w:val="nil"/>
              <w:bottom w:val="single" w:color="000000" w:sz="4" w:space="0"/>
              <w:right w:val="single" w:color="000000" w:sz="4" w:space="0"/>
            </w:tcBorders>
            <w:vAlign w:val="center"/>
          </w:tcPr>
          <w:p w14:paraId="329945F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618082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综合监管支撑服务功能-无感监管对象管理-工业产品生产许可证获证企业监管</w:t>
            </w:r>
          </w:p>
        </w:tc>
        <w:tc>
          <w:tcPr>
            <w:tcW w:w="2158" w:type="pct"/>
            <w:tcBorders>
              <w:top w:val="nil"/>
              <w:left w:val="nil"/>
              <w:bottom w:val="single" w:color="000000" w:sz="4" w:space="0"/>
              <w:right w:val="single" w:color="000000" w:sz="4" w:space="0"/>
            </w:tcBorders>
            <w:vAlign w:val="center"/>
          </w:tcPr>
          <w:p w14:paraId="17635443">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来源：工业产品生产许可证获证企业监管类型分为A类的企业且通用型信用风险分类为A的企业。</w:t>
            </w:r>
            <w:r>
              <w:rPr>
                <w:rFonts w:hint="eastAsia" w:cs="宋体"/>
                <w:color w:val="auto"/>
                <w:kern w:val="0"/>
                <w:sz w:val="22"/>
                <w:szCs w:val="22"/>
              </w:rPr>
              <w:br w:type="textWrapping"/>
            </w:r>
            <w:r>
              <w:rPr>
                <w:rFonts w:hint="eastAsia" w:cs="宋体"/>
                <w:color w:val="auto"/>
                <w:kern w:val="0"/>
                <w:sz w:val="22"/>
                <w:szCs w:val="22"/>
              </w:rPr>
              <w:t>扣除因素：上一年度（1月1日-12月31日）未开展过重点领域（两品一特）全覆盖检查的企业</w:t>
            </w:r>
            <w:r>
              <w:rPr>
                <w:rFonts w:hint="eastAsia" w:cs="宋体"/>
                <w:color w:val="auto"/>
                <w:kern w:val="0"/>
                <w:sz w:val="22"/>
                <w:szCs w:val="22"/>
              </w:rPr>
              <w:br w:type="textWrapping"/>
            </w:r>
            <w:r>
              <w:rPr>
                <w:rFonts w:hint="eastAsia" w:cs="宋体"/>
                <w:color w:val="auto"/>
                <w:kern w:val="0"/>
                <w:sz w:val="22"/>
                <w:szCs w:val="22"/>
              </w:rPr>
              <w:t>计算频次：每年或每日1次</w:t>
            </w:r>
            <w:r>
              <w:rPr>
                <w:rFonts w:hint="eastAsia" w:cs="宋体"/>
                <w:color w:val="auto"/>
                <w:kern w:val="0"/>
                <w:sz w:val="22"/>
                <w:szCs w:val="22"/>
              </w:rPr>
              <w:br w:type="textWrapping"/>
            </w:r>
            <w:r>
              <w:rPr>
                <w:rFonts w:hint="eastAsia" w:cs="宋体"/>
                <w:color w:val="auto"/>
                <w:kern w:val="0"/>
                <w:sz w:val="22"/>
                <w:szCs w:val="22"/>
              </w:rPr>
              <w:t>筛选形成名单：本年度评为“双A”类的工业产品生产许可证获证企业减去上年度未开展证后日常监督检查的A类工业产品生产许可证获证企业，作为“无感监管”对象清单。对象清单原则上按年度动态调整，获证企业监管类型发生变化不再符合双A类企业，及时更新。</w:t>
            </w:r>
          </w:p>
        </w:tc>
      </w:tr>
      <w:tr w14:paraId="72A89103">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E9CA528">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339</w:t>
            </w:r>
          </w:p>
        </w:tc>
        <w:tc>
          <w:tcPr>
            <w:tcW w:w="1143" w:type="pct"/>
            <w:tcBorders>
              <w:top w:val="nil"/>
              <w:left w:val="nil"/>
              <w:bottom w:val="single" w:color="000000" w:sz="4" w:space="0"/>
              <w:right w:val="single" w:color="000000" w:sz="4" w:space="0"/>
            </w:tcBorders>
            <w:vAlign w:val="center"/>
          </w:tcPr>
          <w:p w14:paraId="03DA1A8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758734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综合监管支撑服务功能-无感监管对象管理-对食品生产企业的监管</w:t>
            </w:r>
          </w:p>
        </w:tc>
        <w:tc>
          <w:tcPr>
            <w:tcW w:w="2158" w:type="pct"/>
            <w:tcBorders>
              <w:top w:val="nil"/>
              <w:left w:val="nil"/>
              <w:bottom w:val="single" w:color="000000" w:sz="4" w:space="0"/>
              <w:right w:val="single" w:color="000000" w:sz="4" w:space="0"/>
            </w:tcBorders>
            <w:vAlign w:val="center"/>
          </w:tcPr>
          <w:p w14:paraId="35592C8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来源：食品生产企业专业领域信用风险分类结果为A的企业。</w:t>
            </w:r>
            <w:r>
              <w:rPr>
                <w:rFonts w:hint="eastAsia" w:cs="宋体"/>
                <w:color w:val="auto"/>
                <w:kern w:val="0"/>
                <w:sz w:val="22"/>
                <w:szCs w:val="22"/>
              </w:rPr>
              <w:br w:type="textWrapping"/>
            </w:r>
            <w:r>
              <w:rPr>
                <w:rFonts w:hint="eastAsia" w:cs="宋体"/>
                <w:color w:val="auto"/>
                <w:kern w:val="0"/>
                <w:sz w:val="22"/>
                <w:szCs w:val="22"/>
              </w:rPr>
              <w:t>扣除因素：上一年度（1月1日-12月31日）未开展过重点领域（两品一特）全覆盖检查的企业。</w:t>
            </w:r>
            <w:r>
              <w:rPr>
                <w:rFonts w:hint="eastAsia" w:cs="宋体"/>
                <w:color w:val="auto"/>
                <w:kern w:val="0"/>
                <w:sz w:val="22"/>
                <w:szCs w:val="22"/>
              </w:rPr>
              <w:br w:type="textWrapping"/>
            </w:r>
            <w:r>
              <w:rPr>
                <w:rFonts w:hint="eastAsia" w:cs="宋体"/>
                <w:color w:val="auto"/>
                <w:kern w:val="0"/>
                <w:sz w:val="22"/>
                <w:szCs w:val="22"/>
              </w:rPr>
              <w:t>计算频次：每月或每日1次</w:t>
            </w:r>
            <w:r>
              <w:rPr>
                <w:rFonts w:hint="eastAsia" w:cs="宋体"/>
                <w:color w:val="auto"/>
                <w:kern w:val="0"/>
                <w:sz w:val="22"/>
                <w:szCs w:val="22"/>
              </w:rPr>
              <w:br w:type="textWrapping"/>
            </w:r>
            <w:r>
              <w:rPr>
                <w:rFonts w:hint="eastAsia" w:cs="宋体"/>
                <w:color w:val="auto"/>
                <w:kern w:val="0"/>
                <w:sz w:val="22"/>
                <w:szCs w:val="22"/>
              </w:rPr>
              <w:t>筛选形成名单：本年度评为A级的食品生产企业减去上一年度未开展监督检查的A级的食品生产企业，作为“无感监管”对象清单。对象清单原则上按照年度调整，如果本年度内列入清单的食品生产企业等级发生变化不再符合A级标准的，及时更新。</w:t>
            </w:r>
          </w:p>
        </w:tc>
      </w:tr>
      <w:tr w14:paraId="7BC0E40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19B12AA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340</w:t>
            </w:r>
          </w:p>
        </w:tc>
        <w:tc>
          <w:tcPr>
            <w:tcW w:w="1143" w:type="pct"/>
            <w:tcBorders>
              <w:top w:val="nil"/>
              <w:left w:val="nil"/>
              <w:bottom w:val="single" w:color="000000" w:sz="4" w:space="0"/>
              <w:right w:val="single" w:color="000000" w:sz="4" w:space="0"/>
            </w:tcBorders>
            <w:vAlign w:val="center"/>
          </w:tcPr>
          <w:p w14:paraId="0EF8208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5F8E2E6A">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综合监管支撑服务功能-无感监管对象管理-对食品销售的监管</w:t>
            </w:r>
          </w:p>
        </w:tc>
        <w:tc>
          <w:tcPr>
            <w:tcW w:w="2158" w:type="pct"/>
            <w:tcBorders>
              <w:top w:val="nil"/>
              <w:left w:val="nil"/>
              <w:bottom w:val="single" w:color="000000" w:sz="4" w:space="0"/>
              <w:right w:val="single" w:color="000000" w:sz="4" w:space="0"/>
            </w:tcBorders>
            <w:vAlign w:val="center"/>
          </w:tcPr>
          <w:p w14:paraId="22F47C3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来源：持有预包装食品备案凭证、经营项目仅为预包装食品销售（不含冷藏冷冻食品）且通用型企业信用等级为A类的食品销售企业。</w:t>
            </w:r>
            <w:r>
              <w:rPr>
                <w:rFonts w:hint="eastAsia" w:cs="宋体"/>
                <w:color w:val="auto"/>
                <w:kern w:val="0"/>
                <w:sz w:val="22"/>
                <w:szCs w:val="22"/>
              </w:rPr>
              <w:br w:type="textWrapping"/>
            </w:r>
            <w:r>
              <w:rPr>
                <w:rFonts w:hint="eastAsia" w:cs="宋体"/>
                <w:color w:val="auto"/>
                <w:kern w:val="0"/>
                <w:sz w:val="22"/>
                <w:szCs w:val="22"/>
              </w:rPr>
              <w:t>计算频次：每年1次</w:t>
            </w:r>
            <w:r>
              <w:rPr>
                <w:rFonts w:hint="eastAsia" w:cs="宋体"/>
                <w:color w:val="auto"/>
                <w:kern w:val="0"/>
                <w:sz w:val="22"/>
                <w:szCs w:val="22"/>
              </w:rPr>
              <w:br w:type="textWrapping"/>
            </w:r>
            <w:r>
              <w:rPr>
                <w:rFonts w:hint="eastAsia" w:cs="宋体"/>
                <w:color w:val="auto"/>
                <w:kern w:val="0"/>
                <w:sz w:val="22"/>
                <w:szCs w:val="22"/>
              </w:rPr>
              <w:t>筛选形成名单：持有预包装食品备案凭证且经营项目仅为预包装食品销售（不含冷藏冷冻食品）且通用型企业信用等级为A类的食品销售企业，作为“无感监管”对象清单。对象清单原则上每日调整。</w:t>
            </w:r>
          </w:p>
        </w:tc>
      </w:tr>
      <w:tr w14:paraId="59AD3B6A">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2E83EA1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341</w:t>
            </w:r>
          </w:p>
        </w:tc>
        <w:tc>
          <w:tcPr>
            <w:tcW w:w="1143" w:type="pct"/>
            <w:tcBorders>
              <w:top w:val="nil"/>
              <w:left w:val="nil"/>
              <w:bottom w:val="single" w:color="000000" w:sz="4" w:space="0"/>
              <w:right w:val="single" w:color="000000" w:sz="4" w:space="0"/>
            </w:tcBorders>
            <w:vAlign w:val="center"/>
          </w:tcPr>
          <w:p w14:paraId="4DD72BF1">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05ED8BB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综合监管支撑服务功能-无感监管对象管理-对特殊食品销售的监管</w:t>
            </w:r>
          </w:p>
        </w:tc>
        <w:tc>
          <w:tcPr>
            <w:tcW w:w="2158" w:type="pct"/>
            <w:tcBorders>
              <w:top w:val="nil"/>
              <w:left w:val="nil"/>
              <w:bottom w:val="single" w:color="000000" w:sz="4" w:space="0"/>
              <w:right w:val="single" w:color="000000" w:sz="4" w:space="0"/>
            </w:tcBorders>
            <w:vAlign w:val="center"/>
          </w:tcPr>
          <w:p w14:paraId="5549283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来源：企业信用风险分类系统，市局经营处上报的普通食品“无感监管”对象清单中实际经营特殊食品的销售单位。（第一批按照食品经营许可证或者备案中含“特殊食品”的）</w:t>
            </w:r>
            <w:r>
              <w:rPr>
                <w:rFonts w:hint="eastAsia" w:cs="宋体"/>
                <w:color w:val="auto"/>
                <w:kern w:val="0"/>
                <w:sz w:val="22"/>
                <w:szCs w:val="22"/>
              </w:rPr>
              <w:br w:type="textWrapping"/>
            </w:r>
            <w:r>
              <w:rPr>
                <w:rFonts w:hint="eastAsia" w:cs="宋体"/>
                <w:color w:val="auto"/>
                <w:kern w:val="0"/>
                <w:sz w:val="22"/>
                <w:szCs w:val="22"/>
              </w:rPr>
              <w:t>计算频次：每年1次</w:t>
            </w:r>
          </w:p>
        </w:tc>
      </w:tr>
      <w:tr w14:paraId="5D9FDA4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B68339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342</w:t>
            </w:r>
          </w:p>
        </w:tc>
        <w:tc>
          <w:tcPr>
            <w:tcW w:w="1143" w:type="pct"/>
            <w:tcBorders>
              <w:top w:val="nil"/>
              <w:left w:val="nil"/>
              <w:bottom w:val="single" w:color="000000" w:sz="4" w:space="0"/>
              <w:right w:val="single" w:color="000000" w:sz="4" w:space="0"/>
            </w:tcBorders>
            <w:vAlign w:val="center"/>
          </w:tcPr>
          <w:p w14:paraId="29D9AB3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6C924A4C">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综合监管支撑服务功能-无感监管对象管理-电梯维保单位监管</w:t>
            </w:r>
          </w:p>
        </w:tc>
        <w:tc>
          <w:tcPr>
            <w:tcW w:w="2158" w:type="pct"/>
            <w:tcBorders>
              <w:top w:val="nil"/>
              <w:left w:val="nil"/>
              <w:bottom w:val="single" w:color="000000" w:sz="4" w:space="0"/>
              <w:right w:val="single" w:color="000000" w:sz="4" w:space="0"/>
            </w:tcBorders>
            <w:vAlign w:val="center"/>
          </w:tcPr>
          <w:p w14:paraId="594570B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来源：上海智慧电梯平台,手动导入数据</w:t>
            </w:r>
            <w:r>
              <w:rPr>
                <w:rFonts w:hint="eastAsia" w:cs="宋体"/>
                <w:color w:val="auto"/>
                <w:kern w:val="0"/>
                <w:sz w:val="22"/>
                <w:szCs w:val="22"/>
              </w:rPr>
              <w:br w:type="textWrapping"/>
            </w:r>
            <w:r>
              <w:rPr>
                <w:rFonts w:hint="eastAsia" w:cs="宋体"/>
                <w:color w:val="auto"/>
                <w:kern w:val="0"/>
                <w:sz w:val="22"/>
                <w:szCs w:val="22"/>
              </w:rPr>
              <w:t>扣除因素：在全国范围发生电梯事故且承担相关事故责任的电梯维保单位。</w:t>
            </w:r>
            <w:r>
              <w:rPr>
                <w:rFonts w:hint="eastAsia" w:cs="宋体"/>
                <w:color w:val="auto"/>
                <w:kern w:val="0"/>
                <w:sz w:val="22"/>
                <w:szCs w:val="22"/>
              </w:rPr>
              <w:br w:type="textWrapping"/>
            </w:r>
            <w:r>
              <w:rPr>
                <w:rFonts w:hint="eastAsia" w:cs="宋体"/>
                <w:color w:val="auto"/>
                <w:kern w:val="0"/>
                <w:sz w:val="22"/>
                <w:szCs w:val="22"/>
              </w:rPr>
              <w:t>计算频次：每季度1次</w:t>
            </w:r>
            <w:r>
              <w:rPr>
                <w:rFonts w:hint="eastAsia" w:cs="宋体"/>
                <w:color w:val="auto"/>
                <w:kern w:val="0"/>
                <w:sz w:val="22"/>
                <w:szCs w:val="22"/>
              </w:rPr>
              <w:br w:type="textWrapping"/>
            </w:r>
            <w:r>
              <w:rPr>
                <w:rFonts w:hint="eastAsia" w:cs="宋体"/>
                <w:color w:val="auto"/>
                <w:kern w:val="0"/>
                <w:sz w:val="22"/>
                <w:szCs w:val="22"/>
              </w:rPr>
              <w:t>筛选形成名单：综合考虑以上因素，形成特种处对电梯维保单位“无感监管”对象清单。</w:t>
            </w:r>
          </w:p>
        </w:tc>
      </w:tr>
      <w:tr w14:paraId="1BE83EA8">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74FCD81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343</w:t>
            </w:r>
          </w:p>
        </w:tc>
        <w:tc>
          <w:tcPr>
            <w:tcW w:w="1143" w:type="pct"/>
            <w:tcBorders>
              <w:top w:val="nil"/>
              <w:left w:val="nil"/>
              <w:bottom w:val="single" w:color="000000" w:sz="4" w:space="0"/>
              <w:right w:val="single" w:color="000000" w:sz="4" w:space="0"/>
            </w:tcBorders>
            <w:vAlign w:val="center"/>
          </w:tcPr>
          <w:p w14:paraId="3551269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D65D4D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综合监管支撑服务功能-无感监管对象管理-对计量领域的监管</w:t>
            </w:r>
          </w:p>
        </w:tc>
        <w:tc>
          <w:tcPr>
            <w:tcW w:w="2158" w:type="pct"/>
            <w:tcBorders>
              <w:top w:val="nil"/>
              <w:left w:val="nil"/>
              <w:bottom w:val="single" w:color="000000" w:sz="4" w:space="0"/>
              <w:right w:val="single" w:color="000000" w:sz="4" w:space="0"/>
            </w:tcBorders>
            <w:vAlign w:val="center"/>
          </w:tcPr>
          <w:p w14:paraId="062FFD75">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来源：通用型+专业型企业信用风险分类结果为A的企业。</w:t>
            </w:r>
            <w:r>
              <w:rPr>
                <w:rFonts w:hint="eastAsia" w:cs="宋体"/>
                <w:color w:val="auto"/>
                <w:kern w:val="0"/>
                <w:sz w:val="22"/>
                <w:szCs w:val="22"/>
              </w:rPr>
              <w:br w:type="textWrapping"/>
            </w:r>
            <w:r>
              <w:rPr>
                <w:rFonts w:hint="eastAsia" w:cs="宋体"/>
                <w:color w:val="auto"/>
                <w:kern w:val="0"/>
                <w:sz w:val="22"/>
                <w:szCs w:val="22"/>
              </w:rPr>
              <w:t>扣除因素：</w:t>
            </w:r>
            <w:r>
              <w:rPr>
                <w:rFonts w:hint="eastAsia" w:cs="宋体"/>
                <w:color w:val="auto"/>
                <w:kern w:val="0"/>
                <w:sz w:val="22"/>
                <w:szCs w:val="22"/>
              </w:rPr>
              <w:br w:type="textWrapping"/>
            </w:r>
            <w:r>
              <w:rPr>
                <w:rFonts w:hint="eastAsia" w:cs="宋体"/>
                <w:color w:val="auto"/>
                <w:kern w:val="0"/>
                <w:sz w:val="22"/>
                <w:szCs w:val="22"/>
              </w:rPr>
              <w:t>ü强制检定预警超期需进一步处理企业；</w:t>
            </w:r>
            <w:r>
              <w:rPr>
                <w:rFonts w:hint="eastAsia" w:cs="宋体"/>
                <w:color w:val="auto"/>
                <w:kern w:val="0"/>
                <w:sz w:val="22"/>
                <w:szCs w:val="22"/>
              </w:rPr>
              <w:br w:type="textWrapping"/>
            </w:r>
            <w:r>
              <w:rPr>
                <w:rFonts w:hint="eastAsia" w:cs="宋体"/>
                <w:color w:val="auto"/>
                <w:kern w:val="0"/>
                <w:sz w:val="22"/>
                <w:szCs w:val="22"/>
              </w:rPr>
              <w:t xml:space="preserve">ü其他需要剔除的企业。 </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筛选形成名单：综合考虑以上因素，形成计量处计量监管“无感监管”对象清单。</w:t>
            </w:r>
          </w:p>
        </w:tc>
      </w:tr>
      <w:tr w14:paraId="057A560C">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A1BA3A9">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344</w:t>
            </w:r>
          </w:p>
        </w:tc>
        <w:tc>
          <w:tcPr>
            <w:tcW w:w="1143" w:type="pct"/>
            <w:tcBorders>
              <w:top w:val="nil"/>
              <w:left w:val="nil"/>
              <w:bottom w:val="single" w:color="000000" w:sz="4" w:space="0"/>
              <w:right w:val="single" w:color="000000" w:sz="4" w:space="0"/>
            </w:tcBorders>
            <w:vAlign w:val="center"/>
          </w:tcPr>
          <w:p w14:paraId="45BEC08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1CDC3E90">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综合监管支撑服务功能-无感监管对象管理-企业标准监管</w:t>
            </w:r>
          </w:p>
        </w:tc>
        <w:tc>
          <w:tcPr>
            <w:tcW w:w="2158" w:type="pct"/>
            <w:tcBorders>
              <w:top w:val="nil"/>
              <w:left w:val="nil"/>
              <w:bottom w:val="single" w:color="000000" w:sz="4" w:space="0"/>
              <w:right w:val="single" w:color="000000" w:sz="4" w:space="0"/>
            </w:tcBorders>
            <w:vAlign w:val="center"/>
          </w:tcPr>
          <w:p w14:paraId="0ACFE9DF">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来源：企业白名单(自建,由获中国质量奖、上海市政府质量奖、“上海标准”、企业标准领跑者等奖项的企业组成)。</w:t>
            </w:r>
            <w:r>
              <w:rPr>
                <w:rFonts w:hint="eastAsia" w:cs="宋体"/>
                <w:color w:val="auto"/>
                <w:kern w:val="0"/>
                <w:sz w:val="22"/>
                <w:szCs w:val="22"/>
              </w:rPr>
              <w:br w:type="textWrapping"/>
            </w:r>
            <w:r>
              <w:rPr>
                <w:rFonts w:hint="eastAsia" w:cs="宋体"/>
                <w:color w:val="auto"/>
                <w:kern w:val="0"/>
                <w:sz w:val="22"/>
                <w:szCs w:val="22"/>
              </w:rPr>
              <w:t>扣除因素：通用型企业信用风险C类、D类企业。</w:t>
            </w:r>
            <w:r>
              <w:rPr>
                <w:rFonts w:hint="eastAsia" w:cs="宋体"/>
                <w:color w:val="auto"/>
                <w:kern w:val="0"/>
                <w:sz w:val="22"/>
                <w:szCs w:val="22"/>
              </w:rPr>
              <w:br w:type="textWrapping"/>
            </w:r>
            <w:r>
              <w:rPr>
                <w:rFonts w:hint="eastAsia" w:cs="宋体"/>
                <w:color w:val="auto"/>
                <w:kern w:val="0"/>
                <w:sz w:val="22"/>
                <w:szCs w:val="22"/>
              </w:rPr>
              <w:t>计算频次：每月1次</w:t>
            </w:r>
            <w:r>
              <w:rPr>
                <w:rFonts w:hint="eastAsia" w:cs="宋体"/>
                <w:color w:val="auto"/>
                <w:kern w:val="0"/>
                <w:sz w:val="22"/>
                <w:szCs w:val="22"/>
              </w:rPr>
              <w:br w:type="textWrapping"/>
            </w:r>
            <w:r>
              <w:rPr>
                <w:rFonts w:hint="eastAsia" w:cs="宋体"/>
                <w:color w:val="auto"/>
                <w:kern w:val="0"/>
                <w:sz w:val="22"/>
                <w:szCs w:val="22"/>
              </w:rPr>
              <w:t>筛选形成名单：在此基础上，产生企业标准“无感监管”对象清单。</w:t>
            </w:r>
          </w:p>
        </w:tc>
      </w:tr>
      <w:tr w14:paraId="2524ACDB">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63716E1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345</w:t>
            </w:r>
          </w:p>
        </w:tc>
        <w:tc>
          <w:tcPr>
            <w:tcW w:w="1143" w:type="pct"/>
            <w:tcBorders>
              <w:top w:val="nil"/>
              <w:left w:val="nil"/>
              <w:bottom w:val="single" w:color="000000" w:sz="4" w:space="0"/>
              <w:right w:val="single" w:color="000000" w:sz="4" w:space="0"/>
            </w:tcBorders>
            <w:vAlign w:val="center"/>
          </w:tcPr>
          <w:p w14:paraId="32E01B4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55A8137">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综合监管支撑服务功能-无感监管对象管理-认证活动监管</w:t>
            </w:r>
          </w:p>
        </w:tc>
        <w:tc>
          <w:tcPr>
            <w:tcW w:w="2158" w:type="pct"/>
            <w:tcBorders>
              <w:top w:val="nil"/>
              <w:left w:val="nil"/>
              <w:bottom w:val="single" w:color="000000" w:sz="4" w:space="0"/>
              <w:right w:val="single" w:color="000000" w:sz="4" w:space="0"/>
            </w:tcBorders>
            <w:vAlign w:val="center"/>
          </w:tcPr>
          <w:p w14:paraId="0F2A02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来源：总局认证监管系统，通用型+专业型企业信用风险分类结果为A的企业，（手动导入数据）</w:t>
            </w:r>
            <w:r>
              <w:rPr>
                <w:rFonts w:hint="eastAsia" w:cs="宋体"/>
                <w:color w:val="auto"/>
                <w:kern w:val="0"/>
                <w:sz w:val="22"/>
                <w:szCs w:val="22"/>
              </w:rPr>
              <w:br w:type="textWrapping"/>
            </w:r>
            <w:r>
              <w:rPr>
                <w:rFonts w:hint="eastAsia" w:cs="宋体"/>
                <w:color w:val="auto"/>
                <w:kern w:val="0"/>
                <w:sz w:val="22"/>
                <w:szCs w:val="22"/>
              </w:rPr>
              <w:t>计算频次：每半年1次。</w:t>
            </w:r>
          </w:p>
        </w:tc>
      </w:tr>
      <w:tr w14:paraId="2F29F396">
        <w:tblPrEx>
          <w:tblCellMar>
            <w:top w:w="0" w:type="dxa"/>
            <w:left w:w="108" w:type="dxa"/>
            <w:bottom w:w="0" w:type="dxa"/>
            <w:right w:w="108" w:type="dxa"/>
          </w:tblCellMar>
        </w:tblPrEx>
        <w:trPr>
          <w:trHeight w:val="999" w:hRule="atLeast"/>
        </w:trPr>
        <w:tc>
          <w:tcPr>
            <w:tcW w:w="524" w:type="pct"/>
            <w:tcBorders>
              <w:top w:val="nil"/>
              <w:left w:val="single" w:color="000000" w:sz="4" w:space="0"/>
              <w:bottom w:val="single" w:color="000000" w:sz="4" w:space="0"/>
              <w:right w:val="single" w:color="000000" w:sz="4" w:space="0"/>
            </w:tcBorders>
            <w:vAlign w:val="center"/>
          </w:tcPr>
          <w:p w14:paraId="5AC0F074">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346</w:t>
            </w:r>
          </w:p>
        </w:tc>
        <w:tc>
          <w:tcPr>
            <w:tcW w:w="1143" w:type="pct"/>
            <w:tcBorders>
              <w:top w:val="nil"/>
              <w:left w:val="nil"/>
              <w:bottom w:val="single" w:color="000000" w:sz="4" w:space="0"/>
              <w:right w:val="single" w:color="000000" w:sz="4" w:space="0"/>
            </w:tcBorders>
            <w:vAlign w:val="center"/>
          </w:tcPr>
          <w:p w14:paraId="7F0B60E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w:t>
            </w:r>
          </w:p>
        </w:tc>
        <w:tc>
          <w:tcPr>
            <w:tcW w:w="1175" w:type="pct"/>
            <w:tcBorders>
              <w:top w:val="nil"/>
              <w:left w:val="nil"/>
              <w:bottom w:val="single" w:color="000000" w:sz="4" w:space="0"/>
              <w:right w:val="single" w:color="000000" w:sz="4" w:space="0"/>
            </w:tcBorders>
            <w:vAlign w:val="center"/>
          </w:tcPr>
          <w:p w14:paraId="3BDBD78B">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综合监管支撑服务功能-无感监管对象管理-认可与检验检测监督监管</w:t>
            </w:r>
          </w:p>
        </w:tc>
        <w:tc>
          <w:tcPr>
            <w:tcW w:w="2158" w:type="pct"/>
            <w:tcBorders>
              <w:top w:val="nil"/>
              <w:left w:val="nil"/>
              <w:bottom w:val="single" w:color="000000" w:sz="4" w:space="0"/>
              <w:right w:val="single" w:color="000000" w:sz="4" w:space="0"/>
            </w:tcBorders>
            <w:vAlign w:val="center"/>
          </w:tcPr>
          <w:p w14:paraId="477609AE">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来源：通用型+专业型企业信用风险分类结果为A的 、专业型企业信用风险分类结果为A的事业单位。</w:t>
            </w:r>
            <w:r>
              <w:rPr>
                <w:rFonts w:hint="eastAsia" w:cs="宋体"/>
                <w:color w:val="auto"/>
                <w:kern w:val="0"/>
                <w:sz w:val="22"/>
                <w:szCs w:val="22"/>
              </w:rPr>
              <w:br w:type="textWrapping"/>
            </w:r>
            <w:r>
              <w:rPr>
                <w:rFonts w:hint="eastAsia" w:cs="宋体"/>
                <w:color w:val="auto"/>
                <w:kern w:val="0"/>
                <w:sz w:val="22"/>
                <w:szCs w:val="22"/>
              </w:rPr>
              <w:t>计算频次：每月1次</w:t>
            </w:r>
          </w:p>
        </w:tc>
      </w:tr>
    </w:tbl>
    <w:p w14:paraId="365BABB3">
      <w:pPr>
        <w:pStyle w:val="3"/>
        <w:rPr>
          <w:rFonts w:hint="eastAsia"/>
          <w:color w:val="auto"/>
        </w:rPr>
      </w:pPr>
      <w:r>
        <w:rPr>
          <w:rFonts w:hint="eastAsia"/>
          <w:color w:val="auto"/>
        </w:rPr>
        <w:t>产品软件购置清单</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85"/>
        <w:gridCol w:w="4974"/>
        <w:gridCol w:w="721"/>
        <w:gridCol w:w="721"/>
      </w:tblGrid>
      <w:tr w14:paraId="7505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14:paraId="68EDD7D8">
            <w:pPr>
              <w:ind w:firstLine="0" w:firstLineChars="0"/>
              <w:jc w:val="center"/>
              <w:rPr>
                <w:rFonts w:hint="eastAsia" w:cs="宋体"/>
                <w:b/>
                <w:bCs/>
                <w:color w:val="auto"/>
              </w:rPr>
            </w:pPr>
            <w:r>
              <w:rPr>
                <w:rFonts w:hint="eastAsia" w:cs="宋体"/>
                <w:b/>
                <w:bCs/>
                <w:color w:val="auto"/>
              </w:rPr>
              <w:t>序号</w:t>
            </w:r>
          </w:p>
        </w:tc>
        <w:tc>
          <w:tcPr>
            <w:tcW w:w="812" w:type="pct"/>
            <w:vAlign w:val="center"/>
          </w:tcPr>
          <w:p w14:paraId="665937CB">
            <w:pPr>
              <w:ind w:firstLine="0" w:firstLineChars="0"/>
              <w:jc w:val="center"/>
              <w:rPr>
                <w:rFonts w:hint="eastAsia" w:cs="宋体"/>
                <w:b/>
                <w:bCs/>
                <w:color w:val="auto"/>
              </w:rPr>
            </w:pPr>
            <w:r>
              <w:rPr>
                <w:rFonts w:hint="eastAsia" w:cs="宋体"/>
                <w:b/>
                <w:bCs/>
                <w:color w:val="auto"/>
              </w:rPr>
              <w:t>软件名称</w:t>
            </w:r>
          </w:p>
        </w:tc>
        <w:tc>
          <w:tcPr>
            <w:tcW w:w="2916" w:type="pct"/>
            <w:vAlign w:val="center"/>
          </w:tcPr>
          <w:p w14:paraId="6ED8C646">
            <w:pPr>
              <w:ind w:firstLine="0" w:firstLineChars="0"/>
              <w:jc w:val="center"/>
              <w:rPr>
                <w:rFonts w:hint="eastAsia" w:cs="宋体"/>
                <w:b/>
                <w:bCs/>
                <w:color w:val="auto"/>
              </w:rPr>
            </w:pPr>
            <w:r>
              <w:rPr>
                <w:rFonts w:hint="eastAsia" w:cs="宋体"/>
                <w:b/>
                <w:bCs/>
                <w:color w:val="auto"/>
              </w:rPr>
              <w:t>功能说明</w:t>
            </w:r>
            <w:r>
              <w:rPr>
                <w:rFonts w:cs="宋体"/>
                <w:b/>
                <w:bCs/>
                <w:color w:val="auto"/>
              </w:rPr>
              <w:t>/配置要求</w:t>
            </w:r>
          </w:p>
        </w:tc>
        <w:tc>
          <w:tcPr>
            <w:tcW w:w="423" w:type="pct"/>
            <w:vAlign w:val="center"/>
          </w:tcPr>
          <w:p w14:paraId="59CFD4EE">
            <w:pPr>
              <w:ind w:firstLine="0" w:firstLineChars="0"/>
              <w:jc w:val="center"/>
              <w:rPr>
                <w:rFonts w:hint="eastAsia" w:cs="宋体"/>
                <w:b/>
                <w:bCs/>
                <w:color w:val="auto"/>
              </w:rPr>
            </w:pPr>
            <w:r>
              <w:rPr>
                <w:rFonts w:hint="eastAsia" w:cs="宋体"/>
                <w:b/>
                <w:bCs/>
                <w:color w:val="auto"/>
              </w:rPr>
              <w:t>数量</w:t>
            </w:r>
          </w:p>
        </w:tc>
        <w:tc>
          <w:tcPr>
            <w:tcW w:w="423" w:type="pct"/>
            <w:vAlign w:val="center"/>
          </w:tcPr>
          <w:p w14:paraId="65FCDB42">
            <w:pPr>
              <w:ind w:firstLine="0" w:firstLineChars="0"/>
              <w:jc w:val="center"/>
              <w:rPr>
                <w:rFonts w:hint="eastAsia" w:cs="宋体"/>
                <w:b/>
                <w:bCs/>
                <w:color w:val="auto"/>
              </w:rPr>
            </w:pPr>
            <w:r>
              <w:rPr>
                <w:rFonts w:hint="eastAsia" w:cs="宋体"/>
                <w:b/>
                <w:bCs/>
                <w:color w:val="auto"/>
              </w:rPr>
              <w:t>单位</w:t>
            </w:r>
          </w:p>
        </w:tc>
      </w:tr>
      <w:tr w14:paraId="2A86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14:paraId="69245C45">
            <w:pPr>
              <w:ind w:firstLine="0" w:firstLineChars="0"/>
              <w:jc w:val="center"/>
              <w:rPr>
                <w:rFonts w:hint="eastAsia" w:cs="宋体"/>
                <w:color w:val="auto"/>
              </w:rPr>
            </w:pPr>
            <w:r>
              <w:rPr>
                <w:rFonts w:cs="宋体"/>
                <w:color w:val="auto"/>
              </w:rPr>
              <w:t>1</w:t>
            </w:r>
          </w:p>
        </w:tc>
        <w:tc>
          <w:tcPr>
            <w:tcW w:w="812" w:type="pct"/>
            <w:vAlign w:val="center"/>
          </w:tcPr>
          <w:p w14:paraId="35FC8152">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工具软件</w:t>
            </w:r>
          </w:p>
        </w:tc>
        <w:tc>
          <w:tcPr>
            <w:tcW w:w="2916" w:type="pct"/>
            <w:vAlign w:val="center"/>
          </w:tcPr>
          <w:p w14:paraId="1F989BB6">
            <w:pPr>
              <w:widowControl/>
              <w:spacing w:line="240" w:lineRule="auto"/>
              <w:ind w:firstLine="0" w:firstLineChars="0"/>
              <w:jc w:val="center"/>
              <w:rPr>
                <w:rFonts w:hint="eastAsia" w:cs="宋体"/>
                <w:color w:val="auto"/>
                <w:kern w:val="0"/>
                <w:sz w:val="22"/>
                <w:szCs w:val="22"/>
              </w:rPr>
            </w:pPr>
            <w:r>
              <w:rPr>
                <w:rFonts w:hint="eastAsia" w:cs="宋体"/>
                <w:color w:val="auto"/>
                <w:kern w:val="0"/>
                <w:sz w:val="22"/>
                <w:szCs w:val="22"/>
              </w:rPr>
              <w:t>档案管理系统：包含档案采集、档案管理、档案鉴定、档案检索、档案出入库管理、档案盘点、库房管理、数据分析、档案利用、档案销毁等功能。</w:t>
            </w:r>
          </w:p>
        </w:tc>
        <w:tc>
          <w:tcPr>
            <w:tcW w:w="423" w:type="pct"/>
            <w:vAlign w:val="center"/>
          </w:tcPr>
          <w:p w14:paraId="55B482D0">
            <w:pPr>
              <w:ind w:firstLine="0" w:firstLineChars="0"/>
              <w:jc w:val="center"/>
              <w:rPr>
                <w:rFonts w:hint="eastAsia" w:cs="宋体"/>
                <w:color w:val="auto"/>
                <w:kern w:val="0"/>
                <w:sz w:val="22"/>
                <w:szCs w:val="22"/>
              </w:rPr>
            </w:pPr>
            <w:r>
              <w:rPr>
                <w:rFonts w:cs="宋体"/>
                <w:color w:val="auto"/>
                <w:kern w:val="0"/>
                <w:sz w:val="22"/>
                <w:szCs w:val="22"/>
              </w:rPr>
              <w:t>1</w:t>
            </w:r>
          </w:p>
        </w:tc>
        <w:tc>
          <w:tcPr>
            <w:tcW w:w="423" w:type="pct"/>
            <w:vAlign w:val="center"/>
          </w:tcPr>
          <w:p w14:paraId="4C32A8AD">
            <w:pPr>
              <w:ind w:firstLine="0" w:firstLineChars="0"/>
              <w:jc w:val="center"/>
              <w:rPr>
                <w:rFonts w:hint="eastAsia" w:cs="宋体"/>
                <w:color w:val="auto"/>
                <w:kern w:val="0"/>
                <w:sz w:val="22"/>
                <w:szCs w:val="22"/>
              </w:rPr>
            </w:pPr>
            <w:r>
              <w:rPr>
                <w:rFonts w:cs="宋体"/>
                <w:color w:val="auto"/>
                <w:kern w:val="0"/>
                <w:sz w:val="22"/>
                <w:szCs w:val="22"/>
              </w:rPr>
              <w:t>套</w:t>
            </w:r>
          </w:p>
        </w:tc>
      </w:tr>
    </w:tbl>
    <w:p w14:paraId="07AFC16E">
      <w:pPr>
        <w:pStyle w:val="3"/>
        <w:rPr>
          <w:rFonts w:hint="eastAsia"/>
          <w:color w:val="auto"/>
        </w:rPr>
      </w:pPr>
      <w:r>
        <w:rPr>
          <w:rFonts w:hint="eastAsia"/>
          <w:color w:val="auto"/>
        </w:rPr>
        <w:t>系统集成服务</w:t>
      </w:r>
    </w:p>
    <w:p w14:paraId="6B798E91">
      <w:pPr>
        <w:rPr>
          <w:rFonts w:hint="eastAsia"/>
          <w:color w:val="auto"/>
        </w:rPr>
      </w:pPr>
      <w:r>
        <w:rPr>
          <w:rFonts w:hint="eastAsia"/>
          <w:color w:val="auto"/>
        </w:rPr>
        <w:t>提供以上项目内容、产品软件及政务云平台相关运行支撑环境的总体集成服务，包括方案设计、产品安装部署和实施配置等。</w:t>
      </w:r>
    </w:p>
    <w:p w14:paraId="0CB3D926">
      <w:pPr>
        <w:pStyle w:val="2"/>
        <w:rPr>
          <w:rFonts w:hint="eastAsia"/>
          <w:color w:val="auto"/>
        </w:rPr>
      </w:pPr>
      <w:bookmarkStart w:id="22" w:name="_Toc63785502"/>
      <w:r>
        <w:rPr>
          <w:rFonts w:hint="eastAsia"/>
          <w:color w:val="auto"/>
        </w:rPr>
        <w:t>电子政务云资源需求</w:t>
      </w:r>
      <w:bookmarkEnd w:id="22"/>
    </w:p>
    <w:p w14:paraId="1F3F2DD6">
      <w:pPr>
        <w:rPr>
          <w:rFonts w:hint="eastAsia"/>
          <w:color w:val="auto"/>
        </w:rPr>
      </w:pPr>
      <w:r>
        <w:rPr>
          <w:rFonts w:hint="eastAsia"/>
          <w:color w:val="auto"/>
        </w:rPr>
        <w:t>根据项目前期资源现状，本次建设根据估算拟向电子政务云申请46台虚拟服务器资源CPU380</w:t>
      </w:r>
      <w:r>
        <w:rPr>
          <w:rFonts w:hint="eastAsia"/>
          <w:color w:val="auto"/>
        </w:rPr>
        <w:tab/>
      </w:r>
      <w:r>
        <w:rPr>
          <w:rFonts w:hint="eastAsia"/>
          <w:color w:val="auto"/>
        </w:rPr>
        <w:t>核 、内存880G、存储30900G。</w:t>
      </w:r>
    </w:p>
    <w:tbl>
      <w:tblPr>
        <w:tblStyle w:val="35"/>
        <w:tblW w:w="5000" w:type="pct"/>
        <w:tblInd w:w="0" w:type="dxa"/>
        <w:tblLayout w:type="fixed"/>
        <w:tblCellMar>
          <w:top w:w="0" w:type="dxa"/>
          <w:left w:w="108" w:type="dxa"/>
          <w:bottom w:w="0" w:type="dxa"/>
          <w:right w:w="108" w:type="dxa"/>
        </w:tblCellMar>
      </w:tblPr>
      <w:tblGrid>
        <w:gridCol w:w="947"/>
        <w:gridCol w:w="652"/>
        <w:gridCol w:w="873"/>
        <w:gridCol w:w="873"/>
        <w:gridCol w:w="1393"/>
        <w:gridCol w:w="947"/>
        <w:gridCol w:w="948"/>
        <w:gridCol w:w="947"/>
        <w:gridCol w:w="948"/>
      </w:tblGrid>
      <w:tr w14:paraId="6A2FF344">
        <w:tblPrEx>
          <w:tblCellMar>
            <w:top w:w="0" w:type="dxa"/>
            <w:left w:w="108" w:type="dxa"/>
            <w:bottom w:w="0" w:type="dxa"/>
            <w:right w:w="108" w:type="dxa"/>
          </w:tblCellMar>
        </w:tblPrEx>
        <w:trPr>
          <w:trHeight w:val="288" w:hRule="atLeast"/>
        </w:trPr>
        <w:tc>
          <w:tcPr>
            <w:tcW w:w="555" w:type="pct"/>
            <w:tcBorders>
              <w:top w:val="single" w:color="auto" w:sz="4" w:space="0"/>
              <w:left w:val="single" w:color="auto" w:sz="4" w:space="0"/>
              <w:bottom w:val="single" w:color="auto" w:sz="4" w:space="0"/>
              <w:right w:val="single" w:color="auto" w:sz="4" w:space="0"/>
            </w:tcBorders>
            <w:noWrap/>
            <w:vAlign w:val="center"/>
          </w:tcPr>
          <w:p w14:paraId="16D54CEE">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序号</w:t>
            </w:r>
          </w:p>
        </w:tc>
        <w:tc>
          <w:tcPr>
            <w:tcW w:w="382" w:type="pct"/>
            <w:tcBorders>
              <w:top w:val="single" w:color="auto" w:sz="4" w:space="0"/>
              <w:left w:val="nil"/>
              <w:bottom w:val="single" w:color="auto" w:sz="4" w:space="0"/>
              <w:right w:val="single" w:color="auto" w:sz="4" w:space="0"/>
            </w:tcBorders>
            <w:noWrap/>
            <w:vAlign w:val="center"/>
          </w:tcPr>
          <w:p w14:paraId="73137AA3">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网络区域</w:t>
            </w:r>
          </w:p>
        </w:tc>
        <w:tc>
          <w:tcPr>
            <w:tcW w:w="512" w:type="pct"/>
            <w:tcBorders>
              <w:top w:val="single" w:color="auto" w:sz="4" w:space="0"/>
              <w:left w:val="nil"/>
              <w:bottom w:val="single" w:color="auto" w:sz="4" w:space="0"/>
              <w:right w:val="single" w:color="auto" w:sz="4" w:space="0"/>
            </w:tcBorders>
            <w:noWrap/>
            <w:vAlign w:val="center"/>
          </w:tcPr>
          <w:p w14:paraId="4C27D0B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资源类型</w:t>
            </w:r>
          </w:p>
        </w:tc>
        <w:tc>
          <w:tcPr>
            <w:tcW w:w="512" w:type="pct"/>
            <w:tcBorders>
              <w:top w:val="single" w:color="auto" w:sz="4" w:space="0"/>
              <w:left w:val="nil"/>
              <w:bottom w:val="single" w:color="auto" w:sz="4" w:space="0"/>
              <w:right w:val="single" w:color="auto" w:sz="4" w:space="0"/>
            </w:tcBorders>
            <w:noWrap/>
            <w:vAlign w:val="center"/>
          </w:tcPr>
          <w:p w14:paraId="590B8F76">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资源名称</w:t>
            </w:r>
          </w:p>
        </w:tc>
        <w:tc>
          <w:tcPr>
            <w:tcW w:w="817" w:type="pct"/>
            <w:tcBorders>
              <w:top w:val="single" w:color="auto" w:sz="4" w:space="0"/>
              <w:left w:val="nil"/>
              <w:bottom w:val="single" w:color="auto" w:sz="4" w:space="0"/>
              <w:right w:val="single" w:color="auto" w:sz="4" w:space="0"/>
            </w:tcBorders>
            <w:noWrap/>
            <w:vAlign w:val="center"/>
          </w:tcPr>
          <w:p w14:paraId="6D2E29F7">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资源说明</w:t>
            </w:r>
          </w:p>
        </w:tc>
        <w:tc>
          <w:tcPr>
            <w:tcW w:w="555" w:type="pct"/>
            <w:tcBorders>
              <w:top w:val="single" w:color="auto" w:sz="4" w:space="0"/>
              <w:left w:val="nil"/>
              <w:bottom w:val="single" w:color="auto" w:sz="4" w:space="0"/>
              <w:right w:val="single" w:color="auto" w:sz="4" w:space="0"/>
            </w:tcBorders>
            <w:noWrap/>
            <w:vAlign w:val="center"/>
          </w:tcPr>
          <w:p w14:paraId="4DF16307">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核定CPU（核）</w:t>
            </w:r>
          </w:p>
        </w:tc>
        <w:tc>
          <w:tcPr>
            <w:tcW w:w="556" w:type="pct"/>
            <w:tcBorders>
              <w:top w:val="single" w:color="auto" w:sz="4" w:space="0"/>
              <w:left w:val="nil"/>
              <w:bottom w:val="single" w:color="auto" w:sz="4" w:space="0"/>
              <w:right w:val="single" w:color="auto" w:sz="4" w:space="0"/>
            </w:tcBorders>
            <w:noWrap/>
            <w:vAlign w:val="center"/>
          </w:tcPr>
          <w:p w14:paraId="5B249A59">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核定内存(GB)</w:t>
            </w:r>
          </w:p>
        </w:tc>
        <w:tc>
          <w:tcPr>
            <w:tcW w:w="555" w:type="pct"/>
            <w:tcBorders>
              <w:top w:val="single" w:color="auto" w:sz="4" w:space="0"/>
              <w:left w:val="nil"/>
              <w:bottom w:val="single" w:color="auto" w:sz="4" w:space="0"/>
              <w:right w:val="single" w:color="auto" w:sz="4" w:space="0"/>
            </w:tcBorders>
            <w:noWrap/>
            <w:vAlign w:val="center"/>
          </w:tcPr>
          <w:p w14:paraId="16C880D6">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核定存储(GB)</w:t>
            </w:r>
          </w:p>
        </w:tc>
        <w:tc>
          <w:tcPr>
            <w:tcW w:w="556" w:type="pct"/>
            <w:tcBorders>
              <w:top w:val="single" w:color="auto" w:sz="4" w:space="0"/>
              <w:left w:val="nil"/>
              <w:bottom w:val="single" w:color="auto" w:sz="4" w:space="0"/>
              <w:right w:val="single" w:color="auto" w:sz="4" w:space="0"/>
            </w:tcBorders>
            <w:noWrap/>
            <w:vAlign w:val="center"/>
          </w:tcPr>
          <w:p w14:paraId="71B3101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核定数量(台)</w:t>
            </w:r>
          </w:p>
        </w:tc>
      </w:tr>
      <w:tr w14:paraId="4BF33A36">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16F50ABB">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w:t>
            </w:r>
          </w:p>
        </w:tc>
        <w:tc>
          <w:tcPr>
            <w:tcW w:w="382" w:type="pct"/>
            <w:tcBorders>
              <w:top w:val="nil"/>
              <w:left w:val="nil"/>
              <w:bottom w:val="single" w:color="auto" w:sz="4" w:space="0"/>
              <w:right w:val="single" w:color="auto" w:sz="4" w:space="0"/>
            </w:tcBorders>
            <w:noWrap/>
            <w:vAlign w:val="center"/>
          </w:tcPr>
          <w:p w14:paraId="5E6E27AD">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3FDD70AD">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1CE3E9C7">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28E364BF">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移动驾驶舱</w:t>
            </w:r>
          </w:p>
        </w:tc>
        <w:tc>
          <w:tcPr>
            <w:tcW w:w="555" w:type="pct"/>
            <w:tcBorders>
              <w:top w:val="nil"/>
              <w:left w:val="nil"/>
              <w:bottom w:val="single" w:color="auto" w:sz="4" w:space="0"/>
              <w:right w:val="single" w:color="auto" w:sz="4" w:space="0"/>
            </w:tcBorders>
            <w:noWrap/>
            <w:vAlign w:val="center"/>
          </w:tcPr>
          <w:p w14:paraId="5C01B3EF">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34AC39F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07E6B23C">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6F861BA7">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51BEE8DC">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21A64F5F">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c>
          <w:tcPr>
            <w:tcW w:w="382" w:type="pct"/>
            <w:tcBorders>
              <w:top w:val="nil"/>
              <w:left w:val="nil"/>
              <w:bottom w:val="single" w:color="auto" w:sz="4" w:space="0"/>
              <w:right w:val="single" w:color="auto" w:sz="4" w:space="0"/>
            </w:tcBorders>
            <w:noWrap/>
            <w:vAlign w:val="center"/>
          </w:tcPr>
          <w:p w14:paraId="710E395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6B073A4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17A3CA0F">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1DDF73AF">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综合监管（长三角市场监管、餐饮业综合监管、叉车安全监管）</w:t>
            </w:r>
          </w:p>
        </w:tc>
        <w:tc>
          <w:tcPr>
            <w:tcW w:w="555" w:type="pct"/>
            <w:tcBorders>
              <w:top w:val="nil"/>
              <w:left w:val="nil"/>
              <w:bottom w:val="single" w:color="auto" w:sz="4" w:space="0"/>
              <w:right w:val="single" w:color="auto" w:sz="4" w:space="0"/>
            </w:tcBorders>
            <w:noWrap/>
            <w:vAlign w:val="center"/>
          </w:tcPr>
          <w:p w14:paraId="42BD6BF6">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4CAE78A3">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508E146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5147767F">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w:t>
            </w:r>
          </w:p>
        </w:tc>
      </w:tr>
      <w:tr w14:paraId="380CA4DA">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17DC081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w:t>
            </w:r>
          </w:p>
        </w:tc>
        <w:tc>
          <w:tcPr>
            <w:tcW w:w="382" w:type="pct"/>
            <w:tcBorders>
              <w:top w:val="nil"/>
              <w:left w:val="nil"/>
              <w:bottom w:val="single" w:color="auto" w:sz="4" w:space="0"/>
              <w:right w:val="single" w:color="auto" w:sz="4" w:space="0"/>
            </w:tcBorders>
            <w:noWrap/>
            <w:vAlign w:val="center"/>
          </w:tcPr>
          <w:p w14:paraId="69E60E54">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58A3C991">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6D3D9549">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关系型数据库服务器</w:t>
            </w:r>
          </w:p>
        </w:tc>
        <w:tc>
          <w:tcPr>
            <w:tcW w:w="817" w:type="pct"/>
            <w:tcBorders>
              <w:top w:val="nil"/>
              <w:left w:val="nil"/>
              <w:bottom w:val="single" w:color="auto" w:sz="4" w:space="0"/>
              <w:right w:val="single" w:color="auto" w:sz="4" w:space="0"/>
            </w:tcBorders>
            <w:noWrap/>
            <w:vAlign w:val="center"/>
          </w:tcPr>
          <w:p w14:paraId="30EF3AF6">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数据库服务器（综合监管）</w:t>
            </w:r>
          </w:p>
        </w:tc>
        <w:tc>
          <w:tcPr>
            <w:tcW w:w="555" w:type="pct"/>
            <w:tcBorders>
              <w:top w:val="nil"/>
              <w:left w:val="nil"/>
              <w:bottom w:val="single" w:color="auto" w:sz="4" w:space="0"/>
              <w:right w:val="single" w:color="auto" w:sz="4" w:space="0"/>
            </w:tcBorders>
            <w:noWrap/>
            <w:vAlign w:val="center"/>
          </w:tcPr>
          <w:p w14:paraId="2ACC42E1">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3586114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6B4D28A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500</w:t>
            </w:r>
          </w:p>
        </w:tc>
        <w:tc>
          <w:tcPr>
            <w:tcW w:w="556" w:type="pct"/>
            <w:tcBorders>
              <w:top w:val="nil"/>
              <w:left w:val="nil"/>
              <w:bottom w:val="single" w:color="auto" w:sz="4" w:space="0"/>
              <w:right w:val="single" w:color="auto" w:sz="4" w:space="0"/>
            </w:tcBorders>
            <w:noWrap/>
            <w:vAlign w:val="center"/>
          </w:tcPr>
          <w:p w14:paraId="6673E8E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w:t>
            </w:r>
          </w:p>
        </w:tc>
      </w:tr>
      <w:tr w14:paraId="1982BC4A">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3F8EE21C">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4</w:t>
            </w:r>
          </w:p>
        </w:tc>
        <w:tc>
          <w:tcPr>
            <w:tcW w:w="382" w:type="pct"/>
            <w:tcBorders>
              <w:top w:val="nil"/>
              <w:left w:val="nil"/>
              <w:bottom w:val="single" w:color="auto" w:sz="4" w:space="0"/>
              <w:right w:val="single" w:color="auto" w:sz="4" w:space="0"/>
            </w:tcBorders>
            <w:noWrap/>
            <w:vAlign w:val="center"/>
          </w:tcPr>
          <w:p w14:paraId="4AD27161">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7A580825">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4D949D3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缓存数据库服务器</w:t>
            </w:r>
          </w:p>
        </w:tc>
        <w:tc>
          <w:tcPr>
            <w:tcW w:w="817" w:type="pct"/>
            <w:tcBorders>
              <w:top w:val="nil"/>
              <w:left w:val="nil"/>
              <w:bottom w:val="single" w:color="auto" w:sz="4" w:space="0"/>
              <w:right w:val="single" w:color="auto" w:sz="4" w:space="0"/>
            </w:tcBorders>
            <w:noWrap/>
            <w:vAlign w:val="center"/>
          </w:tcPr>
          <w:p w14:paraId="6FE9CBF0">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缓存数据库服务器（综合监管）</w:t>
            </w:r>
          </w:p>
        </w:tc>
        <w:tc>
          <w:tcPr>
            <w:tcW w:w="555" w:type="pct"/>
            <w:tcBorders>
              <w:top w:val="nil"/>
              <w:left w:val="nil"/>
              <w:bottom w:val="single" w:color="auto" w:sz="4" w:space="0"/>
              <w:right w:val="single" w:color="auto" w:sz="4" w:space="0"/>
            </w:tcBorders>
            <w:noWrap/>
            <w:vAlign w:val="center"/>
          </w:tcPr>
          <w:p w14:paraId="3481649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4</w:t>
            </w:r>
          </w:p>
        </w:tc>
        <w:tc>
          <w:tcPr>
            <w:tcW w:w="556" w:type="pct"/>
            <w:tcBorders>
              <w:top w:val="nil"/>
              <w:left w:val="nil"/>
              <w:bottom w:val="single" w:color="auto" w:sz="4" w:space="0"/>
              <w:right w:val="single" w:color="auto" w:sz="4" w:space="0"/>
            </w:tcBorders>
            <w:noWrap/>
            <w:vAlign w:val="center"/>
          </w:tcPr>
          <w:p w14:paraId="18BFED2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1839366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1F2B3E5C">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w:t>
            </w:r>
          </w:p>
        </w:tc>
      </w:tr>
      <w:tr w14:paraId="3E0A0D6D">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2ECA1F5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5</w:t>
            </w:r>
          </w:p>
        </w:tc>
        <w:tc>
          <w:tcPr>
            <w:tcW w:w="382" w:type="pct"/>
            <w:tcBorders>
              <w:top w:val="nil"/>
              <w:left w:val="nil"/>
              <w:bottom w:val="single" w:color="auto" w:sz="4" w:space="0"/>
              <w:right w:val="single" w:color="auto" w:sz="4" w:space="0"/>
            </w:tcBorders>
            <w:noWrap/>
            <w:vAlign w:val="center"/>
          </w:tcPr>
          <w:p w14:paraId="3A5708D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1F6156E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0D1FA15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6EB2F40A">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质量基础（消费品召回管理、诚信计量管理、计量比对管理、计量强检管理、上海品牌培育、检验检测监管、检验检测行业资源统计、智能机器人质量产业链图谱）</w:t>
            </w:r>
          </w:p>
        </w:tc>
        <w:tc>
          <w:tcPr>
            <w:tcW w:w="555" w:type="pct"/>
            <w:tcBorders>
              <w:top w:val="nil"/>
              <w:left w:val="nil"/>
              <w:bottom w:val="single" w:color="auto" w:sz="4" w:space="0"/>
              <w:right w:val="single" w:color="auto" w:sz="4" w:space="0"/>
            </w:tcBorders>
            <w:noWrap/>
            <w:vAlign w:val="center"/>
          </w:tcPr>
          <w:p w14:paraId="4038836B">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3A2C3A0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47549F6B">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37FE9DB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4</w:t>
            </w:r>
          </w:p>
        </w:tc>
      </w:tr>
      <w:tr w14:paraId="537B9F5D">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6818A930">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6</w:t>
            </w:r>
          </w:p>
        </w:tc>
        <w:tc>
          <w:tcPr>
            <w:tcW w:w="382" w:type="pct"/>
            <w:tcBorders>
              <w:top w:val="nil"/>
              <w:left w:val="nil"/>
              <w:bottom w:val="single" w:color="auto" w:sz="4" w:space="0"/>
              <w:right w:val="single" w:color="auto" w:sz="4" w:space="0"/>
            </w:tcBorders>
            <w:noWrap/>
            <w:vAlign w:val="center"/>
          </w:tcPr>
          <w:p w14:paraId="52FB4C0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32A30FF3">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23F6BA4C">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关系型数据库服务器</w:t>
            </w:r>
          </w:p>
        </w:tc>
        <w:tc>
          <w:tcPr>
            <w:tcW w:w="817" w:type="pct"/>
            <w:tcBorders>
              <w:top w:val="nil"/>
              <w:left w:val="nil"/>
              <w:bottom w:val="single" w:color="auto" w:sz="4" w:space="0"/>
              <w:right w:val="single" w:color="auto" w:sz="4" w:space="0"/>
            </w:tcBorders>
            <w:noWrap/>
            <w:vAlign w:val="center"/>
          </w:tcPr>
          <w:p w14:paraId="3F153071">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数据库服务器（质量基础）</w:t>
            </w:r>
          </w:p>
        </w:tc>
        <w:tc>
          <w:tcPr>
            <w:tcW w:w="555" w:type="pct"/>
            <w:tcBorders>
              <w:top w:val="nil"/>
              <w:left w:val="nil"/>
              <w:bottom w:val="single" w:color="auto" w:sz="4" w:space="0"/>
              <w:right w:val="single" w:color="auto" w:sz="4" w:space="0"/>
            </w:tcBorders>
            <w:noWrap/>
            <w:vAlign w:val="center"/>
          </w:tcPr>
          <w:p w14:paraId="271483C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6" w:type="pct"/>
            <w:tcBorders>
              <w:top w:val="nil"/>
              <w:left w:val="nil"/>
              <w:bottom w:val="single" w:color="auto" w:sz="4" w:space="0"/>
              <w:right w:val="single" w:color="auto" w:sz="4" w:space="0"/>
            </w:tcBorders>
            <w:noWrap/>
            <w:vAlign w:val="center"/>
          </w:tcPr>
          <w:p w14:paraId="327DF2C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32</w:t>
            </w:r>
          </w:p>
        </w:tc>
        <w:tc>
          <w:tcPr>
            <w:tcW w:w="555" w:type="pct"/>
            <w:tcBorders>
              <w:top w:val="nil"/>
              <w:left w:val="nil"/>
              <w:bottom w:val="single" w:color="auto" w:sz="4" w:space="0"/>
              <w:right w:val="single" w:color="auto" w:sz="4" w:space="0"/>
            </w:tcBorders>
            <w:noWrap/>
            <w:vAlign w:val="center"/>
          </w:tcPr>
          <w:p w14:paraId="51F756F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1000</w:t>
            </w:r>
          </w:p>
        </w:tc>
        <w:tc>
          <w:tcPr>
            <w:tcW w:w="556" w:type="pct"/>
            <w:tcBorders>
              <w:top w:val="nil"/>
              <w:left w:val="nil"/>
              <w:bottom w:val="single" w:color="auto" w:sz="4" w:space="0"/>
              <w:right w:val="single" w:color="auto" w:sz="4" w:space="0"/>
            </w:tcBorders>
            <w:noWrap/>
            <w:vAlign w:val="center"/>
          </w:tcPr>
          <w:p w14:paraId="33FDF03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w:t>
            </w:r>
          </w:p>
        </w:tc>
      </w:tr>
      <w:tr w14:paraId="72892C9A">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3D28AD1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7</w:t>
            </w:r>
          </w:p>
        </w:tc>
        <w:tc>
          <w:tcPr>
            <w:tcW w:w="382" w:type="pct"/>
            <w:tcBorders>
              <w:top w:val="nil"/>
              <w:left w:val="nil"/>
              <w:bottom w:val="single" w:color="auto" w:sz="4" w:space="0"/>
              <w:right w:val="single" w:color="auto" w:sz="4" w:space="0"/>
            </w:tcBorders>
            <w:noWrap/>
            <w:vAlign w:val="center"/>
          </w:tcPr>
          <w:p w14:paraId="3749197A">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544C1AB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791CAB07">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59C5EDA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放心消费管理</w:t>
            </w:r>
          </w:p>
        </w:tc>
        <w:tc>
          <w:tcPr>
            <w:tcW w:w="555" w:type="pct"/>
            <w:tcBorders>
              <w:top w:val="nil"/>
              <w:left w:val="nil"/>
              <w:bottom w:val="single" w:color="auto" w:sz="4" w:space="0"/>
              <w:right w:val="single" w:color="auto" w:sz="4" w:space="0"/>
            </w:tcBorders>
            <w:noWrap/>
            <w:vAlign w:val="center"/>
          </w:tcPr>
          <w:p w14:paraId="214319CE">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21120F6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0890BE1C">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3DF6C2A0">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5E841289">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77D12053">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382" w:type="pct"/>
            <w:tcBorders>
              <w:top w:val="nil"/>
              <w:left w:val="nil"/>
              <w:bottom w:val="single" w:color="auto" w:sz="4" w:space="0"/>
              <w:right w:val="single" w:color="auto" w:sz="4" w:space="0"/>
            </w:tcBorders>
            <w:noWrap/>
            <w:vAlign w:val="center"/>
          </w:tcPr>
          <w:p w14:paraId="60B55F3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1C28411C">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2484C161">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关系型数据库服务器</w:t>
            </w:r>
          </w:p>
        </w:tc>
        <w:tc>
          <w:tcPr>
            <w:tcW w:w="817" w:type="pct"/>
            <w:tcBorders>
              <w:top w:val="nil"/>
              <w:left w:val="nil"/>
              <w:bottom w:val="single" w:color="auto" w:sz="4" w:space="0"/>
              <w:right w:val="single" w:color="auto" w:sz="4" w:space="0"/>
            </w:tcBorders>
            <w:noWrap/>
            <w:vAlign w:val="center"/>
          </w:tcPr>
          <w:p w14:paraId="54C4EE4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数据库服务器（放心消费）</w:t>
            </w:r>
          </w:p>
        </w:tc>
        <w:tc>
          <w:tcPr>
            <w:tcW w:w="555" w:type="pct"/>
            <w:tcBorders>
              <w:top w:val="nil"/>
              <w:left w:val="nil"/>
              <w:bottom w:val="single" w:color="auto" w:sz="4" w:space="0"/>
              <w:right w:val="single" w:color="auto" w:sz="4" w:space="0"/>
            </w:tcBorders>
            <w:noWrap/>
            <w:vAlign w:val="center"/>
          </w:tcPr>
          <w:p w14:paraId="62EEC6D6">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5A76704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32</w:t>
            </w:r>
          </w:p>
        </w:tc>
        <w:tc>
          <w:tcPr>
            <w:tcW w:w="555" w:type="pct"/>
            <w:tcBorders>
              <w:top w:val="nil"/>
              <w:left w:val="nil"/>
              <w:bottom w:val="single" w:color="auto" w:sz="4" w:space="0"/>
              <w:right w:val="single" w:color="auto" w:sz="4" w:space="0"/>
            </w:tcBorders>
            <w:noWrap/>
            <w:vAlign w:val="center"/>
          </w:tcPr>
          <w:p w14:paraId="62420568">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2000</w:t>
            </w:r>
          </w:p>
        </w:tc>
        <w:tc>
          <w:tcPr>
            <w:tcW w:w="556" w:type="pct"/>
            <w:tcBorders>
              <w:top w:val="nil"/>
              <w:left w:val="nil"/>
              <w:bottom w:val="single" w:color="auto" w:sz="4" w:space="0"/>
              <w:right w:val="single" w:color="auto" w:sz="4" w:space="0"/>
            </w:tcBorders>
            <w:noWrap/>
            <w:vAlign w:val="center"/>
          </w:tcPr>
          <w:p w14:paraId="07959B1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7D6577B6">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22A078A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9</w:t>
            </w:r>
          </w:p>
        </w:tc>
        <w:tc>
          <w:tcPr>
            <w:tcW w:w="382" w:type="pct"/>
            <w:tcBorders>
              <w:top w:val="nil"/>
              <w:left w:val="nil"/>
              <w:bottom w:val="single" w:color="auto" w:sz="4" w:space="0"/>
              <w:right w:val="single" w:color="auto" w:sz="4" w:space="0"/>
            </w:tcBorders>
            <w:noWrap/>
            <w:vAlign w:val="center"/>
          </w:tcPr>
          <w:p w14:paraId="3D2BF299">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54189190">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73FD367F">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5CEDB20C">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特设码应用</w:t>
            </w:r>
          </w:p>
        </w:tc>
        <w:tc>
          <w:tcPr>
            <w:tcW w:w="555" w:type="pct"/>
            <w:tcBorders>
              <w:top w:val="nil"/>
              <w:left w:val="nil"/>
              <w:bottom w:val="single" w:color="auto" w:sz="4" w:space="0"/>
              <w:right w:val="single" w:color="auto" w:sz="4" w:space="0"/>
            </w:tcBorders>
            <w:noWrap/>
            <w:vAlign w:val="center"/>
          </w:tcPr>
          <w:p w14:paraId="7AAF0D16">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102C228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25793B16">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292A5A5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33BC61FF">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3BB5968E">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10</w:t>
            </w:r>
          </w:p>
        </w:tc>
        <w:tc>
          <w:tcPr>
            <w:tcW w:w="382" w:type="pct"/>
            <w:tcBorders>
              <w:top w:val="nil"/>
              <w:left w:val="nil"/>
              <w:bottom w:val="single" w:color="auto" w:sz="4" w:space="0"/>
              <w:right w:val="single" w:color="auto" w:sz="4" w:space="0"/>
            </w:tcBorders>
            <w:noWrap/>
            <w:vAlign w:val="center"/>
          </w:tcPr>
          <w:p w14:paraId="5F4A3ED5">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77AB82DD">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4419BF74">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关系型数据库服务器</w:t>
            </w:r>
          </w:p>
        </w:tc>
        <w:tc>
          <w:tcPr>
            <w:tcW w:w="817" w:type="pct"/>
            <w:tcBorders>
              <w:top w:val="nil"/>
              <w:left w:val="nil"/>
              <w:bottom w:val="single" w:color="auto" w:sz="4" w:space="0"/>
              <w:right w:val="single" w:color="auto" w:sz="4" w:space="0"/>
            </w:tcBorders>
            <w:noWrap/>
            <w:vAlign w:val="center"/>
          </w:tcPr>
          <w:p w14:paraId="04B0B89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数据库服务器（特设码）</w:t>
            </w:r>
          </w:p>
        </w:tc>
        <w:tc>
          <w:tcPr>
            <w:tcW w:w="555" w:type="pct"/>
            <w:tcBorders>
              <w:top w:val="nil"/>
              <w:left w:val="nil"/>
              <w:bottom w:val="single" w:color="auto" w:sz="4" w:space="0"/>
              <w:right w:val="single" w:color="auto" w:sz="4" w:space="0"/>
            </w:tcBorders>
            <w:noWrap/>
            <w:vAlign w:val="center"/>
          </w:tcPr>
          <w:p w14:paraId="56CB8371">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436D406E">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32</w:t>
            </w:r>
          </w:p>
        </w:tc>
        <w:tc>
          <w:tcPr>
            <w:tcW w:w="555" w:type="pct"/>
            <w:tcBorders>
              <w:top w:val="nil"/>
              <w:left w:val="nil"/>
              <w:bottom w:val="single" w:color="auto" w:sz="4" w:space="0"/>
              <w:right w:val="single" w:color="auto" w:sz="4" w:space="0"/>
            </w:tcBorders>
            <w:noWrap/>
            <w:vAlign w:val="center"/>
          </w:tcPr>
          <w:p w14:paraId="50CF0575">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2000</w:t>
            </w:r>
          </w:p>
        </w:tc>
        <w:tc>
          <w:tcPr>
            <w:tcW w:w="556" w:type="pct"/>
            <w:tcBorders>
              <w:top w:val="nil"/>
              <w:left w:val="nil"/>
              <w:bottom w:val="single" w:color="auto" w:sz="4" w:space="0"/>
              <w:right w:val="single" w:color="auto" w:sz="4" w:space="0"/>
            </w:tcBorders>
            <w:noWrap/>
            <w:vAlign w:val="center"/>
          </w:tcPr>
          <w:p w14:paraId="2A3211C8">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4E1BA644">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59FE5FD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11</w:t>
            </w:r>
          </w:p>
        </w:tc>
        <w:tc>
          <w:tcPr>
            <w:tcW w:w="382" w:type="pct"/>
            <w:tcBorders>
              <w:top w:val="nil"/>
              <w:left w:val="nil"/>
              <w:bottom w:val="single" w:color="auto" w:sz="4" w:space="0"/>
              <w:right w:val="single" w:color="auto" w:sz="4" w:space="0"/>
            </w:tcBorders>
            <w:noWrap/>
            <w:vAlign w:val="center"/>
          </w:tcPr>
          <w:p w14:paraId="3C0381C4">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3046AB1F">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476D145D">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6B9B63CF">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电子证据应用</w:t>
            </w:r>
          </w:p>
        </w:tc>
        <w:tc>
          <w:tcPr>
            <w:tcW w:w="555" w:type="pct"/>
            <w:tcBorders>
              <w:top w:val="nil"/>
              <w:left w:val="nil"/>
              <w:bottom w:val="single" w:color="auto" w:sz="4" w:space="0"/>
              <w:right w:val="single" w:color="auto" w:sz="4" w:space="0"/>
            </w:tcBorders>
            <w:noWrap/>
            <w:vAlign w:val="center"/>
          </w:tcPr>
          <w:p w14:paraId="3D45CB5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3D39EBD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6DBCA306">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4FBD67F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619819AC">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0096FD50">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12</w:t>
            </w:r>
          </w:p>
        </w:tc>
        <w:tc>
          <w:tcPr>
            <w:tcW w:w="382" w:type="pct"/>
            <w:tcBorders>
              <w:top w:val="nil"/>
              <w:left w:val="nil"/>
              <w:bottom w:val="single" w:color="auto" w:sz="4" w:space="0"/>
              <w:right w:val="single" w:color="auto" w:sz="4" w:space="0"/>
            </w:tcBorders>
            <w:noWrap/>
            <w:vAlign w:val="center"/>
          </w:tcPr>
          <w:p w14:paraId="5A669FCA">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289FE29D">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4E9DFB5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关系型数据库服务器</w:t>
            </w:r>
          </w:p>
        </w:tc>
        <w:tc>
          <w:tcPr>
            <w:tcW w:w="817" w:type="pct"/>
            <w:tcBorders>
              <w:top w:val="nil"/>
              <w:left w:val="nil"/>
              <w:bottom w:val="single" w:color="auto" w:sz="4" w:space="0"/>
              <w:right w:val="single" w:color="auto" w:sz="4" w:space="0"/>
            </w:tcBorders>
            <w:noWrap/>
            <w:vAlign w:val="center"/>
          </w:tcPr>
          <w:p w14:paraId="4CB9DF96">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数据库服务器（电子证据）</w:t>
            </w:r>
          </w:p>
        </w:tc>
        <w:tc>
          <w:tcPr>
            <w:tcW w:w="555" w:type="pct"/>
            <w:tcBorders>
              <w:top w:val="nil"/>
              <w:left w:val="nil"/>
              <w:bottom w:val="single" w:color="auto" w:sz="4" w:space="0"/>
              <w:right w:val="single" w:color="auto" w:sz="4" w:space="0"/>
            </w:tcBorders>
            <w:noWrap/>
            <w:vAlign w:val="center"/>
          </w:tcPr>
          <w:p w14:paraId="4021844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1998726B">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36A23E43">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3000</w:t>
            </w:r>
          </w:p>
        </w:tc>
        <w:tc>
          <w:tcPr>
            <w:tcW w:w="556" w:type="pct"/>
            <w:tcBorders>
              <w:top w:val="nil"/>
              <w:left w:val="nil"/>
              <w:bottom w:val="single" w:color="auto" w:sz="4" w:space="0"/>
              <w:right w:val="single" w:color="auto" w:sz="4" w:space="0"/>
            </w:tcBorders>
            <w:noWrap/>
            <w:vAlign w:val="center"/>
          </w:tcPr>
          <w:p w14:paraId="5201E48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61F2F818">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545D68F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13</w:t>
            </w:r>
          </w:p>
        </w:tc>
        <w:tc>
          <w:tcPr>
            <w:tcW w:w="382" w:type="pct"/>
            <w:tcBorders>
              <w:top w:val="nil"/>
              <w:left w:val="nil"/>
              <w:bottom w:val="single" w:color="auto" w:sz="4" w:space="0"/>
              <w:right w:val="single" w:color="auto" w:sz="4" w:space="0"/>
            </w:tcBorders>
            <w:noWrap/>
            <w:vAlign w:val="center"/>
          </w:tcPr>
          <w:p w14:paraId="5189F1AD">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73820A83">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192F9060">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5CC02694">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数字档案应用</w:t>
            </w:r>
          </w:p>
        </w:tc>
        <w:tc>
          <w:tcPr>
            <w:tcW w:w="555" w:type="pct"/>
            <w:tcBorders>
              <w:top w:val="nil"/>
              <w:left w:val="nil"/>
              <w:bottom w:val="single" w:color="auto" w:sz="4" w:space="0"/>
              <w:right w:val="single" w:color="auto" w:sz="4" w:space="0"/>
            </w:tcBorders>
            <w:noWrap/>
            <w:vAlign w:val="center"/>
          </w:tcPr>
          <w:p w14:paraId="14B62781">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7947BCB3">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21C94B45">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32E876D6">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60E6A77D">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3BA2CCA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14</w:t>
            </w:r>
          </w:p>
        </w:tc>
        <w:tc>
          <w:tcPr>
            <w:tcW w:w="382" w:type="pct"/>
            <w:tcBorders>
              <w:top w:val="nil"/>
              <w:left w:val="nil"/>
              <w:bottom w:val="single" w:color="auto" w:sz="4" w:space="0"/>
              <w:right w:val="single" w:color="auto" w:sz="4" w:space="0"/>
            </w:tcBorders>
            <w:noWrap/>
            <w:vAlign w:val="center"/>
          </w:tcPr>
          <w:p w14:paraId="3B9C319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政务外网</w:t>
            </w:r>
          </w:p>
        </w:tc>
        <w:tc>
          <w:tcPr>
            <w:tcW w:w="512" w:type="pct"/>
            <w:tcBorders>
              <w:top w:val="nil"/>
              <w:left w:val="nil"/>
              <w:bottom w:val="single" w:color="auto" w:sz="4" w:space="0"/>
              <w:right w:val="single" w:color="auto" w:sz="4" w:space="0"/>
            </w:tcBorders>
            <w:noWrap/>
            <w:vAlign w:val="center"/>
          </w:tcPr>
          <w:p w14:paraId="757C6CDC">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38733E47">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关系型数据库服务器</w:t>
            </w:r>
          </w:p>
        </w:tc>
        <w:tc>
          <w:tcPr>
            <w:tcW w:w="817" w:type="pct"/>
            <w:tcBorders>
              <w:top w:val="nil"/>
              <w:left w:val="nil"/>
              <w:bottom w:val="single" w:color="auto" w:sz="4" w:space="0"/>
              <w:right w:val="single" w:color="auto" w:sz="4" w:space="0"/>
            </w:tcBorders>
            <w:noWrap/>
            <w:vAlign w:val="center"/>
          </w:tcPr>
          <w:p w14:paraId="202EC3E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数据库服务器（数字档案）</w:t>
            </w:r>
          </w:p>
        </w:tc>
        <w:tc>
          <w:tcPr>
            <w:tcW w:w="555" w:type="pct"/>
            <w:tcBorders>
              <w:top w:val="nil"/>
              <w:left w:val="nil"/>
              <w:bottom w:val="single" w:color="auto" w:sz="4" w:space="0"/>
              <w:right w:val="single" w:color="auto" w:sz="4" w:space="0"/>
            </w:tcBorders>
            <w:noWrap/>
            <w:vAlign w:val="center"/>
          </w:tcPr>
          <w:p w14:paraId="31DAF920">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313260FC">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370E88DA">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3000</w:t>
            </w:r>
          </w:p>
        </w:tc>
        <w:tc>
          <w:tcPr>
            <w:tcW w:w="556" w:type="pct"/>
            <w:tcBorders>
              <w:top w:val="nil"/>
              <w:left w:val="nil"/>
              <w:bottom w:val="single" w:color="auto" w:sz="4" w:space="0"/>
              <w:right w:val="single" w:color="auto" w:sz="4" w:space="0"/>
            </w:tcBorders>
            <w:noWrap/>
            <w:vAlign w:val="center"/>
          </w:tcPr>
          <w:p w14:paraId="606D9E68">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4D202F0A">
        <w:tblPrEx>
          <w:tblCellMar>
            <w:top w:w="0" w:type="dxa"/>
            <w:left w:w="108" w:type="dxa"/>
            <w:bottom w:w="0" w:type="dxa"/>
            <w:right w:w="108" w:type="dxa"/>
          </w:tblCellMar>
        </w:tblPrEx>
        <w:trPr>
          <w:trHeight w:val="4032" w:hRule="atLeast"/>
        </w:trPr>
        <w:tc>
          <w:tcPr>
            <w:tcW w:w="555" w:type="pct"/>
            <w:tcBorders>
              <w:top w:val="nil"/>
              <w:left w:val="single" w:color="auto" w:sz="4" w:space="0"/>
              <w:bottom w:val="single" w:color="auto" w:sz="4" w:space="0"/>
              <w:right w:val="single" w:color="auto" w:sz="4" w:space="0"/>
            </w:tcBorders>
            <w:noWrap/>
            <w:vAlign w:val="center"/>
          </w:tcPr>
          <w:p w14:paraId="3BA4398F">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15</w:t>
            </w:r>
          </w:p>
        </w:tc>
        <w:tc>
          <w:tcPr>
            <w:tcW w:w="382" w:type="pct"/>
            <w:tcBorders>
              <w:top w:val="nil"/>
              <w:left w:val="nil"/>
              <w:bottom w:val="single" w:color="auto" w:sz="4" w:space="0"/>
              <w:right w:val="single" w:color="auto" w:sz="4" w:space="0"/>
            </w:tcBorders>
            <w:noWrap/>
            <w:vAlign w:val="center"/>
          </w:tcPr>
          <w:p w14:paraId="6769F464">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互联网</w:t>
            </w:r>
          </w:p>
        </w:tc>
        <w:tc>
          <w:tcPr>
            <w:tcW w:w="512" w:type="pct"/>
            <w:tcBorders>
              <w:top w:val="nil"/>
              <w:left w:val="nil"/>
              <w:bottom w:val="single" w:color="auto" w:sz="4" w:space="0"/>
              <w:right w:val="single" w:color="auto" w:sz="4" w:space="0"/>
            </w:tcBorders>
            <w:noWrap/>
            <w:vAlign w:val="center"/>
          </w:tcPr>
          <w:p w14:paraId="75C472D0">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0C4091E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vAlign w:val="center"/>
          </w:tcPr>
          <w:p w14:paraId="7B849B3A">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质量基础（质量基础设施一站式服务</w:t>
            </w:r>
            <w:r>
              <w:rPr>
                <w:rFonts w:hint="eastAsia" w:cs="宋体"/>
                <w:color w:val="auto"/>
                <w:kern w:val="0"/>
                <w:sz w:val="22"/>
                <w:szCs w:val="22"/>
              </w:rPr>
              <w:br w:type="textWrapping"/>
            </w:r>
            <w:r>
              <w:rPr>
                <w:rFonts w:hint="eastAsia" w:cs="宋体"/>
                <w:color w:val="auto"/>
                <w:kern w:val="0"/>
                <w:sz w:val="22"/>
                <w:szCs w:val="22"/>
              </w:rPr>
              <w:br w:type="textWrapping"/>
            </w:r>
            <w:r>
              <w:rPr>
                <w:rFonts w:hint="eastAsia" w:cs="宋体"/>
                <w:color w:val="auto"/>
                <w:kern w:val="0"/>
                <w:sz w:val="22"/>
                <w:szCs w:val="22"/>
              </w:rPr>
              <w:t>、标准编写协同在线服务、长三角产业计量测试共享服务、包装有度/商品包装初判程序）</w:t>
            </w:r>
          </w:p>
        </w:tc>
        <w:tc>
          <w:tcPr>
            <w:tcW w:w="555" w:type="pct"/>
            <w:tcBorders>
              <w:top w:val="nil"/>
              <w:left w:val="nil"/>
              <w:bottom w:val="single" w:color="auto" w:sz="4" w:space="0"/>
              <w:right w:val="single" w:color="auto" w:sz="4" w:space="0"/>
            </w:tcBorders>
            <w:noWrap/>
            <w:vAlign w:val="center"/>
          </w:tcPr>
          <w:p w14:paraId="5655A77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286B6A95">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1107B3ED">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573FF028">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4</w:t>
            </w:r>
          </w:p>
        </w:tc>
      </w:tr>
      <w:tr w14:paraId="6228842B">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046F9DC9">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382" w:type="pct"/>
            <w:tcBorders>
              <w:top w:val="nil"/>
              <w:left w:val="nil"/>
              <w:bottom w:val="single" w:color="auto" w:sz="4" w:space="0"/>
              <w:right w:val="single" w:color="auto" w:sz="4" w:space="0"/>
            </w:tcBorders>
            <w:noWrap/>
            <w:vAlign w:val="center"/>
          </w:tcPr>
          <w:p w14:paraId="4DE6C078">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互联网</w:t>
            </w:r>
          </w:p>
        </w:tc>
        <w:tc>
          <w:tcPr>
            <w:tcW w:w="512" w:type="pct"/>
            <w:tcBorders>
              <w:top w:val="nil"/>
              <w:left w:val="nil"/>
              <w:bottom w:val="single" w:color="auto" w:sz="4" w:space="0"/>
              <w:right w:val="single" w:color="auto" w:sz="4" w:space="0"/>
            </w:tcBorders>
            <w:noWrap/>
            <w:vAlign w:val="center"/>
          </w:tcPr>
          <w:p w14:paraId="5A48AD01">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7DD4FAC7">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123DC93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放心消费行动（公众查询）</w:t>
            </w:r>
          </w:p>
        </w:tc>
        <w:tc>
          <w:tcPr>
            <w:tcW w:w="555" w:type="pct"/>
            <w:tcBorders>
              <w:top w:val="nil"/>
              <w:left w:val="nil"/>
              <w:bottom w:val="single" w:color="auto" w:sz="4" w:space="0"/>
              <w:right w:val="single" w:color="auto" w:sz="4" w:space="0"/>
            </w:tcBorders>
            <w:noWrap/>
            <w:vAlign w:val="center"/>
          </w:tcPr>
          <w:p w14:paraId="41EFE2B3">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32F4E74E">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32</w:t>
            </w:r>
          </w:p>
        </w:tc>
        <w:tc>
          <w:tcPr>
            <w:tcW w:w="555" w:type="pct"/>
            <w:tcBorders>
              <w:top w:val="nil"/>
              <w:left w:val="nil"/>
              <w:bottom w:val="single" w:color="auto" w:sz="4" w:space="0"/>
              <w:right w:val="single" w:color="auto" w:sz="4" w:space="0"/>
            </w:tcBorders>
            <w:noWrap/>
            <w:vAlign w:val="center"/>
          </w:tcPr>
          <w:p w14:paraId="47A7D87F">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3F84DDB0">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20A2C17B">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5585C16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17</w:t>
            </w:r>
          </w:p>
        </w:tc>
        <w:tc>
          <w:tcPr>
            <w:tcW w:w="382" w:type="pct"/>
            <w:tcBorders>
              <w:top w:val="nil"/>
              <w:left w:val="nil"/>
              <w:bottom w:val="single" w:color="auto" w:sz="4" w:space="0"/>
              <w:right w:val="single" w:color="auto" w:sz="4" w:space="0"/>
            </w:tcBorders>
            <w:noWrap/>
            <w:vAlign w:val="center"/>
          </w:tcPr>
          <w:p w14:paraId="59FBE1BB">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互联网</w:t>
            </w:r>
          </w:p>
        </w:tc>
        <w:tc>
          <w:tcPr>
            <w:tcW w:w="512" w:type="pct"/>
            <w:tcBorders>
              <w:top w:val="nil"/>
              <w:left w:val="nil"/>
              <w:bottom w:val="single" w:color="auto" w:sz="4" w:space="0"/>
              <w:right w:val="single" w:color="auto" w:sz="4" w:space="0"/>
            </w:tcBorders>
            <w:noWrap/>
            <w:vAlign w:val="center"/>
          </w:tcPr>
          <w:p w14:paraId="0F9CEC9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6C3F4F5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39EED2A6">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电子证据前端应用</w:t>
            </w:r>
          </w:p>
        </w:tc>
        <w:tc>
          <w:tcPr>
            <w:tcW w:w="555" w:type="pct"/>
            <w:tcBorders>
              <w:top w:val="nil"/>
              <w:left w:val="nil"/>
              <w:bottom w:val="single" w:color="auto" w:sz="4" w:space="0"/>
              <w:right w:val="single" w:color="auto" w:sz="4" w:space="0"/>
            </w:tcBorders>
            <w:noWrap/>
            <w:vAlign w:val="center"/>
          </w:tcPr>
          <w:p w14:paraId="4EAAB540">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47A8231F">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43010A3B">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54DC81D6">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6081DF81">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25C0D70F">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18</w:t>
            </w:r>
          </w:p>
        </w:tc>
        <w:tc>
          <w:tcPr>
            <w:tcW w:w="382" w:type="pct"/>
            <w:tcBorders>
              <w:top w:val="nil"/>
              <w:left w:val="nil"/>
              <w:bottom w:val="single" w:color="auto" w:sz="4" w:space="0"/>
              <w:right w:val="single" w:color="auto" w:sz="4" w:space="0"/>
            </w:tcBorders>
            <w:noWrap/>
            <w:vAlign w:val="center"/>
          </w:tcPr>
          <w:p w14:paraId="1FD2084E">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互联网</w:t>
            </w:r>
          </w:p>
        </w:tc>
        <w:tc>
          <w:tcPr>
            <w:tcW w:w="512" w:type="pct"/>
            <w:tcBorders>
              <w:top w:val="nil"/>
              <w:left w:val="nil"/>
              <w:bottom w:val="single" w:color="auto" w:sz="4" w:space="0"/>
              <w:right w:val="single" w:color="auto" w:sz="4" w:space="0"/>
            </w:tcBorders>
            <w:noWrap/>
            <w:vAlign w:val="center"/>
          </w:tcPr>
          <w:p w14:paraId="11E63390">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35AD482E">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3B0EAE3D">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数字档案前端应用</w:t>
            </w:r>
          </w:p>
        </w:tc>
        <w:tc>
          <w:tcPr>
            <w:tcW w:w="555" w:type="pct"/>
            <w:tcBorders>
              <w:top w:val="nil"/>
              <w:left w:val="nil"/>
              <w:bottom w:val="single" w:color="auto" w:sz="4" w:space="0"/>
              <w:right w:val="single" w:color="auto" w:sz="4" w:space="0"/>
            </w:tcBorders>
            <w:noWrap/>
            <w:vAlign w:val="center"/>
          </w:tcPr>
          <w:p w14:paraId="3A7CAB43">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73959FA5">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1F1A19AB">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647F3804">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r w14:paraId="27ABF14F">
        <w:tblPrEx>
          <w:tblCellMar>
            <w:top w:w="0" w:type="dxa"/>
            <w:left w:w="108" w:type="dxa"/>
            <w:bottom w:w="0" w:type="dxa"/>
            <w:right w:w="108" w:type="dxa"/>
          </w:tblCellMar>
        </w:tblPrEx>
        <w:trPr>
          <w:trHeight w:val="288" w:hRule="atLeast"/>
        </w:trPr>
        <w:tc>
          <w:tcPr>
            <w:tcW w:w="555" w:type="pct"/>
            <w:tcBorders>
              <w:top w:val="nil"/>
              <w:left w:val="single" w:color="auto" w:sz="4" w:space="0"/>
              <w:bottom w:val="single" w:color="auto" w:sz="4" w:space="0"/>
              <w:right w:val="single" w:color="auto" w:sz="4" w:space="0"/>
            </w:tcBorders>
            <w:noWrap/>
            <w:vAlign w:val="center"/>
          </w:tcPr>
          <w:p w14:paraId="0F89C8E5">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19</w:t>
            </w:r>
          </w:p>
        </w:tc>
        <w:tc>
          <w:tcPr>
            <w:tcW w:w="382" w:type="pct"/>
            <w:tcBorders>
              <w:top w:val="nil"/>
              <w:left w:val="nil"/>
              <w:bottom w:val="single" w:color="auto" w:sz="4" w:space="0"/>
              <w:right w:val="single" w:color="auto" w:sz="4" w:space="0"/>
            </w:tcBorders>
            <w:noWrap/>
            <w:vAlign w:val="center"/>
          </w:tcPr>
          <w:p w14:paraId="1DB11E95">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互联网</w:t>
            </w:r>
          </w:p>
        </w:tc>
        <w:tc>
          <w:tcPr>
            <w:tcW w:w="512" w:type="pct"/>
            <w:tcBorders>
              <w:top w:val="nil"/>
              <w:left w:val="nil"/>
              <w:bottom w:val="single" w:color="auto" w:sz="4" w:space="0"/>
              <w:right w:val="single" w:color="auto" w:sz="4" w:space="0"/>
            </w:tcBorders>
            <w:noWrap/>
            <w:vAlign w:val="center"/>
          </w:tcPr>
          <w:p w14:paraId="5142522C">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虚拟机</w:t>
            </w:r>
          </w:p>
        </w:tc>
        <w:tc>
          <w:tcPr>
            <w:tcW w:w="512" w:type="pct"/>
            <w:tcBorders>
              <w:top w:val="nil"/>
              <w:left w:val="nil"/>
              <w:bottom w:val="single" w:color="auto" w:sz="4" w:space="0"/>
              <w:right w:val="single" w:color="auto" w:sz="4" w:space="0"/>
            </w:tcBorders>
            <w:noWrap/>
            <w:vAlign w:val="center"/>
          </w:tcPr>
          <w:p w14:paraId="15A264D2">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Web应用服务器</w:t>
            </w:r>
          </w:p>
        </w:tc>
        <w:tc>
          <w:tcPr>
            <w:tcW w:w="817" w:type="pct"/>
            <w:tcBorders>
              <w:top w:val="nil"/>
              <w:left w:val="nil"/>
              <w:bottom w:val="single" w:color="auto" w:sz="4" w:space="0"/>
              <w:right w:val="single" w:color="auto" w:sz="4" w:space="0"/>
            </w:tcBorders>
            <w:noWrap/>
            <w:vAlign w:val="center"/>
          </w:tcPr>
          <w:p w14:paraId="66AAD58F">
            <w:pPr>
              <w:widowControl/>
              <w:spacing w:line="240" w:lineRule="auto"/>
              <w:ind w:firstLine="0" w:firstLineChars="0"/>
              <w:jc w:val="left"/>
              <w:rPr>
                <w:rFonts w:hint="eastAsia" w:cs="宋体"/>
                <w:color w:val="auto"/>
                <w:kern w:val="0"/>
                <w:sz w:val="22"/>
                <w:szCs w:val="22"/>
              </w:rPr>
            </w:pPr>
            <w:r>
              <w:rPr>
                <w:rFonts w:hint="eastAsia" w:cs="宋体"/>
                <w:color w:val="auto"/>
                <w:kern w:val="0"/>
                <w:sz w:val="22"/>
                <w:szCs w:val="22"/>
              </w:rPr>
              <w:t>特设码应用（互联网扫码）</w:t>
            </w:r>
          </w:p>
        </w:tc>
        <w:tc>
          <w:tcPr>
            <w:tcW w:w="555" w:type="pct"/>
            <w:tcBorders>
              <w:top w:val="nil"/>
              <w:left w:val="nil"/>
              <w:bottom w:val="single" w:color="auto" w:sz="4" w:space="0"/>
              <w:right w:val="single" w:color="auto" w:sz="4" w:space="0"/>
            </w:tcBorders>
            <w:noWrap/>
            <w:vAlign w:val="center"/>
          </w:tcPr>
          <w:p w14:paraId="6787C540">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8</w:t>
            </w:r>
          </w:p>
        </w:tc>
        <w:tc>
          <w:tcPr>
            <w:tcW w:w="556" w:type="pct"/>
            <w:tcBorders>
              <w:top w:val="nil"/>
              <w:left w:val="nil"/>
              <w:bottom w:val="single" w:color="auto" w:sz="4" w:space="0"/>
              <w:right w:val="single" w:color="auto" w:sz="4" w:space="0"/>
            </w:tcBorders>
            <w:noWrap/>
            <w:vAlign w:val="center"/>
          </w:tcPr>
          <w:p w14:paraId="4BA8B642">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16</w:t>
            </w:r>
          </w:p>
        </w:tc>
        <w:tc>
          <w:tcPr>
            <w:tcW w:w="555" w:type="pct"/>
            <w:tcBorders>
              <w:top w:val="nil"/>
              <w:left w:val="nil"/>
              <w:bottom w:val="single" w:color="auto" w:sz="4" w:space="0"/>
              <w:right w:val="single" w:color="auto" w:sz="4" w:space="0"/>
            </w:tcBorders>
            <w:noWrap/>
            <w:vAlign w:val="center"/>
          </w:tcPr>
          <w:p w14:paraId="42C13CE5">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200</w:t>
            </w:r>
          </w:p>
        </w:tc>
        <w:tc>
          <w:tcPr>
            <w:tcW w:w="556" w:type="pct"/>
            <w:tcBorders>
              <w:top w:val="nil"/>
              <w:left w:val="nil"/>
              <w:bottom w:val="single" w:color="auto" w:sz="4" w:space="0"/>
              <w:right w:val="single" w:color="auto" w:sz="4" w:space="0"/>
            </w:tcBorders>
            <w:noWrap/>
            <w:vAlign w:val="center"/>
          </w:tcPr>
          <w:p w14:paraId="0EC425DC">
            <w:pPr>
              <w:widowControl/>
              <w:spacing w:line="240" w:lineRule="auto"/>
              <w:ind w:firstLine="0" w:firstLineChars="0"/>
              <w:jc w:val="right"/>
              <w:rPr>
                <w:rFonts w:hint="eastAsia" w:cs="宋体"/>
                <w:color w:val="auto"/>
                <w:kern w:val="0"/>
                <w:sz w:val="22"/>
                <w:szCs w:val="22"/>
              </w:rPr>
            </w:pPr>
            <w:r>
              <w:rPr>
                <w:rFonts w:hint="eastAsia" w:cs="宋体"/>
                <w:color w:val="auto"/>
                <w:kern w:val="0"/>
                <w:sz w:val="22"/>
                <w:szCs w:val="22"/>
              </w:rPr>
              <w:t>2</w:t>
            </w:r>
          </w:p>
        </w:tc>
      </w:tr>
    </w:tbl>
    <w:p w14:paraId="56FB7E0E">
      <w:pPr>
        <w:rPr>
          <w:rFonts w:hint="eastAsia"/>
          <w:color w:val="auto"/>
        </w:rPr>
      </w:pPr>
    </w:p>
    <w:p w14:paraId="0D6898F3">
      <w:pPr>
        <w:pStyle w:val="2"/>
        <w:rPr>
          <w:rFonts w:hint="eastAsia"/>
          <w:color w:val="auto"/>
        </w:rPr>
      </w:pPr>
      <w:bookmarkStart w:id="23" w:name="_Toc63785503"/>
      <w:r>
        <w:rPr>
          <w:rFonts w:hint="eastAsia"/>
          <w:color w:val="auto"/>
        </w:rPr>
        <w:t>其他工作要求</w:t>
      </w:r>
      <w:bookmarkEnd w:id="23"/>
    </w:p>
    <w:p w14:paraId="5E01AC5C">
      <w:pPr>
        <w:keepNext/>
        <w:keepLines/>
        <w:numPr>
          <w:ilvl w:val="1"/>
          <w:numId w:val="5"/>
        </w:numPr>
        <w:tabs>
          <w:tab w:val="left" w:pos="360"/>
        </w:tabs>
        <w:spacing w:before="120" w:line="240" w:lineRule="auto"/>
        <w:ind w:left="0" w:firstLine="0" w:firstLineChars="0"/>
        <w:outlineLvl w:val="1"/>
        <w:rPr>
          <w:rFonts w:hint="eastAsia" w:ascii="仿宋" w:hAnsi="仿宋" w:eastAsia="仿宋"/>
          <w:b/>
          <w:vanish/>
          <w:color w:val="auto"/>
          <w:sz w:val="28"/>
          <w:szCs w:val="20"/>
        </w:rPr>
      </w:pPr>
      <w:bookmarkStart w:id="24" w:name="_Toc63785504"/>
      <w:bookmarkEnd w:id="24"/>
      <w:bookmarkStart w:id="25" w:name="_Toc63785439"/>
      <w:bookmarkEnd w:id="25"/>
      <w:bookmarkStart w:id="26" w:name="_Toc62209488"/>
      <w:bookmarkEnd w:id="26"/>
      <w:bookmarkStart w:id="27" w:name="_Toc61968111"/>
      <w:bookmarkEnd w:id="27"/>
      <w:bookmarkStart w:id="28" w:name="_Toc62219358"/>
      <w:bookmarkEnd w:id="28"/>
      <w:bookmarkStart w:id="29" w:name="_Toc63762370"/>
      <w:bookmarkEnd w:id="29"/>
      <w:bookmarkStart w:id="30" w:name="_Toc63585480"/>
      <w:bookmarkEnd w:id="30"/>
      <w:bookmarkStart w:id="31" w:name="_Toc63151871"/>
      <w:bookmarkEnd w:id="31"/>
    </w:p>
    <w:p w14:paraId="45AB7EB2">
      <w:pPr>
        <w:pStyle w:val="3"/>
        <w:rPr>
          <w:rFonts w:hint="eastAsia"/>
          <w:color w:val="auto"/>
        </w:rPr>
      </w:pPr>
      <w:bookmarkStart w:id="32" w:name="_Toc63785505"/>
      <w:r>
        <w:rPr>
          <w:rFonts w:hint="eastAsia"/>
          <w:color w:val="auto"/>
        </w:rPr>
        <w:t>售后服务要求</w:t>
      </w:r>
      <w:bookmarkEnd w:id="32"/>
    </w:p>
    <w:p w14:paraId="1C3C77EA">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本项目从系统验收通过之日起1年内提供</w:t>
      </w:r>
      <w:r>
        <w:rPr>
          <w:rFonts w:ascii="宋体" w:hAnsi="宋体"/>
          <w:color w:val="auto"/>
          <w:sz w:val="24"/>
          <w:szCs w:val="24"/>
        </w:rPr>
        <w:t>7*24小时免费技术支持</w:t>
      </w:r>
      <w:r>
        <w:rPr>
          <w:rFonts w:hint="eastAsia" w:ascii="宋体" w:hAnsi="宋体"/>
          <w:color w:val="auto"/>
          <w:sz w:val="24"/>
          <w:szCs w:val="24"/>
        </w:rPr>
        <w:t>和售后服务，1年后进入有偿维护期。</w:t>
      </w:r>
    </w:p>
    <w:p w14:paraId="35E49326">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79CCC5A2">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在质量保证期内，供应商负责信息系统的运行维护工作，确保信息系统安全、稳定、可靠地运行。供应商承诺，维护期内的技术服务免费，并至少提供以下服务：</w:t>
      </w:r>
    </w:p>
    <w:p w14:paraId="1F06D392">
      <w:pPr>
        <w:pStyle w:val="106"/>
        <w:snapToGrid w:val="0"/>
        <w:spacing w:line="360" w:lineRule="auto"/>
        <w:ind w:firstLine="480"/>
        <w:rPr>
          <w:rFonts w:hint="eastAsia" w:ascii="宋体" w:hAnsi="宋体"/>
          <w:color w:val="auto"/>
          <w:sz w:val="24"/>
          <w:szCs w:val="24"/>
        </w:rPr>
      </w:pPr>
      <w:r>
        <w:rPr>
          <w:rFonts w:ascii="宋体" w:hAnsi="宋体"/>
          <w:color w:val="auto"/>
          <w:sz w:val="24"/>
          <w:szCs w:val="24"/>
        </w:rPr>
        <w:t>供应商在响应文件中详细列出售后服务清单，对每项服务需明确服务提供方名称、服务内容、服务方式、服务人员技术要求以及服务响应时间等。</w:t>
      </w:r>
    </w:p>
    <w:p w14:paraId="126AB6C5">
      <w:pPr>
        <w:pStyle w:val="106"/>
        <w:snapToGrid w:val="0"/>
        <w:spacing w:line="360" w:lineRule="auto"/>
        <w:ind w:firstLine="480"/>
        <w:rPr>
          <w:rFonts w:hint="eastAsia" w:ascii="宋体" w:hAnsi="宋体"/>
          <w:color w:val="auto"/>
          <w:sz w:val="24"/>
          <w:szCs w:val="24"/>
        </w:rPr>
      </w:pPr>
      <w:r>
        <w:rPr>
          <w:rFonts w:ascii="宋体" w:hAnsi="宋体"/>
          <w:color w:val="auto"/>
          <w:sz w:val="24"/>
          <w:szCs w:val="24"/>
        </w:rPr>
        <w:t>供应商应有专业售后服务团队，可按本需求要求及时提供本需求约定的服务。</w:t>
      </w:r>
    </w:p>
    <w:p w14:paraId="2E66B08D">
      <w:pPr>
        <w:pStyle w:val="106"/>
        <w:snapToGrid w:val="0"/>
        <w:spacing w:line="360" w:lineRule="auto"/>
        <w:ind w:firstLine="480"/>
        <w:rPr>
          <w:rFonts w:hint="eastAsia" w:ascii="宋体" w:hAnsi="宋体"/>
          <w:color w:val="auto"/>
          <w:sz w:val="24"/>
          <w:szCs w:val="24"/>
        </w:rPr>
      </w:pPr>
      <w:r>
        <w:rPr>
          <w:rFonts w:ascii="宋体" w:hAnsi="宋体"/>
          <w:color w:val="auto"/>
          <w:sz w:val="24"/>
          <w:szCs w:val="24"/>
        </w:rPr>
        <w:t>在保修期免费维护期结束前，进行至少一次全面检查，任何缺陷由供应商负责修理，在修理之后，项目实施方将缺陷原因、修理内容、完成修理及恢复正常的时间和日期等报告给采购人。</w:t>
      </w:r>
    </w:p>
    <w:p w14:paraId="386C6275">
      <w:pPr>
        <w:pStyle w:val="106"/>
        <w:snapToGrid w:val="0"/>
        <w:spacing w:line="360" w:lineRule="auto"/>
        <w:ind w:firstLine="480"/>
        <w:rPr>
          <w:rFonts w:hint="eastAsia" w:ascii="宋体" w:hAnsi="宋体"/>
          <w:color w:val="auto"/>
          <w:sz w:val="24"/>
          <w:szCs w:val="24"/>
        </w:rPr>
      </w:pPr>
      <w:r>
        <w:rPr>
          <w:rFonts w:ascii="宋体" w:hAnsi="宋体"/>
          <w:color w:val="auto"/>
          <w:sz w:val="24"/>
          <w:szCs w:val="24"/>
        </w:rPr>
        <w:t>供应商具备相关的售后服务体系，在承诺服务期内提供完善、及时、无推诿的应用软件等项目实施范围内的服务保障。供应商售后服务体系需符合ISO20000信息技术服务管理标准、ITSS信息技术服务运行维护标准、ISO27001信息安全管理体系，</w:t>
      </w:r>
      <w:r>
        <w:rPr>
          <w:rFonts w:hint="eastAsia" w:ascii="宋体" w:hAnsi="宋体"/>
          <w:color w:val="auto"/>
          <w:sz w:val="24"/>
          <w:szCs w:val="24"/>
        </w:rPr>
        <w:t>具有CCRC信息安全服务资质认证证书</w:t>
      </w:r>
      <w:r>
        <w:rPr>
          <w:rFonts w:ascii="宋体" w:hAnsi="宋体"/>
          <w:color w:val="auto"/>
          <w:sz w:val="24"/>
          <w:szCs w:val="24"/>
        </w:rPr>
        <w:t>，保障项目建设过程中、建成后的服务，满足国家相关信息安全防护的相关要求。</w:t>
      </w:r>
    </w:p>
    <w:p w14:paraId="7301DED5">
      <w:pPr>
        <w:pStyle w:val="106"/>
        <w:snapToGrid w:val="0"/>
        <w:spacing w:line="360" w:lineRule="auto"/>
        <w:ind w:firstLine="480"/>
        <w:rPr>
          <w:rFonts w:hint="eastAsia" w:ascii="宋体" w:hAnsi="宋体"/>
          <w:color w:val="auto"/>
          <w:sz w:val="24"/>
          <w:szCs w:val="24"/>
        </w:rPr>
      </w:pPr>
      <w:r>
        <w:rPr>
          <w:rFonts w:ascii="宋体" w:hAnsi="宋体"/>
          <w:color w:val="auto"/>
          <w:sz w:val="24"/>
          <w:szCs w:val="24"/>
        </w:rPr>
        <w:t></w:t>
      </w:r>
      <w:r>
        <w:rPr>
          <w:rFonts w:ascii="宋体" w:hAnsi="宋体"/>
          <w:color w:val="auto"/>
          <w:sz w:val="24"/>
          <w:szCs w:val="24"/>
        </w:rPr>
        <w:tab/>
      </w:r>
      <w:r>
        <w:rPr>
          <w:rFonts w:ascii="宋体" w:hAnsi="宋体"/>
          <w:color w:val="auto"/>
          <w:sz w:val="24"/>
          <w:szCs w:val="24"/>
        </w:rPr>
        <w:t>供应商应配合采购人做好系统运行情况健康体征监测和数据归集工作。</w:t>
      </w:r>
    </w:p>
    <w:p w14:paraId="7D23DE78">
      <w:pPr>
        <w:pStyle w:val="3"/>
        <w:rPr>
          <w:rFonts w:hint="eastAsia"/>
          <w:color w:val="auto"/>
        </w:rPr>
      </w:pPr>
      <w:bookmarkStart w:id="33" w:name="_Toc63785506"/>
      <w:r>
        <w:rPr>
          <w:rFonts w:hint="eastAsia"/>
          <w:color w:val="auto"/>
        </w:rPr>
        <w:t>应急响应要求</w:t>
      </w:r>
      <w:bookmarkEnd w:id="33"/>
    </w:p>
    <w:p w14:paraId="31A4C2D6">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供应商对系统故障应能够实时响应，若系统发生故障，接到通知后</w:t>
      </w:r>
      <w:r>
        <w:rPr>
          <w:rFonts w:ascii="宋体" w:hAnsi="宋体"/>
          <w:color w:val="auto"/>
          <w:sz w:val="24"/>
          <w:szCs w:val="24"/>
        </w:rPr>
        <w:t>30分钟之内响应，专业工程师2小时内到达现场</w:t>
      </w:r>
      <w:r>
        <w:rPr>
          <w:rFonts w:hint="eastAsia" w:ascii="宋体" w:hAnsi="宋体"/>
          <w:color w:val="auto"/>
          <w:sz w:val="24"/>
          <w:szCs w:val="24"/>
        </w:rPr>
        <w:t>。特殊故障与客户沟通协商后，按照协商的方式制定解决方案并进行处理。</w:t>
      </w:r>
    </w:p>
    <w:p w14:paraId="321C1ED0">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具体故障级别及对应的应急响应要求如下：</w:t>
      </w:r>
    </w:p>
    <w:p w14:paraId="2244636C">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一级故障：在</w:t>
      </w:r>
      <w:r>
        <w:rPr>
          <w:rFonts w:ascii="宋体" w:hAnsi="宋体"/>
          <w:color w:val="auto"/>
          <w:sz w:val="24"/>
          <w:szCs w:val="24"/>
        </w:rPr>
        <w:t>1小时内确诊，总故障解决时间不超过4小时。</w:t>
      </w:r>
    </w:p>
    <w:p w14:paraId="20607519">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二级故障：在</w:t>
      </w:r>
      <w:r>
        <w:rPr>
          <w:rFonts w:ascii="宋体" w:hAnsi="宋体"/>
          <w:color w:val="auto"/>
          <w:sz w:val="24"/>
          <w:szCs w:val="24"/>
        </w:rPr>
        <w:t>2小时内确诊，并在4小时内由专家到达现场确诊并解决，总故障解决时间不超过8小时；</w:t>
      </w:r>
    </w:p>
    <w:p w14:paraId="0F0D7955">
      <w:pPr>
        <w:pStyle w:val="106"/>
        <w:snapToGrid w:val="0"/>
        <w:spacing w:line="360" w:lineRule="auto"/>
        <w:ind w:firstLine="480"/>
        <w:rPr>
          <w:rFonts w:hint="eastAsia" w:ascii="宋体" w:hAnsi="宋体"/>
          <w:color w:val="auto"/>
          <w:sz w:val="24"/>
          <w:szCs w:val="24"/>
        </w:rPr>
      </w:pPr>
      <w:r>
        <w:rPr>
          <w:rFonts w:hint="eastAsia" w:ascii="宋体" w:hAnsi="宋体"/>
          <w:color w:val="auto"/>
          <w:sz w:val="24"/>
          <w:szCs w:val="24"/>
        </w:rPr>
        <w:t>三、四级故障：在</w:t>
      </w:r>
      <w:r>
        <w:rPr>
          <w:rFonts w:ascii="宋体" w:hAnsi="宋体"/>
          <w:color w:val="auto"/>
          <w:sz w:val="24"/>
          <w:szCs w:val="24"/>
        </w:rPr>
        <w:t>4小时内确诊故障，总故障解决时间不超过16小时。</w:t>
      </w:r>
    </w:p>
    <w:p w14:paraId="58BEA28E">
      <w:pPr>
        <w:pStyle w:val="3"/>
        <w:rPr>
          <w:rFonts w:hint="eastAsia"/>
          <w:color w:val="auto"/>
        </w:rPr>
      </w:pPr>
      <w:bookmarkStart w:id="34" w:name="_Toc63785507"/>
      <w:r>
        <w:rPr>
          <w:rFonts w:hint="eastAsia"/>
          <w:color w:val="auto"/>
        </w:rPr>
        <w:t>培训要求</w:t>
      </w:r>
      <w:bookmarkEnd w:id="34"/>
    </w:p>
    <w:p w14:paraId="50D4C58A">
      <w:pPr>
        <w:rPr>
          <w:rFonts w:hint="eastAsia"/>
          <w:color w:val="auto"/>
        </w:rPr>
      </w:pPr>
      <w:r>
        <w:rPr>
          <w:rFonts w:hint="eastAsia"/>
          <w:color w:val="auto"/>
        </w:rPr>
        <w:t>对系统使用单位提供业务操作培训，应提供详细培训方案。</w:t>
      </w:r>
    </w:p>
    <w:p w14:paraId="3E9F40E4">
      <w:pPr>
        <w:rPr>
          <w:rFonts w:hint="eastAsia"/>
          <w:color w:val="auto"/>
        </w:rPr>
      </w:pPr>
      <w:r>
        <w:rPr>
          <w:rFonts w:hint="eastAsia"/>
          <w:color w:val="auto"/>
        </w:rPr>
        <w:t>(1)在12个月的质量保证期内，提供2次与项目相关的必要培训。</w:t>
      </w:r>
    </w:p>
    <w:p w14:paraId="32BB08DF">
      <w:pPr>
        <w:rPr>
          <w:rFonts w:hint="eastAsia"/>
          <w:color w:val="auto"/>
        </w:rPr>
      </w:pPr>
      <w:r>
        <w:rPr>
          <w:rFonts w:hint="eastAsia"/>
          <w:color w:val="auto"/>
        </w:rPr>
        <w:t>(2)供应商需要开展分层次的人员培训工作，每次培训后应对参加培训人员进行测试，评估培训成果。培训应具有培训教材、培训环境和高水平的培训讲师。</w:t>
      </w:r>
    </w:p>
    <w:p w14:paraId="58BAD771">
      <w:pPr>
        <w:rPr>
          <w:rFonts w:hint="eastAsia"/>
          <w:color w:val="auto"/>
        </w:rPr>
      </w:pPr>
      <w:r>
        <w:rPr>
          <w:rFonts w:hint="eastAsia"/>
          <w:color w:val="auto"/>
        </w:rPr>
        <w:t>(3)供应商应提供一般用户的基础操作培训和部门信息管理员的日常应用维护的培训，确保用户对象能够掌握对应的操作技能。</w:t>
      </w:r>
    </w:p>
    <w:p w14:paraId="09A088D7">
      <w:pPr>
        <w:pStyle w:val="3"/>
        <w:rPr>
          <w:rFonts w:hint="eastAsia"/>
          <w:color w:val="auto"/>
        </w:rPr>
      </w:pPr>
      <w:bookmarkStart w:id="35" w:name="_Toc63785508"/>
      <w:r>
        <w:rPr>
          <w:rFonts w:hint="eastAsia"/>
          <w:color w:val="auto"/>
        </w:rPr>
        <w:t>验收要求</w:t>
      </w:r>
      <w:bookmarkEnd w:id="35"/>
    </w:p>
    <w:p w14:paraId="12190792">
      <w:pPr>
        <w:rPr>
          <w:rFonts w:hint="eastAsia"/>
          <w:color w:val="auto"/>
          <w:szCs w:val="21"/>
        </w:rPr>
      </w:pPr>
      <w:r>
        <w:rPr>
          <w:rFonts w:hint="eastAsia"/>
          <w:color w:val="auto"/>
          <w:szCs w:val="21"/>
        </w:rPr>
        <w:t>本项目按下述方式开展验收。</w:t>
      </w:r>
    </w:p>
    <w:p w14:paraId="5887EC83">
      <w:pPr>
        <w:rPr>
          <w:rFonts w:hint="eastAsia"/>
          <w:color w:val="auto"/>
        </w:rPr>
      </w:pPr>
      <w:r>
        <w:rPr>
          <w:rFonts w:hint="eastAsia"/>
          <w:color w:val="auto"/>
        </w:rPr>
        <w:t>（1）验收分初验和终验。</w:t>
      </w:r>
    </w:p>
    <w:p w14:paraId="1F5A939B">
      <w:pPr>
        <w:rPr>
          <w:rFonts w:hint="eastAsia"/>
          <w:color w:val="auto"/>
          <w:szCs w:val="21"/>
        </w:rPr>
      </w:pPr>
      <w:bookmarkStart w:id="36" w:name="OLE_LINK3"/>
      <w:r>
        <w:rPr>
          <w:rFonts w:hint="eastAsia"/>
          <w:color w:val="auto"/>
          <w:szCs w:val="21"/>
        </w:rPr>
        <w:t>（</w:t>
      </w:r>
      <w:r>
        <w:rPr>
          <w:color w:val="auto"/>
          <w:szCs w:val="21"/>
        </w:rPr>
        <w:t>2）</w:t>
      </w:r>
      <w:bookmarkEnd w:id="36"/>
      <w:r>
        <w:rPr>
          <w:color w:val="auto"/>
          <w:szCs w:val="21"/>
        </w:rPr>
        <w:t>初验前，供应商</w:t>
      </w:r>
      <w:r>
        <w:rPr>
          <w:rFonts w:hint="eastAsia"/>
          <w:color w:val="auto"/>
          <w:szCs w:val="21"/>
        </w:rPr>
        <w:t>需</w:t>
      </w:r>
      <w:r>
        <w:rPr>
          <w:color w:val="auto"/>
          <w:szCs w:val="21"/>
        </w:rPr>
        <w:t>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0D42B3C0">
      <w:pPr>
        <w:rPr>
          <w:rFonts w:hint="eastAsia"/>
          <w:color w:val="auto"/>
          <w:szCs w:val="21"/>
        </w:rPr>
      </w:pPr>
      <w:r>
        <w:rPr>
          <w:rFonts w:hint="eastAsia"/>
          <w:color w:val="auto"/>
          <w:szCs w:val="21"/>
        </w:rPr>
        <w:t>（</w:t>
      </w:r>
      <w:r>
        <w:rPr>
          <w:color w:val="auto"/>
          <w:szCs w:val="21"/>
        </w:rPr>
        <w:t>3）初验时，供应商</w:t>
      </w:r>
      <w:r>
        <w:rPr>
          <w:rFonts w:hint="eastAsia"/>
          <w:color w:val="auto"/>
          <w:szCs w:val="21"/>
        </w:rPr>
        <w:t>需</w:t>
      </w:r>
      <w:r>
        <w:rPr>
          <w:color w:val="auto"/>
          <w:szCs w:val="21"/>
        </w:rPr>
        <w:t>提供软件文档包括《用户需求说明书》、《系统概要设计说明书》、《系统详细设计说明书》、</w:t>
      </w:r>
      <w:r>
        <w:rPr>
          <w:rFonts w:hint="eastAsia"/>
          <w:color w:val="auto"/>
          <w:szCs w:val="21"/>
        </w:rPr>
        <w:t>《三方功能需求确认单》、</w:t>
      </w:r>
      <w:r>
        <w:rPr>
          <w:color w:val="auto"/>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766643F5">
      <w:pPr>
        <w:rPr>
          <w:rFonts w:hint="eastAsia"/>
          <w:color w:val="auto"/>
          <w:szCs w:val="21"/>
        </w:rPr>
      </w:pPr>
      <w:r>
        <w:rPr>
          <w:rFonts w:hint="eastAsia"/>
          <w:color w:val="auto"/>
          <w:szCs w:val="21"/>
        </w:rPr>
        <w:t>（</w:t>
      </w:r>
      <w:r>
        <w:rPr>
          <w:color w:val="auto"/>
          <w:szCs w:val="21"/>
        </w:rPr>
        <w:t>4）</w:t>
      </w:r>
      <w:bookmarkStart w:id="37" w:name="OLE_LINK2"/>
      <w:r>
        <w:rPr>
          <w:color w:val="auto"/>
          <w:szCs w:val="21"/>
        </w:rPr>
        <w:t>自初验通过之日起，招标方享有供应商免费提供的</w:t>
      </w:r>
      <w:r>
        <w:rPr>
          <w:rFonts w:hint="eastAsia"/>
          <w:color w:val="auto"/>
          <w:szCs w:val="21"/>
        </w:rPr>
        <w:t>90</w:t>
      </w:r>
      <w:r>
        <w:rPr>
          <w:color w:val="auto"/>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420E37D8">
      <w:pPr>
        <w:rPr>
          <w:rFonts w:hint="eastAsia"/>
          <w:color w:val="auto"/>
          <w:szCs w:val="21"/>
        </w:rPr>
      </w:pPr>
      <w:r>
        <w:rPr>
          <w:rFonts w:hint="eastAsia"/>
          <w:color w:val="auto"/>
          <w:szCs w:val="21"/>
        </w:rPr>
        <w:t>（</w:t>
      </w:r>
      <w:r>
        <w:rPr>
          <w:color w:val="auto"/>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color w:val="auto"/>
          <w:szCs w:val="21"/>
        </w:rPr>
        <w:t>7</w:t>
      </w:r>
      <w:r>
        <w:rPr>
          <w:color w:val="auto"/>
          <w:szCs w:val="21"/>
        </w:rPr>
        <w:t>个工作日内发起组织专家验收会。</w:t>
      </w:r>
    </w:p>
    <w:bookmarkEnd w:id="37"/>
    <w:p w14:paraId="489FF347">
      <w:pPr>
        <w:rPr>
          <w:rFonts w:hint="eastAsia"/>
          <w:color w:val="auto"/>
          <w:szCs w:val="21"/>
        </w:rPr>
      </w:pPr>
      <w:r>
        <w:rPr>
          <w:rFonts w:hint="eastAsia"/>
          <w:color w:val="auto"/>
          <w:szCs w:val="21"/>
        </w:rPr>
        <w:t>（6</w:t>
      </w:r>
      <w:r>
        <w:rPr>
          <w:color w:val="auto"/>
          <w:szCs w:val="21"/>
        </w:rPr>
        <w:t>）如果属于供应商原因致使本项目未能通过终验，供应商应当排除缺陷，直至本项目完全符合验收标准，由上述情形而产生的相关费用应由供应商自行承担。</w:t>
      </w:r>
    </w:p>
    <w:p w14:paraId="59B40B8F">
      <w:pPr>
        <w:rPr>
          <w:rFonts w:hint="eastAsia"/>
          <w:color w:val="auto"/>
          <w:szCs w:val="21"/>
        </w:rPr>
      </w:pPr>
      <w:r>
        <w:rPr>
          <w:rFonts w:hint="eastAsia"/>
          <w:color w:val="auto"/>
          <w:szCs w:val="21"/>
        </w:rPr>
        <w:t>（7</w:t>
      </w:r>
      <w:r>
        <w:rPr>
          <w:color w:val="auto"/>
          <w:szCs w:val="21"/>
        </w:rPr>
        <w:t>）如果由于招标方原因导致本项目在终验通过前出现故障或问题，供应商应及时配合排除该方面的故障或问题。</w:t>
      </w:r>
    </w:p>
    <w:p w14:paraId="51D1FFA3">
      <w:pPr>
        <w:rPr>
          <w:rFonts w:hint="eastAsia"/>
          <w:color w:val="auto"/>
          <w:szCs w:val="21"/>
        </w:rPr>
      </w:pPr>
      <w:r>
        <w:rPr>
          <w:rFonts w:hint="eastAsia"/>
          <w:color w:val="auto"/>
          <w:szCs w:val="21"/>
        </w:rPr>
        <w:t>（8</w:t>
      </w:r>
      <w:r>
        <w:rPr>
          <w:color w:val="auto"/>
          <w:szCs w:val="21"/>
        </w:rPr>
        <w:t>）如本项目连续3次验收未通过（含初验未通过或终验未通过），招标方有权解除项目，并有权依照本项目约定的违约条款追究供应商的违约责任。</w:t>
      </w:r>
    </w:p>
    <w:p w14:paraId="70AE5E8C">
      <w:pPr>
        <w:pStyle w:val="3"/>
        <w:rPr>
          <w:rFonts w:hint="eastAsia"/>
          <w:color w:val="auto"/>
        </w:rPr>
      </w:pPr>
      <w:bookmarkStart w:id="38" w:name="_Toc63785509"/>
      <w:r>
        <w:rPr>
          <w:rFonts w:hint="eastAsia"/>
          <w:color w:val="auto"/>
        </w:rPr>
        <w:t>进度要求</w:t>
      </w:r>
      <w:bookmarkEnd w:id="38"/>
    </w:p>
    <w:p w14:paraId="2BE7377E">
      <w:pPr>
        <w:rPr>
          <w:rFonts w:hint="eastAsia"/>
          <w:color w:val="auto"/>
        </w:rPr>
      </w:pPr>
      <w:r>
        <w:rPr>
          <w:rFonts w:hint="eastAsia"/>
          <w:color w:val="auto"/>
        </w:rPr>
        <w:t>投标人应根据建设内容，分阶段制定合理的时间进度，并且应根据招标方要求进行调整和细化。</w:t>
      </w:r>
    </w:p>
    <w:p w14:paraId="727FB841">
      <w:pPr>
        <w:rPr>
          <w:rFonts w:hint="eastAsia"/>
          <w:color w:val="auto"/>
        </w:rPr>
      </w:pPr>
      <w:r>
        <w:rPr>
          <w:rFonts w:hint="eastAsia"/>
          <w:color w:val="auto"/>
        </w:rPr>
        <w:t>总建设周期为12个月，分为4个阶段。</w:t>
      </w:r>
    </w:p>
    <w:p w14:paraId="391E540B">
      <w:pPr>
        <w:rPr>
          <w:rFonts w:hint="eastAsia"/>
          <w:color w:val="auto"/>
        </w:rPr>
      </w:pPr>
      <w:r>
        <w:rPr>
          <w:rFonts w:hint="eastAsia"/>
          <w:color w:val="auto"/>
        </w:rPr>
        <w:t>第一阶段为3个月，完成项目有关业务、系统和需求的调研，形成总体设计方案，完成系统架构、基础资源、功能等详细设计，并提供主体建设内容的部分系统原型。</w:t>
      </w:r>
    </w:p>
    <w:p w14:paraId="730C0E60">
      <w:pPr>
        <w:rPr>
          <w:rFonts w:hint="eastAsia"/>
          <w:color w:val="auto"/>
        </w:rPr>
      </w:pPr>
      <w:r>
        <w:rPr>
          <w:rFonts w:hint="eastAsia"/>
          <w:color w:val="auto"/>
        </w:rPr>
        <w:t>第二阶段为6个月，完成数据归集整合、资源申请和各模块的开发与测试工作，完成系统联调与部署，发布beta测试版本。</w:t>
      </w:r>
    </w:p>
    <w:p w14:paraId="70032DEF">
      <w:pPr>
        <w:rPr>
          <w:rFonts w:hint="eastAsia"/>
          <w:color w:val="auto"/>
        </w:rPr>
      </w:pPr>
      <w:r>
        <w:rPr>
          <w:rFonts w:hint="eastAsia"/>
          <w:color w:val="auto"/>
        </w:rPr>
        <w:t>第三阶段为2个月，完成项目功能试运行，修正各模块联调中出现的问题，完成系统完善和功能迭代，直至发布正式运行版本。</w:t>
      </w:r>
    </w:p>
    <w:p w14:paraId="338B6509">
      <w:pPr>
        <w:rPr>
          <w:rFonts w:hint="eastAsia"/>
          <w:color w:val="auto"/>
        </w:rPr>
      </w:pPr>
      <w:r>
        <w:rPr>
          <w:rFonts w:hint="eastAsia"/>
          <w:color w:val="auto"/>
        </w:rPr>
        <w:t>第四阶段为1个月，完成项目验收并启动项目的正式运行，根据项目运行情况和验收要求开展项目测评、功能优化和绩效评价等工作。</w:t>
      </w:r>
    </w:p>
    <w:p w14:paraId="171D580B">
      <w:pPr>
        <w:pStyle w:val="3"/>
        <w:rPr>
          <w:rFonts w:hint="eastAsia"/>
          <w:color w:val="auto"/>
        </w:rPr>
      </w:pPr>
      <w:bookmarkStart w:id="39" w:name="_Toc63785510"/>
      <w:r>
        <w:rPr>
          <w:rFonts w:hint="eastAsia"/>
          <w:color w:val="auto"/>
        </w:rPr>
        <w:t>项目团队及驻场人员要求</w:t>
      </w:r>
      <w:bookmarkEnd w:id="39"/>
    </w:p>
    <w:p w14:paraId="31FC9ADF">
      <w:pPr>
        <w:numPr>
          <w:ilvl w:val="0"/>
          <w:numId w:val="6"/>
        </w:numPr>
        <w:rPr>
          <w:rFonts w:hint="eastAsia"/>
          <w:color w:val="auto"/>
        </w:rPr>
      </w:pPr>
      <w:r>
        <w:rPr>
          <w:color w:val="auto"/>
        </w:rPr>
        <w:t>投标人</w:t>
      </w:r>
      <w:r>
        <w:rPr>
          <w:rFonts w:hint="eastAsia"/>
          <w:color w:val="auto"/>
        </w:rPr>
        <w:t>需</w:t>
      </w:r>
      <w:r>
        <w:rPr>
          <w:color w:val="auto"/>
        </w:rPr>
        <w:t>具有稳定的在职技术保障力量，能够提供及时的技术支援或服务，应针对本项目提供不少于</w:t>
      </w:r>
      <w:r>
        <w:rPr>
          <w:rFonts w:hint="eastAsia"/>
          <w:color w:val="auto"/>
        </w:rPr>
        <w:t>28</w:t>
      </w:r>
      <w:r>
        <w:rPr>
          <w:color w:val="auto"/>
        </w:rPr>
        <w:t>人的项目服务团队（包括项目经理、产品经理、技术负责人、研发等），投标单位的相关服务人员需具备相应的服务能力，需提供相关证明。</w:t>
      </w:r>
    </w:p>
    <w:p w14:paraId="676DF14D">
      <w:pPr>
        <w:numPr>
          <w:ilvl w:val="255"/>
          <w:numId w:val="0"/>
        </w:numPr>
        <w:rPr>
          <w:rFonts w:hint="eastAsia"/>
          <w:color w:val="auto"/>
        </w:rPr>
      </w:pPr>
      <w:r>
        <w:rPr>
          <w:rFonts w:hint="eastAsia"/>
          <w:color w:val="auto"/>
        </w:rPr>
        <w:t xml:space="preserve">    人员要求：项目经理具有信息系统项目管理师证书；技术负责人具备计算机类高级工程师职称，具有系统集成管理工程师证书，具有信息安全工程师证书或CISAW信息安全保障人员认证证书。</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832"/>
        <w:gridCol w:w="1180"/>
        <w:gridCol w:w="1513"/>
        <w:gridCol w:w="1296"/>
      </w:tblGrid>
      <w:tr w14:paraId="7D4C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2B9FAE11">
            <w:pPr>
              <w:widowControl/>
              <w:spacing w:line="240" w:lineRule="auto"/>
              <w:ind w:firstLine="0" w:firstLineChars="0"/>
              <w:jc w:val="center"/>
              <w:rPr>
                <w:rFonts w:hint="eastAsia"/>
                <w:b/>
                <w:color w:val="auto"/>
              </w:rPr>
            </w:pPr>
            <w:r>
              <w:rPr>
                <w:rFonts w:hint="eastAsia"/>
                <w:b/>
                <w:color w:val="auto"/>
              </w:rPr>
              <w:t>角色</w:t>
            </w:r>
          </w:p>
        </w:tc>
        <w:tc>
          <w:tcPr>
            <w:tcW w:w="2832" w:type="dxa"/>
            <w:noWrap/>
            <w:vAlign w:val="center"/>
          </w:tcPr>
          <w:p w14:paraId="4E109A05">
            <w:pPr>
              <w:widowControl/>
              <w:spacing w:line="240" w:lineRule="auto"/>
              <w:ind w:firstLine="0" w:firstLineChars="0"/>
              <w:jc w:val="center"/>
              <w:rPr>
                <w:rFonts w:hint="eastAsia"/>
                <w:b/>
                <w:color w:val="auto"/>
              </w:rPr>
            </w:pPr>
            <w:r>
              <w:rPr>
                <w:rFonts w:hint="eastAsia"/>
                <w:b/>
                <w:color w:val="auto"/>
              </w:rPr>
              <w:t>主要职责</w:t>
            </w:r>
          </w:p>
        </w:tc>
        <w:tc>
          <w:tcPr>
            <w:tcW w:w="1180" w:type="dxa"/>
            <w:noWrap/>
            <w:vAlign w:val="center"/>
          </w:tcPr>
          <w:p w14:paraId="0DE44752">
            <w:pPr>
              <w:widowControl/>
              <w:spacing w:line="240" w:lineRule="auto"/>
              <w:ind w:firstLine="0" w:firstLineChars="0"/>
              <w:jc w:val="center"/>
              <w:rPr>
                <w:rFonts w:hint="eastAsia"/>
                <w:b/>
                <w:color w:val="auto"/>
              </w:rPr>
            </w:pPr>
            <w:r>
              <w:rPr>
                <w:rFonts w:hint="eastAsia"/>
                <w:b/>
                <w:color w:val="auto"/>
              </w:rPr>
              <w:t>人员数量</w:t>
            </w:r>
          </w:p>
        </w:tc>
        <w:tc>
          <w:tcPr>
            <w:tcW w:w="1513" w:type="dxa"/>
            <w:vAlign w:val="center"/>
          </w:tcPr>
          <w:p w14:paraId="4D4BF8D0">
            <w:pPr>
              <w:widowControl/>
              <w:spacing w:line="240" w:lineRule="auto"/>
              <w:ind w:firstLine="0" w:firstLineChars="0"/>
              <w:jc w:val="center"/>
              <w:rPr>
                <w:rFonts w:hint="eastAsia"/>
                <w:b/>
                <w:color w:val="auto"/>
              </w:rPr>
            </w:pPr>
            <w:r>
              <w:rPr>
                <w:rFonts w:hint="eastAsia"/>
                <w:b/>
                <w:color w:val="auto"/>
              </w:rPr>
              <w:t>人员要求</w:t>
            </w:r>
          </w:p>
        </w:tc>
        <w:tc>
          <w:tcPr>
            <w:tcW w:w="1296" w:type="dxa"/>
            <w:noWrap/>
            <w:vAlign w:val="center"/>
          </w:tcPr>
          <w:p w14:paraId="134047B0">
            <w:pPr>
              <w:widowControl/>
              <w:spacing w:line="240" w:lineRule="auto"/>
              <w:ind w:firstLine="0" w:firstLineChars="0"/>
              <w:jc w:val="center"/>
              <w:rPr>
                <w:rFonts w:hint="eastAsia"/>
                <w:b/>
                <w:color w:val="auto"/>
              </w:rPr>
            </w:pPr>
            <w:r>
              <w:rPr>
                <w:rFonts w:hint="eastAsia"/>
                <w:b/>
                <w:color w:val="auto"/>
              </w:rPr>
              <w:t>驻场要求</w:t>
            </w:r>
          </w:p>
        </w:tc>
      </w:tr>
      <w:tr w14:paraId="42F5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1372AD21">
            <w:pPr>
              <w:widowControl/>
              <w:spacing w:line="240" w:lineRule="auto"/>
              <w:ind w:firstLine="0" w:firstLineChars="0"/>
              <w:jc w:val="center"/>
              <w:rPr>
                <w:rFonts w:hint="eastAsia"/>
                <w:color w:val="auto"/>
              </w:rPr>
            </w:pPr>
            <w:r>
              <w:rPr>
                <w:rFonts w:hint="eastAsia"/>
                <w:color w:val="auto"/>
              </w:rPr>
              <w:t>项目经理</w:t>
            </w:r>
          </w:p>
        </w:tc>
        <w:tc>
          <w:tcPr>
            <w:tcW w:w="2832" w:type="dxa"/>
            <w:vAlign w:val="center"/>
          </w:tcPr>
          <w:p w14:paraId="3D0AF3ED">
            <w:pPr>
              <w:widowControl/>
              <w:spacing w:line="240" w:lineRule="auto"/>
              <w:ind w:firstLine="0" w:firstLineChars="0"/>
              <w:jc w:val="center"/>
              <w:rPr>
                <w:rFonts w:hint="eastAsia"/>
                <w:color w:val="auto"/>
              </w:rPr>
            </w:pPr>
            <w:r>
              <w:rPr>
                <w:rFonts w:hint="eastAsia"/>
                <w:color w:val="auto"/>
              </w:rPr>
              <w:t>负责项目质量和进度控制</w:t>
            </w:r>
          </w:p>
        </w:tc>
        <w:tc>
          <w:tcPr>
            <w:tcW w:w="1180" w:type="dxa"/>
            <w:noWrap/>
            <w:vAlign w:val="center"/>
          </w:tcPr>
          <w:p w14:paraId="01E5A5EC">
            <w:pPr>
              <w:widowControl/>
              <w:spacing w:line="240" w:lineRule="auto"/>
              <w:ind w:firstLine="0" w:firstLineChars="0"/>
              <w:jc w:val="center"/>
              <w:rPr>
                <w:rFonts w:hint="eastAsia"/>
                <w:color w:val="auto"/>
              </w:rPr>
            </w:pPr>
            <w:r>
              <w:rPr>
                <w:rFonts w:hint="eastAsia"/>
                <w:color w:val="auto"/>
              </w:rPr>
              <w:t>1人</w:t>
            </w:r>
          </w:p>
        </w:tc>
        <w:tc>
          <w:tcPr>
            <w:tcW w:w="1513" w:type="dxa"/>
          </w:tcPr>
          <w:p w14:paraId="094CBA9F">
            <w:pPr>
              <w:widowControl/>
              <w:spacing w:line="240" w:lineRule="auto"/>
              <w:ind w:firstLine="0" w:firstLineChars="0"/>
              <w:jc w:val="center"/>
              <w:rPr>
                <w:rFonts w:hint="eastAsia"/>
                <w:color w:val="auto"/>
              </w:rPr>
            </w:pPr>
            <w:r>
              <w:rPr>
                <w:rFonts w:hint="eastAsia"/>
                <w:color w:val="auto"/>
              </w:rPr>
              <w:t>本科及以上学历</w:t>
            </w:r>
          </w:p>
        </w:tc>
        <w:tc>
          <w:tcPr>
            <w:tcW w:w="1296" w:type="dxa"/>
            <w:noWrap/>
            <w:vAlign w:val="center"/>
          </w:tcPr>
          <w:p w14:paraId="7BAE1DF2">
            <w:pPr>
              <w:widowControl/>
              <w:spacing w:line="240" w:lineRule="auto"/>
              <w:ind w:firstLine="0" w:firstLineChars="0"/>
              <w:jc w:val="center"/>
              <w:rPr>
                <w:rFonts w:hint="eastAsia"/>
                <w:color w:val="auto"/>
              </w:rPr>
            </w:pPr>
            <w:r>
              <w:rPr>
                <w:rFonts w:hint="eastAsia"/>
                <w:color w:val="auto"/>
              </w:rPr>
              <w:t>驻场</w:t>
            </w:r>
          </w:p>
        </w:tc>
      </w:tr>
      <w:tr w14:paraId="3EF5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25623CAD">
            <w:pPr>
              <w:widowControl/>
              <w:spacing w:line="240" w:lineRule="auto"/>
              <w:ind w:firstLine="0" w:firstLineChars="0"/>
              <w:jc w:val="center"/>
              <w:rPr>
                <w:rFonts w:hint="eastAsia"/>
                <w:color w:val="auto"/>
              </w:rPr>
            </w:pPr>
            <w:r>
              <w:rPr>
                <w:rFonts w:hint="eastAsia"/>
                <w:color w:val="auto"/>
              </w:rPr>
              <w:t>产品经理</w:t>
            </w:r>
          </w:p>
        </w:tc>
        <w:tc>
          <w:tcPr>
            <w:tcW w:w="2832" w:type="dxa"/>
            <w:vAlign w:val="center"/>
          </w:tcPr>
          <w:p w14:paraId="171F4BDF">
            <w:pPr>
              <w:widowControl/>
              <w:spacing w:line="240" w:lineRule="auto"/>
              <w:ind w:firstLine="0" w:firstLineChars="0"/>
              <w:jc w:val="center"/>
              <w:rPr>
                <w:rFonts w:hint="eastAsia"/>
                <w:color w:val="auto"/>
              </w:rPr>
            </w:pPr>
            <w:r>
              <w:rPr>
                <w:rFonts w:hint="eastAsia"/>
                <w:color w:val="auto"/>
              </w:rPr>
              <w:t>负责项目需求评估与产品设计</w:t>
            </w:r>
          </w:p>
        </w:tc>
        <w:tc>
          <w:tcPr>
            <w:tcW w:w="1180" w:type="dxa"/>
            <w:noWrap/>
            <w:vAlign w:val="center"/>
          </w:tcPr>
          <w:p w14:paraId="38B652F6">
            <w:pPr>
              <w:widowControl/>
              <w:spacing w:line="240" w:lineRule="auto"/>
              <w:ind w:firstLine="0" w:firstLineChars="0"/>
              <w:jc w:val="center"/>
              <w:rPr>
                <w:rFonts w:hint="eastAsia"/>
                <w:color w:val="auto"/>
              </w:rPr>
            </w:pPr>
            <w:r>
              <w:rPr>
                <w:rFonts w:hint="eastAsia"/>
                <w:color w:val="auto"/>
              </w:rPr>
              <w:t>1人</w:t>
            </w:r>
          </w:p>
        </w:tc>
        <w:tc>
          <w:tcPr>
            <w:tcW w:w="1513" w:type="dxa"/>
          </w:tcPr>
          <w:p w14:paraId="5274C7E4">
            <w:pPr>
              <w:widowControl/>
              <w:spacing w:line="240" w:lineRule="auto"/>
              <w:ind w:firstLine="0" w:firstLineChars="0"/>
              <w:jc w:val="center"/>
              <w:rPr>
                <w:rFonts w:hint="eastAsia"/>
                <w:color w:val="auto"/>
              </w:rPr>
            </w:pPr>
            <w:r>
              <w:rPr>
                <w:rFonts w:hint="eastAsia"/>
                <w:color w:val="auto"/>
              </w:rPr>
              <w:t>本科及以上学历</w:t>
            </w:r>
          </w:p>
        </w:tc>
        <w:tc>
          <w:tcPr>
            <w:tcW w:w="1296" w:type="dxa"/>
            <w:noWrap/>
            <w:vAlign w:val="center"/>
          </w:tcPr>
          <w:p w14:paraId="2F4E364D">
            <w:pPr>
              <w:widowControl/>
              <w:spacing w:line="240" w:lineRule="auto"/>
              <w:ind w:firstLine="0" w:firstLineChars="0"/>
              <w:jc w:val="center"/>
              <w:rPr>
                <w:rFonts w:hint="eastAsia"/>
                <w:color w:val="auto"/>
              </w:rPr>
            </w:pPr>
            <w:r>
              <w:rPr>
                <w:rFonts w:hint="eastAsia"/>
                <w:color w:val="auto"/>
              </w:rPr>
              <w:t>驻场</w:t>
            </w:r>
          </w:p>
        </w:tc>
      </w:tr>
      <w:tr w14:paraId="61F5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tcPr>
          <w:p w14:paraId="2F63EA22">
            <w:pPr>
              <w:widowControl/>
              <w:spacing w:line="240" w:lineRule="auto"/>
              <w:ind w:firstLine="0" w:firstLineChars="0"/>
              <w:jc w:val="center"/>
              <w:rPr>
                <w:rFonts w:hint="eastAsia"/>
                <w:color w:val="auto"/>
              </w:rPr>
            </w:pPr>
            <w:r>
              <w:rPr>
                <w:rFonts w:hint="eastAsia"/>
                <w:color w:val="auto"/>
              </w:rPr>
              <w:t>技术负责人</w:t>
            </w:r>
          </w:p>
        </w:tc>
        <w:tc>
          <w:tcPr>
            <w:tcW w:w="2832" w:type="dxa"/>
          </w:tcPr>
          <w:p w14:paraId="38EAD0D1">
            <w:pPr>
              <w:widowControl/>
              <w:spacing w:line="240" w:lineRule="auto"/>
              <w:ind w:firstLine="0" w:firstLineChars="0"/>
              <w:jc w:val="center"/>
              <w:rPr>
                <w:rFonts w:hint="eastAsia"/>
                <w:color w:val="auto"/>
              </w:rPr>
            </w:pPr>
            <w:r>
              <w:rPr>
                <w:rFonts w:hint="eastAsia"/>
                <w:color w:val="auto"/>
              </w:rPr>
              <w:t>负责项目具体开发、设计与实施</w:t>
            </w:r>
          </w:p>
        </w:tc>
        <w:tc>
          <w:tcPr>
            <w:tcW w:w="1180" w:type="dxa"/>
            <w:noWrap/>
          </w:tcPr>
          <w:p w14:paraId="6ACED737">
            <w:pPr>
              <w:widowControl/>
              <w:spacing w:line="240" w:lineRule="auto"/>
              <w:ind w:firstLine="0" w:firstLineChars="0"/>
              <w:jc w:val="center"/>
              <w:rPr>
                <w:rFonts w:hint="eastAsia"/>
                <w:color w:val="auto"/>
              </w:rPr>
            </w:pPr>
            <w:r>
              <w:rPr>
                <w:rFonts w:hint="eastAsia"/>
                <w:color w:val="auto"/>
              </w:rPr>
              <w:t>1人</w:t>
            </w:r>
          </w:p>
        </w:tc>
        <w:tc>
          <w:tcPr>
            <w:tcW w:w="1513" w:type="dxa"/>
          </w:tcPr>
          <w:p w14:paraId="5D32AC3D">
            <w:pPr>
              <w:widowControl/>
              <w:spacing w:line="240" w:lineRule="auto"/>
              <w:ind w:firstLine="0" w:firstLineChars="0"/>
              <w:jc w:val="center"/>
              <w:rPr>
                <w:rFonts w:hint="eastAsia"/>
                <w:color w:val="auto"/>
              </w:rPr>
            </w:pPr>
            <w:r>
              <w:rPr>
                <w:rFonts w:hint="eastAsia"/>
                <w:color w:val="auto"/>
              </w:rPr>
              <w:t>本科及以上学历</w:t>
            </w:r>
          </w:p>
        </w:tc>
        <w:tc>
          <w:tcPr>
            <w:tcW w:w="1296" w:type="dxa"/>
            <w:noWrap/>
          </w:tcPr>
          <w:p w14:paraId="0DFEECA9">
            <w:pPr>
              <w:widowControl/>
              <w:spacing w:line="240" w:lineRule="auto"/>
              <w:ind w:firstLine="0" w:firstLineChars="0"/>
              <w:jc w:val="center"/>
              <w:rPr>
                <w:rFonts w:hint="eastAsia"/>
                <w:color w:val="auto"/>
              </w:rPr>
            </w:pPr>
            <w:r>
              <w:rPr>
                <w:rFonts w:hint="eastAsia"/>
                <w:color w:val="auto"/>
              </w:rPr>
              <w:t>驻场</w:t>
            </w:r>
          </w:p>
        </w:tc>
      </w:tr>
      <w:tr w14:paraId="5F6D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4AF95591">
            <w:pPr>
              <w:widowControl/>
              <w:spacing w:line="240" w:lineRule="auto"/>
              <w:ind w:firstLine="0" w:firstLineChars="0"/>
              <w:jc w:val="center"/>
              <w:rPr>
                <w:rFonts w:hint="eastAsia"/>
                <w:color w:val="auto"/>
              </w:rPr>
            </w:pPr>
            <w:r>
              <w:rPr>
                <w:rFonts w:hint="eastAsia"/>
                <w:color w:val="auto"/>
              </w:rPr>
              <w:t>研发</w:t>
            </w:r>
          </w:p>
        </w:tc>
        <w:tc>
          <w:tcPr>
            <w:tcW w:w="2832" w:type="dxa"/>
            <w:noWrap/>
            <w:vAlign w:val="center"/>
          </w:tcPr>
          <w:p w14:paraId="1B08CB4C">
            <w:pPr>
              <w:widowControl/>
              <w:spacing w:line="240" w:lineRule="auto"/>
              <w:ind w:firstLine="0" w:firstLineChars="0"/>
              <w:jc w:val="center"/>
              <w:rPr>
                <w:rFonts w:hint="eastAsia"/>
                <w:color w:val="auto"/>
              </w:rPr>
            </w:pPr>
            <w:r>
              <w:rPr>
                <w:rFonts w:hint="eastAsia"/>
                <w:color w:val="auto"/>
              </w:rPr>
              <w:t>负责项目具体开发与实施</w:t>
            </w:r>
          </w:p>
        </w:tc>
        <w:tc>
          <w:tcPr>
            <w:tcW w:w="1180" w:type="dxa"/>
            <w:noWrap/>
            <w:vAlign w:val="center"/>
          </w:tcPr>
          <w:p w14:paraId="69F47627">
            <w:pPr>
              <w:widowControl/>
              <w:spacing w:line="240" w:lineRule="auto"/>
              <w:ind w:firstLine="0" w:firstLineChars="0"/>
              <w:jc w:val="center"/>
              <w:rPr>
                <w:rFonts w:hint="eastAsia"/>
                <w:color w:val="auto"/>
              </w:rPr>
            </w:pPr>
            <w:r>
              <w:rPr>
                <w:rFonts w:hint="eastAsia"/>
                <w:color w:val="auto"/>
              </w:rPr>
              <w:t>25人</w:t>
            </w:r>
          </w:p>
        </w:tc>
        <w:tc>
          <w:tcPr>
            <w:tcW w:w="1513" w:type="dxa"/>
          </w:tcPr>
          <w:p w14:paraId="69872351">
            <w:pPr>
              <w:widowControl/>
              <w:spacing w:line="240" w:lineRule="auto"/>
              <w:ind w:firstLine="0" w:firstLineChars="0"/>
              <w:jc w:val="center"/>
              <w:rPr>
                <w:rFonts w:hint="eastAsia"/>
                <w:color w:val="auto"/>
              </w:rPr>
            </w:pPr>
            <w:r>
              <w:rPr>
                <w:rFonts w:hint="eastAsia"/>
                <w:color w:val="auto"/>
              </w:rPr>
              <w:t>本科及以上学历</w:t>
            </w:r>
          </w:p>
        </w:tc>
        <w:tc>
          <w:tcPr>
            <w:tcW w:w="1296" w:type="dxa"/>
            <w:noWrap/>
            <w:vAlign w:val="center"/>
          </w:tcPr>
          <w:p w14:paraId="469563E2">
            <w:pPr>
              <w:widowControl/>
              <w:spacing w:line="240" w:lineRule="auto"/>
              <w:ind w:firstLine="0" w:firstLineChars="0"/>
              <w:jc w:val="center"/>
              <w:rPr>
                <w:rFonts w:hint="eastAsia"/>
                <w:color w:val="auto"/>
              </w:rPr>
            </w:pPr>
            <w:r>
              <w:rPr>
                <w:rFonts w:hint="eastAsia"/>
                <w:color w:val="auto"/>
              </w:rPr>
              <w:t>驻场6人</w:t>
            </w:r>
          </w:p>
        </w:tc>
      </w:tr>
    </w:tbl>
    <w:p w14:paraId="383B0D29">
      <w:pPr>
        <w:rPr>
          <w:rFonts w:hint="eastAsia"/>
          <w:color w:val="auto"/>
        </w:rPr>
      </w:pPr>
      <w:r>
        <w:rPr>
          <w:color w:val="auto"/>
        </w:rPr>
        <w:t>2）投标人应针对本项目提供不少于</w:t>
      </w:r>
      <w:r>
        <w:rPr>
          <w:rFonts w:hint="eastAsia"/>
          <w:color w:val="auto"/>
        </w:rPr>
        <w:t>6</w:t>
      </w:r>
      <w:r>
        <w:rPr>
          <w:color w:val="auto"/>
        </w:rPr>
        <w:t>人的质保期间支撑团队（其中技术经理</w:t>
      </w:r>
      <w:r>
        <w:rPr>
          <w:rFonts w:hint="eastAsia"/>
          <w:color w:val="auto"/>
        </w:rPr>
        <w:t>1</w:t>
      </w:r>
      <w:r>
        <w:rPr>
          <w:color w:val="auto"/>
        </w:rPr>
        <w:t>人，产品经理</w:t>
      </w:r>
      <w:r>
        <w:rPr>
          <w:rFonts w:hint="eastAsia"/>
          <w:color w:val="auto"/>
        </w:rPr>
        <w:t>1</w:t>
      </w:r>
      <w:r>
        <w:rPr>
          <w:color w:val="auto"/>
        </w:rPr>
        <w:t>人，技术工程师不少于</w:t>
      </w:r>
      <w:r>
        <w:rPr>
          <w:rFonts w:hint="eastAsia"/>
          <w:color w:val="auto"/>
        </w:rPr>
        <w:t>4</w:t>
      </w:r>
      <w:r>
        <w:rPr>
          <w:color w:val="auto"/>
        </w:rPr>
        <w:t>人）；投标人的相关服务人员需具备相应的服务能力，需提供相关证明（最近一个季度依法缴纳社保费的证明）。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3118"/>
        <w:gridCol w:w="1180"/>
        <w:gridCol w:w="1634"/>
        <w:gridCol w:w="1180"/>
      </w:tblGrid>
      <w:tr w14:paraId="72B2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64D85D29">
            <w:pPr>
              <w:widowControl/>
              <w:spacing w:line="240" w:lineRule="auto"/>
              <w:ind w:firstLine="0" w:firstLineChars="0"/>
              <w:jc w:val="center"/>
              <w:rPr>
                <w:rFonts w:hint="eastAsia"/>
                <w:b/>
                <w:color w:val="auto"/>
              </w:rPr>
            </w:pPr>
            <w:r>
              <w:rPr>
                <w:rFonts w:hint="eastAsia"/>
                <w:b/>
                <w:color w:val="auto"/>
              </w:rPr>
              <w:t>角色</w:t>
            </w:r>
          </w:p>
        </w:tc>
        <w:tc>
          <w:tcPr>
            <w:tcW w:w="0" w:type="auto"/>
            <w:noWrap/>
            <w:vAlign w:val="center"/>
          </w:tcPr>
          <w:p w14:paraId="45C6FB12">
            <w:pPr>
              <w:widowControl/>
              <w:spacing w:line="240" w:lineRule="auto"/>
              <w:ind w:firstLine="0" w:firstLineChars="0"/>
              <w:jc w:val="center"/>
              <w:rPr>
                <w:rFonts w:hint="eastAsia"/>
                <w:b/>
                <w:color w:val="auto"/>
              </w:rPr>
            </w:pPr>
            <w:r>
              <w:rPr>
                <w:rFonts w:hint="eastAsia"/>
                <w:b/>
                <w:color w:val="auto"/>
              </w:rPr>
              <w:t>主要职责</w:t>
            </w:r>
          </w:p>
        </w:tc>
        <w:tc>
          <w:tcPr>
            <w:tcW w:w="0" w:type="auto"/>
            <w:noWrap/>
            <w:vAlign w:val="center"/>
          </w:tcPr>
          <w:p w14:paraId="0F935B2C">
            <w:pPr>
              <w:widowControl/>
              <w:spacing w:line="240" w:lineRule="auto"/>
              <w:ind w:firstLine="0" w:firstLineChars="0"/>
              <w:jc w:val="center"/>
              <w:rPr>
                <w:rFonts w:hint="eastAsia"/>
                <w:b/>
                <w:color w:val="auto"/>
              </w:rPr>
            </w:pPr>
            <w:r>
              <w:rPr>
                <w:rFonts w:hint="eastAsia"/>
                <w:b/>
                <w:color w:val="auto"/>
              </w:rPr>
              <w:t>人员数量</w:t>
            </w:r>
          </w:p>
        </w:tc>
        <w:tc>
          <w:tcPr>
            <w:tcW w:w="0" w:type="auto"/>
            <w:vAlign w:val="center"/>
          </w:tcPr>
          <w:p w14:paraId="0252F29A">
            <w:pPr>
              <w:widowControl/>
              <w:spacing w:line="240" w:lineRule="auto"/>
              <w:ind w:firstLine="0" w:firstLineChars="0"/>
              <w:jc w:val="center"/>
              <w:rPr>
                <w:rFonts w:hint="eastAsia"/>
                <w:b/>
                <w:color w:val="auto"/>
              </w:rPr>
            </w:pPr>
            <w:r>
              <w:rPr>
                <w:rFonts w:hint="eastAsia"/>
                <w:b/>
                <w:color w:val="auto"/>
              </w:rPr>
              <w:t>人员要求</w:t>
            </w:r>
          </w:p>
        </w:tc>
        <w:tc>
          <w:tcPr>
            <w:tcW w:w="0" w:type="auto"/>
            <w:noWrap/>
            <w:vAlign w:val="center"/>
          </w:tcPr>
          <w:p w14:paraId="1364200F">
            <w:pPr>
              <w:widowControl/>
              <w:spacing w:line="240" w:lineRule="auto"/>
              <w:ind w:firstLine="0" w:firstLineChars="0"/>
              <w:jc w:val="center"/>
              <w:rPr>
                <w:rFonts w:hint="eastAsia"/>
                <w:b/>
                <w:color w:val="auto"/>
              </w:rPr>
            </w:pPr>
            <w:r>
              <w:rPr>
                <w:rFonts w:hint="eastAsia"/>
                <w:b/>
                <w:color w:val="auto"/>
              </w:rPr>
              <w:t>驻场要求</w:t>
            </w:r>
          </w:p>
        </w:tc>
      </w:tr>
      <w:tr w14:paraId="549C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E9A9406">
            <w:pPr>
              <w:widowControl/>
              <w:spacing w:line="240" w:lineRule="auto"/>
              <w:ind w:firstLine="0" w:firstLineChars="0"/>
              <w:jc w:val="center"/>
              <w:rPr>
                <w:rFonts w:hint="eastAsia"/>
                <w:color w:val="auto"/>
              </w:rPr>
            </w:pPr>
            <w:r>
              <w:rPr>
                <w:rFonts w:hint="eastAsia"/>
                <w:color w:val="auto"/>
              </w:rPr>
              <w:t>项目经理</w:t>
            </w:r>
          </w:p>
        </w:tc>
        <w:tc>
          <w:tcPr>
            <w:tcW w:w="0" w:type="auto"/>
            <w:vAlign w:val="center"/>
          </w:tcPr>
          <w:p w14:paraId="441588B4">
            <w:pPr>
              <w:widowControl/>
              <w:spacing w:line="240" w:lineRule="auto"/>
              <w:ind w:firstLine="0" w:firstLineChars="0"/>
              <w:jc w:val="center"/>
              <w:rPr>
                <w:rFonts w:hint="eastAsia"/>
                <w:color w:val="auto"/>
              </w:rPr>
            </w:pPr>
            <w:r>
              <w:rPr>
                <w:rFonts w:hint="eastAsia"/>
                <w:color w:val="auto"/>
              </w:rPr>
              <w:t>负责项目质量和进度控制</w:t>
            </w:r>
          </w:p>
        </w:tc>
        <w:tc>
          <w:tcPr>
            <w:tcW w:w="0" w:type="auto"/>
            <w:noWrap/>
            <w:vAlign w:val="center"/>
          </w:tcPr>
          <w:p w14:paraId="59CA5B76">
            <w:pPr>
              <w:widowControl/>
              <w:spacing w:line="240" w:lineRule="auto"/>
              <w:ind w:firstLine="0" w:firstLineChars="0"/>
              <w:jc w:val="center"/>
              <w:rPr>
                <w:rFonts w:hint="eastAsia"/>
                <w:color w:val="auto"/>
              </w:rPr>
            </w:pPr>
            <w:r>
              <w:rPr>
                <w:rFonts w:hint="eastAsia"/>
                <w:color w:val="auto"/>
              </w:rPr>
              <w:t>1人</w:t>
            </w:r>
          </w:p>
        </w:tc>
        <w:tc>
          <w:tcPr>
            <w:tcW w:w="0" w:type="auto"/>
          </w:tcPr>
          <w:p w14:paraId="04B730FC">
            <w:pPr>
              <w:widowControl/>
              <w:spacing w:line="240" w:lineRule="auto"/>
              <w:ind w:firstLine="0" w:firstLineChars="0"/>
              <w:jc w:val="center"/>
              <w:rPr>
                <w:rFonts w:hint="eastAsia"/>
                <w:color w:val="auto"/>
              </w:rPr>
            </w:pPr>
            <w:r>
              <w:rPr>
                <w:rFonts w:hint="eastAsia"/>
                <w:color w:val="auto"/>
              </w:rPr>
              <w:t>本科及以上学历</w:t>
            </w:r>
          </w:p>
        </w:tc>
        <w:tc>
          <w:tcPr>
            <w:tcW w:w="0" w:type="auto"/>
            <w:noWrap/>
            <w:vAlign w:val="center"/>
          </w:tcPr>
          <w:p w14:paraId="401250B8">
            <w:pPr>
              <w:widowControl/>
              <w:spacing w:line="240" w:lineRule="auto"/>
              <w:ind w:firstLine="0" w:firstLineChars="0"/>
              <w:jc w:val="center"/>
              <w:rPr>
                <w:rFonts w:hint="eastAsia"/>
                <w:color w:val="auto"/>
              </w:rPr>
            </w:pPr>
            <w:r>
              <w:rPr>
                <w:rFonts w:hint="eastAsia"/>
                <w:color w:val="auto"/>
              </w:rPr>
              <w:t>不驻场</w:t>
            </w:r>
          </w:p>
        </w:tc>
      </w:tr>
      <w:tr w14:paraId="53B0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650D8EA6">
            <w:pPr>
              <w:widowControl/>
              <w:spacing w:line="240" w:lineRule="auto"/>
              <w:ind w:firstLine="0" w:firstLineChars="0"/>
              <w:jc w:val="center"/>
              <w:rPr>
                <w:rFonts w:hint="eastAsia"/>
                <w:color w:val="auto"/>
              </w:rPr>
            </w:pPr>
            <w:r>
              <w:rPr>
                <w:rFonts w:hint="eastAsia"/>
                <w:color w:val="auto"/>
              </w:rPr>
              <w:t>产品经理</w:t>
            </w:r>
          </w:p>
        </w:tc>
        <w:tc>
          <w:tcPr>
            <w:tcW w:w="0" w:type="auto"/>
            <w:vAlign w:val="center"/>
          </w:tcPr>
          <w:p w14:paraId="3C9AD770">
            <w:pPr>
              <w:widowControl/>
              <w:spacing w:line="240" w:lineRule="auto"/>
              <w:ind w:firstLine="0" w:firstLineChars="0"/>
              <w:jc w:val="center"/>
              <w:rPr>
                <w:rFonts w:hint="eastAsia"/>
                <w:color w:val="auto"/>
              </w:rPr>
            </w:pPr>
            <w:r>
              <w:rPr>
                <w:rFonts w:hint="eastAsia"/>
                <w:color w:val="auto"/>
              </w:rPr>
              <w:t>负责项目需求评估与产品设计</w:t>
            </w:r>
          </w:p>
        </w:tc>
        <w:tc>
          <w:tcPr>
            <w:tcW w:w="0" w:type="auto"/>
            <w:noWrap/>
            <w:vAlign w:val="center"/>
          </w:tcPr>
          <w:p w14:paraId="045CEF6E">
            <w:pPr>
              <w:widowControl/>
              <w:spacing w:line="240" w:lineRule="auto"/>
              <w:ind w:firstLine="0" w:firstLineChars="0"/>
              <w:jc w:val="center"/>
              <w:rPr>
                <w:rFonts w:hint="eastAsia"/>
                <w:color w:val="auto"/>
              </w:rPr>
            </w:pPr>
            <w:r>
              <w:rPr>
                <w:rFonts w:hint="eastAsia"/>
                <w:color w:val="auto"/>
              </w:rPr>
              <w:t>1人</w:t>
            </w:r>
          </w:p>
        </w:tc>
        <w:tc>
          <w:tcPr>
            <w:tcW w:w="0" w:type="auto"/>
          </w:tcPr>
          <w:p w14:paraId="618C8910">
            <w:pPr>
              <w:widowControl/>
              <w:spacing w:line="240" w:lineRule="auto"/>
              <w:ind w:firstLine="0" w:firstLineChars="0"/>
              <w:jc w:val="center"/>
              <w:rPr>
                <w:rFonts w:hint="eastAsia"/>
                <w:color w:val="auto"/>
              </w:rPr>
            </w:pPr>
            <w:r>
              <w:rPr>
                <w:rFonts w:hint="eastAsia"/>
                <w:color w:val="auto"/>
              </w:rPr>
              <w:t>本科及以上学历</w:t>
            </w:r>
          </w:p>
        </w:tc>
        <w:tc>
          <w:tcPr>
            <w:tcW w:w="0" w:type="auto"/>
            <w:noWrap/>
            <w:vAlign w:val="center"/>
          </w:tcPr>
          <w:p w14:paraId="5F7CD607">
            <w:pPr>
              <w:widowControl/>
              <w:spacing w:line="240" w:lineRule="auto"/>
              <w:ind w:firstLine="0" w:firstLineChars="0"/>
              <w:jc w:val="center"/>
              <w:rPr>
                <w:rFonts w:hint="eastAsia"/>
                <w:color w:val="auto"/>
              </w:rPr>
            </w:pPr>
            <w:r>
              <w:rPr>
                <w:rFonts w:hint="eastAsia"/>
                <w:color w:val="auto"/>
              </w:rPr>
              <w:t>不驻场</w:t>
            </w:r>
          </w:p>
        </w:tc>
      </w:tr>
      <w:tr w14:paraId="0994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3BA53861">
            <w:pPr>
              <w:widowControl/>
              <w:spacing w:line="240" w:lineRule="auto"/>
              <w:ind w:firstLine="0" w:firstLineChars="0"/>
              <w:jc w:val="center"/>
              <w:rPr>
                <w:rFonts w:hint="eastAsia"/>
                <w:color w:val="auto"/>
              </w:rPr>
            </w:pPr>
            <w:r>
              <w:rPr>
                <w:rFonts w:hint="eastAsia"/>
                <w:color w:val="auto"/>
              </w:rPr>
              <w:t>技术工程师</w:t>
            </w:r>
          </w:p>
        </w:tc>
        <w:tc>
          <w:tcPr>
            <w:tcW w:w="0" w:type="auto"/>
            <w:noWrap/>
            <w:vAlign w:val="center"/>
          </w:tcPr>
          <w:p w14:paraId="59D16DDA">
            <w:pPr>
              <w:widowControl/>
              <w:spacing w:line="240" w:lineRule="auto"/>
              <w:ind w:firstLine="0" w:firstLineChars="0"/>
              <w:jc w:val="center"/>
              <w:rPr>
                <w:rFonts w:hint="eastAsia"/>
                <w:color w:val="auto"/>
              </w:rPr>
            </w:pPr>
            <w:r>
              <w:rPr>
                <w:rFonts w:hint="eastAsia"/>
                <w:color w:val="auto"/>
              </w:rPr>
              <w:t>负责项目运行维护</w:t>
            </w:r>
          </w:p>
        </w:tc>
        <w:tc>
          <w:tcPr>
            <w:tcW w:w="0" w:type="auto"/>
            <w:noWrap/>
            <w:vAlign w:val="center"/>
          </w:tcPr>
          <w:p w14:paraId="32C524AB">
            <w:pPr>
              <w:widowControl/>
              <w:spacing w:line="240" w:lineRule="auto"/>
              <w:ind w:firstLine="0" w:firstLineChars="0"/>
              <w:jc w:val="center"/>
              <w:rPr>
                <w:rFonts w:hint="eastAsia"/>
                <w:color w:val="auto"/>
              </w:rPr>
            </w:pPr>
            <w:r>
              <w:rPr>
                <w:rFonts w:hint="eastAsia"/>
                <w:color w:val="auto"/>
              </w:rPr>
              <w:t>4人</w:t>
            </w:r>
          </w:p>
        </w:tc>
        <w:tc>
          <w:tcPr>
            <w:tcW w:w="0" w:type="auto"/>
          </w:tcPr>
          <w:p w14:paraId="14748884">
            <w:pPr>
              <w:widowControl/>
              <w:spacing w:line="240" w:lineRule="auto"/>
              <w:ind w:firstLine="0" w:firstLineChars="0"/>
              <w:jc w:val="center"/>
              <w:rPr>
                <w:rFonts w:hint="eastAsia"/>
                <w:color w:val="auto"/>
              </w:rPr>
            </w:pPr>
            <w:r>
              <w:rPr>
                <w:rFonts w:hint="eastAsia"/>
                <w:color w:val="auto"/>
              </w:rPr>
              <w:t>本科及以上学历</w:t>
            </w:r>
          </w:p>
        </w:tc>
        <w:tc>
          <w:tcPr>
            <w:tcW w:w="0" w:type="auto"/>
            <w:noWrap/>
            <w:vAlign w:val="center"/>
          </w:tcPr>
          <w:p w14:paraId="46D56031">
            <w:pPr>
              <w:widowControl/>
              <w:spacing w:line="240" w:lineRule="auto"/>
              <w:ind w:firstLine="0" w:firstLineChars="0"/>
              <w:jc w:val="center"/>
              <w:rPr>
                <w:rFonts w:hint="eastAsia"/>
                <w:color w:val="auto"/>
              </w:rPr>
            </w:pPr>
            <w:r>
              <w:rPr>
                <w:rFonts w:hint="eastAsia"/>
                <w:color w:val="auto"/>
              </w:rPr>
              <w:t>驻场</w:t>
            </w:r>
          </w:p>
        </w:tc>
      </w:tr>
    </w:tbl>
    <w:p w14:paraId="78B6AFF1">
      <w:pPr>
        <w:pStyle w:val="3"/>
        <w:rPr>
          <w:rFonts w:hint="eastAsia"/>
          <w:color w:val="auto"/>
        </w:rPr>
      </w:pPr>
      <w:bookmarkStart w:id="40" w:name="_Toc63785511"/>
      <w:r>
        <w:rPr>
          <w:color w:val="auto"/>
        </w:rPr>
        <w:t>等级保护要求</w:t>
      </w:r>
      <w:bookmarkEnd w:id="40"/>
    </w:p>
    <w:p w14:paraId="7AA058E5">
      <w:pPr>
        <w:rPr>
          <w:rFonts w:hint="eastAsia"/>
          <w:color w:val="auto"/>
        </w:rPr>
      </w:pPr>
      <w:r>
        <w:rPr>
          <w:color w:val="auto"/>
        </w:rPr>
        <w:t>本项目等级保护要求：参照</w:t>
      </w:r>
      <w:r>
        <w:rPr>
          <w:rFonts w:hint="eastAsia"/>
          <w:color w:val="auto"/>
        </w:rPr>
        <w:t>等保三级</w:t>
      </w:r>
      <w:r>
        <w:rPr>
          <w:color w:val="auto"/>
        </w:rPr>
        <w:t>要求建设。</w:t>
      </w:r>
    </w:p>
    <w:p w14:paraId="7EFE8579">
      <w:pPr>
        <w:pStyle w:val="3"/>
        <w:rPr>
          <w:rFonts w:hint="eastAsia"/>
          <w:color w:val="auto"/>
        </w:rPr>
      </w:pPr>
      <w:r>
        <w:rPr>
          <w:rFonts w:hint="eastAsia"/>
          <w:color w:val="auto"/>
        </w:rPr>
        <w:t>商业密码应用需求</w:t>
      </w:r>
    </w:p>
    <w:p w14:paraId="3412625E">
      <w:pPr>
        <w:rPr>
          <w:rFonts w:hint="eastAsia"/>
          <w:color w:val="auto"/>
        </w:rPr>
      </w:pPr>
      <w:r>
        <w:rPr>
          <w:rFonts w:hint="eastAsia"/>
          <w:color w:val="auto"/>
        </w:rPr>
        <w:t>满足商业密码应用建设要求，并通过商业密码应用安全测评，综合评分需达到75分。</w:t>
      </w:r>
    </w:p>
    <w:p w14:paraId="14474B41">
      <w:pPr>
        <w:pStyle w:val="3"/>
        <w:rPr>
          <w:rFonts w:hint="eastAsia"/>
          <w:color w:val="auto"/>
        </w:rPr>
      </w:pPr>
      <w:bookmarkStart w:id="41" w:name="_Toc63785512"/>
      <w:r>
        <w:rPr>
          <w:rFonts w:hint="eastAsia"/>
          <w:color w:val="auto"/>
        </w:rPr>
        <w:t>技术文件要求</w:t>
      </w:r>
    </w:p>
    <w:p w14:paraId="61D3ED7E">
      <w:pPr>
        <w:rPr>
          <w:rFonts w:hint="eastAsia"/>
          <w:color w:val="auto"/>
        </w:rPr>
      </w:pPr>
      <w:r>
        <w:rPr>
          <w:rFonts w:hint="eastAsia"/>
          <w:color w:val="auto"/>
        </w:rPr>
        <w:t>投标人提供的书面技术资料应能确保系统正常运行所需的管理、运营及维护有关的全套文件。技术文件应该全面、完整、详细。投标人提供的技术文件至少应包括：</w:t>
      </w:r>
    </w:p>
    <w:p w14:paraId="07E1624A">
      <w:pPr>
        <w:rPr>
          <w:rFonts w:hint="eastAsia"/>
          <w:color w:val="auto"/>
        </w:rPr>
      </w:pPr>
      <w:r>
        <w:rPr>
          <w:rFonts w:hint="eastAsia"/>
          <w:color w:val="auto"/>
        </w:rPr>
        <w:t>－</w:t>
      </w:r>
      <w:r>
        <w:rPr>
          <w:color w:val="auto"/>
        </w:rPr>
        <w:t xml:space="preserve"> 系统说明文件； </w:t>
      </w:r>
    </w:p>
    <w:p w14:paraId="39CC59EE">
      <w:pPr>
        <w:rPr>
          <w:rFonts w:hint="eastAsia"/>
          <w:color w:val="auto"/>
        </w:rPr>
      </w:pPr>
      <w:r>
        <w:rPr>
          <w:rFonts w:hint="eastAsia"/>
          <w:color w:val="auto"/>
        </w:rPr>
        <w:t>－</w:t>
      </w:r>
      <w:r>
        <w:rPr>
          <w:color w:val="auto"/>
        </w:rPr>
        <w:t xml:space="preserve"> 技术手册(安装、测试、操作、维护、故障排除等)； </w:t>
      </w:r>
    </w:p>
    <w:p w14:paraId="59D9521C">
      <w:pPr>
        <w:rPr>
          <w:rFonts w:hint="eastAsia"/>
          <w:color w:val="auto"/>
        </w:rPr>
      </w:pPr>
      <w:r>
        <w:rPr>
          <w:rFonts w:hint="eastAsia"/>
          <w:color w:val="auto"/>
        </w:rPr>
        <w:t>－</w:t>
      </w:r>
      <w:r>
        <w:rPr>
          <w:color w:val="auto"/>
        </w:rPr>
        <w:t xml:space="preserve"> 项目文档，应该包括：</w:t>
      </w:r>
    </w:p>
    <w:p w14:paraId="7D2A4382">
      <w:pPr>
        <w:ind w:left="360"/>
        <w:rPr>
          <w:rFonts w:hint="eastAsia"/>
          <w:color w:val="auto"/>
        </w:rPr>
      </w:pPr>
      <w:r>
        <w:rPr>
          <w:color w:val="auto"/>
        </w:rPr>
        <w:t>(1)软件需求说明书</w:t>
      </w:r>
    </w:p>
    <w:p w14:paraId="4DABA4CD">
      <w:pPr>
        <w:ind w:left="360"/>
        <w:rPr>
          <w:rFonts w:hint="eastAsia"/>
          <w:color w:val="auto"/>
        </w:rPr>
      </w:pPr>
      <w:r>
        <w:rPr>
          <w:color w:val="auto"/>
        </w:rPr>
        <w:t>(2)</w:t>
      </w:r>
      <w:r>
        <w:rPr>
          <w:color w:val="auto"/>
        </w:rPr>
        <w:tab/>
      </w:r>
      <w:r>
        <w:rPr>
          <w:color w:val="auto"/>
        </w:rPr>
        <w:t>系统总体设计说明书</w:t>
      </w:r>
    </w:p>
    <w:p w14:paraId="391356A9">
      <w:pPr>
        <w:ind w:left="360"/>
        <w:rPr>
          <w:rFonts w:hint="eastAsia"/>
          <w:color w:val="auto"/>
        </w:rPr>
      </w:pPr>
      <w:r>
        <w:rPr>
          <w:color w:val="auto"/>
        </w:rPr>
        <w:t>(3)</w:t>
      </w:r>
      <w:r>
        <w:rPr>
          <w:color w:val="auto"/>
        </w:rPr>
        <w:tab/>
      </w:r>
      <w:r>
        <w:rPr>
          <w:color w:val="auto"/>
        </w:rPr>
        <w:t>应用软件功能清单</w:t>
      </w:r>
    </w:p>
    <w:p w14:paraId="46E06BDF">
      <w:pPr>
        <w:rPr>
          <w:rFonts w:hint="eastAsia"/>
          <w:color w:val="auto"/>
        </w:rPr>
      </w:pPr>
      <w:r>
        <w:rPr>
          <w:rFonts w:hint="eastAsia"/>
          <w:color w:val="auto"/>
        </w:rPr>
        <w:t>提供全套技术文件纸介质</w:t>
      </w:r>
      <w:r>
        <w:rPr>
          <w:color w:val="auto"/>
        </w:rPr>
        <w:t>3套以及电子文件1套。</w:t>
      </w:r>
    </w:p>
    <w:p w14:paraId="550FAB96">
      <w:pPr>
        <w:pStyle w:val="2"/>
        <w:rPr>
          <w:rFonts w:hint="eastAsia"/>
          <w:color w:val="auto"/>
        </w:rPr>
      </w:pPr>
      <w:r>
        <w:rPr>
          <w:rFonts w:hint="eastAsia"/>
          <w:color w:val="auto"/>
        </w:rPr>
        <w:t>供应商管理要求</w:t>
      </w:r>
      <w:bookmarkEnd w:id="41"/>
    </w:p>
    <w:p w14:paraId="283D2AB8">
      <w:pPr>
        <w:pStyle w:val="80"/>
        <w:ind w:firstLine="480"/>
        <w:rPr>
          <w:rFonts w:hint="eastAsia"/>
          <w:color w:val="auto"/>
          <w:sz w:val="24"/>
          <w:szCs w:val="24"/>
        </w:rPr>
      </w:pPr>
      <w:r>
        <w:rPr>
          <w:rFonts w:hint="eastAsia"/>
          <w:color w:val="auto"/>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0C8C4D61">
      <w:pPr>
        <w:pStyle w:val="80"/>
        <w:ind w:firstLine="480"/>
        <w:rPr>
          <w:rFonts w:hint="eastAsia"/>
          <w:color w:val="auto"/>
          <w:sz w:val="24"/>
          <w:szCs w:val="24"/>
        </w:rPr>
      </w:pPr>
      <w:r>
        <w:rPr>
          <w:rFonts w:hint="eastAsia"/>
          <w:color w:val="auto"/>
          <w:sz w:val="24"/>
          <w:szCs w:val="24"/>
        </w:rPr>
        <w:t>2、中标人在投标书中承诺并经招标人认定的项目负责人及专业技术人员需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6E4D9957">
      <w:pPr>
        <w:pStyle w:val="80"/>
        <w:ind w:firstLine="480"/>
        <w:rPr>
          <w:rFonts w:hint="eastAsia"/>
          <w:color w:val="auto"/>
          <w:sz w:val="24"/>
          <w:szCs w:val="24"/>
        </w:rPr>
      </w:pPr>
      <w:r>
        <w:rPr>
          <w:rFonts w:hint="eastAsia"/>
          <w:color w:val="auto"/>
          <w:sz w:val="24"/>
          <w:szCs w:val="24"/>
        </w:rPr>
        <w:t>3、中标人在项目实施期间，应按项目实际进度与环节落实所对应项目整体及各环节管理工作，按照规范做好项目实施期间相关管理与实施记录。</w:t>
      </w:r>
    </w:p>
    <w:p w14:paraId="369D19CF">
      <w:pPr>
        <w:pStyle w:val="80"/>
        <w:ind w:firstLine="480"/>
        <w:rPr>
          <w:rFonts w:hint="eastAsia"/>
          <w:color w:val="auto"/>
          <w:sz w:val="24"/>
          <w:szCs w:val="24"/>
        </w:rPr>
      </w:pPr>
      <w:r>
        <w:rPr>
          <w:rFonts w:hint="eastAsia"/>
          <w:color w:val="auto"/>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需得到采购人项目联系人确认。</w:t>
      </w:r>
    </w:p>
    <w:p w14:paraId="146BA163">
      <w:pPr>
        <w:pStyle w:val="80"/>
        <w:ind w:firstLine="480"/>
        <w:rPr>
          <w:rFonts w:hint="eastAsia"/>
          <w:color w:val="auto"/>
          <w:sz w:val="24"/>
          <w:szCs w:val="24"/>
        </w:rPr>
      </w:pPr>
      <w:r>
        <w:rPr>
          <w:rFonts w:hint="eastAsia"/>
          <w:color w:val="auto"/>
          <w:sz w:val="24"/>
          <w:szCs w:val="24"/>
        </w:rPr>
        <w:t>5、中标人在项目实施期间需遵守采购人的规章制度并提供实施人员名单。</w:t>
      </w:r>
    </w:p>
    <w:p w14:paraId="1A07DD0A">
      <w:pPr>
        <w:pStyle w:val="80"/>
        <w:ind w:firstLine="480"/>
        <w:rPr>
          <w:rFonts w:hint="eastAsia"/>
          <w:color w:val="auto"/>
          <w:sz w:val="24"/>
          <w:szCs w:val="24"/>
        </w:rPr>
      </w:pPr>
      <w:r>
        <w:rPr>
          <w:rFonts w:hint="eastAsia"/>
          <w:color w:val="auto"/>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00BB7E81">
      <w:pPr>
        <w:pStyle w:val="80"/>
        <w:ind w:firstLine="480"/>
        <w:rPr>
          <w:rFonts w:hint="eastAsia"/>
          <w:color w:val="auto"/>
        </w:rPr>
      </w:pPr>
      <w:r>
        <w:rPr>
          <w:rFonts w:hint="eastAsia"/>
          <w:color w:val="auto"/>
          <w:sz w:val="24"/>
          <w:szCs w:val="24"/>
        </w:rPr>
        <w:t>7、本项目软件开发及调试将纳入采购人的管理范围，中标人在此过程中需服从上述单位的管理协调。</w:t>
      </w:r>
    </w:p>
    <w:p w14:paraId="715AC1FE">
      <w:pPr>
        <w:pStyle w:val="2"/>
        <w:rPr>
          <w:rFonts w:hint="eastAsia"/>
          <w:color w:val="auto"/>
        </w:rPr>
      </w:pPr>
      <w:bookmarkStart w:id="42" w:name="_Toc63785513"/>
      <w:r>
        <w:rPr>
          <w:rFonts w:hint="eastAsia"/>
          <w:color w:val="auto"/>
        </w:rPr>
        <w:t>关于转让和分包的规定</w:t>
      </w:r>
    </w:p>
    <w:p w14:paraId="7C4B37C9">
      <w:pPr>
        <w:rPr>
          <w:rFonts w:hint="eastAsia"/>
          <w:color w:val="auto"/>
        </w:rPr>
      </w:pPr>
      <w:r>
        <w:rPr>
          <w:rFonts w:hint="eastAsia"/>
          <w:color w:val="auto"/>
        </w:rPr>
        <w:t>本项目不得转让、不得分包。</w:t>
      </w:r>
    </w:p>
    <w:p w14:paraId="2096E2CD">
      <w:pPr>
        <w:pStyle w:val="2"/>
        <w:rPr>
          <w:rFonts w:hint="eastAsia"/>
          <w:color w:val="auto"/>
        </w:rPr>
      </w:pPr>
      <w:r>
        <w:rPr>
          <w:rFonts w:hint="eastAsia"/>
          <w:color w:val="auto"/>
        </w:rPr>
        <w:t>知识产权及保密要求</w:t>
      </w:r>
      <w:bookmarkEnd w:id="42"/>
    </w:p>
    <w:p w14:paraId="681E378F">
      <w:pPr>
        <w:ind w:firstLine="482"/>
        <w:rPr>
          <w:rFonts w:hint="eastAsia"/>
          <w:b/>
          <w:color w:val="auto"/>
        </w:rPr>
      </w:pPr>
      <w:r>
        <w:rPr>
          <w:b/>
          <w:color w:val="auto"/>
        </w:rPr>
        <w:t>1、中标人数据、文件、资料知识产权</w:t>
      </w:r>
    </w:p>
    <w:p w14:paraId="6BA6FAD0">
      <w:pPr>
        <w:rPr>
          <w:rFonts w:hint="eastAsia"/>
          <w:color w:val="auto"/>
        </w:rPr>
      </w:pPr>
      <w:r>
        <w:rPr>
          <w:rFonts w:hint="eastAsia"/>
          <w:color w:val="auto"/>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60D8E6D1">
      <w:pPr>
        <w:rPr>
          <w:rFonts w:hint="eastAsia"/>
          <w:color w:val="auto"/>
        </w:rPr>
      </w:pPr>
      <w:r>
        <w:rPr>
          <w:rFonts w:hint="eastAsia"/>
          <w:color w:val="auto"/>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7201154B">
      <w:pPr>
        <w:rPr>
          <w:rFonts w:hint="eastAsia"/>
          <w:color w:val="auto"/>
        </w:rPr>
      </w:pPr>
      <w:r>
        <w:rPr>
          <w:rFonts w:hint="eastAsia"/>
          <w:color w:val="auto"/>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05519F80">
      <w:pPr>
        <w:ind w:firstLine="482"/>
        <w:rPr>
          <w:rFonts w:hint="eastAsia"/>
          <w:b/>
          <w:color w:val="auto"/>
        </w:rPr>
      </w:pPr>
      <w:r>
        <w:rPr>
          <w:b/>
          <w:color w:val="auto"/>
        </w:rPr>
        <w:t>2、项目保密要求</w:t>
      </w:r>
    </w:p>
    <w:p w14:paraId="030EA18A">
      <w:pPr>
        <w:rPr>
          <w:rFonts w:hint="eastAsia"/>
          <w:color w:val="auto"/>
        </w:rPr>
      </w:pPr>
      <w:r>
        <w:rPr>
          <w:rFonts w:hint="eastAsia"/>
          <w:color w:val="auto"/>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6D992CCF">
      <w:pPr>
        <w:rPr>
          <w:rFonts w:hint="eastAsia"/>
          <w:color w:val="auto"/>
        </w:rPr>
      </w:pPr>
      <w:r>
        <w:rPr>
          <w:rFonts w:hint="eastAsia"/>
          <w:color w:val="auto"/>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60EC5809">
      <w:pPr>
        <w:rPr>
          <w:rFonts w:hint="eastAsia"/>
          <w:color w:val="auto"/>
        </w:rPr>
      </w:pPr>
      <w:r>
        <w:rPr>
          <w:rFonts w:hint="eastAsia"/>
          <w:color w:val="auto"/>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74CCCC97">
      <w:pPr>
        <w:rPr>
          <w:rFonts w:hint="eastAsia"/>
          <w:color w:val="auto"/>
        </w:rPr>
      </w:pPr>
      <w:r>
        <w:rPr>
          <w:rFonts w:hint="eastAsia"/>
          <w:color w:val="auto"/>
        </w:rPr>
        <w:t>以上内容的保密期限自中标人知悉保密信息起始至保密信息被合法公开之日止。</w:t>
      </w:r>
    </w:p>
    <w:p w14:paraId="231C5706">
      <w:pPr>
        <w:ind w:firstLine="482"/>
        <w:rPr>
          <w:rFonts w:hint="eastAsia"/>
          <w:b/>
          <w:color w:val="auto"/>
        </w:rPr>
      </w:pPr>
      <w:r>
        <w:rPr>
          <w:b/>
          <w:color w:val="auto"/>
        </w:rPr>
        <w:t>3、临时账号等使用要求</w:t>
      </w:r>
    </w:p>
    <w:p w14:paraId="1934994C">
      <w:pPr>
        <w:rPr>
          <w:rFonts w:hint="eastAsia"/>
          <w:color w:val="auto"/>
        </w:rPr>
      </w:pPr>
      <w:r>
        <w:rPr>
          <w:rFonts w:hint="eastAsia"/>
          <w:color w:val="auto"/>
        </w:rPr>
        <w:t>中标人对采购人提拱的临时使用账号要保密，不得公开，对组件开发的账号密码需进行加密，避免信息安全的泄露。未经采购人的同意不得利用采购人的网络及平台进行短信、彩信、微信发送</w:t>
      </w:r>
      <w:r>
        <w:rPr>
          <w:color w:val="auto"/>
        </w:rPr>
        <w:t>,造成的一切后果由中标人负责。</w:t>
      </w:r>
    </w:p>
    <w:p w14:paraId="4594BBAA">
      <w:pPr>
        <w:pStyle w:val="2"/>
        <w:rPr>
          <w:rFonts w:hint="eastAsia"/>
          <w:color w:val="auto"/>
        </w:rPr>
      </w:pPr>
      <w:bookmarkStart w:id="43" w:name="_Toc65170093"/>
      <w:r>
        <w:rPr>
          <w:color w:val="auto"/>
        </w:rPr>
        <w:t>项目的变更、解除和终止</w:t>
      </w:r>
    </w:p>
    <w:p w14:paraId="704A74A0">
      <w:pPr>
        <w:rPr>
          <w:rFonts w:hint="eastAsia"/>
          <w:color w:val="auto"/>
        </w:rPr>
      </w:pPr>
      <w:r>
        <w:rPr>
          <w:rFonts w:hint="eastAsia"/>
          <w:color w:val="auto"/>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4974AE9B">
      <w:pPr>
        <w:rPr>
          <w:rFonts w:hint="eastAsia"/>
          <w:color w:val="auto"/>
        </w:rPr>
      </w:pPr>
      <w:r>
        <w:rPr>
          <w:rFonts w:hint="eastAsia"/>
          <w:color w:val="auto"/>
        </w:rPr>
        <w:t>如遇国家、行业管理部门等机构的有关标准和规定调整的，导致本项目内容需做相应调整时，双方应按照公平、合理的原则共同协商修改本项目对应的合同的相关条款。</w:t>
      </w:r>
    </w:p>
    <w:p w14:paraId="6416C420">
      <w:pPr>
        <w:pStyle w:val="2"/>
        <w:rPr>
          <w:rFonts w:hint="eastAsia"/>
          <w:color w:val="auto"/>
        </w:rPr>
      </w:pPr>
      <w:r>
        <w:rPr>
          <w:rFonts w:hint="eastAsia"/>
          <w:color w:val="auto"/>
        </w:rPr>
        <w:t>违约责任</w:t>
      </w:r>
      <w:bookmarkEnd w:id="43"/>
    </w:p>
    <w:p w14:paraId="30696FB6">
      <w:pPr>
        <w:rPr>
          <w:rFonts w:hint="eastAsia"/>
          <w:color w:val="auto"/>
        </w:rPr>
      </w:pPr>
      <w:r>
        <w:rPr>
          <w:color w:val="auto"/>
        </w:rP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7E20DFD1">
      <w:pPr>
        <w:rPr>
          <w:rFonts w:hint="eastAsia"/>
          <w:color w:val="auto"/>
        </w:rPr>
      </w:pPr>
      <w:r>
        <w:rPr>
          <w:color w:val="auto"/>
        </w:rP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797389E7">
      <w:pPr>
        <w:rPr>
          <w:rFonts w:hint="eastAsia"/>
          <w:color w:val="auto"/>
        </w:rPr>
      </w:pPr>
      <w:r>
        <w:rPr>
          <w:color w:val="auto"/>
        </w:rPr>
        <w:t>3、中标人有其他违反本项目合同约定的行为，中标人应当支付本项目总价款金额的20%作为违约金，违约金不足以弥补采购人损失的，采购人有权要求中标人赔偿超过部分。</w:t>
      </w:r>
    </w:p>
    <w:p w14:paraId="6335FDD1">
      <w:pPr>
        <w:rPr>
          <w:rFonts w:hint="eastAsia"/>
          <w:color w:val="auto"/>
        </w:rPr>
      </w:pPr>
      <w:r>
        <w:rPr>
          <w:color w:val="auto"/>
        </w:rPr>
        <w:t>4、中标人有下列情形之一，采购人有权解除合同：</w:t>
      </w:r>
    </w:p>
    <w:p w14:paraId="548501CF">
      <w:pPr>
        <w:rPr>
          <w:rFonts w:hint="eastAsia"/>
          <w:color w:val="auto"/>
        </w:rPr>
      </w:pPr>
      <w:r>
        <w:rPr>
          <w:rFonts w:hint="eastAsia"/>
          <w:color w:val="auto"/>
        </w:rPr>
        <w:t>（1</w:t>
      </w:r>
      <w:r>
        <w:rPr>
          <w:color w:val="auto"/>
        </w:rPr>
        <w:t>）因中标人服务质量问题导致采购人无法实现目的；</w:t>
      </w:r>
    </w:p>
    <w:p w14:paraId="057F0F10">
      <w:pPr>
        <w:rPr>
          <w:rFonts w:hint="eastAsia"/>
          <w:color w:val="auto"/>
        </w:rPr>
      </w:pPr>
      <w:r>
        <w:rPr>
          <w:rFonts w:hint="eastAsia"/>
          <w:color w:val="auto"/>
        </w:rPr>
        <w:t>（2</w:t>
      </w:r>
      <w:r>
        <w:rPr>
          <w:color w:val="auto"/>
        </w:rPr>
        <w:t>）擅自转让或者分包其应履行的义务的；</w:t>
      </w:r>
    </w:p>
    <w:p w14:paraId="78AEB858">
      <w:pPr>
        <w:rPr>
          <w:rFonts w:hint="eastAsia"/>
          <w:color w:val="auto"/>
        </w:rPr>
      </w:pPr>
      <w:r>
        <w:rPr>
          <w:rFonts w:hint="eastAsia"/>
          <w:color w:val="auto"/>
        </w:rPr>
        <w:t>（3</w:t>
      </w:r>
      <w:r>
        <w:rPr>
          <w:color w:val="auto"/>
        </w:rPr>
        <w:t>）违反或者未履行本项目合同约定的其他相关义务，且在采购人要求的合理时间内未能纠正的。</w:t>
      </w:r>
    </w:p>
    <w:p w14:paraId="3029F59B">
      <w:pPr>
        <w:pStyle w:val="2"/>
        <w:rPr>
          <w:rFonts w:hint="eastAsia"/>
          <w:color w:val="auto"/>
        </w:rPr>
      </w:pPr>
      <w:bookmarkStart w:id="44" w:name="_Toc63785514"/>
      <w:r>
        <w:rPr>
          <w:rFonts w:hint="eastAsia"/>
          <w:color w:val="auto"/>
        </w:rPr>
        <w:t>付款</w:t>
      </w:r>
      <w:bookmarkEnd w:id="44"/>
      <w:r>
        <w:rPr>
          <w:rFonts w:hint="eastAsia"/>
          <w:color w:val="auto"/>
        </w:rPr>
        <w:t>方式</w:t>
      </w:r>
    </w:p>
    <w:p w14:paraId="24EE2044">
      <w:pPr>
        <w:ind w:firstLine="240" w:firstLineChars="100"/>
        <w:rPr>
          <w:rFonts w:hint="eastAsia"/>
          <w:color w:val="auto"/>
        </w:rPr>
      </w:pPr>
      <w:r>
        <w:rPr>
          <w:rFonts w:hint="eastAsia"/>
          <w:color w:val="auto"/>
        </w:rPr>
        <w:t>如果中标金额大于2,600,000元（注：2025年预算金额），</w:t>
      </w:r>
      <w:r>
        <w:rPr>
          <w:color w:val="auto"/>
        </w:rPr>
        <w:t>本合同</w:t>
      </w:r>
      <w:r>
        <w:rPr>
          <w:rFonts w:hint="eastAsia"/>
          <w:color w:val="auto"/>
        </w:rPr>
        <w:t>采用</w:t>
      </w:r>
      <w:r>
        <w:rPr>
          <w:color w:val="auto"/>
        </w:rPr>
        <w:t>三期分期付款</w:t>
      </w:r>
      <w:r>
        <w:rPr>
          <w:rFonts w:hint="eastAsia"/>
          <w:color w:val="auto"/>
        </w:rPr>
        <w:t>：</w:t>
      </w:r>
    </w:p>
    <w:p w14:paraId="51E8ACFB">
      <w:pPr>
        <w:pStyle w:val="61"/>
        <w:numPr>
          <w:ilvl w:val="0"/>
          <w:numId w:val="7"/>
        </w:numPr>
        <w:ind w:firstLineChars="0"/>
        <w:rPr>
          <w:color w:val="auto"/>
        </w:rPr>
      </w:pPr>
      <w:r>
        <w:rPr>
          <w:rFonts w:hint="eastAsia"/>
          <w:color w:val="auto"/>
        </w:rPr>
        <w:t>合同签订生效后10个工作日内，支付首期2,600,000元；</w:t>
      </w:r>
    </w:p>
    <w:p w14:paraId="4BBFC9EF">
      <w:pPr>
        <w:pStyle w:val="61"/>
        <w:numPr>
          <w:ilvl w:val="0"/>
          <w:numId w:val="7"/>
        </w:numPr>
        <w:ind w:firstLineChars="0"/>
        <w:rPr>
          <w:color w:val="auto"/>
        </w:rPr>
      </w:pPr>
      <w:bookmarkStart w:id="45" w:name="OLE_LINK6"/>
      <w:r>
        <w:rPr>
          <w:color w:val="auto"/>
        </w:rPr>
        <w:t>甲方</w:t>
      </w:r>
      <w:r>
        <w:rPr>
          <w:rFonts w:hint="eastAsia"/>
          <w:color w:val="auto"/>
        </w:rPr>
        <w:t>中期</w:t>
      </w:r>
      <w:r>
        <w:rPr>
          <w:color w:val="auto"/>
        </w:rPr>
        <w:t>验收（即初验）通过后10</w:t>
      </w:r>
      <w:r>
        <w:rPr>
          <w:rFonts w:hint="eastAsia"/>
          <w:color w:val="auto"/>
        </w:rPr>
        <w:t>个工作</w:t>
      </w:r>
      <w:r>
        <w:rPr>
          <w:color w:val="auto"/>
        </w:rPr>
        <w:t>日内</w:t>
      </w:r>
      <w:r>
        <w:rPr>
          <w:rFonts w:hint="eastAsia"/>
          <w:color w:val="auto"/>
        </w:rPr>
        <w:t>（含批复所有建设内容）</w:t>
      </w:r>
      <w:r>
        <w:rPr>
          <w:color w:val="auto"/>
        </w:rPr>
        <w:t>，</w:t>
      </w:r>
      <w:r>
        <w:rPr>
          <w:rFonts w:hint="eastAsia"/>
          <w:color w:val="auto"/>
        </w:rPr>
        <w:t>支付至</w:t>
      </w:r>
      <w:bookmarkStart w:id="46" w:name="OLE_LINK4"/>
      <w:r>
        <w:rPr>
          <w:rFonts w:hint="eastAsia"/>
          <w:color w:val="auto"/>
        </w:rPr>
        <w:t>合同金额的80%</w:t>
      </w:r>
      <w:bookmarkEnd w:id="46"/>
      <w:r>
        <w:rPr>
          <w:rFonts w:hint="eastAsia"/>
          <w:color w:val="auto"/>
        </w:rPr>
        <w:t>，第二期支付为合同金额的80%扣除第一期已付款项后的剩余款项；</w:t>
      </w:r>
    </w:p>
    <w:bookmarkEnd w:id="45"/>
    <w:p w14:paraId="09225C4F">
      <w:pPr>
        <w:pStyle w:val="61"/>
        <w:numPr>
          <w:ilvl w:val="0"/>
          <w:numId w:val="7"/>
        </w:numPr>
        <w:ind w:firstLineChars="0"/>
        <w:rPr>
          <w:color w:val="auto"/>
        </w:rPr>
      </w:pPr>
      <w:r>
        <w:rPr>
          <w:color w:val="auto"/>
        </w:rPr>
        <w:t>通过最终验收后10</w:t>
      </w:r>
      <w:r>
        <w:rPr>
          <w:rFonts w:hint="eastAsia"/>
          <w:color w:val="auto"/>
        </w:rPr>
        <w:t>个工作</w:t>
      </w:r>
      <w:r>
        <w:rPr>
          <w:color w:val="auto"/>
        </w:rPr>
        <w:t>日内，支付合同总价款的</w:t>
      </w:r>
      <w:r>
        <w:rPr>
          <w:rFonts w:hint="eastAsia"/>
          <w:color w:val="auto"/>
        </w:rPr>
        <w:t>2</w:t>
      </w:r>
      <w:r>
        <w:rPr>
          <w:color w:val="auto"/>
        </w:rPr>
        <w:t>0 %</w:t>
      </w:r>
      <w:r>
        <w:rPr>
          <w:rFonts w:hint="eastAsia"/>
          <w:color w:val="auto"/>
        </w:rPr>
        <w:t>。</w:t>
      </w:r>
    </w:p>
    <w:p w14:paraId="5A62000B">
      <w:pPr>
        <w:ind w:firstLine="240" w:firstLineChars="100"/>
        <w:rPr>
          <w:rFonts w:hint="eastAsia"/>
          <w:color w:val="auto"/>
        </w:rPr>
      </w:pPr>
      <w:r>
        <w:rPr>
          <w:rFonts w:hint="eastAsia"/>
          <w:color w:val="auto"/>
        </w:rPr>
        <w:t>如果中标金额小于等于2,600,000元，合同签订10个工作日内一次性支付合同款。</w:t>
      </w:r>
    </w:p>
    <w:p w14:paraId="59A0573F">
      <w:pPr>
        <w:ind w:firstLine="0" w:firstLineChars="0"/>
        <w:rPr>
          <w:rFonts w:hint="eastAsia"/>
          <w:color w:val="auto"/>
        </w:rPr>
      </w:pPr>
      <w:r>
        <w:rPr>
          <w:rFonts w:hint="eastAsia"/>
          <w:color w:val="auto"/>
        </w:rPr>
        <w:t>付款条件备注：服务提供方应当在采购方每次付款前提前至少10</w:t>
      </w:r>
      <w:r>
        <w:rPr>
          <w:color w:val="auto"/>
        </w:rPr>
        <w:t>日向采购方提供有效发票。</w:t>
      </w:r>
    </w:p>
    <w:p w14:paraId="7CDCA1AD">
      <w:pPr>
        <w:pStyle w:val="2"/>
        <w:rPr>
          <w:rFonts w:hint="eastAsia"/>
          <w:color w:val="auto"/>
        </w:rPr>
      </w:pPr>
      <w:bookmarkStart w:id="47" w:name="_Toc68798863"/>
      <w:r>
        <w:rPr>
          <w:rFonts w:hint="eastAsia"/>
          <w:color w:val="auto"/>
        </w:rPr>
        <w:t>附录</w:t>
      </w:r>
      <w:bookmarkEnd w:id="47"/>
    </w:p>
    <w:p w14:paraId="2E2BEC96">
      <w:pPr>
        <w:ind w:firstLine="482"/>
        <w:rPr>
          <w:rFonts w:hint="eastAsia"/>
          <w:b/>
          <w:color w:val="auto"/>
        </w:rPr>
      </w:pPr>
      <w:r>
        <w:rPr>
          <w:rFonts w:hint="eastAsia"/>
          <w:b/>
          <w:color w:val="auto"/>
        </w:rPr>
        <w:t>若项目建设过程中需符合相关技术标准或规范文件的要求，请将相关文件作为附件列出。</w:t>
      </w:r>
    </w:p>
    <w:p w14:paraId="7938C253">
      <w:pPr>
        <w:ind w:firstLine="482"/>
        <w:rPr>
          <w:rFonts w:hint="eastAsia"/>
          <w:color w:val="auto"/>
        </w:rPr>
      </w:pPr>
      <w:r>
        <w:rPr>
          <w:rFonts w:hint="eastAsia"/>
          <w:b/>
          <w:color w:val="auto"/>
        </w:rPr>
        <w:t>参考如下：</w:t>
      </w:r>
    </w:p>
    <w:p w14:paraId="6EB10353">
      <w:pPr>
        <w:ind w:firstLine="0" w:firstLineChars="0"/>
        <w:rPr>
          <w:rFonts w:hint="eastAsia"/>
          <w:color w:val="auto"/>
        </w:rPr>
      </w:pPr>
      <w:r>
        <w:rPr>
          <w:rFonts w:hint="eastAsia"/>
          <w:color w:val="auto"/>
        </w:rPr>
        <w:t>1、</w:t>
      </w:r>
      <w:r>
        <w:rPr>
          <w:color w:val="auto"/>
        </w:rPr>
        <w:t>《政务网络安全监测平台总体技术要求》</w:t>
      </w:r>
    </w:p>
    <w:p w14:paraId="19EE38D1">
      <w:pPr>
        <w:ind w:firstLine="0" w:firstLineChars="0"/>
        <w:rPr>
          <w:rFonts w:hint="eastAsia"/>
          <w:color w:val="auto"/>
        </w:rPr>
      </w:pPr>
      <w:r>
        <w:rPr>
          <w:color w:val="auto"/>
        </w:rPr>
        <w:object>
          <v:shape id="_x0000_i1025" o:spt="75" type="#_x0000_t75" style="height:54pt;width:76.8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2263DD24">
      <w:pPr>
        <w:ind w:firstLine="0" w:firstLineChars="0"/>
        <w:rPr>
          <w:rFonts w:hint="eastAsia"/>
          <w:color w:val="auto"/>
        </w:rPr>
      </w:pPr>
    </w:p>
    <w:p w14:paraId="12E84758">
      <w:pPr>
        <w:ind w:firstLine="0" w:firstLineChars="0"/>
        <w:jc w:val="left"/>
        <w:rPr>
          <w:rFonts w:hint="eastAsia"/>
          <w:color w:val="auto"/>
        </w:rPr>
      </w:pPr>
      <w:r>
        <w:rPr>
          <w:rFonts w:hint="eastAsia"/>
          <w:color w:val="auto"/>
        </w:rPr>
        <w:t>2、《上海市电子政务外网建设和运行管理指南（试行）》</w:t>
      </w:r>
    </w:p>
    <w:p w14:paraId="409CA35E">
      <w:pPr>
        <w:ind w:firstLine="0" w:firstLineChars="0"/>
        <w:jc w:val="left"/>
        <w:rPr>
          <w:rFonts w:hint="eastAsia"/>
          <w:color w:val="auto"/>
        </w:rPr>
      </w:pPr>
      <w:r>
        <w:rPr>
          <w:color w:val="auto"/>
        </w:rPr>
        <w:object>
          <v:shape id="_x0000_i1026" o:spt="75" type="#_x0000_t75" style="height:54pt;width:76.8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1D8854B1">
      <w:pPr>
        <w:ind w:firstLine="0" w:firstLineChars="0"/>
        <w:jc w:val="left"/>
        <w:rPr>
          <w:rFonts w:hint="eastAsia"/>
          <w:b/>
          <w:bCs/>
          <w:color w:val="auto"/>
        </w:rPr>
      </w:pPr>
      <w:r>
        <w:rPr>
          <w:rFonts w:hint="eastAsia"/>
          <w:color w:val="auto"/>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仿宋_GB2312"/>
    <w:panose1 w:val="020B0503020204020204"/>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LiberationSans">
    <w:altName w:val="仿宋_GB2312"/>
    <w:panose1 w:val="00000000000000000000"/>
    <w:charset w:val="00"/>
    <w:family w:val="roman"/>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6F22A">
    <w:pPr>
      <w:ind w:firstLine="0" w:firstLineChars="0"/>
      <w:jc w:val="center"/>
      <w:rPr>
        <w:rFonts w:hint="eastAsia"/>
      </w:rPr>
    </w:pPr>
    <w:r>
      <w:fldChar w:fldCharType="begin"/>
    </w:r>
    <w:r>
      <w:instrText xml:space="preserve">PAGE   \* MERGEFORMAT</w:instrText>
    </w:r>
    <w:r>
      <w:fldChar w:fldCharType="separate"/>
    </w:r>
    <w:r>
      <w:rPr>
        <w:lang w:val="zh-CN"/>
      </w:rPr>
      <w:t>109</w:t>
    </w:r>
    <w:r>
      <w:rPr>
        <w:lang w:val="zh-CN"/>
      </w:rPr>
      <w:fldChar w:fldCharType="end"/>
    </w:r>
  </w:p>
  <w:p w14:paraId="643F9EDA">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5D59F">
    <w:pPr>
      <w:rPr>
        <w:rFonts w:hint="eastAsia"/>
      </w:rPr>
    </w:pPr>
  </w:p>
  <w:p w14:paraId="11C4E3EC">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AEFDD">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23BBD">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001C16B">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3E3FE">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68E00">
    <w:pPr>
      <w:rPr>
        <w:rFonts w:hint="eastAsia"/>
      </w:rPr>
    </w:pPr>
  </w:p>
  <w:p w14:paraId="42BA1728">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583A6">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970557A6"/>
    <w:multiLevelType w:val="singleLevel"/>
    <w:tmpl w:val="970557A6"/>
    <w:lvl w:ilvl="0" w:tentative="0">
      <w:start w:val="1"/>
      <w:numFmt w:val="decimal"/>
      <w:suff w:val="nothing"/>
      <w:lvlText w:val="%1）"/>
      <w:lvlJc w:val="left"/>
    </w:lvl>
  </w:abstractNum>
  <w:abstractNum w:abstractNumId="2">
    <w:nsid w:val="1B79283E"/>
    <w:multiLevelType w:val="multilevel"/>
    <w:tmpl w:val="1B79283E"/>
    <w:lvl w:ilvl="0" w:tentative="0">
      <w:start w:val="1"/>
      <w:numFmt w:val="lowerLetter"/>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5">
    <w:nsid w:val="73CF2087"/>
    <w:multiLevelType w:val="multilevel"/>
    <w:tmpl w:val="73CF2087"/>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4"/>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YmEzMTNhMjdkYThkNDYyOTNhN2M4MTNhMDJiODc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41"/>
    <w:rsid w:val="000447CB"/>
    <w:rsid w:val="00047915"/>
    <w:rsid w:val="00047D06"/>
    <w:rsid w:val="00050FBD"/>
    <w:rsid w:val="0005107A"/>
    <w:rsid w:val="0005192C"/>
    <w:rsid w:val="00052929"/>
    <w:rsid w:val="0005299F"/>
    <w:rsid w:val="000541D7"/>
    <w:rsid w:val="000545C0"/>
    <w:rsid w:val="00054705"/>
    <w:rsid w:val="0005586D"/>
    <w:rsid w:val="00056C0E"/>
    <w:rsid w:val="000574A8"/>
    <w:rsid w:val="000574F8"/>
    <w:rsid w:val="00057A49"/>
    <w:rsid w:val="0006231F"/>
    <w:rsid w:val="00062A05"/>
    <w:rsid w:val="00062EE6"/>
    <w:rsid w:val="0006344E"/>
    <w:rsid w:val="00063626"/>
    <w:rsid w:val="000649E6"/>
    <w:rsid w:val="0006794B"/>
    <w:rsid w:val="00067DCA"/>
    <w:rsid w:val="00070063"/>
    <w:rsid w:val="0007087A"/>
    <w:rsid w:val="000710EC"/>
    <w:rsid w:val="00072237"/>
    <w:rsid w:val="00072ABE"/>
    <w:rsid w:val="00080B39"/>
    <w:rsid w:val="00083950"/>
    <w:rsid w:val="00083A31"/>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5AE5"/>
    <w:rsid w:val="000B642F"/>
    <w:rsid w:val="000B6C99"/>
    <w:rsid w:val="000C3F3C"/>
    <w:rsid w:val="000C44DD"/>
    <w:rsid w:val="000C5A75"/>
    <w:rsid w:val="000C75F7"/>
    <w:rsid w:val="000D0AB2"/>
    <w:rsid w:val="000D225C"/>
    <w:rsid w:val="000D36F2"/>
    <w:rsid w:val="000D4B26"/>
    <w:rsid w:val="000D74DB"/>
    <w:rsid w:val="000D7BDC"/>
    <w:rsid w:val="000E05CD"/>
    <w:rsid w:val="000E1488"/>
    <w:rsid w:val="000E24D6"/>
    <w:rsid w:val="000E6072"/>
    <w:rsid w:val="000E6D61"/>
    <w:rsid w:val="000E7A23"/>
    <w:rsid w:val="000F1C29"/>
    <w:rsid w:val="000F1E9E"/>
    <w:rsid w:val="000F2B10"/>
    <w:rsid w:val="000F2DC7"/>
    <w:rsid w:val="000F3E3A"/>
    <w:rsid w:val="000F3F72"/>
    <w:rsid w:val="000F4DEC"/>
    <w:rsid w:val="00100037"/>
    <w:rsid w:val="00100982"/>
    <w:rsid w:val="00100F62"/>
    <w:rsid w:val="001055B2"/>
    <w:rsid w:val="001068F0"/>
    <w:rsid w:val="00106AB8"/>
    <w:rsid w:val="00106C9E"/>
    <w:rsid w:val="00106E16"/>
    <w:rsid w:val="0010768B"/>
    <w:rsid w:val="00110AF5"/>
    <w:rsid w:val="00111701"/>
    <w:rsid w:val="00112A29"/>
    <w:rsid w:val="0011458F"/>
    <w:rsid w:val="00114B5E"/>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AC"/>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767"/>
    <w:rsid w:val="001707CB"/>
    <w:rsid w:val="00171477"/>
    <w:rsid w:val="00172A1A"/>
    <w:rsid w:val="00173251"/>
    <w:rsid w:val="00176BED"/>
    <w:rsid w:val="0017759D"/>
    <w:rsid w:val="001804A5"/>
    <w:rsid w:val="00181C94"/>
    <w:rsid w:val="00182B98"/>
    <w:rsid w:val="00182C84"/>
    <w:rsid w:val="00182CAA"/>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2AC1"/>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0878"/>
    <w:rsid w:val="002129E5"/>
    <w:rsid w:val="00212AA4"/>
    <w:rsid w:val="00212E13"/>
    <w:rsid w:val="00213FDF"/>
    <w:rsid w:val="002163C8"/>
    <w:rsid w:val="0021729B"/>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1B8F"/>
    <w:rsid w:val="00252457"/>
    <w:rsid w:val="00252581"/>
    <w:rsid w:val="002535B5"/>
    <w:rsid w:val="002538CB"/>
    <w:rsid w:val="002542BD"/>
    <w:rsid w:val="002545EA"/>
    <w:rsid w:val="00255995"/>
    <w:rsid w:val="0025774E"/>
    <w:rsid w:val="00257D64"/>
    <w:rsid w:val="0026340A"/>
    <w:rsid w:val="00263A31"/>
    <w:rsid w:val="002654EA"/>
    <w:rsid w:val="002704EA"/>
    <w:rsid w:val="0027061A"/>
    <w:rsid w:val="002719CC"/>
    <w:rsid w:val="002730C5"/>
    <w:rsid w:val="0027337C"/>
    <w:rsid w:val="0027602B"/>
    <w:rsid w:val="00277F5E"/>
    <w:rsid w:val="00280084"/>
    <w:rsid w:val="00280490"/>
    <w:rsid w:val="002827FE"/>
    <w:rsid w:val="00283455"/>
    <w:rsid w:val="002860B8"/>
    <w:rsid w:val="0029206E"/>
    <w:rsid w:val="00293382"/>
    <w:rsid w:val="00294F51"/>
    <w:rsid w:val="002A2342"/>
    <w:rsid w:val="002A279E"/>
    <w:rsid w:val="002A4FA3"/>
    <w:rsid w:val="002B3606"/>
    <w:rsid w:val="002B3D80"/>
    <w:rsid w:val="002B4402"/>
    <w:rsid w:val="002B4946"/>
    <w:rsid w:val="002B4C41"/>
    <w:rsid w:val="002B588D"/>
    <w:rsid w:val="002B6412"/>
    <w:rsid w:val="002C07C3"/>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6420"/>
    <w:rsid w:val="002E748B"/>
    <w:rsid w:val="002F2002"/>
    <w:rsid w:val="002F335D"/>
    <w:rsid w:val="002F3F85"/>
    <w:rsid w:val="002F4E32"/>
    <w:rsid w:val="002F4F9E"/>
    <w:rsid w:val="002F503F"/>
    <w:rsid w:val="002F51DD"/>
    <w:rsid w:val="002F5D08"/>
    <w:rsid w:val="002F6895"/>
    <w:rsid w:val="002F6D13"/>
    <w:rsid w:val="003038D3"/>
    <w:rsid w:val="003049C7"/>
    <w:rsid w:val="00305F0E"/>
    <w:rsid w:val="0030667A"/>
    <w:rsid w:val="003106DE"/>
    <w:rsid w:val="00311530"/>
    <w:rsid w:val="00312D31"/>
    <w:rsid w:val="003141B9"/>
    <w:rsid w:val="00315216"/>
    <w:rsid w:val="0031691C"/>
    <w:rsid w:val="00317AEF"/>
    <w:rsid w:val="00317F49"/>
    <w:rsid w:val="0032089B"/>
    <w:rsid w:val="00323450"/>
    <w:rsid w:val="00323D93"/>
    <w:rsid w:val="0032489B"/>
    <w:rsid w:val="0032525B"/>
    <w:rsid w:val="00326A7A"/>
    <w:rsid w:val="00326FEE"/>
    <w:rsid w:val="00327C48"/>
    <w:rsid w:val="003315D7"/>
    <w:rsid w:val="0033217E"/>
    <w:rsid w:val="00334DE6"/>
    <w:rsid w:val="0033536D"/>
    <w:rsid w:val="003353FF"/>
    <w:rsid w:val="003366D2"/>
    <w:rsid w:val="00337C79"/>
    <w:rsid w:val="00337FEF"/>
    <w:rsid w:val="0034084C"/>
    <w:rsid w:val="00340D5E"/>
    <w:rsid w:val="003420B5"/>
    <w:rsid w:val="00343646"/>
    <w:rsid w:val="00344CCB"/>
    <w:rsid w:val="00345897"/>
    <w:rsid w:val="003475A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004"/>
    <w:rsid w:val="003A317E"/>
    <w:rsid w:val="003A3183"/>
    <w:rsid w:val="003A345B"/>
    <w:rsid w:val="003A49EE"/>
    <w:rsid w:val="003A649D"/>
    <w:rsid w:val="003A674D"/>
    <w:rsid w:val="003A7123"/>
    <w:rsid w:val="003B102E"/>
    <w:rsid w:val="003B2167"/>
    <w:rsid w:val="003B5F5D"/>
    <w:rsid w:val="003B62C8"/>
    <w:rsid w:val="003B7356"/>
    <w:rsid w:val="003C0C62"/>
    <w:rsid w:val="003C12DC"/>
    <w:rsid w:val="003C2CDA"/>
    <w:rsid w:val="003C39BF"/>
    <w:rsid w:val="003C4A5B"/>
    <w:rsid w:val="003C6D34"/>
    <w:rsid w:val="003D000A"/>
    <w:rsid w:val="003D31E9"/>
    <w:rsid w:val="003D544E"/>
    <w:rsid w:val="003D573B"/>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88F"/>
    <w:rsid w:val="003F1936"/>
    <w:rsid w:val="003F1BDD"/>
    <w:rsid w:val="003F3BA3"/>
    <w:rsid w:val="003F3BD5"/>
    <w:rsid w:val="003F400E"/>
    <w:rsid w:val="003F4272"/>
    <w:rsid w:val="003F6F35"/>
    <w:rsid w:val="003F7768"/>
    <w:rsid w:val="00400E8C"/>
    <w:rsid w:val="004017DC"/>
    <w:rsid w:val="00401B53"/>
    <w:rsid w:val="00402668"/>
    <w:rsid w:val="00404FEC"/>
    <w:rsid w:val="0040534D"/>
    <w:rsid w:val="00405FAD"/>
    <w:rsid w:val="00411703"/>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16C3"/>
    <w:rsid w:val="00444307"/>
    <w:rsid w:val="0044436F"/>
    <w:rsid w:val="004443EB"/>
    <w:rsid w:val="00444432"/>
    <w:rsid w:val="00444673"/>
    <w:rsid w:val="0044621E"/>
    <w:rsid w:val="00447BF1"/>
    <w:rsid w:val="00450BA4"/>
    <w:rsid w:val="004511FC"/>
    <w:rsid w:val="00452B2E"/>
    <w:rsid w:val="00456784"/>
    <w:rsid w:val="00456DCA"/>
    <w:rsid w:val="00461140"/>
    <w:rsid w:val="004611DB"/>
    <w:rsid w:val="004616F6"/>
    <w:rsid w:val="004658B0"/>
    <w:rsid w:val="00465D8B"/>
    <w:rsid w:val="0046614B"/>
    <w:rsid w:val="00466626"/>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651C"/>
    <w:rsid w:val="00497A33"/>
    <w:rsid w:val="004A0B92"/>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0FF8"/>
    <w:rsid w:val="004F1193"/>
    <w:rsid w:val="004F11DC"/>
    <w:rsid w:val="004F2124"/>
    <w:rsid w:val="004F271B"/>
    <w:rsid w:val="004F3A52"/>
    <w:rsid w:val="004F3C0B"/>
    <w:rsid w:val="004F449F"/>
    <w:rsid w:val="004F4E7E"/>
    <w:rsid w:val="004F5BC5"/>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27670"/>
    <w:rsid w:val="00530D2F"/>
    <w:rsid w:val="0053487C"/>
    <w:rsid w:val="0053552D"/>
    <w:rsid w:val="005356E1"/>
    <w:rsid w:val="00536A8B"/>
    <w:rsid w:val="00540418"/>
    <w:rsid w:val="00541A96"/>
    <w:rsid w:val="00541C6A"/>
    <w:rsid w:val="00542C54"/>
    <w:rsid w:val="0054633E"/>
    <w:rsid w:val="00546A43"/>
    <w:rsid w:val="00546C70"/>
    <w:rsid w:val="00547258"/>
    <w:rsid w:val="00550CF0"/>
    <w:rsid w:val="005559FE"/>
    <w:rsid w:val="005560D6"/>
    <w:rsid w:val="005566FB"/>
    <w:rsid w:val="00556D07"/>
    <w:rsid w:val="005570FB"/>
    <w:rsid w:val="005611F2"/>
    <w:rsid w:val="00561734"/>
    <w:rsid w:val="00561952"/>
    <w:rsid w:val="00564B9A"/>
    <w:rsid w:val="00565694"/>
    <w:rsid w:val="00566DD6"/>
    <w:rsid w:val="005714EF"/>
    <w:rsid w:val="00571CEC"/>
    <w:rsid w:val="00572FCE"/>
    <w:rsid w:val="005750DB"/>
    <w:rsid w:val="005752F8"/>
    <w:rsid w:val="005759FC"/>
    <w:rsid w:val="00575B85"/>
    <w:rsid w:val="00576DB9"/>
    <w:rsid w:val="0057738F"/>
    <w:rsid w:val="005805E4"/>
    <w:rsid w:val="00581D5B"/>
    <w:rsid w:val="0058202F"/>
    <w:rsid w:val="00584221"/>
    <w:rsid w:val="00584EB6"/>
    <w:rsid w:val="00586B68"/>
    <w:rsid w:val="0058774E"/>
    <w:rsid w:val="005878CF"/>
    <w:rsid w:val="00590CA0"/>
    <w:rsid w:val="00593D42"/>
    <w:rsid w:val="00595B01"/>
    <w:rsid w:val="00596D98"/>
    <w:rsid w:val="005979A5"/>
    <w:rsid w:val="005A0021"/>
    <w:rsid w:val="005A017B"/>
    <w:rsid w:val="005A2AEC"/>
    <w:rsid w:val="005A2C37"/>
    <w:rsid w:val="005A412D"/>
    <w:rsid w:val="005A5212"/>
    <w:rsid w:val="005B002D"/>
    <w:rsid w:val="005B0FFF"/>
    <w:rsid w:val="005B19AF"/>
    <w:rsid w:val="005B258C"/>
    <w:rsid w:val="005B61DD"/>
    <w:rsid w:val="005B6735"/>
    <w:rsid w:val="005B7831"/>
    <w:rsid w:val="005C06F8"/>
    <w:rsid w:val="005C0CD6"/>
    <w:rsid w:val="005C12D9"/>
    <w:rsid w:val="005C2146"/>
    <w:rsid w:val="005C309D"/>
    <w:rsid w:val="005C47D8"/>
    <w:rsid w:val="005C5098"/>
    <w:rsid w:val="005C544B"/>
    <w:rsid w:val="005C5916"/>
    <w:rsid w:val="005C5AEE"/>
    <w:rsid w:val="005C774A"/>
    <w:rsid w:val="005C78D5"/>
    <w:rsid w:val="005D3514"/>
    <w:rsid w:val="005D3734"/>
    <w:rsid w:val="005D4937"/>
    <w:rsid w:val="005D4F16"/>
    <w:rsid w:val="005D5A53"/>
    <w:rsid w:val="005D5DA0"/>
    <w:rsid w:val="005D7FBD"/>
    <w:rsid w:val="005E0280"/>
    <w:rsid w:val="005E19B4"/>
    <w:rsid w:val="005E1D6B"/>
    <w:rsid w:val="005E227A"/>
    <w:rsid w:val="005E2CF8"/>
    <w:rsid w:val="005E3126"/>
    <w:rsid w:val="005E6067"/>
    <w:rsid w:val="005E7075"/>
    <w:rsid w:val="005E75A7"/>
    <w:rsid w:val="005F38E2"/>
    <w:rsid w:val="005F3EE6"/>
    <w:rsid w:val="005F6736"/>
    <w:rsid w:val="006009CC"/>
    <w:rsid w:val="006021A2"/>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1EE"/>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7AF"/>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97F24"/>
    <w:rsid w:val="006A20D4"/>
    <w:rsid w:val="006A268D"/>
    <w:rsid w:val="006A350F"/>
    <w:rsid w:val="006A3957"/>
    <w:rsid w:val="006A39A4"/>
    <w:rsid w:val="006A41D6"/>
    <w:rsid w:val="006A669D"/>
    <w:rsid w:val="006A6E41"/>
    <w:rsid w:val="006B012F"/>
    <w:rsid w:val="006B27CF"/>
    <w:rsid w:val="006B41BD"/>
    <w:rsid w:val="006B4AB5"/>
    <w:rsid w:val="006B566D"/>
    <w:rsid w:val="006B5678"/>
    <w:rsid w:val="006B62B2"/>
    <w:rsid w:val="006B674A"/>
    <w:rsid w:val="006C1C57"/>
    <w:rsid w:val="006C5760"/>
    <w:rsid w:val="006C6D6F"/>
    <w:rsid w:val="006D0D78"/>
    <w:rsid w:val="006D1128"/>
    <w:rsid w:val="006D2848"/>
    <w:rsid w:val="006D30E0"/>
    <w:rsid w:val="006D5521"/>
    <w:rsid w:val="006D5FE9"/>
    <w:rsid w:val="006D656F"/>
    <w:rsid w:val="006D6CBB"/>
    <w:rsid w:val="006D76A9"/>
    <w:rsid w:val="006D77F4"/>
    <w:rsid w:val="006E0898"/>
    <w:rsid w:val="006E17F5"/>
    <w:rsid w:val="006E41CD"/>
    <w:rsid w:val="006F2F5B"/>
    <w:rsid w:val="006F3BEC"/>
    <w:rsid w:val="006F4CF5"/>
    <w:rsid w:val="00703C00"/>
    <w:rsid w:val="007057CC"/>
    <w:rsid w:val="00706255"/>
    <w:rsid w:val="007066F2"/>
    <w:rsid w:val="00706AE5"/>
    <w:rsid w:val="0070740A"/>
    <w:rsid w:val="00710345"/>
    <w:rsid w:val="00711F93"/>
    <w:rsid w:val="00712940"/>
    <w:rsid w:val="0071428C"/>
    <w:rsid w:val="00715A16"/>
    <w:rsid w:val="007164B0"/>
    <w:rsid w:val="007166FF"/>
    <w:rsid w:val="007260CC"/>
    <w:rsid w:val="00726543"/>
    <w:rsid w:val="0073353E"/>
    <w:rsid w:val="00736633"/>
    <w:rsid w:val="00736DC1"/>
    <w:rsid w:val="00741EE7"/>
    <w:rsid w:val="00743A79"/>
    <w:rsid w:val="007444D4"/>
    <w:rsid w:val="0074594D"/>
    <w:rsid w:val="007459F3"/>
    <w:rsid w:val="00746E35"/>
    <w:rsid w:val="007470E2"/>
    <w:rsid w:val="0075232F"/>
    <w:rsid w:val="00753132"/>
    <w:rsid w:val="007550B3"/>
    <w:rsid w:val="00755D3F"/>
    <w:rsid w:val="00760451"/>
    <w:rsid w:val="00761BA6"/>
    <w:rsid w:val="00764C70"/>
    <w:rsid w:val="0077182A"/>
    <w:rsid w:val="00771913"/>
    <w:rsid w:val="00772718"/>
    <w:rsid w:val="00775BCF"/>
    <w:rsid w:val="007818AA"/>
    <w:rsid w:val="00783140"/>
    <w:rsid w:val="007838B6"/>
    <w:rsid w:val="00783E77"/>
    <w:rsid w:val="007906F1"/>
    <w:rsid w:val="0079243D"/>
    <w:rsid w:val="00794A9B"/>
    <w:rsid w:val="0079583B"/>
    <w:rsid w:val="00796602"/>
    <w:rsid w:val="00797139"/>
    <w:rsid w:val="00797185"/>
    <w:rsid w:val="007976B7"/>
    <w:rsid w:val="00797A7E"/>
    <w:rsid w:val="00797D6F"/>
    <w:rsid w:val="007A2F7C"/>
    <w:rsid w:val="007B014B"/>
    <w:rsid w:val="007B0D88"/>
    <w:rsid w:val="007B306F"/>
    <w:rsid w:val="007B4714"/>
    <w:rsid w:val="007B4E82"/>
    <w:rsid w:val="007C1996"/>
    <w:rsid w:val="007C23EE"/>
    <w:rsid w:val="007C3773"/>
    <w:rsid w:val="007C3F1F"/>
    <w:rsid w:val="007D2D0D"/>
    <w:rsid w:val="007D3325"/>
    <w:rsid w:val="007D3818"/>
    <w:rsid w:val="007D6DC5"/>
    <w:rsid w:val="007D7425"/>
    <w:rsid w:val="007E0919"/>
    <w:rsid w:val="007E320E"/>
    <w:rsid w:val="007E3280"/>
    <w:rsid w:val="007E4A02"/>
    <w:rsid w:val="007E595C"/>
    <w:rsid w:val="007E59A5"/>
    <w:rsid w:val="007E6C26"/>
    <w:rsid w:val="007F26AF"/>
    <w:rsid w:val="007F3B8C"/>
    <w:rsid w:val="007F41D0"/>
    <w:rsid w:val="007F4B8B"/>
    <w:rsid w:val="007F5957"/>
    <w:rsid w:val="007F70B6"/>
    <w:rsid w:val="007F74CA"/>
    <w:rsid w:val="00800F1E"/>
    <w:rsid w:val="0080195A"/>
    <w:rsid w:val="008021E7"/>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4FBB"/>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067"/>
    <w:rsid w:val="008941EB"/>
    <w:rsid w:val="0089545A"/>
    <w:rsid w:val="00895A02"/>
    <w:rsid w:val="008A01EE"/>
    <w:rsid w:val="008A0DAC"/>
    <w:rsid w:val="008A3B78"/>
    <w:rsid w:val="008A4166"/>
    <w:rsid w:val="008A6A5F"/>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0FC"/>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160DA"/>
    <w:rsid w:val="00920FD2"/>
    <w:rsid w:val="00923A43"/>
    <w:rsid w:val="0092439C"/>
    <w:rsid w:val="0092498E"/>
    <w:rsid w:val="00925B91"/>
    <w:rsid w:val="00931E9C"/>
    <w:rsid w:val="00932B8B"/>
    <w:rsid w:val="00932C1A"/>
    <w:rsid w:val="00934461"/>
    <w:rsid w:val="00934F7E"/>
    <w:rsid w:val="00936A1C"/>
    <w:rsid w:val="00941D9A"/>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670E4"/>
    <w:rsid w:val="00972969"/>
    <w:rsid w:val="00973B5D"/>
    <w:rsid w:val="0097755E"/>
    <w:rsid w:val="00981467"/>
    <w:rsid w:val="00981C24"/>
    <w:rsid w:val="009852F6"/>
    <w:rsid w:val="00985DE5"/>
    <w:rsid w:val="00986254"/>
    <w:rsid w:val="0098729E"/>
    <w:rsid w:val="00987854"/>
    <w:rsid w:val="00990067"/>
    <w:rsid w:val="0099256A"/>
    <w:rsid w:val="00992977"/>
    <w:rsid w:val="009937D4"/>
    <w:rsid w:val="00993A59"/>
    <w:rsid w:val="00993C78"/>
    <w:rsid w:val="009944BC"/>
    <w:rsid w:val="009948C7"/>
    <w:rsid w:val="00995850"/>
    <w:rsid w:val="0099796C"/>
    <w:rsid w:val="009A194E"/>
    <w:rsid w:val="009A1EA2"/>
    <w:rsid w:val="009A209E"/>
    <w:rsid w:val="009A3B0D"/>
    <w:rsid w:val="009A3FD7"/>
    <w:rsid w:val="009A4D85"/>
    <w:rsid w:val="009A6652"/>
    <w:rsid w:val="009A74FD"/>
    <w:rsid w:val="009B25D8"/>
    <w:rsid w:val="009B416F"/>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234C"/>
    <w:rsid w:val="009F3793"/>
    <w:rsid w:val="009F54F2"/>
    <w:rsid w:val="009F67A1"/>
    <w:rsid w:val="009F69A0"/>
    <w:rsid w:val="00A0056B"/>
    <w:rsid w:val="00A01657"/>
    <w:rsid w:val="00A01C65"/>
    <w:rsid w:val="00A0213D"/>
    <w:rsid w:val="00A04C73"/>
    <w:rsid w:val="00A0679A"/>
    <w:rsid w:val="00A07A2B"/>
    <w:rsid w:val="00A12375"/>
    <w:rsid w:val="00A125B8"/>
    <w:rsid w:val="00A13124"/>
    <w:rsid w:val="00A15370"/>
    <w:rsid w:val="00A156AB"/>
    <w:rsid w:val="00A16B8D"/>
    <w:rsid w:val="00A20107"/>
    <w:rsid w:val="00A21293"/>
    <w:rsid w:val="00A2134B"/>
    <w:rsid w:val="00A21623"/>
    <w:rsid w:val="00A220EB"/>
    <w:rsid w:val="00A22256"/>
    <w:rsid w:val="00A22302"/>
    <w:rsid w:val="00A25395"/>
    <w:rsid w:val="00A25F1B"/>
    <w:rsid w:val="00A27E39"/>
    <w:rsid w:val="00A325F3"/>
    <w:rsid w:val="00A33103"/>
    <w:rsid w:val="00A33294"/>
    <w:rsid w:val="00A35DCB"/>
    <w:rsid w:val="00A3690E"/>
    <w:rsid w:val="00A37751"/>
    <w:rsid w:val="00A406B1"/>
    <w:rsid w:val="00A4113E"/>
    <w:rsid w:val="00A42435"/>
    <w:rsid w:val="00A438BA"/>
    <w:rsid w:val="00A446FD"/>
    <w:rsid w:val="00A46C4C"/>
    <w:rsid w:val="00A46F46"/>
    <w:rsid w:val="00A52914"/>
    <w:rsid w:val="00A52CB6"/>
    <w:rsid w:val="00A52F99"/>
    <w:rsid w:val="00A538BB"/>
    <w:rsid w:val="00A54164"/>
    <w:rsid w:val="00A56737"/>
    <w:rsid w:val="00A60002"/>
    <w:rsid w:val="00A603D8"/>
    <w:rsid w:val="00A60AE2"/>
    <w:rsid w:val="00A61834"/>
    <w:rsid w:val="00A618B0"/>
    <w:rsid w:val="00A62790"/>
    <w:rsid w:val="00A6291F"/>
    <w:rsid w:val="00A63F53"/>
    <w:rsid w:val="00A64AF6"/>
    <w:rsid w:val="00A7111E"/>
    <w:rsid w:val="00A755B6"/>
    <w:rsid w:val="00A75B1A"/>
    <w:rsid w:val="00A80ED4"/>
    <w:rsid w:val="00A816C4"/>
    <w:rsid w:val="00A82981"/>
    <w:rsid w:val="00A86F10"/>
    <w:rsid w:val="00A87AF2"/>
    <w:rsid w:val="00A90B23"/>
    <w:rsid w:val="00A93193"/>
    <w:rsid w:val="00A93C2B"/>
    <w:rsid w:val="00A94556"/>
    <w:rsid w:val="00A974CB"/>
    <w:rsid w:val="00A979D9"/>
    <w:rsid w:val="00AA1EAC"/>
    <w:rsid w:val="00AA45E2"/>
    <w:rsid w:val="00AA7AC1"/>
    <w:rsid w:val="00AB6327"/>
    <w:rsid w:val="00AB6B8F"/>
    <w:rsid w:val="00AC0C65"/>
    <w:rsid w:val="00AC0FB2"/>
    <w:rsid w:val="00AC3721"/>
    <w:rsid w:val="00AC379D"/>
    <w:rsid w:val="00AC3ADD"/>
    <w:rsid w:val="00AC41C6"/>
    <w:rsid w:val="00AC70C7"/>
    <w:rsid w:val="00AC76B7"/>
    <w:rsid w:val="00AD0223"/>
    <w:rsid w:val="00AD11E7"/>
    <w:rsid w:val="00AD123A"/>
    <w:rsid w:val="00AD15FF"/>
    <w:rsid w:val="00AD1AA5"/>
    <w:rsid w:val="00AD2920"/>
    <w:rsid w:val="00AD2CD5"/>
    <w:rsid w:val="00AD2DFC"/>
    <w:rsid w:val="00AD38C4"/>
    <w:rsid w:val="00AD5A4A"/>
    <w:rsid w:val="00AD60EE"/>
    <w:rsid w:val="00AD6A2B"/>
    <w:rsid w:val="00AD73D4"/>
    <w:rsid w:val="00AE1EA2"/>
    <w:rsid w:val="00AE2874"/>
    <w:rsid w:val="00AE2F98"/>
    <w:rsid w:val="00AE3602"/>
    <w:rsid w:val="00AE5342"/>
    <w:rsid w:val="00AE5987"/>
    <w:rsid w:val="00AE6472"/>
    <w:rsid w:val="00AE7AC1"/>
    <w:rsid w:val="00AF1345"/>
    <w:rsid w:val="00AF22D9"/>
    <w:rsid w:val="00AF38A8"/>
    <w:rsid w:val="00AF63EB"/>
    <w:rsid w:val="00B016D2"/>
    <w:rsid w:val="00B018EC"/>
    <w:rsid w:val="00B060C7"/>
    <w:rsid w:val="00B11933"/>
    <w:rsid w:val="00B11AB7"/>
    <w:rsid w:val="00B12213"/>
    <w:rsid w:val="00B13710"/>
    <w:rsid w:val="00B22881"/>
    <w:rsid w:val="00B23EFC"/>
    <w:rsid w:val="00B24B72"/>
    <w:rsid w:val="00B25DB8"/>
    <w:rsid w:val="00B2656C"/>
    <w:rsid w:val="00B266E6"/>
    <w:rsid w:val="00B3094D"/>
    <w:rsid w:val="00B30B04"/>
    <w:rsid w:val="00B311BC"/>
    <w:rsid w:val="00B31487"/>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1EB4"/>
    <w:rsid w:val="00B53F86"/>
    <w:rsid w:val="00B53FDC"/>
    <w:rsid w:val="00B55431"/>
    <w:rsid w:val="00B55CAE"/>
    <w:rsid w:val="00B576C6"/>
    <w:rsid w:val="00B60EFA"/>
    <w:rsid w:val="00B6147E"/>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1EBC"/>
    <w:rsid w:val="00B93F46"/>
    <w:rsid w:val="00BA0A14"/>
    <w:rsid w:val="00BA228D"/>
    <w:rsid w:val="00BA2B8E"/>
    <w:rsid w:val="00BA355C"/>
    <w:rsid w:val="00BA398D"/>
    <w:rsid w:val="00BA39D3"/>
    <w:rsid w:val="00BA4333"/>
    <w:rsid w:val="00BA4DC2"/>
    <w:rsid w:val="00BA5C56"/>
    <w:rsid w:val="00BA776F"/>
    <w:rsid w:val="00BB0C0D"/>
    <w:rsid w:val="00BB0D69"/>
    <w:rsid w:val="00BB366E"/>
    <w:rsid w:val="00BB3AF0"/>
    <w:rsid w:val="00BB3B30"/>
    <w:rsid w:val="00BB4F70"/>
    <w:rsid w:val="00BB67FF"/>
    <w:rsid w:val="00BC0A84"/>
    <w:rsid w:val="00BC11B9"/>
    <w:rsid w:val="00BC138C"/>
    <w:rsid w:val="00BC14CF"/>
    <w:rsid w:val="00BC1659"/>
    <w:rsid w:val="00BC2C91"/>
    <w:rsid w:val="00BC3A9C"/>
    <w:rsid w:val="00BC5288"/>
    <w:rsid w:val="00BC5F2D"/>
    <w:rsid w:val="00BC6A71"/>
    <w:rsid w:val="00BC6B2F"/>
    <w:rsid w:val="00BD05E2"/>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3E11"/>
    <w:rsid w:val="00BF44FA"/>
    <w:rsid w:val="00BF57E1"/>
    <w:rsid w:val="00BF608E"/>
    <w:rsid w:val="00BF745C"/>
    <w:rsid w:val="00C003B4"/>
    <w:rsid w:val="00C00A5F"/>
    <w:rsid w:val="00C042E0"/>
    <w:rsid w:val="00C04B69"/>
    <w:rsid w:val="00C051D9"/>
    <w:rsid w:val="00C06333"/>
    <w:rsid w:val="00C06F68"/>
    <w:rsid w:val="00C075BA"/>
    <w:rsid w:val="00C10A3A"/>
    <w:rsid w:val="00C11140"/>
    <w:rsid w:val="00C11E20"/>
    <w:rsid w:val="00C15D16"/>
    <w:rsid w:val="00C17C84"/>
    <w:rsid w:val="00C20015"/>
    <w:rsid w:val="00C247DD"/>
    <w:rsid w:val="00C25B43"/>
    <w:rsid w:val="00C26A54"/>
    <w:rsid w:val="00C3261C"/>
    <w:rsid w:val="00C3318B"/>
    <w:rsid w:val="00C33C20"/>
    <w:rsid w:val="00C34FDB"/>
    <w:rsid w:val="00C35362"/>
    <w:rsid w:val="00C357EA"/>
    <w:rsid w:val="00C379F8"/>
    <w:rsid w:val="00C37A1C"/>
    <w:rsid w:val="00C42323"/>
    <w:rsid w:val="00C4316E"/>
    <w:rsid w:val="00C431F9"/>
    <w:rsid w:val="00C453A9"/>
    <w:rsid w:val="00C465D5"/>
    <w:rsid w:val="00C4756A"/>
    <w:rsid w:val="00C47C39"/>
    <w:rsid w:val="00C50649"/>
    <w:rsid w:val="00C50E1F"/>
    <w:rsid w:val="00C51C09"/>
    <w:rsid w:val="00C51C7D"/>
    <w:rsid w:val="00C52BB6"/>
    <w:rsid w:val="00C53471"/>
    <w:rsid w:val="00C55143"/>
    <w:rsid w:val="00C5611B"/>
    <w:rsid w:val="00C5695E"/>
    <w:rsid w:val="00C61528"/>
    <w:rsid w:val="00C63457"/>
    <w:rsid w:val="00C64964"/>
    <w:rsid w:val="00C65A72"/>
    <w:rsid w:val="00C6631E"/>
    <w:rsid w:val="00C67473"/>
    <w:rsid w:val="00C67AA4"/>
    <w:rsid w:val="00C7148C"/>
    <w:rsid w:val="00C72192"/>
    <w:rsid w:val="00C732E5"/>
    <w:rsid w:val="00C73D0B"/>
    <w:rsid w:val="00C75017"/>
    <w:rsid w:val="00C765B4"/>
    <w:rsid w:val="00C813EA"/>
    <w:rsid w:val="00C81496"/>
    <w:rsid w:val="00C81C9A"/>
    <w:rsid w:val="00C82CE6"/>
    <w:rsid w:val="00C82E22"/>
    <w:rsid w:val="00C83BCA"/>
    <w:rsid w:val="00C85144"/>
    <w:rsid w:val="00C86738"/>
    <w:rsid w:val="00C86A27"/>
    <w:rsid w:val="00C91517"/>
    <w:rsid w:val="00C929BD"/>
    <w:rsid w:val="00C931A2"/>
    <w:rsid w:val="00CA02E1"/>
    <w:rsid w:val="00CA15DA"/>
    <w:rsid w:val="00CA1C8D"/>
    <w:rsid w:val="00CA224E"/>
    <w:rsid w:val="00CA41C5"/>
    <w:rsid w:val="00CA42B7"/>
    <w:rsid w:val="00CA4A53"/>
    <w:rsid w:val="00CA51F5"/>
    <w:rsid w:val="00CB218A"/>
    <w:rsid w:val="00CB225A"/>
    <w:rsid w:val="00CB507E"/>
    <w:rsid w:val="00CB69E6"/>
    <w:rsid w:val="00CB761B"/>
    <w:rsid w:val="00CC13DF"/>
    <w:rsid w:val="00CC1EEE"/>
    <w:rsid w:val="00CC33A1"/>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629D"/>
    <w:rsid w:val="00CF756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0C5A"/>
    <w:rsid w:val="00D212BA"/>
    <w:rsid w:val="00D21C53"/>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52F"/>
    <w:rsid w:val="00D4186F"/>
    <w:rsid w:val="00D41C76"/>
    <w:rsid w:val="00D41DD8"/>
    <w:rsid w:val="00D41E5D"/>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0DC7"/>
    <w:rsid w:val="00D618D6"/>
    <w:rsid w:val="00D62426"/>
    <w:rsid w:val="00D62804"/>
    <w:rsid w:val="00D70F55"/>
    <w:rsid w:val="00D70FA5"/>
    <w:rsid w:val="00D74171"/>
    <w:rsid w:val="00D7474C"/>
    <w:rsid w:val="00D76CDA"/>
    <w:rsid w:val="00D8032C"/>
    <w:rsid w:val="00D80CE2"/>
    <w:rsid w:val="00D83080"/>
    <w:rsid w:val="00D84D5F"/>
    <w:rsid w:val="00D851E2"/>
    <w:rsid w:val="00D8665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0C5A"/>
    <w:rsid w:val="00DB1BC2"/>
    <w:rsid w:val="00DB1CBB"/>
    <w:rsid w:val="00DB31ED"/>
    <w:rsid w:val="00DB3577"/>
    <w:rsid w:val="00DB4124"/>
    <w:rsid w:val="00DB4511"/>
    <w:rsid w:val="00DB4F0C"/>
    <w:rsid w:val="00DB5B06"/>
    <w:rsid w:val="00DB5C24"/>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0A96"/>
    <w:rsid w:val="00E021C2"/>
    <w:rsid w:val="00E024A3"/>
    <w:rsid w:val="00E0423D"/>
    <w:rsid w:val="00E05716"/>
    <w:rsid w:val="00E057B5"/>
    <w:rsid w:val="00E0581E"/>
    <w:rsid w:val="00E079C5"/>
    <w:rsid w:val="00E07CBD"/>
    <w:rsid w:val="00E07F56"/>
    <w:rsid w:val="00E10A16"/>
    <w:rsid w:val="00E1112F"/>
    <w:rsid w:val="00E1318F"/>
    <w:rsid w:val="00E138BE"/>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45F8"/>
    <w:rsid w:val="00E561AD"/>
    <w:rsid w:val="00E57FAF"/>
    <w:rsid w:val="00E60BA9"/>
    <w:rsid w:val="00E63510"/>
    <w:rsid w:val="00E635EA"/>
    <w:rsid w:val="00E6417B"/>
    <w:rsid w:val="00E64814"/>
    <w:rsid w:val="00E655E5"/>
    <w:rsid w:val="00E65F4E"/>
    <w:rsid w:val="00E662E0"/>
    <w:rsid w:val="00E67D5D"/>
    <w:rsid w:val="00E71C7A"/>
    <w:rsid w:val="00E73119"/>
    <w:rsid w:val="00E73E1E"/>
    <w:rsid w:val="00E74909"/>
    <w:rsid w:val="00E767FF"/>
    <w:rsid w:val="00E84C91"/>
    <w:rsid w:val="00E84E60"/>
    <w:rsid w:val="00E8556E"/>
    <w:rsid w:val="00E86A07"/>
    <w:rsid w:val="00E86B2D"/>
    <w:rsid w:val="00E86F4D"/>
    <w:rsid w:val="00E87D08"/>
    <w:rsid w:val="00E90D0E"/>
    <w:rsid w:val="00E9123A"/>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9CB"/>
    <w:rsid w:val="00EB3E49"/>
    <w:rsid w:val="00EB5FC3"/>
    <w:rsid w:val="00EB6DA9"/>
    <w:rsid w:val="00EC0336"/>
    <w:rsid w:val="00EC1561"/>
    <w:rsid w:val="00EC462E"/>
    <w:rsid w:val="00EC6CD8"/>
    <w:rsid w:val="00EC786F"/>
    <w:rsid w:val="00ED1866"/>
    <w:rsid w:val="00ED3134"/>
    <w:rsid w:val="00ED38E2"/>
    <w:rsid w:val="00ED4B8F"/>
    <w:rsid w:val="00ED5C44"/>
    <w:rsid w:val="00ED5C65"/>
    <w:rsid w:val="00ED635B"/>
    <w:rsid w:val="00EE742D"/>
    <w:rsid w:val="00EE7C50"/>
    <w:rsid w:val="00EF0A22"/>
    <w:rsid w:val="00EF1267"/>
    <w:rsid w:val="00EF180C"/>
    <w:rsid w:val="00EF3B6B"/>
    <w:rsid w:val="00EF4B43"/>
    <w:rsid w:val="00EF56BB"/>
    <w:rsid w:val="00EF6750"/>
    <w:rsid w:val="00EF770B"/>
    <w:rsid w:val="00F02836"/>
    <w:rsid w:val="00F02CFA"/>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35F42"/>
    <w:rsid w:val="00F402B5"/>
    <w:rsid w:val="00F4072F"/>
    <w:rsid w:val="00F40848"/>
    <w:rsid w:val="00F42839"/>
    <w:rsid w:val="00F44CC0"/>
    <w:rsid w:val="00F450BA"/>
    <w:rsid w:val="00F4684B"/>
    <w:rsid w:val="00F46BE9"/>
    <w:rsid w:val="00F47C3B"/>
    <w:rsid w:val="00F506CA"/>
    <w:rsid w:val="00F51E50"/>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0DC1"/>
    <w:rsid w:val="00FA458B"/>
    <w:rsid w:val="00FA5EC5"/>
    <w:rsid w:val="00FA7016"/>
    <w:rsid w:val="00FA7174"/>
    <w:rsid w:val="00FA793D"/>
    <w:rsid w:val="00FB020E"/>
    <w:rsid w:val="00FB0F17"/>
    <w:rsid w:val="00FB4B9D"/>
    <w:rsid w:val="00FB50ED"/>
    <w:rsid w:val="00FB6E18"/>
    <w:rsid w:val="00FC144B"/>
    <w:rsid w:val="00FC1C9B"/>
    <w:rsid w:val="00FC2169"/>
    <w:rsid w:val="00FC28E2"/>
    <w:rsid w:val="00FC3BF6"/>
    <w:rsid w:val="00FC3D22"/>
    <w:rsid w:val="00FC5BBD"/>
    <w:rsid w:val="00FC6FE1"/>
    <w:rsid w:val="00FD0C3D"/>
    <w:rsid w:val="00FD2F6B"/>
    <w:rsid w:val="00FD666A"/>
    <w:rsid w:val="00FD78AD"/>
    <w:rsid w:val="00FE064A"/>
    <w:rsid w:val="00FE0B55"/>
    <w:rsid w:val="00FE1E98"/>
    <w:rsid w:val="00FE2452"/>
    <w:rsid w:val="00FE3ED6"/>
    <w:rsid w:val="00FE5469"/>
    <w:rsid w:val="00FE66C2"/>
    <w:rsid w:val="00FE684A"/>
    <w:rsid w:val="00FE6F23"/>
    <w:rsid w:val="00FF0DAE"/>
    <w:rsid w:val="00FF0F8C"/>
    <w:rsid w:val="00FF408B"/>
    <w:rsid w:val="00FF43E1"/>
    <w:rsid w:val="03430854"/>
    <w:rsid w:val="039F5FA6"/>
    <w:rsid w:val="09305ADA"/>
    <w:rsid w:val="0E8013B7"/>
    <w:rsid w:val="10D604C6"/>
    <w:rsid w:val="11B515E0"/>
    <w:rsid w:val="13A53267"/>
    <w:rsid w:val="13F970D2"/>
    <w:rsid w:val="14AA4136"/>
    <w:rsid w:val="163A420B"/>
    <w:rsid w:val="19413B26"/>
    <w:rsid w:val="19FF04ED"/>
    <w:rsid w:val="1C6D3688"/>
    <w:rsid w:val="1CC63D0A"/>
    <w:rsid w:val="1DC2081A"/>
    <w:rsid w:val="1DD94266"/>
    <w:rsid w:val="1F9D0947"/>
    <w:rsid w:val="1FFB29C6"/>
    <w:rsid w:val="22AF3620"/>
    <w:rsid w:val="22E70AD4"/>
    <w:rsid w:val="24F1508D"/>
    <w:rsid w:val="266F634F"/>
    <w:rsid w:val="291059EA"/>
    <w:rsid w:val="2BBF12EC"/>
    <w:rsid w:val="2BC649D9"/>
    <w:rsid w:val="3515160D"/>
    <w:rsid w:val="39DF99DD"/>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608C4642"/>
    <w:rsid w:val="62795572"/>
    <w:rsid w:val="64DD6417"/>
    <w:rsid w:val="66004745"/>
    <w:rsid w:val="6A567F20"/>
    <w:rsid w:val="6CD97953"/>
    <w:rsid w:val="6ED30FD7"/>
    <w:rsid w:val="727D78FD"/>
    <w:rsid w:val="73CC655F"/>
    <w:rsid w:val="75957445"/>
    <w:rsid w:val="75D01AE1"/>
    <w:rsid w:val="77524363"/>
    <w:rsid w:val="77B917B5"/>
    <w:rsid w:val="78703975"/>
    <w:rsid w:val="7BE420FD"/>
    <w:rsid w:val="7D0D296B"/>
    <w:rsid w:val="7D4E0B54"/>
    <w:rsid w:val="7D503E78"/>
    <w:rsid w:val="7E0160D4"/>
    <w:rsid w:val="7FEF3BCC"/>
    <w:rsid w:val="8EEF09EC"/>
    <w:rsid w:val="9EFFE706"/>
    <w:rsid w:val="EFFB1811"/>
    <w:rsid w:val="F867DBF6"/>
    <w:rsid w:val="FF38C4E0"/>
    <w:rsid w:val="FFBF9E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9"/>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0"/>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35"/>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35"/>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可研正文"/>
    <w:basedOn w:val="1"/>
    <w:link w:val="135"/>
    <w:qFormat/>
    <w:uiPriority w:val="0"/>
    <w:pPr>
      <w:ind w:firstLine="200"/>
    </w:pPr>
    <w:rPr>
      <w:rFonts w:ascii="仿宋" w:hAnsi="仿宋" w:eastAsia="仿宋" w:cstheme="minorBidi"/>
      <w:sz w:val="28"/>
      <w:szCs w:val="28"/>
    </w:rPr>
  </w:style>
  <w:style w:type="character" w:customStyle="1" w:styleId="135">
    <w:name w:val="可研正文 Char"/>
    <w:link w:val="134"/>
    <w:qFormat/>
    <w:uiPriority w:val="0"/>
    <w:rPr>
      <w:rFonts w:ascii="仿宋" w:hAnsi="仿宋" w:eastAsia="仿宋" w:cstheme="minorBidi"/>
      <w:kern w:val="2"/>
      <w:sz w:val="28"/>
      <w:szCs w:val="28"/>
    </w:rPr>
  </w:style>
  <w:style w:type="paragraph" w:customStyle="1" w:styleId="136">
    <w:name w:val="图片"/>
    <w:basedOn w:val="1"/>
    <w:qFormat/>
    <w:uiPriority w:val="0"/>
    <w:pPr>
      <w:widowControl/>
      <w:ind w:firstLine="600"/>
      <w:jc w:val="center"/>
    </w:pPr>
    <w:rPr>
      <w:rFonts w:hint="eastAsia"/>
      <w:kern w:val="0"/>
      <w:szCs w:val="21"/>
    </w:rPr>
  </w:style>
  <w:style w:type="paragraph" w:customStyle="1" w:styleId="137">
    <w:name w:val="B-表正文"/>
    <w:qFormat/>
    <w:uiPriority w:val="0"/>
    <w:rPr>
      <w:rFonts w:ascii="Times New Roman" w:hAnsi="Times New Roman" w:eastAsia="仿宋" w:cstheme="minorBidi"/>
      <w:kern w:val="2"/>
      <w:sz w:val="21"/>
      <w:szCs w:val="24"/>
      <w:lang w:val="en-US" w:eastAsia="zh-CN" w:bidi="ar-SA"/>
    </w:rPr>
  </w:style>
  <w:style w:type="paragraph" w:customStyle="1" w:styleId="138">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paragraph" w:customStyle="1" w:styleId="139">
    <w:name w:val="xl63"/>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color w:val="000000"/>
      <w:kern w:val="0"/>
      <w:sz w:val="18"/>
      <w:szCs w:val="18"/>
    </w:rPr>
  </w:style>
  <w:style w:type="paragraph" w:customStyle="1" w:styleId="140">
    <w:name w:val="xl6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cs="宋体"/>
      <w:kern w:val="0"/>
    </w:rPr>
  </w:style>
  <w:style w:type="paragraph" w:customStyle="1" w:styleId="141">
    <w:name w:val="font6"/>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character" w:customStyle="1" w:styleId="142">
    <w:name w:val="fontstyle01"/>
    <w:basedOn w:val="37"/>
    <w:qFormat/>
    <w:uiPriority w:val="0"/>
    <w:rPr>
      <w:rFonts w:hint="eastAsia" w:ascii="宋体" w:hAnsi="宋体" w:eastAsia="宋体"/>
      <w:color w:val="000000"/>
      <w:sz w:val="22"/>
      <w:szCs w:val="22"/>
    </w:rPr>
  </w:style>
  <w:style w:type="character" w:customStyle="1" w:styleId="143">
    <w:name w:val="fontstyle11"/>
    <w:basedOn w:val="37"/>
    <w:qFormat/>
    <w:uiPriority w:val="0"/>
    <w:rPr>
      <w:rFonts w:hint="default" w:ascii="LiberationSans" w:hAnsi="LiberationSans"/>
      <w:color w:val="000000"/>
      <w:sz w:val="22"/>
      <w:szCs w:val="22"/>
    </w:rPr>
  </w:style>
  <w:style w:type="paragraph" w:customStyle="1" w:styleId="144">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111</Pages>
  <Words>42813</Words>
  <Characters>43242</Characters>
  <Lines>4324</Lines>
  <Paragraphs>2151</Paragraphs>
  <TotalTime>118</TotalTime>
  <ScaleCrop>false</ScaleCrop>
  <LinksUpToDate>false</LinksUpToDate>
  <CharactersWithSpaces>83904</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2025-10-01T15:23:00Z</dcterms:created>
  <dc:creator>gtig_tzb</dc:creator>
  <cp:lastModifiedBy>user</cp:lastModifiedBy>
  <cp:lastPrinted>2020-08-07T20:08:00Z</cp:lastPrinted>
  <dcterms:modified xsi:type="dcterms:W3CDTF">2025-10-21T15:25:08Z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F0766D2B77F2A7C11635F768881C1DCA_43</vt:lpwstr>
  </property>
</Properties>
</file>