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rPr>
          <w:rFonts w:hint="default" w:ascii="黑体" w:hAnsi="黑体" w:eastAsia="黑体"/>
          <w:sz w:val="48"/>
          <w:szCs w:val="48"/>
        </w:rPr>
      </w:pPr>
      <w:bookmarkStart w:id="0" w:name="_Toc34080388"/>
      <w:bookmarkStart w:id="1" w:name="_Toc34080571"/>
    </w:p>
    <w:p>
      <w:pPr>
        <w:spacing w:line="276" w:lineRule="auto"/>
        <w:ind w:left="0"/>
        <w:jc w:val="center"/>
        <w:rPr>
          <w:rFonts w:hint="default" w:ascii="黑体" w:hAnsi="黑体" w:eastAsia="黑体"/>
          <w:sz w:val="52"/>
          <w:szCs w:val="52"/>
        </w:rPr>
      </w:pPr>
      <w:r>
        <w:rPr>
          <w:rFonts w:ascii="黑体" w:hAnsi="黑体" w:eastAsia="黑体"/>
          <w:sz w:val="52"/>
          <w:szCs w:val="52"/>
        </w:rPr>
        <w:t>上海市政务云基础设施服务项增补</w:t>
      </w:r>
    </w:p>
    <w:p>
      <w:pPr>
        <w:spacing w:line="360" w:lineRule="auto"/>
        <w:ind w:left="0"/>
        <w:jc w:val="center"/>
        <w:rPr>
          <w:rFonts w:hint="default" w:ascii="黑体" w:hAnsi="黑体" w:eastAsia="黑体"/>
          <w:sz w:val="52"/>
          <w:szCs w:val="52"/>
        </w:rPr>
      </w:pPr>
      <w:r>
        <w:rPr>
          <w:rFonts w:ascii="黑体" w:hAnsi="黑体" w:eastAsia="黑体"/>
          <w:sz w:val="52"/>
          <w:szCs w:val="52"/>
        </w:rPr>
        <w:t>（2024-2025年度）</w:t>
      </w:r>
    </w:p>
    <w:p>
      <w:pPr>
        <w:pStyle w:val="2"/>
        <w:rPr>
          <w:rFonts w:hint="default"/>
        </w:rPr>
      </w:pPr>
    </w:p>
    <w:p>
      <w:pPr>
        <w:spacing w:line="360" w:lineRule="auto"/>
        <w:ind w:left="0"/>
        <w:jc w:val="center"/>
        <w:rPr>
          <w:rFonts w:hint="default" w:ascii="黑体" w:hAnsi="黑体" w:eastAsia="黑体"/>
          <w:sz w:val="52"/>
          <w:szCs w:val="52"/>
        </w:rPr>
      </w:pPr>
      <w:r>
        <w:rPr>
          <w:rFonts w:ascii="黑体" w:hAnsi="黑体" w:eastAsia="黑体"/>
          <w:sz w:val="52"/>
          <w:szCs w:val="52"/>
        </w:rPr>
        <w:t>采购需求</w:t>
      </w: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spacing w:line="276" w:lineRule="auto"/>
        <w:ind w:left="420"/>
        <w:rPr>
          <w:rFonts w:hint="default" w:ascii="宋体" w:hAnsi="宋体"/>
          <w:b/>
        </w:rPr>
      </w:pPr>
    </w:p>
    <w:p>
      <w:pPr>
        <w:pStyle w:val="7"/>
        <w:jc w:val="center"/>
        <w:rPr>
          <w:rFonts w:hint="default"/>
        </w:rPr>
        <w:sectPr>
          <w:footerReference r:id="rId5" w:type="default"/>
          <w:pgSz w:w="11907" w:h="16840"/>
          <w:pgMar w:top="1701" w:right="1134" w:bottom="1701" w:left="1134" w:header="567" w:footer="567" w:gutter="0"/>
          <w:cols w:space="720" w:num="1"/>
          <w:docGrid w:linePitch="312" w:charSpace="0"/>
        </w:sectPr>
      </w:pPr>
    </w:p>
    <w:p>
      <w:pPr>
        <w:pStyle w:val="3"/>
        <w:numPr>
          <w:ilvl w:val="0"/>
          <w:numId w:val="5"/>
        </w:numPr>
        <w:spacing w:line="360" w:lineRule="auto"/>
        <w:rPr>
          <w:rFonts w:hint="default" w:ascii="宋体" w:hAnsi="宋体"/>
        </w:rPr>
      </w:pPr>
      <w:bookmarkStart w:id="2" w:name="_Toc30919"/>
      <w:bookmarkStart w:id="3" w:name="_Toc11293"/>
      <w:r>
        <w:rPr>
          <w:rFonts w:ascii="宋体" w:hAnsi="宋体"/>
        </w:rPr>
        <w:t>项目总体要求</w:t>
      </w:r>
      <w:bookmarkEnd w:id="2"/>
      <w:bookmarkEnd w:id="3"/>
    </w:p>
    <w:p>
      <w:pPr>
        <w:spacing w:line="360" w:lineRule="auto"/>
        <w:ind w:left="0" w:firstLine="420" w:firstLineChars="200"/>
        <w:rPr>
          <w:rFonts w:hint="default" w:ascii="宋体" w:hAnsi="宋体" w:cs="宋体"/>
        </w:rPr>
      </w:pPr>
      <w:r>
        <w:rPr>
          <w:rFonts w:ascii="宋体" w:hAnsi="宋体" w:cs="宋体"/>
        </w:rPr>
        <w:t>为有力支撑全市重大应用的稳定运行，持续提升政务云综合服务能级。市大数据中心拟对现有市级政务云基础设施服务目录进行增补，增补内容涉及政务云创新云环境操作系统、中间件、数据库服务，有效满足各使用单位对政务云共性服务的多元化使用需求，强化市级政务云集约化建设。</w:t>
      </w:r>
    </w:p>
    <w:bookmarkEnd w:id="0"/>
    <w:bookmarkEnd w:id="1"/>
    <w:p>
      <w:pPr>
        <w:pStyle w:val="4"/>
        <w:numPr>
          <w:ilvl w:val="1"/>
          <w:numId w:val="5"/>
        </w:numPr>
        <w:rPr>
          <w:rFonts w:ascii="宋体" w:hAnsi="宋体"/>
          <w:b/>
          <w:sz w:val="32"/>
          <w:szCs w:val="32"/>
          <w:lang w:eastAsia="zh-CN"/>
        </w:rPr>
      </w:pPr>
      <w:bookmarkStart w:id="4" w:name="_Toc34080572"/>
      <w:bookmarkStart w:id="5" w:name="_Toc34080389"/>
      <w:bookmarkStart w:id="6" w:name="_Toc10378"/>
      <w:bookmarkStart w:id="7" w:name="_Toc14959"/>
      <w:r>
        <w:rPr>
          <w:rFonts w:hint="eastAsia" w:ascii="宋体" w:hAnsi="宋体"/>
          <w:b/>
          <w:sz w:val="32"/>
          <w:szCs w:val="32"/>
          <w:lang w:eastAsia="zh-CN"/>
        </w:rPr>
        <w:t>项目总体要求</w:t>
      </w:r>
      <w:bookmarkEnd w:id="4"/>
      <w:bookmarkEnd w:id="5"/>
      <w:bookmarkEnd w:id="6"/>
      <w:bookmarkEnd w:id="7"/>
    </w:p>
    <w:p>
      <w:pPr>
        <w:numPr>
          <w:ilvl w:val="0"/>
          <w:numId w:val="6"/>
        </w:numPr>
        <w:spacing w:line="360" w:lineRule="auto"/>
        <w:rPr>
          <w:rFonts w:hint="default" w:ascii="宋体" w:hAnsi="宋体" w:cs="宋体"/>
        </w:rPr>
      </w:pPr>
      <w:r>
        <w:rPr>
          <w:rFonts w:ascii="宋体" w:hAnsi="宋体" w:cs="宋体"/>
        </w:rPr>
        <w:t>本项目的服务范围为市级政务云使用单位。</w:t>
      </w:r>
    </w:p>
    <w:p>
      <w:pPr>
        <w:numPr>
          <w:ilvl w:val="0"/>
          <w:numId w:val="6"/>
        </w:numPr>
        <w:spacing w:line="360" w:lineRule="auto"/>
        <w:rPr>
          <w:rFonts w:hint="default" w:ascii="宋体" w:hAnsi="宋体" w:cs="宋体"/>
        </w:rPr>
      </w:pPr>
      <w:r>
        <w:rPr>
          <w:rFonts w:ascii="宋体" w:hAnsi="宋体" w:cs="宋体"/>
        </w:rPr>
        <w:t>投标人提供的政务云基础设施服务（以下简称“PaaS服务”）的整体可用性应不低于99.99%，数据可靠性应不低于99.999%，并对服务期间出现的异常问题进行快速响应、处置和恢复。投标人应对每一项PaaS服务的可用性、可靠性等SLA指标进行明确表述。</w:t>
      </w:r>
    </w:p>
    <w:p>
      <w:pPr>
        <w:numPr>
          <w:ilvl w:val="0"/>
          <w:numId w:val="6"/>
        </w:numPr>
        <w:spacing w:line="360" w:lineRule="auto"/>
        <w:rPr>
          <w:rFonts w:hint="default" w:ascii="宋体" w:hAnsi="宋体" w:cs="宋体"/>
        </w:rPr>
      </w:pPr>
      <w:r>
        <w:rPr>
          <w:rFonts w:ascii="宋体" w:hAnsi="宋体" w:cs="宋体"/>
        </w:rPr>
        <w:t>投标人应严格执行国家、地方、行业各项有关本项目业务管理和安全作业的法律、法规和制度，积极主动加强和服务业务及安全等有关的管理工作，并按规定承担相应的费用。投标人因违反规定等原因造成的一切损失和责任由投标人承担。</w:t>
      </w:r>
    </w:p>
    <w:p>
      <w:pPr>
        <w:numPr>
          <w:ilvl w:val="0"/>
          <w:numId w:val="6"/>
        </w:numPr>
        <w:spacing w:line="360" w:lineRule="auto"/>
        <w:rPr>
          <w:rFonts w:hint="default" w:ascii="宋体" w:hAnsi="宋体" w:cs="宋体"/>
        </w:rPr>
      </w:pPr>
      <w:r>
        <w:rPr>
          <w:rFonts w:ascii="宋体" w:hAnsi="宋体" w:cs="宋体"/>
        </w:rPr>
        <w:t>中标人在履行PaaS服务的过程中，需遵守《市级政务云资源管理办法》《市级政务云PaaS服务管理规范》《市级政务云安全管理办法》和《市级政务云监管管理办法》及其他本市及国家政务云相关管理要求，若违反文件相关规定，按照合同违约处理。</w:t>
      </w:r>
    </w:p>
    <w:p>
      <w:pPr>
        <w:numPr>
          <w:ilvl w:val="0"/>
          <w:numId w:val="6"/>
        </w:numPr>
        <w:spacing w:line="360" w:lineRule="auto"/>
        <w:rPr>
          <w:rFonts w:hint="default" w:ascii="宋体" w:hAnsi="宋体" w:cs="宋体"/>
        </w:rPr>
      </w:pPr>
      <w:r>
        <w:rPr>
          <w:rFonts w:ascii="宋体" w:hAnsi="宋体" w:cs="宋体"/>
        </w:rPr>
        <w:t>中标人因提供PaaS服务而需要采购第三方软件产品时应当直接向原厂商采购，不宜通过代理商、经销商进行采购，除非第三方软件产品的市场模式就是原厂商不直接开展销售活动，而是以代理商、经销商为主要经营渠道。</w:t>
      </w:r>
    </w:p>
    <w:p>
      <w:pPr>
        <w:numPr>
          <w:ilvl w:val="0"/>
          <w:numId w:val="6"/>
        </w:numPr>
        <w:spacing w:line="360" w:lineRule="auto"/>
        <w:rPr>
          <w:rFonts w:hint="default" w:ascii="宋体" w:hAnsi="宋体" w:cs="宋体"/>
        </w:rPr>
      </w:pPr>
      <w:r>
        <w:rPr>
          <w:rFonts w:ascii="宋体" w:hAnsi="宋体" w:cs="宋体"/>
        </w:rPr>
        <w:t>采购人已根据预估用量进行了封顶价测算，中标人在履行服务的过程中，采购人使用在服务目录中标注服务周期封顶价的各项服务在单个服务周期内（自合同签订后每自然年为一个服务周期，若单个服务项的服务周期在单个服务周期内不满一年，按照比例折算）有可能超出服务周期封顶价时，中标人应免费提供超出部分的服务，投标人在报价时应综合考虑此因素，采购人不再承担超出封顶价的其他费用。</w:t>
      </w:r>
    </w:p>
    <w:p>
      <w:pPr>
        <w:numPr>
          <w:ilvl w:val="0"/>
          <w:numId w:val="6"/>
        </w:numPr>
        <w:spacing w:line="360" w:lineRule="auto"/>
        <w:rPr>
          <w:rFonts w:hint="default" w:ascii="宋体" w:hAnsi="宋体" w:cs="宋体"/>
        </w:rPr>
      </w:pPr>
      <w:r>
        <w:rPr>
          <w:rFonts w:ascii="宋体" w:hAnsi="宋体" w:cs="宋体"/>
        </w:rPr>
        <w:t>中标人面向使用市级政务云资源的区级使用单位提供服务时，应当按照本次采购确定的服务目录、服务单价、服务标准等自行与区级政务云运行管理单位签订服务合同，相关费用由各区承担，签订服务合同过程中不得再次议价。</w:t>
      </w:r>
    </w:p>
    <w:p>
      <w:pPr>
        <w:numPr>
          <w:ilvl w:val="0"/>
          <w:numId w:val="6"/>
        </w:numPr>
        <w:spacing w:line="360" w:lineRule="auto"/>
        <w:rPr>
          <w:rFonts w:hint="default" w:ascii="宋体" w:hAnsi="宋体" w:cs="宋体"/>
        </w:rPr>
      </w:pPr>
      <w:r>
        <w:rPr>
          <w:rFonts w:ascii="宋体" w:hAnsi="宋体" w:cs="宋体"/>
        </w:rPr>
        <w:t>投标人应当承担因投标人提供服务自身问题导致的数据异常、数据丢失的安全责任。责任范围为上海市政务云基础设施与云上应用系统之间由投标人提供服务的范围</w:t>
      </w:r>
      <w:r>
        <w:rPr>
          <w:rFonts w:hint="default" w:ascii="宋体" w:hAnsi="宋体" w:cs="宋体"/>
        </w:rPr>
        <w:t>。</w:t>
      </w:r>
    </w:p>
    <w:p>
      <w:pPr>
        <w:numPr>
          <w:ilvl w:val="0"/>
          <w:numId w:val="6"/>
        </w:numPr>
        <w:spacing w:line="360" w:lineRule="auto"/>
        <w:rPr>
          <w:rFonts w:hint="default" w:ascii="宋体" w:hAnsi="宋体" w:cs="宋体"/>
        </w:rPr>
      </w:pPr>
      <w:r>
        <w:rPr>
          <w:rFonts w:ascii="宋体" w:hAnsi="宋体" w:cs="宋体"/>
        </w:rPr>
        <w:t>投标人投标的软件型号和部署方式，不得低于招标文件的性能指标及功能要求，在正式提供服务前需要获得</w:t>
      </w:r>
      <w:r>
        <w:rPr>
          <w:rFonts w:hint="default" w:ascii="宋体" w:hAnsi="宋体" w:cs="宋体"/>
        </w:rPr>
        <w:t>招标人</w:t>
      </w:r>
      <w:r>
        <w:rPr>
          <w:rFonts w:ascii="宋体" w:hAnsi="宋体" w:cs="宋体"/>
        </w:rPr>
        <w:t>的方案审核</w:t>
      </w:r>
      <w:r>
        <w:rPr>
          <w:rFonts w:hint="default" w:ascii="宋体" w:hAnsi="宋体" w:cs="宋体"/>
        </w:rPr>
        <w:t>、</w:t>
      </w:r>
      <w:r>
        <w:rPr>
          <w:rFonts w:ascii="宋体" w:hAnsi="宋体" w:cs="宋体"/>
        </w:rPr>
        <w:t>满足</w:t>
      </w:r>
      <w:r>
        <w:rPr>
          <w:rFonts w:hint="default" w:ascii="宋体" w:hAnsi="宋体" w:cs="宋体"/>
        </w:rPr>
        <w:t>招标人</w:t>
      </w:r>
      <w:r>
        <w:rPr>
          <w:rFonts w:ascii="宋体" w:hAnsi="宋体" w:cs="宋体"/>
        </w:rPr>
        <w:t>的上架标准，未经</w:t>
      </w:r>
      <w:r>
        <w:rPr>
          <w:rFonts w:hint="default" w:ascii="宋体" w:hAnsi="宋体" w:cs="宋体"/>
        </w:rPr>
        <w:t>招标人</w:t>
      </w:r>
      <w:r>
        <w:rPr>
          <w:rFonts w:ascii="宋体" w:hAnsi="宋体" w:cs="宋体"/>
        </w:rPr>
        <w:t>书面批准不得随意新增、更改或删除，若自行新增、更改或删除，按照合同违约处理。</w:t>
      </w:r>
    </w:p>
    <w:p>
      <w:pPr>
        <w:numPr>
          <w:ilvl w:val="0"/>
          <w:numId w:val="6"/>
        </w:numPr>
        <w:spacing w:line="360" w:lineRule="auto"/>
        <w:rPr>
          <w:rFonts w:hint="default" w:ascii="宋体" w:hAnsi="宋体" w:cs="宋体"/>
        </w:rPr>
      </w:pPr>
      <w:r>
        <w:rPr>
          <w:rFonts w:ascii="宋体" w:hAnsi="宋体" w:cs="宋体"/>
        </w:rPr>
        <w:t>中标人确认的项目</w:t>
      </w:r>
      <w:r>
        <w:rPr>
          <w:rFonts w:hint="eastAsia" w:ascii="宋体" w:hAnsi="宋体" w:cs="宋体"/>
          <w:lang w:eastAsia="zh-CN"/>
        </w:rPr>
        <w:t>运营</w:t>
      </w:r>
      <w:r>
        <w:rPr>
          <w:rFonts w:ascii="宋体" w:hAnsi="宋体" w:cs="宋体"/>
        </w:rPr>
        <w:t>团队人员及数量，必须与投标文件承诺一致，未经采购人书面批准不得随意调换或撤离，若自行更换或撤离，按照合同违约处理。</w:t>
      </w:r>
    </w:p>
    <w:p>
      <w:pPr>
        <w:numPr>
          <w:ilvl w:val="0"/>
          <w:numId w:val="6"/>
        </w:numPr>
        <w:spacing w:line="360" w:lineRule="auto"/>
        <w:rPr>
          <w:rFonts w:hint="default" w:ascii="宋体" w:hAnsi="宋体" w:cs="宋体"/>
        </w:rPr>
      </w:pPr>
      <w:r>
        <w:rPr>
          <w:rFonts w:ascii="宋体" w:hAnsi="宋体" w:cs="宋体"/>
        </w:rPr>
        <w:t>中标人必须配合采购人及采购人指定的第三方监管团队（如有）的管理工作。</w:t>
      </w:r>
    </w:p>
    <w:p>
      <w:pPr>
        <w:numPr>
          <w:ilvl w:val="0"/>
          <w:numId w:val="6"/>
        </w:numPr>
        <w:spacing w:line="360" w:lineRule="auto"/>
        <w:rPr>
          <w:rFonts w:hint="default" w:ascii="宋体" w:hAnsi="宋体" w:cs="宋体"/>
        </w:rPr>
      </w:pPr>
      <w:r>
        <w:rPr>
          <w:rFonts w:ascii="宋体" w:hAnsi="宋体" w:cs="宋体"/>
        </w:rPr>
        <w:t>投标人需要根据</w:t>
      </w:r>
      <w:r>
        <w:rPr>
          <w:rFonts w:hint="default" w:ascii="宋体" w:hAnsi="宋体" w:cs="宋体"/>
        </w:rPr>
        <w:t>招标人</w:t>
      </w:r>
      <w:r>
        <w:rPr>
          <w:rFonts w:ascii="宋体" w:hAnsi="宋体" w:cs="宋体"/>
        </w:rPr>
        <w:t>要求免费提供使用单位业务接入所需要的测试服务。</w:t>
      </w:r>
    </w:p>
    <w:p>
      <w:pPr>
        <w:numPr>
          <w:ilvl w:val="0"/>
          <w:numId w:val="6"/>
        </w:numPr>
        <w:spacing w:line="360" w:lineRule="auto"/>
        <w:rPr>
          <w:rFonts w:hint="default" w:ascii="宋体" w:hAnsi="宋体" w:cs="宋体"/>
        </w:rPr>
      </w:pPr>
      <w:r>
        <w:t>投标人在服务期结束时应当无条件协助使用单位完成业务数据迁移、备份等工作。以及配合移交服务运行期间产生、收集的数据以及相关文档资料等。</w:t>
      </w:r>
    </w:p>
    <w:p>
      <w:pPr>
        <w:numPr>
          <w:ilvl w:val="0"/>
          <w:numId w:val="6"/>
        </w:numPr>
        <w:spacing w:line="360" w:lineRule="auto"/>
        <w:rPr>
          <w:rFonts w:hint="default" w:ascii="宋体" w:hAnsi="宋体" w:cs="宋体"/>
        </w:rPr>
      </w:pPr>
      <w:r>
        <w:rPr>
          <w:rFonts w:ascii="宋体" w:hAnsi="宋体" w:cs="宋体"/>
        </w:rPr>
        <w:t>验收要求：中标人提供的PaaS服务符合本次招标要求，应当根据本市和市大数据中心数字化项目验收要求提供相关材料并指派负责人协助验收。服务期限终止时，中标人应当以书面形式向采购人提交验收申请，经采购人审核同意后提供包括不限于项目实施方案、项目实施计划、项目运行维护手册、应急预案、合同履行情况自查表、项目过程性材料（会议纪要、测试报告、培训方案等）、服务涉及的软件产品相关文档以及本项目总结报告等。采购人在收到服务提供方提交材料后应尽快组织开展验收工作。中标人未能通过验收的应当在15个工作日内进行整改，并自行承担相关整改费用，再次接受采购人的验收，直至符合约定要求。采购人有权委托第三方机构进行验收，对此服务提供方应当配合。如本项目连续3次验收未通过，采购人有权解除项目，并追究中标人的违约责任。</w:t>
      </w:r>
    </w:p>
    <w:p>
      <w:pPr>
        <w:numPr>
          <w:ilvl w:val="0"/>
          <w:numId w:val="6"/>
        </w:numPr>
        <w:spacing w:line="360" w:lineRule="auto"/>
        <w:rPr>
          <w:rFonts w:hint="default" w:ascii="宋体" w:hAnsi="宋体" w:cs="宋体"/>
        </w:rPr>
      </w:pPr>
      <w:r>
        <w:rPr>
          <w:rFonts w:ascii="宋体" w:hAnsi="宋体" w:cs="宋体"/>
        </w:rPr>
        <w:t>软件合法、合规授权，满足知识产权方面的有关规定和要求。</w:t>
      </w:r>
    </w:p>
    <w:p>
      <w:pPr>
        <w:pStyle w:val="4"/>
        <w:numPr>
          <w:ilvl w:val="1"/>
          <w:numId w:val="5"/>
        </w:numPr>
        <w:rPr>
          <w:rFonts w:ascii="宋体" w:hAnsi="宋体"/>
          <w:b/>
          <w:sz w:val="32"/>
          <w:szCs w:val="32"/>
          <w:lang w:eastAsia="zh-CN"/>
        </w:rPr>
      </w:pPr>
      <w:bookmarkStart w:id="8" w:name="_Toc15033"/>
      <w:bookmarkStart w:id="9" w:name="_Toc16118"/>
      <w:bookmarkStart w:id="10" w:name="_Toc1613165442"/>
      <w:bookmarkStart w:id="11" w:name="_Toc6604"/>
      <w:bookmarkStart w:id="12" w:name="_Toc21711"/>
      <w:bookmarkStart w:id="13" w:name="_Toc1731679465"/>
      <w:bookmarkStart w:id="14" w:name="_Toc34080573"/>
      <w:bookmarkStart w:id="15" w:name="_Toc34080390"/>
      <w:r>
        <w:rPr>
          <w:rFonts w:ascii="宋体" w:hAnsi="宋体" w:cs="Segoe UI Symbol"/>
          <w:b/>
          <w:bCs/>
        </w:rPr>
        <w:t>★</w:t>
      </w:r>
      <w:r>
        <w:rPr>
          <w:rFonts w:hint="eastAsia" w:ascii="宋体" w:hAnsi="宋体"/>
          <w:b/>
          <w:sz w:val="32"/>
          <w:szCs w:val="32"/>
          <w:lang w:eastAsia="zh-CN"/>
        </w:rPr>
        <w:t>项目违约</w:t>
      </w:r>
      <w:bookmarkEnd w:id="8"/>
      <w:bookmarkEnd w:id="9"/>
      <w:r>
        <w:rPr>
          <w:rFonts w:hint="eastAsia" w:ascii="宋体" w:hAnsi="宋体"/>
          <w:b/>
          <w:sz w:val="32"/>
          <w:szCs w:val="32"/>
          <w:lang w:eastAsia="zh-CN"/>
        </w:rPr>
        <w:t>条款</w:t>
      </w:r>
    </w:p>
    <w:p>
      <w:pPr>
        <w:pStyle w:val="5"/>
        <w:numPr>
          <w:ilvl w:val="0"/>
          <w:numId w:val="0"/>
        </w:numPr>
        <w:spacing w:line="360" w:lineRule="auto"/>
        <w:rPr>
          <w:rFonts w:ascii="宋体" w:hAnsi="宋体" w:cs="Arial"/>
          <w:b/>
          <w:bCs/>
          <w:kern w:val="2"/>
          <w:sz w:val="21"/>
          <w:szCs w:val="21"/>
        </w:rPr>
      </w:pPr>
      <w:bookmarkStart w:id="16" w:name="_Toc28818"/>
      <w:bookmarkStart w:id="17" w:name="_Toc31309"/>
      <w:r>
        <w:rPr>
          <w:rFonts w:hint="eastAsia" w:ascii="宋体" w:hAnsi="宋体" w:cs="Arial"/>
          <w:b/>
          <w:bCs/>
          <w:kern w:val="2"/>
          <w:sz w:val="21"/>
          <w:szCs w:val="21"/>
        </w:rPr>
        <w:t>投标人应当对以下项目违约条款作出无条件响应承诺。</w:t>
      </w:r>
      <w:bookmarkEnd w:id="16"/>
      <w:bookmarkEnd w:id="17"/>
    </w:p>
    <w:p>
      <w:pPr>
        <w:numPr>
          <w:ilvl w:val="0"/>
          <w:numId w:val="7"/>
        </w:numPr>
        <w:spacing w:line="360" w:lineRule="auto"/>
        <w:rPr>
          <w:rFonts w:hint="default"/>
        </w:rPr>
      </w:pPr>
      <w:r>
        <w:t>PaaS服务运营采用闭环管理，中标人在招标过程中承诺的服务内容和性能指标，在实际运行过程中不能满足或出现问题的，采购人将根据问题严重程度进行相应违约处理。</w:t>
      </w:r>
    </w:p>
    <w:p>
      <w:pPr>
        <w:numPr>
          <w:ilvl w:val="0"/>
          <w:numId w:val="7"/>
        </w:numPr>
        <w:spacing w:line="360" w:lineRule="auto"/>
        <w:rPr>
          <w:rFonts w:hint="default"/>
        </w:rPr>
      </w:pPr>
      <w:r>
        <w:t>中标人依据《上海市大数据中心市政务云服务商服务考核标准（试行）》接受考核评定，考核内容包含但不限于服务交付管理、人员管理、投诉管理、服务可用性、故障管理、变更管理、制度执行有效性等，采购人将根据考评结果进行相应违约处理。</w:t>
      </w:r>
    </w:p>
    <w:p>
      <w:pPr>
        <w:numPr>
          <w:ilvl w:val="0"/>
          <w:numId w:val="7"/>
        </w:numPr>
        <w:spacing w:line="360" w:lineRule="auto"/>
        <w:rPr>
          <w:rFonts w:hint="default"/>
        </w:rPr>
      </w:pPr>
      <w:r>
        <w:t>出现相关问题时，由第三方界定责任边界和严重程度，通常至少包括：网页篡改、数据丢失、黑客入侵、系统宕机等，政务云管理单位将依据问题严重程度对服务方给予罚款、中止合同或将中标人报财政部门备案。</w:t>
      </w:r>
    </w:p>
    <w:tbl>
      <w:tblPr>
        <w:tblStyle w:val="11"/>
        <w:tblW w:w="8510" w:type="dxa"/>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85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D9D9D9"/>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序号</w:t>
            </w:r>
          </w:p>
        </w:tc>
        <w:tc>
          <w:tcPr>
            <w:tcW w:w="4853" w:type="dxa"/>
            <w:shd w:val="clear" w:color="auto" w:fill="D9D9D9"/>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违约条件</w:t>
            </w:r>
          </w:p>
        </w:tc>
        <w:tc>
          <w:tcPr>
            <w:tcW w:w="2841" w:type="dxa"/>
            <w:shd w:val="clear" w:color="auto" w:fill="D9D9D9"/>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1</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使用单位来函投诉云服务问题</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10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2</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依据本招标要求未能履行的具体条款</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20 万元/项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3</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服务故障导致的业务瘫痪未及时恢复</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50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4</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服务故障导致的业务数据丢失</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50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5</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服务的安全漏洞影响业务安全</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50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6</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因PaaS服务商责任导致的大面积业务瘫痪</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100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7</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因PaaS服务商责任导致的业务生产数据泄露</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100 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8</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当年运营考评总体得分低于90分</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当年结算金额的5%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9</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当年运营考评总体得分低于80分</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当年结算金额的10%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10</w:t>
            </w:r>
          </w:p>
        </w:tc>
        <w:tc>
          <w:tcPr>
            <w:tcW w:w="4853"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当年运营考评总体得分低于70分</w:t>
            </w:r>
          </w:p>
        </w:tc>
        <w:tc>
          <w:tcPr>
            <w:tcW w:w="2841" w:type="dxa"/>
          </w:tcPr>
          <w:p>
            <w:pPr>
              <w:widowControl w:val="0"/>
              <w:topLinePunct w:val="0"/>
              <w:adjustRightInd/>
              <w:snapToGrid/>
              <w:spacing w:before="0" w:after="0" w:line="360" w:lineRule="auto"/>
              <w:ind w:left="0"/>
              <w:jc w:val="center"/>
              <w:rPr>
                <w:rFonts w:hint="default" w:asciiTheme="minorEastAsia" w:hAnsiTheme="minorEastAsia" w:eastAsiaTheme="minorEastAsia" w:cstheme="minorEastAsia"/>
              </w:rPr>
            </w:pPr>
            <w:r>
              <w:rPr>
                <w:rFonts w:asciiTheme="minorEastAsia" w:hAnsiTheme="minorEastAsia" w:eastAsiaTheme="minorEastAsia" w:cstheme="minorEastAsia"/>
              </w:rPr>
              <w:t>当年结算金额的15%</w:t>
            </w:r>
          </w:p>
        </w:tc>
      </w:tr>
    </w:tbl>
    <w:p>
      <w:pPr>
        <w:spacing w:line="240" w:lineRule="auto"/>
        <w:ind w:left="0"/>
        <w:rPr>
          <w:rFonts w:hint="default" w:ascii="宋体" w:hAnsi="宋体" w:cs="宋体"/>
        </w:rPr>
      </w:pPr>
      <w:r>
        <w:rPr>
          <w:rFonts w:ascii="宋体" w:hAnsi="宋体" w:cs="宋体"/>
        </w:rPr>
        <w:t>　　说明：</w:t>
      </w:r>
    </w:p>
    <w:p>
      <w:pPr>
        <w:spacing w:line="240" w:lineRule="auto"/>
        <w:ind w:left="0"/>
        <w:rPr>
          <w:rFonts w:hint="default" w:ascii="宋体" w:hAnsi="宋体" w:cs="宋体"/>
          <w:color w:val="000000"/>
          <w:kern w:val="0"/>
        </w:rPr>
      </w:pPr>
      <w:r>
        <w:rPr>
          <w:rFonts w:ascii="宋体" w:hAnsi="宋体" w:cs="宋体"/>
        </w:rPr>
        <w:t>　　1、违约条件中</w:t>
      </w:r>
      <w:r>
        <w:rPr>
          <w:rFonts w:ascii="宋体" w:hAnsi="宋体" w:cs="宋体"/>
          <w:color w:val="000000"/>
          <w:kern w:val="0"/>
        </w:rPr>
        <w:t>“大面积”指PaaS服务中超50%及以上服务能力丧失，服务功能无法使用的。</w:t>
      </w:r>
    </w:p>
    <w:p>
      <w:pPr>
        <w:spacing w:line="240" w:lineRule="auto"/>
        <w:ind w:left="0"/>
        <w:rPr>
          <w:rFonts w:hint="default" w:ascii="宋体" w:hAnsi="宋体" w:cs="宋体"/>
          <w:color w:val="000000"/>
          <w:kern w:val="0"/>
        </w:rPr>
      </w:pPr>
      <w:r>
        <w:rPr>
          <w:rFonts w:ascii="宋体" w:hAnsi="宋体" w:cs="宋体"/>
          <w:color w:val="000000"/>
          <w:kern w:val="0"/>
        </w:rPr>
        <w:t>　　2、违约条件中“瘫痪”指PaaS服务功能无法使用，不能继续提供相应服务的。</w:t>
      </w:r>
    </w:p>
    <w:p>
      <w:pPr>
        <w:pStyle w:val="2"/>
        <w:rPr>
          <w:rFonts w:hint="default"/>
        </w:rPr>
      </w:pPr>
    </w:p>
    <w:p>
      <w:pPr>
        <w:pStyle w:val="4"/>
        <w:numPr>
          <w:ilvl w:val="1"/>
          <w:numId w:val="5"/>
        </w:numPr>
        <w:rPr>
          <w:rFonts w:ascii="宋体" w:hAnsi="宋体"/>
          <w:b/>
          <w:sz w:val="32"/>
          <w:szCs w:val="32"/>
          <w:lang w:eastAsia="zh-CN"/>
        </w:rPr>
      </w:pPr>
      <w:r>
        <w:rPr>
          <w:rFonts w:hint="eastAsia" w:ascii="宋体" w:hAnsi="宋体"/>
          <w:b/>
          <w:sz w:val="32"/>
          <w:szCs w:val="32"/>
          <w:lang w:eastAsia="zh-CN"/>
        </w:rPr>
        <w:t>项目保密要求</w:t>
      </w:r>
      <w:bookmarkEnd w:id="10"/>
      <w:bookmarkEnd w:id="11"/>
      <w:bookmarkEnd w:id="12"/>
      <w:bookmarkEnd w:id="13"/>
    </w:p>
    <w:bookmarkEnd w:id="14"/>
    <w:bookmarkEnd w:id="15"/>
    <w:p>
      <w:pPr>
        <w:numPr>
          <w:ilvl w:val="0"/>
          <w:numId w:val="8"/>
        </w:numPr>
        <w:spacing w:line="360" w:lineRule="auto"/>
        <w:rPr>
          <w:rFonts w:hint="default"/>
        </w:rPr>
      </w:pPr>
      <w:bookmarkStart w:id="18" w:name="_Toc19007"/>
      <w:bookmarkStart w:id="19" w:name="_Toc34080591"/>
      <w:bookmarkStart w:id="20" w:name="_Toc34080410"/>
      <w:bookmarkStart w:id="21" w:name="_Toc10512"/>
      <w:r>
        <w:t xml:space="preserve">投标人因履行本项目而知悉的所有数据、信息和资料（包括但不限于账号信息、图表、文字、计算过程、电子文件、访谈记录、现场实测数据、采购方相关工作程序等）以及因履行本项目而形成的数据、信息和任何形式的工作成果，均是采购人要求保密的信息。未经采购人书面同意，投标人不得对外泄露采购人要求保密的信息，不得用于其他用途，否则投标人需承担由此引起的法律责任和经济责任，包括但不限于直接损失、间接损失、律师费、诉讼费/仲裁费、调查费、公证费等。 </w:t>
      </w:r>
    </w:p>
    <w:p>
      <w:pPr>
        <w:numPr>
          <w:ilvl w:val="0"/>
          <w:numId w:val="8"/>
        </w:numPr>
        <w:spacing w:line="360" w:lineRule="auto"/>
        <w:rPr>
          <w:rFonts w:hint="default"/>
        </w:rPr>
      </w:pPr>
      <w:r>
        <w:t>PaaS服务支撑的各部门业务系统、所有数据的拥有权及使用权均属于政府，中标人无权对其进行支配，所有设备的维修、报废等处理需经政务云管理单位同意，并在监管下进行。若发现中标人未经许可对业务系统和数据进行支配，采购人将对中标人采取违约处理并追究其法律责任。</w:t>
      </w:r>
    </w:p>
    <w:p>
      <w:pPr>
        <w:numPr>
          <w:ilvl w:val="0"/>
          <w:numId w:val="8"/>
        </w:numPr>
        <w:spacing w:line="360" w:lineRule="auto"/>
        <w:rPr>
          <w:rFonts w:hint="default"/>
        </w:rPr>
      </w:pPr>
      <w:r>
        <w:t xml:space="preserve">投标人应采取必要的有效措施保证其参与本项目的人员（包括投标人聘用的人员、借调的人员、在投标人实习的人员）无论是在职或离职后，以及投标人的合作方无论是合作中或合作终止后，都能够履行本项目约定的保密义务。若投标人人员或投标人合作方违反本条规定，投标人应承担连带责任。 </w:t>
      </w:r>
    </w:p>
    <w:p>
      <w:pPr>
        <w:numPr>
          <w:ilvl w:val="0"/>
          <w:numId w:val="8"/>
        </w:numPr>
        <w:spacing w:line="360" w:lineRule="auto"/>
        <w:rPr>
          <w:rFonts w:hint="default"/>
        </w:rPr>
      </w:pPr>
      <w:r>
        <w:t xml:space="preserve">保密期限自投标人知悉保密信息起始至保密信息被合法公开之日止。 </w:t>
      </w:r>
    </w:p>
    <w:p>
      <w:pPr>
        <w:numPr>
          <w:ilvl w:val="0"/>
          <w:numId w:val="8"/>
        </w:numPr>
        <w:spacing w:line="360" w:lineRule="auto"/>
        <w:rPr>
          <w:rFonts w:hint="default"/>
        </w:rPr>
      </w:pPr>
      <w:r>
        <w:t xml:space="preserve">投标人（含投标人参与本项目的人员）未经采购人书面许可，不得以任何形式自行使用或以任何方式向第三方披露、转让、授权、出售与本项目有关的技术成果、计算机软件、源代码、策划文档、技术诀窍、秘密信息、技术资料和其他文件。 </w:t>
      </w:r>
    </w:p>
    <w:p>
      <w:pPr>
        <w:numPr>
          <w:ilvl w:val="0"/>
          <w:numId w:val="8"/>
        </w:numPr>
        <w:spacing w:line="360" w:lineRule="auto"/>
        <w:rPr>
          <w:rFonts w:hint="default"/>
        </w:rPr>
      </w:pPr>
      <w:r>
        <w:t>在本项目终止或完成之后，项目各方在本项目中的保密义务并不随之终止，各方仍需依据本项目的保密规定履行保密义务。</w:t>
      </w:r>
    </w:p>
    <w:p>
      <w:pPr>
        <w:pStyle w:val="3"/>
        <w:numPr>
          <w:ilvl w:val="0"/>
          <w:numId w:val="5"/>
        </w:numPr>
        <w:spacing w:line="360" w:lineRule="auto"/>
        <w:rPr>
          <w:rFonts w:hint="default" w:ascii="宋体" w:hAnsi="宋体"/>
        </w:rPr>
      </w:pPr>
      <w:r>
        <w:rPr>
          <w:rFonts w:ascii="宋体" w:hAnsi="宋体"/>
        </w:rPr>
        <w:t>技术要求</w:t>
      </w:r>
      <w:bookmarkEnd w:id="18"/>
      <w:bookmarkEnd w:id="19"/>
      <w:bookmarkEnd w:id="20"/>
      <w:bookmarkEnd w:id="21"/>
    </w:p>
    <w:p>
      <w:pPr>
        <w:pStyle w:val="4"/>
        <w:numPr>
          <w:ilvl w:val="1"/>
          <w:numId w:val="5"/>
        </w:numPr>
        <w:rPr>
          <w:rFonts w:ascii="宋体" w:hAnsi="宋体"/>
          <w:b/>
          <w:sz w:val="32"/>
          <w:szCs w:val="32"/>
          <w:lang w:eastAsia="zh-CN"/>
        </w:rPr>
      </w:pPr>
      <w:bookmarkStart w:id="22" w:name="_Toc23569"/>
      <w:r>
        <w:rPr>
          <w:rFonts w:hint="eastAsia" w:ascii="宋体" w:hAnsi="宋体"/>
          <w:b/>
          <w:sz w:val="32"/>
          <w:szCs w:val="32"/>
          <w:lang w:eastAsia="zh-CN"/>
        </w:rPr>
        <w:t>技术整体要求</w:t>
      </w:r>
    </w:p>
    <w:p>
      <w:pPr>
        <w:numPr>
          <w:ilvl w:val="0"/>
          <w:numId w:val="9"/>
        </w:numPr>
        <w:spacing w:line="360" w:lineRule="auto"/>
        <w:rPr>
          <w:rFonts w:hint="default"/>
        </w:rPr>
      </w:pPr>
      <w:r>
        <w:t>系统部署要求：中标人提供的PaaS服务中涉及基础资源使用的（包括但不限于计算、存储、备份）应当使用市级政务云基础设施服务资源。PaaS服务费用中不包含市级政务云基础设施服务资源费用，由采购人按服务单价另行支付。</w:t>
      </w:r>
    </w:p>
    <w:p>
      <w:pPr>
        <w:numPr>
          <w:ilvl w:val="0"/>
          <w:numId w:val="9"/>
        </w:numPr>
        <w:spacing w:line="360" w:lineRule="auto"/>
        <w:rPr>
          <w:rFonts w:hint="default"/>
        </w:rPr>
      </w:pPr>
      <w:r>
        <w:t>安全隔离要求：中标人提供的服务涉及集中部署的应该符合网络安全等级保护三级的要求，开展安全加固工作，每个服务期开展不少于4次服务的安全策略配置、安全扫描和系统漏洞的加固，配合使用单位完成应用的等级保护工作。提供软件介质部署在使用单位资源上的，应当提供安全漏洞修复补丁并提供技术支持，配合使用单位完成应用的等级保护工作。中标人应当通过技术方式确保不同安全责任主体之间的隔离。</w:t>
      </w:r>
    </w:p>
    <w:p>
      <w:pPr>
        <w:numPr>
          <w:ilvl w:val="0"/>
          <w:numId w:val="9"/>
        </w:numPr>
        <w:spacing w:line="360" w:lineRule="auto"/>
        <w:rPr>
          <w:rFonts w:hint="default"/>
        </w:rPr>
      </w:pPr>
      <w:r>
        <w:t>服务交付要求：中标人提供的PaaS服务，应当面向使用单位提供每个服务项的服务接入方式，包括但不限于界面、API接口、文件等。中标人在服务期间提供的PaaS服务涉及的软件产品若出现重大缺陷、安全风险、相关管理单位通报等情况，无法继续提供服务时，应当配合采购人完成已使用服务的服务替代支持和数据迁移。</w:t>
      </w:r>
    </w:p>
    <w:p>
      <w:pPr>
        <w:numPr>
          <w:ilvl w:val="0"/>
          <w:numId w:val="9"/>
        </w:numPr>
        <w:spacing w:line="360" w:lineRule="auto"/>
        <w:rPr>
          <w:rFonts w:hint="default"/>
        </w:rPr>
      </w:pPr>
      <w:r>
        <w:t>服务保障要求：中标人提供的paas服务应当包含相应的软件安装介质、软件更新介质（包括补丁更新与版本升级）、软件使用技术支持、软件安装手册、业务场景接入技术支持以及服务使用培训等服务。</w:t>
      </w:r>
    </w:p>
    <w:p>
      <w:pPr>
        <w:numPr>
          <w:ilvl w:val="0"/>
          <w:numId w:val="9"/>
        </w:numPr>
        <w:spacing w:line="360" w:lineRule="auto"/>
        <w:rPr>
          <w:rFonts w:hint="default"/>
        </w:rPr>
      </w:pPr>
      <w:r>
        <w:t>管理能力要求：中标人应当具备与政务云基础设施监管服务平台（以下简称“云管平台”）进行数据对接和业务协调联动，包括但不限于实时接收使用单位在云管平台中发起的PaaS服务申请工单信息，并向云管平台反馈工单实时处理信息。</w:t>
      </w:r>
    </w:p>
    <w:p>
      <w:pPr>
        <w:numPr>
          <w:ilvl w:val="0"/>
          <w:numId w:val="9"/>
        </w:numPr>
        <w:spacing w:line="360" w:lineRule="auto"/>
        <w:rPr>
          <w:rFonts w:hint="default"/>
        </w:rPr>
      </w:pPr>
      <w:r>
        <w:t>监控能力要求：中标人应当对所提供的各项服务能力提供实时动态的监控服务，并将监控数据同步到“云管平台”中，同步内容包括但不限于服务的使用情况统计、计量计费数据、告警数据、资源数据、运行性能数据、故障处置信息、安全相关信息以及其他日志数据。</w:t>
      </w:r>
    </w:p>
    <w:p>
      <w:pPr>
        <w:numPr>
          <w:ilvl w:val="0"/>
          <w:numId w:val="9"/>
        </w:numPr>
        <w:spacing w:line="360" w:lineRule="auto"/>
        <w:rPr>
          <w:rFonts w:hint="default"/>
        </w:rPr>
      </w:pPr>
      <w:r>
        <w:t>中标人应当配合采购人完成服务考核评估工作，并负责对已经出现的服务问题进行整改。</w:t>
      </w:r>
    </w:p>
    <w:p>
      <w:pPr>
        <w:pStyle w:val="2"/>
        <w:rPr>
          <w:rFonts w:hint="default"/>
        </w:rPr>
      </w:pPr>
    </w:p>
    <w:p>
      <w:pPr>
        <w:pStyle w:val="2"/>
        <w:rPr>
          <w:rFonts w:hint="default"/>
        </w:rPr>
      </w:pPr>
    </w:p>
    <w:p>
      <w:pPr>
        <w:pStyle w:val="2"/>
        <w:rPr>
          <w:rFonts w:hint="default"/>
        </w:rPr>
      </w:pPr>
    </w:p>
    <w:bookmarkEnd w:id="22"/>
    <w:p>
      <w:pPr>
        <w:pStyle w:val="4"/>
        <w:numPr>
          <w:ilvl w:val="1"/>
          <w:numId w:val="5"/>
        </w:numPr>
        <w:rPr>
          <w:rFonts w:ascii="宋体" w:hAnsi="宋体"/>
          <w:b/>
          <w:sz w:val="32"/>
          <w:szCs w:val="32"/>
          <w:lang w:eastAsia="zh-CN"/>
        </w:rPr>
      </w:pPr>
      <w:bookmarkStart w:id="23" w:name="_Toc3814"/>
      <w:r>
        <w:rPr>
          <w:rFonts w:hint="eastAsia" w:ascii="宋体" w:hAnsi="宋体"/>
          <w:b/>
          <w:sz w:val="32"/>
          <w:szCs w:val="32"/>
          <w:lang w:eastAsia="zh-CN"/>
        </w:rPr>
        <w:t>PaaS服务目录</w:t>
      </w:r>
    </w:p>
    <w:tbl>
      <w:tblPr>
        <w:tblStyle w:val="11"/>
        <w:tblW w:w="8800" w:type="dxa"/>
        <w:tblInd w:w="0" w:type="dxa"/>
        <w:tblLayout w:type="fixed"/>
        <w:tblCellMar>
          <w:top w:w="0" w:type="dxa"/>
          <w:left w:w="0" w:type="dxa"/>
          <w:bottom w:w="0" w:type="dxa"/>
          <w:right w:w="0" w:type="dxa"/>
        </w:tblCellMar>
      </w:tblPr>
      <w:tblGrid>
        <w:gridCol w:w="1156"/>
        <w:gridCol w:w="1951"/>
        <w:gridCol w:w="2457"/>
        <w:gridCol w:w="3236"/>
      </w:tblGrid>
      <w:tr>
        <w:tblPrEx>
          <w:tblCellMar>
            <w:top w:w="0" w:type="dxa"/>
            <w:left w:w="0" w:type="dxa"/>
            <w:bottom w:w="0" w:type="dxa"/>
            <w:right w:w="0" w:type="dxa"/>
          </w:tblCellMar>
        </w:tblPrEx>
        <w:trPr>
          <w:trHeight w:val="58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序号</w:t>
            </w:r>
          </w:p>
        </w:tc>
        <w:tc>
          <w:tcPr>
            <w:tcW w:w="19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服务类别</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服务子类</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服务项</w:t>
            </w:r>
          </w:p>
        </w:tc>
      </w:tr>
      <w:tr>
        <w:tblPrEx>
          <w:tblCellMar>
            <w:top w:w="0" w:type="dxa"/>
            <w:left w:w="0" w:type="dxa"/>
            <w:bottom w:w="0" w:type="dxa"/>
            <w:right w:w="0" w:type="dxa"/>
          </w:tblCellMar>
        </w:tblPrEx>
        <w:trPr>
          <w:trHeight w:val="58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1</w:t>
            </w:r>
          </w:p>
        </w:tc>
        <w:tc>
          <w:tcPr>
            <w:tcW w:w="195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平台软件服务</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中间件服务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中间件服务2</w:t>
            </w:r>
          </w:p>
        </w:tc>
      </w:tr>
      <w:tr>
        <w:tblPrEx>
          <w:tblCellMar>
            <w:top w:w="0" w:type="dxa"/>
            <w:left w:w="0" w:type="dxa"/>
            <w:bottom w:w="0" w:type="dxa"/>
            <w:right w:w="0" w:type="dxa"/>
          </w:tblCellMar>
        </w:tblPrEx>
        <w:trPr>
          <w:trHeight w:val="58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2</w:t>
            </w:r>
          </w:p>
        </w:tc>
        <w:tc>
          <w:tcPr>
            <w:tcW w:w="195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val="0"/>
              <w:topLinePunct w:val="0"/>
              <w:adjustRightInd/>
              <w:snapToGrid/>
              <w:spacing w:before="0" w:after="0" w:line="240" w:lineRule="auto"/>
              <w:ind w:left="0"/>
              <w:jc w:val="center"/>
              <w:rPr>
                <w:rFonts w:hint="default" w:ascii="宋体" w:hAnsi="宋体" w:cs="宋体"/>
                <w:bCs/>
                <w:color w:val="000000"/>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中间件服务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lang w:bidi="ar"/>
              </w:rPr>
              <w:t>中间件服务2</w:t>
            </w:r>
            <w:r>
              <w:rPr>
                <w:rFonts w:hint="eastAsia" w:ascii="宋体" w:hAnsi="宋体" w:eastAsia="宋体" w:cs="宋体"/>
                <w:b/>
                <w:bCs/>
                <w:i w:val="0"/>
                <w:iCs w:val="0"/>
                <w:color w:val="000000"/>
                <w:kern w:val="0"/>
                <w:sz w:val="21"/>
                <w:szCs w:val="21"/>
                <w:u w:val="none"/>
                <w:lang w:val="en-US" w:eastAsia="zh-CN" w:bidi="ar"/>
              </w:rPr>
              <w:t>(仅运维部分)</w:t>
            </w:r>
          </w:p>
        </w:tc>
      </w:tr>
      <w:tr>
        <w:tblPrEx>
          <w:tblCellMar>
            <w:top w:w="0" w:type="dxa"/>
            <w:left w:w="0" w:type="dxa"/>
            <w:bottom w:w="0" w:type="dxa"/>
            <w:right w:w="0" w:type="dxa"/>
          </w:tblCellMar>
        </w:tblPrEx>
        <w:trPr>
          <w:trHeight w:val="59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Cs/>
                <w:color w:val="000000"/>
              </w:rPr>
            </w:pPr>
            <w:r>
              <w:rPr>
                <w:rFonts w:ascii="宋体" w:hAnsi="宋体" w:cs="宋体"/>
                <w:bCs/>
                <w:color w:val="000000"/>
                <w:kern w:val="0"/>
                <w:lang w:bidi="ar"/>
              </w:rPr>
              <w:t>3</w:t>
            </w:r>
          </w:p>
        </w:tc>
        <w:tc>
          <w:tcPr>
            <w:tcW w:w="195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val="0"/>
              <w:topLinePunct w:val="0"/>
              <w:adjustRightInd/>
              <w:snapToGrid/>
              <w:spacing w:before="0" w:after="0" w:line="240" w:lineRule="auto"/>
              <w:ind w:left="0"/>
              <w:jc w:val="center"/>
              <w:rPr>
                <w:rFonts w:hint="default" w:ascii="宋体" w:hAnsi="宋体" w:cs="宋体"/>
                <w:bCs/>
                <w:color w:val="000000"/>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hint="default" w:ascii="宋体" w:hAnsi="宋体" w:cs="宋体"/>
                <w:bCs/>
                <w:color w:val="000000"/>
              </w:rPr>
            </w:pPr>
            <w:r>
              <w:rPr>
                <w:rFonts w:ascii="宋体" w:hAnsi="宋体" w:cs="宋体"/>
                <w:bCs/>
                <w:color w:val="000000"/>
                <w:kern w:val="0"/>
                <w:lang w:bidi="ar"/>
              </w:rPr>
              <w:t>操作系统服务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hint="default" w:ascii="宋体" w:hAnsi="宋体" w:cs="宋体"/>
                <w:b/>
                <w:color w:val="000000"/>
              </w:rPr>
            </w:pPr>
            <w:r>
              <w:rPr>
                <w:rFonts w:ascii="宋体" w:hAnsi="宋体" w:cs="宋体"/>
                <w:b/>
                <w:color w:val="000000"/>
                <w:kern w:val="0"/>
                <w:lang w:bidi="ar"/>
              </w:rPr>
              <w:t>操作系统服务</w:t>
            </w:r>
          </w:p>
        </w:tc>
      </w:tr>
      <w:tr>
        <w:tblPrEx>
          <w:tblCellMar>
            <w:top w:w="0" w:type="dxa"/>
            <w:left w:w="0" w:type="dxa"/>
            <w:bottom w:w="0" w:type="dxa"/>
            <w:right w:w="0" w:type="dxa"/>
          </w:tblCellMar>
        </w:tblPrEx>
        <w:trPr>
          <w:trHeight w:val="59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eastAsia" w:ascii="宋体" w:hAnsi="宋体" w:eastAsia="宋体" w:cs="宋体"/>
                <w:bCs/>
                <w:color w:val="000000"/>
                <w:kern w:val="0"/>
                <w:lang w:val="en-US" w:eastAsia="zh-CN" w:bidi="ar"/>
              </w:rPr>
            </w:pPr>
            <w:r>
              <w:rPr>
                <w:rFonts w:hint="eastAsia" w:ascii="宋体" w:hAnsi="宋体" w:cs="宋体"/>
                <w:bCs/>
                <w:color w:val="000000"/>
                <w:kern w:val="0"/>
                <w:lang w:val="en-US" w:eastAsia="zh-CN" w:bidi="ar"/>
              </w:rPr>
              <w:t>4</w:t>
            </w:r>
          </w:p>
        </w:tc>
        <w:tc>
          <w:tcPr>
            <w:tcW w:w="195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val="0"/>
              <w:topLinePunct w:val="0"/>
              <w:adjustRightInd/>
              <w:snapToGrid/>
              <w:spacing w:before="0" w:after="0" w:line="240" w:lineRule="auto"/>
              <w:ind w:left="0"/>
              <w:jc w:val="center"/>
              <w:rPr>
                <w:rFonts w:hint="default" w:ascii="宋体" w:hAnsi="宋体" w:cs="宋体"/>
                <w:bCs/>
                <w:color w:val="000000"/>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ascii="宋体" w:hAnsi="宋体" w:cs="宋体"/>
                <w:bCs/>
                <w:color w:val="000000"/>
                <w:kern w:val="0"/>
                <w:lang w:bidi="ar"/>
              </w:rPr>
            </w:pPr>
            <w:r>
              <w:rPr>
                <w:rFonts w:ascii="宋体" w:hAnsi="宋体" w:cs="宋体"/>
                <w:bCs/>
                <w:color w:val="000000"/>
                <w:kern w:val="0"/>
                <w:lang w:bidi="ar"/>
              </w:rPr>
              <w:t>操作系统服务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ascii="宋体" w:hAnsi="宋体" w:cs="宋体"/>
                <w:b/>
                <w:color w:val="000000"/>
                <w:kern w:val="0"/>
                <w:lang w:bidi="ar"/>
              </w:rPr>
            </w:pPr>
            <w:r>
              <w:rPr>
                <w:rFonts w:ascii="宋体" w:hAnsi="宋体" w:cs="宋体"/>
                <w:b/>
                <w:color w:val="000000"/>
                <w:kern w:val="0"/>
                <w:lang w:bidi="ar"/>
              </w:rPr>
              <w:t>操作系统服务</w:t>
            </w:r>
            <w:r>
              <w:rPr>
                <w:rFonts w:hint="eastAsia" w:ascii="宋体" w:hAnsi="宋体" w:eastAsia="宋体" w:cs="宋体"/>
                <w:b/>
                <w:bCs/>
                <w:i w:val="0"/>
                <w:iCs w:val="0"/>
                <w:color w:val="000000"/>
                <w:kern w:val="0"/>
                <w:sz w:val="21"/>
                <w:szCs w:val="21"/>
                <w:u w:val="none"/>
                <w:lang w:val="en-US" w:eastAsia="zh-CN" w:bidi="ar"/>
              </w:rPr>
              <w:t>(仅运维部分)</w:t>
            </w:r>
          </w:p>
        </w:tc>
      </w:tr>
      <w:tr>
        <w:tblPrEx>
          <w:tblCellMar>
            <w:top w:w="0" w:type="dxa"/>
            <w:left w:w="0" w:type="dxa"/>
            <w:bottom w:w="0" w:type="dxa"/>
            <w:right w:w="0" w:type="dxa"/>
          </w:tblCellMar>
        </w:tblPrEx>
        <w:trPr>
          <w:trHeight w:val="59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eastAsia" w:ascii="宋体" w:hAnsi="宋体" w:eastAsia="宋体" w:cs="宋体"/>
                <w:bCs/>
                <w:color w:val="000000"/>
                <w:kern w:val="0"/>
                <w:lang w:val="en-US" w:eastAsia="zh-CN" w:bidi="ar"/>
              </w:rPr>
            </w:pPr>
            <w:r>
              <w:rPr>
                <w:rFonts w:hint="eastAsia" w:ascii="宋体" w:hAnsi="宋体" w:cs="宋体"/>
                <w:bCs/>
                <w:color w:val="000000"/>
                <w:kern w:val="0"/>
                <w:lang w:val="en-US" w:eastAsia="zh-CN" w:bidi="ar"/>
              </w:rPr>
              <w:t>5</w:t>
            </w:r>
          </w:p>
        </w:tc>
        <w:tc>
          <w:tcPr>
            <w:tcW w:w="195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val="0"/>
              <w:topLinePunct w:val="0"/>
              <w:adjustRightInd/>
              <w:snapToGrid/>
              <w:spacing w:before="0" w:after="0" w:line="240" w:lineRule="auto"/>
              <w:ind w:left="0"/>
              <w:jc w:val="center"/>
              <w:rPr>
                <w:rFonts w:hint="default" w:ascii="宋体" w:hAnsi="宋体" w:cs="宋体"/>
                <w:bCs/>
                <w:color w:val="000000"/>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ascii="宋体" w:hAnsi="宋体" w:cs="宋体"/>
                <w:bCs/>
                <w:color w:val="000000"/>
                <w:kern w:val="0"/>
                <w:lang w:bidi="ar"/>
              </w:rPr>
            </w:pPr>
            <w:r>
              <w:rPr>
                <w:rFonts w:ascii="宋体" w:hAnsi="宋体" w:cs="宋体"/>
                <w:bCs/>
                <w:color w:val="000000"/>
                <w:kern w:val="0"/>
                <w:lang w:bidi="ar"/>
              </w:rPr>
              <w:t>数据库服务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ascii="宋体" w:hAnsi="宋体" w:cs="宋体"/>
                <w:b/>
                <w:color w:val="000000"/>
                <w:kern w:val="0"/>
                <w:lang w:bidi="ar"/>
              </w:rPr>
            </w:pPr>
            <w:r>
              <w:rPr>
                <w:rFonts w:ascii="宋体" w:hAnsi="宋体" w:cs="宋体"/>
                <w:b/>
                <w:color w:val="000000"/>
                <w:kern w:val="0"/>
                <w:lang w:bidi="ar"/>
              </w:rPr>
              <w:t>数据库服务</w:t>
            </w:r>
          </w:p>
        </w:tc>
      </w:tr>
      <w:tr>
        <w:trPr>
          <w:trHeight w:val="59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eastAsia" w:ascii="宋体" w:hAnsi="宋体" w:eastAsia="宋体" w:cs="宋体"/>
                <w:bCs/>
                <w:color w:val="000000"/>
                <w:kern w:val="0"/>
                <w:lang w:val="en-US" w:eastAsia="zh-CN" w:bidi="ar"/>
              </w:rPr>
            </w:pPr>
            <w:r>
              <w:rPr>
                <w:rFonts w:hint="eastAsia" w:ascii="宋体" w:hAnsi="宋体" w:cs="宋体"/>
                <w:bCs/>
                <w:color w:val="000000"/>
                <w:kern w:val="0"/>
                <w:lang w:val="en-US" w:eastAsia="zh-CN" w:bidi="ar"/>
              </w:rPr>
              <w:t>6</w:t>
            </w:r>
          </w:p>
        </w:tc>
        <w:tc>
          <w:tcPr>
            <w:tcW w:w="195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topLinePunct w:val="0"/>
              <w:adjustRightInd/>
              <w:snapToGrid/>
              <w:spacing w:before="0" w:after="0" w:line="240" w:lineRule="auto"/>
              <w:ind w:left="0"/>
              <w:jc w:val="center"/>
              <w:rPr>
                <w:rFonts w:hint="default" w:ascii="宋体" w:hAnsi="宋体" w:cs="宋体"/>
                <w:bCs/>
                <w:color w:val="000000"/>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hint="eastAsia" w:ascii="宋体" w:hAnsi="宋体" w:eastAsia="宋体" w:cs="宋体"/>
                <w:bCs/>
                <w:color w:val="000000"/>
                <w:kern w:val="0"/>
                <w:sz w:val="21"/>
                <w:szCs w:val="21"/>
                <w:lang w:val="en-US" w:eastAsia="zh-CN" w:bidi="ar"/>
              </w:rPr>
            </w:pPr>
            <w:r>
              <w:rPr>
                <w:rFonts w:ascii="宋体" w:hAnsi="宋体" w:cs="宋体"/>
                <w:bCs/>
                <w:color w:val="000000"/>
                <w:kern w:val="0"/>
                <w:lang w:bidi="ar"/>
              </w:rPr>
              <w:t>数据库服务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leftChars="0"/>
              <w:jc w:val="center"/>
              <w:textAlignment w:val="center"/>
              <w:rPr>
                <w:rFonts w:hint="eastAsia" w:ascii="宋体" w:hAnsi="宋体" w:eastAsia="宋体" w:cs="宋体"/>
                <w:b/>
                <w:color w:val="000000"/>
                <w:kern w:val="0"/>
                <w:sz w:val="21"/>
                <w:szCs w:val="21"/>
                <w:lang w:val="en-US" w:eastAsia="zh-CN" w:bidi="ar"/>
              </w:rPr>
            </w:pPr>
            <w:r>
              <w:rPr>
                <w:rFonts w:ascii="宋体" w:hAnsi="宋体" w:cs="宋体"/>
                <w:b/>
                <w:color w:val="000000"/>
                <w:kern w:val="0"/>
                <w:lang w:bidi="ar"/>
              </w:rPr>
              <w:t>数据库服务</w:t>
            </w:r>
            <w:r>
              <w:rPr>
                <w:rFonts w:hint="eastAsia" w:ascii="宋体" w:hAnsi="宋体" w:eastAsia="宋体" w:cs="宋体"/>
                <w:b/>
                <w:bCs/>
                <w:i w:val="0"/>
                <w:iCs w:val="0"/>
                <w:color w:val="000000"/>
                <w:kern w:val="0"/>
                <w:sz w:val="21"/>
                <w:szCs w:val="21"/>
                <w:u w:val="none"/>
                <w:lang w:val="en-US" w:eastAsia="zh-CN" w:bidi="ar"/>
              </w:rPr>
              <w:t>(仅运维部分)</w:t>
            </w:r>
          </w:p>
        </w:tc>
      </w:tr>
    </w:tbl>
    <w:p>
      <w:pPr>
        <w:rPr>
          <w:rFonts w:hint="default"/>
        </w:rPr>
      </w:pPr>
    </w:p>
    <w:p>
      <w:pPr>
        <w:ind w:left="0"/>
        <w:rPr>
          <w:rFonts w:hint="default"/>
        </w:rPr>
      </w:pPr>
      <w:r>
        <w:rPr>
          <w:rFonts w:hint="eastAsia"/>
          <w:lang w:val="en-US" w:eastAsia="zh-CN"/>
        </w:rPr>
        <w:t>*1.</w:t>
      </w:r>
      <w:r>
        <w:rPr>
          <w:rFonts w:hint="default"/>
        </w:rPr>
        <w:t>仅运维部分：投标人为采购人已经采购完成，并且可不限期使用的政务云创新区域中间件、操作系统、数据库产品提供软件更新（包括补丁介质与版本升级指南）等运维服务。</w:t>
      </w:r>
    </w:p>
    <w:p>
      <w:pPr>
        <w:ind w:left="0"/>
        <w:rPr>
          <w:rFonts w:hint="default" w:eastAsia="宋体"/>
          <w:lang w:val="en-US" w:eastAsia="zh-CN"/>
        </w:rPr>
      </w:pPr>
      <w:r>
        <w:rPr>
          <w:rFonts w:hint="eastAsia"/>
          <w:lang w:val="en-US" w:eastAsia="zh-CN"/>
        </w:rPr>
        <w:t>2.投标人如能提供多种类型的中间件、操作系统、数据库的优先考虑。</w:t>
      </w:r>
    </w:p>
    <w:p>
      <w:pPr>
        <w:pStyle w:val="4"/>
        <w:numPr>
          <w:ilvl w:val="1"/>
          <w:numId w:val="5"/>
        </w:numPr>
        <w:rPr>
          <w:rFonts w:ascii="宋体" w:hAnsi="宋体"/>
          <w:b/>
          <w:sz w:val="32"/>
          <w:szCs w:val="32"/>
          <w:lang w:eastAsia="zh-CN"/>
        </w:rPr>
      </w:pPr>
      <w:r>
        <w:rPr>
          <w:rFonts w:hint="eastAsia" w:ascii="宋体" w:hAnsi="宋体"/>
          <w:b/>
          <w:sz w:val="32"/>
          <w:szCs w:val="32"/>
          <w:lang w:eastAsia="zh-CN"/>
        </w:rPr>
        <w:t>PaaS服务采购要求</w:t>
      </w:r>
    </w:p>
    <w:p>
      <w:pPr>
        <w:pStyle w:val="5"/>
        <w:numPr>
          <w:ilvl w:val="2"/>
          <w:numId w:val="5"/>
        </w:numPr>
        <w:rPr>
          <w:rFonts w:ascii="宋体" w:hAnsi="宋体"/>
          <w:b/>
        </w:rPr>
      </w:pPr>
      <w:r>
        <w:rPr>
          <w:rFonts w:hint="eastAsia" w:ascii="宋体" w:hAnsi="宋体"/>
          <w:b/>
        </w:rPr>
        <w:t>中间件服务</w:t>
      </w:r>
      <w:bookmarkEnd w:id="23"/>
      <w:r>
        <w:rPr>
          <w:rFonts w:hint="eastAsia" w:ascii="宋体" w:hAnsi="宋体"/>
          <w:b/>
        </w:rPr>
        <w:t>2</w:t>
      </w:r>
    </w:p>
    <w:tbl>
      <w:tblPr>
        <w:tblStyle w:val="11"/>
        <w:tblW w:w="8806" w:type="dxa"/>
        <w:tblInd w:w="0" w:type="dxa"/>
        <w:tblLayout w:type="fixed"/>
        <w:tblCellMar>
          <w:top w:w="0" w:type="dxa"/>
          <w:left w:w="0" w:type="dxa"/>
          <w:bottom w:w="0" w:type="dxa"/>
          <w:right w:w="0" w:type="dxa"/>
        </w:tblCellMar>
      </w:tblPr>
      <w:tblGrid>
        <w:gridCol w:w="1469"/>
        <w:gridCol w:w="7337"/>
      </w:tblGrid>
      <w:tr>
        <w:tblPrEx>
          <w:tblCellMar>
            <w:top w:w="0" w:type="dxa"/>
            <w:left w:w="0" w:type="dxa"/>
            <w:bottom w:w="0" w:type="dxa"/>
            <w:right w:w="0" w:type="dxa"/>
          </w:tblCellMar>
        </w:tblPrEx>
        <w:trPr>
          <w:trHeight w:val="413"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服务描述</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为应用系统提供应用中间件服务。</w:t>
            </w:r>
          </w:p>
        </w:tc>
      </w:tr>
      <w:tr>
        <w:tblPrEx>
          <w:tblCellMar>
            <w:top w:w="0" w:type="dxa"/>
            <w:left w:w="0" w:type="dxa"/>
            <w:bottom w:w="0" w:type="dxa"/>
            <w:right w:w="0" w:type="dxa"/>
          </w:tblCellMar>
        </w:tblPrEx>
        <w:trPr>
          <w:trHeight w:val="2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部署模式</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rPr>
              <w:t>提供单机及集群部署能力，支持一键部署、嵌入式部署、目录级部署、热部署等多种部署方式；</w:t>
            </w:r>
          </w:p>
        </w:tc>
      </w:tr>
      <w:tr>
        <w:tblPrEx>
          <w:tblCellMar>
            <w:top w:w="0" w:type="dxa"/>
            <w:left w:w="0" w:type="dxa"/>
            <w:bottom w:w="0" w:type="dxa"/>
            <w:right w:w="0" w:type="dxa"/>
          </w:tblCellMar>
        </w:tblPrEx>
        <w:trPr>
          <w:trHeight w:val="87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能力要求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1、整体要求：Java EE应用服务器软件具有国内自主知识产权，提供著作权复印件证明；</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2、功能要求：为响应国家IPv6战略规划要求，必须支持IPv6；</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（1）应用服务器软件异常退出时，支持自动重启，以提供自恢复能力；</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（2）关键部件达到安全可靠测评等级1级及以上；</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3、集群功能要求：支持集群部署，实现负载均衡；</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（1）提供集群管理工具，可对集群节点、集群应用等统一管理配置；</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4、管理性要求：具备标准的B/S模式管理控制台，可远程对应用服务器环境进行应用部署、管理维护和监控；</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（1）支持服务器节点域管理功能；</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（2）提供中间件的服务化发放能力，支持在云平台运营面根据用户指定参数进行中间件实例化发放、升级、销毁的全生命周期管理；</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（3）内置快照功能，能够对服务器及应用程序的运行时信息进行捕获；</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（4）支持监控操作系统、Heap内存、CPU的使用率，配置资源监控阈值告警；</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（5）支持通过管理控制台进行不同节点实例，集群的日志收集、下载、查看，支持日志滚动。</w:t>
            </w:r>
          </w:p>
        </w:tc>
      </w:tr>
      <w:tr>
        <w:tblPrEx>
          <w:tblCellMar>
            <w:top w:w="0" w:type="dxa"/>
            <w:left w:w="0" w:type="dxa"/>
            <w:bottom w:w="0" w:type="dxa"/>
            <w:right w:w="0" w:type="dxa"/>
          </w:tblCellMar>
        </w:tblPrEx>
        <w:trPr>
          <w:trHeight w:val="87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兼容性要求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1、支持多种主流国产操作系统，如中标麒麟、银河麒麟、统信UOS、深度等，也支持国外主流操作系统，如Linux、Windows、Unix等；</w:t>
            </w:r>
          </w:p>
          <w:p>
            <w:pPr>
              <w:topLinePunct w:val="0"/>
              <w:adjustRightInd/>
              <w:snapToGrid/>
              <w:spacing w:before="0" w:after="0" w:line="240" w:lineRule="auto"/>
              <w:ind w:left="0"/>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rPr>
              <w:t>2、支持多种主流国产数据库系统，如达梦、金仓、神通、南大通用等，也支持国外主流数据库系统，如Oracle、DB2、SQL Server、MySQL等；</w:t>
            </w:r>
          </w:p>
        </w:tc>
      </w:tr>
      <w:tr>
        <w:tblPrEx>
          <w:tblCellMar>
            <w:top w:w="0" w:type="dxa"/>
            <w:left w:w="0" w:type="dxa"/>
            <w:bottom w:w="0" w:type="dxa"/>
            <w:right w:w="0" w:type="dxa"/>
          </w:tblCellMar>
        </w:tblPrEx>
        <w:trPr>
          <w:trHeight w:val="58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安全性要求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服务产品需提供防止DoS攻击功能。</w:t>
            </w:r>
          </w:p>
        </w:tc>
      </w:tr>
      <w:tr>
        <w:tblPrEx>
          <w:tblCellMar>
            <w:top w:w="0" w:type="dxa"/>
            <w:left w:w="0" w:type="dxa"/>
            <w:bottom w:w="0" w:type="dxa"/>
            <w:right w:w="0" w:type="dxa"/>
          </w:tblCellMar>
        </w:tblPrEx>
        <w:trPr>
          <w:trHeight w:val="58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服务要求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提供包括不限于该服务的安装介质、版本升级介质、软件安全风险补丁、产品文档、培训咨询、管理端巡检服务、管理端性能调优、重要活动和重大节假日管理端保障等保障服务。</w:t>
            </w:r>
          </w:p>
        </w:tc>
      </w:tr>
      <w:tr>
        <w:tblPrEx>
          <w:tblCellMar>
            <w:top w:w="0" w:type="dxa"/>
            <w:left w:w="0" w:type="dxa"/>
            <w:bottom w:w="0" w:type="dxa"/>
            <w:right w:w="0" w:type="dxa"/>
          </w:tblCellMar>
        </w:tblPrEx>
        <w:trPr>
          <w:trHeight w:val="2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kern w:val="0"/>
              </w:rPr>
            </w:pPr>
            <w:r>
              <w:rPr>
                <w:rFonts w:asciiTheme="minorEastAsia" w:hAnsiTheme="minorEastAsia" w:eastAsiaTheme="minorEastAsia" w:cstheme="minorEastAsia"/>
                <w:color w:val="000000"/>
                <w:kern w:val="0"/>
              </w:rPr>
              <w:t>验收考核要求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1、提供服务对应软件产品的使用详情，以及按套授权使用的依据。</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2、服务结算按照实际授权开通套数计算。</w:t>
            </w:r>
          </w:p>
        </w:tc>
      </w:tr>
    </w:tbl>
    <w:p>
      <w:pPr>
        <w:rPr>
          <w:rFonts w:hint="default"/>
        </w:rPr>
      </w:pPr>
    </w:p>
    <w:p>
      <w:pPr>
        <w:pStyle w:val="5"/>
        <w:numPr>
          <w:ilvl w:val="2"/>
          <w:numId w:val="5"/>
        </w:numPr>
        <w:rPr>
          <w:rFonts w:ascii="宋体" w:hAnsi="宋体"/>
          <w:b/>
        </w:rPr>
      </w:pPr>
      <w:r>
        <w:rPr>
          <w:rFonts w:hint="eastAsia" w:ascii="宋体" w:hAnsi="宋体"/>
          <w:b/>
        </w:rPr>
        <w:t>操作系统服务</w:t>
      </w:r>
    </w:p>
    <w:tbl>
      <w:tblPr>
        <w:tblStyle w:val="11"/>
        <w:tblW w:w="8806" w:type="dxa"/>
        <w:tblInd w:w="0" w:type="dxa"/>
        <w:tblLayout w:type="fixed"/>
        <w:tblCellMar>
          <w:top w:w="0" w:type="dxa"/>
          <w:left w:w="0" w:type="dxa"/>
          <w:bottom w:w="0" w:type="dxa"/>
          <w:right w:w="0" w:type="dxa"/>
        </w:tblCellMar>
      </w:tblPr>
      <w:tblGrid>
        <w:gridCol w:w="1469"/>
        <w:gridCol w:w="7337"/>
      </w:tblGrid>
      <w:tr>
        <w:tblPrEx>
          <w:tblCellMar>
            <w:top w:w="0" w:type="dxa"/>
            <w:left w:w="0" w:type="dxa"/>
            <w:bottom w:w="0" w:type="dxa"/>
            <w:right w:w="0" w:type="dxa"/>
          </w:tblCellMar>
        </w:tblPrEx>
        <w:trPr>
          <w:trHeight w:val="413"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服务描述</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提供操作系统服务。</w:t>
            </w:r>
          </w:p>
        </w:tc>
      </w:tr>
      <w:tr>
        <w:tblPrEx>
          <w:tblCellMar>
            <w:top w:w="0" w:type="dxa"/>
            <w:left w:w="0" w:type="dxa"/>
            <w:bottom w:w="0" w:type="dxa"/>
            <w:right w:w="0" w:type="dxa"/>
          </w:tblCellMar>
        </w:tblPrEx>
        <w:trPr>
          <w:trHeight w:val="87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能力要求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1、基础核心：Kernel版本不低于4.9；</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2、架构支持：支持龙芯、鲲鹏、兆芯、海光、飞腾、申威等国产主流芯片处理器；</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（1）支持双核及多核处理器；</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（2）支持并优化NUMA体系架构；</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（3）标准符合度：产品获得《计算机软件著作权登记证书》;</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3、文件系统：支持XFS、EXT3、EXT4、NTFS等文件系统；</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4、功能要求：具备文件管理、设备管理、日志管理、服务管理、进程和监控管理、网络管理、资源管理、软件包管理、硬盘管理等基本功能，提供语言支持工具、集成开发平台等常用工具，支持 KVM 虚拟化技术；</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5、技术规格：</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（1）逻辑CPU最大支持：不小于128；</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（2）内存最大支持：不小于2TB；</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（3）单个文件最大支持：不小于2TB；</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（4）文件系统最大支持：不小于16TB；</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（5）支持SELinux；</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（6）关键部件达到安全可靠测评等级1级及以上；</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6、系统引导：支持GRUB2引导，支持MBR及GPT（GUID分区表）分区；</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7、网络支持：支持网卡bonding；</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8、高可用支持：支持软件负载均衡，支持多种网卡Bonding，提高可用性；</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（1）支持存储多路径并提供multipath驱动；</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9、开发运行环境：支持java 1.7.0、1.8.0，支持GCC包含的C、C++和java等相应支持库，集成Qt开发框架，支持Python, Shell，Ruby，PHP等脚本语言；</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10、虚拟化云平台兼容性：兼容华为HCS、阿里飞天等云平台软件；</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11、硬件兼容性：兼容国内外主流的服务器、存储等硬件产品，包括华为、长城、百信等；</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12、文件安全性：支持文件系统加密；</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13、支持文件完整性检查；</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14、网络安全性：支持 HTTP、FTP、VNC、TCP、UDP、IP、FTP、DNS、 NFS、NTP、DHCP、SSH 等多种网络协议。</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（1）支持Firewalld（IPtables），支持动态管理的防火墙，并支持网络“区域”以便为网络及其相关链接和接口分配可信度，支持 IPv4 和 IPv6 防火墙设置，支持以太网桥接并有独立的运行时和持久配置选项，提供可直接添加防火墙规则的服务或者应用程序接口；</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15、维护能力要求：支持在云平台上进行操作系统License发放情况管理；</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16、系统审计：提供系统审计日志</w:t>
            </w:r>
          </w:p>
        </w:tc>
      </w:tr>
      <w:tr>
        <w:tblPrEx>
          <w:tblCellMar>
            <w:top w:w="0" w:type="dxa"/>
            <w:left w:w="0" w:type="dxa"/>
            <w:bottom w:w="0" w:type="dxa"/>
            <w:right w:w="0" w:type="dxa"/>
          </w:tblCellMar>
        </w:tblPrEx>
        <w:trPr>
          <w:trHeight w:val="58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rPr>
            </w:pPr>
            <w:r>
              <w:rPr>
                <w:rFonts w:asciiTheme="minorEastAsia" w:hAnsiTheme="minorEastAsia" w:eastAsiaTheme="minorEastAsia" w:cstheme="minorEastAsia"/>
                <w:color w:val="000000"/>
                <w:kern w:val="0"/>
              </w:rPr>
              <w:t>服务要求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numPr>
                <w:ilvl w:val="0"/>
                <w:numId w:val="10"/>
              </w:num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提供包括不限于该服务的安装介质、版本升级介质、软件安全风险补丁、产品文档、培训咨询、管理端巡检服务、管理端性能调优、重要活动和重大节假日管理端保障等保障服务。</w:t>
            </w:r>
          </w:p>
          <w:p>
            <w:pPr>
              <w:numPr>
                <w:ilvl w:val="0"/>
                <w:numId w:val="10"/>
              </w:num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应当负责软件产品安装。</w:t>
            </w:r>
          </w:p>
          <w:p>
            <w:pPr>
              <w:numPr>
                <w:ilvl w:val="0"/>
                <w:numId w:val="10"/>
              </w:num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应当根据采购人的要求部署操作系统的软件源，并且及时发布补丁。</w:t>
            </w:r>
          </w:p>
        </w:tc>
      </w:tr>
      <w:tr>
        <w:tblPrEx>
          <w:tblCellMar>
            <w:top w:w="0" w:type="dxa"/>
            <w:left w:w="0" w:type="dxa"/>
            <w:bottom w:w="0" w:type="dxa"/>
            <w:right w:w="0" w:type="dxa"/>
          </w:tblCellMar>
        </w:tblPrEx>
        <w:trPr>
          <w:trHeight w:val="2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Theme="minorEastAsia" w:hAnsiTheme="minorEastAsia" w:eastAsiaTheme="minorEastAsia" w:cstheme="minorEastAsia"/>
                <w:color w:val="000000"/>
                <w:kern w:val="0"/>
              </w:rPr>
            </w:pPr>
            <w:r>
              <w:rPr>
                <w:rFonts w:asciiTheme="minorEastAsia" w:hAnsiTheme="minorEastAsia" w:eastAsiaTheme="minorEastAsia" w:cstheme="minorEastAsia"/>
                <w:color w:val="000000"/>
                <w:kern w:val="0"/>
              </w:rPr>
              <w:t>验收考核要求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1、提供服务对应软件产品的使用详情，以及按套授权使用的依据。</w:t>
            </w:r>
          </w:p>
          <w:p>
            <w:pPr>
              <w:topLinePunct w:val="0"/>
              <w:adjustRightInd/>
              <w:snapToGrid/>
              <w:spacing w:before="0" w:after="0" w:line="240" w:lineRule="auto"/>
              <w:ind w:left="0"/>
              <w:textAlignment w:val="center"/>
              <w:rPr>
                <w:rFonts w:hint="default" w:asciiTheme="minorEastAsia" w:hAnsiTheme="minorEastAsia" w:eastAsiaTheme="minorEastAsia" w:cstheme="minorEastAsia"/>
              </w:rPr>
            </w:pPr>
            <w:r>
              <w:rPr>
                <w:rFonts w:asciiTheme="minorEastAsia" w:hAnsiTheme="minorEastAsia" w:eastAsiaTheme="minorEastAsia" w:cstheme="minorEastAsia"/>
              </w:rPr>
              <w:t>2、服务结算按照实际授权开通套数计算。</w:t>
            </w:r>
          </w:p>
        </w:tc>
      </w:tr>
    </w:tbl>
    <w:p>
      <w:pPr>
        <w:rPr>
          <w:rFonts w:hint="default"/>
        </w:rPr>
      </w:pPr>
    </w:p>
    <w:p>
      <w:pPr>
        <w:pStyle w:val="5"/>
        <w:numPr>
          <w:ilvl w:val="2"/>
          <w:numId w:val="5"/>
        </w:numPr>
        <w:rPr>
          <w:rFonts w:ascii="宋体" w:hAnsi="宋体"/>
          <w:b/>
        </w:rPr>
      </w:pPr>
      <w:r>
        <w:rPr>
          <w:rFonts w:hint="eastAsia" w:ascii="宋体" w:hAnsi="宋体"/>
          <w:b/>
        </w:rPr>
        <w:t>数据库服务</w:t>
      </w:r>
    </w:p>
    <w:tbl>
      <w:tblPr>
        <w:tblStyle w:val="11"/>
        <w:tblW w:w="8806" w:type="dxa"/>
        <w:tblInd w:w="0" w:type="dxa"/>
        <w:tblLayout w:type="fixed"/>
        <w:tblCellMar>
          <w:top w:w="0" w:type="dxa"/>
          <w:left w:w="0" w:type="dxa"/>
          <w:bottom w:w="0" w:type="dxa"/>
          <w:right w:w="0" w:type="dxa"/>
        </w:tblCellMar>
      </w:tblPr>
      <w:tblGrid>
        <w:gridCol w:w="1469"/>
        <w:gridCol w:w="7337"/>
      </w:tblGrid>
      <w:tr>
        <w:tblPrEx>
          <w:tblCellMar>
            <w:top w:w="0" w:type="dxa"/>
            <w:left w:w="0" w:type="dxa"/>
            <w:bottom w:w="0" w:type="dxa"/>
            <w:right w:w="0" w:type="dxa"/>
          </w:tblCellMar>
        </w:tblPrEx>
        <w:trPr>
          <w:trHeight w:val="413"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服务描述</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宋体" w:hAnsi="宋体" w:cs="宋体"/>
                <w:color w:val="000000"/>
              </w:rPr>
            </w:pPr>
            <w:r>
              <w:rPr>
                <w:rFonts w:ascii="宋体" w:hAnsi="宋体" w:cs="宋体"/>
                <w:color w:val="000000"/>
                <w:kern w:val="0"/>
              </w:rPr>
              <w:t>提供数据库服务。</w:t>
            </w:r>
          </w:p>
        </w:tc>
      </w:tr>
      <w:tr>
        <w:tblPrEx>
          <w:tblCellMar>
            <w:top w:w="0" w:type="dxa"/>
            <w:left w:w="0" w:type="dxa"/>
            <w:bottom w:w="0" w:type="dxa"/>
            <w:right w:w="0" w:type="dxa"/>
          </w:tblCellMar>
        </w:tblPrEx>
        <w:trPr>
          <w:trHeight w:val="87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能力要求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rPr>
            </w:pPr>
            <w:r>
              <w:t>1、整体要求：产品必须完全自主原创，避免潜在的版权纠纷，对软件自主可控，从底层保证系统的安全性；</w:t>
            </w:r>
          </w:p>
          <w:p>
            <w:pPr>
              <w:topLinePunct w:val="0"/>
              <w:adjustRightInd/>
              <w:snapToGrid/>
              <w:spacing w:before="0" w:after="0" w:line="240" w:lineRule="auto"/>
              <w:ind w:left="0"/>
              <w:textAlignment w:val="center"/>
              <w:rPr>
                <w:rFonts w:hint="default"/>
              </w:rPr>
            </w:pPr>
            <w:r>
              <w:t>2 架构支持：支持龙芯、鲲鹏、兆芯、海光、飞腾、申威等国产主流芯片处理器；</w:t>
            </w:r>
          </w:p>
          <w:p>
            <w:pPr>
              <w:topLinePunct w:val="0"/>
              <w:adjustRightInd/>
              <w:snapToGrid/>
              <w:spacing w:before="0" w:after="0" w:line="240" w:lineRule="auto"/>
              <w:ind w:left="0"/>
              <w:textAlignment w:val="center"/>
              <w:rPr>
                <w:rFonts w:hint="default"/>
              </w:rPr>
            </w:pPr>
            <w:r>
              <w:t>（1）支持双核及多核处理器；</w:t>
            </w:r>
          </w:p>
          <w:p>
            <w:pPr>
              <w:topLinePunct w:val="0"/>
              <w:adjustRightInd/>
              <w:snapToGrid/>
              <w:spacing w:before="0" w:after="0" w:line="240" w:lineRule="auto"/>
              <w:ind w:left="0"/>
              <w:textAlignment w:val="center"/>
              <w:rPr>
                <w:rFonts w:hint="default"/>
              </w:rPr>
            </w:pPr>
            <w:r>
              <w:t>（2）支持并优化NUMA体系架构；</w:t>
            </w:r>
          </w:p>
          <w:p>
            <w:pPr>
              <w:topLinePunct w:val="0"/>
              <w:adjustRightInd/>
              <w:snapToGrid/>
              <w:spacing w:before="0" w:after="0" w:line="240" w:lineRule="auto"/>
              <w:ind w:left="0"/>
              <w:textAlignment w:val="center"/>
              <w:rPr>
                <w:rFonts w:hint="default"/>
              </w:rPr>
            </w:pPr>
            <w:r>
              <w:t>3、功能要求：提供联机事件跟踪和会话、性能监视工具，以协助数据库管理员进行系统性能分析；</w:t>
            </w:r>
          </w:p>
          <w:p>
            <w:pPr>
              <w:topLinePunct w:val="0"/>
              <w:adjustRightInd/>
              <w:snapToGrid/>
              <w:spacing w:before="0" w:after="0" w:line="240" w:lineRule="auto"/>
              <w:ind w:left="0"/>
              <w:textAlignment w:val="center"/>
              <w:rPr>
                <w:rFonts w:hint="default"/>
              </w:rPr>
            </w:pPr>
            <w:r>
              <w:t>（1）关键部件达到安全可靠测评等级1级及以上；</w:t>
            </w:r>
          </w:p>
          <w:p>
            <w:pPr>
              <w:topLinePunct w:val="0"/>
              <w:adjustRightInd/>
              <w:snapToGrid/>
              <w:spacing w:before="0" w:after="0" w:line="240" w:lineRule="auto"/>
              <w:ind w:left="0"/>
              <w:textAlignment w:val="center"/>
              <w:rPr>
                <w:rFonts w:hint="default"/>
              </w:rPr>
            </w:pPr>
            <w:r>
              <w:t>（2）支持插入触发器、更新触发器、删除触发器等触发器类型；</w:t>
            </w:r>
          </w:p>
          <w:p>
            <w:pPr>
              <w:topLinePunct w:val="0"/>
              <w:adjustRightInd/>
              <w:snapToGrid/>
              <w:spacing w:before="0" w:after="0" w:line="240" w:lineRule="auto"/>
              <w:ind w:left="0"/>
              <w:textAlignment w:val="center"/>
              <w:rPr>
                <w:rFonts w:hint="default"/>
              </w:rPr>
            </w:pPr>
            <w:r>
              <w:t>（3）支持可编程的SQL语言，支持存储过程、函数和过程包，用于实现复杂的判断和运算功能； 可编程SQL语言应支持数组类型、内嵌表类型和动态SQL类型等；</w:t>
            </w:r>
          </w:p>
          <w:p>
            <w:pPr>
              <w:topLinePunct w:val="0"/>
              <w:adjustRightInd/>
              <w:snapToGrid/>
              <w:spacing w:before="0" w:after="0" w:line="240" w:lineRule="auto"/>
              <w:ind w:left="0"/>
              <w:textAlignment w:val="center"/>
              <w:rPr>
                <w:rFonts w:hint="default"/>
              </w:rPr>
            </w:pPr>
            <w:r>
              <w:t>（4）支持INSERT ALL同时插入多张表；</w:t>
            </w:r>
          </w:p>
          <w:p>
            <w:pPr>
              <w:topLinePunct w:val="0"/>
              <w:adjustRightInd/>
              <w:snapToGrid/>
              <w:spacing w:before="0" w:after="0" w:line="240" w:lineRule="auto"/>
              <w:ind w:left="0"/>
              <w:textAlignment w:val="center"/>
              <w:rPr>
                <w:rFonts w:hint="default"/>
              </w:rPr>
            </w:pPr>
            <w:r>
              <w:t>（5）支持INSERT..VALUES(value_list)[,(value_list)]..一次插入多条记录；</w:t>
            </w:r>
          </w:p>
          <w:p>
            <w:pPr>
              <w:topLinePunct w:val="0"/>
              <w:adjustRightInd/>
              <w:snapToGrid/>
              <w:spacing w:before="0" w:after="0" w:line="240" w:lineRule="auto"/>
              <w:ind w:left="0"/>
              <w:textAlignment w:val="center"/>
              <w:rPr>
                <w:rFonts w:hint="default"/>
              </w:rPr>
            </w:pPr>
            <w:r>
              <w:t>4、兼容性要求：具备高可扩展性，支持主备集群、读写分离集群等；</w:t>
            </w:r>
          </w:p>
          <w:p>
            <w:pPr>
              <w:topLinePunct w:val="0"/>
              <w:adjustRightInd/>
              <w:snapToGrid/>
              <w:spacing w:before="0" w:after="0" w:line="240" w:lineRule="auto"/>
              <w:ind w:left="0"/>
              <w:textAlignment w:val="center"/>
              <w:rPr>
                <w:rFonts w:hint="default"/>
              </w:rPr>
            </w:pPr>
            <w:r>
              <w:t>（1）兼容Windows系列、主流Linux发行分支如RedHat、Debian、Ubuntu、CentOS等系列、中标麒麟、银河麒麟、统信UOS等多种国产Linux系列操作系统；</w:t>
            </w:r>
          </w:p>
          <w:p>
            <w:pPr>
              <w:topLinePunct w:val="0"/>
              <w:adjustRightInd/>
              <w:snapToGrid/>
              <w:spacing w:before="0" w:after="0" w:line="240" w:lineRule="auto"/>
              <w:ind w:left="0"/>
              <w:textAlignment w:val="center"/>
              <w:rPr>
                <w:rFonts w:hint="default"/>
              </w:rPr>
            </w:pPr>
            <w:r>
              <w:t>（2）兼容多种应用中间件，包括但不限于tomcat、Weblogic、websphere、东方通、中创、金蝶、保兰德、普元；</w:t>
            </w:r>
          </w:p>
          <w:p>
            <w:pPr>
              <w:topLinePunct w:val="0"/>
              <w:adjustRightInd/>
              <w:snapToGrid/>
              <w:spacing w:before="0" w:after="0" w:line="240" w:lineRule="auto"/>
              <w:ind w:left="0"/>
              <w:textAlignment w:val="center"/>
              <w:rPr>
                <w:rFonts w:hint="default"/>
              </w:rPr>
            </w:pPr>
            <w:r>
              <w:t>（3）支持传统的虚拟机环境部署，也支持通过Docker容器，或在裸金属环境下部署；</w:t>
            </w:r>
          </w:p>
          <w:p>
            <w:pPr>
              <w:topLinePunct w:val="0"/>
              <w:adjustRightInd/>
              <w:snapToGrid/>
              <w:spacing w:before="0" w:after="0" w:line="240" w:lineRule="auto"/>
              <w:ind w:left="0"/>
              <w:textAlignment w:val="center"/>
              <w:rPr>
                <w:rFonts w:hint="default"/>
              </w:rPr>
            </w:pPr>
            <w:r>
              <w:t>5、可靠性要求：具备高可靠性，支持完全备份、增量备份、差异备份、归档备份等功能；</w:t>
            </w:r>
          </w:p>
          <w:p>
            <w:pPr>
              <w:topLinePunct w:val="0"/>
              <w:adjustRightInd/>
              <w:snapToGrid/>
              <w:spacing w:before="0" w:after="0" w:line="240" w:lineRule="auto"/>
              <w:ind w:left="0"/>
              <w:textAlignment w:val="center"/>
              <w:rPr>
                <w:rFonts w:hint="default"/>
              </w:rPr>
            </w:pPr>
            <w:r>
              <w:t>（1）支持逻辑备份恢复，可对库、用户、模式、表、选定的数据行进行备份和恢复；</w:t>
            </w:r>
          </w:p>
          <w:p>
            <w:pPr>
              <w:topLinePunct w:val="0"/>
              <w:adjustRightInd/>
              <w:snapToGrid/>
              <w:spacing w:before="0" w:after="0" w:line="240" w:lineRule="auto"/>
              <w:ind w:left="0"/>
              <w:textAlignment w:val="center"/>
              <w:rPr>
                <w:rFonts w:hint="default"/>
              </w:rPr>
            </w:pPr>
            <w:r>
              <w:t>（2）支持物理备份和恢复，支持在线和离线备份，支持对库、表空间、表、归档等多种粒度的备份，支持基于备份集的方式进行备份，支持完全备份、增量备份的备份和还原，支持基于时间点的还原；</w:t>
            </w:r>
          </w:p>
          <w:p>
            <w:pPr>
              <w:topLinePunct w:val="0"/>
              <w:adjustRightInd/>
              <w:snapToGrid/>
              <w:spacing w:before="0" w:after="0" w:line="240" w:lineRule="auto"/>
              <w:ind w:left="0"/>
              <w:textAlignment w:val="center"/>
              <w:rPr>
                <w:rFonts w:hint="default"/>
              </w:rPr>
            </w:pPr>
            <w:r>
              <w:t>6、管理性要求：提供图形化、命令行、静默等三种方式进行产品安装以适应不同的使用环境，且不同的软硬件平台下保持相同的安装向导过程；</w:t>
            </w:r>
          </w:p>
          <w:p>
            <w:pPr>
              <w:topLinePunct w:val="0"/>
              <w:adjustRightInd/>
              <w:snapToGrid/>
              <w:spacing w:before="0" w:after="0" w:line="240" w:lineRule="auto"/>
              <w:ind w:left="0"/>
              <w:textAlignment w:val="center"/>
              <w:rPr>
                <w:rFonts w:hint="default"/>
              </w:rPr>
            </w:pPr>
            <w:r>
              <w:t>（1）提供多种功能的命令行工具和图形化工具，便于使用管理和自定义集成。需提供远程的SQL执行和管理的的命令行工具以及图形化的对象管理和SQL执行工具、性能监控工具。</w:t>
            </w:r>
          </w:p>
        </w:tc>
      </w:tr>
      <w:tr>
        <w:tblPrEx>
          <w:tblCellMar>
            <w:top w:w="0" w:type="dxa"/>
            <w:left w:w="0" w:type="dxa"/>
            <w:bottom w:w="0" w:type="dxa"/>
            <w:right w:w="0" w:type="dxa"/>
          </w:tblCellMar>
        </w:tblPrEx>
        <w:trPr>
          <w:trHeight w:val="58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服务要求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宋体" w:hAnsi="宋体" w:cs="宋体"/>
                <w:color w:val="000000"/>
              </w:rPr>
            </w:pPr>
            <w:r>
              <w:rPr>
                <w:rFonts w:ascii="宋体" w:hAnsi="宋体" w:cs="宋体"/>
                <w:color w:val="000000"/>
                <w:kern w:val="0"/>
              </w:rPr>
              <w:t>提供包括不限于该服务的安装介质、版本升级介质、软件安全风险补丁、产品文档、培训咨询、管理端巡检服务、管理端性能调优、重要活动和重大节假日管理端保障等保障服务。</w:t>
            </w:r>
          </w:p>
        </w:tc>
      </w:tr>
      <w:tr>
        <w:tblPrEx>
          <w:tblCellMar>
            <w:top w:w="0" w:type="dxa"/>
            <w:left w:w="0" w:type="dxa"/>
            <w:bottom w:w="0" w:type="dxa"/>
            <w:right w:w="0" w:type="dxa"/>
          </w:tblCellMar>
        </w:tblPrEx>
        <w:trPr>
          <w:trHeight w:val="2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kern w:val="0"/>
              </w:rPr>
            </w:pPr>
            <w:r>
              <w:rPr>
                <w:rFonts w:ascii="宋体" w:hAnsi="宋体" w:cs="宋体"/>
                <w:color w:val="000000"/>
                <w:kern w:val="0"/>
              </w:rPr>
              <w:t>验收考核要求</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textAlignment w:val="center"/>
              <w:rPr>
                <w:rFonts w:hint="default" w:ascii="宋体" w:hAnsi="宋体" w:cs="宋体"/>
                <w:color w:val="000000"/>
                <w:kern w:val="0"/>
              </w:rPr>
            </w:pPr>
            <w:r>
              <w:rPr>
                <w:rFonts w:ascii="宋体" w:hAnsi="宋体" w:cs="宋体"/>
                <w:color w:val="000000"/>
                <w:kern w:val="0"/>
              </w:rPr>
              <w:t>1、提供服务对应软件产品的使用详情，以及按套授权使用的依据。</w:t>
            </w:r>
          </w:p>
          <w:p>
            <w:pPr>
              <w:topLinePunct w:val="0"/>
              <w:adjustRightInd/>
              <w:snapToGrid/>
              <w:spacing w:before="0" w:after="0" w:line="240" w:lineRule="auto"/>
              <w:ind w:left="0"/>
              <w:textAlignment w:val="center"/>
              <w:rPr>
                <w:rFonts w:hint="default"/>
              </w:rPr>
            </w:pPr>
            <w:r>
              <w:rPr>
                <w:rFonts w:ascii="宋体" w:hAnsi="宋体" w:cs="宋体"/>
                <w:color w:val="000000"/>
                <w:kern w:val="0"/>
              </w:rPr>
              <w:t>2、服务结算按照实际授权开通套数计算。</w:t>
            </w:r>
          </w:p>
        </w:tc>
      </w:tr>
    </w:tbl>
    <w:p>
      <w:pPr>
        <w:widowControl w:val="0"/>
        <w:topLinePunct w:val="0"/>
        <w:adjustRightInd/>
        <w:snapToGrid/>
        <w:spacing w:before="0" w:after="0" w:line="240" w:lineRule="auto"/>
        <w:ind w:left="0"/>
        <w:jc w:val="both"/>
        <w:rPr>
          <w:rFonts w:hint="default" w:ascii="Calibri" w:hAnsi="Calibri" w:cs="Times New Roman"/>
          <w:szCs w:val="24"/>
        </w:rPr>
      </w:pPr>
    </w:p>
    <w:p>
      <w:pPr>
        <w:pStyle w:val="4"/>
        <w:numPr>
          <w:ilvl w:val="1"/>
          <w:numId w:val="5"/>
        </w:numPr>
        <w:rPr>
          <w:rFonts w:ascii="宋体" w:hAnsi="宋体"/>
          <w:b/>
          <w:sz w:val="32"/>
          <w:szCs w:val="32"/>
          <w:lang w:eastAsia="zh-CN"/>
        </w:rPr>
      </w:pPr>
      <w:r>
        <w:rPr>
          <w:rFonts w:hint="eastAsia" w:ascii="宋体" w:hAnsi="宋体"/>
          <w:b/>
          <w:sz w:val="32"/>
          <w:szCs w:val="32"/>
          <w:lang w:eastAsia="zh-CN"/>
        </w:rPr>
        <w:t>原厂授权要求</w:t>
      </w:r>
    </w:p>
    <w:tbl>
      <w:tblPr>
        <w:tblStyle w:val="11"/>
        <w:tblW w:w="8660" w:type="dxa"/>
        <w:tblInd w:w="0" w:type="dxa"/>
        <w:tblLayout w:type="fixed"/>
        <w:tblCellMar>
          <w:top w:w="0" w:type="dxa"/>
          <w:left w:w="0" w:type="dxa"/>
          <w:bottom w:w="0" w:type="dxa"/>
          <w:right w:w="0" w:type="dxa"/>
        </w:tblCellMar>
      </w:tblPr>
      <w:tblGrid>
        <w:gridCol w:w="1065"/>
        <w:gridCol w:w="3909"/>
        <w:gridCol w:w="3686"/>
      </w:tblGrid>
      <w:tr>
        <w:tblPrEx>
          <w:tblCellMar>
            <w:top w:w="0" w:type="dxa"/>
            <w:left w:w="0" w:type="dxa"/>
            <w:bottom w:w="0" w:type="dxa"/>
            <w:right w:w="0" w:type="dxa"/>
          </w:tblCellMar>
        </w:tblPrEx>
        <w:trPr>
          <w:trHeight w:val="30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rPr>
              <w:t>序号</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rPr>
              <w:t>名称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b/>
                <w:color w:val="000000"/>
              </w:rPr>
            </w:pPr>
            <w:r>
              <w:rPr>
                <w:rFonts w:ascii="宋体" w:hAnsi="宋体" w:cs="宋体"/>
                <w:b/>
                <w:color w:val="000000"/>
                <w:kern w:val="0"/>
              </w:rPr>
              <w:t>原厂授权</w:t>
            </w:r>
            <w:r>
              <w:rPr>
                <w:rFonts w:ascii="宋体" w:hAnsi="宋体" w:cs="宋体"/>
                <w:b/>
                <w:color w:val="000000"/>
                <w:vertAlign w:val="superscript"/>
              </w:rPr>
              <w:t>*</w:t>
            </w:r>
          </w:p>
        </w:tc>
      </w:tr>
      <w:tr>
        <w:tblPrEx>
          <w:tblCellMar>
            <w:top w:w="0" w:type="dxa"/>
            <w:left w:w="0" w:type="dxa"/>
            <w:bottom w:w="0" w:type="dxa"/>
            <w:right w:w="0" w:type="dxa"/>
          </w:tblCellMar>
        </w:tblPrEx>
        <w:trPr>
          <w:trHeight w:val="30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1</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中间件服务2</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需要</w:t>
            </w:r>
          </w:p>
        </w:tc>
      </w:tr>
      <w:tr>
        <w:tblPrEx>
          <w:tblCellMar>
            <w:top w:w="0" w:type="dxa"/>
            <w:left w:w="0" w:type="dxa"/>
            <w:bottom w:w="0" w:type="dxa"/>
            <w:right w:w="0" w:type="dxa"/>
          </w:tblCellMar>
        </w:tblPrEx>
        <w:trPr>
          <w:trHeight w:val="59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2</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操作系统服务</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需要</w:t>
            </w:r>
          </w:p>
        </w:tc>
      </w:tr>
      <w:tr>
        <w:tblPrEx>
          <w:tblCellMar>
            <w:top w:w="0" w:type="dxa"/>
            <w:left w:w="0" w:type="dxa"/>
            <w:bottom w:w="0" w:type="dxa"/>
            <w:right w:w="0" w:type="dxa"/>
          </w:tblCellMar>
        </w:tblPrEx>
        <w:trPr>
          <w:trHeight w:val="6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3</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rPr>
              <w:t>数据库服务</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opLinePunct w:val="0"/>
              <w:adjustRightInd/>
              <w:snapToGrid/>
              <w:spacing w:before="0" w:after="0" w:line="240" w:lineRule="auto"/>
              <w:ind w:left="0"/>
              <w:jc w:val="center"/>
              <w:textAlignment w:val="center"/>
              <w:rPr>
                <w:rFonts w:hint="default" w:ascii="宋体" w:hAnsi="宋体" w:cs="宋体"/>
                <w:color w:val="000000"/>
              </w:rPr>
            </w:pPr>
            <w:r>
              <w:rPr>
                <w:rFonts w:ascii="宋体" w:hAnsi="宋体" w:cs="宋体"/>
                <w:color w:val="000000"/>
                <w:kern w:val="0"/>
              </w:rPr>
              <w:t>需要</w:t>
            </w:r>
          </w:p>
        </w:tc>
      </w:tr>
    </w:tbl>
    <w:p>
      <w:pPr>
        <w:ind w:left="0"/>
        <w:rPr>
          <w:rFonts w:hint="default" w:ascii="仿宋" w:hAnsi="仿宋" w:eastAsia="仿宋"/>
          <w:b/>
          <w:bCs/>
        </w:rPr>
      </w:pPr>
      <w:r>
        <w:rPr>
          <w:rFonts w:ascii="仿宋" w:hAnsi="仿宋" w:eastAsia="仿宋"/>
          <w:b/>
          <w:bCs/>
        </w:rPr>
        <w:t>* 1.如为投标人自有产品，需提供承诺函（格式详见附件1）；</w:t>
      </w:r>
    </w:p>
    <w:p>
      <w:pPr>
        <w:ind w:left="0" w:firstLine="211" w:firstLineChars="100"/>
        <w:rPr>
          <w:rFonts w:hint="default" w:ascii="仿宋" w:hAnsi="仿宋" w:eastAsia="仿宋"/>
          <w:b/>
          <w:bCs/>
        </w:rPr>
      </w:pPr>
      <w:r>
        <w:rPr>
          <w:rFonts w:ascii="仿宋" w:hAnsi="仿宋" w:eastAsia="仿宋"/>
          <w:b/>
          <w:bCs/>
        </w:rPr>
        <w:t>2.如非投标人自有产品，需提供原厂授权，每个软件产品对应一张授权书（格式详见附件1</w:t>
      </w:r>
      <w:r>
        <w:rPr>
          <w:rFonts w:hint="eastAsia" w:ascii="仿宋" w:hAnsi="仿宋" w:eastAsia="仿宋"/>
          <w:b/>
          <w:bCs/>
          <w:lang w:eastAsia="zh-CN"/>
        </w:rPr>
        <w:t>）</w:t>
      </w:r>
      <w:r>
        <w:rPr>
          <w:rFonts w:ascii="仿宋" w:hAnsi="仿宋" w:eastAsia="仿宋"/>
          <w:b/>
          <w:bCs/>
        </w:rPr>
        <w:t>。</w:t>
      </w:r>
    </w:p>
    <w:p>
      <w:pPr>
        <w:pStyle w:val="3"/>
        <w:numPr>
          <w:ilvl w:val="0"/>
          <w:numId w:val="5"/>
        </w:numPr>
        <w:spacing w:line="360" w:lineRule="auto"/>
        <w:rPr>
          <w:rFonts w:hint="default" w:ascii="宋体" w:hAnsi="宋体"/>
        </w:rPr>
      </w:pPr>
      <w:r>
        <w:rPr>
          <w:rFonts w:hint="eastAsia" w:ascii="宋体" w:hAnsi="宋体"/>
          <w:lang w:eastAsia="zh-CN"/>
        </w:rPr>
        <w:t>运营</w:t>
      </w:r>
      <w:r>
        <w:rPr>
          <w:rFonts w:ascii="宋体" w:hAnsi="宋体"/>
        </w:rPr>
        <w:t>服务支撑要求</w:t>
      </w:r>
    </w:p>
    <w:p>
      <w:pPr>
        <w:spacing w:line="360" w:lineRule="auto"/>
        <w:ind w:left="0" w:firstLine="420" w:firstLineChars="200"/>
        <w:rPr>
          <w:rFonts w:hint="default" w:ascii="宋体" w:hAnsi="宋体" w:cs="宋体"/>
        </w:rPr>
      </w:pPr>
      <w:r>
        <w:rPr>
          <w:rFonts w:ascii="宋体" w:hAnsi="宋体" w:cs="宋体"/>
        </w:rPr>
        <w:t>中标人向采购人提供采购需求文件中采购的所有内容的培训和维护服务的全部内容，中标人按照服务质量保证的服务标准要求提供各种售后服务，负责对其提供的服务进行维护或升级。</w:t>
      </w:r>
    </w:p>
    <w:p>
      <w:pPr>
        <w:pStyle w:val="3"/>
        <w:numPr>
          <w:ilvl w:val="0"/>
          <w:numId w:val="5"/>
        </w:numPr>
        <w:rPr>
          <w:rFonts w:ascii="宋体" w:hAnsi="宋体" w:eastAsia="宋体"/>
          <w:b/>
          <w:sz w:val="44"/>
          <w:szCs w:val="44"/>
          <w:lang w:eastAsia="zh-CN"/>
        </w:rPr>
      </w:pPr>
      <w:r>
        <w:rPr>
          <w:rFonts w:hint="eastAsia" w:ascii="宋体" w:hAnsi="宋体" w:eastAsia="宋体"/>
          <w:b/>
          <w:sz w:val="44"/>
          <w:szCs w:val="44"/>
          <w:lang w:eastAsia="zh-CN"/>
        </w:rPr>
        <w:t>运营团队要求</w:t>
      </w:r>
    </w:p>
    <w:p>
      <w:pPr>
        <w:numPr>
          <w:ilvl w:val="0"/>
          <w:numId w:val="11"/>
        </w:numPr>
        <w:spacing w:line="360" w:lineRule="auto"/>
        <w:rPr>
          <w:rFonts w:hint="default"/>
        </w:rPr>
      </w:pPr>
      <w:r>
        <w:t>中标人提供热线电话、电子邮件和在线网站等技术支持方式，提供 7*24 小时电话响应服务。中标人提供5*8小时的驻场服务，重大节点强化保障，确保PaaS服务整体可用性不低于99.99%。</w:t>
      </w:r>
    </w:p>
    <w:p>
      <w:pPr>
        <w:numPr>
          <w:ilvl w:val="0"/>
          <w:numId w:val="11"/>
        </w:numPr>
        <w:spacing w:line="360" w:lineRule="auto"/>
        <w:rPr>
          <w:rFonts w:hint="default"/>
        </w:rPr>
      </w:pPr>
      <w:r>
        <w:t>日常监控、巡检：对PaaS服务进行日常监控、巡检，包括监控告警的处理，巡检异常的处理等；中标人需制定维护管理规定，并按照规定中的维护项目、周期和要求，制定详细的作业计划并执行。</w:t>
      </w:r>
    </w:p>
    <w:p>
      <w:pPr>
        <w:numPr>
          <w:ilvl w:val="0"/>
          <w:numId w:val="11"/>
        </w:numPr>
        <w:spacing w:line="360" w:lineRule="auto"/>
        <w:rPr>
          <w:rFonts w:hint="default"/>
        </w:rPr>
      </w:pPr>
      <w:r>
        <w:t>系统扩容：中标人应承诺，在日常</w:t>
      </w:r>
      <w:r>
        <w:rPr>
          <w:rFonts w:hint="eastAsia"/>
          <w:lang w:eastAsia="zh-CN"/>
        </w:rPr>
        <w:t>运营</w:t>
      </w:r>
      <w:r>
        <w:t>过程中，当平台资源数量、功能、性能等方面不满足最终用户使用要求时，中标人需对现有服务进行扩容。在采购人发起扩容需求后，中标人需在1个工作日内响应，在5个工作日内完成扩容任务，同时向采购人提交扩容后的资源情况报告。</w:t>
      </w:r>
    </w:p>
    <w:p>
      <w:pPr>
        <w:numPr>
          <w:ilvl w:val="0"/>
          <w:numId w:val="11"/>
        </w:numPr>
        <w:spacing w:line="360" w:lineRule="auto"/>
        <w:rPr>
          <w:rFonts w:hint="default"/>
        </w:rPr>
      </w:pPr>
      <w:r>
        <w:t>服务升级：当中标人发布PaaS服务的升级补丁时应及时通知采购人与使用单位。中标人应当承诺，在日常</w:t>
      </w:r>
      <w:r>
        <w:rPr>
          <w:rFonts w:hint="eastAsia"/>
          <w:lang w:eastAsia="zh-CN"/>
        </w:rPr>
        <w:t>运营</w:t>
      </w:r>
      <w:r>
        <w:t>过程中提供paas服务共性的功能、性能和安全等方面需要升级更新时，中标人应当在2工作日内作出响应，经采购人确认升级方案后，按照计划完成升级任务。</w:t>
      </w:r>
    </w:p>
    <w:p>
      <w:pPr>
        <w:numPr>
          <w:ilvl w:val="0"/>
          <w:numId w:val="11"/>
        </w:numPr>
        <w:spacing w:line="360" w:lineRule="auto"/>
        <w:rPr>
          <w:rFonts w:hint="default"/>
        </w:rPr>
      </w:pPr>
      <w:r>
        <w:t>系统中断：中标人由于服务维护等原因需要中断系统进行升级操作时，提前至少72小时（重大自然灾害除外）通知采购人做好相关准备工作，征得采购人同意方可实施。</w:t>
      </w:r>
    </w:p>
    <w:p>
      <w:pPr>
        <w:numPr>
          <w:ilvl w:val="0"/>
          <w:numId w:val="11"/>
        </w:numPr>
        <w:spacing w:line="360" w:lineRule="auto"/>
        <w:rPr>
          <w:rFonts w:hint="default"/>
        </w:rPr>
      </w:pPr>
      <w:r>
        <w:t>应急演练与应急响应：根据PaaS服务高可用设计特性和各组件的重要性进行针对性演练，制订应急预案，每年组织至少2次应急演练。当发生重大应急事件时，中标人需在采购人的牵头下实施应急响应操作，并在事后制定重大事件报告。</w:t>
      </w:r>
    </w:p>
    <w:p>
      <w:pPr>
        <w:numPr>
          <w:ilvl w:val="0"/>
          <w:numId w:val="11"/>
        </w:numPr>
        <w:spacing w:line="360" w:lineRule="auto"/>
        <w:rPr>
          <w:rFonts w:hint="default"/>
        </w:rPr>
      </w:pPr>
      <w:r>
        <w:t>故障处理和响应：中标人需对合同服务出现的故障响应做出相关保证。中标人应建立完善的PaaS服务故障管理体系，管理体系涵盖故障处理的故障等级、职责分工和处理界面，每个处理流程留有电子化记录并在每个处理环节中落实到中标人的部门和相应的处理接口人。按照故障等级不同，需要有不同的处理时长和故障恢复时限。要求故障处理流程符合《市级电子政务云及政务外网故障上报机制（试行）》。</w:t>
      </w:r>
    </w:p>
    <w:p>
      <w:pPr>
        <w:pStyle w:val="4"/>
        <w:numPr>
          <w:ilvl w:val="1"/>
          <w:numId w:val="5"/>
        </w:numPr>
        <w:rPr>
          <w:rFonts w:ascii="宋体" w:hAnsi="宋体"/>
          <w:b/>
          <w:sz w:val="32"/>
          <w:szCs w:val="32"/>
          <w:lang w:eastAsia="zh-CN"/>
        </w:rPr>
      </w:pPr>
      <w:r>
        <w:rPr>
          <w:rFonts w:hint="eastAsia" w:ascii="宋体" w:hAnsi="宋体"/>
          <w:b/>
          <w:sz w:val="32"/>
          <w:szCs w:val="32"/>
          <w:lang w:eastAsia="zh-CN"/>
        </w:rPr>
        <w:t>驻场服务要求</w:t>
      </w:r>
    </w:p>
    <w:p>
      <w:pPr>
        <w:numPr>
          <w:ilvl w:val="0"/>
          <w:numId w:val="12"/>
        </w:numPr>
        <w:spacing w:line="360" w:lineRule="auto"/>
        <w:rPr>
          <w:rFonts w:hint="default"/>
        </w:rPr>
      </w:pPr>
      <w:r>
        <w:t>中标人应为本项目单独建立管理组织，配置相应团队。</w:t>
      </w:r>
    </w:p>
    <w:p>
      <w:pPr>
        <w:numPr>
          <w:ilvl w:val="0"/>
          <w:numId w:val="12"/>
        </w:numPr>
        <w:spacing w:line="360" w:lineRule="auto"/>
        <w:rPr>
          <w:rFonts w:hint="default"/>
        </w:rPr>
      </w:pPr>
      <w:r>
        <w:rPr>
          <w:rFonts w:hint="eastAsia"/>
          <w:lang w:eastAsia="zh-CN"/>
        </w:rPr>
        <w:t>运营</w:t>
      </w:r>
      <w:r>
        <w:t>团队不少于 12人，其中客户响应及运营人员不少于4人，PaaS服务项驻场服务人员均不少于8人。（提供最近</w:t>
      </w:r>
      <w:r>
        <w:rPr>
          <w:rFonts w:hint="eastAsia"/>
          <w:lang w:eastAsia="zh-CN"/>
        </w:rPr>
        <w:t>三个月</w:t>
      </w:r>
      <w:r>
        <w:t>任意一个月依法缴纳社保费的证明）。</w:t>
      </w:r>
    </w:p>
    <w:p>
      <w:pPr>
        <w:numPr>
          <w:ilvl w:val="0"/>
          <w:numId w:val="12"/>
        </w:numPr>
        <w:spacing w:line="360" w:lineRule="auto"/>
        <w:rPr>
          <w:rFonts w:hint="default"/>
        </w:rPr>
      </w:pPr>
      <w:r>
        <w:t>运营团队中至少配置</w:t>
      </w:r>
      <w:r>
        <w:rPr>
          <w:rFonts w:hint="default"/>
        </w:rPr>
        <w:t>1名专职</w:t>
      </w:r>
      <w:r>
        <w:t>项目经理，项目经理具有</w:t>
      </w:r>
      <w:r>
        <w:rPr>
          <w:rFonts w:hint="eastAsia"/>
          <w:color w:val="000000"/>
          <w:sz w:val="21"/>
          <w:szCs w:val="21"/>
          <w:lang w:bidi="ar"/>
        </w:rPr>
        <w:t>信息系统项目管理师</w:t>
      </w:r>
      <w:r>
        <w:t>证书的，担任过PaaS服务类似项目的项目经理业绩的优先考虑，提供项目经理的参与项目的经验清单（包括项目名称、服务时间、项目方、联系人等内容）；团队成员中不少于8人具有云计算相关行业服务经验</w:t>
      </w:r>
      <w:r>
        <w:rPr>
          <w:rFonts w:hint="eastAsia"/>
          <w:lang w:eastAsia="zh-CN"/>
        </w:rPr>
        <w:t>，</w:t>
      </w:r>
      <w:r>
        <w:rPr>
          <w:rFonts w:hint="eastAsia"/>
          <w:lang w:val="en-US" w:eastAsia="zh-CN"/>
        </w:rPr>
        <w:t>具备中间件、操作系统、数据库的操作能力</w:t>
      </w:r>
      <w:r>
        <w:t>，提供团队成员参与过的项目经验清单（包括项目名称、服务时间、项目方、联系人等内容）。</w:t>
      </w:r>
    </w:p>
    <w:p>
      <w:pPr>
        <w:pStyle w:val="2"/>
        <w:rPr>
          <w:rFonts w:hint="default"/>
        </w:rPr>
      </w:pPr>
    </w:p>
    <w:p>
      <w:pPr>
        <w:pStyle w:val="4"/>
        <w:numPr>
          <w:ilvl w:val="1"/>
          <w:numId w:val="5"/>
        </w:numPr>
        <w:rPr>
          <w:rFonts w:ascii="宋体" w:hAnsi="宋体"/>
          <w:b/>
          <w:sz w:val="32"/>
          <w:szCs w:val="32"/>
          <w:lang w:eastAsia="zh-CN"/>
        </w:rPr>
      </w:pPr>
      <w:bookmarkStart w:id="24" w:name="_Toc34080416"/>
      <w:bookmarkStart w:id="25" w:name="_Toc34080599"/>
      <w:bookmarkStart w:id="26" w:name="_Toc29407442"/>
      <w:r>
        <w:rPr>
          <w:rFonts w:hint="eastAsia" w:ascii="宋体" w:hAnsi="宋体"/>
          <w:b/>
          <w:sz w:val="32"/>
          <w:szCs w:val="32"/>
          <w:lang w:eastAsia="zh-CN"/>
        </w:rPr>
        <w:t>能力中心建设要求</w:t>
      </w:r>
      <w:bookmarkEnd w:id="24"/>
      <w:bookmarkEnd w:id="25"/>
      <w:bookmarkEnd w:id="26"/>
    </w:p>
    <w:p>
      <w:pPr>
        <w:numPr>
          <w:ilvl w:val="0"/>
          <w:numId w:val="13"/>
        </w:numPr>
        <w:spacing w:line="360" w:lineRule="auto"/>
        <w:rPr>
          <w:rFonts w:hint="default"/>
        </w:rPr>
      </w:pPr>
      <w:bookmarkStart w:id="27" w:name="_Toc29407443"/>
      <w:bookmarkStart w:id="28" w:name="_Toc34080417"/>
      <w:bookmarkStart w:id="29" w:name="_Toc34080600"/>
      <w:r>
        <w:t>投标人在中标后应当根据本项目的特点提供每项PaaS服务的使用和管理培训，并负责安排专业培训讲师授课，并提供全套培训教材和培训课程计划表。</w:t>
      </w:r>
    </w:p>
    <w:p>
      <w:pPr>
        <w:numPr>
          <w:ilvl w:val="0"/>
          <w:numId w:val="13"/>
        </w:numPr>
        <w:spacing w:line="360" w:lineRule="auto"/>
        <w:rPr>
          <w:rFonts w:hint="default"/>
        </w:rPr>
      </w:pPr>
      <w:r>
        <w:t>投标人需将所有培训费用（含培训教材费）及各项支出计入各服务项费用中，不单独报价。</w:t>
      </w:r>
    </w:p>
    <w:p>
      <w:pPr>
        <w:pStyle w:val="2"/>
        <w:rPr>
          <w:rFonts w:hint="default"/>
        </w:rPr>
      </w:pPr>
    </w:p>
    <w:p>
      <w:pPr>
        <w:pStyle w:val="4"/>
        <w:numPr>
          <w:ilvl w:val="1"/>
          <w:numId w:val="5"/>
        </w:numPr>
        <w:rPr>
          <w:rFonts w:ascii="宋体" w:hAnsi="宋体"/>
          <w:b/>
          <w:sz w:val="32"/>
          <w:szCs w:val="32"/>
          <w:lang w:eastAsia="zh-CN"/>
        </w:rPr>
      </w:pPr>
      <w:r>
        <w:rPr>
          <w:rFonts w:hint="eastAsia" w:ascii="宋体" w:hAnsi="宋体"/>
          <w:b/>
          <w:sz w:val="32"/>
          <w:szCs w:val="32"/>
          <w:lang w:eastAsia="zh-CN"/>
        </w:rPr>
        <w:t>运营制度要求</w:t>
      </w:r>
      <w:bookmarkEnd w:id="27"/>
      <w:bookmarkEnd w:id="28"/>
      <w:bookmarkEnd w:id="29"/>
    </w:p>
    <w:p>
      <w:pPr>
        <w:numPr>
          <w:ilvl w:val="0"/>
          <w:numId w:val="14"/>
        </w:numPr>
        <w:spacing w:line="360" w:lineRule="auto"/>
        <w:rPr>
          <w:rFonts w:hint="default"/>
        </w:rPr>
      </w:pPr>
      <w:r>
        <w:t>信息系统日常运行维护管理。例如：故障处理、配置变更、安全策略优化、运行监控等。</w:t>
      </w:r>
    </w:p>
    <w:p>
      <w:pPr>
        <w:numPr>
          <w:ilvl w:val="0"/>
          <w:numId w:val="14"/>
        </w:numPr>
        <w:spacing w:line="360" w:lineRule="auto"/>
        <w:rPr>
          <w:rFonts w:hint="default"/>
        </w:rPr>
      </w:pPr>
      <w:r>
        <w:rPr>
          <w:rFonts w:hint="eastAsia"/>
          <w:lang w:eastAsia="zh-CN"/>
        </w:rPr>
        <w:t>运营</w:t>
      </w:r>
      <w:r>
        <w:t>人员管理制度。例如：</w:t>
      </w:r>
      <w:r>
        <w:rPr>
          <w:rFonts w:hint="eastAsia"/>
          <w:lang w:eastAsia="zh-CN"/>
        </w:rPr>
        <w:t>运营</w:t>
      </w:r>
      <w:r>
        <w:t>团队人员服务管理、工作环境管理办法等。</w:t>
      </w:r>
    </w:p>
    <w:p>
      <w:pPr>
        <w:pStyle w:val="7"/>
        <w:rPr>
          <w:rFonts w:hint="default"/>
        </w:rPr>
      </w:pPr>
    </w:p>
    <w:p>
      <w:pPr>
        <w:pStyle w:val="2"/>
        <w:rPr>
          <w:rFonts w:hint="default"/>
        </w:rPr>
      </w:pPr>
    </w:p>
    <w:p>
      <w:pPr>
        <w:pStyle w:val="4"/>
        <w:numPr>
          <w:ilvl w:val="1"/>
          <w:numId w:val="5"/>
        </w:numPr>
        <w:rPr>
          <w:rFonts w:ascii="宋体" w:hAnsi="宋体"/>
          <w:b/>
          <w:sz w:val="32"/>
          <w:szCs w:val="32"/>
          <w:lang w:eastAsia="zh-CN"/>
        </w:rPr>
      </w:pPr>
      <w:r>
        <w:rPr>
          <w:rFonts w:hint="eastAsia" w:ascii="宋体" w:hAnsi="宋体"/>
          <w:b/>
          <w:sz w:val="32"/>
          <w:szCs w:val="32"/>
          <w:lang w:eastAsia="zh-CN"/>
        </w:rPr>
        <w:t>其他要求</w:t>
      </w:r>
    </w:p>
    <w:p>
      <w:pPr>
        <w:numPr>
          <w:ilvl w:val="0"/>
          <w:numId w:val="15"/>
        </w:numPr>
        <w:spacing w:line="360" w:lineRule="auto"/>
        <w:ind w:left="0"/>
        <w:rPr>
          <w:rFonts w:hint="default" w:ascii="宋体" w:hAnsi="宋体"/>
        </w:rPr>
      </w:pPr>
      <w:r>
        <w:rPr>
          <w:rFonts w:hint="eastAsia"/>
          <w:lang w:val="en-US" w:eastAsia="zh-CN"/>
        </w:rPr>
        <w:t xml:space="preserve"> 投标人近3年以来承接的与本次投标内容类似的政务云中间件、操作系统、数据库软件服务类项目业绩的优先考虑；</w:t>
      </w:r>
    </w:p>
    <w:p>
      <w:pPr>
        <w:numPr>
          <w:ilvl w:val="0"/>
          <w:numId w:val="15"/>
        </w:numPr>
        <w:spacing w:before="326" w:after="326" w:line="360" w:lineRule="auto"/>
        <w:ind w:left="0"/>
        <w:jc w:val="both"/>
        <w:rPr>
          <w:rFonts w:ascii="宋体" w:hAnsi="宋体" w:eastAsia="宋体"/>
          <w:lang w:val="en-US"/>
        </w:rPr>
      </w:pPr>
      <w:r>
        <w:rPr>
          <w:rFonts w:hint="eastAsia"/>
          <w:lang w:val="en-US" w:eastAsia="zh-CN"/>
        </w:rPr>
        <w:t xml:space="preserve"> 投标人具有ISO 20000信息技术服务管理体系认证证书、ISO 27001信息安全管理体系认证证书，信息系统建设和服务能力认证（二级及以上），CCRC-信息安全服务资质安全运维（二级及以上）证书的优先考虑。</w:t>
      </w:r>
      <w:bookmarkStart w:id="30" w:name="_Toc63098428"/>
      <w:bookmarkStart w:id="31" w:name="_Toc64623484"/>
      <w:bookmarkStart w:id="32" w:name="_Toc62932989"/>
      <w:bookmarkStart w:id="33" w:name="_Toc5988_WPSOffice_Level1"/>
    </w:p>
    <w:bookmarkEnd w:id="30"/>
    <w:bookmarkEnd w:id="31"/>
    <w:bookmarkEnd w:id="32"/>
    <w:bookmarkEnd w:id="33"/>
    <w:p>
      <w:pPr>
        <w:pStyle w:val="3"/>
        <w:numPr>
          <w:ilvl w:val="0"/>
          <w:numId w:val="5"/>
        </w:numPr>
        <w:spacing w:line="360" w:lineRule="auto"/>
        <w:rPr>
          <w:rFonts w:hint="default" w:ascii="宋体" w:hAnsi="宋体"/>
        </w:rPr>
      </w:pPr>
      <w:r>
        <w:rPr>
          <w:rFonts w:ascii="宋体" w:hAnsi="宋体"/>
        </w:rPr>
        <w:t>附件1</w:t>
      </w:r>
    </w:p>
    <w:p>
      <w:pPr>
        <w:spacing w:line="360" w:lineRule="auto"/>
        <w:ind w:left="0" w:firstLine="321" w:firstLineChars="100"/>
        <w:jc w:val="center"/>
        <w:outlineLvl w:val="1"/>
        <w:rPr>
          <w:rFonts w:hint="default"/>
          <w:b/>
          <w:bCs/>
          <w:sz w:val="32"/>
          <w:szCs w:val="32"/>
        </w:rPr>
      </w:pPr>
      <w:r>
        <w:rPr>
          <w:b/>
          <w:bCs/>
          <w:sz w:val="32"/>
          <w:szCs w:val="32"/>
        </w:rPr>
        <w:t>产品售后服务承诺书</w:t>
      </w:r>
    </w:p>
    <w:p>
      <w:pPr>
        <w:spacing w:line="360" w:lineRule="auto"/>
        <w:ind w:left="0" w:firstLine="420" w:firstLineChars="200"/>
        <w:rPr>
          <w:rFonts w:hint="default"/>
        </w:rPr>
      </w:pPr>
      <w:bookmarkStart w:id="34" w:name="_GoBack"/>
      <w:bookmarkEnd w:id="34"/>
      <w:r>
        <w:t>为保证项目名称：</w:t>
      </w:r>
      <w:r>
        <w:rPr>
          <w:u w:val="single"/>
        </w:rPr>
        <w:t xml:space="preserve">                 </w:t>
      </w:r>
      <w:r>
        <w:t xml:space="preserve"> 招标编号：</w:t>
      </w:r>
      <w:r>
        <w:rPr>
          <w:u w:val="single"/>
        </w:rPr>
        <w:t xml:space="preserve">                </w:t>
      </w:r>
      <w:r>
        <w:t xml:space="preserve"> 的顺利实施，</w:t>
      </w:r>
      <w:r>
        <w:rPr>
          <w:u w:val="single"/>
        </w:rPr>
        <w:t xml:space="preserve">        </w:t>
      </w:r>
      <w:r>
        <w:t>将为本项目提供良好的售后服务，对本项目中涉及的软件产品和售后服务内容，做出以下质量承诺：</w:t>
      </w:r>
    </w:p>
    <w:p>
      <w:pPr>
        <w:numPr>
          <w:ilvl w:val="1"/>
          <w:numId w:val="16"/>
        </w:numPr>
        <w:spacing w:line="360" w:lineRule="auto"/>
        <w:rPr>
          <w:rFonts w:hint="default" w:ascii="宋体" w:hAnsi="宋体"/>
          <w:bCs/>
          <w:kern w:val="0"/>
        </w:rPr>
      </w:pPr>
      <w:r>
        <w:rPr>
          <w:rFonts w:ascii="宋体" w:hAnsi="宋体"/>
          <w:bCs/>
          <w:kern w:val="0"/>
        </w:rPr>
        <w:t>将为本项目采购的授权软件产品提供免费</w:t>
      </w:r>
      <w:r>
        <w:rPr>
          <w:rFonts w:hAnsi="宋体" w:cs="宋体"/>
          <w:kern w:val="0"/>
        </w:rPr>
        <w:t>产品版本升级</w:t>
      </w:r>
      <w:r>
        <w:rPr>
          <w:rFonts w:ascii="宋体" w:hAnsi="宋体"/>
          <w:bCs/>
          <w:kern w:val="0"/>
        </w:rPr>
        <w:t>服务。</w:t>
      </w:r>
    </w:p>
    <w:p>
      <w:pPr>
        <w:numPr>
          <w:ilvl w:val="1"/>
          <w:numId w:val="16"/>
        </w:numPr>
        <w:spacing w:line="360" w:lineRule="auto"/>
        <w:rPr>
          <w:rFonts w:hint="default" w:ascii="宋体" w:hAnsi="宋体"/>
          <w:bCs/>
          <w:kern w:val="0"/>
        </w:rPr>
      </w:pPr>
      <w:r>
        <w:rPr>
          <w:rFonts w:ascii="宋体" w:hAnsi="宋体"/>
          <w:bCs/>
          <w:kern w:val="0"/>
        </w:rPr>
        <w:t>承诺所提供的软件产品在本服务采购周期结束后，延续软件产品授权不需要进行授权文件更换或连接内网或公网的激活服务器进行再次激活。</w:t>
      </w:r>
    </w:p>
    <w:p>
      <w:pPr>
        <w:numPr>
          <w:ilvl w:val="1"/>
          <w:numId w:val="16"/>
        </w:numPr>
        <w:spacing w:line="360" w:lineRule="auto"/>
        <w:rPr>
          <w:rFonts w:hint="default" w:ascii="宋体" w:hAnsi="宋体"/>
          <w:bCs/>
        </w:rPr>
      </w:pPr>
      <w:r>
        <w:rPr>
          <w:rFonts w:ascii="宋体" w:hAnsi="宋体"/>
          <w:bCs/>
        </w:rPr>
        <w:t>所提供授权软件产品都是原厂原装，且产品是交付前最新生产并未被使用过的全新产品，同时具有在中国境内的合法使用权。</w:t>
      </w:r>
    </w:p>
    <w:p>
      <w:pPr>
        <w:numPr>
          <w:ilvl w:val="1"/>
          <w:numId w:val="16"/>
        </w:numPr>
        <w:spacing w:line="360" w:lineRule="auto"/>
        <w:rPr>
          <w:rFonts w:hint="default" w:ascii="宋体" w:hAnsi="宋体"/>
          <w:bCs/>
        </w:rPr>
      </w:pPr>
      <w:r>
        <w:rPr>
          <w:rFonts w:ascii="宋体" w:hAnsi="宋体"/>
          <w:bCs/>
        </w:rPr>
        <w:t>我方所提供的授权软件产品如果是本公司生产，将得到原设计生产厂家的许可。</w:t>
      </w:r>
    </w:p>
    <w:p>
      <w:pPr>
        <w:numPr>
          <w:ilvl w:val="1"/>
          <w:numId w:val="16"/>
        </w:numPr>
        <w:spacing w:line="360" w:lineRule="auto"/>
        <w:rPr>
          <w:rFonts w:hint="default" w:ascii="宋体" w:hAnsi="宋体"/>
          <w:bCs/>
        </w:rPr>
      </w:pPr>
      <w:r>
        <w:rPr>
          <w:rFonts w:ascii="宋体" w:hAnsi="宋体"/>
          <w:bCs/>
        </w:rPr>
        <w:t>在本项目中我方提供的授权软件产品，均由授权公司专人进行安装、调试，由本公司负责协调相关产品厂商，业主有任何售后服务问题只需要找本公司即可。</w:t>
      </w:r>
    </w:p>
    <w:p>
      <w:pPr>
        <w:numPr>
          <w:ilvl w:val="1"/>
          <w:numId w:val="16"/>
        </w:numPr>
        <w:spacing w:line="360" w:lineRule="auto"/>
        <w:rPr>
          <w:rFonts w:hint="default" w:ascii="宋体" w:hAnsi="宋体"/>
          <w:bCs/>
        </w:rPr>
      </w:pPr>
      <w:r>
        <w:rPr>
          <w:rFonts w:ascii="宋体" w:hAnsi="宋体"/>
          <w:bCs/>
        </w:rPr>
        <w:t>本项目中本公司提供的授权软件产品出厂前均经过厂家的检验合格，才发往业主。</w:t>
      </w:r>
    </w:p>
    <w:p>
      <w:pPr>
        <w:numPr>
          <w:ilvl w:val="1"/>
          <w:numId w:val="16"/>
        </w:numPr>
        <w:spacing w:line="360" w:lineRule="auto"/>
        <w:rPr>
          <w:rFonts w:hint="default" w:ascii="宋体" w:hAnsi="宋体"/>
          <w:bCs/>
        </w:rPr>
      </w:pPr>
      <w:r>
        <w:rPr>
          <w:rFonts w:hint="eastAsia" w:ascii="宋体" w:hAnsi="宋体"/>
          <w:bCs/>
          <w:lang w:val="en-US" w:eastAsia="zh-CN"/>
        </w:rPr>
        <w:t>本项目中本公司提供的软件授权达到采购数量时转换为对本次招标部署范围的授权。</w:t>
      </w:r>
    </w:p>
    <w:p>
      <w:pPr>
        <w:numPr>
          <w:ilvl w:val="1"/>
          <w:numId w:val="16"/>
        </w:numPr>
        <w:spacing w:line="360" w:lineRule="auto"/>
        <w:rPr>
          <w:rFonts w:hint="default" w:ascii="宋体" w:hAnsi="宋体"/>
          <w:bCs/>
          <w:kern w:val="0"/>
        </w:rPr>
      </w:pPr>
      <w:r>
        <w:rPr>
          <w:rFonts w:ascii="宋体" w:hAnsi="宋体"/>
          <w:bCs/>
          <w:kern w:val="0"/>
        </w:rPr>
        <w:t>针对本公司本项目中提供的授权软件产品本技术支持中心提供7x24小时技术支持响应，对保修期内的用户提供全面的故障排除技术服务和故障排除全过程监控(由故障开始直至故障完全排除)，必要时提供现场支持服务。</w:t>
      </w:r>
    </w:p>
    <w:p>
      <w:pPr>
        <w:numPr>
          <w:ilvl w:val="1"/>
          <w:numId w:val="16"/>
        </w:numPr>
        <w:spacing w:line="360" w:lineRule="auto"/>
        <w:rPr>
          <w:rFonts w:hint="default" w:ascii="宋体" w:hAnsi="宋体"/>
          <w:bCs/>
          <w:kern w:val="0"/>
        </w:rPr>
      </w:pPr>
      <w:r>
        <w:rPr>
          <w:rFonts w:ascii="宋体" w:hAnsi="宋体" w:cs="宋体"/>
          <w:bCs/>
        </w:rPr>
        <w:t>在授权软件产品</w:t>
      </w:r>
      <w:r>
        <w:rPr>
          <w:rFonts w:hint="eastAsia" w:ascii="宋体" w:hAnsi="宋体" w:cs="宋体"/>
          <w:bCs/>
          <w:lang w:eastAsia="zh-CN"/>
        </w:rPr>
        <w:t>服务</w:t>
      </w:r>
      <w:r>
        <w:rPr>
          <w:rFonts w:ascii="宋体" w:hAnsi="宋体" w:cs="宋体"/>
          <w:bCs/>
        </w:rPr>
        <w:t>期内，授权软件产品因质量问题而引起的故障，本免费予以</w:t>
      </w:r>
      <w:r>
        <w:rPr>
          <w:rFonts w:ascii="宋体" w:hAnsi="宋体"/>
          <w:bCs/>
          <w:kern w:val="0"/>
        </w:rPr>
        <w:t>维修</w:t>
      </w:r>
      <w:r>
        <w:rPr>
          <w:rFonts w:ascii="宋体" w:hAnsi="宋体" w:cs="宋体"/>
          <w:bCs/>
        </w:rPr>
        <w:t>配件，保证授权软件产品及时恢复正常。授权软件产品在</w:t>
      </w:r>
      <w:r>
        <w:rPr>
          <w:rFonts w:hint="eastAsia" w:ascii="宋体" w:hAnsi="宋体" w:cs="宋体"/>
          <w:bCs/>
          <w:lang w:eastAsia="zh-CN"/>
        </w:rPr>
        <w:t>服务</w:t>
      </w:r>
      <w:r>
        <w:rPr>
          <w:rFonts w:ascii="宋体" w:hAnsi="宋体" w:cs="宋体"/>
          <w:bCs/>
        </w:rPr>
        <w:t>期</w:t>
      </w:r>
      <w:r>
        <w:rPr>
          <w:rFonts w:ascii="宋体" w:hAnsi="宋体" w:cs="宋体"/>
          <w:bCs/>
        </w:rPr>
        <w:t>提供版本的免费升级。</w:t>
      </w:r>
    </w:p>
    <w:p>
      <w:pPr>
        <w:ind w:right="840"/>
        <w:jc w:val="right"/>
        <w:rPr>
          <w:rFonts w:hint="default" w:ascii="宋体" w:hAnsi="宋体" w:cs="宋体"/>
          <w:u w:val="single"/>
        </w:rPr>
      </w:pPr>
      <w:r>
        <w:rPr>
          <w:rFonts w:ascii="宋体" w:hAnsi="宋体" w:cs="宋体"/>
        </w:rPr>
        <w:t>产品制造商名称（公章）：</w:t>
      </w:r>
      <w:r>
        <w:rPr>
          <w:rFonts w:ascii="宋体" w:hAnsi="宋体" w:cs="宋体"/>
          <w:u w:val="single"/>
        </w:rPr>
        <w:t xml:space="preserve">               </w:t>
      </w:r>
    </w:p>
    <w:p>
      <w:pPr>
        <w:ind w:right="840"/>
        <w:jc w:val="right"/>
        <w:rPr>
          <w:rFonts w:hint="default"/>
          <w:b/>
          <w:sz w:val="24"/>
        </w:rPr>
      </w:pPr>
      <w:r>
        <w:rPr>
          <w:rFonts w:ascii="宋体" w:hAnsi="宋体" w:cs="宋体"/>
        </w:rPr>
        <w:t>日期：</w:t>
      </w:r>
    </w:p>
    <w:p>
      <w:pPr>
        <w:pStyle w:val="3"/>
        <w:numPr>
          <w:ilvl w:val="0"/>
          <w:numId w:val="5"/>
        </w:numPr>
        <w:ind w:left="0" w:firstLine="0"/>
        <w:rPr>
          <w:rFonts w:hint="eastAsia" w:ascii="宋体" w:hAnsi="宋体" w:eastAsia="宋体"/>
          <w:sz w:val="28"/>
          <w:szCs w:val="28"/>
        </w:rPr>
      </w:pPr>
      <w:r>
        <w:rPr>
          <w:rFonts w:ascii="宋体" w:hAnsi="宋体" w:eastAsia="宋体"/>
          <w:sz w:val="28"/>
          <w:szCs w:val="28"/>
        </w:rPr>
        <w:t>附件</w:t>
      </w:r>
      <w:r>
        <w:rPr>
          <w:rFonts w:hint="eastAsia" w:ascii="宋体" w:hAnsi="宋体" w:eastAsia="宋体"/>
          <w:sz w:val="28"/>
          <w:szCs w:val="28"/>
          <w:lang w:val="en-US" w:eastAsia="zh-CN"/>
        </w:rPr>
        <w:t>2 《上海市大数据中心市政务云服务商服务考核标准</w:t>
      </w:r>
      <w:r>
        <w:rPr>
          <w:rFonts w:hint="eastAsia" w:ascii="宋体" w:hAnsi="宋体" w:eastAsia="宋体" w:cs="Book Antiqua"/>
          <w:b/>
          <w:bCs/>
          <w:sz w:val="28"/>
          <w:szCs w:val="28"/>
          <w:highlight w:val="none"/>
        </w:rPr>
        <w:t>（试行）</w:t>
      </w: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一、目标和依据</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为进一步规范市电子政务云服务评价体系，加强对云服务商服务质量的监督管理，使服务质量的监管工作系统化、规范化，依据相应标准、合同约定以及服务水平协议，制定本标准。</w:t>
      </w: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二、定义</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标准所称电子政务云（以下简称政务云），是指依托非涉密电子政务网络，提供所需数字化基础设施的资源和应用能力，承载非涉密政务信息系统和数据，为电子政务应用提供共性通用服务的基础设施、支撑软件和信息安全等云服务。</w:t>
      </w: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三、适用范围</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市政务云服务商的资源交付管理、服务质量管理、投诉管理、应急管理、安全管理、监控管理、变更管理等活动，适用本标准开展考核。</w:t>
      </w: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四、评价指标体系数据主要来源</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云管平台工单</w:t>
      </w:r>
      <w:r>
        <w:rPr>
          <w:rFonts w:hint="eastAsia" w:ascii="仿宋_GB2312" w:hAnsi="仿宋_GB2312" w:eastAsia="仿宋_GB2312" w:cs="仿宋_GB2312"/>
          <w:sz w:val="28"/>
          <w:szCs w:val="28"/>
          <w:highlight w:val="none"/>
        </w:rPr>
        <w:t>：实时数据，基于数据接口和材料审查的方式；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大数据中心考勤表</w:t>
      </w:r>
      <w:r>
        <w:rPr>
          <w:rFonts w:hint="eastAsia" w:ascii="仿宋_GB2312" w:hAnsi="仿宋_GB2312" w:eastAsia="仿宋_GB2312" w:cs="仿宋_GB2312"/>
          <w:sz w:val="28"/>
          <w:szCs w:val="28"/>
          <w:highlight w:val="none"/>
        </w:rPr>
        <w:t>：非实时数据，基于材料审查和实地检查的方式；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使用单位来函投诉</w:t>
      </w:r>
      <w:r>
        <w:rPr>
          <w:rFonts w:hint="eastAsia" w:ascii="仿宋_GB2312" w:hAnsi="仿宋_GB2312" w:eastAsia="仿宋_GB2312" w:cs="仿宋_GB2312"/>
          <w:sz w:val="28"/>
          <w:szCs w:val="28"/>
          <w:highlight w:val="none"/>
        </w:rPr>
        <w:t>：非实时数据，基于材料审查的方式；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政务云服务满意度评价：非实时数据，基于问卷调查的方式；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故障报告</w:t>
      </w:r>
      <w:r>
        <w:rPr>
          <w:rFonts w:hint="eastAsia" w:ascii="仿宋_GB2312" w:hAnsi="仿宋_GB2312" w:eastAsia="仿宋_GB2312" w:cs="仿宋_GB2312"/>
          <w:sz w:val="28"/>
          <w:szCs w:val="28"/>
          <w:highlight w:val="none"/>
        </w:rPr>
        <w:t>：非实时数据，基于材料审查和访谈的方式；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云服务商</w:t>
      </w:r>
      <w:r>
        <w:rPr>
          <w:rFonts w:hint="default" w:ascii="仿宋_GB2312" w:hAnsi="仿宋_GB2312" w:eastAsia="仿宋_GB2312" w:cs="仿宋_GB2312"/>
          <w:sz w:val="28"/>
          <w:szCs w:val="28"/>
          <w:highlight w:val="none"/>
        </w:rPr>
        <w:t>业务监控</w:t>
      </w:r>
      <w:r>
        <w:rPr>
          <w:rFonts w:hint="eastAsia" w:ascii="仿宋_GB2312" w:hAnsi="仿宋_GB2312" w:eastAsia="仿宋_GB2312" w:cs="仿宋_GB2312"/>
          <w:sz w:val="28"/>
          <w:szCs w:val="28"/>
          <w:highlight w:val="none"/>
        </w:rPr>
        <w:t>：实时数据，基于数据接口或者实地检查的方式；</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sectPr>
          <w:footerReference r:id="rId6" w:type="default"/>
          <w:pgSz w:w="12240" w:h="15840"/>
          <w:pgMar w:top="1440" w:right="1800" w:bottom="1440" w:left="1800" w:header="720" w:footer="720" w:gutter="0"/>
          <w:pgNumType w:start="1"/>
          <w:cols w:space="720" w:num="1"/>
          <w:docGrid w:type="lines" w:linePitch="312" w:charSpace="0"/>
        </w:sectPr>
      </w:pPr>
      <w:r>
        <w:rPr>
          <w:rFonts w:hint="eastAsia" w:ascii="仿宋_GB2312" w:hAnsi="仿宋_GB2312" w:eastAsia="仿宋_GB2312" w:cs="仿宋_GB2312"/>
          <w:sz w:val="28"/>
          <w:szCs w:val="28"/>
          <w:highlight w:val="none"/>
        </w:rPr>
        <w:t>第三方监管月度巡检：非实时数据，第三方监管按月度巡检云服务商的全过程服务资料。</w:t>
      </w:r>
      <w:r>
        <w:rPr>
          <w:rFonts w:hint="default" w:ascii="仿宋_GB2312" w:hAnsi="仿宋_GB2312" w:eastAsia="仿宋_GB2312" w:cs="仿宋_GB2312"/>
          <w:sz w:val="28"/>
          <w:szCs w:val="28"/>
          <w:highlight w:val="none"/>
        </w:rPr>
        <w:br w:type="page"/>
      </w: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五、考核指标</w:t>
      </w:r>
    </w:p>
    <w:p>
      <w:pPr>
        <w:widowControl w:val="0"/>
        <w:topLinePunct w:val="0"/>
        <w:adjustRightInd/>
        <w:snapToGrid/>
        <w:spacing w:before="0" w:after="0" w:line="600" w:lineRule="exact"/>
        <w:ind w:left="0" w:firstLine="562" w:firstLineChars="200"/>
        <w:jc w:val="both"/>
        <w:outlineLvl w:val="1"/>
        <w:rPr>
          <w:rFonts w:hint="default" w:ascii="楷体_GB2312" w:hAnsi="仿宋_GB2312" w:eastAsia="楷体_GB2312" w:cs="仿宋_GB2312"/>
          <w:b/>
          <w:bCs/>
          <w:color w:val="000000"/>
          <w:kern w:val="0"/>
          <w:sz w:val="28"/>
          <w:szCs w:val="28"/>
          <w:highlight w:val="none"/>
          <w:lang w:bidi="en-US"/>
        </w:rPr>
      </w:pPr>
      <w:r>
        <w:rPr>
          <w:rFonts w:hint="eastAsia" w:ascii="楷体_GB2312" w:hAnsi="仿宋_GB2312" w:eastAsia="楷体_GB2312" w:cs="仿宋_GB2312"/>
          <w:b/>
          <w:bCs/>
          <w:color w:val="000000"/>
          <w:kern w:val="0"/>
          <w:sz w:val="28"/>
          <w:szCs w:val="28"/>
          <w:highlight w:val="none"/>
          <w:lang w:bidi="en-US"/>
        </w:rPr>
        <w:t>（一）月度考核指标体系</w:t>
      </w:r>
    </w:p>
    <w:p>
      <w:pPr>
        <w:topLinePunct w:val="0"/>
        <w:adjustRightInd/>
        <w:snapToGrid/>
        <w:spacing w:before="0" w:after="0" w:line="600" w:lineRule="exact"/>
        <w:ind w:left="0" w:firstLine="480"/>
        <w:jc w:val="center"/>
        <w:rPr>
          <w:rFonts w:hint="default" w:ascii="仿宋_GB2312" w:hAnsi="仿宋_GB2312" w:eastAsia="仿宋_GB2312" w:cs="微软雅黑"/>
          <w:szCs w:val="21"/>
          <w:highlight w:val="none"/>
        </w:rPr>
      </w:pPr>
      <w:r>
        <w:rPr>
          <w:rFonts w:hint="eastAsia" w:ascii="仿宋_GB2312" w:hAnsi="仿宋_GB2312" w:eastAsia="仿宋_GB2312" w:cs="微软雅黑"/>
          <w:szCs w:val="21"/>
          <w:highlight w:val="none"/>
        </w:rPr>
        <w:t>表</w:t>
      </w:r>
      <w:r>
        <w:rPr>
          <w:rFonts w:hint="default" w:ascii="仿宋_GB2312" w:hAnsi="仿宋_GB2312" w:eastAsia="仿宋_GB2312" w:cs="微软雅黑"/>
          <w:szCs w:val="21"/>
          <w:highlight w:val="none"/>
        </w:rPr>
        <w:t>1</w:t>
      </w:r>
      <w:r>
        <w:rPr>
          <w:rFonts w:hint="eastAsia" w:ascii="仿宋_GB2312" w:hAnsi="仿宋_GB2312" w:eastAsia="仿宋_GB2312" w:cs="微软雅黑"/>
          <w:szCs w:val="21"/>
          <w:highlight w:val="none"/>
        </w:rPr>
        <w:t>：市政务云服务商月度服务考核指标体系</w:t>
      </w:r>
    </w:p>
    <w:tbl>
      <w:tblPr>
        <w:tblStyle w:val="11"/>
        <w:tblW w:w="13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643"/>
        <w:gridCol w:w="1017"/>
        <w:gridCol w:w="706"/>
        <w:gridCol w:w="2045"/>
        <w:gridCol w:w="2169"/>
        <w:gridCol w:w="1955"/>
        <w:gridCol w:w="247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0" w:hRule="atLeast"/>
          <w:tblHeader/>
          <w:jc w:val="center"/>
        </w:trPr>
        <w:tc>
          <w:tcPr>
            <w:tcW w:w="112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default"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一级指标</w:t>
            </w:r>
          </w:p>
        </w:tc>
        <w:tc>
          <w:tcPr>
            <w:tcW w:w="643"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分值</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二级指标</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分值</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指标解释</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应达要求</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测量规则</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评分标准</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服务交付管理</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（A）</w:t>
            </w:r>
          </w:p>
        </w:tc>
        <w:tc>
          <w:tcPr>
            <w:tcW w:w="643"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25</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服务交付及时率（A1）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云服务商对于服务交付场景的请求在规定的时间内予以完成的工单数量。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云服务商应该保证资源水位安全，服务交付完成时间不超过5个工作日</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（1）服务交付完成时间=云管反馈时间-审核通过时间</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（2）服务交付及时数=每月按时交付工单数</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服务交付及时数，则当月每件因云服务商责任未达标的工单扣0.5分，扣完为止。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云管平台工单系统相关流程数据、交付服务的监控数据、交付服务工单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服务发放准确率（A2）</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云服务商服务发放的准确工单数量。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不发生该类错误</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服务发放偏差数=每月服务发放偏差的工单数</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云服务商按审核通过情况如实发放服务，每发生一起工单发放偏差扣除0.3分，扣完为止。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云管平台、云服务商开通工单、实地检查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服务任务完成及时性（A3）</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云服务商对于各项服务任务按计划完成。</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按期完成各项服务任务</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服务任务完成延误数=每月未按计划完成的服务任务数量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每发生一起因云服务商全部责任或者主要责任未能按计划完成服务任务扣1分，扣完为止。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政务云任务清单、政务云周报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资源交付流程合规性（A4）</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云服务商按照市级政务云基础设施服务流程开展服务工作。</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不发生违反流程发放及整改未完毕情况</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资源交付流程不合规数=每月无工单交付政务云基础设施服务数</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云服务商无工单交付政务云基础设施服务，当月每发生一起或者未整改完毕的扣1分，扣完为止。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云管平台、云服务商开通工单、实际开通机器情况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人员管理</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（B）</w:t>
            </w:r>
          </w:p>
        </w:tc>
        <w:tc>
          <w:tcPr>
            <w:tcW w:w="643"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驻场人员出勤率（B1）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云服务商对于政务云现场驻场运维服务按时出勤场景的请求在合同要求内予以完成的百分率。</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遵守中心单位考勤管理制度</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驻场人员出勤率=每月所有驻场人员实际出勤总工时/每月所有驻场人员应出勤总工时</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依据实际出勤率进行考评，出勤率≥90%得满分，每降低1%，扣除权重的5%，扣完为止。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大数据中心考勤表、云服务商驻场人员工作周报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投诉管理</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(C)</w:t>
            </w:r>
          </w:p>
        </w:tc>
        <w:tc>
          <w:tcPr>
            <w:tcW w:w="643"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有责投诉(C1)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云服务商服务过程中使用单位来函投诉的数量（包括其他渠道有责投诉数量）。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不发生该类事件</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有责投诉数=使用单位有责投诉数量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每发生一起有责投诉扣5分，扣完为止。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投诉函、其他经确认的投诉信息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服务可用性</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（D）</w:t>
            </w:r>
          </w:p>
        </w:tc>
        <w:tc>
          <w:tcPr>
            <w:tcW w:w="643"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服务可用性（D1）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服务可用性：云服务商在规定条件下和规定时间内履行服务协议的百分率。</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服务可用性每月不低于99.99%</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服务可用性=【每月自然日总数×24×60×60秒-单个云服务失效时间之和(秒)】/ 每月自然日总数×24×60×60秒</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云服务商的单个云服务可用性指标未达到要求。若每月每降低0.01%，则扣除权重的1%，扣完为止。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故障报告、云管平台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故障管理</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（E）</w:t>
            </w:r>
          </w:p>
        </w:tc>
        <w:tc>
          <w:tcPr>
            <w:tcW w:w="643"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30</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故障发生数（E1）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由于云平台故障造成使用单位的业务系统出现功能不可用、应用或服务不可访问、业务系统失效或崩溃、性能严重下降等情况之一的；由于云平台故障造成使用单位的业务系统应用或服务部分功能不可用、业务系统时断时续、明显卡顿、性能明显下降等情况之一的。</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不发生该类事件</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故障发生数=第三方监管出具监管报告确认为故障数量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（1）云服务商每发生一起六级故障扣1分，扣完为止；</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（2）云服务商每发生一起五级故障扣2分，扣完为止；</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（3）云服务商每发生一起四级故障扣3分，扣完为止</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（4）云服务商每发生一起三级故障扣4分，扣完为止；</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（5）云服务商每发生一起二级故障扣5分，扣完为止；</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（6）云服务商每发生一起一级故障扣6分，扣完为止。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各类检查结果、故障报告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故障及时恢复数（E2）</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云服务商对自身所提供云服务出现故障时，为使用单位及时恢复业务运行的数量。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一级故障不超过30分钟</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二级故障不超过30分钟</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三级故障不超过60分钟</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四级故障不超过120分钟</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五级故障不超过240分钟</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六级故障不超过360分钟</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（1）故障恢复时间=恢复运行时间-发生时间</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（2）故障及时恢复数=每月故障按时间要求及时恢复的数量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云服务商的故障及时恢复指标未达到要求，每发生一起扣2分，扣完为止。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故障报告、云管平台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故障及时上报数（E3）</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云服务商对自身所提供云服务出现故障时，为市大数据中心和使用单位和第三方监管及时上报故障发生的数量。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一级故障不超过10分钟—电话上报</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二级故障不超过10分钟—电话上报</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三级故障不超过10分钟—电话上报</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四级故障不超过30分钟—微信上报</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五级故障不超过60分钟—微信上报</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六级故障不超过120分钟—微信上报</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故障上报时间=上报时间-发生时间</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云服务商的故障及时上报，故障未及时上报，每发生一起扣1分，扣完为止。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故障报告、云管平台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故障上报准确数（E4）</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云服务商对自身所提供云服务出现故障时，向市大数据中心、使用单位和第三方监管准确上报故障实际情况的数量。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不发生瞒报和错报事件</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故障上报准确数=故障正确上报数</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每发生一起错报、瞒报事件扣1分，扣完为止。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使用单位来函投诉、故障报告、云管平台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变更管理</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（F）</w:t>
            </w:r>
          </w:p>
        </w:tc>
        <w:tc>
          <w:tcPr>
            <w:tcW w:w="643"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变更成功数（F1）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云服务商对自身所提供云服务变更能力予以完成的数量。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不发生该类事件</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变更成功数=每月云服务商上报并经确认的变更成功数量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Style w:val="20"/>
                <w:rFonts w:hAnsi="宋体"/>
                <w:color w:val="auto"/>
                <w:sz w:val="18"/>
                <w:szCs w:val="18"/>
                <w:highlight w:val="none"/>
                <w:lang w:val="en-US" w:eastAsia="zh-CN" w:bidi="ar"/>
              </w:rPr>
              <w:t>云服务商当月变更未能实际按方案完成，每发生1起扣1分，扣完为止。</w:t>
            </w:r>
            <w:r>
              <w:rPr>
                <w:rStyle w:val="20"/>
                <w:rFonts w:hAnsi="宋体"/>
                <w:color w:val="auto"/>
                <w:sz w:val="18"/>
                <w:szCs w:val="18"/>
                <w:highlight w:val="none"/>
                <w:lang w:val="en-US" w:eastAsia="zh-CN" w:bidi="ar"/>
              </w:rPr>
              <w:br w:type="textWrapping"/>
            </w:r>
            <w:r>
              <w:rPr>
                <w:rStyle w:val="21"/>
                <w:rFonts w:hAnsi="宋体"/>
                <w:color w:val="auto"/>
                <w:sz w:val="18"/>
                <w:szCs w:val="18"/>
                <w:highlight w:val="none"/>
                <w:lang w:val="en-US" w:eastAsia="zh-CN" w:bidi="ar"/>
              </w:rPr>
              <w:t>注：按原定回退方案执行并成功回退的不做扣分</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643"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auto"/>
                <w:sz w:val="18"/>
                <w:szCs w:val="18"/>
                <w:highlight w:val="none"/>
                <w:u w:val="none"/>
              </w:rPr>
            </w:pP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变更及时上报数（F2）</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云服务商对自身所提供云服务执行变更前，及时书面上报政务云变更执行计划的数量。</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变更应全部及时上报</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（1）变更通知上报时间=变更执行时间-提交时间</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（2）变更及时上报数=每月变更及时上报的数量</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Style w:val="20"/>
                <w:rFonts w:hAnsi="宋体"/>
                <w:color w:val="auto"/>
                <w:sz w:val="18"/>
                <w:szCs w:val="18"/>
                <w:highlight w:val="none"/>
                <w:lang w:val="en-US" w:eastAsia="zh-CN" w:bidi="ar"/>
              </w:rPr>
              <w:t>云服务商的变更方案未上报或者上报时间未达到要求，每发生一起扣1分，扣完为止。</w:t>
            </w:r>
            <w:r>
              <w:rPr>
                <w:rStyle w:val="20"/>
                <w:rFonts w:hAnsi="宋体"/>
                <w:color w:val="auto"/>
                <w:sz w:val="18"/>
                <w:szCs w:val="18"/>
                <w:highlight w:val="none"/>
                <w:lang w:val="en-US" w:eastAsia="zh-CN" w:bidi="ar"/>
              </w:rPr>
              <w:br w:type="textWrapping"/>
            </w:r>
            <w:r>
              <w:rPr>
                <w:rStyle w:val="21"/>
                <w:rFonts w:hAnsi="宋体"/>
                <w:color w:val="auto"/>
                <w:sz w:val="18"/>
                <w:szCs w:val="18"/>
                <w:highlight w:val="none"/>
                <w:lang w:val="en-US" w:eastAsia="zh-CN" w:bidi="ar"/>
              </w:rPr>
              <w:t>注：紧急变更方案上报提前时间不作考核。</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25"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制度执行有效性（G）</w:t>
            </w:r>
          </w:p>
        </w:tc>
        <w:tc>
          <w:tcPr>
            <w:tcW w:w="643"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1017"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制度执行有效性</w:t>
            </w:r>
            <w:r>
              <w:rPr>
                <w:rFonts w:hint="eastAsia" w:ascii="仿宋_GB2312" w:hAnsi="宋体" w:eastAsia="仿宋_GB2312" w:cs="仿宋_GB2312"/>
                <w:i w:val="0"/>
                <w:iCs w:val="0"/>
                <w:color w:val="auto"/>
                <w:kern w:val="0"/>
                <w:sz w:val="18"/>
                <w:szCs w:val="18"/>
                <w:highlight w:val="none"/>
                <w:u w:val="none"/>
                <w:lang w:val="en-US" w:eastAsia="zh-CN" w:bidi="ar"/>
              </w:rPr>
              <w:br w:type="textWrapping"/>
            </w:r>
            <w:r>
              <w:rPr>
                <w:rFonts w:hint="eastAsia" w:ascii="仿宋_GB2312" w:hAnsi="宋体" w:eastAsia="仿宋_GB2312" w:cs="仿宋_GB2312"/>
                <w:i w:val="0"/>
                <w:iCs w:val="0"/>
                <w:color w:val="auto"/>
                <w:kern w:val="0"/>
                <w:sz w:val="18"/>
                <w:szCs w:val="18"/>
                <w:highlight w:val="none"/>
                <w:u w:val="none"/>
                <w:lang w:val="en-US" w:eastAsia="zh-CN" w:bidi="ar"/>
              </w:rPr>
              <w:t>（G1）</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204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云服务商应严格执行政务云相关管理制度。</w:t>
            </w:r>
          </w:p>
        </w:tc>
        <w:tc>
          <w:tcPr>
            <w:tcW w:w="2169"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云服务商不发生任何违反制度的事件</w:t>
            </w:r>
          </w:p>
        </w:tc>
        <w:tc>
          <w:tcPr>
            <w:tcW w:w="1955"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违反制度次数=每月未有效执行制度的事件次数</w:t>
            </w:r>
          </w:p>
        </w:tc>
        <w:tc>
          <w:tcPr>
            <w:tcW w:w="2477"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在日常工作中或者第三方监管每月的现场巡检中发现云服务商未有效执行政务云管理制度的，每发现一起扣除1分，扣完为止。</w:t>
            </w:r>
          </w:p>
        </w:tc>
        <w:tc>
          <w:tcPr>
            <w:tcW w:w="103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日常信息采集并经核实、第三方监管月巡检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85" w:type="dxa"/>
            <w:gridSpan w:val="3"/>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合计</w:t>
            </w:r>
          </w:p>
        </w:tc>
        <w:tc>
          <w:tcPr>
            <w:tcW w:w="7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auto"/>
                <w:sz w:val="18"/>
                <w:szCs w:val="18"/>
                <w:highlight w:val="none"/>
                <w:u w:val="none"/>
              </w:rPr>
            </w:pPr>
            <w:r>
              <w:rPr>
                <w:rFonts w:hint="eastAsia" w:ascii="仿宋_GB2312" w:hAnsi="宋体" w:eastAsia="仿宋_GB2312" w:cs="仿宋_GB2312"/>
                <w:b/>
                <w:bCs/>
                <w:i w:val="0"/>
                <w:iCs w:val="0"/>
                <w:color w:val="auto"/>
                <w:kern w:val="0"/>
                <w:sz w:val="18"/>
                <w:szCs w:val="18"/>
                <w:highlight w:val="none"/>
                <w:u w:val="none"/>
                <w:lang w:val="en-US" w:eastAsia="zh-CN" w:bidi="ar"/>
              </w:rPr>
              <w:t>100</w:t>
            </w:r>
          </w:p>
        </w:tc>
        <w:tc>
          <w:tcPr>
            <w:tcW w:w="2045"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auto"/>
                <w:sz w:val="18"/>
                <w:szCs w:val="18"/>
                <w:highlight w:val="none"/>
                <w:u w:val="none"/>
              </w:rPr>
            </w:pPr>
          </w:p>
        </w:tc>
        <w:tc>
          <w:tcPr>
            <w:tcW w:w="2169"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auto"/>
                <w:sz w:val="18"/>
                <w:szCs w:val="18"/>
                <w:highlight w:val="none"/>
                <w:u w:val="none"/>
              </w:rPr>
            </w:pPr>
          </w:p>
        </w:tc>
        <w:tc>
          <w:tcPr>
            <w:tcW w:w="1955"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auto"/>
                <w:sz w:val="18"/>
                <w:szCs w:val="18"/>
                <w:highlight w:val="none"/>
                <w:u w:val="none"/>
              </w:rPr>
            </w:pPr>
          </w:p>
        </w:tc>
        <w:tc>
          <w:tcPr>
            <w:tcW w:w="2477"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auto"/>
                <w:sz w:val="18"/>
                <w:szCs w:val="18"/>
                <w:highlight w:val="none"/>
                <w:u w:val="none"/>
              </w:rPr>
            </w:pPr>
          </w:p>
        </w:tc>
        <w:tc>
          <w:tcPr>
            <w:tcW w:w="1034"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auto"/>
                <w:sz w:val="18"/>
                <w:szCs w:val="18"/>
                <w:highlight w:val="none"/>
                <w:u w:val="none"/>
              </w:rPr>
            </w:pPr>
          </w:p>
        </w:tc>
      </w:tr>
    </w:tbl>
    <w:p>
      <w:pPr>
        <w:jc w:val="left"/>
        <w:rPr>
          <w:highlight w:val="none"/>
        </w:rPr>
        <w:sectPr>
          <w:pgSz w:w="15840" w:h="12240" w:orient="landscape"/>
          <w:pgMar w:top="1800" w:right="1440" w:bottom="1800" w:left="1440" w:header="720" w:footer="720" w:gutter="0"/>
          <w:cols w:space="720" w:num="1"/>
          <w:docGrid w:type="lines" w:linePitch="312" w:charSpace="0"/>
        </w:sectPr>
      </w:pPr>
    </w:p>
    <w:p>
      <w:pPr>
        <w:keepNext/>
        <w:keepLines/>
        <w:spacing w:before="260" w:after="260" w:line="413" w:lineRule="auto"/>
        <w:ind w:left="565" w:leftChars="269" w:firstLine="2"/>
        <w:jc w:val="both"/>
        <w:outlineLvl w:val="2"/>
        <w:rPr>
          <w:rFonts w:ascii="仿宋_GB2312" w:hAnsi="Times New Roman" w:eastAsia="仿宋_GB2312" w:cs="Times New Roman"/>
          <w:b/>
          <w:kern w:val="2"/>
          <w:sz w:val="28"/>
          <w:szCs w:val="28"/>
          <w:highlight w:val="none"/>
          <w:lang w:val="en-US" w:eastAsia="zh-CN" w:bidi="en-US"/>
        </w:rPr>
      </w:pPr>
      <w:r>
        <w:rPr>
          <w:rFonts w:ascii="仿宋_GB2312" w:hAnsi="Times New Roman" w:eastAsia="仿宋_GB2312" w:cs="Times New Roman"/>
          <w:b/>
          <w:kern w:val="2"/>
          <w:sz w:val="28"/>
          <w:szCs w:val="28"/>
          <w:highlight w:val="none"/>
          <w:lang w:val="en-US" w:eastAsia="zh-CN" w:bidi="en-US"/>
        </w:rPr>
        <w:t>1.</w:t>
      </w:r>
      <w:r>
        <w:rPr>
          <w:rFonts w:hint="eastAsia" w:ascii="仿宋_GB2312" w:hAnsi="Times New Roman" w:eastAsia="仿宋_GB2312" w:cs="Times New Roman"/>
          <w:b/>
          <w:kern w:val="2"/>
          <w:sz w:val="28"/>
          <w:szCs w:val="28"/>
          <w:highlight w:val="none"/>
          <w:lang w:val="en-US" w:eastAsia="zh-CN" w:bidi="en-US"/>
        </w:rPr>
        <w:t>E</w:t>
      </w:r>
      <w:r>
        <w:rPr>
          <w:rFonts w:ascii="仿宋_GB2312" w:hAnsi="Times New Roman" w:eastAsia="仿宋_GB2312" w:cs="Times New Roman"/>
          <w:b/>
          <w:kern w:val="2"/>
          <w:sz w:val="28"/>
          <w:szCs w:val="28"/>
          <w:highlight w:val="none"/>
          <w:lang w:val="en-US" w:eastAsia="zh-CN" w:bidi="en-US"/>
        </w:rPr>
        <w:t>1</w:t>
      </w:r>
      <w:r>
        <w:rPr>
          <w:rFonts w:hint="eastAsia" w:ascii="仿宋_GB2312" w:hAnsi="Times New Roman" w:eastAsia="仿宋_GB2312" w:cs="Times New Roman"/>
          <w:b/>
          <w:kern w:val="2"/>
          <w:sz w:val="28"/>
          <w:szCs w:val="28"/>
          <w:highlight w:val="none"/>
          <w:lang w:val="en-US" w:eastAsia="zh-CN" w:bidi="en-US"/>
        </w:rPr>
        <w:t>故障发生数</w:t>
      </w:r>
    </w:p>
    <w:p>
      <w:pPr>
        <w:topLinePunct w:val="0"/>
        <w:adjustRightInd/>
        <w:snapToGrid/>
        <w:spacing w:before="0" w:after="0" w:line="600" w:lineRule="exact"/>
        <w:ind w:left="0" w:firstLine="560" w:firstLineChars="200"/>
        <w:jc w:val="both"/>
        <w:rPr>
          <w:rFonts w:hint="default" w:ascii="Times New Roman" w:hAnsi="Times New Roman" w:eastAsia="宋体" w:cs="Times New Roman"/>
          <w:sz w:val="28"/>
          <w:szCs w:val="28"/>
          <w:highlight w:val="none"/>
        </w:rPr>
      </w:pPr>
      <w:r>
        <w:rPr>
          <w:rFonts w:hint="default" w:ascii="仿宋_GB2312" w:hAnsi="仿宋_GB2312" w:eastAsia="仿宋_GB2312" w:cs="仿宋_GB2312"/>
          <w:sz w:val="28"/>
          <w:szCs w:val="28"/>
          <w:highlight w:val="none"/>
        </w:rPr>
        <w:t>各类故障按影响</w:t>
      </w:r>
      <w:r>
        <w:rPr>
          <w:rFonts w:hint="eastAsia" w:ascii="仿宋_GB2312" w:hAnsi="仿宋_GB2312" w:eastAsia="仿宋_GB2312" w:cs="仿宋_GB2312"/>
          <w:sz w:val="28"/>
          <w:szCs w:val="28"/>
          <w:highlight w:val="none"/>
        </w:rPr>
        <w:t>系统数量</w:t>
      </w:r>
      <w:r>
        <w:rPr>
          <w:rFonts w:hint="default" w:ascii="仿宋_GB2312" w:hAnsi="仿宋_GB2312" w:eastAsia="仿宋_GB2312" w:cs="仿宋_GB2312"/>
          <w:sz w:val="28"/>
          <w:szCs w:val="28"/>
          <w:highlight w:val="none"/>
        </w:rPr>
        <w:t>、系统重要性、</w:t>
      </w:r>
      <w:r>
        <w:rPr>
          <w:rFonts w:hint="eastAsia" w:ascii="仿宋_GB2312" w:hAnsi="仿宋_GB2312" w:eastAsia="仿宋_GB2312" w:cs="仿宋_GB2312"/>
          <w:sz w:val="28"/>
          <w:szCs w:val="28"/>
          <w:highlight w:val="none"/>
        </w:rPr>
        <w:t>影响程度和</w:t>
      </w:r>
      <w:r>
        <w:rPr>
          <w:rFonts w:hint="default" w:ascii="仿宋_GB2312" w:hAnsi="仿宋_GB2312" w:eastAsia="仿宋_GB2312" w:cs="仿宋_GB2312"/>
          <w:sz w:val="28"/>
          <w:szCs w:val="28"/>
          <w:highlight w:val="none"/>
        </w:rPr>
        <w:t>故障时长分</w:t>
      </w:r>
      <w:r>
        <w:rPr>
          <w:rFonts w:hint="eastAsia" w:ascii="仿宋_GB2312" w:hAnsi="仿宋_GB2312" w:eastAsia="仿宋_GB2312" w:cs="仿宋_GB2312"/>
          <w:sz w:val="28"/>
          <w:szCs w:val="28"/>
          <w:highlight w:val="none"/>
          <w:lang w:eastAsia="zh-Hans"/>
        </w:rPr>
        <w:t>为一至六级</w:t>
      </w:r>
      <w:r>
        <w:rPr>
          <w:rFonts w:hint="default" w:ascii="仿宋_GB2312" w:hAnsi="仿宋_GB2312" w:eastAsia="仿宋_GB2312" w:cs="仿宋_GB2312"/>
          <w:sz w:val="28"/>
          <w:szCs w:val="28"/>
          <w:highlight w:val="none"/>
        </w:rPr>
        <w:t>六个故障等级</w:t>
      </w:r>
      <w:r>
        <w:rPr>
          <w:rFonts w:hint="eastAsia" w:ascii="仿宋_GB2312" w:hAnsi="仿宋_GB2312" w:eastAsia="仿宋_GB2312" w:cs="仿宋_GB2312"/>
          <w:sz w:val="28"/>
          <w:szCs w:val="28"/>
          <w:highlight w:val="none"/>
        </w:rPr>
        <w:t>，其中一级严重程度最高，六级严重程度最低，</w:t>
      </w:r>
      <w:r>
        <w:rPr>
          <w:rFonts w:hint="default" w:ascii="仿宋_GB2312" w:hAnsi="仿宋_GB2312" w:eastAsia="仿宋_GB2312" w:cs="仿宋_GB2312"/>
          <w:sz w:val="28"/>
          <w:szCs w:val="28"/>
          <w:highlight w:val="none"/>
        </w:rPr>
        <w:t>各级别详细定义描述如下：</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（1）一级故障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出现以下多种情况之一：</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① 造成所有系统无法使用；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 xml:space="preserve">② </w:t>
      </w:r>
      <w:r>
        <w:rPr>
          <w:rFonts w:hint="eastAsia" w:ascii="仿宋_GB2312" w:hAnsi="仿宋_GB2312" w:eastAsia="仿宋_GB2312" w:cs="仿宋_GB2312"/>
          <w:sz w:val="28"/>
          <w:szCs w:val="28"/>
          <w:highlight w:val="none"/>
        </w:rPr>
        <w:t>符合二级故障①②任意一条</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故障持续</w:t>
      </w:r>
      <w:r>
        <w:rPr>
          <w:rFonts w:hint="default" w:ascii="仿宋_GB2312" w:hAnsi="仿宋_GB2312" w:eastAsia="仿宋_GB2312" w:cs="仿宋_GB2312"/>
          <w:sz w:val="28"/>
          <w:szCs w:val="28"/>
          <w:highlight w:val="none"/>
        </w:rPr>
        <w:t>30分钟未能恢复</w:t>
      </w:r>
      <w:r>
        <w:rPr>
          <w:rFonts w:hint="eastAsia"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（2）二级故障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出现以下多种情况之一：</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① 造成</w:t>
      </w:r>
      <w:r>
        <w:rPr>
          <w:rFonts w:hint="eastAsia" w:ascii="仿宋_GB2312" w:hAnsi="仿宋_GB2312" w:eastAsia="仿宋_GB2312" w:cs="仿宋_GB2312"/>
          <w:sz w:val="28"/>
          <w:szCs w:val="28"/>
          <w:highlight w:val="none"/>
        </w:rPr>
        <w:t>云上系统</w:t>
      </w:r>
      <w:r>
        <w:rPr>
          <w:rFonts w:hint="default" w:ascii="仿宋_GB2312" w:hAnsi="仿宋_GB2312" w:eastAsia="仿宋_GB2312" w:cs="仿宋_GB2312"/>
          <w:sz w:val="28"/>
          <w:szCs w:val="28"/>
          <w:highlight w:val="none"/>
        </w:rPr>
        <w:t>25%</w:t>
      </w:r>
      <w:r>
        <w:rPr>
          <w:rFonts w:hint="eastAsia" w:ascii="仿宋_GB2312" w:hAnsi="仿宋_GB2312" w:eastAsia="仿宋_GB2312" w:cs="仿宋_GB2312"/>
          <w:sz w:val="28"/>
          <w:szCs w:val="28"/>
          <w:highlight w:val="none"/>
        </w:rPr>
        <w:t>及以上且数量超过5</w:t>
      </w:r>
      <w:r>
        <w:rPr>
          <w:rFonts w:hint="default"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rPr>
        <w:t>个</w:t>
      </w:r>
      <w:r>
        <w:rPr>
          <w:rFonts w:hint="default" w:ascii="仿宋_GB2312" w:hAnsi="仿宋_GB2312" w:eastAsia="仿宋_GB2312" w:cs="仿宋_GB2312"/>
          <w:sz w:val="28"/>
          <w:szCs w:val="28"/>
          <w:highlight w:val="none"/>
        </w:rPr>
        <w:t>业务系统无法使用；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 xml:space="preserve">② </w:t>
      </w:r>
      <w:r>
        <w:rPr>
          <w:rFonts w:hint="eastAsia" w:ascii="仿宋_GB2312" w:hAnsi="仿宋_GB2312" w:eastAsia="仿宋_GB2312" w:cs="仿宋_GB2312"/>
          <w:sz w:val="28"/>
          <w:szCs w:val="28"/>
          <w:highlight w:val="none"/>
        </w:rPr>
        <w:t>造成A类</w:t>
      </w:r>
      <w:r>
        <w:rPr>
          <w:rFonts w:hint="default" w:ascii="仿宋_GB2312" w:hAnsi="仿宋_GB2312" w:eastAsia="仿宋_GB2312" w:cs="仿宋_GB2312"/>
          <w:sz w:val="28"/>
          <w:szCs w:val="28"/>
          <w:highlight w:val="none"/>
        </w:rPr>
        <w:t>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③ 符合三级故障</w:t>
      </w:r>
      <w:r>
        <w:rPr>
          <w:rFonts w:hint="eastAsia" w:ascii="仿宋_GB2312" w:hAnsi="仿宋_GB2312" w:eastAsia="仿宋_GB2312" w:cs="仿宋_GB2312"/>
          <w:sz w:val="28"/>
          <w:szCs w:val="28"/>
          <w:highlight w:val="none"/>
        </w:rPr>
        <w:t>①至④任意一条</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故障持续</w:t>
      </w:r>
      <w:r>
        <w:rPr>
          <w:rFonts w:hint="default" w:ascii="仿宋_GB2312" w:hAnsi="仿宋_GB2312" w:eastAsia="仿宋_GB2312" w:cs="仿宋_GB2312"/>
          <w:sz w:val="28"/>
          <w:szCs w:val="28"/>
          <w:highlight w:val="none"/>
        </w:rPr>
        <w:t>60分钟未能恢复</w:t>
      </w:r>
      <w:r>
        <w:rPr>
          <w:rFonts w:hint="eastAsia"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（3）三级故障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出现以下多种情况之一：</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① 影响系统使用数量占云上系统总数25%及以上且数量超过50个；</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② 造成云上系统5%至25%（包含5%）且数量超过10个业务系统无法使用</w:t>
      </w:r>
      <w:r>
        <w:rPr>
          <w:rFonts w:hint="eastAsia" w:ascii="仿宋_GB2312" w:hAnsi="仿宋_GB2312" w:eastAsia="仿宋_GB2312" w:cs="仿宋_GB2312"/>
          <w:sz w:val="28"/>
          <w:szCs w:val="28"/>
          <w:highlight w:val="none"/>
        </w:rPr>
        <w:t>或者超过2</w:t>
      </w: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但系统数量不满5</w:t>
      </w:r>
      <w:r>
        <w:rPr>
          <w:rFonts w:hint="default"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rPr>
        <w:t>个</w:t>
      </w:r>
      <w:r>
        <w:rPr>
          <w:rFonts w:hint="default"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③ 造成</w:t>
      </w:r>
      <w:r>
        <w:rPr>
          <w:rFonts w:hint="eastAsia" w:ascii="仿宋_GB2312" w:hAnsi="仿宋_GB2312" w:eastAsia="仿宋_GB2312" w:cs="仿宋_GB2312"/>
          <w:sz w:val="28"/>
          <w:szCs w:val="28"/>
          <w:highlight w:val="none"/>
        </w:rPr>
        <w:t>B类</w:t>
      </w:r>
      <w:r>
        <w:rPr>
          <w:rFonts w:hint="default" w:ascii="仿宋_GB2312" w:hAnsi="仿宋_GB2312" w:eastAsia="仿宋_GB2312" w:cs="仿宋_GB2312"/>
          <w:sz w:val="28"/>
          <w:szCs w:val="28"/>
          <w:highlight w:val="none"/>
        </w:rPr>
        <w:t>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④ 影响</w:t>
      </w:r>
      <w:r>
        <w:rPr>
          <w:rFonts w:hint="eastAsia" w:ascii="仿宋_GB2312" w:hAnsi="仿宋_GB2312" w:eastAsia="仿宋_GB2312" w:cs="仿宋_GB2312"/>
          <w:sz w:val="28"/>
          <w:szCs w:val="28"/>
          <w:highlight w:val="none"/>
        </w:rPr>
        <w:t>A类</w:t>
      </w:r>
      <w:r>
        <w:rPr>
          <w:rFonts w:hint="default" w:ascii="仿宋_GB2312" w:hAnsi="仿宋_GB2312" w:eastAsia="仿宋_GB2312" w:cs="仿宋_GB2312"/>
          <w:sz w:val="28"/>
          <w:szCs w:val="28"/>
          <w:highlight w:val="none"/>
        </w:rPr>
        <w:t>系统</w:t>
      </w:r>
      <w:r>
        <w:rPr>
          <w:rFonts w:hint="eastAsia" w:ascii="仿宋_GB2312" w:hAnsi="仿宋_GB2312" w:eastAsia="仿宋_GB2312" w:cs="仿宋_GB2312"/>
          <w:sz w:val="28"/>
          <w:szCs w:val="28"/>
          <w:highlight w:val="none"/>
          <w:lang w:eastAsia="zh-Hans"/>
        </w:rPr>
        <w:t>的</w:t>
      </w:r>
      <w:r>
        <w:rPr>
          <w:rFonts w:hint="default" w:ascii="仿宋_GB2312" w:hAnsi="仿宋_GB2312" w:eastAsia="仿宋_GB2312" w:cs="仿宋_GB2312"/>
          <w:sz w:val="28"/>
          <w:szCs w:val="28"/>
          <w:highlight w:val="none"/>
        </w:rPr>
        <w:t>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⑤ 符合四级故障</w:t>
      </w:r>
      <w:r>
        <w:rPr>
          <w:rFonts w:hint="eastAsia" w:ascii="仿宋_GB2312" w:hAnsi="仿宋_GB2312" w:eastAsia="仿宋_GB2312" w:cs="仿宋_GB2312"/>
          <w:sz w:val="28"/>
          <w:szCs w:val="28"/>
          <w:highlight w:val="none"/>
        </w:rPr>
        <w:t>①至④任意一条</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故障持续</w:t>
      </w:r>
      <w:r>
        <w:rPr>
          <w:rFonts w:hint="default" w:ascii="仿宋_GB2312" w:hAnsi="仿宋_GB2312" w:eastAsia="仿宋_GB2312" w:cs="仿宋_GB2312"/>
          <w:sz w:val="28"/>
          <w:szCs w:val="28"/>
          <w:highlight w:val="none"/>
        </w:rPr>
        <w:t>120分钟未能恢复</w:t>
      </w:r>
      <w:r>
        <w:rPr>
          <w:rFonts w:hint="eastAsia"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（4）四级故障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出现以下多种情况之一：</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① 影响系统使用数量占云上系统总数5%至25%（包含5%）且数量大于10个</w:t>
      </w:r>
      <w:r>
        <w:rPr>
          <w:rFonts w:hint="eastAsia" w:ascii="仿宋_GB2312" w:hAnsi="仿宋_GB2312" w:eastAsia="仿宋_GB2312" w:cs="仿宋_GB2312"/>
          <w:sz w:val="28"/>
          <w:szCs w:val="28"/>
          <w:highlight w:val="none"/>
        </w:rPr>
        <w:t>或者超过2</w:t>
      </w: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但系统数量不满5</w:t>
      </w:r>
      <w:r>
        <w:rPr>
          <w:rFonts w:hint="default"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rPr>
        <w:t>个</w:t>
      </w:r>
      <w:r>
        <w:rPr>
          <w:rFonts w:hint="default"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② 造成云上5%以下业务系统无法使用；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③ 造成云上系统5%</w:t>
      </w:r>
      <w:r>
        <w:rPr>
          <w:rFonts w:hint="eastAsia" w:ascii="仿宋_GB2312" w:hAnsi="仿宋_GB2312" w:eastAsia="仿宋_GB2312" w:cs="仿宋_GB2312"/>
          <w:sz w:val="28"/>
          <w:szCs w:val="28"/>
          <w:highlight w:val="none"/>
        </w:rPr>
        <w:t>及</w:t>
      </w:r>
      <w:r>
        <w:rPr>
          <w:rFonts w:hint="default" w:ascii="仿宋_GB2312" w:hAnsi="仿宋_GB2312" w:eastAsia="仿宋_GB2312" w:cs="仿宋_GB2312"/>
          <w:sz w:val="28"/>
          <w:szCs w:val="28"/>
          <w:highlight w:val="none"/>
        </w:rPr>
        <w:t>以上但不超过10个业务系统无法使用；</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④ 影响</w:t>
      </w:r>
      <w:r>
        <w:rPr>
          <w:rFonts w:hint="eastAsia" w:ascii="仿宋_GB2312" w:hAnsi="仿宋_GB2312" w:eastAsia="仿宋_GB2312" w:cs="仿宋_GB2312"/>
          <w:sz w:val="28"/>
          <w:szCs w:val="28"/>
          <w:highlight w:val="none"/>
        </w:rPr>
        <w:t>B类</w:t>
      </w:r>
      <w:r>
        <w:rPr>
          <w:rFonts w:hint="default" w:ascii="仿宋_GB2312" w:hAnsi="仿宋_GB2312" w:eastAsia="仿宋_GB2312" w:cs="仿宋_GB2312"/>
          <w:sz w:val="28"/>
          <w:szCs w:val="28"/>
          <w:highlight w:val="none"/>
        </w:rPr>
        <w:t>系统使用</w:t>
      </w:r>
      <w:r>
        <w:rPr>
          <w:rFonts w:hint="eastAsia" w:ascii="仿宋_GB2312" w:hAnsi="仿宋_GB2312" w:eastAsia="仿宋_GB2312" w:cs="仿宋_GB2312"/>
          <w:sz w:val="28"/>
          <w:szCs w:val="28"/>
          <w:highlight w:val="none"/>
        </w:rPr>
        <w:t>；</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⑤ 符合五级故障</w:t>
      </w:r>
      <w:r>
        <w:rPr>
          <w:rFonts w:hint="eastAsia" w:ascii="仿宋_GB2312" w:hAnsi="仿宋_GB2312" w:eastAsia="仿宋_GB2312" w:cs="仿宋_GB2312"/>
          <w:sz w:val="28"/>
          <w:szCs w:val="28"/>
          <w:highlight w:val="none"/>
        </w:rPr>
        <w:t>①②任意一条</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故障持续</w:t>
      </w:r>
      <w:r>
        <w:rPr>
          <w:rFonts w:hint="default" w:ascii="仿宋_GB2312" w:hAnsi="仿宋_GB2312" w:eastAsia="仿宋_GB2312" w:cs="仿宋_GB2312"/>
          <w:sz w:val="28"/>
          <w:szCs w:val="28"/>
          <w:highlight w:val="none"/>
        </w:rPr>
        <w:t>240分钟未能恢复</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 xml:space="preserve"> </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（5）五级故障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出现以下多种情况之一：</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① 影响系统使用数量</w:t>
      </w:r>
      <w:r>
        <w:rPr>
          <w:rFonts w:hint="eastAsia" w:ascii="仿宋_GB2312" w:hAnsi="仿宋_GB2312" w:eastAsia="仿宋_GB2312" w:cs="仿宋_GB2312"/>
          <w:sz w:val="28"/>
          <w:szCs w:val="28"/>
          <w:highlight w:val="none"/>
          <w:lang w:eastAsia="zh-Hans"/>
        </w:rPr>
        <w:t>超过</w:t>
      </w:r>
      <w:r>
        <w:rPr>
          <w:rFonts w:hint="default" w:ascii="仿宋_GB2312" w:hAnsi="仿宋_GB2312" w:eastAsia="仿宋_GB2312" w:cs="仿宋_GB2312"/>
          <w:sz w:val="28"/>
          <w:szCs w:val="28"/>
          <w:highlight w:val="none"/>
          <w:lang w:eastAsia="zh-Hans"/>
        </w:rPr>
        <w:t>1</w:t>
      </w:r>
      <w:r>
        <w:rPr>
          <w:rFonts w:hint="eastAsia" w:ascii="仿宋_GB2312" w:hAnsi="仿宋_GB2312" w:eastAsia="仿宋_GB2312" w:cs="仿宋_GB2312"/>
          <w:sz w:val="28"/>
          <w:szCs w:val="28"/>
          <w:highlight w:val="none"/>
          <w:lang w:eastAsia="zh-Hans"/>
        </w:rPr>
        <w:t>个且</w:t>
      </w:r>
      <w:r>
        <w:rPr>
          <w:rFonts w:hint="default" w:ascii="仿宋_GB2312" w:hAnsi="仿宋_GB2312" w:eastAsia="仿宋_GB2312" w:cs="仿宋_GB2312"/>
          <w:sz w:val="28"/>
          <w:szCs w:val="28"/>
          <w:highlight w:val="none"/>
        </w:rPr>
        <w:t>占云上系统总数5%以下；</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② 影响系统使用数量占云上系统5%</w:t>
      </w:r>
      <w:r>
        <w:rPr>
          <w:rFonts w:hint="eastAsia" w:ascii="仿宋_GB2312" w:hAnsi="仿宋_GB2312" w:eastAsia="仿宋_GB2312" w:cs="仿宋_GB2312"/>
          <w:sz w:val="28"/>
          <w:szCs w:val="28"/>
          <w:highlight w:val="none"/>
        </w:rPr>
        <w:t>及</w:t>
      </w:r>
      <w:r>
        <w:rPr>
          <w:rFonts w:hint="default" w:ascii="仿宋_GB2312" w:hAnsi="仿宋_GB2312" w:eastAsia="仿宋_GB2312" w:cs="仿宋_GB2312"/>
          <w:sz w:val="28"/>
          <w:szCs w:val="28"/>
          <w:highlight w:val="none"/>
        </w:rPr>
        <w:t>以上但不超过10个业务系统；</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 xml:space="preserve">③ </w:t>
      </w:r>
      <w:r>
        <w:rPr>
          <w:rFonts w:hint="eastAsia" w:ascii="仿宋_GB2312" w:hAnsi="仿宋_GB2312" w:eastAsia="仿宋_GB2312" w:cs="仿宋_GB2312"/>
          <w:sz w:val="28"/>
          <w:szCs w:val="28"/>
          <w:highlight w:val="none"/>
        </w:rPr>
        <w:t>影响单个业务系统使用</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故障持续</w:t>
      </w:r>
      <w:r>
        <w:rPr>
          <w:rFonts w:hint="default" w:ascii="仿宋_GB2312" w:hAnsi="仿宋_GB2312" w:eastAsia="仿宋_GB2312" w:cs="仿宋_GB2312"/>
          <w:sz w:val="28"/>
          <w:szCs w:val="28"/>
          <w:highlight w:val="none"/>
        </w:rPr>
        <w:t>360分钟内未能恢复</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 xml:space="preserve"> </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（6）六级故障</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影响单个业务系统使用的。</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故障定级详表如下：</w:t>
      </w:r>
    </w:p>
    <w:tbl>
      <w:tblPr>
        <w:tblStyle w:val="11"/>
        <w:tblW w:w="8856" w:type="dxa"/>
        <w:tblInd w:w="0" w:type="dxa"/>
        <w:tblLayout w:type="fixed"/>
        <w:tblCellMar>
          <w:top w:w="0" w:type="dxa"/>
          <w:left w:w="108" w:type="dxa"/>
          <w:bottom w:w="0" w:type="dxa"/>
          <w:right w:w="108" w:type="dxa"/>
        </w:tblCellMar>
      </w:tblPr>
      <w:tblGrid>
        <w:gridCol w:w="553"/>
        <w:gridCol w:w="737"/>
        <w:gridCol w:w="3242"/>
        <w:gridCol w:w="1031"/>
        <w:gridCol w:w="1619"/>
        <w:gridCol w:w="1674"/>
      </w:tblGrid>
      <w:tr>
        <w:tblPrEx>
          <w:tblCellMar>
            <w:top w:w="0" w:type="dxa"/>
            <w:left w:w="108" w:type="dxa"/>
            <w:bottom w:w="0" w:type="dxa"/>
            <w:right w:w="108" w:type="dxa"/>
          </w:tblCellMar>
        </w:tblPrEx>
        <w:trPr>
          <w:tblHeader/>
        </w:trPr>
        <w:tc>
          <w:tcPr>
            <w:tcW w:w="553" w:type="dxa"/>
            <w:tcBorders>
              <w:top w:val="single" w:color="auto" w:sz="4" w:space="0"/>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序号</w:t>
            </w:r>
          </w:p>
        </w:tc>
        <w:tc>
          <w:tcPr>
            <w:tcW w:w="737" w:type="dxa"/>
            <w:tcBorders>
              <w:top w:val="single" w:color="auto" w:sz="4" w:space="0"/>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故障定级</w:t>
            </w:r>
          </w:p>
        </w:tc>
        <w:tc>
          <w:tcPr>
            <w:tcW w:w="3242" w:type="dxa"/>
            <w:tcBorders>
              <w:top w:val="single" w:color="auto" w:sz="4" w:space="0"/>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影响系统数量</w:t>
            </w:r>
          </w:p>
        </w:tc>
        <w:tc>
          <w:tcPr>
            <w:tcW w:w="1031" w:type="dxa"/>
            <w:tcBorders>
              <w:top w:val="single" w:color="auto" w:sz="4" w:space="0"/>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系统重要性</w:t>
            </w:r>
          </w:p>
        </w:tc>
        <w:tc>
          <w:tcPr>
            <w:tcW w:w="1619" w:type="dxa"/>
            <w:tcBorders>
              <w:top w:val="single" w:color="auto" w:sz="4" w:space="0"/>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影响程度</w:t>
            </w:r>
          </w:p>
        </w:tc>
        <w:tc>
          <w:tcPr>
            <w:tcW w:w="1674" w:type="dxa"/>
            <w:tcBorders>
              <w:top w:val="single" w:color="auto" w:sz="4" w:space="0"/>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b/>
                <w:bCs/>
                <w:szCs w:val="21"/>
                <w:highlight w:val="none"/>
              </w:rPr>
            </w:pPr>
            <w:r>
              <w:rPr>
                <w:rFonts w:hint="eastAsia" w:ascii="仿宋_GB2312" w:hAnsi="等线" w:eastAsia="仿宋_GB2312" w:cs="宋体"/>
                <w:b/>
                <w:bCs/>
                <w:szCs w:val="21"/>
                <w:highlight w:val="none"/>
              </w:rPr>
              <w:t>故障时长</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一级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所有系统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一级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占云上系统总数25%及以上且数量超过50个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超过30分钟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3</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一级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A类系统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超过30分钟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4</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占云上系统总数25%及以上且数量超过50个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不超过3</w:t>
            </w:r>
            <w:r>
              <w:rPr>
                <w:rFonts w:hint="default" w:ascii="仿宋_GB2312" w:hAnsi="等线" w:eastAsia="仿宋_GB2312" w:cs="宋体"/>
                <w:szCs w:val="21"/>
                <w:highlight w:val="none"/>
              </w:rPr>
              <w:t>0</w:t>
            </w:r>
            <w:r>
              <w:rPr>
                <w:rFonts w:hint="eastAsia" w:ascii="仿宋_GB2312" w:hAnsi="等线" w:eastAsia="仿宋_GB2312" w:cs="宋体"/>
                <w:szCs w:val="21"/>
                <w:highlight w:val="none"/>
              </w:rPr>
              <w:t>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5</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A类系统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不超过3</w:t>
            </w:r>
            <w:r>
              <w:rPr>
                <w:rFonts w:hint="default" w:ascii="仿宋_GB2312" w:hAnsi="等线" w:eastAsia="仿宋_GB2312" w:cs="宋体"/>
                <w:szCs w:val="21"/>
                <w:highlight w:val="none"/>
              </w:rPr>
              <w:t>0</w:t>
            </w:r>
            <w:r>
              <w:rPr>
                <w:rFonts w:hint="eastAsia" w:ascii="仿宋_GB2312" w:hAnsi="等线" w:eastAsia="仿宋_GB2312" w:cs="宋体"/>
                <w:szCs w:val="21"/>
                <w:highlight w:val="none"/>
              </w:rPr>
              <w:t>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6</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占云上系统总数25%及以上且数量超过50个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7</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云上系统5%至25%（包含5%）且数量超过10个业务系统</w:t>
            </w:r>
            <w:r>
              <w:rPr>
                <w:rFonts w:hint="eastAsia" w:ascii="仿宋_GB2312" w:hAnsi="仿宋_GB2312" w:eastAsia="仿宋_GB2312" w:cs="仿宋_GB2312"/>
                <w:szCs w:val="20"/>
                <w:highlight w:val="none"/>
              </w:rPr>
              <w:t>或者超过2</w:t>
            </w:r>
            <w:r>
              <w:rPr>
                <w:rFonts w:hint="default" w:ascii="仿宋_GB2312" w:hAnsi="仿宋_GB2312" w:eastAsia="仿宋_GB2312" w:cs="仿宋_GB2312"/>
                <w:szCs w:val="20"/>
                <w:highlight w:val="none"/>
              </w:rPr>
              <w:t>5%</w:t>
            </w:r>
            <w:r>
              <w:rPr>
                <w:rFonts w:hint="eastAsia" w:ascii="仿宋_GB2312" w:hAnsi="仿宋_GB2312" w:eastAsia="仿宋_GB2312" w:cs="仿宋_GB2312"/>
                <w:szCs w:val="20"/>
                <w:highlight w:val="none"/>
              </w:rPr>
              <w:t>但系统数量不满5</w:t>
            </w:r>
            <w:r>
              <w:rPr>
                <w:rFonts w:hint="default" w:ascii="仿宋_GB2312" w:hAnsi="仿宋_GB2312" w:eastAsia="仿宋_GB2312" w:cs="仿宋_GB2312"/>
                <w:szCs w:val="20"/>
                <w:highlight w:val="none"/>
              </w:rPr>
              <w:t>0</w:t>
            </w:r>
            <w:r>
              <w:rPr>
                <w:rFonts w:hint="eastAsia" w:ascii="仿宋_GB2312" w:hAnsi="仿宋_GB2312" w:eastAsia="仿宋_GB2312" w:cs="仿宋_GB2312"/>
                <w:szCs w:val="20"/>
                <w:highlight w:val="none"/>
              </w:rPr>
              <w:t>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8</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B类系统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9</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二级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A类系统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10</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占云上系统总数25%及以上且数量超过50个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11</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云上系统5%至25%（包含5%）且数量超过10个业务系统</w:t>
            </w:r>
            <w:r>
              <w:rPr>
                <w:rFonts w:hint="eastAsia" w:ascii="仿宋_GB2312" w:hAnsi="仿宋_GB2312" w:eastAsia="仿宋_GB2312" w:cs="仿宋_GB2312"/>
                <w:szCs w:val="20"/>
                <w:highlight w:val="none"/>
              </w:rPr>
              <w:t>或者超过2</w:t>
            </w:r>
            <w:r>
              <w:rPr>
                <w:rFonts w:hint="default" w:ascii="仿宋_GB2312" w:hAnsi="仿宋_GB2312" w:eastAsia="仿宋_GB2312" w:cs="仿宋_GB2312"/>
                <w:szCs w:val="20"/>
                <w:highlight w:val="none"/>
              </w:rPr>
              <w:t>5%</w:t>
            </w:r>
            <w:r>
              <w:rPr>
                <w:rFonts w:hint="eastAsia" w:ascii="仿宋_GB2312" w:hAnsi="仿宋_GB2312" w:eastAsia="仿宋_GB2312" w:cs="仿宋_GB2312"/>
                <w:szCs w:val="20"/>
                <w:highlight w:val="none"/>
              </w:rPr>
              <w:t>但系统数量不满5</w:t>
            </w:r>
            <w:r>
              <w:rPr>
                <w:rFonts w:hint="default" w:ascii="仿宋_GB2312" w:hAnsi="仿宋_GB2312" w:eastAsia="仿宋_GB2312" w:cs="仿宋_GB2312"/>
                <w:szCs w:val="20"/>
                <w:highlight w:val="none"/>
              </w:rPr>
              <w:t>0</w:t>
            </w:r>
            <w:r>
              <w:rPr>
                <w:rFonts w:hint="eastAsia" w:ascii="仿宋_GB2312" w:hAnsi="仿宋_GB2312" w:eastAsia="仿宋_GB2312" w:cs="仿宋_GB2312"/>
                <w:szCs w:val="20"/>
                <w:highlight w:val="none"/>
              </w:rPr>
              <w:t>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12</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B类系统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13</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A类系统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14</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云上系统5%至25%（包含5%）且数量超过10个业务系统</w:t>
            </w:r>
            <w:r>
              <w:rPr>
                <w:rFonts w:hint="eastAsia" w:ascii="仿宋_GB2312" w:hAnsi="仿宋_GB2312" w:eastAsia="仿宋_GB2312" w:cs="仿宋_GB2312"/>
                <w:szCs w:val="20"/>
                <w:highlight w:val="none"/>
              </w:rPr>
              <w:t>或者超过2</w:t>
            </w:r>
            <w:r>
              <w:rPr>
                <w:rFonts w:hint="default" w:ascii="仿宋_GB2312" w:hAnsi="仿宋_GB2312" w:eastAsia="仿宋_GB2312" w:cs="仿宋_GB2312"/>
                <w:szCs w:val="20"/>
                <w:highlight w:val="none"/>
              </w:rPr>
              <w:t>5%</w:t>
            </w:r>
            <w:r>
              <w:rPr>
                <w:rFonts w:hint="eastAsia" w:ascii="仿宋_GB2312" w:hAnsi="仿宋_GB2312" w:eastAsia="仿宋_GB2312" w:cs="仿宋_GB2312"/>
                <w:szCs w:val="20"/>
                <w:highlight w:val="none"/>
              </w:rPr>
              <w:t>但系统数量不满5</w:t>
            </w:r>
            <w:r>
              <w:rPr>
                <w:rFonts w:hint="default" w:ascii="仿宋_GB2312" w:hAnsi="仿宋_GB2312" w:eastAsia="仿宋_GB2312" w:cs="仿宋_GB2312"/>
                <w:szCs w:val="20"/>
                <w:highlight w:val="none"/>
              </w:rPr>
              <w:t>0</w:t>
            </w:r>
            <w:r>
              <w:rPr>
                <w:rFonts w:hint="eastAsia" w:ascii="仿宋_GB2312" w:hAnsi="仿宋_GB2312" w:eastAsia="仿宋_GB2312" w:cs="仿宋_GB2312"/>
                <w:szCs w:val="20"/>
                <w:highlight w:val="none"/>
              </w:rPr>
              <w:t>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15</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云上5%以下业务系统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16</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云上系统5%及以上但不超过10个业务系统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17</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三级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B类系统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18</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云上系统5%至25%（包含5%）且数量超过10个业务系统</w:t>
            </w:r>
            <w:r>
              <w:rPr>
                <w:rFonts w:hint="eastAsia" w:ascii="仿宋_GB2312" w:hAnsi="仿宋_GB2312" w:eastAsia="仿宋_GB2312" w:cs="仿宋_GB2312"/>
                <w:szCs w:val="20"/>
                <w:highlight w:val="none"/>
              </w:rPr>
              <w:t>或者超过2</w:t>
            </w:r>
            <w:r>
              <w:rPr>
                <w:rFonts w:hint="default" w:ascii="仿宋_GB2312" w:hAnsi="仿宋_GB2312" w:eastAsia="仿宋_GB2312" w:cs="仿宋_GB2312"/>
                <w:szCs w:val="20"/>
                <w:highlight w:val="none"/>
              </w:rPr>
              <w:t>5%</w:t>
            </w:r>
            <w:r>
              <w:rPr>
                <w:rFonts w:hint="eastAsia" w:ascii="仿宋_GB2312" w:hAnsi="仿宋_GB2312" w:eastAsia="仿宋_GB2312" w:cs="仿宋_GB2312"/>
                <w:szCs w:val="20"/>
                <w:highlight w:val="none"/>
              </w:rPr>
              <w:t>但系统数量不满5</w:t>
            </w:r>
            <w:r>
              <w:rPr>
                <w:rFonts w:hint="default" w:ascii="仿宋_GB2312" w:hAnsi="仿宋_GB2312" w:eastAsia="仿宋_GB2312" w:cs="仿宋_GB2312"/>
                <w:szCs w:val="20"/>
                <w:highlight w:val="none"/>
              </w:rPr>
              <w:t>0</w:t>
            </w:r>
            <w:r>
              <w:rPr>
                <w:rFonts w:hint="eastAsia" w:ascii="仿宋_GB2312" w:hAnsi="仿宋_GB2312" w:eastAsia="仿宋_GB2312" w:cs="仿宋_GB2312"/>
                <w:szCs w:val="20"/>
                <w:highlight w:val="none"/>
              </w:rPr>
              <w:t>个</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19</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云上5%以下业务系统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20</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云上系统5%及以上但不超过10个业务系统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无法使用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21</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B类系统</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不超过120分钟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22</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占云上系统5%及以上但不超过10个业务系统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超过240分钟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23</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四级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系统数量超过1个且占云上系统总数5%以下</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超过240分钟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24</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五级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占云上系统5%及以上但不超过10个业务系统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不超过240分钟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25</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五级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系统数量超过1个且占云上系统总数5%以下</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不超过240分钟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26</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五级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单个业务系统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超过360分钟</w:t>
            </w:r>
          </w:p>
        </w:tc>
      </w:tr>
      <w:tr>
        <w:tblPrEx>
          <w:tblCellMar>
            <w:top w:w="0" w:type="dxa"/>
            <w:left w:w="108" w:type="dxa"/>
            <w:bottom w:w="0" w:type="dxa"/>
            <w:right w:w="108" w:type="dxa"/>
          </w:tblCellMar>
        </w:tblPrEx>
        <w:tc>
          <w:tcPr>
            <w:tcW w:w="553" w:type="dxa"/>
            <w:tcBorders>
              <w:top w:val="nil"/>
              <w:left w:val="single" w:color="auto" w:sz="4" w:space="0"/>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27</w:t>
            </w:r>
          </w:p>
        </w:tc>
        <w:tc>
          <w:tcPr>
            <w:tcW w:w="737"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六级</w:t>
            </w:r>
          </w:p>
        </w:tc>
        <w:tc>
          <w:tcPr>
            <w:tcW w:w="3242"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both"/>
              <w:rPr>
                <w:rFonts w:hint="default" w:ascii="仿宋_GB2312" w:hAnsi="等线" w:eastAsia="仿宋_GB2312" w:cs="宋体"/>
                <w:szCs w:val="21"/>
                <w:highlight w:val="none"/>
              </w:rPr>
            </w:pPr>
            <w:r>
              <w:rPr>
                <w:rFonts w:hint="eastAsia" w:ascii="仿宋_GB2312" w:hAnsi="等线" w:eastAsia="仿宋_GB2312" w:cs="宋体"/>
                <w:szCs w:val="21"/>
                <w:highlight w:val="none"/>
              </w:rPr>
              <w:t>单个业务系统</w:t>
            </w:r>
          </w:p>
        </w:tc>
        <w:tc>
          <w:tcPr>
            <w:tcW w:w="1031"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w:t>
            </w:r>
          </w:p>
        </w:tc>
        <w:tc>
          <w:tcPr>
            <w:tcW w:w="1619"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影响系统使用</w:t>
            </w:r>
          </w:p>
        </w:tc>
        <w:tc>
          <w:tcPr>
            <w:tcW w:w="1674" w:type="dxa"/>
            <w:tcBorders>
              <w:top w:val="nil"/>
              <w:left w:val="nil"/>
              <w:bottom w:val="single" w:color="auto" w:sz="4" w:space="0"/>
              <w:right w:val="single" w:color="auto" w:sz="4" w:space="0"/>
            </w:tcBorders>
            <w:vAlign w:val="center"/>
          </w:tcPr>
          <w:p>
            <w:pPr>
              <w:topLinePunct w:val="0"/>
              <w:adjustRightInd/>
              <w:snapToGrid/>
              <w:spacing w:before="0" w:after="0" w:line="240" w:lineRule="auto"/>
              <w:ind w:left="0"/>
              <w:jc w:val="center"/>
              <w:rPr>
                <w:rFonts w:hint="default" w:ascii="仿宋_GB2312" w:hAnsi="等线" w:eastAsia="仿宋_GB2312" w:cs="宋体"/>
                <w:szCs w:val="21"/>
                <w:highlight w:val="none"/>
              </w:rPr>
            </w:pPr>
            <w:r>
              <w:rPr>
                <w:rFonts w:hint="eastAsia" w:ascii="仿宋_GB2312" w:hAnsi="等线" w:eastAsia="仿宋_GB2312" w:cs="宋体"/>
                <w:szCs w:val="21"/>
                <w:highlight w:val="none"/>
              </w:rPr>
              <w:t>不超过360分钟</w:t>
            </w:r>
          </w:p>
        </w:tc>
      </w:tr>
    </w:tbl>
    <w:p>
      <w:pPr>
        <w:topLinePunct w:val="0"/>
        <w:adjustRightInd/>
        <w:snapToGrid/>
        <w:spacing w:before="0" w:after="0" w:line="600" w:lineRule="exact"/>
        <w:ind w:left="0" w:firstLine="567"/>
        <w:jc w:val="both"/>
        <w:rPr>
          <w:rFonts w:hint="default" w:ascii="仿宋_GB2312" w:hAnsi="仿宋_GB2312" w:eastAsia="仿宋_GB2312" w:cs="仿宋_GB2312"/>
          <w:b/>
          <w:bCs/>
          <w:sz w:val="28"/>
          <w:szCs w:val="28"/>
          <w:highlight w:val="none"/>
          <w:lang w:eastAsia="zh-Hans"/>
        </w:rPr>
      </w:pPr>
      <w:r>
        <w:rPr>
          <w:rFonts w:hint="eastAsia" w:ascii="仿宋_GB2312" w:hAnsi="仿宋_GB2312" w:eastAsia="仿宋_GB2312" w:cs="仿宋_GB2312"/>
          <w:b/>
          <w:bCs/>
          <w:sz w:val="28"/>
          <w:szCs w:val="28"/>
          <w:highlight w:val="none"/>
          <w:lang w:eastAsia="zh-Hans"/>
        </w:rPr>
        <w:t>定级说明：</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（1）故障按照就高原则定级，即如果一个故障符合多级故障定级条件时，按照严重程度更高的故障等级定级。</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（2）系统分类</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A类系统：如“随申办”“医保平台”等涉及重大民生的系统。</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类系统：如“120调度系统”“市路政局停车业务管理系统”“市涉法涉诉信访管理系统”等面向公众服务的系统；如“预算管理一体化系统”“市政府网站集约化平台”“电子政务云系统软件和国产密码应用服务基础设施”等面向多个委办单位服务的系统；如“市义务教育入学报名系统”“市电子证照库”“大数据资源平台”等对经济社会发展有重要影响的系统。</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C类系统：除了A类、B类以外的信息系统。</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某个发生故障的系统属于A、B、C的分类认定以政务云第三方监管出具的评估结论为准。</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（3）故障影响程度</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系统无法使用：由于云平台故障造成使用单位的业务系统出现功能不可用、应用或服务不可访问、业务系统失效或崩溃、性能严重下降等情况之一的。</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影响系统使用：由于云平台故障造成使用单位的业务系统应用或服务部分功能不可用、业务系统时断时续、明显卡顿、性能明显下降等情况之一的。</w:t>
      </w:r>
    </w:p>
    <w:p>
      <w:pPr>
        <w:keepNext/>
        <w:keepLines/>
        <w:spacing w:before="260" w:after="260" w:line="413" w:lineRule="auto"/>
        <w:ind w:left="565" w:leftChars="269" w:firstLine="2"/>
        <w:jc w:val="both"/>
        <w:outlineLvl w:val="2"/>
        <w:rPr>
          <w:rFonts w:ascii="仿宋_GB2312" w:hAnsi="Times New Roman" w:eastAsia="仿宋_GB2312" w:cs="Times New Roman"/>
          <w:b/>
          <w:kern w:val="2"/>
          <w:sz w:val="28"/>
          <w:szCs w:val="28"/>
          <w:highlight w:val="none"/>
          <w:lang w:val="en-US" w:eastAsia="zh-CN" w:bidi="en-US"/>
        </w:rPr>
      </w:pPr>
      <w:r>
        <w:rPr>
          <w:rFonts w:hint="eastAsia" w:ascii="仿宋_GB2312" w:hAnsi="Times New Roman" w:eastAsia="仿宋_GB2312" w:cs="Times New Roman"/>
          <w:b/>
          <w:kern w:val="2"/>
          <w:sz w:val="28"/>
          <w:szCs w:val="28"/>
          <w:highlight w:val="none"/>
          <w:lang w:val="en-US" w:eastAsia="zh-CN" w:bidi="en-US"/>
        </w:rPr>
        <w:t>2</w:t>
      </w:r>
      <w:r>
        <w:rPr>
          <w:rFonts w:ascii="仿宋_GB2312" w:hAnsi="Times New Roman" w:eastAsia="仿宋_GB2312" w:cs="Times New Roman"/>
          <w:b/>
          <w:kern w:val="2"/>
          <w:sz w:val="28"/>
          <w:szCs w:val="28"/>
          <w:highlight w:val="none"/>
          <w:lang w:val="en-US" w:eastAsia="zh-CN" w:bidi="en-US"/>
        </w:rPr>
        <w:t>.F</w:t>
      </w:r>
      <w:r>
        <w:rPr>
          <w:rFonts w:hint="eastAsia" w:ascii="仿宋_GB2312" w:hAnsi="Times New Roman" w:eastAsia="仿宋_GB2312" w:cs="Times New Roman"/>
          <w:b/>
          <w:kern w:val="2"/>
          <w:sz w:val="28"/>
          <w:szCs w:val="28"/>
          <w:highlight w:val="none"/>
          <w:lang w:val="en-US" w:eastAsia="zh-CN" w:bidi="en-US"/>
        </w:rPr>
        <w:t>变更管理</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变更定义：对现网环境人为触发的、进行的所有可能影响到系统目前运行状态的操作，均称为变更。变更管理范围主要是指支撑云服务的应用软件及其依赖的基础设施环境等基础配置项，在整个生命周期内发生变化的管理。</w:t>
      </w:r>
    </w:p>
    <w:p>
      <w:pPr>
        <w:topLinePunct w:val="0"/>
        <w:adjustRightInd/>
        <w:snapToGrid/>
        <w:spacing w:before="0" w:after="0" w:line="600" w:lineRule="exac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变更管理内容（包括但不限于）：</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鉴别（包括身份鉴别和数据源鉴别）和访问控制措施的变更；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数据存储实现方法的变更；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备份机制和流程的变更；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与外部服务商网络连接的变更；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安全控制措施的变更；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已部署的商业软硬件产品的变更；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云计算服务供应商的变更；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云计算服务运行主体的变更；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云计算平台软件版本的变更；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云计算平台基础设施的变更；</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系统IT架构的变更。</w:t>
      </w:r>
    </w:p>
    <w:p>
      <w:pPr>
        <w:numPr>
          <w:ilvl w:val="0"/>
          <w:numId w:val="17"/>
        </w:numPr>
        <w:spacing w:line="600" w:lineRule="exact"/>
        <w:ind w:firstLineChars="0"/>
        <w:rPr>
          <w:rFonts w:ascii="微软雅黑" w:hAnsi="微软雅黑" w:eastAsia="微软雅黑" w:cs="微软雅黑"/>
          <w:sz w:val="28"/>
          <w:szCs w:val="28"/>
          <w:highlight w:val="none"/>
        </w:rPr>
        <w:sectPr>
          <w:pgSz w:w="12240" w:h="15840"/>
          <w:pgMar w:top="1440" w:right="1800" w:bottom="1440" w:left="1800" w:header="720" w:footer="720" w:gutter="0"/>
          <w:cols w:space="720" w:num="1"/>
          <w:docGrid w:type="lines" w:linePitch="312" w:charSpace="0"/>
        </w:sectPr>
      </w:pPr>
    </w:p>
    <w:p>
      <w:pPr>
        <w:widowControl w:val="0"/>
        <w:topLinePunct w:val="0"/>
        <w:adjustRightInd/>
        <w:snapToGrid/>
        <w:spacing w:before="0" w:after="0" w:line="600" w:lineRule="exact"/>
        <w:ind w:left="0" w:firstLine="562" w:firstLineChars="200"/>
        <w:jc w:val="both"/>
        <w:outlineLvl w:val="1"/>
        <w:rPr>
          <w:rFonts w:hint="default" w:ascii="楷体_GB2312" w:hAnsi="仿宋_GB2312" w:eastAsia="楷体_GB2312" w:cs="仿宋_GB2312"/>
          <w:b/>
          <w:bCs/>
          <w:color w:val="000000"/>
          <w:kern w:val="0"/>
          <w:sz w:val="28"/>
          <w:szCs w:val="28"/>
          <w:highlight w:val="none"/>
          <w:lang w:bidi="en-US"/>
        </w:rPr>
      </w:pPr>
      <w:r>
        <w:rPr>
          <w:rFonts w:hint="eastAsia" w:ascii="楷体_GB2312" w:hAnsi="仿宋_GB2312" w:eastAsia="楷体_GB2312" w:cs="仿宋_GB2312"/>
          <w:b/>
          <w:bCs/>
          <w:color w:val="000000"/>
          <w:kern w:val="0"/>
          <w:sz w:val="28"/>
          <w:szCs w:val="28"/>
          <w:highlight w:val="none"/>
          <w:lang w:bidi="en-US"/>
        </w:rPr>
        <w:t>（二）年度考核指标体系</w:t>
      </w:r>
    </w:p>
    <w:p>
      <w:pPr>
        <w:topLinePunct w:val="0"/>
        <w:adjustRightInd/>
        <w:snapToGrid/>
        <w:spacing w:before="0" w:after="0" w:line="600" w:lineRule="exact"/>
        <w:ind w:left="0" w:firstLine="480"/>
        <w:jc w:val="center"/>
        <w:rPr>
          <w:rFonts w:hint="default" w:ascii="仿宋_GB2312" w:hAnsi="仿宋_GB2312" w:eastAsia="仿宋_GB2312" w:cs="微软雅黑"/>
          <w:szCs w:val="21"/>
          <w:highlight w:val="none"/>
        </w:rPr>
      </w:pPr>
      <w:r>
        <w:rPr>
          <w:rFonts w:hint="eastAsia" w:ascii="仿宋_GB2312" w:hAnsi="仿宋_GB2312" w:eastAsia="仿宋_GB2312" w:cs="微软雅黑"/>
          <w:szCs w:val="21"/>
          <w:highlight w:val="none"/>
        </w:rPr>
        <w:t>表</w:t>
      </w:r>
      <w:r>
        <w:rPr>
          <w:rFonts w:hint="default" w:ascii="仿宋_GB2312" w:hAnsi="仿宋_GB2312" w:eastAsia="仿宋_GB2312" w:cs="微软雅黑"/>
          <w:szCs w:val="21"/>
          <w:highlight w:val="none"/>
        </w:rPr>
        <w:t>2</w:t>
      </w:r>
      <w:r>
        <w:rPr>
          <w:rFonts w:hint="eastAsia" w:ascii="仿宋_GB2312" w:hAnsi="仿宋_GB2312" w:eastAsia="仿宋_GB2312" w:cs="微软雅黑"/>
          <w:szCs w:val="21"/>
          <w:highlight w:val="none"/>
        </w:rPr>
        <w:t>：市政务云服务商年度服务考核指标体系</w:t>
      </w:r>
    </w:p>
    <w:tbl>
      <w:tblPr>
        <w:tblStyle w:val="11"/>
        <w:tblW w:w="13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8"/>
        <w:gridCol w:w="606"/>
        <w:gridCol w:w="1260"/>
        <w:gridCol w:w="659"/>
        <w:gridCol w:w="1800"/>
        <w:gridCol w:w="1518"/>
        <w:gridCol w:w="1700"/>
        <w:gridCol w:w="357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988"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default"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一级指标</w:t>
            </w:r>
          </w:p>
        </w:tc>
        <w:tc>
          <w:tcPr>
            <w:tcW w:w="6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分值</w:t>
            </w:r>
          </w:p>
        </w:tc>
        <w:tc>
          <w:tcPr>
            <w:tcW w:w="126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二级指标</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分值</w:t>
            </w:r>
          </w:p>
        </w:tc>
        <w:tc>
          <w:tcPr>
            <w:tcW w:w="180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指标解释</w:t>
            </w:r>
          </w:p>
        </w:tc>
        <w:tc>
          <w:tcPr>
            <w:tcW w:w="1518"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应达要求</w:t>
            </w:r>
          </w:p>
        </w:tc>
        <w:tc>
          <w:tcPr>
            <w:tcW w:w="170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测量规则</w:t>
            </w:r>
          </w:p>
        </w:tc>
        <w:tc>
          <w:tcPr>
            <w:tcW w:w="3574"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评分标准</w:t>
            </w:r>
          </w:p>
        </w:tc>
        <w:tc>
          <w:tcPr>
            <w:tcW w:w="106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88"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满意度管理（H）</w:t>
            </w:r>
          </w:p>
        </w:tc>
        <w:tc>
          <w:tcPr>
            <w:tcW w:w="6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30</w:t>
            </w:r>
          </w:p>
        </w:tc>
        <w:tc>
          <w:tcPr>
            <w:tcW w:w="126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云服务满意率（H1）</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30</w:t>
            </w:r>
          </w:p>
        </w:tc>
        <w:tc>
          <w:tcPr>
            <w:tcW w:w="18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见满意度调查问卷。</w:t>
            </w:r>
          </w:p>
        </w:tc>
        <w:tc>
          <w:tcPr>
            <w:tcW w:w="1518"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每年满意度不低于90%</w:t>
            </w:r>
          </w:p>
        </w:tc>
        <w:tc>
          <w:tcPr>
            <w:tcW w:w="17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云服务满意率：见满意度调查问卷</w:t>
            </w:r>
          </w:p>
        </w:tc>
        <w:tc>
          <w:tcPr>
            <w:tcW w:w="357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云服务满意度≥90%得满分，每偏差1%扣除权重2%，扣完为止。</w:t>
            </w:r>
          </w:p>
        </w:tc>
        <w:tc>
          <w:tcPr>
            <w:tcW w:w="1066"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市政务云满意度调查报告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988"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培训管理(I)</w:t>
            </w:r>
          </w:p>
        </w:tc>
        <w:tc>
          <w:tcPr>
            <w:tcW w:w="6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20</w:t>
            </w:r>
          </w:p>
        </w:tc>
        <w:tc>
          <w:tcPr>
            <w:tcW w:w="126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年有效培训次数</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（I1）</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20</w:t>
            </w:r>
          </w:p>
        </w:tc>
        <w:tc>
          <w:tcPr>
            <w:tcW w:w="18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每年云服务商面向政务云使用单位的培训次数。</w:t>
            </w:r>
          </w:p>
        </w:tc>
        <w:tc>
          <w:tcPr>
            <w:tcW w:w="1518"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每年有效培训次数不小于20次</w:t>
            </w:r>
          </w:p>
        </w:tc>
        <w:tc>
          <w:tcPr>
            <w:tcW w:w="17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每次培训人数不少于4人，按提供培训教材、培训通知、现场签到或会议记录等佐证材料计数。</w:t>
            </w:r>
          </w:p>
        </w:tc>
        <w:tc>
          <w:tcPr>
            <w:tcW w:w="357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年有效培训次数≥20次得满分，每偏差1次扣除权重的5%，扣完为止。</w:t>
            </w:r>
          </w:p>
        </w:tc>
        <w:tc>
          <w:tcPr>
            <w:tcW w:w="1066"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培训佐证材料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88" w:type="dxa"/>
            <w:vMerge w:val="restart"/>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安全管理</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(J)</w:t>
            </w:r>
          </w:p>
        </w:tc>
        <w:tc>
          <w:tcPr>
            <w:tcW w:w="6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20</w:t>
            </w:r>
          </w:p>
        </w:tc>
        <w:tc>
          <w:tcPr>
            <w:tcW w:w="126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安全风险及时整改数（J1）</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20</w:t>
            </w:r>
          </w:p>
        </w:tc>
        <w:tc>
          <w:tcPr>
            <w:tcW w:w="18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发现涉及安全风险事件时，在规定的时间内予以整改的数量。</w:t>
            </w:r>
          </w:p>
        </w:tc>
        <w:tc>
          <w:tcPr>
            <w:tcW w:w="1518"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安全风险包括安全漏洞、故障隐患、第三方监管巡检发现的其他问题等应及时整改，时间不超过规定时间。</w:t>
            </w:r>
          </w:p>
        </w:tc>
        <w:tc>
          <w:tcPr>
            <w:tcW w:w="17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（1）安全风险整改时间=安全风险处理完成时间-发现安全风险的时间</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（2）安全风险及时整改数=按时整改数</w:t>
            </w:r>
          </w:p>
        </w:tc>
        <w:tc>
          <w:tcPr>
            <w:tcW w:w="357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云服务商的安全风险整改指标未达到要求，每发生一起则扣5分，扣完为止。</w:t>
            </w:r>
          </w:p>
        </w:tc>
        <w:tc>
          <w:tcPr>
            <w:tcW w:w="1066"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云服务商周报、第三方监管通知、安全责任事故报告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988" w:type="dxa"/>
            <w:vMerge w:val="continue"/>
            <w:shd w:val="clear" w:color="auto" w:fill="auto"/>
            <w:vAlign w:val="center"/>
          </w:tcPr>
          <w:p>
            <w:pPr>
              <w:topLinePunct w:val="0"/>
              <w:adjustRightInd/>
              <w:snapToGrid/>
              <w:spacing w:before="0" w:after="0" w:line="240" w:lineRule="auto"/>
              <w:ind w:left="0"/>
              <w:jc w:val="center"/>
              <w:rPr>
                <w:rFonts w:hint="eastAsia" w:ascii="仿宋_GB2312" w:hAnsi="宋体" w:eastAsia="仿宋_GB2312" w:cs="仿宋_GB2312"/>
                <w:i w:val="0"/>
                <w:iCs w:val="0"/>
                <w:color w:val="000000"/>
                <w:sz w:val="18"/>
                <w:szCs w:val="18"/>
                <w:highlight w:val="none"/>
                <w:u w:val="none"/>
              </w:rPr>
            </w:pPr>
          </w:p>
        </w:tc>
        <w:tc>
          <w:tcPr>
            <w:tcW w:w="606"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30</w:t>
            </w:r>
          </w:p>
        </w:tc>
        <w:tc>
          <w:tcPr>
            <w:tcW w:w="1260"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安全责任事故数（J2）</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30</w:t>
            </w:r>
          </w:p>
        </w:tc>
        <w:tc>
          <w:tcPr>
            <w:tcW w:w="18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云服务商提供的机房、网络、安全、虚拟机、物理机、存储、运维等方面出现问题引起的安全责任事故数量。</w:t>
            </w:r>
          </w:p>
        </w:tc>
        <w:tc>
          <w:tcPr>
            <w:tcW w:w="1518"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不发生该类事件</w:t>
            </w:r>
          </w:p>
        </w:tc>
        <w:tc>
          <w:tcPr>
            <w:tcW w:w="1700"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安全责任事故数=第三方监管出具监管报告确认为安全责任事故的数量</w:t>
            </w:r>
          </w:p>
        </w:tc>
        <w:tc>
          <w:tcPr>
            <w:tcW w:w="3574"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（1）云服务商的五级安全责任事故每发生一起则扣2分，扣完为止；</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（2）云服务商的四级安全责任事故每发生一起则扣4分，扣完为止；</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（3）云服务商的三级安全责任事故每发生一起则扣6分，扣完为止；</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（4）云服务商的二级安全责任事故每发生一起则扣8分，扣完为止；</w:t>
            </w:r>
            <w:r>
              <w:rPr>
                <w:rFonts w:hint="eastAsia" w:ascii="仿宋_GB2312" w:hAnsi="宋体" w:eastAsia="仿宋_GB2312" w:cs="仿宋_GB2312"/>
                <w:i w:val="0"/>
                <w:iCs w:val="0"/>
                <w:color w:val="000000"/>
                <w:kern w:val="0"/>
                <w:sz w:val="18"/>
                <w:szCs w:val="18"/>
                <w:highlight w:val="none"/>
                <w:u w:val="none"/>
                <w:lang w:val="en-US" w:eastAsia="zh-CN" w:bidi="ar"/>
              </w:rPr>
              <w:br w:type="textWrapping"/>
            </w:r>
            <w:r>
              <w:rPr>
                <w:rFonts w:hint="eastAsia" w:ascii="仿宋_GB2312" w:hAnsi="宋体" w:eastAsia="仿宋_GB2312" w:cs="仿宋_GB2312"/>
                <w:i w:val="0"/>
                <w:iCs w:val="0"/>
                <w:color w:val="000000"/>
                <w:kern w:val="0"/>
                <w:sz w:val="18"/>
                <w:szCs w:val="18"/>
                <w:highlight w:val="none"/>
                <w:u w:val="none"/>
                <w:lang w:val="en-US" w:eastAsia="zh-CN" w:bidi="ar"/>
              </w:rPr>
              <w:t>（5）云服务商的一级安全责任事故每发生一起则扣10分，扣完为止。</w:t>
            </w:r>
          </w:p>
        </w:tc>
        <w:tc>
          <w:tcPr>
            <w:tcW w:w="1066" w:type="dxa"/>
            <w:shd w:val="clear" w:color="auto" w:fill="auto"/>
            <w:vAlign w:val="center"/>
          </w:tcPr>
          <w:p>
            <w:pPr>
              <w:keepNext w:val="0"/>
              <w:keepLines w:val="0"/>
              <w:widowControl/>
              <w:suppressLineNumbers w:val="0"/>
              <w:topLinePunct w:val="0"/>
              <w:adjustRightInd/>
              <w:snapToGrid/>
              <w:spacing w:before="0" w:after="0" w:line="240" w:lineRule="auto"/>
              <w:ind w:left="0"/>
              <w:jc w:val="both"/>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各类检查结果、安全责任事故报告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54" w:type="dxa"/>
            <w:gridSpan w:val="3"/>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合计</w:t>
            </w:r>
          </w:p>
        </w:tc>
        <w:tc>
          <w:tcPr>
            <w:tcW w:w="659" w:type="dxa"/>
            <w:shd w:val="clear" w:color="auto" w:fill="auto"/>
            <w:vAlign w:val="center"/>
          </w:tcPr>
          <w:p>
            <w:pPr>
              <w:keepNext w:val="0"/>
              <w:keepLines w:val="0"/>
              <w:widowControl/>
              <w:suppressLineNumbers w:val="0"/>
              <w:topLinePunct w:val="0"/>
              <w:adjustRightInd/>
              <w:snapToGrid/>
              <w:spacing w:before="0" w:after="0" w:line="240" w:lineRule="auto"/>
              <w:ind w:left="0"/>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100</w:t>
            </w:r>
          </w:p>
        </w:tc>
        <w:tc>
          <w:tcPr>
            <w:tcW w:w="1800"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000000"/>
                <w:sz w:val="18"/>
                <w:szCs w:val="18"/>
                <w:highlight w:val="none"/>
                <w:u w:val="none"/>
              </w:rPr>
            </w:pPr>
          </w:p>
        </w:tc>
        <w:tc>
          <w:tcPr>
            <w:tcW w:w="1518"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000000"/>
                <w:sz w:val="18"/>
                <w:szCs w:val="18"/>
                <w:highlight w:val="none"/>
                <w:u w:val="none"/>
              </w:rPr>
            </w:pPr>
          </w:p>
        </w:tc>
        <w:tc>
          <w:tcPr>
            <w:tcW w:w="1700"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000000"/>
                <w:sz w:val="18"/>
                <w:szCs w:val="18"/>
                <w:highlight w:val="none"/>
                <w:u w:val="none"/>
              </w:rPr>
            </w:pPr>
          </w:p>
        </w:tc>
        <w:tc>
          <w:tcPr>
            <w:tcW w:w="3574"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000000"/>
                <w:sz w:val="18"/>
                <w:szCs w:val="18"/>
                <w:highlight w:val="none"/>
                <w:u w:val="none"/>
              </w:rPr>
            </w:pPr>
          </w:p>
        </w:tc>
        <w:tc>
          <w:tcPr>
            <w:tcW w:w="1066" w:type="dxa"/>
            <w:shd w:val="clear" w:color="auto" w:fill="auto"/>
            <w:vAlign w:val="center"/>
          </w:tcPr>
          <w:p>
            <w:pPr>
              <w:topLinePunct w:val="0"/>
              <w:adjustRightInd/>
              <w:snapToGrid/>
              <w:spacing w:before="0" w:after="0" w:line="240" w:lineRule="auto"/>
              <w:ind w:left="0"/>
              <w:jc w:val="both"/>
              <w:rPr>
                <w:rFonts w:hint="eastAsia" w:ascii="仿宋_GB2312" w:hAnsi="宋体" w:eastAsia="仿宋_GB2312" w:cs="仿宋_GB2312"/>
                <w:b/>
                <w:bCs/>
                <w:i w:val="0"/>
                <w:iCs w:val="0"/>
                <w:color w:val="000000"/>
                <w:sz w:val="18"/>
                <w:szCs w:val="18"/>
                <w:highlight w:val="none"/>
                <w:u w:val="none"/>
              </w:rPr>
            </w:pPr>
          </w:p>
        </w:tc>
      </w:tr>
    </w:tbl>
    <w:p>
      <w:pPr>
        <w:topLinePunct w:val="0"/>
        <w:adjustRightInd/>
        <w:snapToGrid/>
        <w:spacing w:before="0" w:after="0" w:line="400" w:lineRule="exact"/>
        <w:ind w:left="0" w:firstLine="480"/>
        <w:jc w:val="both"/>
        <w:rPr>
          <w:rFonts w:hint="default" w:ascii="微软雅黑" w:hAnsi="微软雅黑" w:eastAsia="微软雅黑" w:cs="微软雅黑"/>
          <w:szCs w:val="20"/>
          <w:highlight w:val="none"/>
        </w:rPr>
      </w:pPr>
    </w:p>
    <w:p>
      <w:pPr>
        <w:tabs>
          <w:tab w:val="left" w:pos="580"/>
        </w:tabs>
        <w:rPr>
          <w:rFonts w:ascii="微软雅黑" w:hAnsi="微软雅黑" w:eastAsia="微软雅黑" w:cs="微软雅黑"/>
          <w:highlight w:val="none"/>
        </w:rPr>
        <w:sectPr>
          <w:pgSz w:w="15840" w:h="12240" w:orient="landscape"/>
          <w:pgMar w:top="1800" w:right="1440" w:bottom="1800" w:left="1440" w:header="720" w:footer="720" w:gutter="0"/>
          <w:cols w:space="720" w:num="1"/>
          <w:docGrid w:type="lines" w:linePitch="312" w:charSpace="0"/>
        </w:sectPr>
      </w:pPr>
      <w:r>
        <w:rPr>
          <w:rFonts w:hint="default" w:ascii="微软雅黑" w:hAnsi="微软雅黑" w:eastAsia="微软雅黑" w:cs="微软雅黑"/>
          <w:szCs w:val="20"/>
          <w:highlight w:val="none"/>
        </w:rPr>
        <w:tab/>
      </w:r>
    </w:p>
    <w:p>
      <w:pPr>
        <w:keepNext/>
        <w:keepLines/>
        <w:spacing w:before="260" w:after="260" w:line="413" w:lineRule="auto"/>
        <w:ind w:left="565" w:leftChars="269" w:firstLine="2"/>
        <w:jc w:val="both"/>
        <w:outlineLvl w:val="2"/>
        <w:rPr>
          <w:rFonts w:ascii="仿宋_GB2312" w:hAnsi="Times New Roman" w:eastAsia="仿宋_GB2312" w:cs="Times New Roman"/>
          <w:b/>
          <w:kern w:val="2"/>
          <w:sz w:val="28"/>
          <w:szCs w:val="18"/>
          <w:highlight w:val="none"/>
          <w:lang w:val="en-US" w:eastAsia="zh-CN" w:bidi="en-US"/>
        </w:rPr>
      </w:pPr>
      <w:r>
        <w:rPr>
          <w:rFonts w:hint="eastAsia" w:ascii="仿宋_GB2312" w:hAnsi="Times New Roman" w:eastAsia="仿宋_GB2312" w:cs="Times New Roman"/>
          <w:b/>
          <w:kern w:val="2"/>
          <w:sz w:val="28"/>
          <w:szCs w:val="18"/>
          <w:highlight w:val="none"/>
          <w:lang w:val="en-US" w:eastAsia="zh-CN" w:bidi="en-US"/>
        </w:rPr>
        <w:t>H</w:t>
      </w:r>
      <w:r>
        <w:rPr>
          <w:rFonts w:ascii="仿宋_GB2312" w:hAnsi="Times New Roman" w:eastAsia="仿宋_GB2312" w:cs="Times New Roman"/>
          <w:b/>
          <w:kern w:val="2"/>
          <w:sz w:val="28"/>
          <w:szCs w:val="18"/>
          <w:highlight w:val="none"/>
          <w:lang w:val="en-US" w:eastAsia="zh-CN" w:bidi="en-US"/>
        </w:rPr>
        <w:t>1</w:t>
      </w:r>
      <w:r>
        <w:rPr>
          <w:rFonts w:hint="eastAsia" w:ascii="仿宋_GB2312" w:hAnsi="Times New Roman" w:eastAsia="仿宋_GB2312" w:cs="Times New Roman"/>
          <w:b/>
          <w:kern w:val="2"/>
          <w:sz w:val="28"/>
          <w:szCs w:val="18"/>
          <w:highlight w:val="none"/>
          <w:lang w:val="en-US" w:eastAsia="zh-CN" w:bidi="en-US"/>
        </w:rPr>
        <w:t>云服务满意度</w:t>
      </w:r>
    </w:p>
    <w:p>
      <w:pPr>
        <w:topLinePunct w:val="0"/>
        <w:adjustRightInd/>
        <w:snapToGrid/>
        <w:spacing w:before="0" w:after="0" w:line="600" w:lineRule="atLeast"/>
        <w:ind w:left="0" w:firstLine="560" w:firstLineChars="200"/>
        <w:jc w:val="both"/>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第三方监管团队问卷调查的方式开展满意度调查。抽样方式、比例由第三方监管团队另行确定。以下为满意度调查问卷样例，实际工作开展时将另行制定。</w:t>
      </w:r>
    </w:p>
    <w:p>
      <w:pPr>
        <w:topLinePunct w:val="0"/>
        <w:adjustRightInd/>
        <w:snapToGrid/>
        <w:spacing w:before="0" w:after="0" w:line="600" w:lineRule="exact"/>
        <w:ind w:left="0" w:firstLine="480"/>
        <w:jc w:val="both"/>
        <w:rPr>
          <w:rFonts w:hint="default" w:ascii="微软雅黑" w:hAnsi="微软雅黑" w:eastAsia="微软雅黑" w:cs="微软雅黑"/>
          <w:szCs w:val="21"/>
          <w:highlight w:val="none"/>
        </w:rPr>
      </w:pPr>
    </w:p>
    <w:p>
      <w:pPr>
        <w:topLinePunct w:val="0"/>
        <w:adjustRightInd/>
        <w:snapToGrid/>
        <w:spacing w:before="0" w:after="0" w:line="600" w:lineRule="exact"/>
        <w:ind w:left="0" w:leftChars="0" w:firstLine="0" w:firstLineChars="0"/>
        <w:jc w:val="center"/>
        <w:rPr>
          <w:rFonts w:hint="default" w:ascii="仿宋_GB2312" w:hAnsi="仿宋_GB2312" w:eastAsia="仿宋_GB2312" w:cs="微软雅黑"/>
          <w:b/>
          <w:bCs/>
          <w:sz w:val="22"/>
          <w:szCs w:val="22"/>
          <w:highlight w:val="none"/>
        </w:rPr>
      </w:pPr>
      <w:r>
        <w:rPr>
          <w:rFonts w:hint="eastAsia" w:ascii="仿宋_GB2312" w:hAnsi="仿宋_GB2312" w:eastAsia="仿宋_GB2312" w:cs="微软雅黑"/>
          <w:b/>
          <w:bCs/>
          <w:sz w:val="22"/>
          <w:szCs w:val="22"/>
          <w:highlight w:val="none"/>
        </w:rPr>
        <w:t>上海市电子政务云满意度调查问卷</w:t>
      </w:r>
    </w:p>
    <w:p>
      <w:pPr>
        <w:topLinePunct w:val="0"/>
        <w:adjustRightInd/>
        <w:snapToGrid/>
        <w:spacing w:before="0" w:after="0" w:line="600" w:lineRule="exact"/>
        <w:ind w:left="0" w:firstLine="480"/>
        <w:jc w:val="both"/>
        <w:rPr>
          <w:rFonts w:hint="default" w:ascii="仿宋_GB2312" w:hAnsi="仿宋_GB2312" w:eastAsia="仿宋_GB2312" w:cs="微软雅黑"/>
          <w:szCs w:val="21"/>
          <w:highlight w:val="none"/>
        </w:rPr>
      </w:pPr>
      <w:r>
        <w:rPr>
          <w:rFonts w:hint="eastAsia" w:ascii="仿宋_GB2312" w:hAnsi="仿宋_GB2312" w:eastAsia="仿宋_GB2312" w:cs="微软雅黑"/>
          <w:szCs w:val="21"/>
          <w:highlight w:val="none"/>
        </w:rPr>
        <w:t>您好！</w:t>
      </w:r>
    </w:p>
    <w:p>
      <w:pPr>
        <w:topLinePunct w:val="0"/>
        <w:adjustRightInd/>
        <w:snapToGrid/>
        <w:spacing w:before="0" w:after="0" w:line="600" w:lineRule="exact"/>
        <w:ind w:left="0" w:firstLine="480"/>
        <w:jc w:val="both"/>
        <w:rPr>
          <w:rFonts w:hint="default" w:ascii="仿宋_GB2312" w:hAnsi="仿宋_GB2312" w:eastAsia="仿宋_GB2312" w:cs="微软雅黑"/>
          <w:szCs w:val="21"/>
          <w:highlight w:val="none"/>
        </w:rPr>
      </w:pPr>
      <w:r>
        <w:rPr>
          <w:rFonts w:hint="eastAsia" w:ascii="仿宋_GB2312" w:hAnsi="仿宋_GB2312" w:eastAsia="仿宋_GB2312" w:cs="微软雅黑"/>
          <w:szCs w:val="21"/>
          <w:highlight w:val="none"/>
        </w:rPr>
        <w:t>本调查问卷为上海市电子政务云服务商考核评价提供依据。感谢您在百忙之中抽出时间，认真阅读和填写我们的问卷。我们十分期待您真诚的答复。对您的支持，我们表示衷心的感谢！</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r>
        <w:rPr>
          <w:rFonts w:hint="eastAsia" w:ascii="仿宋_GB2312" w:hAnsi="仿宋_GB2312" w:eastAsia="仿宋_GB2312" w:cs="Times New Roman"/>
          <w:szCs w:val="21"/>
          <w:highlight w:val="none"/>
        </w:rPr>
        <w:t>一、基本信息</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u w:val="single"/>
        </w:rPr>
      </w:pPr>
      <w:r>
        <w:rPr>
          <w:rFonts w:hint="eastAsia" w:ascii="仿宋_GB2312" w:hAnsi="仿宋_GB2312" w:eastAsia="仿宋_GB2312" w:cs="Times New Roman"/>
          <w:szCs w:val="21"/>
          <w:highlight w:val="none"/>
        </w:rPr>
        <w:t>您的姓名：</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rPr>
        <w:t>所在单位：</w:t>
      </w:r>
      <w:r>
        <w:rPr>
          <w:rFonts w:hint="default"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rPr>
        <w:t xml:space="preserve"> </w:t>
      </w:r>
      <w:r>
        <w:rPr>
          <w:rFonts w:hint="eastAsia" w:ascii="仿宋_GB2312" w:hAnsi="仿宋_GB2312" w:eastAsia="仿宋_GB2312" w:cs="Times New Roman"/>
          <w:szCs w:val="21"/>
          <w:highlight w:val="none"/>
        </w:rPr>
        <w:t>联系电话</w:t>
      </w:r>
      <w:r>
        <w:rPr>
          <w:rFonts w:hint="eastAsia" w:ascii="仿宋_GB2312" w:hAnsi="仿宋_GB2312" w:eastAsia="仿宋_GB2312" w:cs="Times New Roman"/>
          <w:szCs w:val="21"/>
          <w:highlight w:val="none"/>
          <w:u w:val="single"/>
        </w:rPr>
        <w:t>：</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u w:val="single"/>
        </w:rPr>
        <w:t xml:space="preserve"> </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r>
        <w:rPr>
          <w:rFonts w:hint="eastAsia" w:ascii="仿宋_GB2312" w:hAnsi="仿宋_GB2312" w:eastAsia="仿宋_GB2312" w:cs="Times New Roman"/>
          <w:szCs w:val="21"/>
          <w:highlight w:val="none"/>
        </w:rPr>
        <w:t>为您服务的云服务商：</w:t>
      </w:r>
      <w:r>
        <w:rPr>
          <w:rFonts w:hint="eastAsia"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u w:val="single"/>
        </w:rPr>
        <w:t>（电信、移动或者联通）</w:t>
      </w:r>
      <w:r>
        <w:rPr>
          <w:rFonts w:hint="default"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rPr>
        <w:t xml:space="preserve">                        </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r>
        <w:rPr>
          <w:rFonts w:hint="eastAsia" w:ascii="仿宋_GB2312" w:hAnsi="仿宋_GB2312" w:eastAsia="仿宋_GB2312" w:cs="Times New Roman"/>
          <w:szCs w:val="21"/>
          <w:highlight w:val="none"/>
        </w:rPr>
        <w:t>二、满意度问题</w:t>
      </w:r>
    </w:p>
    <w:tbl>
      <w:tblPr>
        <w:tblStyle w:val="11"/>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3"/>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黑体"/>
                <w:szCs w:val="21"/>
                <w:highlight w:val="none"/>
              </w:rPr>
            </w:pPr>
            <w:r>
              <w:rPr>
                <w:rFonts w:hint="eastAsia" w:ascii="仿宋_GB2312" w:hAnsi="仿宋_GB2312" w:eastAsia="仿宋_GB2312" w:cs="黑体"/>
                <w:b/>
                <w:bCs/>
                <w:szCs w:val="21"/>
                <w:highlight w:val="none"/>
              </w:rPr>
              <w:t>满意度问题</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黑体"/>
                <w:szCs w:val="21"/>
                <w:highlight w:val="none"/>
              </w:rPr>
            </w:pPr>
            <w:r>
              <w:rPr>
                <w:rFonts w:hint="eastAsia" w:ascii="仿宋_GB2312" w:hAnsi="仿宋_GB2312" w:eastAsia="仿宋_GB2312" w:cs="黑体"/>
                <w:b/>
                <w:bCs/>
                <w:szCs w:val="21"/>
                <w:highlight w:val="none"/>
              </w:rPr>
              <w:t>程度由高到低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您对云服务商资源交付及时性是否满意？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您对云服务商资源交付准确性是否满意？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您对云服务商服务请求的响应是否满意？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您对云服务商服务专业能力是否满意？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您对云服务商应急响应能力是否满意？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您对客服热线的拨通率和等待时间是否满意？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您对云服务商服务管理的规范性是否满意？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您对云服务商提供的培训是否满意？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r>
              <w:rPr>
                <w:rFonts w:hint="default" w:ascii="仿宋_GB2312" w:hAnsi="仿宋_GB2312" w:eastAsia="仿宋_GB2312" w:cs="仿宋_GB2312"/>
                <w:szCs w:val="21"/>
                <w:highlight w:val="none"/>
              </w:rPr>
              <w:t>.</w:t>
            </w:r>
            <w:r>
              <w:rPr>
                <w:rFonts w:hint="eastAsia" w:ascii="仿宋_GB2312" w:hAnsi="仿宋_GB2312" w:eastAsia="仿宋_GB2312" w:cs="仿宋_GB2312"/>
                <w:szCs w:val="21"/>
                <w:highlight w:val="none"/>
              </w:rPr>
              <w:t>您对云服务商服务人员的服务态度是否满意？</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4     3     2     1     0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3" w:type="dxa"/>
            <w:shd w:val="clear" w:color="auto" w:fill="auto"/>
            <w:vAlign w:val="center"/>
          </w:tcPr>
          <w:p>
            <w:pPr>
              <w:topLinePunct w:val="0"/>
              <w:adjustRightInd w:val="0"/>
              <w:snapToGrid w:val="0"/>
              <w:spacing w:before="0" w:after="0" w:line="25" w:lineRule="atLeast"/>
              <w:ind w:left="0"/>
              <w:jc w:val="both"/>
              <w:rPr>
                <w:rFonts w:hint="default" w:ascii="仿宋_GB2312" w:hAnsi="仿宋_GB2312" w:eastAsia="仿宋_GB2312" w:cs="仿宋_GB2312"/>
                <w:szCs w:val="21"/>
                <w:highlight w:val="none"/>
              </w:rPr>
            </w:pPr>
            <w:r>
              <w:rPr>
                <w:rFonts w:hint="default" w:ascii="仿宋_GB2312" w:hAnsi="仿宋_GB2312" w:eastAsia="仿宋_GB2312" w:cs="仿宋_GB2312"/>
                <w:szCs w:val="21"/>
                <w:highlight w:val="none"/>
              </w:rPr>
              <w:t>10</w:t>
            </w:r>
            <w:r>
              <w:rPr>
                <w:rFonts w:hint="eastAsia" w:ascii="仿宋_GB2312" w:hAnsi="仿宋_GB2312" w:eastAsia="仿宋_GB2312" w:cs="仿宋_GB2312"/>
                <w:szCs w:val="21"/>
                <w:highlight w:val="none"/>
              </w:rPr>
              <w:t>．整体上您对市政务云的服务满意度如何？</w:t>
            </w:r>
          </w:p>
        </w:tc>
        <w:tc>
          <w:tcPr>
            <w:tcW w:w="3964" w:type="dxa"/>
            <w:shd w:val="clear" w:color="auto" w:fill="auto"/>
            <w:vAlign w:val="center"/>
          </w:tcPr>
          <w:p>
            <w:pPr>
              <w:topLinePunct w:val="0"/>
              <w:adjustRightInd w:val="0"/>
              <w:snapToGrid w:val="0"/>
              <w:spacing w:before="0" w:after="0" w:line="25" w:lineRule="atLeast"/>
              <w:ind w:left="0"/>
              <w:jc w:val="center"/>
              <w:rPr>
                <w:rFonts w:hint="default" w:ascii="仿宋_GB2312" w:hAnsi="仿宋_GB2312" w:eastAsia="仿宋_GB2312" w:cs="仿宋_GB2312"/>
                <w:szCs w:val="21"/>
                <w:highlight w:val="none"/>
              </w:rPr>
            </w:pPr>
            <w:r>
              <w:rPr>
                <w:rFonts w:hint="default" w:ascii="仿宋_GB2312" w:hAnsi="仿宋_GB2312" w:eastAsia="仿宋_GB2312" w:cs="仿宋_GB2312"/>
                <w:szCs w:val="21"/>
                <w:highlight w:val="none"/>
              </w:rPr>
              <w:t>8</w:t>
            </w:r>
            <w:r>
              <w:rPr>
                <w:rFonts w:hint="eastAsia" w:ascii="仿宋_GB2312" w:hAnsi="仿宋_GB2312" w:eastAsia="仿宋_GB2312" w:cs="仿宋_GB2312"/>
                <w:szCs w:val="21"/>
                <w:highlight w:val="none"/>
              </w:rPr>
              <w:t xml:space="preserve">     </w:t>
            </w:r>
            <w:r>
              <w:rPr>
                <w:rFonts w:hint="default" w:ascii="仿宋_GB2312" w:hAnsi="仿宋_GB2312" w:eastAsia="仿宋_GB2312" w:cs="仿宋_GB2312"/>
                <w:szCs w:val="21"/>
                <w:highlight w:val="none"/>
              </w:rPr>
              <w:t>6</w:t>
            </w:r>
            <w:r>
              <w:rPr>
                <w:rFonts w:hint="eastAsia" w:ascii="仿宋_GB2312" w:hAnsi="仿宋_GB2312" w:eastAsia="仿宋_GB2312" w:cs="仿宋_GB2312"/>
                <w:szCs w:val="21"/>
                <w:highlight w:val="none"/>
              </w:rPr>
              <w:t xml:space="preserve">     </w:t>
            </w:r>
            <w:r>
              <w:rPr>
                <w:rFonts w:hint="default" w:ascii="仿宋_GB2312" w:hAnsi="仿宋_GB2312" w:eastAsia="仿宋_GB2312" w:cs="仿宋_GB2312"/>
                <w:szCs w:val="21"/>
                <w:highlight w:val="none"/>
              </w:rPr>
              <w:t>4</w:t>
            </w:r>
            <w:r>
              <w:rPr>
                <w:rFonts w:hint="eastAsia" w:ascii="仿宋_GB2312" w:hAnsi="仿宋_GB2312" w:eastAsia="仿宋_GB2312" w:cs="仿宋_GB2312"/>
                <w:szCs w:val="21"/>
                <w:highlight w:val="none"/>
              </w:rPr>
              <w:t xml:space="preserve">     </w:t>
            </w:r>
            <w:r>
              <w:rPr>
                <w:rFonts w:hint="default" w:ascii="仿宋_GB2312" w:hAnsi="仿宋_GB2312" w:eastAsia="仿宋_GB2312" w:cs="仿宋_GB2312"/>
                <w:szCs w:val="21"/>
                <w:highlight w:val="none"/>
              </w:rPr>
              <w:t>2</w:t>
            </w:r>
            <w:r>
              <w:rPr>
                <w:rFonts w:hint="eastAsia" w:ascii="仿宋_GB2312" w:hAnsi="仿宋_GB2312" w:eastAsia="仿宋_GB2312" w:cs="仿宋_GB2312"/>
                <w:szCs w:val="21"/>
                <w:highlight w:val="none"/>
              </w:rPr>
              <w:t xml:space="preserve">     0</w:t>
            </w:r>
          </w:p>
        </w:tc>
      </w:tr>
    </w:tbl>
    <w:p>
      <w:pPr>
        <w:topLinePunct w:val="0"/>
        <w:adjustRightInd/>
        <w:snapToGrid/>
        <w:spacing w:before="0" w:after="0" w:line="600" w:lineRule="exact"/>
        <w:ind w:left="0"/>
        <w:jc w:val="left"/>
        <w:rPr>
          <w:rFonts w:hint="default" w:ascii="仿宋_GB2312" w:hAnsi="仿宋_GB2312" w:eastAsia="仿宋_GB2312" w:cs="Times New Roman"/>
          <w:szCs w:val="21"/>
          <w:highlight w:val="none"/>
        </w:rPr>
      </w:pPr>
      <w:r>
        <w:rPr>
          <w:rFonts w:hint="eastAsia" w:ascii="仿宋_GB2312" w:hAnsi="仿宋_GB2312" w:eastAsia="仿宋_GB2312" w:cs="Times New Roman"/>
          <w:szCs w:val="21"/>
          <w:highlight w:val="none"/>
        </w:rPr>
        <w:t>三、意见和建议</w:t>
      </w:r>
    </w:p>
    <w:p>
      <w:pPr>
        <w:topLinePunct w:val="0"/>
        <w:adjustRightInd w:val="0"/>
        <w:snapToGrid w:val="0"/>
        <w:spacing w:before="0" w:after="0" w:line="600" w:lineRule="exact"/>
        <w:ind w:left="0"/>
        <w:jc w:val="both"/>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rPr>
        <w:t>您对上海市电子政务云项目有什么意见和建议？</w:t>
      </w:r>
    </w:p>
    <w:p>
      <w:pPr>
        <w:topLinePunct w:val="0"/>
        <w:adjustRightInd w:val="0"/>
        <w:snapToGrid w:val="0"/>
        <w:spacing w:before="0" w:after="0" w:line="600" w:lineRule="exact"/>
        <w:ind w:left="0"/>
        <w:jc w:val="both"/>
        <w:rPr>
          <w:rFonts w:hint="default" w:ascii="仿宋_GB2312" w:hAnsi="仿宋_GB2312" w:eastAsia="仿宋_GB2312" w:cs="仿宋_GB2312"/>
          <w:szCs w:val="21"/>
          <w:highlight w:val="none"/>
        </w:rPr>
      </w:pP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r>
        <w:rPr>
          <w:rFonts w:hint="eastAsia" w:ascii="仿宋_GB2312" w:hAnsi="仿宋_GB2312" w:eastAsia="仿宋_GB2312" w:cs="仿宋_GB2312"/>
          <w:szCs w:val="21"/>
          <w:highlight w:val="none"/>
        </w:rPr>
        <w:t>调查机构：</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仿宋_GB2312"/>
          <w:szCs w:val="21"/>
          <w:highlight w:val="none"/>
        </w:rPr>
        <w:t>调查人员：</w:t>
      </w:r>
      <w:r>
        <w:rPr>
          <w:rFonts w:hint="default"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rPr>
        <w:t xml:space="preserve"> </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rPr>
        <w:t>年</w:t>
      </w:r>
      <w:r>
        <w:rPr>
          <w:rFonts w:hint="eastAsia"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rPr>
        <w:t>月</w:t>
      </w:r>
      <w:r>
        <w:rPr>
          <w:rFonts w:hint="eastAsia" w:ascii="仿宋_GB2312" w:hAnsi="仿宋_GB2312" w:eastAsia="仿宋_GB2312" w:cs="Times New Roman"/>
          <w:szCs w:val="21"/>
          <w:highlight w:val="none"/>
          <w:u w:val="single"/>
        </w:rPr>
        <w:t xml:space="preserve"> </w:t>
      </w:r>
      <w:r>
        <w:rPr>
          <w:rFonts w:hint="default" w:ascii="仿宋_GB2312" w:hAnsi="仿宋_GB2312" w:eastAsia="仿宋_GB2312" w:cs="Times New Roman"/>
          <w:szCs w:val="21"/>
          <w:highlight w:val="none"/>
          <w:u w:val="single"/>
        </w:rPr>
        <w:t xml:space="preserve">  </w:t>
      </w:r>
      <w:r>
        <w:rPr>
          <w:rFonts w:hint="eastAsia" w:ascii="仿宋_GB2312" w:hAnsi="仿宋_GB2312" w:eastAsia="仿宋_GB2312" w:cs="Times New Roman"/>
          <w:szCs w:val="21"/>
          <w:highlight w:val="none"/>
        </w:rPr>
        <w:t>日</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r>
        <w:rPr>
          <w:rFonts w:hint="eastAsia" w:ascii="仿宋_GB2312" w:hAnsi="仿宋_GB2312" w:eastAsia="仿宋_GB2312" w:cs="Times New Roman"/>
          <w:szCs w:val="21"/>
          <w:highlight w:val="none"/>
        </w:rPr>
        <w:t>注：满意度=满意度得分/</w:t>
      </w:r>
      <w:r>
        <w:rPr>
          <w:rFonts w:hint="default" w:ascii="仿宋_GB2312" w:hAnsi="仿宋_GB2312" w:eastAsia="仿宋_GB2312" w:cs="Times New Roman"/>
          <w:szCs w:val="21"/>
          <w:highlight w:val="none"/>
        </w:rPr>
        <w:t xml:space="preserve">44 </w:t>
      </w:r>
      <w:r>
        <w:rPr>
          <w:rFonts w:hint="eastAsia" w:ascii="仿宋_GB2312" w:hAnsi="仿宋_GB2312" w:eastAsia="仿宋_GB2312" w:cs="Times New Roman"/>
          <w:szCs w:val="21"/>
          <w:highlight w:val="none"/>
        </w:rPr>
        <w:t>×</w:t>
      </w:r>
      <w:r>
        <w:rPr>
          <w:rFonts w:hint="default" w:ascii="仿宋_GB2312" w:hAnsi="仿宋_GB2312" w:eastAsia="仿宋_GB2312" w:cs="Times New Roman"/>
          <w:szCs w:val="21"/>
          <w:highlight w:val="none"/>
        </w:rPr>
        <w:t>100</w:t>
      </w:r>
      <w:r>
        <w:rPr>
          <w:rFonts w:hint="eastAsia" w:ascii="仿宋_GB2312" w:hAnsi="仿宋_GB2312" w:eastAsia="仿宋_GB2312" w:cs="Times New Roman"/>
          <w:szCs w:val="21"/>
          <w:highlight w:val="none"/>
        </w:rPr>
        <w:t>%，每家云服务商最终满意度按样本满意度平均分计算。</w:t>
      </w:r>
    </w:p>
    <w:p>
      <w:pPr>
        <w:topLinePunct w:val="0"/>
        <w:adjustRightInd w:val="0"/>
        <w:snapToGrid w:val="0"/>
        <w:spacing w:before="0" w:after="0" w:line="600" w:lineRule="exact"/>
        <w:ind w:left="0"/>
        <w:jc w:val="both"/>
        <w:rPr>
          <w:rFonts w:hint="default" w:ascii="仿宋_GB2312" w:hAnsi="仿宋_GB2312" w:eastAsia="仿宋_GB2312" w:cs="Times New Roman"/>
          <w:szCs w:val="21"/>
          <w:highlight w:val="none"/>
        </w:rPr>
      </w:pPr>
    </w:p>
    <w:p>
      <w:pPr>
        <w:widowControl w:val="0"/>
        <w:topLinePunct w:val="0"/>
        <w:adjustRightInd/>
        <w:snapToGrid/>
        <w:spacing w:before="0" w:after="0" w:line="600" w:lineRule="exact"/>
        <w:ind w:left="0" w:firstLine="560" w:firstLineChars="200"/>
        <w:jc w:val="both"/>
        <w:outlineLvl w:val="0"/>
        <w:rPr>
          <w:rFonts w:hint="default" w:ascii="黑体" w:hAnsi="黑体" w:eastAsia="黑体" w:cs="仿宋_GB2312"/>
          <w:color w:val="000000"/>
          <w:kern w:val="0"/>
          <w:sz w:val="28"/>
          <w:szCs w:val="28"/>
          <w:highlight w:val="none"/>
          <w:lang w:val="zh-CN" w:bidi="en-US"/>
        </w:rPr>
      </w:pPr>
      <w:r>
        <w:rPr>
          <w:rFonts w:hint="eastAsia" w:ascii="黑体" w:hAnsi="黑体" w:eastAsia="黑体" w:cs="仿宋_GB2312"/>
          <w:color w:val="000000"/>
          <w:kern w:val="0"/>
          <w:sz w:val="28"/>
          <w:szCs w:val="28"/>
          <w:highlight w:val="none"/>
          <w:lang w:val="zh-CN" w:bidi="en-US"/>
        </w:rPr>
        <w:t>六、考核方法与考核结果</w:t>
      </w:r>
    </w:p>
    <w:p>
      <w:pPr>
        <w:topLinePunct w:val="0"/>
        <w:adjustRightInd/>
        <w:snapToGrid/>
        <w:spacing w:before="0" w:after="0" w:line="600" w:lineRule="atLeas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第三方监管团队应市大数据中心要求，基于材料审查、实地检查、数据接口、问卷调查等多种方式，每月定期按月度考核指标进行考核，出具考核结果，一个服务年度按年度考核指标执行一次年度考核，出具年度考核结果。</w:t>
      </w:r>
    </w:p>
    <w:p>
      <w:pPr>
        <w:topLinePunct w:val="0"/>
        <w:adjustRightInd/>
        <w:snapToGrid/>
        <w:spacing w:before="0" w:after="0" w:line="600" w:lineRule="atLeas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云服务商年度考核得分8</w:t>
      </w:r>
      <w:r>
        <w:rPr>
          <w:rFonts w:hint="default" w:ascii="仿宋_GB2312" w:hAnsi="仿宋_GB2312" w:eastAsia="仿宋_GB2312" w:cs="仿宋_GB2312"/>
          <w:sz w:val="28"/>
          <w:szCs w:val="28"/>
          <w:highlight w:val="none"/>
          <w:lang w:eastAsia="zh-Hans"/>
        </w:rPr>
        <w:t>0</w:t>
      </w:r>
      <w:r>
        <w:rPr>
          <w:rFonts w:hint="eastAsia" w:ascii="仿宋_GB2312" w:hAnsi="仿宋_GB2312" w:eastAsia="仿宋_GB2312" w:cs="仿宋_GB2312"/>
          <w:sz w:val="28"/>
          <w:szCs w:val="28"/>
          <w:highlight w:val="none"/>
          <w:lang w:eastAsia="zh-Hans"/>
        </w:rPr>
        <w:t>%权重来自于月度考核，2</w:t>
      </w:r>
      <w:r>
        <w:rPr>
          <w:rFonts w:hint="default" w:ascii="仿宋_GB2312" w:hAnsi="仿宋_GB2312" w:eastAsia="仿宋_GB2312" w:cs="仿宋_GB2312"/>
          <w:sz w:val="28"/>
          <w:szCs w:val="28"/>
          <w:highlight w:val="none"/>
          <w:lang w:eastAsia="zh-Hans"/>
        </w:rPr>
        <w:t>0</w:t>
      </w:r>
      <w:r>
        <w:rPr>
          <w:rFonts w:hint="eastAsia" w:ascii="仿宋_GB2312" w:hAnsi="仿宋_GB2312" w:eastAsia="仿宋_GB2312" w:cs="仿宋_GB2312"/>
          <w:sz w:val="28"/>
          <w:szCs w:val="28"/>
          <w:highlight w:val="none"/>
          <w:lang w:eastAsia="zh-Hans"/>
        </w:rPr>
        <w:t>%来自于年度考核，具体计算公式如下：</w:t>
      </w:r>
    </w:p>
    <w:p>
      <w:pPr>
        <w:topLinePunct w:val="0"/>
        <w:adjustRightInd/>
        <w:snapToGrid/>
        <w:spacing w:before="0" w:after="0" w:line="600" w:lineRule="atLeas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云服务商年度考核得分=服务年度月度考核得分平均分×8</w:t>
      </w:r>
      <w:r>
        <w:rPr>
          <w:rFonts w:hint="default" w:ascii="仿宋_GB2312" w:hAnsi="仿宋_GB2312" w:eastAsia="仿宋_GB2312" w:cs="仿宋_GB2312"/>
          <w:sz w:val="28"/>
          <w:szCs w:val="28"/>
          <w:highlight w:val="none"/>
          <w:lang w:eastAsia="zh-Hans"/>
        </w:rPr>
        <w:t>0</w:t>
      </w:r>
      <w:r>
        <w:rPr>
          <w:rFonts w:hint="eastAsia" w:ascii="仿宋_GB2312" w:hAnsi="仿宋_GB2312" w:eastAsia="仿宋_GB2312" w:cs="仿宋_GB2312"/>
          <w:sz w:val="28"/>
          <w:szCs w:val="28"/>
          <w:highlight w:val="none"/>
          <w:lang w:eastAsia="zh-Hans"/>
        </w:rPr>
        <w:t>%+服务年度考核得分×</w:t>
      </w:r>
      <w:r>
        <w:rPr>
          <w:rFonts w:hint="default" w:ascii="仿宋_GB2312" w:hAnsi="仿宋_GB2312" w:eastAsia="仿宋_GB2312" w:cs="仿宋_GB2312"/>
          <w:sz w:val="28"/>
          <w:szCs w:val="28"/>
          <w:highlight w:val="none"/>
          <w:lang w:eastAsia="zh-Hans"/>
        </w:rPr>
        <w:t>20</w:t>
      </w:r>
      <w:r>
        <w:rPr>
          <w:rFonts w:hint="eastAsia" w:ascii="仿宋_GB2312" w:hAnsi="仿宋_GB2312" w:eastAsia="仿宋_GB2312" w:cs="仿宋_GB2312"/>
          <w:sz w:val="28"/>
          <w:szCs w:val="28"/>
          <w:highlight w:val="none"/>
          <w:lang w:eastAsia="zh-Hans"/>
        </w:rPr>
        <w:t>%</w:t>
      </w:r>
    </w:p>
    <w:p>
      <w:pPr>
        <w:topLinePunct w:val="0"/>
        <w:adjustRightInd/>
        <w:snapToGrid/>
        <w:spacing w:before="0" w:after="0" w:line="600" w:lineRule="atLeast"/>
        <w:ind w:left="0" w:firstLine="560" w:firstLineChars="20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考核结果按根据合同约定，年度责罚条款如下：</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当年运营考核总体得分低于90分，扣除当年结算金额的5%；</w:t>
      </w:r>
    </w:p>
    <w:p>
      <w:pPr>
        <w:numPr>
          <w:ilvl w:val="0"/>
          <w:numId w:val="17"/>
        </w:numPr>
        <w:spacing w:line="600" w:lineRule="exact"/>
        <w:ind w:left="0" w:firstLine="709" w:firstLineChars="0"/>
        <w:jc w:val="both"/>
        <w:rPr>
          <w:rFonts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当年运营考核总体得分低于80分，扣除当年结算金额的10%；</w:t>
      </w:r>
    </w:p>
    <w:p>
      <w:pPr>
        <w:numPr>
          <w:ilvl w:val="0"/>
          <w:numId w:val="17"/>
        </w:numPr>
        <w:topLinePunct w:val="0"/>
        <w:adjustRightInd/>
        <w:snapToGrid/>
        <w:spacing w:before="0" w:after="0" w:line="600" w:lineRule="exact"/>
        <w:ind w:left="0" w:firstLine="709"/>
        <w:jc w:val="both"/>
        <w:rPr>
          <w:rFonts w:hint="default"/>
        </w:rPr>
      </w:pPr>
      <w:r>
        <w:rPr>
          <w:rFonts w:hint="eastAsia" w:ascii="仿宋_GB2312" w:hAnsi="仿宋_GB2312" w:eastAsia="仿宋_GB2312" w:cs="仿宋_GB2312"/>
          <w:kern w:val="2"/>
          <w:sz w:val="28"/>
          <w:szCs w:val="28"/>
          <w:highlight w:val="none"/>
          <w:lang w:val="en-US" w:eastAsia="zh-CN" w:bidi="ar-SA"/>
        </w:rPr>
        <w:t>当年运营考核总体得分低于70分，扣除当年结算金额的15%。</w:t>
      </w:r>
    </w:p>
    <w:sectPr>
      <w:footerReference r:id="rId7" w:type="default"/>
      <w:pgSz w:w="11907" w:h="16840"/>
      <w:pgMar w:top="1701" w:right="1134" w:bottom="1701" w:left="1134" w:header="567"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Book Antiqua">
    <w:altName w:val="Liberation Serif"/>
    <w:panose1 w:val="02040602050305030304"/>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default"/>
                            </w:rPr>
                          </w:pPr>
                          <w:r>
                            <w:rPr>
                              <w:rFonts w:hint="default"/>
                            </w:rPr>
                            <w:fldChar w:fldCharType="begin"/>
                          </w:r>
                          <w:r>
                            <w:instrText xml:space="preserve"> PAGE  \* MERGEFORMAT </w:instrText>
                          </w:r>
                          <w:r>
                            <w:rPr>
                              <w:rFonts w:hint="default"/>
                            </w:rPr>
                            <w:fldChar w:fldCharType="separate"/>
                          </w:r>
                          <w:r>
                            <w:rPr>
                              <w:rFonts w:hint="default"/>
                            </w:rPr>
                            <w:t>25</w:t>
                          </w:r>
                          <w:r>
                            <w:rPr>
                              <w:rFonts w:hint="default"/>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OqXm5&#10;zwAAAAUBAAAPAAAAAAAAAAEAIAAAADgAAABkcnMvZG93bnJldi54bWxQSwECFAAUAAAACACHTuJA&#10;Vl/Gh9sBAADAAwAADgAAAAAAAAABACAAAAA0AQAAZHJzL2Uyb0RvYy54bWxQSwUGAAAAAAYABgBZ&#10;AQAAgQUAAAAA&#10;">
              <v:fill on="f" focussize="0,0"/>
              <v:stroke on="f"/>
              <v:imagedata o:title=""/>
              <o:lock v:ext="edit" aspectratio="f"/>
              <v:textbox inset="0mm,0mm,0mm,0mm" style="mso-fit-shape-to-text:t;">
                <w:txbxContent>
                  <w:p>
                    <w:pPr>
                      <w:pStyle w:val="9"/>
                      <w:rPr>
                        <w:rFonts w:hint="default"/>
                      </w:rPr>
                    </w:pPr>
                    <w:r>
                      <w:rPr>
                        <w:rFonts w:hint="default"/>
                      </w:rPr>
                      <w:fldChar w:fldCharType="begin"/>
                    </w:r>
                    <w:r>
                      <w:instrText xml:space="preserve"> PAGE  \* MERGEFORMAT </w:instrText>
                    </w:r>
                    <w:r>
                      <w:rPr>
                        <w:rFonts w:hint="default"/>
                      </w:rPr>
                      <w:fldChar w:fldCharType="separate"/>
                    </w:r>
                    <w:r>
                      <w:rPr>
                        <w:rFonts w:hint="default"/>
                      </w:rPr>
                      <w:t>25</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lang w:val="en-US" w:eastAsia="zh-CN" w:bidi="ar-SA"/>
      </w:rPr>
      <w:id w:val="1595197834"/>
      <w:docPartObj>
        <w:docPartGallery w:val="autotext"/>
      </w:docPartObj>
    </w:sdtPr>
    <w:sdtEndPr>
      <w:rPr>
        <w:rFonts w:ascii="Times New Roman" w:hAnsi="Times New Roman" w:eastAsia="宋体" w:cs="Times New Roman"/>
        <w:kern w:val="2"/>
        <w:sz w:val="18"/>
        <w:szCs w:val="18"/>
        <w:lang w:val="en-US" w:eastAsia="zh-CN" w:bidi="ar-SA"/>
      </w:rPr>
    </w:sdtEndPr>
    <w:sdtContent>
      <w:p>
        <w:pP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en-US" w:eastAsia="zh-CN" w:bidi="ar-SA"/>
          </w:rPr>
          <w:fldChar w:fldCharType="end"/>
        </w:r>
      </w:p>
    </w:sdtContent>
  </w:sdt>
  <w:p>
    <w:pPr>
      <w:tabs>
        <w:tab w:val="center" w:pos="4320"/>
      </w:tabs>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105515"/>
      <w:docPartObj>
        <w:docPartGallery w:val="autotext"/>
      </w:docPartObj>
    </w:sdtPr>
    <w:sdtContent>
      <w:p>
        <w:pPr>
          <w:pStyle w:val="9"/>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sdtContent>
  </w:sdt>
  <w:p>
    <w:pPr>
      <w:pStyle w:val="9"/>
      <w:tabs>
        <w:tab w:val="center"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6B29A"/>
    <w:multiLevelType w:val="singleLevel"/>
    <w:tmpl w:val="A1E6B29A"/>
    <w:lvl w:ilvl="0" w:tentative="0">
      <w:start w:val="1"/>
      <w:numFmt w:val="decimal"/>
      <w:lvlText w:val="%1."/>
      <w:lvlJc w:val="left"/>
      <w:pPr>
        <w:ind w:left="425" w:hanging="425"/>
      </w:pPr>
      <w:rPr>
        <w:rFonts w:hint="default"/>
      </w:rPr>
    </w:lvl>
  </w:abstractNum>
  <w:abstractNum w:abstractNumId="1">
    <w:nsid w:val="CE833496"/>
    <w:multiLevelType w:val="singleLevel"/>
    <w:tmpl w:val="CE833496"/>
    <w:lvl w:ilvl="0" w:tentative="0">
      <w:start w:val="1"/>
      <w:numFmt w:val="decimal"/>
      <w:lvlText w:val="%1."/>
      <w:lvlJc w:val="left"/>
      <w:pPr>
        <w:ind w:left="425" w:hanging="425"/>
      </w:pPr>
      <w:rPr>
        <w:rFonts w:hint="default"/>
      </w:rPr>
    </w:lvl>
  </w:abstractNum>
  <w:abstractNum w:abstractNumId="2">
    <w:nsid w:val="0000000A"/>
    <w:multiLevelType w:val="multilevel"/>
    <w:tmpl w:val="0000000A"/>
    <w:lvl w:ilvl="0" w:tentative="0">
      <w:start w:val="1"/>
      <w:numFmt w:val="chineseCountingThousand"/>
      <w:pStyle w:val="23"/>
      <w:suff w:val="space"/>
      <w:lvlText w:val="第%1章"/>
      <w:lvlJc w:val="left"/>
      <w:pPr>
        <w:ind w:left="1559"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425" w:hanging="425"/>
      </w:pPr>
      <w:rPr>
        <w:rFonts w:hint="eastAsia" w:cs="Times New Roman"/>
        <w:b/>
        <w:bCs w:val="0"/>
        <w:i w:val="0"/>
        <w:iCs w:val="0"/>
        <w:caps w:val="0"/>
        <w:smallCaps w:val="0"/>
        <w:vanish w:val="0"/>
        <w:color w:val="000000"/>
        <w:spacing w:val="0"/>
        <w:position w:val="0"/>
        <w:u w:val="none"/>
        <w:vertAlign w:val="baseline"/>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0ADA7B35"/>
    <w:multiLevelType w:val="singleLevel"/>
    <w:tmpl w:val="0ADA7B35"/>
    <w:lvl w:ilvl="0" w:tentative="0">
      <w:start w:val="1"/>
      <w:numFmt w:val="decimal"/>
      <w:lvlText w:val="%1."/>
      <w:lvlJc w:val="left"/>
      <w:pPr>
        <w:ind w:left="425" w:hanging="425"/>
      </w:pPr>
      <w:rPr>
        <w:rFonts w:hint="default"/>
      </w:rPr>
    </w:lvl>
  </w:abstractNum>
  <w:abstractNum w:abstractNumId="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宋体" w:hAnsi="宋体" w:eastAsia="宋体" w:cs="Book Antiqua"/>
        <w:b w:val="0"/>
        <w:bCs/>
        <w:i w:val="0"/>
        <w:iCs w:val="0"/>
        <w:caps w:val="0"/>
        <w:strike w:val="0"/>
        <w:dstrike w:val="0"/>
        <w:snapToGrid w:val="0"/>
        <w:vanish w:val="0"/>
        <w:spacing w:val="0"/>
        <w:kern w:val="0"/>
        <w:sz w:val="36"/>
        <w:szCs w:val="36"/>
        <w:vertAlign w:val="baseline"/>
      </w:rPr>
    </w:lvl>
    <w:lvl w:ilvl="2" w:tentative="0">
      <w:start w:val="1"/>
      <w:numFmt w:val="decimal"/>
      <w:pStyle w:val="5"/>
      <w:suff w:val="nothing"/>
      <w:lvlText w:val="%1.%2.%3 "/>
      <w:lvlJc w:val="left"/>
      <w:pPr>
        <w:ind w:left="426" w:firstLine="0"/>
      </w:pPr>
      <w:rPr>
        <w:rFonts w:hint="default" w:ascii="Book Antiqua" w:hAnsi="Book Antiqua" w:eastAsia="黑体" w:cs="Book Antiqua"/>
        <w:b w:val="0"/>
        <w:bCs/>
        <w:i w:val="0"/>
        <w:iCs w:val="0"/>
        <w:caps w:val="0"/>
        <w:strike w:val="0"/>
        <w:dstrike w:val="0"/>
        <w:snapToGrid w:val="0"/>
        <w:vanish w:val="0"/>
        <w:kern w:val="0"/>
        <w:sz w:val="32"/>
        <w:szCs w:val="32"/>
        <w:vertAlign w:val="baseline"/>
      </w:rPr>
    </w:lvl>
    <w:lvl w:ilvl="3" w:tentative="0">
      <w:start w:val="1"/>
      <w:numFmt w:val="decimal"/>
      <w:lvlRestart w:val="1"/>
      <w:suff w:val="nothing"/>
      <w:lvlText w:val="%1.%2.%3.%4 "/>
      <w:lvlJc w:val="left"/>
      <w:pPr>
        <w:ind w:left="0" w:firstLine="0"/>
      </w:pPr>
      <w:rPr>
        <w:rFonts w:hint="default" w:ascii="Book Antiqua" w:hAnsi="Book Antiqua" w:eastAsia="黑体" w:cs="Book Antiqua"/>
        <w:bCs/>
        <w:i w:val="0"/>
        <w:iCs w:val="0"/>
        <w:caps w:val="0"/>
        <w:strike w:val="0"/>
        <w:dstrike w:val="0"/>
        <w:vanish w:val="0"/>
        <w:sz w:val="28"/>
        <w:szCs w:val="28"/>
        <w:vertAlign w:val="baseline"/>
      </w:rPr>
    </w:lvl>
    <w:lvl w:ilvl="4" w:tentative="0">
      <w:start w:val="1"/>
      <w:numFmt w:val="decimal"/>
      <w:lvlRestart w:val="1"/>
      <w:suff w:val="nothing"/>
      <w:lvlText w:val="%1.%2.%3.%4.%5 "/>
      <w:lvlJc w:val="left"/>
      <w:pPr>
        <w:ind w:left="0" w:firstLine="0"/>
      </w:pPr>
      <w:rPr>
        <w:rFonts w:hint="default" w:ascii="Book Antiqua" w:hAnsi="Book Antiqua" w:eastAsia="黑体" w:cs="Book Antiqua"/>
        <w:bCs/>
        <w:i w:val="0"/>
        <w:iCs w:val="0"/>
        <w:caps w:val="0"/>
        <w:strike w:val="0"/>
        <w:dstrike w:val="0"/>
        <w:vanish w:val="0"/>
        <w:sz w:val="24"/>
        <w:szCs w:val="24"/>
        <w:vertAlign w:val="baseline"/>
      </w:rPr>
    </w:lvl>
    <w:lvl w:ilvl="5" w:tentative="0">
      <w:start w:val="1"/>
      <w:numFmt w:val="none"/>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6" w:tentative="0">
      <w:start w:val="1"/>
      <w:numFmt w:val="decimal"/>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5">
    <w:nsid w:val="3A691059"/>
    <w:multiLevelType w:val="multilevel"/>
    <w:tmpl w:val="3A691059"/>
    <w:lvl w:ilvl="0" w:tentative="0">
      <w:start w:val="1"/>
      <w:numFmt w:val="decimal"/>
      <w:pStyle w:val="3"/>
      <w:lvlText w:val="%1."/>
      <w:lvlJc w:val="left"/>
      <w:pPr>
        <w:ind w:left="420" w:hanging="420"/>
      </w:pPr>
      <w:rPr>
        <w:rFonts w:hint="eastAsia" w:ascii="宋体" w:hAnsi="宋体" w:eastAsia="宋体"/>
        <w:caps w:val="0"/>
        <w:strike w:val="0"/>
        <w:dstrike w:val="0"/>
        <w:vanish w:val="0"/>
        <w:sz w:val="4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AB3A5F"/>
    <w:multiLevelType w:val="singleLevel"/>
    <w:tmpl w:val="4AAB3A5F"/>
    <w:lvl w:ilvl="0" w:tentative="0">
      <w:start w:val="1"/>
      <w:numFmt w:val="decimal"/>
      <w:lvlText w:val="%1."/>
      <w:lvlJc w:val="left"/>
      <w:pPr>
        <w:ind w:left="425" w:hanging="425"/>
      </w:pPr>
      <w:rPr>
        <w:rFonts w:hint="default"/>
      </w:rPr>
    </w:lvl>
  </w:abstractNum>
  <w:abstractNum w:abstractNumId="7">
    <w:nsid w:val="4ACAB957"/>
    <w:multiLevelType w:val="multilevel"/>
    <w:tmpl w:val="4ACAB95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CF3139E"/>
    <w:multiLevelType w:val="singleLevel"/>
    <w:tmpl w:val="4CF3139E"/>
    <w:lvl w:ilvl="0" w:tentative="0">
      <w:start w:val="1"/>
      <w:numFmt w:val="decimal"/>
      <w:lvlText w:val="%1."/>
      <w:lvlJc w:val="left"/>
      <w:pPr>
        <w:ind w:left="425" w:hanging="425"/>
      </w:pPr>
      <w:rPr>
        <w:rFonts w:hint="default"/>
      </w:rPr>
    </w:lvl>
  </w:abstractNum>
  <w:abstractNum w:abstractNumId="9">
    <w:nsid w:val="4DEF7DE0"/>
    <w:multiLevelType w:val="multilevel"/>
    <w:tmpl w:val="4DEF7DE0"/>
    <w:lvl w:ilvl="0" w:tentative="0">
      <w:start w:val="1"/>
      <w:numFmt w:val="decimal"/>
      <w:pStyle w:val="4"/>
      <w:lvlText w:val="%1."/>
      <w:lvlJc w:val="left"/>
      <w:pPr>
        <w:ind w:left="420" w:hanging="420"/>
      </w:pPr>
      <w:rPr>
        <w:rFonts w:hint="eastAsia" w:eastAsia="宋体"/>
        <w:caps w:val="0"/>
        <w:strike w:val="0"/>
        <w:dstrike w:val="0"/>
        <w:vanish w:val="0"/>
        <w:sz w:val="3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480DB2"/>
    <w:multiLevelType w:val="multilevel"/>
    <w:tmpl w:val="51480DB2"/>
    <w:lvl w:ilvl="0" w:tentative="0">
      <w:start w:val="13"/>
      <w:numFmt w:val="decimal"/>
      <w:lvlText w:val="%1"/>
      <w:lvlJc w:val="left"/>
      <w:pPr>
        <w:tabs>
          <w:tab w:val="left" w:pos="870"/>
        </w:tabs>
        <w:ind w:left="870" w:hanging="87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F46BA80"/>
    <w:multiLevelType w:val="singleLevel"/>
    <w:tmpl w:val="5F46BA80"/>
    <w:lvl w:ilvl="0" w:tentative="0">
      <w:start w:val="1"/>
      <w:numFmt w:val="decimal"/>
      <w:lvlText w:val="%1."/>
      <w:lvlJc w:val="left"/>
      <w:pPr>
        <w:ind w:left="425" w:hanging="425"/>
      </w:pPr>
      <w:rPr>
        <w:rFonts w:hint="default"/>
      </w:rPr>
    </w:lvl>
  </w:abstractNum>
  <w:abstractNum w:abstractNumId="12">
    <w:nsid w:val="64274E4D"/>
    <w:multiLevelType w:val="singleLevel"/>
    <w:tmpl w:val="64274E4D"/>
    <w:lvl w:ilvl="0" w:tentative="0">
      <w:start w:val="1"/>
      <w:numFmt w:val="decimal"/>
      <w:lvlText w:val="%1."/>
      <w:lvlJc w:val="left"/>
      <w:pPr>
        <w:ind w:left="425" w:hanging="425"/>
      </w:pPr>
      <w:rPr>
        <w:rFonts w:hint="default"/>
      </w:rPr>
    </w:lvl>
  </w:abstractNum>
  <w:abstractNum w:abstractNumId="13">
    <w:nsid w:val="6E841314"/>
    <w:multiLevelType w:val="multilevel"/>
    <w:tmpl w:val="6E8413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BFAFC1C"/>
    <w:multiLevelType w:val="singleLevel"/>
    <w:tmpl w:val="7BFAFC1C"/>
    <w:lvl w:ilvl="0" w:tentative="0">
      <w:start w:val="1"/>
      <w:numFmt w:val="decimal"/>
      <w:suff w:val="space"/>
      <w:lvlText w:val="%1."/>
      <w:lvlJc w:val="left"/>
    </w:lvl>
  </w:abstractNum>
  <w:abstractNum w:abstractNumId="15">
    <w:nsid w:val="7ED1D363"/>
    <w:multiLevelType w:val="singleLevel"/>
    <w:tmpl w:val="7ED1D363"/>
    <w:lvl w:ilvl="0" w:tentative="0">
      <w:start w:val="1"/>
      <w:numFmt w:val="decimal"/>
      <w:suff w:val="nothing"/>
      <w:lvlText w:val="%1、"/>
      <w:lvlJc w:val="left"/>
    </w:lvl>
  </w:abstractNum>
  <w:abstractNum w:abstractNumId="16">
    <w:nsid w:val="7F026082"/>
    <w:multiLevelType w:val="singleLevel"/>
    <w:tmpl w:val="7F026082"/>
    <w:lvl w:ilvl="0" w:tentative="0">
      <w:start w:val="1"/>
      <w:numFmt w:val="decimal"/>
      <w:lvlText w:val="%1."/>
      <w:lvlJc w:val="left"/>
      <w:pPr>
        <w:ind w:left="425" w:hanging="425"/>
      </w:pPr>
      <w:rPr>
        <w:rFonts w:hint="default"/>
      </w:rPr>
    </w:lvl>
  </w:abstractNum>
  <w:num w:numId="1">
    <w:abstractNumId w:val="5"/>
  </w:num>
  <w:num w:numId="2">
    <w:abstractNumId w:val="9"/>
  </w:num>
  <w:num w:numId="3">
    <w:abstractNumId w:val="4"/>
  </w:num>
  <w:num w:numId="4">
    <w:abstractNumId w:val="2"/>
  </w:num>
  <w:num w:numId="5">
    <w:abstractNumId w:val="7"/>
  </w:num>
  <w:num w:numId="6">
    <w:abstractNumId w:val="12"/>
  </w:num>
  <w:num w:numId="7">
    <w:abstractNumId w:val="6"/>
  </w:num>
  <w:num w:numId="8">
    <w:abstractNumId w:val="0"/>
  </w:num>
  <w:num w:numId="9">
    <w:abstractNumId w:val="8"/>
  </w:num>
  <w:num w:numId="10">
    <w:abstractNumId w:val="15"/>
  </w:num>
  <w:num w:numId="11">
    <w:abstractNumId w:val="3"/>
  </w:num>
  <w:num w:numId="12">
    <w:abstractNumId w:val="11"/>
  </w:num>
  <w:num w:numId="13">
    <w:abstractNumId w:val="1"/>
  </w:num>
  <w:num w:numId="14">
    <w:abstractNumId w:val="16"/>
  </w:num>
  <w:num w:numId="15">
    <w:abstractNumId w:val="1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24F3C"/>
    <w:rsid w:val="00041E1D"/>
    <w:rsid w:val="002B4E61"/>
    <w:rsid w:val="003319BE"/>
    <w:rsid w:val="004C46C2"/>
    <w:rsid w:val="00722674"/>
    <w:rsid w:val="007B4707"/>
    <w:rsid w:val="0086551D"/>
    <w:rsid w:val="00867629"/>
    <w:rsid w:val="00AD594B"/>
    <w:rsid w:val="00ED5D80"/>
    <w:rsid w:val="02707F16"/>
    <w:rsid w:val="02B16C6D"/>
    <w:rsid w:val="105B14D6"/>
    <w:rsid w:val="1B8433F0"/>
    <w:rsid w:val="1ED60300"/>
    <w:rsid w:val="23765FF7"/>
    <w:rsid w:val="2ABD754D"/>
    <w:rsid w:val="30AD2D12"/>
    <w:rsid w:val="33275064"/>
    <w:rsid w:val="355025D5"/>
    <w:rsid w:val="37CA7FA8"/>
    <w:rsid w:val="37E214F2"/>
    <w:rsid w:val="39ED2515"/>
    <w:rsid w:val="3B182D67"/>
    <w:rsid w:val="3CA11CEC"/>
    <w:rsid w:val="3D7EFC36"/>
    <w:rsid w:val="3F7E0DA9"/>
    <w:rsid w:val="47424F3C"/>
    <w:rsid w:val="487667BE"/>
    <w:rsid w:val="4B694716"/>
    <w:rsid w:val="52FAC6B1"/>
    <w:rsid w:val="53FD112F"/>
    <w:rsid w:val="56355A56"/>
    <w:rsid w:val="56E74FD3"/>
    <w:rsid w:val="58945360"/>
    <w:rsid w:val="5FBF926B"/>
    <w:rsid w:val="61930B88"/>
    <w:rsid w:val="637B5C2F"/>
    <w:rsid w:val="63B819FA"/>
    <w:rsid w:val="67DE6C26"/>
    <w:rsid w:val="6BD842D2"/>
    <w:rsid w:val="6D4C2064"/>
    <w:rsid w:val="6EFC2723"/>
    <w:rsid w:val="76A543E5"/>
    <w:rsid w:val="7736664B"/>
    <w:rsid w:val="79077C27"/>
    <w:rsid w:val="7A936ADC"/>
    <w:rsid w:val="7EF7FF0B"/>
    <w:rsid w:val="7FDFAAD3"/>
    <w:rsid w:val="7FFC589B"/>
    <w:rsid w:val="7FFFB75B"/>
    <w:rsid w:val="EEF2441D"/>
    <w:rsid w:val="FFF7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opLinePunct/>
      <w:adjustRightInd w:val="0"/>
      <w:snapToGrid w:val="0"/>
      <w:spacing w:before="160" w:after="160" w:line="240" w:lineRule="atLeast"/>
      <w:ind w:left="1701"/>
    </w:pPr>
    <w:rPr>
      <w:rFonts w:hint="eastAsia" w:ascii="Times New Roman" w:hAnsi="Times New Roman" w:eastAsia="宋体" w:cs="Arial"/>
      <w:kern w:val="2"/>
      <w:sz w:val="21"/>
      <w:szCs w:val="21"/>
      <w:lang w:val="en-US" w:eastAsia="zh-CN" w:bidi="ar-SA"/>
    </w:rPr>
  </w:style>
  <w:style w:type="paragraph" w:styleId="3">
    <w:name w:val="heading 1"/>
    <w:basedOn w:val="1"/>
    <w:next w:val="4"/>
    <w:qFormat/>
    <w:uiPriority w:val="0"/>
    <w:pPr>
      <w:keepNext/>
      <w:pageBreakBefore/>
      <w:numPr>
        <w:ilvl w:val="0"/>
        <w:numId w:val="1"/>
      </w:numPr>
      <w:spacing w:before="0" w:after="0" w:line="480" w:lineRule="auto"/>
      <w:outlineLvl w:val="0"/>
    </w:pPr>
    <w:rPr>
      <w:rFonts w:ascii="Book Antiqua" w:hAnsi="Book Antiqua" w:cs="Book Antiqua"/>
      <w:b/>
      <w:bCs/>
      <w:sz w:val="44"/>
      <w:szCs w:val="44"/>
    </w:rPr>
  </w:style>
  <w:style w:type="paragraph" w:styleId="4">
    <w:name w:val="heading 2"/>
    <w:basedOn w:val="1"/>
    <w:next w:val="5"/>
    <w:qFormat/>
    <w:uiPriority w:val="0"/>
    <w:pPr>
      <w:keepNext/>
      <w:keepLines/>
      <w:numPr>
        <w:ilvl w:val="0"/>
        <w:numId w:val="2"/>
      </w:numPr>
      <w:spacing w:before="0" w:after="0" w:line="360" w:lineRule="auto"/>
      <w:textAlignment w:val="center"/>
      <w:outlineLvl w:val="1"/>
    </w:pPr>
    <w:rPr>
      <w:rFonts w:hint="default" w:ascii="Book Antiqua" w:hAnsi="Book Antiqua" w:cs="Times New Roman"/>
      <w:bCs/>
      <w:kern w:val="0"/>
      <w:sz w:val="36"/>
      <w:szCs w:val="36"/>
      <w:lang w:eastAsia="en-US"/>
    </w:rPr>
  </w:style>
  <w:style w:type="paragraph" w:styleId="5">
    <w:name w:val="heading 3"/>
    <w:basedOn w:val="1"/>
    <w:next w:val="1"/>
    <w:qFormat/>
    <w:uiPriority w:val="0"/>
    <w:pPr>
      <w:keepNext/>
      <w:keepLines/>
      <w:numPr>
        <w:ilvl w:val="2"/>
        <w:numId w:val="3"/>
      </w:numPr>
      <w:spacing w:before="200"/>
      <w:outlineLvl w:val="2"/>
    </w:pPr>
    <w:rPr>
      <w:rFonts w:hint="default" w:ascii="Book Antiqua" w:hAnsi="Book Antiqua" w:cs="Times New Roman"/>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6">
    <w:name w:val="annotation text"/>
    <w:basedOn w:val="1"/>
    <w:link w:val="17"/>
    <w:semiHidden/>
    <w:qFormat/>
    <w:uiPriority w:val="99"/>
    <w:rPr>
      <w:rFonts w:hint="default" w:cs="Times New Roman"/>
    </w:rPr>
  </w:style>
  <w:style w:type="paragraph" w:styleId="7">
    <w:name w:val="toc 3"/>
    <w:basedOn w:val="1"/>
    <w:next w:val="1"/>
    <w:qFormat/>
    <w:uiPriority w:val="39"/>
    <w:pPr>
      <w:spacing w:before="80" w:after="80"/>
      <w:ind w:left="0"/>
    </w:pPr>
    <w:rPr>
      <w:sz w:val="20"/>
      <w:szCs w:val="20"/>
    </w:rPr>
  </w:style>
  <w:style w:type="paragraph" w:styleId="8">
    <w:name w:val="Balloon Text"/>
    <w:basedOn w:val="1"/>
    <w:link w:val="19"/>
    <w:qFormat/>
    <w:uiPriority w:val="0"/>
    <w:pPr>
      <w:spacing w:before="0" w:after="0" w:line="240" w:lineRule="auto"/>
    </w:pPr>
    <w:rPr>
      <w:sz w:val="18"/>
      <w:szCs w:val="18"/>
    </w:rPr>
  </w:style>
  <w:style w:type="paragraph" w:styleId="9">
    <w:name w:val="footer"/>
    <w:basedOn w:val="1"/>
    <w:semiHidden/>
    <w:qFormat/>
    <w:uiPriority w:val="0"/>
    <w:pPr>
      <w:spacing w:before="200" w:after="200"/>
      <w:jc w:val="center"/>
    </w:pPr>
    <w:rPr>
      <w:rFonts w:cs="Times New Roman"/>
      <w:b/>
      <w:bCs/>
      <w:sz w:val="22"/>
      <w:szCs w:val="22"/>
    </w:rPr>
  </w:style>
  <w:style w:type="paragraph" w:styleId="10">
    <w:name w:val="annotation subject"/>
    <w:basedOn w:val="6"/>
    <w:next w:val="6"/>
    <w:link w:val="18"/>
    <w:qFormat/>
    <w:uiPriority w:val="0"/>
    <w:rPr>
      <w:rFonts w:hint="eastAsia" w:cs="Arial"/>
      <w:b/>
      <w:bCs/>
    </w:rPr>
  </w:style>
  <w:style w:type="table" w:styleId="12">
    <w:name w:val="Table Grid"/>
    <w:basedOn w:val="1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Heading Left"/>
    <w:basedOn w:val="1"/>
    <w:qFormat/>
    <w:uiPriority w:val="0"/>
    <w:pPr>
      <w:spacing w:before="0" w:after="0"/>
      <w:ind w:left="0"/>
    </w:pPr>
    <w:rPr>
      <w:sz w:val="20"/>
      <w:szCs w:val="20"/>
    </w:rPr>
  </w:style>
  <w:style w:type="paragraph" w:styleId="16">
    <w:name w:val="List Paragraph"/>
    <w:basedOn w:val="1"/>
    <w:qFormat/>
    <w:uiPriority w:val="34"/>
    <w:pPr>
      <w:widowControl w:val="0"/>
      <w:topLinePunct w:val="0"/>
      <w:adjustRightInd/>
      <w:snapToGrid/>
      <w:spacing w:before="0" w:after="0" w:line="360" w:lineRule="auto"/>
      <w:ind w:left="0" w:firstLine="420" w:firstLineChars="200"/>
      <w:jc w:val="both"/>
    </w:pPr>
    <w:rPr>
      <w:rFonts w:hint="default" w:ascii="等线" w:hAnsi="等线" w:eastAsia="微软雅黑" w:cs="Times New Roman"/>
      <w:sz w:val="24"/>
      <w:szCs w:val="22"/>
    </w:rPr>
  </w:style>
  <w:style w:type="character" w:customStyle="1" w:styleId="17">
    <w:name w:val="批注文字 字符"/>
    <w:basedOn w:val="13"/>
    <w:link w:val="6"/>
    <w:semiHidden/>
    <w:qFormat/>
    <w:uiPriority w:val="99"/>
    <w:rPr>
      <w:rFonts w:ascii="Times New Roman" w:hAnsi="Times New Roman" w:eastAsia="宋体" w:cs="Times New Roman"/>
      <w:kern w:val="2"/>
      <w:sz w:val="21"/>
      <w:szCs w:val="21"/>
    </w:rPr>
  </w:style>
  <w:style w:type="character" w:customStyle="1" w:styleId="18">
    <w:name w:val="批注主题 字符"/>
    <w:basedOn w:val="17"/>
    <w:link w:val="10"/>
    <w:qFormat/>
    <w:uiPriority w:val="0"/>
    <w:rPr>
      <w:rFonts w:ascii="Times New Roman" w:hAnsi="Times New Roman" w:eastAsia="宋体" w:cs="Arial"/>
      <w:b/>
      <w:bCs/>
      <w:kern w:val="2"/>
      <w:sz w:val="21"/>
      <w:szCs w:val="21"/>
    </w:rPr>
  </w:style>
  <w:style w:type="character" w:customStyle="1" w:styleId="19">
    <w:name w:val="批注框文本 字符"/>
    <w:basedOn w:val="13"/>
    <w:link w:val="8"/>
    <w:qFormat/>
    <w:uiPriority w:val="0"/>
    <w:rPr>
      <w:rFonts w:ascii="Times New Roman" w:hAnsi="Times New Roman" w:cs="Arial"/>
      <w:kern w:val="2"/>
      <w:sz w:val="18"/>
      <w:szCs w:val="18"/>
    </w:rPr>
  </w:style>
  <w:style w:type="character" w:customStyle="1" w:styleId="20">
    <w:name w:val="font31"/>
    <w:basedOn w:val="13"/>
    <w:qFormat/>
    <w:uiPriority w:val="0"/>
    <w:rPr>
      <w:rFonts w:hint="eastAsia" w:ascii="仿宋_GB2312" w:eastAsia="仿宋_GB2312" w:cs="仿宋_GB2312"/>
      <w:color w:val="000000"/>
      <w:sz w:val="24"/>
      <w:szCs w:val="24"/>
      <w:u w:val="none"/>
    </w:rPr>
  </w:style>
  <w:style w:type="character" w:customStyle="1" w:styleId="21">
    <w:name w:val="font21"/>
    <w:basedOn w:val="13"/>
    <w:qFormat/>
    <w:uiPriority w:val="0"/>
    <w:rPr>
      <w:rFonts w:hint="eastAsia" w:ascii="仿宋_GB2312" w:eastAsia="仿宋_GB2312" w:cs="仿宋_GB2312"/>
      <w:b/>
      <w:bCs/>
      <w:color w:val="000000"/>
      <w:sz w:val="24"/>
      <w:szCs w:val="24"/>
      <w:u w:val="none"/>
    </w:rPr>
  </w:style>
  <w:style w:type="paragraph" w:customStyle="1" w:styleId="22">
    <w:name w:val="列表段落1"/>
    <w:basedOn w:val="1"/>
    <w:qFormat/>
    <w:uiPriority w:val="99"/>
    <w:pPr>
      <w:ind w:firstLine="420" w:firstLineChars="200"/>
    </w:pPr>
  </w:style>
  <w:style w:type="paragraph" w:customStyle="1" w:styleId="23">
    <w:name w:val="N"/>
    <w:basedOn w:val="1"/>
    <w:next w:val="1"/>
    <w:qFormat/>
    <w:uiPriority w:val="0"/>
    <w:pPr>
      <w:pageBreakBefore/>
      <w:widowControl w:val="0"/>
      <w:numPr>
        <w:ilvl w:val="0"/>
        <w:numId w:val="4"/>
      </w:numPr>
      <w:spacing w:beforeLines="100" w:afterLines="100" w:line="720" w:lineRule="auto"/>
      <w:jc w:val="center"/>
      <w:outlineLvl w:val="0"/>
    </w:pPr>
    <w:rPr>
      <w:rFonts w:ascii="黑体" w:hAnsi="微软雅黑" w:eastAsia="微软雅黑" w:cs="Times New Roman"/>
      <w:b/>
      <w:kern w:val="2"/>
      <w:sz w:val="44"/>
      <w:szCs w:val="4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8605</Words>
  <Characters>853</Characters>
  <Lines>31</Lines>
  <Paragraphs>185</Paragraphs>
  <TotalTime>4</TotalTime>
  <ScaleCrop>false</ScaleCrop>
  <LinksUpToDate>false</LinksUpToDate>
  <CharactersWithSpaces>9273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2024-08-07T21:47:00Z</dcterms:created>
  <dc:creator>陈姝</dc:creator>
  <cp:lastModifiedBy>user</cp:lastModifiedBy>
  <dcterms:modified xsi:type="dcterms:W3CDTF">2024-09-20T12:15:25Z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4447B4DE4A912E0CB7F6EC667958DAC2_43</vt:lpwstr>
  </property>
</Properties>
</file>