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313" w:line="219" w:lineRule="auto"/>
        <w:ind w:left="40"/>
        <w:jc w:val="center"/>
        <w:rPr>
          <w:rFonts w:ascii="微软雅黑" w:hAnsi="微软雅黑" w:eastAsia="微软雅黑" w:cs="微软雅黑"/>
          <w:spacing w:val="12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pacing w:val="12"/>
          <w:sz w:val="48"/>
          <w:szCs w:val="48"/>
          <w:lang w:eastAsia="zh-CN"/>
        </w:rPr>
        <w:t>浦东新校区</w:t>
      </w:r>
      <w:r>
        <w:rPr>
          <w:rFonts w:hint="eastAsia" w:ascii="微软雅黑" w:hAnsi="微软雅黑" w:eastAsia="微软雅黑" w:cs="微软雅黑"/>
          <w:spacing w:val="12"/>
          <w:sz w:val="48"/>
          <w:szCs w:val="48"/>
          <w:lang w:val="en-US" w:eastAsia="zh-CN"/>
        </w:rPr>
        <w:t>学生活动中心</w:t>
      </w:r>
      <w:r>
        <w:rPr>
          <w:rFonts w:hint="eastAsia" w:ascii="微软雅黑" w:hAnsi="微软雅黑" w:eastAsia="微软雅黑" w:cs="微软雅黑"/>
          <w:spacing w:val="12"/>
          <w:sz w:val="48"/>
          <w:szCs w:val="48"/>
          <w:lang w:eastAsia="zh-CN"/>
        </w:rPr>
        <w:t>家具-采购需求</w:t>
      </w:r>
    </w:p>
    <w:p>
      <w:pPr>
        <w:pStyle w:val="4"/>
        <w:spacing w:before="313" w:line="219" w:lineRule="auto"/>
        <w:ind w:left="4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pacing w:val="12"/>
          <w:sz w:val="28"/>
          <w:szCs w:val="28"/>
          <w:lang w:eastAsia="zh-CN"/>
        </w:rPr>
        <w:t>一、项目背景情况</w:t>
      </w:r>
    </w:p>
    <w:p>
      <w:pPr>
        <w:pStyle w:val="4"/>
        <w:spacing w:before="44" w:line="225" w:lineRule="auto"/>
        <w:ind w:left="29" w:leftChars="14" w:firstLine="579" w:firstLineChars="20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项目背景情况：本项目为上海交通大学医学院浦东新校区-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学生活动中心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家具采购项目</w:t>
      </w:r>
    </w:p>
    <w:p>
      <w:pPr>
        <w:pStyle w:val="4"/>
        <w:spacing w:before="44" w:line="225" w:lineRule="auto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</w:p>
    <w:p>
      <w:pPr>
        <w:pStyle w:val="4"/>
        <w:numPr>
          <w:ilvl w:val="0"/>
          <w:numId w:val="1"/>
        </w:numPr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需执行的国家相关标准、行业标准或其他标准、规范</w:t>
      </w:r>
    </w:p>
    <w:p>
      <w:pPr>
        <w:pStyle w:val="5"/>
        <w:ind w:left="0" w:leftChars="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bookmarkStart w:id="0" w:name="_Toc25898_WPSOffice_Level2"/>
      <w:bookmarkStart w:id="1" w:name="_Toc8379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（一）强制性标准</w:t>
      </w:r>
      <w:bookmarkEnd w:id="0"/>
      <w:bookmarkEnd w:id="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（若以下标准非最新标准，以公开的最新标准为准）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bookmarkStart w:id="2" w:name="_Toc16007"/>
      <w:bookmarkStart w:id="3" w:name="_Toc25730_WPSOffice_Level2"/>
      <w:bookmarkStart w:id="4" w:name="_Toc227555682"/>
      <w:r>
        <w:rPr>
          <w:rFonts w:hint="eastAsia" w:ascii="微软雅黑" w:hAnsi="微软雅黑" w:eastAsia="微软雅黑" w:cs="微软雅黑"/>
          <w:lang w:eastAsia="zh-CN"/>
        </w:rPr>
        <w:t>GB 18583-2008 《室内装饰装修材料 胶粘剂中有害物质限量》；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18584-2001《室内装饰装修材料木家具中有害物质限量》；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8624-2012《建筑材料及制品燃烧性能分级》；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18580-2017 《室内装饰装修材料人造板及其制品中甲醛释放限量》；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18581-2020《木器涂料中有害物质限量》；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GB18581-2009《室内装饰装修材料溶剂型木器涂料中有害物质限量》；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18401-2010《国家纺织产品基本安全技术规范》；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16799-2018《家具用皮革》；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28481-2012《塑料家具中有害物质限量》。</w:t>
      </w:r>
    </w:p>
    <w:p>
      <w:pPr>
        <w:pStyle w:val="5"/>
        <w:ind w:left="0" w:leftChars="0"/>
        <w:rPr>
          <w:rFonts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（二）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质量及技术标准</w:t>
      </w:r>
      <w:bookmarkEnd w:id="2"/>
      <w:bookmarkEnd w:id="3"/>
      <w:bookmarkEnd w:id="4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（若以下标准非最新标准，以公开的最新标准为准）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15102-2017《浸渍胶膜纸饰面纤维板和刨花板》；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35601-2017《绿色产品评价 人造板和木质地板》；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ascii="微软雅黑" w:hAnsi="微软雅黑" w:eastAsia="微软雅黑" w:cs="微软雅黑"/>
          <w:lang w:eastAsia="zh-CN"/>
        </w:rPr>
        <w:t xml:space="preserve">GB/T 39600-2021 </w:t>
      </w:r>
      <w:r>
        <w:rPr>
          <w:rFonts w:hint="eastAsia" w:ascii="微软雅黑" w:hAnsi="微软雅黑" w:eastAsia="微软雅黑" w:cs="微软雅黑"/>
          <w:lang w:eastAsia="zh-CN"/>
        </w:rPr>
        <w:t>《</w:t>
      </w:r>
      <w:r>
        <w:rPr>
          <w:rFonts w:ascii="微软雅黑" w:hAnsi="微软雅黑" w:eastAsia="微软雅黑" w:cs="微软雅黑"/>
          <w:lang w:eastAsia="zh-CN"/>
        </w:rPr>
        <w:t>人造板及其制品甲醛释放量分级</w:t>
      </w:r>
      <w:r>
        <w:rPr>
          <w:rFonts w:hint="eastAsia" w:ascii="微软雅黑" w:hAnsi="微软雅黑" w:eastAsia="微软雅黑" w:cs="微软雅黑"/>
          <w:lang w:eastAsia="zh-CN"/>
        </w:rPr>
        <w:t>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10802-2006《通用软质聚醚型聚氨酯泡沫塑料》；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35601-2017《绿色产品评价 人造板和木质地板》；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QB/T 2189-2013《家具五金 杯状暗铰链》；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11718-2009 《中密度纤维板》；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2454-2013 《家具五金 抽屉导轨》；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3325-2017 《金属家具通用技术条件》；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ascii="微软雅黑" w:hAnsi="微软雅黑" w:eastAsia="微软雅黑" w:cs="微软雅黑"/>
          <w:lang w:eastAsia="zh-CN"/>
        </w:rPr>
        <w:t xml:space="preserve">GB T 34722-2017 </w:t>
      </w:r>
      <w:r>
        <w:rPr>
          <w:rFonts w:hint="eastAsia" w:ascii="微软雅黑" w:hAnsi="微软雅黑" w:eastAsia="微软雅黑" w:cs="微软雅黑"/>
          <w:lang w:eastAsia="zh-CN"/>
        </w:rPr>
        <w:t>《</w:t>
      </w:r>
      <w:r>
        <w:rPr>
          <w:rFonts w:ascii="微软雅黑" w:hAnsi="微软雅黑" w:eastAsia="微软雅黑" w:cs="微软雅黑"/>
          <w:lang w:eastAsia="zh-CN"/>
        </w:rPr>
        <w:t>浸渍胶膜纸饰面胶合板和细木工板</w:t>
      </w:r>
      <w:r>
        <w:rPr>
          <w:rFonts w:hint="eastAsia" w:ascii="微软雅黑" w:hAnsi="微软雅黑" w:eastAsia="微软雅黑" w:cs="微软雅黑"/>
          <w:lang w:eastAsia="zh-CN"/>
        </w:rPr>
        <w:t>》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ascii="微软雅黑" w:hAnsi="微软雅黑" w:eastAsia="微软雅黑" w:cs="微软雅黑"/>
          <w:lang w:eastAsia="zh-CN"/>
        </w:rPr>
        <w:t xml:space="preserve">GB/T 39600-2021 </w:t>
      </w:r>
      <w:r>
        <w:rPr>
          <w:rFonts w:hint="eastAsia" w:ascii="微软雅黑" w:hAnsi="微软雅黑" w:eastAsia="微软雅黑" w:cs="微软雅黑"/>
          <w:lang w:eastAsia="zh-CN"/>
        </w:rPr>
        <w:t>《</w:t>
      </w:r>
      <w:r>
        <w:rPr>
          <w:rFonts w:ascii="微软雅黑" w:hAnsi="微软雅黑" w:eastAsia="微软雅黑" w:cs="微软雅黑"/>
          <w:lang w:eastAsia="zh-CN"/>
        </w:rPr>
        <w:t>人造板及其制品甲醛释放量分级</w:t>
      </w:r>
      <w:r>
        <w:rPr>
          <w:rFonts w:hint="eastAsia" w:ascii="微软雅黑" w:hAnsi="微软雅黑" w:eastAsia="微软雅黑" w:cs="微软雅黑"/>
          <w:lang w:eastAsia="zh-CN"/>
        </w:rPr>
        <w:t>》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GB/T39223.3-2020《健康家居的人类工效学要求第3部分:办公桌椅》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ascii="微软雅黑" w:hAnsi="微软雅黑" w:eastAsia="微软雅黑" w:cs="微软雅黑"/>
          <w:lang w:eastAsia="zh-CN"/>
        </w:rPr>
        <w:t xml:space="preserve">QB-T 4463-2013 </w:t>
      </w:r>
      <w:r>
        <w:rPr>
          <w:rFonts w:hint="eastAsia" w:ascii="微软雅黑" w:hAnsi="微软雅黑" w:eastAsia="微软雅黑" w:cs="微软雅黑"/>
          <w:lang w:eastAsia="zh-CN"/>
        </w:rPr>
        <w:t>《</w:t>
      </w:r>
      <w:r>
        <w:rPr>
          <w:rFonts w:ascii="微软雅黑" w:hAnsi="微软雅黑" w:eastAsia="微软雅黑" w:cs="微软雅黑"/>
          <w:lang w:eastAsia="zh-CN"/>
        </w:rPr>
        <w:t>家具用封边条技术要求</w:t>
      </w:r>
      <w:r>
        <w:rPr>
          <w:rFonts w:hint="eastAsia" w:ascii="微软雅黑" w:hAnsi="微软雅黑" w:eastAsia="微软雅黑" w:cs="微软雅黑"/>
          <w:lang w:eastAsia="zh-CN"/>
        </w:rPr>
        <w:t>》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QB/T 2280-2016《办公家具 办公椅》；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35607-2017《绿色产品评价 家具》；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3324-2017《木家具通用技术条件》；</w:t>
      </w:r>
    </w:p>
    <w:p>
      <w:pPr>
        <w:pStyle w:val="5"/>
        <w:ind w:left="0" w:leftChars="0" w:firstLine="480" w:firstLineChars="20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QB/T 1952.1-2012《软体家具 沙发》；</w:t>
      </w:r>
    </w:p>
    <w:p>
      <w:pPr>
        <w:kinsoku/>
        <w:snapToGrid/>
        <w:spacing w:after="240" w:line="360" w:lineRule="atLeast"/>
        <w:ind w:firstLine="480" w:firstLineChars="200"/>
        <w:textAlignment w:val="auto"/>
        <w:rPr>
          <w:rFonts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G</w:t>
      </w:r>
      <w:r>
        <w:rPr>
          <w:rFonts w:ascii="微软雅黑" w:hAnsi="微软雅黑" w:eastAsia="微软雅黑" w:cs="微软雅黑"/>
          <w:sz w:val="24"/>
          <w:szCs w:val="24"/>
          <w:lang w:eastAsia="zh-CN"/>
        </w:rPr>
        <w:t>B 20286《公共场所阻燃制品及组件燃烧性能要求和标识》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</w:pPr>
    </w:p>
    <w:p>
      <w:pPr>
        <w:pStyle w:val="4"/>
        <w:spacing w:before="44" w:line="225" w:lineRule="auto"/>
        <w:jc w:val="both"/>
        <w:rPr>
          <w:rFonts w:hint="default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auto"/>
          <w:sz w:val="30"/>
          <w:szCs w:val="30"/>
          <w:lang w:val="en-US" w:eastAsia="zh-CN" w:bidi="ar-SA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eastAsia="zh-CN"/>
        </w:rPr>
        <w:t>空间设计要求：</w:t>
      </w:r>
    </w:p>
    <w:p>
      <w:pPr>
        <w:pStyle w:val="4"/>
        <w:spacing w:before="81" w:line="219" w:lineRule="auto"/>
        <w:jc w:val="left"/>
        <w:outlineLvl w:val="0"/>
        <w:rPr>
          <w:rFonts w:hint="default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1、学生中心三楼团委圆桌会议室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层高约2.8m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。满足36人左右会议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要求，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家具设计在考虑满足各功能的前提下应充分考虑安全及舒适度，颜色配置温馨现代，家具种类及材料配置完整、合理，符合用户需求。下图为示意图，投标人可以进行深化设计。</w:t>
      </w:r>
    </w:p>
    <w:p>
      <w:pPr>
        <w:pStyle w:val="4"/>
        <w:spacing w:before="81" w:line="219" w:lineRule="auto"/>
        <w:jc w:val="left"/>
        <w:outlineLvl w:val="0"/>
        <w:rPr>
          <w:rFonts w:hint="default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center"/>
        <w:outlineLvl w:val="0"/>
        <w:rPr>
          <w:rFonts w:ascii="微软雅黑" w:hAnsi="微软雅黑" w:eastAsia="微软雅黑" w:cs="微软雅黑"/>
          <w:b/>
          <w:bCs/>
          <w:sz w:val="30"/>
          <w:szCs w:val="30"/>
          <w:lang w:eastAsia="zh-CN"/>
        </w:rPr>
      </w:pPr>
      <w:r>
        <w:drawing>
          <wp:inline distT="0" distB="0" distL="114300" distR="114300">
            <wp:extent cx="7378065" cy="6777355"/>
            <wp:effectExtent l="0" t="0" r="13335" b="4445"/>
            <wp:docPr id="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67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81" w:line="219" w:lineRule="auto"/>
        <w:jc w:val="center"/>
        <w:outlineLvl w:val="0"/>
        <w:rPr>
          <w:sz w:val="25"/>
          <w:szCs w:val="25"/>
          <w:lang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default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2、学生中心三楼团委多功能厅: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层高约4m。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  <w:lang w:val="en-US" w:eastAsia="zh-CN"/>
        </w:rPr>
        <w:t>需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lang w:val="en-US" w:eastAsia="zh-CN"/>
        </w:rPr>
        <w:t>满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足120人左右会议要求，要求灵活多变，可自由组合满足人数要求；家具设计在考虑满足各功能的前提下应充分考虑安全及舒适度，颜色配置温馨现代，家具种类及材料配置完整、合理，符合用户需求。下图为示意图，投标人可以进行深化设计。</w:t>
      </w:r>
    </w:p>
    <w:p>
      <w:pPr>
        <w:pStyle w:val="4"/>
        <w:spacing w:before="81" w:line="219" w:lineRule="auto"/>
        <w:jc w:val="left"/>
        <w:outlineLvl w:val="0"/>
        <w:rPr>
          <w:rFonts w:hint="default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  <w:r>
        <w:drawing>
          <wp:inline distT="0" distB="0" distL="114300" distR="114300">
            <wp:extent cx="7026910" cy="6723380"/>
            <wp:effectExtent l="0" t="0" r="2540" b="1270"/>
            <wp:docPr id="1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left"/>
        <w:outlineLvl w:val="0"/>
        <w:rPr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3、财务报销大厅：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层高约3m。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需考虑8人办公空间 、4人对外接待窗口、休息等候区、填单区，家具设计在考虑满足各功能的前提下应充分考虑安全及舒适度，颜色配置温馨现代，家具种类及材料配置完整、合理，符合用户需求。下图为示意图，投标人可以进行深化设计。</w:t>
      </w: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  <w:r>
        <w:drawing>
          <wp:inline distT="0" distB="0" distL="114300" distR="114300">
            <wp:extent cx="4981575" cy="7112635"/>
            <wp:effectExtent l="0" t="0" r="9525" b="12065"/>
            <wp:docPr id="1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81" w:line="219" w:lineRule="auto"/>
        <w:jc w:val="center"/>
        <w:outlineLvl w:val="0"/>
      </w:pPr>
    </w:p>
    <w:p>
      <w:pPr>
        <w:pStyle w:val="4"/>
        <w:spacing w:before="81" w:line="219" w:lineRule="auto"/>
        <w:jc w:val="center"/>
        <w:outlineLvl w:val="0"/>
      </w:pPr>
    </w:p>
    <w:p>
      <w:pPr>
        <w:pStyle w:val="4"/>
        <w:spacing w:before="81" w:line="219" w:lineRule="auto"/>
        <w:jc w:val="center"/>
        <w:outlineLvl w:val="0"/>
        <w:rPr>
          <w:lang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default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4、行政副楼1F西学生事务大厅：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层高约2.7m。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需考虑8人对外接待窗口，储物空间合理设计、进门登记区域，家具设计在考虑满足各功能的前提下应充分考虑安全及舒适度，颜色配置温馨现代，家具种类及材料配置完整、合理，符合用户需求。下图为示意图，投标人可以进行深化设计。</w:t>
      </w:r>
    </w:p>
    <w:p>
      <w:pPr>
        <w:pStyle w:val="4"/>
        <w:spacing w:before="81" w:line="219" w:lineRule="auto"/>
        <w:jc w:val="center"/>
        <w:outlineLvl w:val="0"/>
        <w:rPr>
          <w:sz w:val="30"/>
          <w:szCs w:val="30"/>
          <w:lang w:eastAsia="zh-CN"/>
        </w:rPr>
      </w:pPr>
    </w:p>
    <w:p>
      <w:pPr>
        <w:pStyle w:val="4"/>
        <w:spacing w:before="81" w:line="219" w:lineRule="auto"/>
        <w:jc w:val="center"/>
        <w:outlineLvl w:val="0"/>
      </w:pPr>
      <w:r>
        <w:drawing>
          <wp:inline distT="0" distB="0" distL="114300" distR="114300">
            <wp:extent cx="11784965" cy="5589905"/>
            <wp:effectExtent l="0" t="0" r="10795" b="3175"/>
            <wp:docPr id="166" name="图片 166" descr="172725455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17272545519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84965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1" w:line="219" w:lineRule="auto"/>
        <w:jc w:val="left"/>
        <w:outlineLvl w:val="0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spacing w:before="81" w:line="219" w:lineRule="auto"/>
        <w:jc w:val="left"/>
        <w:outlineLvl w:val="0"/>
        <w:rPr>
          <w:rFonts w:hint="default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5、学生中心-学联办公室：层高约2.8m。需考虑36人左右办公位和6处休闲区以及10人左右会议交流空间，家具设计在考虑满足各功能的前提下应充分考虑安全及舒适度，颜色配置温馨现代，家具种类及材料配置完整、合理，符合用户需求。下图为示意图，投标人可以进行深化设计。</w:t>
      </w: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  <w:r>
        <w:drawing>
          <wp:inline distT="0" distB="0" distL="114300" distR="114300">
            <wp:extent cx="11711305" cy="6634480"/>
            <wp:effectExtent l="0" t="0" r="4445" b="13970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1130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both"/>
        <w:outlineLvl w:val="0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spacing w:before="81" w:line="219" w:lineRule="auto"/>
        <w:jc w:val="left"/>
        <w:outlineLvl w:val="0"/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>体育教研室-篮球馆二层两处休息室层高约2.8m。休息室需考虑运动员休息需求，又要需考虑贵宾接待休息需求，家具设计在考虑满足各功能的前提下应充分考虑安全及舒适度，颜色配置温馨现代，家具种类及材料配置完整、合理，符合用户需求。两处休息室互相对称，面积相同。下图为示意图，投标人可以进行深化设计。</w:t>
      </w: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6642100</wp:posOffset>
            </wp:positionH>
            <wp:positionV relativeFrom="paragraph">
              <wp:posOffset>69215</wp:posOffset>
            </wp:positionV>
            <wp:extent cx="6095365" cy="4526280"/>
            <wp:effectExtent l="0" t="0" r="635" b="7620"/>
            <wp:wrapNone/>
            <wp:docPr id="1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81915</wp:posOffset>
            </wp:positionV>
            <wp:extent cx="6342380" cy="4452620"/>
            <wp:effectExtent l="0" t="0" r="0" b="5080"/>
            <wp:wrapNone/>
            <wp:docPr id="1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pStyle w:val="4"/>
        <w:numPr>
          <w:ilvl w:val="0"/>
          <w:numId w:val="0"/>
        </w:numPr>
        <w:spacing w:before="81" w:line="219" w:lineRule="auto"/>
        <w:jc w:val="center"/>
        <w:outlineLvl w:val="0"/>
      </w:pPr>
    </w:p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23" w:line="222" w:lineRule="auto"/>
        <w:ind w:left="50" w:leftChars="0"/>
        <w:textAlignment w:val="baseline"/>
        <w:outlineLvl w:val="6"/>
        <w:rPr>
          <w:rFonts w:hint="eastAsia" w:ascii="微软雅黑" w:hAnsi="微软雅黑" w:eastAsia="微软雅黑" w:cs="微软雅黑"/>
          <w:b/>
          <w:bCs/>
          <w:sz w:val="38"/>
          <w:szCs w:val="3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8"/>
          <w:szCs w:val="38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sz w:val="38"/>
          <w:szCs w:val="38"/>
          <w:lang w:eastAsia="zh-CN"/>
        </w:rPr>
        <w:t>采购品目分类、参考样式、规格、质量标准等要求</w:t>
      </w:r>
    </w:p>
    <w:tbl>
      <w:tblPr>
        <w:tblStyle w:val="11"/>
        <w:tblW w:w="2027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009"/>
        <w:gridCol w:w="2146"/>
        <w:gridCol w:w="861"/>
        <w:gridCol w:w="860"/>
        <w:gridCol w:w="4377"/>
        <w:gridCol w:w="8467"/>
        <w:gridCol w:w="19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参考尺寸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（长*宽*高）mm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参考样式</w:t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工艺标准要求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2027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1AAD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桌类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办公桌主台</w:t>
            </w:r>
          </w:p>
        </w:tc>
        <w:tc>
          <w:tcPr>
            <w:tcW w:w="214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2000*900*760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三抽活动柜420*460*620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1638300"/>
                  <wp:effectExtent l="0" t="0" r="0" b="0"/>
                  <wp:docPr id="16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1.台面：三聚氰胺饰面刨花板，达到E0级：甲醛释放量≤0.05mg/m³ 。台面厚度 ≥25mm，前挡板采用 ≥18mm。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3.封边条：≥2mmPVC直封边，激光或PUR封边。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3.脚架：铝合金实心脚架，钢制框架由外框横梁及不低于1条辅横梁固定连接，涂层牢固，涂层厚度≥0.1mm。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4.桌上铝合金翻盖走线系统。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办公桌副柜</w:t>
            </w:r>
          </w:p>
        </w:tc>
        <w:tc>
          <w:tcPr>
            <w:tcW w:w="214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1200*500*660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1.板材：三聚氰胺饰面刨花板，达到E0级：甲醛释放量≤0.05mg/m³ 。厚度 ≥18mm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2.封边条：≥2mmPVC直封边，激光或PUR封边。  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 五金件：三节静音滑轨、锁具、铰链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4.结构性能描述：副台可移动，下设柜门及抽屉，门内设搁板，柜门配锁具。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L型屏风工位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工作台：1500*1500*750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屏风A：1500*40*1200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屏风B: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1500*60*1200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固定柜尺寸：390*580*725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t>85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642235" cy="1807210"/>
                  <wp:effectExtent l="0" t="0" r="9525" b="635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1.屏风:为全钢结构厚加薄屏风组合，厚度 屏风A≥40mm+屏风B≥60MM。内框架采用≥1.5mm厚冷轧钢板，铝合金盖板厚≥1.5mm，表面阳极氧化/静电喷塑处理。钢脚架采用≥30*60mm钢制方管，管壁厚度≥1.5mm，表面高温静电喷涂。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1）屏风面板A：屏风上部为双面玻璃，下部为≥0.8mm厚冷轧钢板包麻绒面料覆面。桌面下为≥0.8mm厚冷轧钢板。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2）屏风面板B:桌面以上≥0.8mm厚冷轧钢板包麻绒面料覆面，桌面以下≥0.8mm厚冷轧钢板。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3）桌面以下具备走线功能，屏风面板必须保证能打孔嵌入式安装86标准插座面板。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4）屏风底部配可调节脚。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）屏风钢板面板，表面静电喷粉涂装。采用≥0.8mm一级冷轧钢板，表面采用粉体涂装防锈处理。表面涂层为亚光面，漆膜硬度达到2H；冲击强度无裂纹，附着力≥2级，耐腐蚀：无气泡产生、无锈迹、剥落、起皱、变色和失光现象 。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2.桌板：采用≥25mm厚E0级三聚氰胺饰面板，甲醛释放量≤0.05mg/m³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3.固定柜：一级冷轧钢板，裸板厚≥0.8mm，上经酸洗磷化处理，喷塑。成品要求涂层厚≥70µm，靠侧板弧度R30，与抽屉成一条弧线，没有棱角，更具美观安全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4.五金配件：优质五金配件，抽屉采用三节静音、阻尼导轨，长度≥400mm，符合QB/T 2454-2013家具五金抽屉导轨。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5.封边条：≥2mmPVC直封边，激光或PUR封边。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6.环保封边胶：符合GB18583-2008《室内装饰装修材料胶粘剂中有害物质限量》总挥发性有机物≤100g/L。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学生中心-19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学报-16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院史档案馆-15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体育教研室-12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9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L型屏风工位2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工作台：1500*1500*750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屏风A：1500*60*1200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屏风B: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1500*60*1200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固定柜尺寸：390*580*725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drawing>
                <wp:inline distT="0" distB="0" distL="114300" distR="114300">
                  <wp:extent cx="2642235" cy="1807210"/>
                  <wp:effectExtent l="0" t="0" r="9525" b="635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1.屏风:为全钢结构厚加薄屏风组合，厚度 屏风A≥40mm+屏风B≥60MM。内框架采用≥1.5mm厚冷轧钢板，铝合金盖板厚≥1.5mm，表面阳极氧化/静电喷塑处理。钢脚架采用≥30*60mm钢制方管，管壁厚度≥1.5mm，表面高温静电喷涂。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1）屏风面板A：屏风上部为双面玻璃，下部为≥0.8mm厚冷轧钢板包麻绒面料覆面。桌面下为≥0.8mm厚冷轧钢板。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2）屏风面板B:桌面以上≥0.8mm厚冷轧钢板包麻绒面料覆面，桌面以下≥0.8mm厚冷轧钢板。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3）桌面以下具备走线功能，屏风面板必须保证能打孔嵌入式安装86标准插座面板。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4）屏风底部配可调节脚。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）屏风钢板面板，表面静电喷粉涂装。采用≥0.8mm一级冷轧钢板，表面采用粉体涂装防锈处理。表面涂层为亚光面，漆膜硬度达到2H；冲击强度无裂纹，附着力≥2级，耐腐蚀：无气泡产生、无锈迹、剥落、起皱、变色和失光现象 。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2.桌板：采用≥25mm厚E0级三聚氰胺饰面板，甲醛释放量≤0.05mg/m³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3.固定柜：规格390*580*725，一级冷轧钢板，裸板厚≥0.8mm，上经酸洗磷化处理，喷塑。成品要求涂层厚≥70µm，靠侧板弧度R30，与抽屉成一条弧线，没有棱角，更具美观安全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4.五金配件：优质五金配件，抽屉采用三节静音、阻尼导轨，长度≥400mm，符合QB/T 2454-2013家具五金抽屉导轨。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5.封边条：≥2mmPVC直封边，激光或PUR封边。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6.环保封边胶：符合GB18583-2008《室内装饰装修材料胶粘剂中有害物质限量》总挥发性有机物≤100g/L。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信息中心-6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屏风工位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L工作台：1600/800*1500/600*750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屏风：1400*12*300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活动柜：420*460*620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43175" cy="1571625"/>
                  <wp:effectExtent l="0" t="0" r="9525" b="9525"/>
                  <wp:docPr id="16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板材：三聚氰胺饰面刨花板，厚度≥25mm，E0级：甲醛释放量≤0.05mg/m³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4.五金件：采用优质五金配件，所有五金件作防锈、防腐处理，抽屉采用三节静音、阻尼导轨，长度≥400mm，符合QB/T 2454-2013家具五金抽屉导轨。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5.钢脚：采用≥30*60mm钢制方管，管壁厚度≥1.5mm，表面高温静电喷涂。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6.含桌上亚克力屏风和木质三抽活动柜。</w:t>
            </w:r>
          </w:p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7.桌面以下具备走线功能，桌面必须保证能打孔嵌入式安装86标准插座面板。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洽谈桌1</w:t>
            </w:r>
          </w:p>
        </w:tc>
        <w:tc>
          <w:tcPr>
            <w:tcW w:w="2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D800*750H</w:t>
            </w:r>
          </w:p>
        </w:tc>
        <w:tc>
          <w:tcPr>
            <w:tcW w:w="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95475" cy="1685925"/>
                  <wp:effectExtent l="0" t="0" r="9525" b="9525"/>
                  <wp:docPr id="16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1.基材：优质环保中密度纤维板，符合GB/T39600、HJ571-2010，达到E0级的标准甲醛释放量≤0.05mg/m³，总挥发性有机化合物≤0.50mg/（m2.h）(72h)。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2.饰面：桌面具有防火、防潮、耐磨、硬度高、好清洁等优点；饰面板 360 度无死角，必须全包裹，无任何部位基材外露（包含线盒开孔部位）。桌板工作面必须为符合人体工学正斜边设计。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3.工艺：台面厚≥25mm，台面边缘做“斜切边”处理。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4.钢架：钢制四爪桌架，钢管壁厚≥2.0mm，采用一级冷轧钢，经过酸洗、磷化等表面处理，采用优质塑粉静电粉末喷涂，涂层厚度70-80μm，硬度≥2H，表面光滑平整、色彩稳定、防锈耐磨、耐强撞力。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洽谈桌2</w:t>
            </w:r>
          </w:p>
        </w:tc>
        <w:tc>
          <w:tcPr>
            <w:tcW w:w="21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D800*750H</w:t>
            </w:r>
          </w:p>
        </w:tc>
        <w:tc>
          <w:tcPr>
            <w:tcW w:w="86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76375" cy="1676400"/>
                  <wp:effectExtent l="0" t="0" r="9525" b="0"/>
                  <wp:docPr id="12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 三聚氰胺板面，2mmPVC同色封，封边采用:PUR热溶胶工艺。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台面厚度≥ 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2.基材:E0级均质刨花板基材，甲醛释放量≤0.05mg/m³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3.五金件:优质五金链接配件，沙白色钢脚钢架脚表面经防腐除锈处理，静电粉末喷涂处理，喷粉厚度达≥80um，表面无颗粒、无挂流。热固性粉末涂料符合《HG/T 2006-2006 热固性粉未涂料》。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洽谈桌3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D800*750H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47800" cy="1495425"/>
                  <wp:effectExtent l="0" t="0" r="0" b="9525"/>
                  <wp:docPr id="11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1.配台面尺寸≥800mm 。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2.木质台面板厚≥18mm E0级：甲醛释放量≤0.05mg/m³ 。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3.全铝合金四星脚。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4.拉丝铝合金脚垫。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5.壁厚≥3.0mm铝合金立柱。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6.银色喷粉铁质十字架。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洽谈桌4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D600*580H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32230" cy="1369060"/>
                  <wp:effectExtent l="0" t="0" r="8890" b="2540"/>
                  <wp:docPr id="108" name="图片 103" descr="876d35f59c03aba52623b06466a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3" descr="876d35f59c03aba52623b06466a21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451" r="37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1337945"/>
                  <wp:effectExtent l="0" t="0" r="0" b="3175"/>
                  <wp:docPr id="6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1.桌面使用中纤板高温预热，表面采用≥2.5mm厚粉末静电喷涂，挥发物（VOC），甲醛释放符合要求，无需封边，表面硬度可达3H，抗菌，防水，耐热，防潮湿，无味，环保。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2.基材：E0级≥25mm厚中密度纤维板基材，（甲醛释放量≤0.050mg／m³）密度0.4-0.9g/cm3，表面结合强度≥0.90MPa，内结合强度≥0.45MPa，吸水厚度膨胀率≤8%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全钢制桌架，钢材采用知名品牌，桌下设有横向钢梁，结构稳定。五金件使用十年以上无变形，损坏。喷涂层无漏喷无流挂、皱皮、疙瘩，色泽一致。电镀层结合力不应有起泡或剥落、露底，粗糙度≦1.25微米，电镀膜厚度≥3微米，无剥落、裂纹和皱纹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学生中心-3（长廊）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办公条桌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2038350"/>
                  <wp:effectExtent l="0" t="0" r="0" b="0"/>
                  <wp:docPr id="100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1.基材：采用E0中密度纤维板，符合GB/T39600、HJ571-2010，达到E0级的标准甲醛释放量≤0.05mg/m³，总挥发性有机化合物≤0.50mg/（m2.h）(72h)。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2.饰面：  桌面具有防火、防潮、耐磨、硬度高、好清洁等优点；饰面板 360 度无死角，必须全包裹，无任何部位基材外露（包含线盒开孔部位）。桌板工作面必须为符合人体工学正斜边设计。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3.桌架：选用一级冷轧钢管，经酸洗、碱洗、磷化等处理后，表面采用“品牌优质塑粉静电粉末喷涂，涂层厚度≥70μm，硬度≥2H，表面光滑平整、色彩稳定、防锈耐磨、耐强撞力；四脚装配50万向尼龙刹车轮。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4.五金件：采用“品牌优质连接件。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5.工艺：工作面符合人体工学正斜边设计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6.功能：可移动折叠，下设书网，配前挡板，可多功能组合会议桌摆放形式。桌面须配备下沉式笔槽，四周须圆润。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2028825"/>
                  <wp:effectExtent l="0" t="0" r="7620" b="13335"/>
                  <wp:docPr id="11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板材：三聚氰胺饰面刨花板，达到E0级：甲醛释放量≤0.05mg/m³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4.底脚材质为一体成型铝合金压铸脚（尺寸规格：≥480*76*58mm）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5.立柱采用直径≥Φ60*1.5mm优质冷轧钢管，管壁厚度≥1.5mm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6.挡板采用≥1.0mm钢板激光切割折弯成型；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7.采用高端万向尼龙静音刹车轮；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8.采用新型高端线控式折叠机构，带多档锁定功能，可任意折叠；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9.搭配高端台面平衡器，组合拼接平整度高；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10.钢脚中柱与横梁连接为铝合金压铸接头连接；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3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主席台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（有挡板）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培训桌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1200*500*750H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77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长条会议桌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大会议桌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1400*500*750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447925" cy="1476375"/>
                  <wp:effectExtent l="0" t="0" r="9525" b="9525"/>
                  <wp:docPr id="105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1.板材：台面采用≥25mm三聚氰胺饰面板，达到E0级：甲醛释放量≤0.05mg/m3。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4.钢脚：立柱为≥35*80mm椭圆钢管*1.5mm厚，底脚铝合金压铸件，跨度为≥480mm；配挂包钩，上托内装线控配套机构，配4个PU+橡胶万向活动刹车轮.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5、横梁：≥20*60*1.2mm厚横梁（上可装水杯架)。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4.前挡板：与钢脚连接，≥280mm高*≥0.9mm，可选配木挡板。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5.翻转机构：线控。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4800*1800*760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28900" cy="1676400"/>
                  <wp:effectExtent l="0" t="0" r="0" b="0"/>
                  <wp:docPr id="126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1.基材：中密度基材，胡桃木皮，达到E0级：甲醛释放量≤0.05mg/m³ 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2.饰面：优等天然木皮，厚度≥0.6mm；经过防虫防腐处理，纹理清晰，自然含水率低于0.7%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3.油漆：采用高级聚脂环保油漆，色泽美观。光滑耐磨，手感好。五底三面的水性漆工艺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4.五金配件：采用优质五金配件。所有五金件作防锈、防腐处理；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5.结构配置：台面厚度≥50mm，木质桌脚；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6.桌面铝合金一体插座，面板（内含4个5孔电源，1个TYPE A，1个TYPE C接口，另内,置过线缺口）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4000*1500*760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6000*1800*750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办公桌-1（含活动柜）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办公桌：1400*700*750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活动柜：420*460*620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34920" cy="1689735"/>
                  <wp:effectExtent l="0" t="0" r="5080" b="12065"/>
                  <wp:docPr id="114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6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1.三聚氰胺饰面刨花板，达到E0级：甲醛释放量≤0.05mg/m³ 。≥2mmPVC同色PUR封边。台面厚度 ≥25mm。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 五金件：采用同优质品牌,五金配件。所有五金件作防锈、防腐处理。抽屉采用三节静音、阻尼导轨。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28900" cy="1609725"/>
                  <wp:effectExtent l="0" t="0" r="0" b="9525"/>
                  <wp:docPr id="118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 三聚氰胺饰面刨花板，台面厚度 ≥25mm，其他部分厚度 ≥18mm。E0级：甲醛释放量≤0.05mg/m³ ，≥2mmPVC同色PUR封边。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2.五金配件:优质五金链接配件，砂白色钢脚钢架脚表面经防腐除锈处理，静电粉末喷涂处理，喷粉厚度达≥80um，表面无颗粒、无挂流。热固性粉末涂料符合《HG/T 2006-2006 热固性粉未涂料》。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3.脚架：采用优质钢管，经人工磨具焊接，打磨，抛光，矫正，一系列生产工艺形成，脚上梁厚度≥1.8MM，其他≥1.5mm厚。横梁：≥25*50优质钢管，厚度≥1.2mm，搭配铝合金压铸滑块组装，使其更加牢固，稳定。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4.屏风：≥12mm厚E0级均质刨花板基材包布面料屏风格挡。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5.桌上铝合金翻盖走线系统。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1200*600*750H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院史档案馆-6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81225" cy="1543050"/>
                  <wp:effectExtent l="0" t="0" r="0" b="6350"/>
                  <wp:docPr id="10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1.板材：桌面采用≥25MM厚E0级均质刨花板基材，甲醛释放量≤0.05mg/m³ 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 边：均采用≥1.0mm厚度PVC封边条，封边工艺：直线PUR和异形EVA相结合，具有不褪色、弯曲无色差、耐磨、切口断面平整的特性。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3.五金件：采用优质五金配件，所有五金件作防锈、防腐处理。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4.钢脚：采用≥30*60mm钢制方管，管壁厚度≥1.5mm，表面高温静电喷涂。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5.结构：矩形桌板，两边钢脚支撑，桌面横向开线盒孔，带银色312一体铝合金线盒，桌下配380钢制线槽，内4-86孔，含蛇节管。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接待桌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2000*500*750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1800*700*750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整理桌1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整理桌2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整理桌3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1800*1000*750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447925" cy="1628775"/>
                  <wp:effectExtent l="0" t="0" r="9525" b="9525"/>
                  <wp:docPr id="109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采用E0级三聚氰胺饰面刨花板，密度≥0.7g/cm3，含水率≤9%，静曲强度≥10MPa，弹性模量≥2800MPa，内结合强度≥0.3MPa，表面结合强度≥0.6MPa，2h吸水厚度膨胀率≤4%，板面握螺钉力≥1100N，板边握螺钉力≥600N。板面厚度为25mm，承重力强，尺寸稳定性好。甲醛释放量≤0.05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5.封 边：均采用≥1.0mm厚度PVC封边条，封边工艺：直线PUR和异形EVA相结合，具有不褪色、弯曲无色差、耐磨、切口断面平整的特性。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3.桌架：铝合金脚架，经过酸洗、磷化表面处理，表面采用品牌优质塑粉静电粉末喷涂，涂层厚度≥70μm，硬度≥2H，表面光滑平整、色彩稳定、防锈耐磨、耐强撞力。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4.五金件：采用品牌优质连接件，中性盐雾试验达到≥10级。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5.工艺：台面四周边缘做“斜切边”处理。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6000*1600*750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38045" cy="1898015"/>
                  <wp:effectExtent l="0" t="0" r="8255" b="6985"/>
                  <wp:docPr id="120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 三聚氰胺饰面板，≥2mmPVC同色封，封边采用:PUR热溶胶工艺。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台面厚度≥ 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2.五金配件:优质五金链接配件，沙白色钢脚钢架脚表面经防腐除锈处理，静电粉末喷涂处理，喷粉厚度达≥80um，表面无颗粒、无挂流。热固性粉末涂料符合《HG/T 2006-2006 热固性粉未涂料》。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3.脚架：采用优质钢管，经人工磨具焊接，打磨，抛光，矫正，一系列生产工艺形成，脚上梁厚度≥1.8MM，其他≥1.5MM 厚。横梁：≥25*40mm优质钢管，厚度≥1.2mm，搭配铝合金压铸滑块组装，使其更加牢固，稳定。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4000*1600*750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3500*1200*750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3200*1400*750H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讨论桌1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2800*1200*750H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52625" cy="1733550"/>
                  <wp:effectExtent l="0" t="0" r="3175" b="6350"/>
                  <wp:docPr id="12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 三聚氰胺饰面板，≥2mmPVC同色封，封边采用:PUR热溶胶工艺。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台面厚度≥ 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2.五金配件:优质五金链接配件，沙白色钢脚钢架脚表面经防腐除锈处理，静电粉末喷涂处理，喷粉厚度≥80um，表面无颗粒、无挂流。热固性粉末涂料符合《HG/T 2006-2006 热固性粉未涂料》。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3.脚架：采用优质钢管，经人工磨具焊接，打磨，抛光，矫正，一系列生产工艺形成，脚上梁厚度≥1.8MM，其他≥1.5MM 厚。横梁：≥25*40mm优质钢管，厚度≥1.2mm，搭配铝合金压铸滑块组装，使其更加牢固，稳定。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洽谈桌1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1400*700*760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圆形桌子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700*700*750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1743075"/>
                  <wp:effectExtent l="0" t="0" r="0" b="9525"/>
                  <wp:docPr id="123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 三聚氰胺饰面板，≥2mmPVC同色封，封边采用:PUR热溶胶工艺。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台面厚度≥ 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2、面材：选用优质三聚氰胺饰面刨花板，符合GB\T39600-2021的规定，甲醛释放量≤0.05mg/m³；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3、封边：使用热熔胶（总挥发性有机物≤4g/L;游离甲醛不得检出；苯≤0.05g/kg甲苯+二甲苯≤0.03g/kg）与≥2.5mm厚同色PVC封边条封边（甲醛释放量≤1.5mg/L）；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4、下架：白色钢制下架，金属表面优质环保静电粉末喷涂。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化妆桌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1600*700*750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47850" cy="1590675"/>
                  <wp:effectExtent l="0" t="0" r="0" b="9525"/>
                  <wp:docPr id="124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1.板材：三聚氰胺饰面刨花板，达到E0级：甲醛释放量≤0.05mg/m³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4.五金件：采用优质五金配件，所有五金件作防锈、防腐处理。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5.配梳妆镜。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接待台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3800*1500*750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748665</wp:posOffset>
                  </wp:positionV>
                  <wp:extent cx="1780540" cy="1453515"/>
                  <wp:effectExtent l="0" t="0" r="10160" b="13335"/>
                  <wp:wrapNone/>
                  <wp:docPr id="137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1.基材：采用E0级中密度纤维板 ，符合GB/T39600、HJ571-2010，达到E0级的标准甲醛释放量≤0.05mg/m³，总挥发性有机化合物≤0.50mg/（m2.h）(72h)。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2.油漆：采用优质环保水性漆，底漆及面漆VOC含量、甲醛含量、镉含量、铬含量、汞含量、苯系物总和含量、总铅含量、乙二醇醚及醚酯总和含量、烷基酚聚氧乙烯醚总和含量检测结果均为未检出。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3.贴面材料：木皮贴面，厚度≥1.0mm，无死结、孔洞夹皮、树脂道，无毛刺沟痕、刀痕、划痕，含水率≤10％，甲醛释放量结果未检出，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4.胶粘剂：采用优质品牌水基型胶粘剂，游离甲醛未检出，苯未检出，甲苯+三甲苯≤2μg/m3，总挥发性有机物≤25g/L。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5.五金配件：采用优质品牌五金配件，导轨乙酸盐雾试验≥180h；腐蚀性能无锈点10级，耐久性≥10万次检测无损。铰链乙酸盐雾试验≥180h；腐蚀性能无锈点10级，耐久性≥10万次检测无损。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接待前台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2600*600*1000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1066800"/>
                  <wp:effectExtent l="0" t="0" r="0" b="0"/>
                  <wp:docPr id="143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1、基材：优质中密度纤维板， 符合GB/T39600、HJ571-2010，达到E0级的标准甲醛释放量≤0.05mg/m³，总挥发性有机化合物≤0.50mg/（m2.h）(72h)。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、油漆：采用烤漆工艺。环保水性底漆及水性面漆,VOC含量,甲醛含量,乙二醇醚及醚酯总和含量，苯系物总和含量（限苯、甲苯、二甲苯（含乙苯）），烷基酚聚氧乙烯醚总和含量,卤代烃均符合国家标准，光滑耐磨，手感好，色泽美观。底着色油漆工艺，经五底三面磨退工艺处理。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3、粘合剂：采用优质热熔胶，游离甲醛，VOC含量，苯，甲苯+二甲苯，总挥发性有机物均符合国家标准。      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4、五金配件 ：优质三节轨，垂直向下静载荷、水平测向静载荷，猛开或猛关，下沉量，耐腐蚀均符合国家标准。优质缓冲阻尼铰链，垂直静载荷、水平静载荷，关闭力、打开力、耐久性、耐腐蚀要求均符合国家标准。优质锁具（侧面锁），保密度、牢固度、灵活度、外观质量均符合国家标准。优质锁具，锁头、钥匙表面应平整光洁，电镀件外露表面应色泽均匀，不应有起泡、起层、露底等明显瑕疵，钥匙插拔灵活，无卡滞现象，电子锁、叶片锁钥匙不同牙花数种，弹子锁、叶片锁互开率，弹子锁、叶片锁使用寿命符合国家标准。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5、总体设计包含：键盘抽屉、储物柜、氛围装饰灯。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服务吧台1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18000*600*800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05075" cy="1704975"/>
                  <wp:effectExtent l="0" t="0" r="9525" b="9525"/>
                  <wp:docPr id="141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1.基材：符合GB/T 15102、GB/T 35601、GB/T 39600要求，其中，静曲强度≥14Mpa，板面握螺钉力≥1400N、甲醛释放量≤0.05mg/m³。苯、甲苯、二甲苯均≤2μg/m3，TVOC≤30μg/m³。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2.桌板：采用≥25mm厚E0级三聚氰胺饰面板，甲醛释放量≤0.05mg/m³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3.封 边：均采用≥1.0mm厚度PVC封边条，封边工艺：直线PUR和异形EVA相结合，具有不褪色、弯曲无色差、耐磨、切口断面平整的特性。                                                                                                                                                                                                                     4吧台面：石英石台面、抗高温、强度高、无辐射、耐腐蚀性好，抗污染，四周下挂，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大厅+学生事务中心-1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服务吧台2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11000*1000*800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66925" cy="1562100"/>
                  <wp:effectExtent l="0" t="0" r="9525" b="0"/>
                  <wp:docPr id="155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1.基材：符合GB/T 15102、GB/T 35601、GB/T 39600要求，其中，静曲强度≥14Mpa，板面握螺钉力≥1400N、甲醛释放量≤0.05mg/m³。苯、甲苯、二甲苯均≤2μg/m3，TVOC≤30μg/m³。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2.桌板：采用≥25mm厚E0级三聚氰胺饰面板，甲醛释放量≤0.05mg/m³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3.封 边：均采用≥1.0mm厚度PVC封边条，封边工艺：直线PUR和异形EVA相结合，具有不褪色、弯曲无色差、耐磨、切口断面平整的特性。                                                                                                                                                                                                                     4吧台面：石英石台面、抗高温、强度高、无辐射、耐腐蚀性好，抗污染，四周下挂                  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办公桌-2（含活动柜）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办公桌：1600*1600*750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活动柜：420*460*620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1409700"/>
                  <wp:effectExtent l="0" t="0" r="0" b="0"/>
                  <wp:docPr id="152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1.基材：符合GB/T 15102、GB/T 35601、GB/T 39600要求，其中，静曲强度≥14Mpa，板面握螺钉力≥1400N、甲醛释放量≤0.05mg/m³。苯、甲苯、二甲苯均≤2μg/m3，TVOC≤30μg/m³。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2.桌板：采用≥25mm厚E0级三聚氰胺饰面板，甲醛释放量≤0.05mg/m³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3.固定柜，三抽加开门柜组合，三抽固定柜优质三级可管理锁具。内嵌式拉手。底座可调节地面不平 。侧板及面板采用≥25mm厚E0级三聚氰胺饰面板。其余采用≥18mm厚E0级三聚氰胺饰面板。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4.五金配件：优质五金配件，抽屉采用三节静音、阻尼导轨，长度≥350mm，符合QB/T 2454-2013家具五金抽屉导轨。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5.封 边：均采用≥1.0mm厚度PVC封边条，封边工艺：直线PUR和异形EVA相结合，具有不褪色、弯曲无色差、耐磨、切口断面平整的特性。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1100*600*750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85975" cy="1314450"/>
                  <wp:effectExtent l="0" t="0" r="9525" b="0"/>
                  <wp:docPr id="142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1.基材：采用E0级三聚氰胺饰面刨花板，板面厚度为≥25mm甲醛释放量≤0.05mg/m³。侧面及放置主机门板≥18mm。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2.封边条：≥2mmPVC直封边，PUR封边。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3.五金件：三节静音滑轨、锁具、铰链、金属调节脚。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4.桌面做一块TPU防污透明垫，桌面色设置抽屉，可放主机，桌面开孔，走线不外露。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进门登记台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1200*600*1100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24075" cy="1657350"/>
                  <wp:effectExtent l="0" t="0" r="9525" b="0"/>
                  <wp:docPr id="131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1、面材：亚光白色烤柒面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2、基材：采用≥18MM优质环保中密度纤维板材、板及其制品中甲醛释放限量》检测标准，甲醛释放量≤0. 05mg/ m³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3、油漆：采用优质环保油漆、经五底三面，十二道油漆工序处理；透明度高、耐压、耐磨，附着力强、流平性高，涂层亮度均匀不褪色。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4、配件：所有优质五金配件均采用全部防锈、防腐处理。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高吧台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4450*400*1100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419225"/>
                  <wp:effectExtent l="0" t="0" r="0" b="9525"/>
                  <wp:docPr id="153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1.板材：三聚氰胺饰面刨花板，达到E0级：甲醛释放量≤0.05mg/m³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4.五金件：采用优质五金配件，所有五金件作防锈、防腐处理。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5.钢脚：采用≥50*50mm钢制方管，管壁厚度≥1.5mm，表面高温静电喷涂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升降录播桌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2000*1000*750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52625" cy="1409700"/>
                  <wp:effectExtent l="0" t="0" r="9525" b="0"/>
                  <wp:docPr id="161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1.基材：符合GB/T 15102、GB/T 35601、GB/T 39600要求，其中，静曲强度≥14Mpa，板面握螺钉力≥1400N、甲醛释放量≤0.05mg/m³。苯、甲苯、二甲苯均≤2μg/m3，TVOC≤30μg/m³。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2.封边条：符合QB/T 4463-2013，可迁移元素(可溶性重金属)：铅(Pb)≤90mg/kg、镉（Cd）≤75mg/kg、铬Cr≤60mg/kg，汞(Hg)≤60mg/kg、砷(AS)≤25mg/kg、钡(Ba)≤1000mg/kg、锑(Sb)≤60mg/kg、硒(Se)≤500mg/kg，邻苯二甲酸酯DBP、BBP、DEHP、DNOP、DINP、DIDP)的总量≤0.1%要求;甲醛释放量≤0.05mg/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；耐磨性和耐开裂性(耐龟裂性)均合格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3.五金配件：采用优质五金配件，导轨乙酸盐雾试验≥180h；腐蚀性能无锈点10级，耐久性≥10万次检测无损。铰链乙酸盐雾试验≥180h；腐蚀性能无锈点10级，耐久性≥10万次检测无损。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4.优质金属桌腿。冷轧钢材质优质钢脚，双电机驱动，一键电动升降，可升降高度至少包含750-1250mm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两联监控桌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常规四联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1819275"/>
                  <wp:effectExtent l="0" t="0" r="9525" b="9525"/>
                  <wp:docPr id="140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设计：整个控制台的组成需为模块化结构，控制台主体结构为钢结构，并且制造厂商根据控制台的形状设计，配套对应主体钢结构的转角（22.5度，30度，45度）和切角模快（5，10，15度），用户根据需求灵活的增加或减少席位，符合安全规范以及人体工学方面的要求，并且应考虑到与整个环境的协调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2、控制台台面及主体所采用的非金属材料应当具有防火阻燃的性能，各种材料均采用环保料，保证操作人员的人身健康和安全。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3、控制台主体框架包含有左右侧窗、上下横梁；通过通用连接件的连接形成一个独立模块，各模块之间通用部件一致可互换，整体连接后的各模块间内部贯通，各种线缆在控制台内能自由贯通。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4、控制台主框架结构中各部件使用一级冷轧钢板冲压折弯成型、主体框架使用不低于2mm厚的一级冷轧钢板加工、承重梁部件使用不低于3mm厚的一级冷轧钢板加工，外表面静电喷涂工艺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控制台台面覆盖层应采用具有耐热、耐烟灼、耐撞击、耐潮湿、防水、耐腐蚀的高强度高压耐磨板，面板部分为单片结构，各个部分与整个架构应有整体性。控制台的控制面板应在不需要任何工具的情况下可拆卸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6、模块内安装主机托盘。可根据需求配置配线架、PDU、卡博菲桥架。上横梁上应每6寸预留一个安装86盒的圆孔，方便安装各种强弱电接口。台面下部可选配单、双层键盘架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7、框架前后门板使用实木颗粒板双面帖防火板加工，整体厚度不低于20mm，连接铰链使用高档的无声缓冲铰链安装，铰链安装方式必须为快装式、方便安装和拆卸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8、控制台内部框架有线缆管理系统，可在不同的位置以使布线方便有序。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9、席位台面深度不小于700mm，表面到地面距离为：720-750 mm，底部调节脚可微调高度；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10、主控桌所使用的粘合剂应采用符合国家环保要求的粘合剂。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11、主控桌所使用的涂漆材料的应无VOC（挥发性有机化合物）排放。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活动会议桌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1200*550*750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71700" cy="1571625"/>
                  <wp:effectExtent l="0" t="0" r="0" b="9525"/>
                  <wp:docPr id="151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1、基材：选用优质低碳型环保E0级刨花板，具有良好的防火阻燃，防潮耐水泡不发胀，无毒防菌防虫，绿色环保，符合GB\T39600-2021的规定，甲醛释放量≤0.05mg/m³.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2、面材：选用优质三聚氰胺饰面刨花板，符合GB\T39600-2021的规定，甲醛释放量≤0.05mg/m³；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3、封边：使用热熔胶（总挥发性有机物≤4g/L;游离甲醛≤1.5mg/L；苯≤0.05g/kg甲苯+二甲苯≤0.03g/kg）与2.5mm厚同色PVC封边条封边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4、下架：白色钢制下架，金属表面优质环保静电粉末喷涂。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5、桌轮：尼龙PA轮，活动自如。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填单台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1600*600*1100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90700" cy="1543050"/>
                  <wp:effectExtent l="0" t="0" r="0" b="0"/>
                  <wp:docPr id="144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1.桌面材质：基材：采用优质环保中密度纤维板，符合GB/T39600、HJ571-2010，达到E0级的标准甲醛释放量≤0.05mg/m³，总挥发性有机化合物≤0.50mg/（m2.h）(72h)。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2.饰面：桌面具有防火、防潮、耐磨、硬度高、好清洁等优点；饰面板 360 度无死角，必须全包裹，无任何部位基材外露（包含线盒开孔部位）。桌板工作面必须为符合人体工学正斜边设计.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3.钢制桌架：一级冷轧钢，经过酸洗、磷化表面处理，表面采用优质塑粉静电粉末喷涂，涂层厚度≥70μm，硬度≥2H，表面光滑平整、色彩稳定、防锈耐磨、耐强撞力。桌腿配优质可调节脚。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装订工作台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3800*800*800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685925"/>
                  <wp:effectExtent l="0" t="0" r="9525" b="9525"/>
                  <wp:docPr id="145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1.基材：选用优质低碳型环保E0级刨花板，具有良好的防火阻燃，防潮耐水泡不发胀，无毒防菌防虫，绿色环保，符合GB\T39600-2021的规定，甲醛释放量≤0.05mg/m³.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2.封边及工艺：封边条：≥2mm厚PVC直封边，激光或PUR封边。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3.五金件：采用同优质品牌,五金配件。所有五金件作防锈、防腐处理。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4.钢管桌架，壁厚≥1.5mm。表面静电喷塑处理，配尼龙套。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工位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1200*600*750~1200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163195</wp:posOffset>
                  </wp:positionV>
                  <wp:extent cx="1595755" cy="1162050"/>
                  <wp:effectExtent l="0" t="0" r="4445" b="0"/>
                  <wp:wrapNone/>
                  <wp:docPr id="149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1.板基材：采用≥25MM厚E0级均质刨花板基材，优质三聚氰胺板面。甲醛释放量≤0.05mg/m³ 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2.封边条：采用≥2.0mm厚度PVC封边条，封边工艺。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3.采用≥50*50mm钢制方管，管壁厚度≥1.5mm，表面高温静电喷涂。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4.五金件：优质五金连接件。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5.桌屏：木质桌上屏。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会议桌3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3200*1400*760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349250</wp:posOffset>
                  </wp:positionV>
                  <wp:extent cx="2249805" cy="1243330"/>
                  <wp:effectExtent l="0" t="0" r="17145" b="13970"/>
                  <wp:wrapNone/>
                  <wp:docPr id="146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1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基材：中密度板基材，胡桃木皮，达到E0级：甲醛释放量≤0.05mg/m³ 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2.饰面：优等天然木皮，厚度≥0.6mm；经过防虫防腐处理，纹理清晰，自然含水率低于0.7%；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3.封边：台面使用与桦木封边，封边条厚度≥6mm，木材含水率8%-12%。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4.油漆：采用高级聚脂环保油漆，色泽美观。光滑耐磨，手感好。五底三面的水性漆工艺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5.五金配件：采用优质五金配件。所有五金件作防锈、防腐处理；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6.结构配置：台面厚度≥50mm，木质桌脚；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7.桌面铝合金一体插座，面板（内含4个5孔电源，1个TYPE A，1个TYPE C接口，另内,置过线缺口）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移动升降讲台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720*580*710~1100H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638300"/>
                  <wp:effectExtent l="0" t="0" r="6350" b="0"/>
                  <wp:docPr id="154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1.桌面:吸塑板，≥715*495*18mm 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2.立柱/围板: 塑料/金属, 喷粉，象牙白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3.桌脚: 铝合金压铸, 抛光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4.脚垫: 2个带前倾可推动脚轮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演讲台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780*580*1150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552575"/>
                  <wp:effectExtent l="0" t="0" r="9525" b="9525"/>
                  <wp:docPr id="1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1.面材：≥0.6mm厚木皮，纹理清晰自然、色泽一致、木孔分布均匀、表面平整光滑、耐磨性好、无结孔；符合GB/T 13010-2020《木材工业用单板》；台面做≥55mm上下斜边工艺。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2.基材：采用≥36MM优质环保中密度纤维板材、板及其制品中甲醛释放限量检测标准，甲醛释放量≤0. 05mg/ m³，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3.油漆：采用优质环保油漆、经五底三面，十二道油漆工序处理；透明度高、耐压、耐磨，附着力强、流平性高，涂层亮度均匀不褪色。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4.配件：所有优质五金配件均采用全部防锈、防腐处理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圆形会议桌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D3200*750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52700" cy="1390650"/>
                  <wp:effectExtent l="0" t="0" r="0" b="0"/>
                  <wp:docPr id="158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1、面材：≥0.6mm厚木皮，纹理清晰自然、色泽一致、木孔分布均匀、表面平整光滑、耐磨性好、无结孔；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2、基材：采用≥36MM优质环保中密度纤维板材、板及其制品中甲醛释放限量》检测标准，甲醛释放量≤0. 05mg/ m³，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3、油漆：采用优质环保油漆、经五底三面，十二道油漆工序处理；透明度高、耐压、耐磨，附着力强、流平性高，涂层亮度均匀不褪色。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4、配件：所有优质五金配件均采用全部防锈、防腐处理。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5、按甲供升降器尺寸开孔、内部预留走线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弧形条桌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1290*500*750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362200" cy="1600200"/>
                  <wp:effectExtent l="0" t="0" r="0" b="0"/>
                  <wp:docPr id="147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1、面材：≥0.6mm厚木皮，纹理清晰自然、色泽一致、木孔分布均匀、表面平整光滑、耐磨性好、无结孔。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2、基材：采用≥25MM优质环保中密度纤维板,甲醛释放量≤0. 05mg/ 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3、油漆：采用优质环保油漆、经五底三面，十二道油漆工序处理；透明度高、耐压、耐磨，附着力强、流平性高，涂层亮度均匀不褪色。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4、配件：所有优质五金配件均采用全部防锈、防腐处理。   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5、按甲供升降器尺寸开孔、内部预留走线。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乒乓桌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81225" cy="1419225"/>
                  <wp:effectExtent l="0" t="0" r="9525" b="9525"/>
                  <wp:docPr id="150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1.桌面：高密度纤维板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2.脚架：钢制脚架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3.物理性能:弹性230-260mm。弹性均匀度≤5mm。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4.台长≥2740mm，台宽≥1525mm，台高≥760mm。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5.有脚轮，脚轮可推移。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3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物资发放台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5000*800*800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247900" cy="1590675"/>
                  <wp:effectExtent l="0" t="0" r="0" b="9525"/>
                  <wp:docPr id="156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1.面材: 三聚氰胺板面，≥2mmPVC同色封，封边采用：PUR热溶胶工艺。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基材:上柜E0级均质刨花板基材，下柜为E0级多层板，甲醛释放量≤0.05mg/m³ 。 整体板材厚≥18MM。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2.封边条：≥2mm厚PVC直封边，激光或PUR封边。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3.五金配件:优质五金链接配件。                                                                                                                                                         4.台面：≥36MM厚石英石台面、抗高温、强度高、无辐射、耐腐蚀性好，抗污染。前口下挂，后面挡水条板材符合GB18580-2017 《室内装饰装修材料 人造板及其制品中甲醛释放限量》及GB/T 15102-2017《浸渍胶膜纸饰面纤维板和刨花板》检测标准。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吧台服务台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2400*800*1100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751205</wp:posOffset>
                  </wp:positionV>
                  <wp:extent cx="1663065" cy="1090930"/>
                  <wp:effectExtent l="0" t="0" r="13335" b="13970"/>
                  <wp:wrapNone/>
                  <wp:docPr id="157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1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1.面材：哑光白色烤柒面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2.基材：采用≥18MM优质环保中密度纤维板材、板及其制品中甲醛释放限量》检测标准，甲醛释放量≤0. 05mg/ m³。台面厚度≥25MM。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3.油漆：采用优质环保油漆、经五底三面，十二道油漆工序处理；透明度高、耐压、耐磨，附着力强、流平性高，涂层亮度均匀不褪色。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4.配件：所有优质五金配件均采用全部防锈、防腐处理。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定制控制桌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4100*800*800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1.操作台采用钢木结合工艺，材质:框架≥1.5毫米冷轧钢，≥25mm桌面E0级防火板，侧板高密度纤维板喷漆，后置铝型材挂架。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-2528570</wp:posOffset>
                  </wp:positionH>
                  <wp:positionV relativeFrom="paragraph">
                    <wp:posOffset>562610</wp:posOffset>
                  </wp:positionV>
                  <wp:extent cx="2124710" cy="1467485"/>
                  <wp:effectExtent l="0" t="0" r="8890" b="18415"/>
                  <wp:wrapNone/>
                  <wp:docPr id="130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2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2.柜体为钢制，主体框架采用焊接工艺（坚固耐用）整体打磨光滑平整，线槽美观实用，桌面整洁干净。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3.流线型棱角设计，美观时尚，防止意外磕碰。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4.金属键盘托，选用三节加厚静音滑轨，抽拉顺畅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经久耐用。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5.前后图纹散热孔，加快散热效果，时尚美观。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6.标准19英寸机架，托板高度可根据需求上下调节。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 前后优质五金扣手，精致外观，使用方便。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 台面≥25毫米环保环保防火板，面板前端橡胶压边手枕光亮整洁，纹路清晰不褪色;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侧板可选用环保高密度烤漆板，色彩牢固。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9.框架选用≥1.5毫米优质冷轧钢板，超强承重，前后门板≥1.2毫米钢板，表面经过酸洗、磷化、防腐、除锈化处理后静电喷涂。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 监控台侧板可拆除，多联连接，增加使用长度。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027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91AAD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文件柜+书柜组合（一）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11430</wp:posOffset>
                  </wp:positionV>
                  <wp:extent cx="1415415" cy="1593850"/>
                  <wp:effectExtent l="0" t="0" r="13335" b="6350"/>
                  <wp:wrapNone/>
                  <wp:docPr id="159" name="组合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组合_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1.板材：三聚氰胺饰面刨花板，达到E0级：甲醛释放量≤0.05mg/m³ 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2.封边条：≥2mm厚PVC直封边，激光或PUR封边。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3.五金件：采用优质五金配件，所有五金件作防锈、防腐处理。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结构性能描述：文件柜+更衣柜组合。文件柜：上、下门为对开门、单门组合，带锁，搁板厚≥25mm。上门内设≥2块可调搁板，下门内设≥1块可调搁板。更衣柜：通体单开板门，带锁，配衣帽钩，内有两块固定搁板，搁板厚度≥25mm。竖向伸缩式挂衣杆，门内侧装半身镜。其余板材≥18mm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三抽活动柜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390*520*600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57325" cy="1638300"/>
                  <wp:effectExtent l="0" t="0" r="9525" b="0"/>
                  <wp:docPr id="160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1.钢板：一级冷轧钢板，裸板厚≥0.8mm，上经酸洗磷化处理，喷塑。成品要求涂层厚≥60µm。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2、活动柜所有抽屉皆采用三节式全展钢珠滑轨，高承载、寿命长具互锁装置，确保第二抽与第三抽不能同时打开。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3、活动柜配备第五轮，可有效防止倾倒，优质滚轮带刹车功能。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4、活动柜标备≥2把钥匙，锁芯可抽换。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5、底部带封板，可有效防止虫、鼠进入。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6、前顶板弧度≥R8，与抽屉成一条弧线，没有棱角，更具美观安全。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院史档案馆-15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学报-16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学生中心-95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钢制矮柜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900*400*780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504950"/>
                  <wp:effectExtent l="0" t="0" r="9525" b="0"/>
                  <wp:docPr id="132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1.材质： 采用一级冷轧板，板厚≥0.8mm,表面静电喷涂处理,采用环氧树脂及聚酯， 混合型热固性粉末涂料，涂层厚度达≥60um。绝缘性高，附着力≥2级，硬度≥2H。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2.表面静电喷粉涂装，静电粉末喷涂处理，表面无颗粒、无挂流。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3.五金：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1）锁具：锁芯拨动件扭矩及锁头固定连接静拉力合格。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2）铰链：符合耐久性开合无磨损。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4.配≥18MM厚板式柜顶板。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5.结构描述：钢制文件柜内设≥2块可调搁板。搁板长边三折弯处理，下设加强筋。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学生中心-24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钢制文件柜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1609725"/>
                  <wp:effectExtent l="0" t="0" r="0" b="9525"/>
                  <wp:docPr id="133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 采用一级冷轧板，板厚≥0.8mm,表面静电喷涂处理 ，采用环氧树脂及聚酯， 混合型热固性粉末涂料，涂层厚度达≥60um。绝缘性高，附着力≥2级，硬度≥2H。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2.表面静电喷粉涂装，静电粉末喷涂处理，表面无颗粒、无挂流。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3.五金：锁具：锁芯拨动件扭矩及锁头固定连接静拉力合格。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铰链：符合耐久性开合无磨损。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4.结构描述： 柜子为对开门，柜内配置 ≥3 块层板，层板高低位置可调，搁板长边三折弯处理，下设加强筋； 柜门配铰链，装静音锁，柜底配底框，装暗藏调节脚，可从柜内调节地面水平；上面为钢板对开门，下面为钢板对开门。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信息中心-72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院史档案馆-31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学报-38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学生中心-35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钢制两门更衣柜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900*500*1850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778510</wp:posOffset>
                  </wp:positionV>
                  <wp:extent cx="1050290" cy="1542415"/>
                  <wp:effectExtent l="0" t="0" r="16510" b="635"/>
                  <wp:wrapNone/>
                  <wp:docPr id="136" name="objec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object_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基材：材质为一级冷轧钢板，力学性能：最小屈服强度为130-280MPa，厚度≥0.8mm。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4.配置：2开门，内置挂衣杆和一层板；柜门配铰链，装静音锁，柜底配底框，装暗藏调节脚，可从柜内调节地面水平。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5.五金配件：锁具采用弹子家具锁或叶片插芯门锁，铰链：耐久性测试 ≥≥40000 次；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信息中心-3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更衣柜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300*600*1200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1771650"/>
                  <wp:effectExtent l="0" t="0" r="9525" b="0"/>
                  <wp:docPr id="134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基材：材质为一级冷轧钢板，力学性能：最小屈服强度为130-280MPa，厚度≥0.8mm。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4.配置：单开门，内置挂衣杆和一层板；柜门配铰链，装静音锁，柜底配底框，装暗藏调节脚，可从柜内调节地面水平。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5.五金配件：锁具采用弹子家具锁或叶片插芯门锁，铰链：耐久性测试 ≥≥40000 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钢制单门衣柜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450*500*1850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1771650"/>
                  <wp:effectExtent l="0" t="0" r="9525" b="0"/>
                  <wp:docPr id="135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1.基材：材质为一级冷轧钢板，力学性能：最小屈服强度为130-280MPa，厚度≥0.8mm；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4.配置：单开门，内置挂衣杆和一层板；柜门配铰链，装静音锁，柜底配底框，装暗藏调节脚，可从柜内调节地面水平；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5.五金配件：锁具采用弹子家具锁或叶片插芯门锁，铰链：耐久性测试 ≥≥40000 次；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木质茶水柜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900*400*900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1419225"/>
                  <wp:effectExtent l="0" t="0" r="9525" b="9525"/>
                  <wp:docPr id="138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1.板材：三聚氰胺饰面刨花板，达到E0级：甲醛释放量≤0.05mg/m³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4.五金件：采用优质五金配件，所有五金件作防锈、防腐处理。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5、结构：上两抽，下开门内置一层板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7825" cy="1724025"/>
                  <wp:effectExtent l="0" t="0" r="9525" b="9525"/>
                  <wp:docPr id="51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1.面材：≥0.6mm厚木皮，纹理清晰自然、色泽一致、木孔分布均匀、表面平整光滑、耐磨性好、无结孔；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2.基材：采用≥25MM优质环保中密度纤维板材、板及其制品中甲醛释放限量》检测标准，甲醛释放量≤0. 05mg/ m³，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3.油漆：采用优质环保油漆、经五底三面，十二道油漆工序处理；透明度高、耐压、耐磨，附着力强、流平性高，涂层亮度均匀不褪色。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4.配件：所有优质五金配件均采用全部防锈、防腐处理。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定制茶水柜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7200*600*850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1457325"/>
                  <wp:effectExtent l="0" t="0" r="0" b="9525"/>
                  <wp:docPr id="54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 材: 三聚氰胺板面，≥2mmPVC同色封，封边采用:PUR热溶胶工艺。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2.基 材:≥18mm厚E0级多层板基材，甲醛释放量≤0. 05mg/ m³。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3.台面：≥36MM厚石英石台面、抗高温、强度高、无辐射、耐腐蚀性好，抗污染。前口下挂，后面挡水条板材符合GB18580-2017 《室内装饰装修材料 人造板及其制品中甲醛释放限量》及GB/T 15102-2017《浸渍胶膜纸饰面纤维板和刨花板》检测标准。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4.五金配件:优质五金链接配件。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定制展柜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95500" cy="1571625"/>
                  <wp:effectExtent l="0" t="0" r="0" b="9525"/>
                  <wp:docPr id="52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材:≥0.6mm实木皮贴面。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2.基材:≥18mm厚E0级多层板基材，甲醛释放量≤0. 05mg/ 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3.油漆:耐热耐磨环保聚脂漆。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4.铝合金边框玻璃柜门。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5.五金配件:优质牌配件  。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6.配≥4000K中性光LED灯带。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定制展柜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289560</wp:posOffset>
                  </wp:positionV>
                  <wp:extent cx="2269490" cy="1343025"/>
                  <wp:effectExtent l="0" t="0" r="16510" b="9525"/>
                  <wp:wrapNone/>
                  <wp:docPr id="53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3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 材: 三聚氰胺板面，2mmPVC同色封，封边采用:PUR热溶胶工艺。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2.基材:≥18mm厚E0级均质刨花板基材，甲醛释放量≤0. 05mg/ m³。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3.五金配件:优质五金链接配件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4.配≥4000K中性光LED灯带。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定制展柜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1552575"/>
                  <wp:effectExtent l="0" t="0" r="0" b="9525"/>
                  <wp:docPr id="55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1.面材: 三聚氰胺板面，2mmPVC同色封，封边采用:PUR热溶胶工艺。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2.基材:≥18mm厚E0级均质刨花板基材，甲醛释放量≤0. 05mg/ m³。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3.五金配件:优质五金链接配件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4.配≥4000K中性光LED灯带。</w:t>
            </w:r>
          </w:p>
        </w:tc>
        <w:tc>
          <w:tcPr>
            <w:tcW w:w="19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9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2400*300*2400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247900" cy="1752600"/>
                  <wp:effectExtent l="0" t="0" r="0" b="0"/>
                  <wp:docPr id="59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1.基材：三聚氰胺板面，≥2mmPVC同色封，封边采用:PUR热溶胶工艺,甲醛释放量≤0.05mg/m³。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2.面材：选用优质三聚氰胺饰面板，符合GB\T39600-2021的规定，甲醛释放量≤0.05mg/m³，板材厚度≥18mm。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3.封边：使用热熔胶（总挥发性有机物≤4g/L;游离甲醛≤1.5mg/L；苯≤0.05g/kg甲苯+二甲苯≤0.03g/kg）与≥1.92mm厚同色ABS封边条封边（耐开裂性大于等于2级，耐光色牢度大于4级，甲醛释放量低于检测限）。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4.配件：优质五金件，螺丝通过盐雾测试。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4200*300*2400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247900" cy="1752600"/>
                  <wp:effectExtent l="0" t="0" r="0" b="0"/>
                  <wp:docPr id="56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基材：三聚氰胺板面，≥2mmPVC同色封，封边采用:PUR热溶胶工艺,甲醛释放量≤0.05mg/m³。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2.面材：选用优质三聚氰胺饰面板，符合GB\T39600-2021的规定，甲醛释放量≤0.05mg/m³。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封边：使用热熔胶（总挥发性有机物≤4g/L;游离甲醛≤1.5mg/L；苯≤0.05g/kg甲苯+二甲苯≤0.03g/kg）与≥1.92mm厚同色ABS封边条封边（耐开裂性大于等于2级，耐光色牢度大于4级）。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4.配件：优质五金件，螺丝通过盐雾测试。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定制储物柜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900*400*1000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24025" cy="1771650"/>
                  <wp:effectExtent l="0" t="0" r="9525" b="0"/>
                  <wp:docPr id="57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钢板：采用优质品牌一级冷轧钢板，厚度≥0.8mm；经剪板、折弯、冲压工艺。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2.喷涂：表面经过除油、除锈、磷化、钝化等处理，表面优质环保纳米抗菌静电喷涂塑粉，质量要求达到表面无脱焊、虚焊，无裂缝折痕，光滑平整，防潮，无气味，无起泡，耐冲击等特性。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3.五金：采用优质五金配件，品牌锁具，使用寿命长，开闭灵活。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4.所有钢柜检测依据遵循：GB/T3325-2017金属家具通用技术条件、QB/T1097-2010钢制文件柜。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置物柜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7400*400*1500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1562100"/>
                  <wp:effectExtent l="0" t="0" r="0" b="0"/>
                  <wp:docPr id="47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81300" cy="733425"/>
                  <wp:effectExtent l="0" t="0" r="0" b="3175"/>
                  <wp:docPr id="46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1.基材：三聚氰胺板面，板材厚度≥18mm，≥2mmPVC同色封，封边采用:PUR热溶胶工艺,甲醛释放量≤0.05mg/m³；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2.金属框架：采用≥20*20MM一级冷轧钢，经过酸洗、磷化表面处理，表面采用品牌优质塑粉静电粉末喷涂，涂层厚度≥70μm，硬度≥2H，表面光滑平整、色彩稳定、防锈耐磨、耐强撞力。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3.五金件：采用优质三合一连接件耐盐雾试验检测锈点数为0，耐盐雾试验≥10级。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2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7150*400*2000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大厅+学生事务中心-1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6650*400*2000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大厅+学生事务中心-1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3400*400*2000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大厅+学生事务中心-1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800*300*1000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1676400"/>
                  <wp:effectExtent l="0" t="0" r="0" b="0"/>
                  <wp:docPr id="58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1.基材：三聚氰胺板面，板材厚度≥18mm，≥2mmPVC同色封，封边采用:PUR热溶胶工艺,甲醛释放量≤0.05mg/m³；柜顶板厚度≥25mm。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2.面材：选用优质三聚氰胺饰面刨花板，符合GB\T39600-2021的规定，甲醛释放量≤0.05mg/m³。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封边：使用热熔胶（总挥发性有机物≤4g/L;游离甲醛不得检出；苯≤0.05g/kg甲苯+二甲苯≤0.03g/kg）与≥1.92mm厚同色ABS封边条封边（耐开裂性大于等于2级，耐光色牢度大于4级，甲醛释放量低于检测限或者不含甲醛）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4.五金：导轨：功能试验耐久性：≥40000次无损；锁：保密度、牢固度、灵活度及外观质量均符合检测项目的技术要求。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5.配件：优质五金件，螺丝通过盐雾测试。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侧柜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1600*500*650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495550" cy="1809750"/>
                  <wp:effectExtent l="0" t="0" r="0" b="0"/>
                  <wp:docPr id="48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1.基材：材质为一级冷轧钢板，力学性能：最小屈服强度为130-280MPa，厚度≥0.8mm；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4.配置：空格+抽屉柜，柜底配底框，装暗藏调节脚，可从柜内调节地面水平；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5.五金配件：锁具采用弹子家具锁或叶片插芯门锁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9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保密柜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900*420*1850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514475"/>
                  <wp:effectExtent l="0" t="0" r="9525" b="9525"/>
                  <wp:docPr id="49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1.基材：材质为一级冷轧钢板，力学性能：最小屈服强度为130-280MPa，厚度≥1.2mm；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4.配置：上钢对开门，下钢对开门柜。开锁把手，液晶国保密码锁上含1块层板，内置2抽屉下含1块层板上下可调节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5.五金配件：锁具采用弹子家具锁或叶片插芯门锁，铰链：耐久性测试 40000 次；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7.五金：优质铰链、连接件、优质锁具。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8.结构：上钢对开门，下钢对开门柜。开锁把手，液晶国保密码锁。上含1块层板，内置2抽屉。下含1块层板上下可调节。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2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保险柜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380*320*600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543050"/>
                  <wp:effectExtent l="0" t="0" r="9525" b="0"/>
                  <wp:docPr id="50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基材：材质为一级冷轧钢板，力学性能：最小屈服强度为130-280MPa，厚度≥1.2mm；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4.配置：单开门。内置一抽屉，一层板。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5.五金配件：锁具采用C级认证，防技术开锁，实心圆形锁栓，安全坚固：耐久性测试 ≥40000 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3325-2017《金属家具通用技术条件》规定的要求；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打印机柜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552575"/>
                  <wp:effectExtent l="0" t="0" r="11430" b="1905"/>
                  <wp:docPr id="64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采用E0级三聚氰胺饰面刨花板，密度≥0.7g/cm3，含水率≤9%，静曲强度≥10MPa，弹性模量≥2800MPa，内结合强度≥0.3MPa，表面结合强度≥0.6MPa，2h吸水厚度膨胀率≤4%，板面握螺钉力≥1100N，板边握螺钉力≥600N。板面厚度为≥25mm，承重力强，尺寸稳定性好。甲醛释放量≤0.05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2.柜顶板：采用≥25mm厚E0级三聚氰胺饰面板，其余采用≥18mm厚E0级三聚氰胺饰面板。甲醛释放量≤0.05mg/m³ 。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3.五金配件：优质五金配件                                                                                                                                                                                                            4.封 边：均采用≥1.0mm厚度PVC封边条，封边工艺：直线PUR和异形EVA相结合，具有不褪色、弯曲无色差、耐磨、切口断面平整的特性。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1619250"/>
                  <wp:effectExtent l="0" t="0" r="9525" b="0"/>
                  <wp:docPr id="69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1.材质： 采用一级冷轧板，板厚≥0.8mm,表面静电喷涂处理 ，采用环氧树脂及聚酯， 混合型热固性粉末涂料，涂层厚度达≥60um。绝缘性高，附着力≥2级，硬度≥2H。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2.表面静电喷粉涂装，静电粉末喷涂处理，表面无颗粒、无挂流。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1）锁具：锁芯拨动件扭矩及锁头固定连接静拉力合格。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2）铰链：符合耐久性开合无磨损。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4.结构描述：玻璃文件柜+钢制文件柜一体组合。玻璃文件柜：两扇钢框镶玻璃推拉门，可竖放标准文件盒，内设≥3块可调搁板。钢制文件柜内设≥1块可调搁板。搁板长边三折弯处理，下设加强筋。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学生中心-63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283845</wp:posOffset>
                  </wp:positionV>
                  <wp:extent cx="1416050" cy="2078355"/>
                  <wp:effectExtent l="0" t="0" r="12700" b="17145"/>
                  <wp:wrapNone/>
                  <wp:docPr id="65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2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1.材质： 采用一级冷轧板，板厚≥0.8mm,表面静电喷涂处理 ，采用环氧树脂及聚酯， 混合型热固性粉末涂料，涂层厚度达≥60um。绝缘性高，附着力≥2级，硬度≥2H。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2.表面静电喷粉涂装，静电粉末喷涂处理，表面无颗粒、无挂流。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1）锁具：锁芯拨动件扭矩及锁头固定连接静拉力合格。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2）铰链：符合耐久性开合无磨损。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4.结构描述：玻璃文件柜+钢制衣柜一体组合。玻璃文件柜：单扇钢框镶玻璃推拉门，可竖放标准文件盒，内设≥3块可调搁板。钢制文件柜内设≥1块可调搁板。搁板长边三折弯处理，下设加强筋。内置一挂衣杆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四门更衣柜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900*500*1850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714500"/>
                  <wp:effectExtent l="0" t="0" r="9525" b="0"/>
                  <wp:docPr id="60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1、材质： 采用一级冷轧板，板厚≥0.8mm,表面静电喷涂处理 ，采用环氧树脂及聚酯， 混合型热固性粉末涂料，涂层厚度达≥60um。绝缘性高，附着力≥2级，硬度≥2H，符合GB/T3325-2017《金属家具通用技术条件》检测标准。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2、表面静电喷粉涂装，静电粉末喷涂处理，表面无颗粒、无挂流，热固性粉末涂料符合《HG/T 2006-2006热固性粉末涂料》。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3、五金：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1）锁具：锁芯拨动件扭矩及锁头固定连接静拉力合格。检测依据符合QB/T 1621-2015《家具锁》。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2）铰链：符合耐久性开合无磨损，垂直静载荷20KG,水平静载荷40N无损；检测依据符合QB/T 2189-2013《家具五金杯状暗铰链》。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4、每门内含一衣杆，一镜子，一块层板，搁板长边三折弯处理，下设加强筋。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450*500*500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00175" cy="1685925"/>
                  <wp:effectExtent l="0" t="0" r="9525" b="9525"/>
                  <wp:docPr id="61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1.板材：三聚氰胺饰面刨花板，达到E0级：甲醛释放量≤0.05mg/m³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4.五金件：采用优质五金配件，所有五金件作防锈、防腐处理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药品柜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640715</wp:posOffset>
                  </wp:positionV>
                  <wp:extent cx="874395" cy="2049145"/>
                  <wp:effectExtent l="0" t="0" r="1905" b="8255"/>
                  <wp:wrapNone/>
                  <wp:docPr id="6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1.基材：材质为一级冷轧钢板，力学性能：最小屈服强度为130-280MPa，厚度≥0.8mm；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2.金属喷塑涂层，重金属含量(mg/kg)：可溶性铅≤90，可溶性镉≤75，可溶性铬≤60，可溶性汞≤60；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3.工艺：钢板表面经酸洗、磷化、防腐、防锈处理，粉末涂料静电喷涂；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4.配置：上门玻璃对开门，内置两块层板；中间双抽，下钢制对开门内置两块层板，内柜门配铰链，装静音锁，柜底配底框，装暗藏调节脚，可从柜内调节地面水平；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5.五金配件：锁具采用弹子家具锁或叶片插芯门锁，铰链：耐久性测试 ≥40000 次；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6.成品：各项技术指标符合 GB/T 3325-2017《金属家具通用技术条件》规定的要求。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6门衣更柜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900*500*1850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334645</wp:posOffset>
                  </wp:positionV>
                  <wp:extent cx="952500" cy="1908810"/>
                  <wp:effectExtent l="0" t="0" r="0" b="15240"/>
                  <wp:wrapNone/>
                  <wp:docPr id="68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2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 采用一级冷轧板，板厚≥0.8mm,表面静电喷涂处理 ，采用环氧树脂及聚酯， 混合型热固性粉末涂料，涂层厚度达 60-70um。绝缘性高，附着力≥2级，硬度≥2H。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2.表面静电喷粉涂装，静电粉末喷涂处理，表面无颗粒、无挂流。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3.五金：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4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锁具：配智能感应锁，标配两个的手环钥匙片。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2）铰链：符合耐久性开合无磨损。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4.结构描述： 柜子为六开门，柜内配置 ≥1 块层板，1根挂衣杆，门上配有镜子。层板高低位置可调，搁板长边三折弯处理，下设加强筋； 柜门配铰链，装静音锁，柜底配底框，装暗藏调节脚，可从柜内调节地面水平。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体育教研室-12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二层休息室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2027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91AAD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椅类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办公皮椅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标准高背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036955" cy="1830070"/>
                  <wp:effectExtent l="0" t="0" r="4445" b="11430"/>
                  <wp:docPr id="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83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1.面料：优质合成皮（超纤皮）包面，经液态浸色及防潮、防污处理，皮面柔软舒适，光泽持久。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2.基材：切割棉、高回弹海绵，坐感舒适；背板曲木板厚度≥18MM.座板曲木板厚度≥ 15mm，由≥ 7 层 ≥2mm 木皮在高温、高压下复合成型，达环保标准。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3.底盘：优质多功能底盘，可多档位倾仰锁定，座感舒适。                                                                                                                                                                    4.可升降2D扶手，PU扶手面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5..五星脚：铝合金五星脚，黑色尼龙PU静间脚轮。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标准中背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437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704975"/>
                  <wp:effectExtent l="0" t="0" r="9525" b="9525"/>
                  <wp:docPr id="71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1、面料：背垫为高弹性优质特网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2、背框：尼龙加玻纤条壮背框，均匀分散式的承托背部力量。背垫：椅背采用“腰身独立”设计，背垫呈现弧度以达到对人体腰、背部的有效支撑；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3、扶手：PP固定扶手、美观设计扶手加ABS电度亮色装饰圈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4、座垫：优质定型泡棉+弹力布，流瀑型”坐垫前端设计，最大限度释放腿部压力；深度调节，满足不同身高使用者用椅需求；可前后滑动调节椅座深度，可满足不同体重身形人群的调节设计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5、底盘：两档锁定底盘，独立开关设计，分别操控座垫升降、椅背倾仰锁定功能；自适应调节后仰弹力，满足不同体重使用者用椅需求。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6、气压棒：≥65mm行程气压棒，采用精钢铸造，内充高压氮气，纯度达到99.99%，超过≥30万次升降测试标准。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7、椅脚：≥340mm黑色尼龙五星椅脚，椅脚承重力超过1500kg。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8、椅轮：采用≥60mmPU椅轮，耐磨，静音，不伤木板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学报-16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学生中心-102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信息中心-47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体育教研室-16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704975"/>
                  <wp:effectExtent l="0" t="0" r="0" b="9525"/>
                  <wp:docPr id="84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1.面料：优质合成皮包面，经液态浸色及防潮、防污处理，皮面柔软舒适，光泽持久。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2.基材：切割棉、高回弹海绵，坐感舒适；背板曲木板厚度≥18MM.座板曲木板厚度≥ 15mm，由≥ 7 层 2mm 木皮在高温、高压下复合成型，达环保标准。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3.底盘：优质多功能底盘，可多档位倾仰锁定，座感舒适。                                                                                                                                                                     4.金属固定扶手，包合成皮面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5..五星脚：铝合金五星脚，黑色尼龙PU静间脚轮。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大厅+财务处-20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院史档案馆-20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会客椅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14475" cy="1800225"/>
                  <wp:effectExtent l="0" t="0" r="9525" b="13335"/>
                  <wp:docPr id="78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椅身:采用全新聚丙烯加玻璃纤维，由两个部分组成（座面、椅背），整椅胶背座深≥445mm,整椅胶背高度≥420mm，整椅胶背宽度≥440mm。两部件具有独立可拆卸功能。结构稳定，可承重≥130kg，胶背≥34kg，≥12万次循环推背测试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2.座面：座宽≥440mm,座深≥445mm，顶腰高度≥190mm，坐胶背重：≥2.20kg（座面可加软包座垫）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3.椅背：宽≥410mm，高≥160mm，上身胶背重≥0.6kg。胶坐与胶背采用隐藏螺丝（≥3.5X25十字圆头自动螺丝）。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4.椅脚：由直径≥16mm*1.5mm厚优质冷轧钢板制成表面经酸洗、磷化等防锈处理，流水线静电喷涂，具有耐磨，防腐，抗老化等性能。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5.脚垫：前脚垫：长：≥68.5mm 宽：≥22.5mm 高：≥65mm 厚度：≥2mm。后脚垫：长：≥72mm   宽：≥22mm   高：≥67mm 厚度：≥2mm。全新聚丙烯加玻璃纤维制作，抗磨损性强。采用配套的耐磨塑料材质，能使整椅稳定性更强，使用时不会翻倒；产品在堆叠时，可以保护产品不会碰伤；防滑性好，不会刮花木地板；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院史档案馆-4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24025" cy="1724025"/>
                  <wp:effectExtent l="0" t="0" r="9525" b="9525"/>
                  <wp:docPr id="91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1.面料：高分子纤维面料，耐磨，柔软舒适；pU扶手面。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2.木板：≥12mm防火板靠背，防虫，不脱皮，绿色环保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3.海绵：采用环保、高回弹PU泡棉，座密度≥35Kg/m3，背密度≥25Kg/ m3，回弹性≥40%。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4.架子：国标≥1.5mm厚管壁。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院史档案馆-31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学生中心-142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培训椅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（带写字板）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670*700*805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120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33525" cy="1724025"/>
                  <wp:effectExtent l="0" t="0" r="9525" b="9525"/>
                  <wp:docPr id="79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椅背：背框全新PA+玻纤材质，一体注塑成型，高弹力竹节布背网，靠背倾仰机构设计，前后滑动扶手，有效距离2.5cm，可满足不同坐姿与人群，有效缓解疲劳，在椅座中间放置109kg的载荷，向靠背施加推到使靠背倾斜到后制动位置，然后去除推力，以每分钟10-30次的速率进行300000次循环，无异常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2.椅座：座垫采用硬度50，密度60的定型海绵，8厘7层定制弯曲板，舒适透气，配PP工程塑料防尘底壳。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椅架：20.5*32.5*T1.5mm优质Q235碳素钢椅架，全自动机械臂焊接，稳固性强，高速打砂除锈处理，表面高温喷涂烤漆，漆面牢固，具有防腐，抗氧化等性能，特制脚垫，全新超韧尼龙材质，抗磨损性强，重57kg的实验沙袋悬空椅座上方36mm，自由下落撞击，循环100000次，无异常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4.写字板：采用优质PP+30%玻纤加厚板面，搭配精抛铝合金旋转机构，可灵活旋转收放。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5.功能：椅架全折叠收纳，节省空间。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培训椅（带写字板）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670*700*805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695450"/>
                  <wp:effectExtent l="0" t="0" r="9525" b="0"/>
                  <wp:docPr id="80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椅背：背板全新PA+玻纤材质，一体注塑成型，靠背倾仰机构设计，前后滑动扶手，有效距离≥2cm，可满足不同坐姿与人群，有效缓解疲劳，在椅座中间放置≥109kg的载荷，向靠背施加推到使靠背倾斜到后制动位置，然后去除推力，以每分钟10-30次的速率进行≥300000次循环，无异常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2.椅座：座垫采用50D，密度≥45kg/m³防阻燃定型海绵，足厚≥10厘多层定制弯曲板，舒适透气，配PP工程塑料防尘底壳。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椅架：≥20.5*32.5*T1.5mm优质Q235碳素钢椅架，全自动机械臂焊接，稳固性强，高速打砂除锈处理，表面高温喷涂烤漆，漆面牢固，具有防腐，抗氧化等性能，特制脚垫，全新超韧尼龙材质，抗磨损性强，重57kg的实验沙袋悬空椅座上方≥36mm，自由下落撞击，循环≥100000次，无异常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4.功能：椅架全折叠收纳，节省空间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培训椅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640*655*830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1657350"/>
                  <wp:effectExtent l="0" t="0" r="9525" b="0"/>
                  <wp:docPr id="72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1.背框全新PA+玻纤材质，舒适透气网布，美观耐磨。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2.加大的靠背设计可倾仰机构，有效缓解疲劳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3.PA扶手，可至少向上100-120°翻转。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4.座垫采用防火阻燃定型海绵，舒适透气，加厚防尘底壳。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5.加固异型旦管底部横梁≥40×20×2.0mm优质管材+悬挂式功能座板翻转连接功能件。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6.表面高温喷涂烤漆处理，抗氧化、美观。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7.≥Φ50mm，PU面尼龙轮。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8.可前后推叠摆放，节省空间。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学生中心-230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折叠椅（不带轮子）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670*700*805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1647825"/>
                  <wp:effectExtent l="0" t="0" r="0" b="9525"/>
                  <wp:docPr id="85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椅背：背板全新PA+玻纤材质，一体注塑成型，靠背倾仰机构设计，前后滑动扶手，有效距离≥2cm，可满足不同坐姿与人群，有效缓解疲劳，在椅座中间放置≥109kg的载荷，向靠背施加推到使靠背倾斜到后制动位置，然后去除推力，以每分钟10-30次的速率进行≥300000次循环，无异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2.椅座：座垫采用50D，密度≥45kg/m³防阻燃定型海绵，足厚≥10mm多层定制弯曲板，舒适透气，配PP工程塑料防尘底壳。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椅架：≥20.5*32.5*T1.5mm优质Q235碳素钢椅架，全自动机械臂焊接，稳固性强，高速打砂除锈处理，表面高温喷涂烤漆，漆面牢固，具有防腐，抗氧化等性能，特制脚垫，全新超韧尼龙材质，抗磨损性强，重57kg的实验沙袋悬空椅座上方≥36mm，自由下落撞击，循环≥100000次，无异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4.功能：椅架全折叠收纳，节省空间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520*550*830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84935" cy="1731645"/>
                  <wp:effectExtent l="0" t="0" r="1905" b="5715"/>
                  <wp:docPr id="92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1.椅身：采用全新聚丙烯加玻璃纤维，由三部分组成（椅座、背、装饰壳），椅座和背具有独立可拆卸功能。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1.1.椅座：采用全新聚丙烯加玻璃纤维，后背几何镂空手提式设计，方便使用者单手手提和搬运功能；手提位的宽度是≥136mm ,1.2.椅背：采用全新材质PP材料,外观类似笑脸，笑口宽度5-15mm，最上端开口处间距≥9mm安装方式是卡扣加隐藏式螺丝，靠背可根据人体工学实现可调节、可倾仰、多角度变化功能，可调节角度为10-15度。顶腰位置可随着使用者的使用变化而变化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1.3装饰壳：采用全新ABS，镂空牛油果形状设计， 上端长≥120mm，边长≥230mm，下端长≥245mm，安装方式是卡扣安装  。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2.椅脚：椅脚：由直径≥16mm*1.5mm厚优质冷轧钢板制成表面经酸洗、磷化等防锈处理，流水线静电喷涂，具有耐磨，防腐，抗老化等性能。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2.1.脚垫：前脚垫：长：≥68.5mm 宽：≥22.5mm 高：≥65mm 厚度：≥2mm。后脚垫：长：≥72mm   宽：≥22mm   高：≥67mm 厚度：≥2mm。全新聚丙烯加玻璃纤维制作，抗磨损性强。采用配套的耐磨塑料材质，能使整椅稳定性更强，使用时不会翻倒；产品在堆叠时，可以保护产品不会碰伤；防滑性好，不会刮花木地板；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3.塑料件外观应无裂纹、明显变形、缩水、针孔；应无凹陷、飞边、杂质、伤痕、白印；表面应光洁，应无划痕、毛刺、拉毛、污渍；应无明显色差。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等候椅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1647825"/>
                  <wp:effectExtent l="0" t="0" r="0" b="9525"/>
                  <wp:docPr id="88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1.面料：常规选用特定加厚混纺布料，高纱支数、经纬高密度全新混纺工艺；采用业内最先进的A类防水、防污处理，解决您的使用之忧。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内部棉架：实心钢筋+PU冷泡定型棉。优点：塑性规整；结构科学稳定；用材高端、环保无毒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2.脚架：实芯.管材经激光切割，折弯，焊接，抛光打磨后表面喷涂处理，铁钉刺击无痕迹，不脱落，不开裂，抗腐蚀性强，涂层牢固。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会议椅3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1647825"/>
                  <wp:effectExtent l="0" t="0" r="0" b="9525"/>
                  <wp:docPr id="82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1.面料：常规选用特定加厚混纺布料，高纱支数、经纬高密度全新混纺工艺；采用业内最先进的A类防水、防污处理。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2.内部棉架：实心钢筋+PU冷泡定型棉。优点：塑性规整；结构科学稳定；用材高端、环保无毒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3.脚架：实芯.管材经激光切割，折弯，焊接，抛光打磨后表面喷涂处理，铁钉刺击无痕迹，不脱落，不开裂，抗腐蚀性强，涂层牢固。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550*555*1050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543050"/>
                  <wp:effectExtent l="0" t="0" r="9525" b="0"/>
                  <wp:docPr id="93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1.面料：常规选用特定加厚混纺布料，高纱支数、经纬高密度全新混纺工艺；采用业内最先进的A类防水、防污处理。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2.内部棉架：实心钢筋+PU冷泡定型棉。优点：塑性规整；结构科学稳定；用材高端、环保无毒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3.脚架：实芯.管材经激光切割，折弯，焊接，抛光打磨后表面喷涂处理，铁钉刺击无痕迹，不脱落，不开裂，抗腐蚀性强，涂层牢固。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休息区椅子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610*620*780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1381125"/>
                  <wp:effectExtent l="0" t="0" r="0" b="9525"/>
                  <wp:docPr id="86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1.面料：优质麻绒，透气性强，柔软且富于韧性。甲醛含量≤20mg/kg；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3.框架：内框架采用东北落叶松实木框架，外嵌实木框架，经去皮、烘干、防虫防腐处理，木材含水量≤13%；环保达E1级夹板；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4.下脚：配置金属脚垫，可微调平整度。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前台椅子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420*380*940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14500" cy="1790700"/>
                  <wp:effectExtent l="0" t="0" r="0" b="0"/>
                  <wp:docPr id="87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1.面料：优质透气西皮面料，拉伸负荷纵向≥180N，横向≥100N；断裂伸长率纵向≥30%，横向≥100%；耐热老化性，老化后表面状态≥4级，经过抗菌、抗静电、耐色牢固、抗强度等表面处理；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3.气杆：优质高端气杆，升降自如，升降时无声响，气杆密封性能、耐高低温性能试验、循环寿命均达到国际标准；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4.底盘：优质转椅底盘机构（底盘），符合盐雾试验、 30万次倾斜符合国家标准。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圆形休息凳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350*350*450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00200" cy="1600200"/>
                  <wp:effectExtent l="0" t="0" r="0" b="0"/>
                  <wp:docPr id="89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1.面料：优质麻绒，透气性强，柔软且富于韧性。甲醛含量≤20mg/kg；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2。海绵：优质高弹海绵、定型海绵（坐面密度≥25kg/m³，回弹率≥35%，75%压缩永久变形≤8%，甲醛释放量≤0.120mg/m²h），回弹性能好、坐感舒适；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3。框架：内框架采用东北落叶松实木框架，外嵌实木框架，经去皮、烘干、防虫防腐处理，木材含水量≤13%；环保达E1级夹板；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4.下脚：配置金属脚垫，可微调平整度。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活动会议椅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中背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29410" cy="1846580"/>
                  <wp:effectExtent l="0" t="0" r="1270" b="12700"/>
                  <wp:docPr id="90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1.面料：优质网布，透气性强，柔软且富于韧性,耐干摩擦色牢度（级）≥4，不含可分解致癌芳香胺染料。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2.海绵：优质高弹海绵（坐面密度≥25kg/m³，回弹性≥50%，75%压缩永久变形≤5%，回弹性能好、坐感舒适；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3.座板：曲木板材经热压成型，板材绿色环保，板材厚度≥12mm。板材承受压力达≥300KG，经防潮、防腐、防蛀等化学处理；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4.扶手：PP固定扶手；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5.椅架：≥1.5mm壁厚以上电镀H形椅架，可承受≥136kg冲击及≥57kg耐久≥100000次冲击，耐盐雾试验均达到国家标准。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写字板：PP+20%玻纤，其中PP工程塑料符合紫外老化前后测试168h（拉伸强度、断裂伸长率、硬度）、耐磨性3000r、吸水性、悬臂梁冲击、甲醛、邻苯二甲酸酯、多环芳烃18种、特定元素的迁移、多溴联苯和多溴联苯醚的检测；可承受≥1001N载荷强度试验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洽谈椅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38350" cy="1514475"/>
                  <wp:effectExtent l="0" t="0" r="0" b="9525"/>
                  <wp:docPr id="70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1.面料：常规选用特定加厚混纺布料，高纱支数、经纬高密度全新混纺工艺；采用业内最先进的A类防水、防污处理，解决您的使用之忧。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2.内部棉架：实心钢筋+PU冷泡定型棉。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3.优点：塑性规整；结构科学稳定；用材高端、环保无毒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4.脚架：铝合金脚，座可旋转。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750*670*840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83080" cy="1363980"/>
                  <wp:effectExtent l="0" t="0" r="0" b="7620"/>
                  <wp:docPr id="110" name="图片 110" descr="876d35f59c03aba52623b06466a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876d35f59c03aba52623b06466a21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1.饰面:优质麻绒面料。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2.海绵:优质回弹海绵。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3.椅脚:椅架：脚铝合金一体压铸成型。承载力:最大可承重≥250kg。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学生中心长廊-12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高吧椅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515*450*870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38275" cy="1609725"/>
                  <wp:effectExtent l="0" t="0" r="9525" b="9525"/>
                  <wp:docPr id="74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1.基材：选用实木，无卷翘、变形、开裂，经杀菌、烘干、防腐、防蛀等处理，纹理清晰自然，色泽一致，美观大方，无结疤，无瑕疵，结构牢固，无晃动现象。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2。水性漆：采用环保水性底、面漆涂饰，五底三面工艺，透明度高，附着力强，色泽美观，不变色，光滑耐磨，手感好，无鼓泡、木质毛刺、裂缝、皱皮和崩角，硬度高，抗刮性强。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3.椅背、座为一体成型优质柔韧性ABS座壳，壳体厚度≥5mm；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4.橡胶脚垫，防滑耐磨不伤地板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升降录播椅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615*590*1040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771650"/>
                  <wp:effectExtent l="0" t="0" r="9525" b="0"/>
                  <wp:docPr id="83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1.面料：选用优质PU革，可分解有害芳香胺染料、游离甲醛均为未检出。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采用优质阻燃高弹海绵，感官要求至少6项检测，物理力学性能至少包含回弹率≥55%，拉伸强度≥120KPa，伸长率≥150%，撕裂强度≥3.5N/cm，干热老化后拉伸强度≥120KPa，表面密度（座面）≥50kg/m³，甲醛释放量≤0.007mg/m²h，TVOC≤0.0005mg/m²h，抗引燃特性阻燃Ⅱ级及以上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气压棒：采用优质气压棒，气弹簧的启动力应小于1.5F3，气弹簧在1.5倍锁定力拉伸作用下，保持5min,气弹簧力性能应不变；气弹簧经-30℃和60℃高低温储存后，公称力Fa衰减量应不大于5%；经过高低温储存性能试验的气弹簧应能承受30000次循环寿命试验试验后公称力的总衰减量应小于10%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4.脚架：优质钢制脚架。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5.脚轮：采用优质脚轮， 力学性能：使用功能无损坏和丧失，脚轮未脱落。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T形等候软包凳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1200*1200*445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141605</wp:posOffset>
                  </wp:positionV>
                  <wp:extent cx="2392680" cy="1871980"/>
                  <wp:effectExtent l="0" t="0" r="7620" b="13970"/>
                  <wp:wrapNone/>
                  <wp:docPr id="75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3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西皮或者优质布艺，耐曲折、柔软度好、抗拉强度大、具有透气性。皮质表面涂层厚度≥550um，涂层粘着牢度≥2.5N/10mm，摩擦色牢度（干擦、湿擦、碱性汗液）≥4级，撕裂力≥50N，PH值≥3.2，游离甲醛≤100mg/kg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2.木质层板：三聚氰胺板面，2mmPVC同色封，封边采用:PUR热溶胶工艺。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3.坐垫：内部泡绵为多异氰酸酯与多元醇共聚物切割成型。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4.沙发脚：钢制沙发脚。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学生中心—学联办公室休闲区域-6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长条凳2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1800*400*450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480060</wp:posOffset>
                  </wp:positionV>
                  <wp:extent cx="1959610" cy="1096645"/>
                  <wp:effectExtent l="0" t="0" r="6350" b="635"/>
                  <wp:wrapNone/>
                  <wp:docPr id="18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1.凳面：≥30mm防腐木材料。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2.钢脚：钢制≥40*40方管喷涂脚架，壁厚≥1.2mm。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体育教研室-4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二层休息室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4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条凳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1200*500*450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421005</wp:posOffset>
                  </wp:positionV>
                  <wp:extent cx="1496060" cy="1297305"/>
                  <wp:effectExtent l="0" t="0" r="12700" b="13335"/>
                  <wp:wrapNone/>
                  <wp:docPr id="2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科技布，凳面软包，高弹海绵。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钢制≥40*40方管喷涂脚架，壁厚≥1.2mm。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体育教研室-15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27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三人沙发1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43175" cy="1809750"/>
                  <wp:effectExtent l="0" t="0" r="9525" b="0"/>
                  <wp:docPr id="77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1.面料：优质西皮，耐曲折、柔软度好、抗拉强度大、具有透气性。皮质表面涂层厚度≥550um，涂层粘着牢度≥2.5N/10mm，摩擦色牢度（干擦、湿擦、碱性汗液）≥4级，撕裂力≥50N，PH值≥3.2，游离甲醛≤100mg/kg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2.木质框架：沙发框架采用多层木板成型；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3.坐垫：内部泡绵为多异氰酸酯与多元醇共聚物切割成型；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4.沙发脚：钢制沙发脚≥φ30*200mmH，壁厚≥1.5mm。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三人沙发2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38350" cy="1352550"/>
                  <wp:effectExtent l="0" t="0" r="0" b="0"/>
                  <wp:docPr id="95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6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优质专业家具包布面沙发面，经液态浸色及防潮、防污处理，皮面柔软舒适，光泽持久；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6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海绵：采用高密度海棉，软硬适中，无气味，回弹好，不变形，座感舒适；3.结构：内部实木框架成型，高强度弹簧皮条，坚固耐用，金属电度钢脚；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4.沙发脚：静电喷涂钢架。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三人沙发4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2050*800*740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476500" cy="1609725"/>
                  <wp:effectExtent l="0" t="0" r="0" b="9525"/>
                  <wp:docPr id="97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1.框架：采用优质实木框架，经烘干、防虫防腐处理，木材含水量≤10%。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2.面料：优质三防面料，甲醛含量未检出，可分解致癌芳香胺染料未检出，阻燃、抗污、方便打理；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海绵：采用优质阻燃高弹海绵，感官要求至少6项检测，物理力学性能至少包含回弹率≥55%，拉伸强度≥120KPa，伸长率≥150%，撕裂强度≥3.5N/cm，干热老化后拉伸强度≥120KPa，表面密度（座面）≥50kg/m³，甲醛释放量≤0.007mg/m²h，TVOC≤0.0005mg/m²h，抗引燃特性阻燃Ⅱ级及以上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4.胶粘剂：采用优质品牌水基型胶粘剂，游离甲醛未检出，苯未检出，甲苯+三甲苯未检出，总挥发性有机物≤25g/L。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三人沙发5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大：370*104*43/72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小：345*104*43/72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00325" cy="1466850"/>
                  <wp:effectExtent l="0" t="0" r="9525" b="0"/>
                  <wp:docPr id="45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1.框架：采用优质实木框架，经烘干、防虫防腐处理，木材含水量≤10%。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2.面料：优质PU革，甲醛含量未检出，可分解致癌芳香胺染料未检出，阻燃、抗污、方便打理；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海绵：采用优质阻燃高弹海绵，感官要求至少6项检测，物理力学性能至少包含回弹率≥55%，拉伸强度≥120KPa，伸长率≥150%，撕裂强度≥3.5N/cm，干热老化后拉伸强度≥120KPa，表面密度（座面）≥50kg/m³，甲醛释放量≤0.007mg/m²h，TVOC≤0.0005mg/m²h，抗引燃特性阻燃Ⅱ级及以上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4.胶粘剂：采用优质品牌水基型胶粘剂，游离甲醛未检出，苯未检出，甲苯+三甲苯未检出，总挥发性有机物≤25g/L。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三人沙发6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1800*750*700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52650" cy="1162050"/>
                  <wp:effectExtent l="0" t="0" r="0" b="0"/>
                  <wp:docPr id="35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1、面料：优质透气真皮面料 摩擦色牢度合格，耐磨性合格，不含游离甲醛；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框架：内框架采用东北落叶松实木框架，外嵌实木框架，经去皮、烘干、防虫防腐处理，木材含水量≤13%；环保达ENF级多层板,甲醛释放量≤0.018mg/m³;苯含量≤0.008mg/m³;甲苯含量≤0.009mg/m³；二甲苯含量≤0.015mg/m³；总挥发有机物≤0.2mg/m³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靠墙长条沙发1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1800*650*850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81225" cy="1485900"/>
                  <wp:effectExtent l="0" t="0" r="3175" b="0"/>
                  <wp:docPr id="40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1.采用专业家具布料包沙发面，经液态浸色及防潮、防污处理，皮面柔软舒适，光泽持久；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2.海绵：采用高密度海棉，软硬适中，无气味，回弹好，不变形，座感舒适；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3.结构：内部实木框架成型，高强度弹簧皮条，坚固耐用，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靠墙长条沙发2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2040*650*900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466850"/>
                  <wp:effectExtent l="0" t="0" r="0" b="0"/>
                  <wp:docPr id="42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1.面料：优质西皮，耐曲折、柔软度好、抗拉强度大、具有透气性。皮质表面涂层厚度≥550um，涂层粘着牢度≥2.5N/10mm，摩擦色牢度（干擦、湿擦、碱性汗液）≥4级，撕裂力≥50N，PH值≥3.2，游离甲醛≤75mg；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2.木质框架：沙发框架采用多层木板成型；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3.坐垫：内部泡绵为多异氰酸酯与多元醇共聚物切割成型；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4.沙发脚：钢制沙发脚。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双人沙发1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1450*800*740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14550" cy="1619250"/>
                  <wp:effectExtent l="0" t="0" r="0" b="0"/>
                  <wp:docPr id="43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1.框架：采用优质实木框架，经烘干、防虫防腐处理，木材含水量≤10%。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2.面料：优质三防面料，甲醛含量未检出，可分解致癌芳香胺染料未检出，阻燃、抗污、方便打理；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海绵：采用优质阻燃高弹海绵，感官要求至少6项检测，物理力学性能至少包含回弹率≥55%，拉伸强度≥120KPa，伸长率≥150%，撕裂强度≥3.5N/cm，干热老化后拉伸强度≥120KPa，表面密度（座面）≥50kg/m³，甲醛释放量≤0.007mg/m²h，TVOC≤0.0005mg/m²h，抗引燃特性阻燃Ⅱ级及以上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4.胶粘剂：采用优质品牌水基型胶粘剂，游离甲醛未检出，苯未检出，甲苯+三甲苯未检出，总挥发性有机物≤25g/L。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双人沙发2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1400*680*780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双人位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47875" cy="1533525"/>
                  <wp:effectExtent l="0" t="0" r="9525" b="9525"/>
                  <wp:docPr id="37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1.面料：优质麻绒，透气性强，柔软且富于韧性。甲醛含量≤20mg/kg；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3.框架：内框架采用东北落叶松实木框架，外嵌实木框架，经去皮、烘干、防虫防腐处理，木材含水量≤13%；环保达E0级夹板；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4.下脚：配置金属沙发脚，抗盐雾测试符合国家标准。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830*800*740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09750" cy="1609725"/>
                  <wp:effectExtent l="0" t="0" r="0" b="9525"/>
                  <wp:docPr id="36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1.框架：采用优质实木框架，经烘干、防虫防腐处理，木材含水量≤10%。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2.面料：优质三防面料，甲醛含量未检出，可分解致癌芳香胺染料未检出，阻燃、抗污、方便打理；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海绵：采用优质阻燃高弹海绵，感官要求至少6项检测，物理力学性能至少包含回弹率≥55%，拉伸强度≥120KPa，伸长率≥150%，撕裂强度≥3.5N/cm，干热老化后拉伸强度≥120KPa，表面密度（座面）≥50kg/m³，甲醛释放量≤0.07mg/m²h，TVOC≤0.0005mg/m²h，抗引燃特性阻燃Ⅱ级及以上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4.胶粘剂：采用优质品牌水基型胶粘剂，游离甲醛未检出，苯未检出，甲苯+三甲苯未检出，总挥发性有机物≤25g/L。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950*950*850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198755</wp:posOffset>
                  </wp:positionV>
                  <wp:extent cx="2379980" cy="1590040"/>
                  <wp:effectExtent l="0" t="0" r="1270" b="10160"/>
                  <wp:wrapNone/>
                  <wp:docPr id="38" name="Picture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_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1.面料：优质仿皮。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2.泡棉：高回弹泡棉，座垫密度大于35kg/m3，回弹率≥40%，外衬丝棉。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3.框架：内框架采用实木框架，外嵌胡桃木框架，经去皮、烘干、防虫防腐处理，木材含水量≤13%。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4.打底：高弹力弹簧+尼龙绷带。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5.沙发脚：采用实木沙发脚，胡桃木色涂装。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体育教研室二层休息室-12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单人沙发3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80*80*35/96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33575" cy="1714500"/>
                  <wp:effectExtent l="0" t="0" r="9525" b="0"/>
                  <wp:docPr id="39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1.面料：采用高档环保西皮，三防工艺处理，耐磨性强，使用时间长，并进行防火耐污处理。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2.海绵：采用环保高密度高回弹阻燃海绵，具有透气性强、软硬适中、回弹性能好、长久使用不变形、不塌陷、不老化及对人体无害等特点。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3.结构：椅框及椅架全部采用榫卯结构工艺。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单人沙发4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700*680*780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90725" cy="1743075"/>
                  <wp:effectExtent l="0" t="0" r="9525" b="9525"/>
                  <wp:docPr id="41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1.面料：优质麻绒，透气性强，柔软且富于韧性。甲醛含量≤20mg/kg；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3.框架：内框架采用东北落叶松实木框架，外嵌实木框架，经去皮、烘干、防虫防腐处理，木材含水量≤13%；环保达E0级夹板；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4.下脚：配置金属沙发脚，抗盐雾测试符合国家标准。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休息区沙发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700*680*780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43125" cy="1438275"/>
                  <wp:effectExtent l="0" t="0" r="9525" b="9525"/>
                  <wp:docPr id="44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1.面料：优质麻绒，透气性强，柔软且富于韧性。甲醛含量≤20mg/kg；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2.海绵：优质高弹海绵、定型海绵（坐面密度≥25kg/m³，回弹率≥35%，75%压缩永久变形≤8%，甲醛释放量≤0.120mg/m²h），回弹性能好、坐感舒适；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3.框架：内框架采用东北落叶松实木框架，外嵌实木框架，经去皮、烘干、防虫防腐处理，木材含水量≤13%；环保达E0级夹板；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4.下脚：配置金属脚垫，可微调平整度。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单人沙发5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常规单人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57400" cy="1571625"/>
                  <wp:effectExtent l="0" t="0" r="0" b="9525"/>
                  <wp:docPr id="27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1.面料：优质西皮，耐曲折、柔软度好、抗拉强度大、具有透气性。皮质表面涂层厚度≥550um，涂层粘着牢度≥2.5N/10mm，摩擦色牢度（干擦、湿擦、碱性汗液）≥4级，撕裂力≥50N，PH值≥3.2，游离甲醛≤100mg/kg；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2.木质框架：沙发框架采用多层木板成型；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3.坐垫：内部泡绵为多异氰酸酯与多元醇共聚物切割成型；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4.沙发脚：钢制沙发脚≥φ30*200mmH，壁厚≥1.5mm。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单人沙发7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280035</wp:posOffset>
                  </wp:positionV>
                  <wp:extent cx="1718310" cy="1374775"/>
                  <wp:effectExtent l="0" t="0" r="3810" b="12065"/>
                  <wp:wrapNone/>
                  <wp:docPr id="66" name="objec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ject_1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1.面料：进口优质仿皮，符合GB/T16799-2008《家具用皮革》标准。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2.泡绵：采用优质高密度阻燃泡绵，底座密度≥45KG/m³，靠背密度密度≥35KG/m³，拉伸强度≥100kpa，回弹率≥55%，符合GB/T1952.1-2012标准。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3.楸木实木框架，槜结构，含水率8%-12%。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4.油漆：采用优质环保水性漆，游离甲醛≤100mg/kg，表面光滑柔和，无颗粒，无气泡，无渣点，颜色均匀，硬度高，喷漆工艺经五底三面工艺，硬度达到2-3H级。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木屋沙发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1410*760*1740</w:t>
            </w:r>
            <w:bookmarkStart w:id="5" w:name="_GoBack"/>
            <w:bookmarkEnd w:id="5"/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471805</wp:posOffset>
                  </wp:positionV>
                  <wp:extent cx="1918335" cy="1076325"/>
                  <wp:effectExtent l="0" t="0" r="1905" b="5715"/>
                  <wp:wrapNone/>
                  <wp:docPr id="9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1.优质专业家具包布面沙发面，经液态浸色及防潮、防污处理，皮面柔软舒适，光泽持久；</w:t>
            </w:r>
          </w:p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2.海绵：采用高密度海棉，软硬适中，无气味，回弹好，不变形，座感舒适；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3.结构：内部实木框架成型，高强度弹簧皮条，坚固耐用，金属电度钢脚；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4.沙发脚：采用碳素钢脚，表面粉体涂装黑色或白色;承载力≥250kg以上。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休闲沙发凳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97155</wp:posOffset>
                  </wp:positionV>
                  <wp:extent cx="1917065" cy="1789430"/>
                  <wp:effectExtent l="0" t="0" r="6985" b="1270"/>
                  <wp:wrapNone/>
                  <wp:docPr id="101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78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1.优质专业家具包布面沙发面，经液态浸色及防潮、防污处理，皮面柔软舒适，光泽持久；</w:t>
            </w:r>
          </w:p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2.海绵：采用高密度海棉，软硬适中，无气味，回弹好，不变形，座感舒适；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3.结构：内部实木框架成型，高强度弹簧皮条，坚固耐用，金属电度钢脚；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4.脚架：实木脚架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休闲沙发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1600*750*1300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inline distT="0" distB="0" distL="114300" distR="114300">
                  <wp:extent cx="2178685" cy="1407795"/>
                  <wp:effectExtent l="0" t="0" r="635" b="9525"/>
                  <wp:docPr id="10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40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1、饰面:采用优质麻绒面料。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2、海绵:采用高密度海棉，软硬适中，无气味，回弹好，不变形，座感舒适；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3、结构：内部实木框架成型，高强度弹簧皮条，坚固耐用，金属电度钢脚；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4.沙发脚：采用碳素钢脚，表面粉体涂装黑色或白色;承载力≥250kg以上。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027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茶几类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茶几1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400*51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28750" cy="1295400"/>
                  <wp:effectExtent l="0" t="0" r="0" b="0"/>
                  <wp:docPr id="28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1、基材：选用白蜡木原木，无卷翘、变形、开裂，经杀菌、烘干、防腐、防蛀等处理，纹理清晰自然，色泽一致，美观大方，无结疤，无瑕疵，结构牢固，无晃动现象。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2.水性漆：采用环保水性底、面漆涂饰，五底三面工艺，透明度高，附着力强，色泽美观，不变色，光滑耐磨，手感好，无鼓泡、木质毛刺、裂缝、皱皮和崩角，硬度高，抗刮性强。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3.、结构：全部采用榫卯结构工艺。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访谈桌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800*75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24075" cy="1143000"/>
                  <wp:effectExtent l="0" t="0" r="9525" b="0"/>
                  <wp:docPr id="30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1.基材：选用白蜡木原木，无卷翘、变形、开裂，经杀菌、烘干、防腐、防蛀等处理，纹理清晰自然，色泽一致，美观大方，无结疤，无瑕疵，结构牢固，无晃动现象。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2.水性漆：采用环保水性底、面漆涂饰，五底三面工艺，透明度高，附着力强，色泽美观，不变色，光滑耐磨，手感好，无鼓泡、木质毛刺、裂缝、皱皮和崩角，硬度高，抗刮性强。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3.结构：全部采用榫卯结构工艺。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茶几2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43125" cy="1285875"/>
                  <wp:effectExtent l="0" t="0" r="9525" b="9525"/>
                  <wp:docPr id="32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1.基材：选用白蜡木原木，无卷翘、变形、开裂，经杀菌、烘干、防腐、防蛀等处理，纹理清晰自然，色泽一致，美观大方，无结疤，无瑕疵，结构牢固，无晃动现象。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2.水性漆：采用环保水性底、面漆涂饰，五底三面工艺，透明度高，附着力强，色泽美观，不变色，光滑耐磨，手感好，无鼓泡、木质毛刺、裂缝、皱皮和崩角，硬度高，抗刮性强。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3.结构：全部采用榫卯结构工艺。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圆形茶几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400*400*600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1781175"/>
                  <wp:effectExtent l="0" t="0" r="9525" b="9525"/>
                  <wp:docPr id="31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1.基材：选用优质低碳型环保ENF级刨花板，具有良好的防火阻燃，防潮耐水泡不发胀，无毒防菌防虫，绿色环保，符合GB\T39600-2021的规定，甲醛释放量≤0.025mg/m³.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2.面材：选用优质三聚氰胺饰面刨花板，符合GB\T39600-2021的规定，甲醛释放量≤0.025mg/m³；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3.封边：使用热熔胶（总挥发性有机物≤4g/L;游离甲醛不得检出；苯≤0.05g/kg甲苯+二甲苯≤0.03g/kg）与2.5mm厚同色PVC封边条封边（甲醛释放量≤1.5mg/L）；   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4.下架：黑色钢制下架，金属表面优质环保静电粉末喷涂。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造型茶几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500*500*500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14500" cy="1790700"/>
                  <wp:effectExtent l="0" t="0" r="0" b="0"/>
                  <wp:docPr id="26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1.基材：选用优质低碳型环保ENF级刨花板，具有良好的防火阻燃，防潮耐水泡不发胀，无毒防菌防虫，绿色环保，符合GB\T39600-2021的规定，甲醛释放量≤0.025mg/m³.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2.面材：选用优质三聚氰胺饰面刨花板，符合GB\T39600-2021的规定，甲醛释放量≤0.025mg/m³；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3.封边：使用热熔胶（总挥发性有机物≤4g/L;游离甲醛不得检出；苯≤0.05g/kg甲苯+二甲苯≤0.03g/kg）与≥2.5mm厚同色PVC封边条封边。</w:t>
            </w:r>
          </w:p>
          <w:p>
            <w:pPr>
              <w:keepNext w:val="0"/>
              <w:keepLines w:val="0"/>
              <w:widowControl/>
              <w:numPr>
                <w:ilvl w:val="-1"/>
                <w:numId w:val="0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4.下架：黑色钢制下架，金属表面优质环保静电粉末喷涂。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方型茶几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500*500*600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28800" cy="1600200"/>
                  <wp:effectExtent l="0" t="0" r="0" b="0"/>
                  <wp:docPr id="29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1.基材：选用优质低碳型环保ENF级刨花板，具有良好的防火阻燃，防潮耐水泡不发胀，无毒防菌防虫，绿色环保，符合GB\T39600-2021的规定，甲醛释放量≤0.025mg/m³。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2.面材：选用优质三聚氰胺饰面刨花板，符合GB\T39600-2021的规定，甲醛释放量≤0.025mg/m³。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3.封边：使用热熔胶（总挥发性有机物≤4g/L;游离甲醛不得检出；苯≤0.05g/kg甲苯+二甲苯≤0.03g/kg）与≥2.5mm厚同色PVC封边条封边（甲醛释放量≤1.5mg/L）。    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4.下架：黑色钢制下架，金属表面优质环保静电粉末喷涂。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方茶几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600*600*450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294005</wp:posOffset>
                  </wp:positionV>
                  <wp:extent cx="2218055" cy="1496060"/>
                  <wp:effectExtent l="0" t="0" r="10795" b="8890"/>
                  <wp:wrapNone/>
                  <wp:docPr id="22" name="objec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_1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1.贴面用材：采用≥0.6mm厚 胡桃木木皮饰面。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2.基材：采用E0中密度纤维板，甲醛释放量≤0.05mg/m3；符合GB18580-2017《室内装饰装修材料人造板及其制品中甲醛释放量》和GB/T11718-2021《中密度纤维板》这两个标准，经高温防潮、防腐、防虫处理。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3.油漆：采用优质环保水性漆，游离甲醛≤100mg/kg，表面光滑柔和，无颗粒，无气泡，无渣点，颜色均匀，硬度高，喷漆工艺经五底三面工艺，硬度达到2-3H级。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4.五金件：优质品牌五金件。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体育教研室二层休息室-8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长茶几1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1200*600*450H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62225" cy="1457325"/>
                  <wp:effectExtent l="0" t="0" r="9525" b="8255"/>
                  <wp:docPr id="19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1.板材：三聚氰胺饰面刨花板，达到E0级：甲醛释放量≤0.05mg/m³ 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2.封边条：≥2mm厚PVC直封边，激光或PUR封边。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3.钢脚：钢制≥20*40方管喷涂茶几架，壁厚≥1.2mm。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027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91AAD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货架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2000*600*2000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381125"/>
                  <wp:effectExtent l="0" t="0" r="0" b="9525"/>
                  <wp:docPr id="20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1.材质： 采用一级冷轧板，板厚≥0.8mm, ，表面静电喷涂处理 ，采用环氧树脂及聚酯， 混合型热固性粉末涂料，涂层厚度达≥60um。绝缘性高，附 着力为2级，硬度≥2H，符合GB/T3325-2017《金属家具通用技术条件》检测标准。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2.表面静电喷粉涂装，静电粉末喷涂处理，表面无颗粒、无挂流，热固性粉末涂料符合《HG/T 2006-2006热固性粉末涂料》。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大厅+财务处-8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1400*600*2000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1850*600*2000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1250*600*2000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4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值班床（含床垫）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2000*1200*1050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72285" cy="1438275"/>
                  <wp:effectExtent l="0" t="0" r="18415" b="9525"/>
                  <wp:docPr id="23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1.板材：三聚氰胺饰面刨花板，达到E0级：甲醛释放量≤0.05mg/m³ 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2.封边条：≥2mm厚PVC直封边。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3.工艺：激光或PUR封边。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4.五金件：采用优质五金配件，所有五金件作防锈、防腐处理。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5、床垫：≥200mm床垫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信息中心-2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医疗床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1950*900*750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81915</wp:posOffset>
                  </wp:positionV>
                  <wp:extent cx="2105025" cy="1417320"/>
                  <wp:effectExtent l="0" t="0" r="13335" b="0"/>
                  <wp:wrapSquare wrapText="bothSides"/>
                  <wp:docPr id="115" name="图片 115" descr="172720895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1727208954318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1.床架钢管由厚度≥1.0mm冷轧钢焊接组成。床面钢管尺寸为≥1.5*3cm，钢管采用喷塑工艺。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2.高密度环保绵垫床垫。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3.ABS尼龙降噪滚轮。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4.≥-55°落腿，≥+25°抬腿功功能。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值班床上下铺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2000*1200*1050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105410</wp:posOffset>
                  </wp:positionV>
                  <wp:extent cx="1520190" cy="1370965"/>
                  <wp:effectExtent l="0" t="0" r="3810" b="635"/>
                  <wp:wrapNone/>
                  <wp:docPr id="62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1_SpCnt_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立柱≥69*69*1.2mm；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横梁42*83*1.2mm；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护栏≥φ19mm*1.0mm；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床撑≥25*25*1.0mm；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连接挂件2.0mm；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6.侧梯≥φ19mm*1.2mm；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7.表面静电喷粉涂装，静电粉末喷涂处理，表面无颗粒、无挂流。配实木条床板。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体育教研室-2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冥想软垫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400*400*50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1590675"/>
                  <wp:effectExtent l="0" t="0" r="0" b="9525"/>
                  <wp:docPr id="12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1、面料：优质麻绒，透气性强，柔软且富于韧性。甲醛含量≤20mg/kg；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2、海绵：优质高弹海绵、定型海绵（坐面密度≥25kg/m³，回弹率≥35%，75%压缩永久变形≤8%，甲醛释放量≤0.120mg/m²h），回弹性能好、坐感舒适；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心理活动室-24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档案推车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常规三层V型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724025"/>
                  <wp:effectExtent l="0" t="0" r="0" b="9525"/>
                  <wp:docPr id="15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进口静音路，3寸丝杆聚氨酯静音脚轮，V型层板，承重≥180KG                                                                                                                                         全钢框架结构，成型后表面经过严格的除油、去锈、磷化等十三道工序处理，耐环境腐浊性强，表面采用亚光静电喷塑，涂层牢固。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三步书梯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常规三步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666875"/>
                  <wp:effectExtent l="0" t="0" r="0" b="9525"/>
                  <wp:docPr id="14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 1.5mm全钢25*25方管金属框架，环保烤漆，规格：≥500*650*900mm。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 2寸伸缩聚氨酯静音轮，承重≥200KG。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（3） 脚踏板≥450*300*17mm,  3层踏板。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院史档案馆-11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双面书架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2000*450*2000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176020"/>
                  <wp:effectExtent l="0" t="0" r="11430" b="12700"/>
                  <wp:docPr id="16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7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1、材质： 采用一级冷轧板，板厚≥0.8mm,表面静电喷涂处理 ，采用环氧树脂及聚酯， 混合型热固性粉末涂料，涂层厚度达≥60um。绝缘性高，附着力≥2级，硬度≥2H。，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2、表面静电喷粉涂装，静电粉末喷涂处理，表面无颗粒、无挂流，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3、配≥6层可调节层板，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1500*450*2000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单面书架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1200*300*2000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00175" cy="1733550"/>
                  <wp:effectExtent l="0" t="0" r="9525" b="0"/>
                  <wp:docPr id="17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1、材质： 采用一级冷轧板，板厚≥0.8mm,表面静电喷涂处理 ，采用环氧树脂及聚酯， 混合型热固性粉末涂料，涂层厚度达≥60um。绝缘性高，附着力≥2级，硬度≥2H。，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2、表面静电喷粉涂装，静电粉末喷涂处理，表面无颗粒、无挂流，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3、配≥6层可调节层板，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1500*300*2000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2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2000*300*2000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学报-2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高隔断</w:t>
            </w: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6900*2800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24000" cy="1514475"/>
                  <wp:effectExtent l="0" t="0" r="0" b="9525"/>
                  <wp:docPr id="9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1、≥80mm铝合金框架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2、≥5m厚双面钢化玻璃，中间配置百叶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3、配置≥10mm厚钢化玻璃门，含锁具及拉手</w:t>
            </w: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5550*2800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43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学生中心-1</w:t>
            </w:r>
          </w:p>
        </w:tc>
      </w:tr>
    </w:tbl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23" w:line="222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color w:val="FF0000"/>
          <w:spacing w:val="-2"/>
          <w:sz w:val="28"/>
          <w:szCs w:val="28"/>
          <w:lang w:eastAsia="zh-CN"/>
        </w:rPr>
      </w:pPr>
    </w:p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23" w:line="222" w:lineRule="auto"/>
        <w:textAlignment w:val="baseline"/>
        <w:outlineLvl w:val="6"/>
        <w:rPr>
          <w:rFonts w:hint="eastAsia" w:ascii="微软雅黑" w:hAnsi="微软雅黑" w:eastAsia="微软雅黑" w:cs="微软雅黑"/>
          <w:b/>
          <w:bCs/>
          <w:color w:val="FF0000"/>
          <w:spacing w:val="-2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before="123" w:line="222" w:lineRule="auto"/>
        <w:ind w:left="50" w:leftChars="0"/>
        <w:outlineLvl w:val="6"/>
        <w:rPr>
          <w:rFonts w:ascii="微软雅黑" w:hAnsi="微软雅黑" w:eastAsia="微软雅黑" w:cs="微软雅黑"/>
          <w:sz w:val="38"/>
          <w:szCs w:val="3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8"/>
          <w:szCs w:val="38"/>
          <w:lang w:eastAsia="zh-CN"/>
        </w:rPr>
        <w:t>五、材料要求</w:t>
      </w:r>
    </w:p>
    <w:p>
      <w:pPr>
        <w:spacing w:line="360" w:lineRule="auto"/>
        <w:rPr>
          <w:rFonts w:hint="default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主要原材料要求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提供以下材料的检测报告用作评分及验收：</w:t>
      </w:r>
    </w:p>
    <w:p>
      <w:pPr>
        <w:spacing w:line="360" w:lineRule="auto"/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1.饰面刨花板：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符合GB/T 15102、GB/T 35601、GB/T 39600要求，其中，静曲强度≥14Mpa，板面握螺钉力≥1400N、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达到E0级的标准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甲醛释放量≤0.0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mg/m³。苯、甲苯、二甲苯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均≤2μg/m3，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TVOC≤30μg/m³。</w:t>
      </w:r>
    </w:p>
    <w:p>
      <w:pPr>
        <w:spacing w:line="360" w:lineRule="auto"/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2.饰面多层板：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符合 GB/T 35601、GB/T 39600 要求，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达到E0级的标准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甲醛释放量≤0.05mg/m³。挥发性有机化合物（72h）, 苯、甲苯、二甲苯≤2μg/m3，TVOC≤30μg/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m³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中密度纤维板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符合GB/T39600、HJ571-2010，达到E0级的标准甲醛释放量≤0.05mg/m³，总挥发性有机化合物≤0.50mg/（m2.h）(72h)。</w:t>
      </w:r>
    </w:p>
    <w:p>
      <w:pPr>
        <w:spacing w:line="360" w:lineRule="auto"/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4.封边条：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符合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QB/T 4463-2013-耐开裂性、耐磨性、耐冷热循坏性、耐老化性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均合格，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耐光色牢度≥4级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 xml:space="preserve">; 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GB 8624-2012-燃烧性能等级不低于B1级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胶水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符合GB 18583-2008《室内装饰装修材料胶剂中有害物质限量》；GB 33372-2020《胶粘剂挥发性有机化合物限量》要求，其中游离甲醛≤0.05g/kg；苯≤0.02g/kg；甲苯+二甲苯≤0.02g/kg；总挥发性有机物≤10g/L；VOC 含量≤2g/L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冷轧钢板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：符合GB/T3325-2017《金属家具通用技术条件》抗冲击强度达到：冲击高度 400mm 应无剥落、裂纹、皱纹；耐腐蚀性：100h内，观察在溶液中样板上划道两侧3mm以外，应无鼓泡产生，100h后，检查划道两侧3mm以外，应无锈迹、剥落、起皱、变色和失光等现象。</w:t>
      </w:r>
    </w:p>
    <w:p>
      <w:pPr>
        <w:spacing w:line="360" w:lineRule="auto"/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  <w:lang w:val="en-US" w:eastAsia="zh-CN"/>
        </w:rPr>
        <w:t>7.</w:t>
      </w: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  <w:lang w:eastAsia="zh-CN"/>
        </w:rPr>
        <w:t>胡桃木皮：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符合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GB/T 13010-2020《木材工业用单板》厚度≥0.6mm；GB/T 3324-2017《木家具通用技术条件》木材含水率≤1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0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%；GB18584-2001《室内装饰装修材料木家具中有害物质限量》甲醛释放量≤0.0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mg/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L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；GB 18580-2017《室内装饰装修材料人造板及其制品中甲醛释放限量》甲醛释放量≤0.01mg/m³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hint="default" w:ascii="微软雅黑" w:hAnsi="微软雅黑" w:eastAsia="微软雅黑" w:cs="宋体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  <w:lang w:val="en-US" w:eastAsia="zh-CN"/>
        </w:rPr>
        <w:t>8.铝合金压铸件：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符合GB/T 6892-2015-低倍组织-断口组织合格；GB/T 5237.4-2017-膜层性能-压痕硬度（≥80）合格；GB/T 3325-2017-金属喷漆（塑）涂层：耐腐蚀性合格；QB/T 4767-2014 涂层厚度≥60μm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9.面料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GB8624-2012《建筑材料及制品燃烧性能分级》-窗帘幕布、家具制品装饰用织物：燃烧性能等级B1级：氧指数 OI≥32.0%; 损毁长度≤150 mm，续燃时间≤5s，阴燃时间≤15s，燃烧滴落物未引起脱脂棉燃烧或阴燃。</w:t>
      </w:r>
    </w:p>
    <w:p>
      <w:pPr>
        <w:spacing w:line="360" w:lineRule="auto"/>
        <w:rPr>
          <w:rFonts w:ascii="微软雅黑" w:hAnsi="微软雅黑" w:eastAsia="微软雅黑" w:cs="宋体"/>
          <w:color w:val="auto"/>
          <w:sz w:val="28"/>
          <w:szCs w:val="28"/>
          <w:highlight w:val="cyan"/>
          <w:lang w:eastAsia="zh-CN"/>
        </w:rPr>
      </w:pP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  <w:lang w:eastAsia="zh-CN"/>
        </w:rPr>
        <w:t>10.石英石：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符合GB/T35157-2017-吸水率≤0.1%，压缩强度≥150MPa，弯曲强度≥35MPa，耐磨度≤32mm，落球冲击能≥3.9J，重金属含量限量：铅(Pb)≤90mg/kg、镉（Cd）≤75mg/kg、铬Cr≤60mg/kg，汞(Hg)≤60mg/kg；符合JC/T908-2013-外观质量，莫氏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val="en-US" w:eastAsia="zh-CN"/>
        </w:rPr>
        <w:t>硬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度≥5；耐污染性：耐污值总和≤22；耐高温性能：表面应无破裂、裂缝或鼓泡等显著影响；线性热膨胀系数(°C-l) ≤3.5x10-5。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11.阻尼三节静音导轨：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QB/T 2454-2013-过载要求：猛关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猛开；拉出安全性；耐腐蚀要求，</w:t>
      </w:r>
      <w:r>
        <w:rPr>
          <w:rStyle w:val="24"/>
          <w:rFonts w:hint="default"/>
          <w:color w:val="auto"/>
          <w:sz w:val="28"/>
          <w:szCs w:val="28"/>
          <w:lang w:eastAsia="zh-CN"/>
        </w:rPr>
        <w:t>耐久性达到≥12万次的要求。</w:t>
      </w:r>
    </w:p>
    <w:p>
      <w:pPr>
        <w:spacing w:line="360" w:lineRule="auto"/>
        <w:rPr>
          <w:rFonts w:ascii="微软雅黑" w:hAnsi="微软雅黑" w:eastAsia="微软雅黑" w:cs="宋体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12.铰链：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符合QB/T2189-2013《家具五金杯状暗铰链》标准：耐久性≥12万次开合无损；符合垂直静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载荷、水平静载荷、耐久性、下沉量的标准要求。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  <w:t>检测报告要求：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1、检测机构要求:国家认可的检测机构出具的具有“CMA”标识的检测报告；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2、受检单位要求：检测报告上的委托单位(受检单位)名称必须与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投标人或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投标产品生产厂家或原材料的生产厂家一致；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3、检测时间要求：本项目提供的检测报告签发日期不早于202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年1月1日。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  <w:t>其他：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eastAsia="zh-CN"/>
        </w:rPr>
        <w:t>1、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上述原材料要求如与“四、采购品目分类、参考样式、规格、基本组成、质量标准等要求”不一致，以上述要求为准，检测报告原件备查；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2、针对不同叫法的同一原材料，其检测报告均予认可（如名称不一致，需注明需求中对应的原材料名称）。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</w:p>
    <w:p>
      <w:pPr>
        <w:spacing w:line="360" w:lineRule="auto"/>
        <w:rPr>
          <w:rFonts w:hint="default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（二）一般原材料要求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eastAsia="zh-CN"/>
        </w:rPr>
        <w:t>提供以下材料的检测报告用作验收：</w:t>
      </w:r>
    </w:p>
    <w:p>
      <w:pPr>
        <w:spacing w:line="360" w:lineRule="auto"/>
        <w:rPr>
          <w:rFonts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eastAsia="zh-CN"/>
        </w:rPr>
        <w:t>1.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高回弹海绵</w:t>
      </w:r>
      <w:r>
        <w:rPr>
          <w:rFonts w:hint="eastAsia" w:ascii="微软雅黑" w:hAnsi="微软雅黑" w:eastAsia="微软雅黑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：符合GB/T 10802-2023标准，其中回弹率≥60%，拉伸强度≥90kPa，伸长率≥200%，75%压缩永久变形≤7%，座面密度≥30kg/m³。</w:t>
      </w:r>
    </w:p>
    <w:p>
      <w:pPr>
        <w:spacing w:line="360" w:lineRule="auto"/>
        <w:rPr>
          <w:rFonts w:ascii="微软雅黑" w:hAnsi="微软雅黑" w:eastAsia="微软雅黑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eastAsia="zh-CN"/>
        </w:rPr>
        <w:t>2.三合一连接件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：符合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GB/T 28203-2011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标准，其中三合一偏心连接件偏心体抗压强度≥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280N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，三合一偏心连接件预埋螺母抗拉强度应 ≥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600N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，三合一偏心连接件中连接螺杆螺纹与预埋螺母的抗拉强度应 ≥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800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N，三合一偏心连接件中偏心体与连接螺杆的扭矩≥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10N·m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eastAsia="zh-CN"/>
        </w:rPr>
        <w:t>3.</w:t>
      </w: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气压棒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：符合，依据GB/T 29525-2013《座椅升降气弹簧 技术条件》要求，其中密封性能——气弹簧锁定在任意位置，经72h常温储存后，活塞杆不应产生位移；耐高低温性能气弹簧经-30℃和60℃高低温储存后，公称力Fa 衰减量应不大于5%</w:t>
      </w:r>
    </w:p>
    <w:p>
      <w:pPr>
        <w:spacing w:line="360" w:lineRule="auto"/>
        <w:rPr>
          <w:rFonts w:ascii="微软雅黑" w:hAnsi="微软雅黑" w:eastAsia="微软雅黑" w:cs="宋体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  <w:lang w:eastAsia="zh-CN"/>
        </w:rPr>
        <w:t>.钢管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：符合QB/T 3826-1999《轻工产品金属镀层和化学处理层的耐腐蚀试验方法中性盐雾试验(NSS)法》连续喷雾24H镀层基本保护等级达到8级及以上、耐腐蚀等级达到8级及以上。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eastAsia="zh-CN"/>
        </w:rPr>
        <w:t>.皮革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：符合GB/T 16799-2018、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GB/T 22808-2008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、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QB/T 2709-2005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、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QB/T 2710-2018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标准，其中，摩擦色牢度≥4级， 耐折牢度（50000次)无裂纹， 撕裂力≥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80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N，伸长率≥6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0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%，挥发性有机化合物（VOC）≤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30mg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/</w:t>
      </w:r>
      <w:r>
        <w:rPr>
          <w:rFonts w:ascii="微软雅黑" w:hAnsi="微软雅黑" w:eastAsia="微软雅黑"/>
          <w:color w:val="auto"/>
          <w:sz w:val="28"/>
          <w:szCs w:val="28"/>
          <w:lang w:eastAsia="zh-CN"/>
        </w:rPr>
        <w:t>kg</w:t>
      </w:r>
      <w:r>
        <w:rPr>
          <w:rFonts w:hint="eastAsia" w:ascii="微软雅黑" w:hAnsi="微软雅黑" w:eastAsia="微软雅黑"/>
          <w:color w:val="auto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五星脚：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符合QB/T 2280-2016、GB/T 3325-2017标准，硬度≥3H，附着力不低于2级，冲击强度、耐腐蚀均合格。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胶粘剂：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符合GB 18583-2008标准，游离甲醛≤1.0g/kg、苯≤0.20g/kg、甲苯+二甲苯≤10 g/kg。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8.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阻燃布料：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符合GB 18401-2010标准，其中甲醛含量≤20mg/kg、染色牢度中耐酸汗渍≥3级、耐碱汗渍≥3级。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检测报告要求：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1、检测机构要求:国家认可的检测机构出具的具有“CMA”标识的检测报告；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2、受检单位要求：检测报告上的委托单位(受检单位)名称必须与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投标人或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投标产品生产厂家或原材料的生产厂家一致；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3、检测时间要求：本项目提供的检测报告签发日期不早于202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年1月1日。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其他：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1、上述原材料要求如与“四、采购品目分类、参考样式、规格、基本组成、质量标准等要求”不一致，以上述要求为准，检测报告原件备查；</w:t>
      </w:r>
    </w:p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2、针对不同叫法的同一原材料，其检测报告均予认可（如名称不一致，需注明需求中对应的原材料名称）</w:t>
      </w:r>
    </w:p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spacing w:before="123" w:line="222" w:lineRule="auto"/>
        <w:ind w:firstLine="161" w:firstLineChars="50"/>
        <w:outlineLvl w:val="6"/>
        <w:rPr>
          <w:rFonts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六、历史成品要求：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eastAsia="zh-CN"/>
        </w:rPr>
        <w:t>提供以下历史成品的检测报告用作评分及验收：</w:t>
      </w:r>
    </w:p>
    <w:p>
      <w:pPr>
        <w:pStyle w:val="23"/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eastAsia="zh-CN"/>
        </w:rPr>
        <w:t>办公桌（带屏风）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符合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GB/T3325-2017《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金属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家具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通用技术条件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》外观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性能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理化性能：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金属喷漆（塑）涂层附着力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≥1级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，硬度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≥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5H，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冲击高度 400mm 应无剥落、裂纹、皱纹，耐腐蚀性100h内，观察在溶液中样板上划道两侧3mm以外，应无鼓泡产生，100h后，检查划道两侧3mm以外，应无锈迹、剥落、起皱、变色和失光等现象；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GB18584-2001《室内装饰装修材料木家具中有害物质限量》-有害物质限量：重金属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可溶性铅≤2mg/kg、可溶性镉≤0.1mg/kg、可溶性铬≤0.3mg/kg、可溶性汞≤0.02mg/kg。</w:t>
      </w:r>
    </w:p>
    <w:p>
      <w:pPr>
        <w:pStyle w:val="23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eastAsia="zh-CN"/>
        </w:rPr>
        <w:t>办公椅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符合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QB/T 2280-2016《办公家具办公椅》参照GB 18401-2010《国家纺织产品基本安全技术规范》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GB 28481-2012 《塑料家具中有害物质限量》SN/T 2005.2-2005《电子电气产品中多溴联苯和多溴联苯醚的测定第部分：气相色谱质谱法》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 xml:space="preserve">标准 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甲醛释放量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≤0.015mg/m²h;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脚轮往复磨损98000次合格；邻苯二甲酸酯（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BBP、DBP、DEHP、DNOP、DINP、DIDP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均≤0.1%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，重金属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可溶性铅≤2mg/kg、可溶性镉≤0.1mg/kg、可溶性铬≤0.3mg/kg、可溶性汞≤0.02mg/kg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；多环芳烃（苯并【α】芘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≤1.0mg/kg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、16种多环芳经（PAI））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≤1.0mg/kg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；多溴联苯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(PPB)≤1000mg/kg。</w:t>
      </w:r>
    </w:p>
    <w:p>
      <w:pPr>
        <w:pStyle w:val="23"/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eastAsia="zh-CN"/>
        </w:rPr>
        <w:t>文件柜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：GB 18584-2001《室内装饰装修材料木家具中有害物质限量》GB/T 10357.5-2023《家具力学性能试验第5部分：柜类强度和耐久性》GB/T 3325-2017《金属家具通用技术条件》-外观：外观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性能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理化性能：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金属喷漆（塑）涂层附着力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≥1级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，硬度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≥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5H，</w:t>
      </w:r>
      <w:r>
        <w:rPr>
          <w:rFonts w:hint="eastAsia" w:ascii="微软雅黑" w:hAnsi="微软雅黑" w:eastAsia="微软雅黑" w:cs="宋体"/>
          <w:color w:val="auto"/>
          <w:sz w:val="28"/>
          <w:szCs w:val="28"/>
          <w:lang w:eastAsia="zh-CN"/>
        </w:rPr>
        <w:t>冲击高度 400mm 应无剥落、裂纹、皱纹，耐腐蚀性100h内，观察在溶液中样板上划道两侧3mm以外，应无鼓泡产生，100h后，检查划道两侧3mm以外，应无锈迹、剥落、起皱、变色和失光等现象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t>；GB18584-2001《室内装饰装修材料木家具中有害物质限量》-有害物质限量：重金属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可溶性铅≤2mg/kg、可溶性镉≤0.1mg/kg、可溶性铬≤0.3mg/kg、可溶性汞≤0.02mg/kg。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移动条桌：</w:t>
      </w:r>
      <w:r>
        <w:rPr>
          <w:rFonts w:hint="eastAsia" w:ascii="微软雅黑" w:hAnsi="微软雅黑" w:eastAsia="微软雅黑" w:cs="微软雅黑"/>
          <w:snapToGrid w:val="0"/>
          <w:color w:val="auto"/>
          <w:sz w:val="28"/>
          <w:szCs w:val="28"/>
          <w:highlight w:val="none"/>
          <w:lang w:val="en-US" w:eastAsia="zh-CN" w:bidi="ar-SA"/>
        </w:rPr>
        <w:t>符合GB/T 3325-2017-力学性能（桌类稳定性-垂直加载稳定性试验、桌类强度和耐久性-桌面垂直静载荷试验、桌面水平耐久性试验10000次）；理化性能（金属喷漆塑（涂）层-硬度≥4H、木制件表面涂层-附着力应不低于3级）均符合要求；外观性能（金属件外观、木制件外观、塑料件外观、配件）安全性能要求：结构安全形状和位置公差均合格；GB/T 35607-2017-产品有害物质：甲醛释放量≤0.02mg/m³、苯、甲苯、二甲苯均≤0.03mg/m³、总挥发性有机化合物（TVOC）≤0.06mg/m³。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检测报告要求：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1、检测机构要求:国家认可的检测机构出具的具有“CMA”标识的检测报告；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2、受检单位要求：检测报告上的委托单位(受检单位)名称必须与投标人或投标产品的生产厂家一致；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3、检测时间要求：本项目提供的检测报告签发日期不早于202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年1月1日。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其他：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eastAsia="zh-CN"/>
        </w:rPr>
        <w:t>1、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上述历史成品要求如与“四、采购品目分类、参考样式、规格、基本组成、质量标准等要求”不一致，以上述要求为准，检测报告原件备查；</w:t>
      </w:r>
    </w:p>
    <w:p>
      <w:pPr>
        <w:spacing w:line="480" w:lineRule="auto"/>
        <w:rPr>
          <w:rFonts w:ascii="宋体" w:hAnsi="宋体"/>
          <w:sz w:val="24"/>
          <w:szCs w:val="24"/>
          <w:lang w:eastAsia="zh-CN"/>
        </w:rPr>
        <w:sectPr>
          <w:footerReference r:id="rId3" w:type="default"/>
          <w:pgSz w:w="23810" w:h="16840"/>
          <w:pgMar w:top="1440" w:right="1800" w:bottom="1440" w:left="180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2、针对不同叫法的同一成品，其检测报告均予认可（如名称不一致，需注明需求中对应的产品编号）。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</w:p>
    <w:p>
      <w:pPr>
        <w:spacing w:before="121" w:line="221" w:lineRule="auto"/>
        <w:rPr>
          <w:rFonts w:ascii="微软雅黑" w:hAnsi="微软雅黑" w:eastAsia="微软雅黑" w:cs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spacing w:val="-5"/>
          <w:sz w:val="32"/>
          <w:szCs w:val="32"/>
          <w:lang w:eastAsia="zh-CN"/>
        </w:rPr>
        <w:t>七、颜色要求</w:t>
      </w:r>
    </w:p>
    <w:p>
      <w:pPr>
        <w:spacing w:before="311" w:line="702" w:lineRule="exact"/>
        <w:rPr>
          <w:rFonts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5"/>
        <w:tblpPr w:leftFromText="180" w:rightFromText="180" w:vertAnchor="text" w:horzAnchor="page" w:tblpX="1534" w:tblpY="110"/>
        <w:tblOverlap w:val="never"/>
        <w:tblW w:w="203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6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>
            <w:pPr>
              <w:pStyle w:val="14"/>
              <w:spacing w:before="237" w:line="219" w:lineRule="auto"/>
              <w:ind w:left="138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32"/>
                <w:szCs w:val="32"/>
              </w:rPr>
              <w:t>分类</w:t>
            </w:r>
          </w:p>
        </w:tc>
        <w:tc>
          <w:tcPr>
            <w:tcW w:w="16697" w:type="dxa"/>
          </w:tcPr>
          <w:p>
            <w:pPr>
              <w:pStyle w:val="14"/>
              <w:spacing w:before="238" w:line="221" w:lineRule="auto"/>
              <w:ind w:left="152"/>
              <w:jc w:val="center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3"/>
                <w:sz w:val="32"/>
                <w:szCs w:val="32"/>
              </w:rPr>
              <w:t>主体颜色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6" w:hRule="atLeast"/>
        </w:trPr>
        <w:tc>
          <w:tcPr>
            <w:tcW w:w="3673" w:type="dxa"/>
            <w:vAlign w:val="center"/>
          </w:tcPr>
          <w:p>
            <w:pPr>
              <w:pStyle w:val="14"/>
              <w:spacing w:before="94" w:line="220" w:lineRule="auto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7"/>
              </w:rPr>
              <w:t>木制</w:t>
            </w:r>
          </w:p>
        </w:tc>
        <w:tc>
          <w:tcPr>
            <w:tcW w:w="16697" w:type="dxa"/>
            <w:vAlign w:val="center"/>
          </w:tcPr>
          <w:p>
            <w:pPr>
              <w:pStyle w:val="14"/>
              <w:spacing w:before="54" w:line="219" w:lineRule="auto"/>
              <w:jc w:val="center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纹路：木皮保留天然纹路感。</w:t>
            </w:r>
          </w:p>
          <w:p>
            <w:pPr>
              <w:pStyle w:val="14"/>
              <w:spacing w:before="86" w:line="219" w:lineRule="auto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颜色：胡桃木色。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>
            <w:pPr>
              <w:pStyle w:val="14"/>
              <w:spacing w:before="268" w:line="220" w:lineRule="auto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</w:rPr>
              <w:t>钢制</w:t>
            </w:r>
          </w:p>
        </w:tc>
        <w:tc>
          <w:tcPr>
            <w:tcW w:w="16697" w:type="dxa"/>
            <w:vAlign w:val="center"/>
          </w:tcPr>
          <w:p>
            <w:pPr>
              <w:pStyle w:val="14"/>
              <w:spacing w:before="127" w:line="473" w:lineRule="exact"/>
              <w:jc w:val="center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颜色：砂纹白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>
            <w:pPr>
              <w:pStyle w:val="14"/>
              <w:spacing w:before="250" w:line="220" w:lineRule="auto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</w:rPr>
              <w:t>椅子、沙发</w:t>
            </w:r>
          </w:p>
        </w:tc>
        <w:tc>
          <w:tcPr>
            <w:tcW w:w="16697" w:type="dxa"/>
            <w:vAlign w:val="center"/>
          </w:tcPr>
          <w:p>
            <w:pPr>
              <w:pStyle w:val="14"/>
              <w:spacing w:before="127" w:line="382" w:lineRule="exact"/>
              <w:jc w:val="center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颜色：黑色、棕色</w:t>
            </w:r>
          </w:p>
        </w:tc>
      </w:tr>
    </w:tbl>
    <w:p>
      <w:pPr>
        <w:spacing w:line="114" w:lineRule="exact"/>
      </w:pPr>
    </w:p>
    <w:p/>
    <w:p>
      <w:pPr>
        <w:sectPr>
          <w:pgSz w:w="23810" w:h="16840"/>
          <w:pgMar w:top="400" w:right="3571" w:bottom="0" w:left="149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line="244" w:lineRule="auto"/>
      </w:pPr>
    </w:p>
    <w:p>
      <w:pPr>
        <w:spacing w:line="244" w:lineRule="auto"/>
      </w:pPr>
    </w:p>
    <w:p>
      <w:pPr>
        <w:spacing w:before="130" w:line="222" w:lineRule="auto"/>
        <w:rPr>
          <w:rFonts w:ascii="微软雅黑" w:hAnsi="微软雅黑" w:eastAsia="微软雅黑" w:cs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八、样品要求</w:t>
      </w:r>
    </w:p>
    <w:p>
      <w:pPr>
        <w:spacing w:before="1" w:line="212" w:lineRule="auto"/>
        <w:ind w:left="9"/>
        <w:rPr>
          <w:rFonts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投标人需要按以下要求提交样品，中标样品交由采购人作为履约验收参考，最终产品使用的原辅材料不得低于样品的标准。</w:t>
      </w:r>
    </w:p>
    <w:p>
      <w:pPr>
        <w:spacing w:line="66" w:lineRule="exact"/>
        <w:rPr>
          <w:color w:val="auto"/>
          <w:lang w:eastAsia="zh-CN"/>
        </w:rPr>
      </w:pPr>
    </w:p>
    <w:tbl>
      <w:tblPr>
        <w:tblStyle w:val="15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20"/>
        <w:gridCol w:w="3314"/>
        <w:gridCol w:w="8704"/>
        <w:gridCol w:w="50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33" w:type="pct"/>
          </w:tcPr>
          <w:p>
            <w:pPr>
              <w:pStyle w:val="14"/>
              <w:spacing w:before="0"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pacing w:val="-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8"/>
                <w:lang w:eastAsia="zh-CN"/>
              </w:rPr>
              <w:t>序号</w:t>
            </w:r>
          </w:p>
        </w:tc>
        <w:tc>
          <w:tcPr>
            <w:tcW w:w="886" w:type="pct"/>
          </w:tcPr>
          <w:p>
            <w:pPr>
              <w:pStyle w:val="14"/>
              <w:spacing w:before="0" w:line="440" w:lineRule="exact"/>
              <w:ind w:left="0" w:firstLine="265" w:firstLineChars="100"/>
              <w:jc w:val="both"/>
              <w:rPr>
                <w:rFonts w:ascii="微软雅黑" w:hAnsi="微软雅黑" w:eastAsia="微软雅黑" w:cs="微软雅黑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8"/>
              </w:rPr>
              <w:t>分类</w:t>
            </w:r>
          </w:p>
        </w:tc>
        <w:tc>
          <w:tcPr>
            <w:tcW w:w="2327" w:type="pct"/>
          </w:tcPr>
          <w:p>
            <w:pPr>
              <w:pStyle w:val="14"/>
              <w:spacing w:before="0" w:line="440" w:lineRule="exact"/>
              <w:ind w:left="0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3"/>
              </w:rPr>
              <w:t>样品要求</w:t>
            </w:r>
          </w:p>
        </w:tc>
        <w:tc>
          <w:tcPr>
            <w:tcW w:w="1352" w:type="pct"/>
          </w:tcPr>
          <w:p>
            <w:pPr>
              <w:pStyle w:val="14"/>
              <w:spacing w:before="0" w:line="440" w:lineRule="exact"/>
              <w:ind w:left="0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</w:rPr>
              <w:t>尺寸(单位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  <w:t>mm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433" w:type="pct"/>
            <w:vAlign w:val="center"/>
          </w:tcPr>
          <w:p>
            <w:pPr>
              <w:pStyle w:val="14"/>
              <w:spacing w:before="0" w:line="440" w:lineRule="exact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86" w:type="pct"/>
            <w:vAlign w:val="center"/>
          </w:tcPr>
          <w:p>
            <w:pPr>
              <w:pStyle w:val="14"/>
              <w:spacing w:before="0" w:line="440" w:lineRule="exact"/>
              <w:ind w:firstLine="864" w:firstLineChars="300"/>
              <w:jc w:val="both"/>
              <w:rPr>
                <w:rFonts w:hint="default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L型屏风工位</w:t>
            </w:r>
          </w:p>
        </w:tc>
        <w:tc>
          <w:tcPr>
            <w:tcW w:w="2327" w:type="pct"/>
            <w:vAlign w:val="center"/>
          </w:tcPr>
          <w:p>
            <w:pPr>
              <w:pStyle w:val="14"/>
              <w:spacing w:before="0" w:line="440" w:lineRule="exact"/>
              <w:jc w:val="center"/>
              <w:rPr>
                <w:rFonts w:hint="default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详见桌类编号2</w:t>
            </w:r>
          </w:p>
        </w:tc>
        <w:tc>
          <w:tcPr>
            <w:tcW w:w="135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  <w:t>工作台：1500*1500*750</w:t>
            </w:r>
          </w:p>
          <w:p>
            <w:pPr>
              <w:keepNext w:val="0"/>
              <w:keepLines w:val="0"/>
              <w:widowControl/>
              <w:suppressLineNumbers w:val="0"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  <w:t>屏风A：1500*40*1200</w:t>
            </w:r>
          </w:p>
          <w:p>
            <w:pPr>
              <w:spacing w:before="0" w:line="440" w:lineRule="exact"/>
              <w:ind w:left="0"/>
              <w:jc w:val="center"/>
              <w:textAlignment w:val="center"/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  <w:t>屏风B:  1500*60*1200</w:t>
            </w:r>
          </w:p>
          <w:p>
            <w:pPr>
              <w:spacing w:before="0" w:line="440" w:lineRule="exact"/>
              <w:ind w:left="0"/>
              <w:jc w:val="center"/>
              <w:textAlignment w:val="center"/>
              <w:rPr>
                <w:rFonts w:hint="default" w:ascii="微软雅黑" w:hAnsi="微软雅黑" w:eastAsia="微软雅黑" w:cs="微软雅黑"/>
                <w:color w:val="auto"/>
                <w:spacing w:val="-13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  <w:t>固定柜尺寸：390*580*725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433" w:type="pct"/>
            <w:vAlign w:val="center"/>
          </w:tcPr>
          <w:p>
            <w:pPr>
              <w:pStyle w:val="14"/>
              <w:spacing w:before="0" w:line="440" w:lineRule="exact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86" w:type="pct"/>
            <w:vAlign w:val="center"/>
          </w:tcPr>
          <w:p>
            <w:pPr>
              <w:pStyle w:val="14"/>
              <w:spacing w:before="0" w:line="440" w:lineRule="exact"/>
              <w:ind w:left="0"/>
              <w:jc w:val="center"/>
              <w:rPr>
                <w:rFonts w:hint="default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办公椅</w:t>
            </w:r>
          </w:p>
        </w:tc>
        <w:tc>
          <w:tcPr>
            <w:tcW w:w="2327" w:type="pct"/>
            <w:vAlign w:val="center"/>
          </w:tcPr>
          <w:p>
            <w:pPr>
              <w:pStyle w:val="14"/>
              <w:spacing w:before="0" w:line="440" w:lineRule="exact"/>
              <w:jc w:val="center"/>
              <w:rPr>
                <w:rFonts w:hint="default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详见椅类编号2</w:t>
            </w:r>
          </w:p>
        </w:tc>
        <w:tc>
          <w:tcPr>
            <w:tcW w:w="1352" w:type="pct"/>
            <w:vAlign w:val="center"/>
          </w:tcPr>
          <w:p>
            <w:pPr>
              <w:pStyle w:val="14"/>
              <w:spacing w:before="0" w:line="440" w:lineRule="exact"/>
              <w:ind w:left="0"/>
              <w:jc w:val="center"/>
              <w:rPr>
                <w:rFonts w:hint="default" w:ascii="微软雅黑" w:hAnsi="微软雅黑" w:eastAsia="微软雅黑" w:cs="微软雅黑"/>
                <w:color w:val="auto"/>
                <w:spacing w:val="-13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3"/>
                <w:sz w:val="28"/>
                <w:szCs w:val="28"/>
                <w:lang w:val="en-US" w:eastAsia="zh-CN"/>
              </w:rPr>
              <w:t>中背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433" w:type="pct"/>
            <w:vAlign w:val="center"/>
          </w:tcPr>
          <w:p>
            <w:pPr>
              <w:pStyle w:val="14"/>
              <w:spacing w:before="0" w:line="440" w:lineRule="exact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886" w:type="pct"/>
            <w:shd w:val="clear" w:color="auto" w:fill="auto"/>
            <w:vAlign w:val="center"/>
          </w:tcPr>
          <w:p>
            <w:pPr>
              <w:pStyle w:val="14"/>
              <w:spacing w:before="0" w:line="440" w:lineRule="exact"/>
              <w:ind w:left="0" w:leftChars="0"/>
              <w:jc w:val="center"/>
              <w:rPr>
                <w:rFonts w:hint="default" w:ascii="微软雅黑" w:hAnsi="微软雅黑" w:eastAsia="微软雅黑" w:cs="微软雅黑"/>
                <w:snapToGrid w:val="0"/>
                <w:color w:val="auto"/>
                <w:spacing w:val="4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培训桌</w:t>
            </w:r>
          </w:p>
        </w:tc>
        <w:tc>
          <w:tcPr>
            <w:tcW w:w="2327" w:type="pct"/>
            <w:shd w:val="clear" w:color="auto" w:fill="auto"/>
            <w:vAlign w:val="center"/>
          </w:tcPr>
          <w:p>
            <w:pPr>
              <w:pStyle w:val="14"/>
              <w:spacing w:before="0" w:line="440" w:lineRule="exact"/>
              <w:jc w:val="center"/>
              <w:rPr>
                <w:rFonts w:hint="default" w:ascii="微软雅黑" w:hAnsi="微软雅黑" w:eastAsia="微软雅黑" w:cs="微软雅黑"/>
                <w:snapToGrid w:val="0"/>
                <w:color w:val="auto"/>
                <w:spacing w:val="4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详见桌类编号11</w:t>
            </w:r>
          </w:p>
        </w:tc>
        <w:tc>
          <w:tcPr>
            <w:tcW w:w="1352" w:type="pct"/>
            <w:shd w:val="clear" w:color="auto" w:fill="auto"/>
            <w:vAlign w:val="center"/>
          </w:tcPr>
          <w:p>
            <w:pPr>
              <w:pStyle w:val="14"/>
              <w:spacing w:before="0" w:line="440" w:lineRule="exact"/>
              <w:ind w:left="0" w:leftChars="0"/>
              <w:jc w:val="center"/>
              <w:rPr>
                <w:rFonts w:hint="default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3"/>
                <w:sz w:val="28"/>
                <w:szCs w:val="28"/>
                <w:lang w:val="en-US" w:eastAsia="zh-CN"/>
              </w:rPr>
              <w:t>1200*500*750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433" w:type="pct"/>
            <w:vAlign w:val="center"/>
          </w:tcPr>
          <w:p>
            <w:pPr>
              <w:pStyle w:val="14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86" w:type="pct"/>
            <w:shd w:val="clear" w:color="auto" w:fill="auto"/>
            <w:vAlign w:val="center"/>
          </w:tcPr>
          <w:p>
            <w:pPr>
              <w:pStyle w:val="14"/>
              <w:spacing w:before="260" w:line="360" w:lineRule="auto"/>
              <w:ind w:left="1185" w:leftChars="0"/>
              <w:jc w:val="both"/>
              <w:rPr>
                <w:rFonts w:hint="default" w:ascii="微软雅黑" w:hAnsi="微软雅黑" w:eastAsia="微软雅黑" w:cs="微软雅黑"/>
                <w:snapToGrid w:val="0"/>
                <w:color w:val="auto"/>
                <w:spacing w:val="4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培训椅</w:t>
            </w:r>
          </w:p>
        </w:tc>
        <w:tc>
          <w:tcPr>
            <w:tcW w:w="2327" w:type="pct"/>
            <w:shd w:val="clear" w:color="auto" w:fill="auto"/>
            <w:vAlign w:val="center"/>
          </w:tcPr>
          <w:p>
            <w:pPr>
              <w:pStyle w:val="14"/>
              <w:spacing w:before="118" w:line="360" w:lineRule="auto"/>
              <w:jc w:val="center"/>
              <w:rPr>
                <w:rFonts w:hint="default" w:ascii="微软雅黑" w:hAnsi="微软雅黑" w:eastAsia="微软雅黑" w:cs="微软雅黑"/>
                <w:snapToGrid w:val="0"/>
                <w:color w:val="auto"/>
                <w:spacing w:val="4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8"/>
                <w:szCs w:val="28"/>
                <w:lang w:val="en-US" w:eastAsia="zh-CN"/>
              </w:rPr>
              <w:t>详见椅类编号8</w:t>
            </w:r>
          </w:p>
        </w:tc>
        <w:tc>
          <w:tcPr>
            <w:tcW w:w="1352" w:type="pct"/>
            <w:shd w:val="clear" w:color="auto" w:fill="auto"/>
            <w:vAlign w:val="center"/>
          </w:tcPr>
          <w:p>
            <w:pPr>
              <w:pStyle w:val="14"/>
              <w:spacing w:before="260" w:line="360" w:lineRule="auto"/>
              <w:ind w:left="106" w:leftChars="0"/>
              <w:jc w:val="center"/>
              <w:rPr>
                <w:rFonts w:hint="default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snapToGrid w:val="0"/>
                <w:color w:val="auto"/>
                <w:spacing w:val="-13"/>
                <w:sz w:val="28"/>
                <w:szCs w:val="28"/>
                <w:lang w:val="en-US" w:eastAsia="zh-CN" w:bidi="ar-SA"/>
              </w:rPr>
              <w:t>640*655*830</w:t>
            </w:r>
          </w:p>
        </w:tc>
      </w:tr>
    </w:tbl>
    <w:p/>
    <w:p/>
    <w:p/>
    <w:p>
      <w:pPr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1.投标人需在标书中提供样品清单，列出此次样品涉及的基材（板材）、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金属材质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椅类面料、玻璃材质、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漆料、电源模块、五金配件等品牌、型号、制造厂商。</w:t>
      </w:r>
    </w:p>
    <w:p>
      <w:pPr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2.尺寸和规格可根据情况合理波动。投标人中标后需按照采购需求中要求的规格尺寸生产，不得影响交付正常使用。</w:t>
      </w:r>
    </w:p>
    <w:p>
      <w:pPr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3.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自备安装工具及备用电池（现场不提供电源），送样完成及时通知采购人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4.投标人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根据招标文件要求，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提前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一天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向采购人明确送样的具体时间并报备车辆信息和人员信息，听从采购人的安排卸货、停车。</w:t>
      </w:r>
    </w:p>
    <w:p>
      <w:pPr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5.投标人运货上楼时，按规定使用电梯；同时做好安全文明施工措施，不得损坏采购人房屋及设施。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  <w:sectPr>
          <w:pgSz w:w="23810" w:h="16840"/>
          <w:pgMar w:top="400" w:right="3571" w:bottom="0" w:left="155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line="265" w:lineRule="auto"/>
        <w:rPr>
          <w:lang w:eastAsia="zh-CN"/>
        </w:rPr>
      </w:pPr>
    </w:p>
    <w:p>
      <w:pPr>
        <w:spacing w:line="266" w:lineRule="auto"/>
        <w:rPr>
          <w:lang w:eastAsia="zh-CN"/>
        </w:rPr>
      </w:pPr>
    </w:p>
    <w:p>
      <w:pPr>
        <w:spacing w:line="266" w:lineRule="auto"/>
        <w:rPr>
          <w:lang w:eastAsia="zh-CN"/>
        </w:rPr>
      </w:pPr>
    </w:p>
    <w:p>
      <w:pPr>
        <w:pStyle w:val="4"/>
        <w:spacing w:before="120" w:line="219" w:lineRule="auto"/>
        <w:ind w:left="160"/>
        <w:outlineLvl w:val="6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-4"/>
          <w:sz w:val="32"/>
          <w:szCs w:val="32"/>
          <w:lang w:eastAsia="zh-CN"/>
        </w:rPr>
        <w:t>九</w:t>
      </w:r>
      <w:r>
        <w:rPr>
          <w:rFonts w:hint="eastAsia" w:ascii="微软雅黑" w:hAnsi="微软雅黑" w:eastAsia="微软雅黑" w:cs="微软雅黑"/>
          <w:b/>
          <w:bCs/>
          <w:spacing w:val="-4"/>
          <w:sz w:val="32"/>
          <w:szCs w:val="32"/>
        </w:rPr>
        <w:t>、供货及验收</w:t>
      </w:r>
    </w:p>
    <w:p>
      <w:pPr>
        <w:spacing w:line="108" w:lineRule="exact"/>
        <w:rPr>
          <w:rFonts w:ascii="微软雅黑" w:hAnsi="微软雅黑" w:eastAsia="微软雅黑" w:cs="微软雅黑"/>
        </w:rPr>
      </w:pPr>
    </w:p>
    <w:tbl>
      <w:tblPr>
        <w:tblStyle w:val="15"/>
        <w:tblW w:w="20305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179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2387" w:type="dxa"/>
          </w:tcPr>
          <w:p>
            <w:pPr>
              <w:pStyle w:val="14"/>
              <w:spacing w:before="190" w:line="219" w:lineRule="auto"/>
              <w:ind w:left="1395"/>
              <w:jc w:val="both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32"/>
                <w:szCs w:val="32"/>
              </w:rPr>
              <w:t>分类</w:t>
            </w:r>
          </w:p>
        </w:tc>
        <w:tc>
          <w:tcPr>
            <w:tcW w:w="17918" w:type="dxa"/>
          </w:tcPr>
          <w:p>
            <w:pPr>
              <w:pStyle w:val="14"/>
              <w:spacing w:before="190" w:line="219" w:lineRule="auto"/>
              <w:ind w:left="5471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30"/>
                <w:sz w:val="32"/>
                <w:szCs w:val="32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2387" w:type="dxa"/>
            <w:vAlign w:val="center"/>
          </w:tcPr>
          <w:p>
            <w:pPr>
              <w:spacing w:line="266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spacing w:line="266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spacing w:line="266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pStyle w:val="14"/>
              <w:spacing w:before="120" w:line="219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供货要求</w:t>
            </w:r>
          </w:p>
        </w:tc>
        <w:tc>
          <w:tcPr>
            <w:tcW w:w="17918" w:type="dxa"/>
            <w:vAlign w:val="center"/>
          </w:tcPr>
          <w:p>
            <w:pPr>
              <w:numPr>
                <w:ilvl w:val="0"/>
                <w:numId w:val="18"/>
              </w:numPr>
              <w:spacing w:line="240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经采购人通知，40个自然日内完成供货及安装调试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。中标人所提供的货物应符合国家相关质量标准。货物名称、型号规格、数量、颜色、外观等符合采购人要求，不得有损毁或损坏。</w:t>
            </w:r>
          </w:p>
          <w:p>
            <w:pPr>
              <w:numPr>
                <w:ilvl w:val="0"/>
                <w:numId w:val="18"/>
              </w:numPr>
              <w:spacing w:line="240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本项目涉及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房间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数量较多，会存在尺寸偏差、受限基础设施等情况，中标人需对现场每间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房间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公共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空间进行复测，保证家具及时安装到位。</w:t>
            </w:r>
          </w:p>
          <w:p>
            <w:pPr>
              <w:spacing w:line="240" w:lineRule="auto"/>
              <w:jc w:val="left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3、投标人需要承担安装过程中与工程相关费用：电路材料、电源配件（需要3C认证）、耗材等费用。投标人需提供电路安装人员的电工证明文件。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由于本项目涉及较多工位等，需要投标方根据现场条件，配合总包，进行相应的电路点位改造。</w:t>
            </w:r>
          </w:p>
          <w:p>
            <w:pPr>
              <w:spacing w:line="240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4、由于该项目处于施工现场，外围市政道路正在施工，投标人需要考虑现场能源使用、水电配合、路面运输、垃圾外运、垂直运输、房屋成品保护、安保仓储、现场综合协调、外部检查协调等费用。</w:t>
            </w:r>
          </w:p>
          <w:p>
            <w:pPr>
              <w:spacing w:line="240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5、当基建项目工程进度与家具现场安装进度出现不一致时，需要以采购人具备现场安装条件的时间为准，为此需要供应商备有充足的仓储空间，配合项目整体进度。</w:t>
            </w:r>
          </w:p>
          <w:p>
            <w:pPr>
              <w:spacing w:line="240" w:lineRule="auto"/>
              <w:jc w:val="left"/>
              <w:rPr>
                <w:rFonts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6、安装场地为施工现场，投标方须自行承担安全责任，在此期间发生的任何安全事故由其自行负责。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7" w:hRule="atLeast"/>
        </w:trPr>
        <w:tc>
          <w:tcPr>
            <w:tcW w:w="2387" w:type="dxa"/>
            <w:vAlign w:val="center"/>
          </w:tcPr>
          <w:p>
            <w:pPr>
              <w:pStyle w:val="14"/>
              <w:spacing w:before="201" w:line="22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包装要求</w:t>
            </w:r>
          </w:p>
        </w:tc>
        <w:tc>
          <w:tcPr>
            <w:tcW w:w="17918" w:type="dxa"/>
            <w:vAlign w:val="center"/>
          </w:tcPr>
          <w:p>
            <w:pPr>
              <w:pStyle w:val="14"/>
              <w:spacing w:before="191" w:line="240" w:lineRule="auto"/>
              <w:ind w:left="152" w:right="180" w:hanging="10"/>
              <w:jc w:val="left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387" w:type="dxa"/>
            <w:vAlign w:val="center"/>
          </w:tcPr>
          <w:p>
            <w:pPr>
              <w:pStyle w:val="14"/>
              <w:spacing w:before="185" w:line="219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验收要求</w:t>
            </w:r>
          </w:p>
        </w:tc>
        <w:tc>
          <w:tcPr>
            <w:tcW w:w="17918" w:type="dxa"/>
            <w:vAlign w:val="center"/>
          </w:tcPr>
          <w:p>
            <w:pPr>
              <w:pStyle w:val="14"/>
              <w:spacing w:before="182" w:line="240" w:lineRule="auto"/>
              <w:ind w:left="152"/>
              <w:jc w:val="left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本项目安装、调试后，由供、需双方按照合同约定对</w:t>
            </w: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家具进行验收。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验收包括清点型号、数量、检查外观等，中标人应当提供家具清单(各</w:t>
            </w:r>
            <w:r>
              <w:rPr>
                <w:rFonts w:hint="eastAsia" w:ascii="微软雅黑" w:hAnsi="微软雅黑" w:eastAsia="微软雅黑" w:cs="微软雅黑"/>
                <w:spacing w:val="1"/>
                <w:lang w:eastAsia="zh-CN"/>
              </w:rPr>
              <w:t>类家具分项开立并标注详细数量)、原产地证明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、具出厂日期证明、家</w:t>
            </w: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具环保证明等文件。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387" w:type="dxa"/>
            <w:vAlign w:val="center"/>
          </w:tcPr>
          <w:p>
            <w:pPr>
              <w:pStyle w:val="14"/>
              <w:spacing w:before="185" w:line="219" w:lineRule="auto"/>
              <w:jc w:val="left"/>
              <w:rPr>
                <w:rFonts w:ascii="微软雅黑" w:hAnsi="微软雅黑" w:eastAsia="微软雅黑" w:cs="微软雅黑"/>
                <w:color w:val="auto"/>
                <w:spacing w:val="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</w:rPr>
              <w:t>检测要求</w:t>
            </w:r>
          </w:p>
        </w:tc>
        <w:tc>
          <w:tcPr>
            <w:tcW w:w="17918" w:type="dxa"/>
            <w:vAlign w:val="center"/>
          </w:tcPr>
          <w:p>
            <w:pPr>
              <w:pStyle w:val="14"/>
              <w:spacing w:before="182" w:line="240" w:lineRule="auto"/>
              <w:ind w:left="152"/>
              <w:jc w:val="left"/>
              <w:rPr>
                <w:rFonts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1.正式验收前，中标人须委托第三方机构对家具进行质量和环保相关检测，检验不合格不予验收,验收检测费用将由中标单位承担。</w:t>
            </w:r>
          </w:p>
          <w:p>
            <w:pPr>
              <w:pStyle w:val="14"/>
              <w:spacing w:before="182" w:line="240" w:lineRule="auto"/>
              <w:ind w:left="152"/>
              <w:jc w:val="left"/>
              <w:rPr>
                <w:rFonts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2.具体检测范围:由采购人随机抽取本项目的</w:t>
            </w:r>
            <w:r>
              <w:rPr>
                <w:rFonts w:hint="eastAsia" w:ascii="微软雅黑" w:hAnsi="微软雅黑" w:eastAsia="微软雅黑" w:cs="微软雅黑"/>
                <w:color w:val="auto"/>
                <w:lang w:val="en-US" w:eastAsia="zh-CN"/>
              </w:rPr>
              <w:t>办公室</w:t>
            </w: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、公共区域的家具，总数量不超过10件套。</w:t>
            </w:r>
          </w:p>
        </w:tc>
      </w:tr>
    </w:tbl>
    <w:p>
      <w:pPr>
        <w:rPr>
          <w:rFonts w:ascii="微软雅黑" w:hAnsi="微软雅黑" w:eastAsia="微软雅黑" w:cs="微软雅黑"/>
          <w:lang w:eastAsia="zh-CN"/>
        </w:rPr>
      </w:pPr>
    </w:p>
    <w:p>
      <w:pPr>
        <w:rPr>
          <w:rFonts w:ascii="微软雅黑" w:hAnsi="微软雅黑" w:eastAsia="微软雅黑" w:cs="微软雅黑"/>
          <w:lang w:eastAsia="zh-CN"/>
        </w:rPr>
        <w:sectPr>
          <w:pgSz w:w="23810" w:h="16840"/>
          <w:pgMar w:top="400" w:right="3571" w:bottom="0" w:left="150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42"/>
        <w:rPr>
          <w:rFonts w:ascii="微软雅黑" w:hAnsi="微软雅黑" w:eastAsia="微软雅黑" w:cs="微软雅黑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  <w:t>十</w:t>
      </w:r>
      <w:r>
        <w:rPr>
          <w:rFonts w:hint="eastAsia" w:ascii="微软雅黑" w:hAnsi="微软雅黑" w:eastAsia="微软雅黑" w:cs="微软雅黑"/>
          <w:b/>
          <w:bCs/>
          <w:spacing w:val="-3"/>
          <w:sz w:val="32"/>
          <w:szCs w:val="32"/>
        </w:rPr>
        <w:t>、服务要求</w:t>
      </w:r>
    </w:p>
    <w:p>
      <w:pPr>
        <w:spacing w:line="105" w:lineRule="exact"/>
        <w:rPr>
          <w:rFonts w:ascii="微软雅黑" w:hAnsi="微软雅黑" w:eastAsia="微软雅黑" w:cs="微软雅黑"/>
        </w:rPr>
      </w:pPr>
    </w:p>
    <w:tbl>
      <w:tblPr>
        <w:tblStyle w:val="15"/>
        <w:tblW w:w="20863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6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>
            <w:pPr>
              <w:pStyle w:val="14"/>
              <w:spacing w:before="180" w:line="219" w:lineRule="auto"/>
              <w:ind w:left="1395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</w:rPr>
              <w:t>分类</w:t>
            </w:r>
          </w:p>
        </w:tc>
        <w:tc>
          <w:tcPr>
            <w:tcW w:w="16920" w:type="dxa"/>
          </w:tcPr>
          <w:p>
            <w:pPr>
              <w:pStyle w:val="14"/>
              <w:spacing w:before="180" w:line="219" w:lineRule="auto"/>
              <w:ind w:left="5431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9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 w:hRule="atLeast"/>
        </w:trPr>
        <w:tc>
          <w:tcPr>
            <w:tcW w:w="3943" w:type="dxa"/>
            <w:vAlign w:val="center"/>
          </w:tcPr>
          <w:p>
            <w:pPr>
              <w:pStyle w:val="14"/>
              <w:spacing w:before="182" w:line="219" w:lineRule="auto"/>
              <w:ind w:left="151" w:leftChars="72" w:firstLine="1260" w:firstLineChars="45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保修服务</w:t>
            </w:r>
          </w:p>
        </w:tc>
        <w:tc>
          <w:tcPr>
            <w:tcW w:w="16920" w:type="dxa"/>
          </w:tcPr>
          <w:p>
            <w:pPr>
              <w:pStyle w:val="14"/>
              <w:spacing w:before="182" w:line="219" w:lineRule="auto"/>
              <w:ind w:left="152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本项目家具（包括电气类配件）免费保修期≥10年。免费保修期内，除采购人因非正常使用造成的损坏外，家具的损坏维修或换新所涉及的运输、材料、配件、人工等所有费用由投标人承担，投标人应当承诺每年对所供家具进行巡检。免费保修期满后，以成本价格提供家具所需零配件和维修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>
            <w:pPr>
              <w:pStyle w:val="14"/>
              <w:spacing w:before="203" w:line="219" w:lineRule="auto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7"/>
              </w:rPr>
              <w:t>应急能力</w:t>
            </w:r>
          </w:p>
        </w:tc>
        <w:tc>
          <w:tcPr>
            <w:tcW w:w="16920" w:type="dxa"/>
            <w:vAlign w:val="center"/>
          </w:tcPr>
          <w:p>
            <w:pPr>
              <w:pStyle w:val="14"/>
              <w:spacing w:before="182" w:line="219" w:lineRule="auto"/>
              <w:ind w:left="152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如遇质量问题，供应商应当在接到通知2小时内予以响应，并于8小时内解决完毕或提供代用产品。</w:t>
            </w:r>
          </w:p>
        </w:tc>
      </w:tr>
    </w:tbl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120" w:line="219" w:lineRule="auto"/>
        <w:ind w:left="150"/>
        <w:rPr>
          <w:rFonts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</w:pPr>
    </w:p>
    <w:p>
      <w:pPr>
        <w:pStyle w:val="4"/>
        <w:spacing w:before="44" w:line="225" w:lineRule="auto"/>
        <w:jc w:val="both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sectPr>
      <w:headerReference r:id="rId4" w:type="default"/>
      <w:pgSz w:w="23820" w:h="16840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PingFang SC">
    <w:altName w:val="华文中宋"/>
    <w:panose1 w:val="00000000000000000000"/>
    <w:charset w:val="86"/>
    <w:family w:val="auto"/>
    <w:pitch w:val="default"/>
    <w:sig w:usb0="00000000" w:usb1="00000000" w:usb2="00000016" w:usb3="00000000" w:csb0="001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DejaVu Math TeX Gyre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Arial Unicode MS">
    <w:altName w:val="DejaVu Sans"/>
    <w:panose1 w:val="020B0604020202020204"/>
    <w:charset w:val="86"/>
    <w:family w:val="swiss"/>
    <w:pitch w:val="default"/>
    <w:sig w:usb0="00000000" w:usb1="00000000" w:usb2="0000007F" w:usb3="00000000" w:csb0="203F01FF" w:csb1="DFFF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6143625</wp:posOffset>
              </wp:positionH>
              <wp:positionV relativeFrom="paragraph">
                <wp:posOffset>-484505</wp:posOffset>
              </wp:positionV>
              <wp:extent cx="1828800" cy="1828800"/>
              <wp:effectExtent l="0" t="0" r="0" b="0"/>
              <wp:wrapNone/>
              <wp:docPr id="7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lang w:eastAsia="zh-CN"/>
                            </w:rPr>
                            <w:t>38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eastAsia="zh-CN"/>
                            </w:rPr>
                            <w:t>43</w:t>
                          </w:r>
                          <w:r>
                            <w:rPr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83.75pt;margin-top:-38.15pt;height:144pt;width:144pt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BYAAABkcnMvUEsBAhQAFAAAAAgAh07iQGau3vXZAAAADAEAAA8A&#10;AAAAAAAAAQAgAAAAOAAAAGRycy9kb3ducmV2LnhtbFBLAQIUABQAAAAIAIdO4kCM+0YOOQIAAHAE&#10;AAAOAAAAAAAAAAEAIAAAAD4BAABkcnMvZTJvRG9jLnhtbFBLBQYAAAAABgAGAFkBAADp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lang w:eastAsia="zh-CN"/>
                      </w:rPr>
                      <w:t>38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lang w:eastAsia="zh-CN"/>
                      </w:rPr>
                      <w:t>43</w:t>
                    </w:r>
                    <w:r>
                      <w:rPr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316B62"/>
    <w:multiLevelType w:val="singleLevel"/>
    <w:tmpl w:val="80316B6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6F6F09F"/>
    <w:multiLevelType w:val="singleLevel"/>
    <w:tmpl w:val="86F6F09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8FAC4CF9"/>
    <w:multiLevelType w:val="singleLevel"/>
    <w:tmpl w:val="8FAC4C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A72CA6B"/>
    <w:multiLevelType w:val="singleLevel"/>
    <w:tmpl w:val="9A72CA6B"/>
    <w:lvl w:ilvl="0" w:tentative="0">
      <w:start w:val="6"/>
      <w:numFmt w:val="decimal"/>
      <w:suff w:val="nothing"/>
      <w:lvlText w:val="%1、"/>
      <w:lvlJc w:val="left"/>
    </w:lvl>
  </w:abstractNum>
  <w:abstractNum w:abstractNumId="4">
    <w:nsid w:val="A01BC9E1"/>
    <w:multiLevelType w:val="singleLevel"/>
    <w:tmpl w:val="A01BC9E1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ACF894DF"/>
    <w:multiLevelType w:val="singleLevel"/>
    <w:tmpl w:val="ACF894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C96E986F"/>
    <w:multiLevelType w:val="singleLevel"/>
    <w:tmpl w:val="C96E986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DFB97CF9"/>
    <w:multiLevelType w:val="singleLevel"/>
    <w:tmpl w:val="DFB97C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EEF20090"/>
    <w:multiLevelType w:val="singleLevel"/>
    <w:tmpl w:val="EEF200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09017A7"/>
    <w:multiLevelType w:val="singleLevel"/>
    <w:tmpl w:val="209017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269AC890"/>
    <w:multiLevelType w:val="singleLevel"/>
    <w:tmpl w:val="269AC8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26F87016"/>
    <w:multiLevelType w:val="singleLevel"/>
    <w:tmpl w:val="26F870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385C3F96"/>
    <w:multiLevelType w:val="singleLevel"/>
    <w:tmpl w:val="385C3F96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4E30C7C5"/>
    <w:multiLevelType w:val="singleLevel"/>
    <w:tmpl w:val="4E30C7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1F38101"/>
    <w:multiLevelType w:val="singleLevel"/>
    <w:tmpl w:val="61F381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663AED70"/>
    <w:multiLevelType w:val="singleLevel"/>
    <w:tmpl w:val="663AED70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72F7B4AB"/>
    <w:multiLevelType w:val="singleLevel"/>
    <w:tmpl w:val="72F7B4A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7B2B5550"/>
    <w:multiLevelType w:val="singleLevel"/>
    <w:tmpl w:val="7B2B55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4"/>
  </w:num>
  <w:num w:numId="5">
    <w:abstractNumId w:val="8"/>
  </w:num>
  <w:num w:numId="6">
    <w:abstractNumId w:val="7"/>
  </w:num>
  <w:num w:numId="7">
    <w:abstractNumId w:val="13"/>
  </w:num>
  <w:num w:numId="8">
    <w:abstractNumId w:val="17"/>
  </w:num>
  <w:num w:numId="9">
    <w:abstractNumId w:val="1"/>
  </w:num>
  <w:num w:numId="10">
    <w:abstractNumId w:val="16"/>
  </w:num>
  <w:num w:numId="11">
    <w:abstractNumId w:val="2"/>
  </w:num>
  <w:num w:numId="12">
    <w:abstractNumId w:val="9"/>
  </w:num>
  <w:num w:numId="13">
    <w:abstractNumId w:val="5"/>
  </w:num>
  <w:num w:numId="14">
    <w:abstractNumId w:val="4"/>
  </w:num>
  <w:num w:numId="15">
    <w:abstractNumId w:val="12"/>
  </w:num>
  <w:num w:numId="16">
    <w:abstractNumId w:val="10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0YjIyNDg4OTVkYzQ3ZDNmNDAwM2JkNzg2YjBmMDcifQ=="/>
    <w:docVar w:name="KSO_WPS_MARK_KEY" w:val="2d6cb788-283c-4d1a-8f19-8c9faf65b2b3"/>
  </w:docVars>
  <w:rsids>
    <w:rsidRoot w:val="F32BEA20"/>
    <w:rsid w:val="000276C3"/>
    <w:rsid w:val="00040086"/>
    <w:rsid w:val="00056B57"/>
    <w:rsid w:val="00075B34"/>
    <w:rsid w:val="00077D2E"/>
    <w:rsid w:val="000800CE"/>
    <w:rsid w:val="0009121E"/>
    <w:rsid w:val="000A2AAE"/>
    <w:rsid w:val="000A621F"/>
    <w:rsid w:val="000B2358"/>
    <w:rsid w:val="000B7219"/>
    <w:rsid w:val="000C0D68"/>
    <w:rsid w:val="000C5CD1"/>
    <w:rsid w:val="000D4A9A"/>
    <w:rsid w:val="000E4C6F"/>
    <w:rsid w:val="000F1775"/>
    <w:rsid w:val="000F6B22"/>
    <w:rsid w:val="001012C7"/>
    <w:rsid w:val="001068F6"/>
    <w:rsid w:val="0012557C"/>
    <w:rsid w:val="00130E64"/>
    <w:rsid w:val="00137B9B"/>
    <w:rsid w:val="001524DA"/>
    <w:rsid w:val="00172BC0"/>
    <w:rsid w:val="00184023"/>
    <w:rsid w:val="0018524D"/>
    <w:rsid w:val="00187E1D"/>
    <w:rsid w:val="00197D11"/>
    <w:rsid w:val="001A6343"/>
    <w:rsid w:val="001A79B2"/>
    <w:rsid w:val="001A7C5C"/>
    <w:rsid w:val="001B6D0B"/>
    <w:rsid w:val="001D463F"/>
    <w:rsid w:val="001E701F"/>
    <w:rsid w:val="001F00C5"/>
    <w:rsid w:val="00204559"/>
    <w:rsid w:val="00226C08"/>
    <w:rsid w:val="002337F0"/>
    <w:rsid w:val="00241A96"/>
    <w:rsid w:val="00270F53"/>
    <w:rsid w:val="00270FA6"/>
    <w:rsid w:val="00283361"/>
    <w:rsid w:val="002938D2"/>
    <w:rsid w:val="002A49CD"/>
    <w:rsid w:val="002B4B33"/>
    <w:rsid w:val="002C6484"/>
    <w:rsid w:val="002C6C47"/>
    <w:rsid w:val="002D1D33"/>
    <w:rsid w:val="002F2A89"/>
    <w:rsid w:val="002F39FD"/>
    <w:rsid w:val="00304622"/>
    <w:rsid w:val="00314D84"/>
    <w:rsid w:val="00315E8B"/>
    <w:rsid w:val="003176B2"/>
    <w:rsid w:val="00320684"/>
    <w:rsid w:val="00322C13"/>
    <w:rsid w:val="003302D2"/>
    <w:rsid w:val="00350E5D"/>
    <w:rsid w:val="0035550E"/>
    <w:rsid w:val="00367E16"/>
    <w:rsid w:val="00370CD3"/>
    <w:rsid w:val="0038202A"/>
    <w:rsid w:val="00387853"/>
    <w:rsid w:val="003904F3"/>
    <w:rsid w:val="00397867"/>
    <w:rsid w:val="003A749D"/>
    <w:rsid w:val="003B70E8"/>
    <w:rsid w:val="003D1ACA"/>
    <w:rsid w:val="003D2483"/>
    <w:rsid w:val="003D26E2"/>
    <w:rsid w:val="00402EA9"/>
    <w:rsid w:val="00411AE3"/>
    <w:rsid w:val="00412DCC"/>
    <w:rsid w:val="00415A93"/>
    <w:rsid w:val="00463ED0"/>
    <w:rsid w:val="004820A7"/>
    <w:rsid w:val="0048783B"/>
    <w:rsid w:val="00493008"/>
    <w:rsid w:val="00495DD0"/>
    <w:rsid w:val="004B24BC"/>
    <w:rsid w:val="004C0159"/>
    <w:rsid w:val="004D1FBF"/>
    <w:rsid w:val="004E20AB"/>
    <w:rsid w:val="004E2372"/>
    <w:rsid w:val="004E2659"/>
    <w:rsid w:val="004F791F"/>
    <w:rsid w:val="00511520"/>
    <w:rsid w:val="005266EB"/>
    <w:rsid w:val="00530461"/>
    <w:rsid w:val="00541D04"/>
    <w:rsid w:val="0054216D"/>
    <w:rsid w:val="00543FCE"/>
    <w:rsid w:val="00557D0E"/>
    <w:rsid w:val="00560F9F"/>
    <w:rsid w:val="00562DBE"/>
    <w:rsid w:val="00572054"/>
    <w:rsid w:val="005D3DDD"/>
    <w:rsid w:val="005E4127"/>
    <w:rsid w:val="005F04BE"/>
    <w:rsid w:val="005F645E"/>
    <w:rsid w:val="00602D20"/>
    <w:rsid w:val="00607B72"/>
    <w:rsid w:val="006301CC"/>
    <w:rsid w:val="0064734D"/>
    <w:rsid w:val="00650BE0"/>
    <w:rsid w:val="00651FF3"/>
    <w:rsid w:val="006A0A52"/>
    <w:rsid w:val="006A5F7B"/>
    <w:rsid w:val="006C14A8"/>
    <w:rsid w:val="006C35A8"/>
    <w:rsid w:val="006E5AE8"/>
    <w:rsid w:val="006E7FBA"/>
    <w:rsid w:val="006F365E"/>
    <w:rsid w:val="0070502B"/>
    <w:rsid w:val="00707D82"/>
    <w:rsid w:val="00711B0B"/>
    <w:rsid w:val="00712D4C"/>
    <w:rsid w:val="0072294E"/>
    <w:rsid w:val="007368BA"/>
    <w:rsid w:val="007372F4"/>
    <w:rsid w:val="00737600"/>
    <w:rsid w:val="0077553B"/>
    <w:rsid w:val="00784CFC"/>
    <w:rsid w:val="00791F0E"/>
    <w:rsid w:val="007A4213"/>
    <w:rsid w:val="007A7BD5"/>
    <w:rsid w:val="007B3E46"/>
    <w:rsid w:val="007E0CC6"/>
    <w:rsid w:val="007E1B64"/>
    <w:rsid w:val="00801A11"/>
    <w:rsid w:val="00810936"/>
    <w:rsid w:val="00840DF4"/>
    <w:rsid w:val="00842119"/>
    <w:rsid w:val="00856906"/>
    <w:rsid w:val="008828B9"/>
    <w:rsid w:val="008875BA"/>
    <w:rsid w:val="008B1061"/>
    <w:rsid w:val="008D5020"/>
    <w:rsid w:val="008F024A"/>
    <w:rsid w:val="008F41AB"/>
    <w:rsid w:val="00901459"/>
    <w:rsid w:val="00903D6E"/>
    <w:rsid w:val="00910042"/>
    <w:rsid w:val="00917FD6"/>
    <w:rsid w:val="00931AA9"/>
    <w:rsid w:val="0093204B"/>
    <w:rsid w:val="00941A81"/>
    <w:rsid w:val="009554C7"/>
    <w:rsid w:val="00963EE1"/>
    <w:rsid w:val="009727F3"/>
    <w:rsid w:val="009976DE"/>
    <w:rsid w:val="009A5769"/>
    <w:rsid w:val="009B0153"/>
    <w:rsid w:val="009B6800"/>
    <w:rsid w:val="009C1992"/>
    <w:rsid w:val="009C1B9A"/>
    <w:rsid w:val="009C1BFF"/>
    <w:rsid w:val="009C6F97"/>
    <w:rsid w:val="009E156D"/>
    <w:rsid w:val="009F218F"/>
    <w:rsid w:val="009F32C8"/>
    <w:rsid w:val="009F7DEB"/>
    <w:rsid w:val="00A0084C"/>
    <w:rsid w:val="00A0635C"/>
    <w:rsid w:val="00A1541B"/>
    <w:rsid w:val="00A2087B"/>
    <w:rsid w:val="00A22C06"/>
    <w:rsid w:val="00A272E3"/>
    <w:rsid w:val="00A41CEE"/>
    <w:rsid w:val="00A50927"/>
    <w:rsid w:val="00A50A69"/>
    <w:rsid w:val="00A568AA"/>
    <w:rsid w:val="00A85F96"/>
    <w:rsid w:val="00A923F1"/>
    <w:rsid w:val="00AB0786"/>
    <w:rsid w:val="00AB4967"/>
    <w:rsid w:val="00AC18B0"/>
    <w:rsid w:val="00AC4E9B"/>
    <w:rsid w:val="00AC622E"/>
    <w:rsid w:val="00AE72F7"/>
    <w:rsid w:val="00AF447C"/>
    <w:rsid w:val="00AF5B46"/>
    <w:rsid w:val="00B14F5E"/>
    <w:rsid w:val="00B21D10"/>
    <w:rsid w:val="00B42718"/>
    <w:rsid w:val="00B42CC8"/>
    <w:rsid w:val="00B565C1"/>
    <w:rsid w:val="00B631C6"/>
    <w:rsid w:val="00B85F94"/>
    <w:rsid w:val="00B91E81"/>
    <w:rsid w:val="00B92CBA"/>
    <w:rsid w:val="00BC4363"/>
    <w:rsid w:val="00BC48C6"/>
    <w:rsid w:val="00BF21A4"/>
    <w:rsid w:val="00C144F5"/>
    <w:rsid w:val="00C155C5"/>
    <w:rsid w:val="00C16242"/>
    <w:rsid w:val="00C17B63"/>
    <w:rsid w:val="00C24D9D"/>
    <w:rsid w:val="00C412AD"/>
    <w:rsid w:val="00C42861"/>
    <w:rsid w:val="00C451DB"/>
    <w:rsid w:val="00C50517"/>
    <w:rsid w:val="00C761C3"/>
    <w:rsid w:val="00C855D2"/>
    <w:rsid w:val="00CC4FC8"/>
    <w:rsid w:val="00CC6222"/>
    <w:rsid w:val="00CD1D27"/>
    <w:rsid w:val="00CD69B5"/>
    <w:rsid w:val="00CE08ED"/>
    <w:rsid w:val="00CF43B6"/>
    <w:rsid w:val="00D010BF"/>
    <w:rsid w:val="00D139FF"/>
    <w:rsid w:val="00D20726"/>
    <w:rsid w:val="00D24682"/>
    <w:rsid w:val="00D261F1"/>
    <w:rsid w:val="00D3167B"/>
    <w:rsid w:val="00D370DD"/>
    <w:rsid w:val="00D55115"/>
    <w:rsid w:val="00D5523A"/>
    <w:rsid w:val="00D60D55"/>
    <w:rsid w:val="00D7286A"/>
    <w:rsid w:val="00D72CDA"/>
    <w:rsid w:val="00D8111E"/>
    <w:rsid w:val="00D813D9"/>
    <w:rsid w:val="00D8419C"/>
    <w:rsid w:val="00D86845"/>
    <w:rsid w:val="00DA1D88"/>
    <w:rsid w:val="00DA2E40"/>
    <w:rsid w:val="00DB7E16"/>
    <w:rsid w:val="00DC53AA"/>
    <w:rsid w:val="00DF39FA"/>
    <w:rsid w:val="00DF55AA"/>
    <w:rsid w:val="00E17DB3"/>
    <w:rsid w:val="00E21E7A"/>
    <w:rsid w:val="00E25975"/>
    <w:rsid w:val="00E26037"/>
    <w:rsid w:val="00E27BCF"/>
    <w:rsid w:val="00E33266"/>
    <w:rsid w:val="00E50133"/>
    <w:rsid w:val="00E5372B"/>
    <w:rsid w:val="00E6065C"/>
    <w:rsid w:val="00E64609"/>
    <w:rsid w:val="00E650A0"/>
    <w:rsid w:val="00E65984"/>
    <w:rsid w:val="00E66119"/>
    <w:rsid w:val="00E728D5"/>
    <w:rsid w:val="00EA0235"/>
    <w:rsid w:val="00EC39CC"/>
    <w:rsid w:val="00EE0FE9"/>
    <w:rsid w:val="00EE46D3"/>
    <w:rsid w:val="00EE53EF"/>
    <w:rsid w:val="00F02F17"/>
    <w:rsid w:val="00F11A63"/>
    <w:rsid w:val="00F233F2"/>
    <w:rsid w:val="00F755E4"/>
    <w:rsid w:val="00F822DD"/>
    <w:rsid w:val="00F92021"/>
    <w:rsid w:val="00F934D2"/>
    <w:rsid w:val="00FB2A25"/>
    <w:rsid w:val="00FB2D5A"/>
    <w:rsid w:val="00FC0666"/>
    <w:rsid w:val="00FC4695"/>
    <w:rsid w:val="00FD3065"/>
    <w:rsid w:val="010463C0"/>
    <w:rsid w:val="01060E57"/>
    <w:rsid w:val="011741EC"/>
    <w:rsid w:val="017B11E4"/>
    <w:rsid w:val="01971E0E"/>
    <w:rsid w:val="01997B86"/>
    <w:rsid w:val="01AF70E0"/>
    <w:rsid w:val="01F94903"/>
    <w:rsid w:val="021B38D6"/>
    <w:rsid w:val="025A0EAE"/>
    <w:rsid w:val="027E0F0C"/>
    <w:rsid w:val="028761AC"/>
    <w:rsid w:val="0321620E"/>
    <w:rsid w:val="03590C54"/>
    <w:rsid w:val="0381685A"/>
    <w:rsid w:val="0398428F"/>
    <w:rsid w:val="03C54999"/>
    <w:rsid w:val="03E20CAE"/>
    <w:rsid w:val="03EA33E4"/>
    <w:rsid w:val="042471E9"/>
    <w:rsid w:val="0439071D"/>
    <w:rsid w:val="054B35C3"/>
    <w:rsid w:val="056F72B2"/>
    <w:rsid w:val="05A63EA4"/>
    <w:rsid w:val="05B60A3D"/>
    <w:rsid w:val="05C8156D"/>
    <w:rsid w:val="05D32D72"/>
    <w:rsid w:val="06186C66"/>
    <w:rsid w:val="063D0341"/>
    <w:rsid w:val="063E3F2F"/>
    <w:rsid w:val="06430792"/>
    <w:rsid w:val="065668D5"/>
    <w:rsid w:val="065D174D"/>
    <w:rsid w:val="066119F2"/>
    <w:rsid w:val="06BC2999"/>
    <w:rsid w:val="06CB63F2"/>
    <w:rsid w:val="06DB536C"/>
    <w:rsid w:val="06DE25BD"/>
    <w:rsid w:val="06F428D3"/>
    <w:rsid w:val="07035F04"/>
    <w:rsid w:val="07131E2F"/>
    <w:rsid w:val="07A101BC"/>
    <w:rsid w:val="07A80859"/>
    <w:rsid w:val="07A96EF1"/>
    <w:rsid w:val="07E432CB"/>
    <w:rsid w:val="080E6C7D"/>
    <w:rsid w:val="081465CD"/>
    <w:rsid w:val="081F7ACB"/>
    <w:rsid w:val="083B2861"/>
    <w:rsid w:val="083E5CF2"/>
    <w:rsid w:val="086539D4"/>
    <w:rsid w:val="08693CA8"/>
    <w:rsid w:val="08C2594B"/>
    <w:rsid w:val="08E61A2F"/>
    <w:rsid w:val="09132198"/>
    <w:rsid w:val="09145E8C"/>
    <w:rsid w:val="098A46BA"/>
    <w:rsid w:val="098C3C4F"/>
    <w:rsid w:val="09A45698"/>
    <w:rsid w:val="0A0A75A9"/>
    <w:rsid w:val="0A2A19F9"/>
    <w:rsid w:val="0A4923BA"/>
    <w:rsid w:val="0A5E5950"/>
    <w:rsid w:val="0A602110"/>
    <w:rsid w:val="0A657C1F"/>
    <w:rsid w:val="0A682522"/>
    <w:rsid w:val="0AA172AF"/>
    <w:rsid w:val="0AB468E7"/>
    <w:rsid w:val="0ACB4F8A"/>
    <w:rsid w:val="0AFB20EB"/>
    <w:rsid w:val="0B39771C"/>
    <w:rsid w:val="0B442B8B"/>
    <w:rsid w:val="0B701016"/>
    <w:rsid w:val="0B775EED"/>
    <w:rsid w:val="0B8D2EDF"/>
    <w:rsid w:val="0B954D3B"/>
    <w:rsid w:val="0BA42B00"/>
    <w:rsid w:val="0BB66F9D"/>
    <w:rsid w:val="0BC26CDF"/>
    <w:rsid w:val="0BEC7117"/>
    <w:rsid w:val="0C01398D"/>
    <w:rsid w:val="0C267B96"/>
    <w:rsid w:val="0C375A9E"/>
    <w:rsid w:val="0C6E281E"/>
    <w:rsid w:val="0C721BBD"/>
    <w:rsid w:val="0C79013C"/>
    <w:rsid w:val="0D6E7E4F"/>
    <w:rsid w:val="0DB61460"/>
    <w:rsid w:val="0DC479F8"/>
    <w:rsid w:val="0E1C709C"/>
    <w:rsid w:val="0E376F2D"/>
    <w:rsid w:val="0E5639E2"/>
    <w:rsid w:val="0EA76125"/>
    <w:rsid w:val="0ED56EC0"/>
    <w:rsid w:val="0EF2164A"/>
    <w:rsid w:val="0EF70D76"/>
    <w:rsid w:val="0F035E42"/>
    <w:rsid w:val="0F285644"/>
    <w:rsid w:val="0F543B8D"/>
    <w:rsid w:val="0F7667A3"/>
    <w:rsid w:val="0F9B1703"/>
    <w:rsid w:val="0FF55454"/>
    <w:rsid w:val="1059224B"/>
    <w:rsid w:val="10B23236"/>
    <w:rsid w:val="10E51B2D"/>
    <w:rsid w:val="10F13443"/>
    <w:rsid w:val="111C76D5"/>
    <w:rsid w:val="111F7496"/>
    <w:rsid w:val="1131764B"/>
    <w:rsid w:val="11823B88"/>
    <w:rsid w:val="11875983"/>
    <w:rsid w:val="11A9498E"/>
    <w:rsid w:val="12063330"/>
    <w:rsid w:val="121D6D03"/>
    <w:rsid w:val="12280586"/>
    <w:rsid w:val="12863E8D"/>
    <w:rsid w:val="129A0BF4"/>
    <w:rsid w:val="12BA0B34"/>
    <w:rsid w:val="12D62DD1"/>
    <w:rsid w:val="12E22091"/>
    <w:rsid w:val="134346DD"/>
    <w:rsid w:val="13525B1D"/>
    <w:rsid w:val="13786A78"/>
    <w:rsid w:val="1391297D"/>
    <w:rsid w:val="13C9087A"/>
    <w:rsid w:val="13E27691"/>
    <w:rsid w:val="13EE6AFE"/>
    <w:rsid w:val="14131B2F"/>
    <w:rsid w:val="148776E6"/>
    <w:rsid w:val="148E08AF"/>
    <w:rsid w:val="14A0536F"/>
    <w:rsid w:val="14A111BB"/>
    <w:rsid w:val="14F11A91"/>
    <w:rsid w:val="152D3CA2"/>
    <w:rsid w:val="15596B21"/>
    <w:rsid w:val="158A50D9"/>
    <w:rsid w:val="159C5AAA"/>
    <w:rsid w:val="15DE1955"/>
    <w:rsid w:val="15ED670C"/>
    <w:rsid w:val="15FD289E"/>
    <w:rsid w:val="16143A43"/>
    <w:rsid w:val="1625131D"/>
    <w:rsid w:val="1625519F"/>
    <w:rsid w:val="16B71235"/>
    <w:rsid w:val="16E263D9"/>
    <w:rsid w:val="16F92397"/>
    <w:rsid w:val="170B7266"/>
    <w:rsid w:val="17306175"/>
    <w:rsid w:val="179C6C71"/>
    <w:rsid w:val="17DF9E71"/>
    <w:rsid w:val="18020EC7"/>
    <w:rsid w:val="181A5C27"/>
    <w:rsid w:val="186A1F1C"/>
    <w:rsid w:val="18710EAF"/>
    <w:rsid w:val="18AD55A7"/>
    <w:rsid w:val="18BB7089"/>
    <w:rsid w:val="18BD7334"/>
    <w:rsid w:val="18D5648B"/>
    <w:rsid w:val="18DD3D6C"/>
    <w:rsid w:val="18EA0C81"/>
    <w:rsid w:val="18F45E3C"/>
    <w:rsid w:val="190C5AC4"/>
    <w:rsid w:val="19451CE8"/>
    <w:rsid w:val="195C0AA1"/>
    <w:rsid w:val="19861E0C"/>
    <w:rsid w:val="19935D18"/>
    <w:rsid w:val="19AA160C"/>
    <w:rsid w:val="19F90E24"/>
    <w:rsid w:val="1A0F0AAF"/>
    <w:rsid w:val="1A6139B6"/>
    <w:rsid w:val="1A6A72B2"/>
    <w:rsid w:val="1A863A36"/>
    <w:rsid w:val="1A8B3A3C"/>
    <w:rsid w:val="1ADA6B2E"/>
    <w:rsid w:val="1AFC6A9A"/>
    <w:rsid w:val="1B135236"/>
    <w:rsid w:val="1B2751FA"/>
    <w:rsid w:val="1B302E05"/>
    <w:rsid w:val="1B4835D3"/>
    <w:rsid w:val="1B4C67E9"/>
    <w:rsid w:val="1B805F09"/>
    <w:rsid w:val="1B931654"/>
    <w:rsid w:val="1BBA5A30"/>
    <w:rsid w:val="1BC312F0"/>
    <w:rsid w:val="1BCC794D"/>
    <w:rsid w:val="1BFE53FB"/>
    <w:rsid w:val="1C6E1C1A"/>
    <w:rsid w:val="1C997ABB"/>
    <w:rsid w:val="1CA62F15"/>
    <w:rsid w:val="1CAA6275"/>
    <w:rsid w:val="1CB03FE0"/>
    <w:rsid w:val="1CDD713F"/>
    <w:rsid w:val="1CE119EA"/>
    <w:rsid w:val="1CEA23DB"/>
    <w:rsid w:val="1CED6FE2"/>
    <w:rsid w:val="1D1C2964"/>
    <w:rsid w:val="1D6D0123"/>
    <w:rsid w:val="1D880672"/>
    <w:rsid w:val="1D8A14AC"/>
    <w:rsid w:val="1DC406B6"/>
    <w:rsid w:val="1E33290C"/>
    <w:rsid w:val="1E3B77AC"/>
    <w:rsid w:val="1E3E1512"/>
    <w:rsid w:val="1E504077"/>
    <w:rsid w:val="1E7E1D87"/>
    <w:rsid w:val="1EB62C6B"/>
    <w:rsid w:val="1EB83620"/>
    <w:rsid w:val="1EEA1CCF"/>
    <w:rsid w:val="1EFF8184"/>
    <w:rsid w:val="1F503858"/>
    <w:rsid w:val="1F7B5163"/>
    <w:rsid w:val="1F805714"/>
    <w:rsid w:val="1FBD512F"/>
    <w:rsid w:val="1FC61D07"/>
    <w:rsid w:val="1FD261C8"/>
    <w:rsid w:val="1FE87259"/>
    <w:rsid w:val="1FF40688"/>
    <w:rsid w:val="20124806"/>
    <w:rsid w:val="201D2FAF"/>
    <w:rsid w:val="202B3A78"/>
    <w:rsid w:val="204E1C94"/>
    <w:rsid w:val="206C5B63"/>
    <w:rsid w:val="20772B74"/>
    <w:rsid w:val="207B6B81"/>
    <w:rsid w:val="207C0691"/>
    <w:rsid w:val="20912A41"/>
    <w:rsid w:val="20D94D7A"/>
    <w:rsid w:val="20FA0E09"/>
    <w:rsid w:val="20FA1CCE"/>
    <w:rsid w:val="210D048A"/>
    <w:rsid w:val="212028A5"/>
    <w:rsid w:val="215B2D42"/>
    <w:rsid w:val="215F5FD5"/>
    <w:rsid w:val="217E48DC"/>
    <w:rsid w:val="217E7DE4"/>
    <w:rsid w:val="218633B5"/>
    <w:rsid w:val="218F49E7"/>
    <w:rsid w:val="21D44D4A"/>
    <w:rsid w:val="21EB14A9"/>
    <w:rsid w:val="220D1BD3"/>
    <w:rsid w:val="223E0E20"/>
    <w:rsid w:val="228F760F"/>
    <w:rsid w:val="2290738C"/>
    <w:rsid w:val="22CA1B74"/>
    <w:rsid w:val="22EA4788"/>
    <w:rsid w:val="232373AB"/>
    <w:rsid w:val="237A05FB"/>
    <w:rsid w:val="23BF0FAD"/>
    <w:rsid w:val="23CF6B0D"/>
    <w:rsid w:val="23F40C70"/>
    <w:rsid w:val="23FE1F7C"/>
    <w:rsid w:val="244333C9"/>
    <w:rsid w:val="2452088C"/>
    <w:rsid w:val="245438FA"/>
    <w:rsid w:val="245908AB"/>
    <w:rsid w:val="247F5AF3"/>
    <w:rsid w:val="24AE11E7"/>
    <w:rsid w:val="24C40BCE"/>
    <w:rsid w:val="24E07AA9"/>
    <w:rsid w:val="250A7649"/>
    <w:rsid w:val="252E6940"/>
    <w:rsid w:val="259B0306"/>
    <w:rsid w:val="25AA34FA"/>
    <w:rsid w:val="260450DB"/>
    <w:rsid w:val="260A43C4"/>
    <w:rsid w:val="263E4D31"/>
    <w:rsid w:val="26603EEC"/>
    <w:rsid w:val="26684CDE"/>
    <w:rsid w:val="27040A42"/>
    <w:rsid w:val="271726E6"/>
    <w:rsid w:val="27244F45"/>
    <w:rsid w:val="27A6670B"/>
    <w:rsid w:val="28107138"/>
    <w:rsid w:val="284E31A4"/>
    <w:rsid w:val="285A2058"/>
    <w:rsid w:val="28A71244"/>
    <w:rsid w:val="28B93A68"/>
    <w:rsid w:val="28C421B7"/>
    <w:rsid w:val="2937299B"/>
    <w:rsid w:val="295A20D5"/>
    <w:rsid w:val="29684E21"/>
    <w:rsid w:val="29835AE8"/>
    <w:rsid w:val="29C74B3E"/>
    <w:rsid w:val="2A263C57"/>
    <w:rsid w:val="2A3D322A"/>
    <w:rsid w:val="2A5F2A78"/>
    <w:rsid w:val="2A6E2B9C"/>
    <w:rsid w:val="2A7E7864"/>
    <w:rsid w:val="2AB67373"/>
    <w:rsid w:val="2B3D6DE7"/>
    <w:rsid w:val="2B715282"/>
    <w:rsid w:val="2BB3A34D"/>
    <w:rsid w:val="2BD575BF"/>
    <w:rsid w:val="2BF46540"/>
    <w:rsid w:val="2C30272D"/>
    <w:rsid w:val="2CCD1ED9"/>
    <w:rsid w:val="2CF26F14"/>
    <w:rsid w:val="2D577592"/>
    <w:rsid w:val="2DA5034C"/>
    <w:rsid w:val="2DCD3492"/>
    <w:rsid w:val="2DE46E9B"/>
    <w:rsid w:val="2DFB52D7"/>
    <w:rsid w:val="2E06553F"/>
    <w:rsid w:val="2E084BF6"/>
    <w:rsid w:val="2E3600BD"/>
    <w:rsid w:val="2E7069A0"/>
    <w:rsid w:val="2E875739"/>
    <w:rsid w:val="2E951CED"/>
    <w:rsid w:val="2EA33C77"/>
    <w:rsid w:val="2F052F13"/>
    <w:rsid w:val="2F0A292D"/>
    <w:rsid w:val="2F464253"/>
    <w:rsid w:val="2F4F0045"/>
    <w:rsid w:val="2F635346"/>
    <w:rsid w:val="2F943AD9"/>
    <w:rsid w:val="2FB031A3"/>
    <w:rsid w:val="2FCE2CA3"/>
    <w:rsid w:val="304114DC"/>
    <w:rsid w:val="305D2219"/>
    <w:rsid w:val="30782C0F"/>
    <w:rsid w:val="30A60AD4"/>
    <w:rsid w:val="30D07B1E"/>
    <w:rsid w:val="30ED5F01"/>
    <w:rsid w:val="3159659D"/>
    <w:rsid w:val="316B00B6"/>
    <w:rsid w:val="31C2381F"/>
    <w:rsid w:val="31D9148B"/>
    <w:rsid w:val="31DA5B23"/>
    <w:rsid w:val="32082F55"/>
    <w:rsid w:val="32560392"/>
    <w:rsid w:val="32650151"/>
    <w:rsid w:val="327A0EC0"/>
    <w:rsid w:val="327A1457"/>
    <w:rsid w:val="32907CF0"/>
    <w:rsid w:val="329621D1"/>
    <w:rsid w:val="3349472F"/>
    <w:rsid w:val="33587DCF"/>
    <w:rsid w:val="33783383"/>
    <w:rsid w:val="338B7D26"/>
    <w:rsid w:val="341F134A"/>
    <w:rsid w:val="34304CDC"/>
    <w:rsid w:val="343D4956"/>
    <w:rsid w:val="344C063B"/>
    <w:rsid w:val="348E71EC"/>
    <w:rsid w:val="34921925"/>
    <w:rsid w:val="349E6B9A"/>
    <w:rsid w:val="34C01A98"/>
    <w:rsid w:val="34C810AC"/>
    <w:rsid w:val="354236FF"/>
    <w:rsid w:val="35457492"/>
    <w:rsid w:val="35621730"/>
    <w:rsid w:val="357B7513"/>
    <w:rsid w:val="35B174FB"/>
    <w:rsid w:val="36195880"/>
    <w:rsid w:val="36372C24"/>
    <w:rsid w:val="36487DF8"/>
    <w:rsid w:val="365419A8"/>
    <w:rsid w:val="36586F80"/>
    <w:rsid w:val="36604355"/>
    <w:rsid w:val="369D1B2B"/>
    <w:rsid w:val="36C90E91"/>
    <w:rsid w:val="36DA1B06"/>
    <w:rsid w:val="36F60605"/>
    <w:rsid w:val="372D7623"/>
    <w:rsid w:val="3769048F"/>
    <w:rsid w:val="376E6515"/>
    <w:rsid w:val="378356B4"/>
    <w:rsid w:val="37F30DCD"/>
    <w:rsid w:val="38991754"/>
    <w:rsid w:val="38A10829"/>
    <w:rsid w:val="38DF0F8E"/>
    <w:rsid w:val="39043433"/>
    <w:rsid w:val="393056E5"/>
    <w:rsid w:val="39460A09"/>
    <w:rsid w:val="396226AE"/>
    <w:rsid w:val="39975D1E"/>
    <w:rsid w:val="39EF3F42"/>
    <w:rsid w:val="3A6671E8"/>
    <w:rsid w:val="3A7242E4"/>
    <w:rsid w:val="3AA559DB"/>
    <w:rsid w:val="3AEA295B"/>
    <w:rsid w:val="3B960F61"/>
    <w:rsid w:val="3B9F11A4"/>
    <w:rsid w:val="3BE0555B"/>
    <w:rsid w:val="3C094F52"/>
    <w:rsid w:val="3C37397E"/>
    <w:rsid w:val="3C3877B5"/>
    <w:rsid w:val="3C3D6ABB"/>
    <w:rsid w:val="3C6C6CAD"/>
    <w:rsid w:val="3C937574"/>
    <w:rsid w:val="3C993CB3"/>
    <w:rsid w:val="3CA2646B"/>
    <w:rsid w:val="3CB006C5"/>
    <w:rsid w:val="3CB054DF"/>
    <w:rsid w:val="3CB669F0"/>
    <w:rsid w:val="3CC332D9"/>
    <w:rsid w:val="3CCA4C70"/>
    <w:rsid w:val="3CF8135F"/>
    <w:rsid w:val="3D356C89"/>
    <w:rsid w:val="3D5CBD80"/>
    <w:rsid w:val="3D7D3582"/>
    <w:rsid w:val="3D7FB0BC"/>
    <w:rsid w:val="3D954E00"/>
    <w:rsid w:val="3D9756ED"/>
    <w:rsid w:val="3DBD0A04"/>
    <w:rsid w:val="3DD415DA"/>
    <w:rsid w:val="3DF656A6"/>
    <w:rsid w:val="3E0C7BDA"/>
    <w:rsid w:val="3E5A021A"/>
    <w:rsid w:val="3E68596A"/>
    <w:rsid w:val="3E7C4BA8"/>
    <w:rsid w:val="3EB06E76"/>
    <w:rsid w:val="3EB6421A"/>
    <w:rsid w:val="3EBF32D1"/>
    <w:rsid w:val="3F1B3F55"/>
    <w:rsid w:val="3F1E3A4F"/>
    <w:rsid w:val="3F56179F"/>
    <w:rsid w:val="3F5AB3C8"/>
    <w:rsid w:val="3F7057D5"/>
    <w:rsid w:val="3F7F4C83"/>
    <w:rsid w:val="3F862DDC"/>
    <w:rsid w:val="3FC6325B"/>
    <w:rsid w:val="3FDE82F7"/>
    <w:rsid w:val="3FEBE777"/>
    <w:rsid w:val="400820C7"/>
    <w:rsid w:val="40A22E48"/>
    <w:rsid w:val="40A8626E"/>
    <w:rsid w:val="40ED4F53"/>
    <w:rsid w:val="40F60E96"/>
    <w:rsid w:val="40FB7670"/>
    <w:rsid w:val="412B6F0B"/>
    <w:rsid w:val="41340308"/>
    <w:rsid w:val="41434B73"/>
    <w:rsid w:val="41523F72"/>
    <w:rsid w:val="41880171"/>
    <w:rsid w:val="419E7FFC"/>
    <w:rsid w:val="419F54F4"/>
    <w:rsid w:val="41AA2E44"/>
    <w:rsid w:val="41FF18A8"/>
    <w:rsid w:val="41FF445A"/>
    <w:rsid w:val="41FF563E"/>
    <w:rsid w:val="42480731"/>
    <w:rsid w:val="427504D1"/>
    <w:rsid w:val="42CD488F"/>
    <w:rsid w:val="433C3F2B"/>
    <w:rsid w:val="433E247D"/>
    <w:rsid w:val="438C0F2D"/>
    <w:rsid w:val="43907203"/>
    <w:rsid w:val="43A31A4C"/>
    <w:rsid w:val="43B659E9"/>
    <w:rsid w:val="43B94602"/>
    <w:rsid w:val="43C0058A"/>
    <w:rsid w:val="43DB441F"/>
    <w:rsid w:val="445113F5"/>
    <w:rsid w:val="44670542"/>
    <w:rsid w:val="448773C5"/>
    <w:rsid w:val="44931EFC"/>
    <w:rsid w:val="44C7022A"/>
    <w:rsid w:val="45042056"/>
    <w:rsid w:val="45132AAF"/>
    <w:rsid w:val="45183B8F"/>
    <w:rsid w:val="45381CCE"/>
    <w:rsid w:val="455166AF"/>
    <w:rsid w:val="45641EE8"/>
    <w:rsid w:val="45674245"/>
    <w:rsid w:val="457C6DC4"/>
    <w:rsid w:val="45CF0856"/>
    <w:rsid w:val="45DB0ED8"/>
    <w:rsid w:val="45E77F09"/>
    <w:rsid w:val="4613046D"/>
    <w:rsid w:val="46373BAB"/>
    <w:rsid w:val="463900F9"/>
    <w:rsid w:val="468268F2"/>
    <w:rsid w:val="46845B32"/>
    <w:rsid w:val="46916156"/>
    <w:rsid w:val="46AD1426"/>
    <w:rsid w:val="4779566D"/>
    <w:rsid w:val="478E68AB"/>
    <w:rsid w:val="4792063A"/>
    <w:rsid w:val="47A32AC4"/>
    <w:rsid w:val="47CD234C"/>
    <w:rsid w:val="47E06F5A"/>
    <w:rsid w:val="47E115BA"/>
    <w:rsid w:val="47E86474"/>
    <w:rsid w:val="47FB3610"/>
    <w:rsid w:val="47FFDCAD"/>
    <w:rsid w:val="48053FF0"/>
    <w:rsid w:val="48DF43F1"/>
    <w:rsid w:val="48E82B89"/>
    <w:rsid w:val="48EB621C"/>
    <w:rsid w:val="49071BB1"/>
    <w:rsid w:val="492D715F"/>
    <w:rsid w:val="49413E94"/>
    <w:rsid w:val="494874EC"/>
    <w:rsid w:val="49497666"/>
    <w:rsid w:val="494A3178"/>
    <w:rsid w:val="494E63B9"/>
    <w:rsid w:val="495B28A6"/>
    <w:rsid w:val="499350F6"/>
    <w:rsid w:val="4A126315"/>
    <w:rsid w:val="4A165C50"/>
    <w:rsid w:val="4A5B6757"/>
    <w:rsid w:val="4A70502C"/>
    <w:rsid w:val="4A8E6D7F"/>
    <w:rsid w:val="4A9954C8"/>
    <w:rsid w:val="4ABC3D39"/>
    <w:rsid w:val="4ABF56BD"/>
    <w:rsid w:val="4AFE3EC0"/>
    <w:rsid w:val="4AFF5FAF"/>
    <w:rsid w:val="4B26353C"/>
    <w:rsid w:val="4B4F1B95"/>
    <w:rsid w:val="4B7111F6"/>
    <w:rsid w:val="4B8D5F33"/>
    <w:rsid w:val="4BAA65ED"/>
    <w:rsid w:val="4BED4C92"/>
    <w:rsid w:val="4C0C2C2A"/>
    <w:rsid w:val="4C400A5D"/>
    <w:rsid w:val="4C5C7584"/>
    <w:rsid w:val="4C6E3FE0"/>
    <w:rsid w:val="4C9C5C45"/>
    <w:rsid w:val="4CCB0F1F"/>
    <w:rsid w:val="4CE0331A"/>
    <w:rsid w:val="4D0966D6"/>
    <w:rsid w:val="4D4F6125"/>
    <w:rsid w:val="4D625E8A"/>
    <w:rsid w:val="4D862070"/>
    <w:rsid w:val="4DF04237"/>
    <w:rsid w:val="4E1D294C"/>
    <w:rsid w:val="4E504C60"/>
    <w:rsid w:val="4E6B0214"/>
    <w:rsid w:val="4E9F7D33"/>
    <w:rsid w:val="4EA43392"/>
    <w:rsid w:val="4EBA12AE"/>
    <w:rsid w:val="4ED4067D"/>
    <w:rsid w:val="4EEC684A"/>
    <w:rsid w:val="4EF61F46"/>
    <w:rsid w:val="4F0114C4"/>
    <w:rsid w:val="4F273B3B"/>
    <w:rsid w:val="4F2E0C11"/>
    <w:rsid w:val="4F6C6493"/>
    <w:rsid w:val="4F78552A"/>
    <w:rsid w:val="4F7A17CB"/>
    <w:rsid w:val="4FCA6EAC"/>
    <w:rsid w:val="4FE67E15"/>
    <w:rsid w:val="4FF58016"/>
    <w:rsid w:val="501E3557"/>
    <w:rsid w:val="50261964"/>
    <w:rsid w:val="50385873"/>
    <w:rsid w:val="503B53A5"/>
    <w:rsid w:val="505015F8"/>
    <w:rsid w:val="50A45C6A"/>
    <w:rsid w:val="50A54011"/>
    <w:rsid w:val="50E7376D"/>
    <w:rsid w:val="50FA48BC"/>
    <w:rsid w:val="510720B3"/>
    <w:rsid w:val="512D2C28"/>
    <w:rsid w:val="51933F6E"/>
    <w:rsid w:val="51A74CAA"/>
    <w:rsid w:val="51F56071"/>
    <w:rsid w:val="524B7D2C"/>
    <w:rsid w:val="529629D9"/>
    <w:rsid w:val="52F039DF"/>
    <w:rsid w:val="531115ED"/>
    <w:rsid w:val="531722E4"/>
    <w:rsid w:val="53890B0C"/>
    <w:rsid w:val="538E0456"/>
    <w:rsid w:val="53C31946"/>
    <w:rsid w:val="53C90B34"/>
    <w:rsid w:val="53D43DC1"/>
    <w:rsid w:val="53D8003F"/>
    <w:rsid w:val="541147A8"/>
    <w:rsid w:val="54272508"/>
    <w:rsid w:val="54380BDD"/>
    <w:rsid w:val="54554D04"/>
    <w:rsid w:val="5467400B"/>
    <w:rsid w:val="54B63390"/>
    <w:rsid w:val="54C067AF"/>
    <w:rsid w:val="54D0064E"/>
    <w:rsid w:val="54DC110F"/>
    <w:rsid w:val="54EC6C34"/>
    <w:rsid w:val="55041807"/>
    <w:rsid w:val="5521659D"/>
    <w:rsid w:val="552E5A9D"/>
    <w:rsid w:val="555D2250"/>
    <w:rsid w:val="557C3F68"/>
    <w:rsid w:val="558C62BB"/>
    <w:rsid w:val="559450F3"/>
    <w:rsid w:val="55AD0B04"/>
    <w:rsid w:val="55FE1215"/>
    <w:rsid w:val="5662489D"/>
    <w:rsid w:val="566851CB"/>
    <w:rsid w:val="569724BB"/>
    <w:rsid w:val="56DD2066"/>
    <w:rsid w:val="575241A9"/>
    <w:rsid w:val="575949DF"/>
    <w:rsid w:val="57B55115"/>
    <w:rsid w:val="57BF3926"/>
    <w:rsid w:val="57F76157"/>
    <w:rsid w:val="581110D0"/>
    <w:rsid w:val="5833575F"/>
    <w:rsid w:val="58626B59"/>
    <w:rsid w:val="58642F5E"/>
    <w:rsid w:val="58654F91"/>
    <w:rsid w:val="588E2720"/>
    <w:rsid w:val="58965FEE"/>
    <w:rsid w:val="58C477D5"/>
    <w:rsid w:val="58CA6DF8"/>
    <w:rsid w:val="58E91F5D"/>
    <w:rsid w:val="594850DE"/>
    <w:rsid w:val="594A163A"/>
    <w:rsid w:val="595127B4"/>
    <w:rsid w:val="596719A5"/>
    <w:rsid w:val="59C53F20"/>
    <w:rsid w:val="59F937E8"/>
    <w:rsid w:val="59FF9E14"/>
    <w:rsid w:val="5A0715C9"/>
    <w:rsid w:val="5A610E3D"/>
    <w:rsid w:val="5AC05F56"/>
    <w:rsid w:val="5AC8599E"/>
    <w:rsid w:val="5ADA0D54"/>
    <w:rsid w:val="5ADE4E23"/>
    <w:rsid w:val="5AF70A51"/>
    <w:rsid w:val="5B687B8E"/>
    <w:rsid w:val="5B94193F"/>
    <w:rsid w:val="5B9F1F1E"/>
    <w:rsid w:val="5BC55B34"/>
    <w:rsid w:val="5BC93837"/>
    <w:rsid w:val="5BDE751B"/>
    <w:rsid w:val="5BFF5FD2"/>
    <w:rsid w:val="5C0457CE"/>
    <w:rsid w:val="5C205D85"/>
    <w:rsid w:val="5C3071DC"/>
    <w:rsid w:val="5CA1397A"/>
    <w:rsid w:val="5CDD3F6D"/>
    <w:rsid w:val="5CEBF368"/>
    <w:rsid w:val="5CF52D6E"/>
    <w:rsid w:val="5CF95EAD"/>
    <w:rsid w:val="5D017831"/>
    <w:rsid w:val="5D290C69"/>
    <w:rsid w:val="5D470AD8"/>
    <w:rsid w:val="5D470B07"/>
    <w:rsid w:val="5DB34D5B"/>
    <w:rsid w:val="5DBF5DC0"/>
    <w:rsid w:val="5DD24287"/>
    <w:rsid w:val="5DD90083"/>
    <w:rsid w:val="5DD961EC"/>
    <w:rsid w:val="5DEF1908"/>
    <w:rsid w:val="5E0060A6"/>
    <w:rsid w:val="5E2C13BF"/>
    <w:rsid w:val="5E5C600E"/>
    <w:rsid w:val="5E627282"/>
    <w:rsid w:val="5E8A5EC2"/>
    <w:rsid w:val="5EC06D80"/>
    <w:rsid w:val="5ECF505D"/>
    <w:rsid w:val="5EE65064"/>
    <w:rsid w:val="5F1633B2"/>
    <w:rsid w:val="5F7D427D"/>
    <w:rsid w:val="5FB90665"/>
    <w:rsid w:val="5FFBCE80"/>
    <w:rsid w:val="5FFF8E82"/>
    <w:rsid w:val="602F6CB1"/>
    <w:rsid w:val="603C32CD"/>
    <w:rsid w:val="604F6C39"/>
    <w:rsid w:val="606E4F79"/>
    <w:rsid w:val="608E3E02"/>
    <w:rsid w:val="61201C29"/>
    <w:rsid w:val="61407CF6"/>
    <w:rsid w:val="61601309"/>
    <w:rsid w:val="618D7CAC"/>
    <w:rsid w:val="618E50F4"/>
    <w:rsid w:val="61990EC9"/>
    <w:rsid w:val="61BB3DEE"/>
    <w:rsid w:val="62570D4D"/>
    <w:rsid w:val="628538BE"/>
    <w:rsid w:val="629A12B8"/>
    <w:rsid w:val="62A75240"/>
    <w:rsid w:val="62DE6052"/>
    <w:rsid w:val="630737FB"/>
    <w:rsid w:val="631F42A0"/>
    <w:rsid w:val="633F052E"/>
    <w:rsid w:val="63570055"/>
    <w:rsid w:val="63761D71"/>
    <w:rsid w:val="63A73EE2"/>
    <w:rsid w:val="63DD7817"/>
    <w:rsid w:val="63E7369F"/>
    <w:rsid w:val="64146A38"/>
    <w:rsid w:val="641B5D1D"/>
    <w:rsid w:val="646D0818"/>
    <w:rsid w:val="646F3CDE"/>
    <w:rsid w:val="648B3444"/>
    <w:rsid w:val="64EE67E4"/>
    <w:rsid w:val="64FD59F5"/>
    <w:rsid w:val="650D5632"/>
    <w:rsid w:val="65240BC2"/>
    <w:rsid w:val="65A82499"/>
    <w:rsid w:val="65C27E98"/>
    <w:rsid w:val="65C47781"/>
    <w:rsid w:val="65C73A4A"/>
    <w:rsid w:val="65F83E58"/>
    <w:rsid w:val="65F84D89"/>
    <w:rsid w:val="663958EF"/>
    <w:rsid w:val="6666347D"/>
    <w:rsid w:val="66D05577"/>
    <w:rsid w:val="66DC3A95"/>
    <w:rsid w:val="6712451C"/>
    <w:rsid w:val="67326629"/>
    <w:rsid w:val="675644EA"/>
    <w:rsid w:val="67761058"/>
    <w:rsid w:val="67B64151"/>
    <w:rsid w:val="67C60225"/>
    <w:rsid w:val="67E45EB9"/>
    <w:rsid w:val="6847182D"/>
    <w:rsid w:val="68594DC0"/>
    <w:rsid w:val="687618DA"/>
    <w:rsid w:val="68972286"/>
    <w:rsid w:val="68BA690F"/>
    <w:rsid w:val="68F22E53"/>
    <w:rsid w:val="697830E6"/>
    <w:rsid w:val="699E71D2"/>
    <w:rsid w:val="69AE220F"/>
    <w:rsid w:val="69D35ADA"/>
    <w:rsid w:val="69E36C49"/>
    <w:rsid w:val="69F21F18"/>
    <w:rsid w:val="6A512152"/>
    <w:rsid w:val="6A545FE9"/>
    <w:rsid w:val="6A9A6657"/>
    <w:rsid w:val="6AF418AC"/>
    <w:rsid w:val="6B211123"/>
    <w:rsid w:val="6B462C5D"/>
    <w:rsid w:val="6B514E72"/>
    <w:rsid w:val="6B552DE6"/>
    <w:rsid w:val="6B9EB4EC"/>
    <w:rsid w:val="6BE07C1B"/>
    <w:rsid w:val="6BFA806C"/>
    <w:rsid w:val="6C216435"/>
    <w:rsid w:val="6C4822B1"/>
    <w:rsid w:val="6C6121CE"/>
    <w:rsid w:val="6CA46E19"/>
    <w:rsid w:val="6CB151E8"/>
    <w:rsid w:val="6CB77F04"/>
    <w:rsid w:val="6CB9104E"/>
    <w:rsid w:val="6CD26C28"/>
    <w:rsid w:val="6CD97FB6"/>
    <w:rsid w:val="6D120E1C"/>
    <w:rsid w:val="6D291C5E"/>
    <w:rsid w:val="6D6F4380"/>
    <w:rsid w:val="6DA7767F"/>
    <w:rsid w:val="6DD63C5B"/>
    <w:rsid w:val="6E072901"/>
    <w:rsid w:val="6E364A59"/>
    <w:rsid w:val="6E375A36"/>
    <w:rsid w:val="6E4BC4BD"/>
    <w:rsid w:val="6E675F37"/>
    <w:rsid w:val="6E797B5B"/>
    <w:rsid w:val="6EB02F99"/>
    <w:rsid w:val="6EBD40CA"/>
    <w:rsid w:val="6EC01B4F"/>
    <w:rsid w:val="6EE03D18"/>
    <w:rsid w:val="6F055DE1"/>
    <w:rsid w:val="6F11207D"/>
    <w:rsid w:val="6F125A01"/>
    <w:rsid w:val="6F4B4EF8"/>
    <w:rsid w:val="6F5DBFB2"/>
    <w:rsid w:val="6F6B1863"/>
    <w:rsid w:val="6FCA62DC"/>
    <w:rsid w:val="6FDCD71F"/>
    <w:rsid w:val="6FDF6E85"/>
    <w:rsid w:val="701E031B"/>
    <w:rsid w:val="702E219E"/>
    <w:rsid w:val="704F74C1"/>
    <w:rsid w:val="705C1B7E"/>
    <w:rsid w:val="70652E88"/>
    <w:rsid w:val="707507AD"/>
    <w:rsid w:val="70C64CF5"/>
    <w:rsid w:val="71157A12"/>
    <w:rsid w:val="71597917"/>
    <w:rsid w:val="717A762F"/>
    <w:rsid w:val="71862469"/>
    <w:rsid w:val="71C62FAF"/>
    <w:rsid w:val="71C75C3A"/>
    <w:rsid w:val="71E30E7E"/>
    <w:rsid w:val="71FD2BFE"/>
    <w:rsid w:val="72143865"/>
    <w:rsid w:val="722049A7"/>
    <w:rsid w:val="72290CBC"/>
    <w:rsid w:val="726625D4"/>
    <w:rsid w:val="7282296A"/>
    <w:rsid w:val="7290472F"/>
    <w:rsid w:val="72A26A06"/>
    <w:rsid w:val="72C122BC"/>
    <w:rsid w:val="730B73C1"/>
    <w:rsid w:val="73352289"/>
    <w:rsid w:val="73A14557"/>
    <w:rsid w:val="73A366DD"/>
    <w:rsid w:val="73F918E7"/>
    <w:rsid w:val="74170252"/>
    <w:rsid w:val="74240778"/>
    <w:rsid w:val="743A5F4F"/>
    <w:rsid w:val="746E12CD"/>
    <w:rsid w:val="74995AD1"/>
    <w:rsid w:val="74995BB2"/>
    <w:rsid w:val="7508481E"/>
    <w:rsid w:val="75122901"/>
    <w:rsid w:val="751C1EA0"/>
    <w:rsid w:val="75327609"/>
    <w:rsid w:val="75695C4F"/>
    <w:rsid w:val="756B19C7"/>
    <w:rsid w:val="75750F4D"/>
    <w:rsid w:val="75A807F2"/>
    <w:rsid w:val="75BE00B1"/>
    <w:rsid w:val="75DE4AD5"/>
    <w:rsid w:val="75E556AF"/>
    <w:rsid w:val="75FBCD7E"/>
    <w:rsid w:val="75FE4F30"/>
    <w:rsid w:val="761066A9"/>
    <w:rsid w:val="769470E1"/>
    <w:rsid w:val="769768F4"/>
    <w:rsid w:val="76A61B2E"/>
    <w:rsid w:val="777FCD40"/>
    <w:rsid w:val="77983823"/>
    <w:rsid w:val="77B73469"/>
    <w:rsid w:val="77B74889"/>
    <w:rsid w:val="77CD630F"/>
    <w:rsid w:val="77DB1A01"/>
    <w:rsid w:val="77EA1D64"/>
    <w:rsid w:val="780F0B38"/>
    <w:rsid w:val="78154586"/>
    <w:rsid w:val="782B1730"/>
    <w:rsid w:val="78465777"/>
    <w:rsid w:val="78874F68"/>
    <w:rsid w:val="788F5C3B"/>
    <w:rsid w:val="78B00B64"/>
    <w:rsid w:val="78C65B31"/>
    <w:rsid w:val="78F21029"/>
    <w:rsid w:val="791D1E65"/>
    <w:rsid w:val="792F44BB"/>
    <w:rsid w:val="793A0ABE"/>
    <w:rsid w:val="79A0162E"/>
    <w:rsid w:val="79A63CAC"/>
    <w:rsid w:val="79FC62EA"/>
    <w:rsid w:val="7A1EF845"/>
    <w:rsid w:val="7A2A3F57"/>
    <w:rsid w:val="7A563A82"/>
    <w:rsid w:val="7A59751D"/>
    <w:rsid w:val="7A68550F"/>
    <w:rsid w:val="7A8B0DCD"/>
    <w:rsid w:val="7AB91F64"/>
    <w:rsid w:val="7ABA6A04"/>
    <w:rsid w:val="7ADA0446"/>
    <w:rsid w:val="7AE00D04"/>
    <w:rsid w:val="7B042536"/>
    <w:rsid w:val="7B4E338C"/>
    <w:rsid w:val="7B624BF7"/>
    <w:rsid w:val="7B7D42D2"/>
    <w:rsid w:val="7B935C49"/>
    <w:rsid w:val="7BC35BA0"/>
    <w:rsid w:val="7C1E215E"/>
    <w:rsid w:val="7C2208CA"/>
    <w:rsid w:val="7C35AD77"/>
    <w:rsid w:val="7CBA14C8"/>
    <w:rsid w:val="7CBA5F38"/>
    <w:rsid w:val="7CDEB71B"/>
    <w:rsid w:val="7CEE1215"/>
    <w:rsid w:val="7CF30BE1"/>
    <w:rsid w:val="7CF71E3F"/>
    <w:rsid w:val="7CFC48FC"/>
    <w:rsid w:val="7D437B0A"/>
    <w:rsid w:val="7D694D04"/>
    <w:rsid w:val="7D8008FA"/>
    <w:rsid w:val="7DAFFB50"/>
    <w:rsid w:val="7DB2572D"/>
    <w:rsid w:val="7DDF3B17"/>
    <w:rsid w:val="7DEB81F6"/>
    <w:rsid w:val="7E1C3465"/>
    <w:rsid w:val="7E237595"/>
    <w:rsid w:val="7E3740BB"/>
    <w:rsid w:val="7E41504B"/>
    <w:rsid w:val="7E5B34D3"/>
    <w:rsid w:val="7E7C4598"/>
    <w:rsid w:val="7EA54836"/>
    <w:rsid w:val="7ECB41DB"/>
    <w:rsid w:val="7EDAB6D1"/>
    <w:rsid w:val="7EDD0180"/>
    <w:rsid w:val="7F496F4C"/>
    <w:rsid w:val="7F9B8C83"/>
    <w:rsid w:val="7FAD2353"/>
    <w:rsid w:val="7FBF9783"/>
    <w:rsid w:val="7FC1364B"/>
    <w:rsid w:val="7FDBFC45"/>
    <w:rsid w:val="7FE718FF"/>
    <w:rsid w:val="7FFB17A7"/>
    <w:rsid w:val="7FFC0C4A"/>
    <w:rsid w:val="7FFF467F"/>
    <w:rsid w:val="B57F5436"/>
    <w:rsid w:val="BBFB8DC5"/>
    <w:rsid w:val="BEBFBAEB"/>
    <w:rsid w:val="BEFE15A7"/>
    <w:rsid w:val="BFEEBC32"/>
    <w:rsid w:val="BFF6FB84"/>
    <w:rsid w:val="CFDB90E0"/>
    <w:rsid w:val="D75D7127"/>
    <w:rsid w:val="DCFF6989"/>
    <w:rsid w:val="DEFD8A0D"/>
    <w:rsid w:val="DFCDF6B7"/>
    <w:rsid w:val="DFCED4FF"/>
    <w:rsid w:val="DFFDAC87"/>
    <w:rsid w:val="E5F57EB6"/>
    <w:rsid w:val="E5FB5E7F"/>
    <w:rsid w:val="E7EF1F2D"/>
    <w:rsid w:val="E9BF572B"/>
    <w:rsid w:val="EFEFDF67"/>
    <w:rsid w:val="EFF210A5"/>
    <w:rsid w:val="F32BEA20"/>
    <w:rsid w:val="F3F71DAB"/>
    <w:rsid w:val="F3FB1036"/>
    <w:rsid w:val="F4DB9A57"/>
    <w:rsid w:val="F79F4D83"/>
    <w:rsid w:val="F7BF3339"/>
    <w:rsid w:val="F7FFACF7"/>
    <w:rsid w:val="F8B80122"/>
    <w:rsid w:val="F9E7476A"/>
    <w:rsid w:val="F9F7244C"/>
    <w:rsid w:val="F9FB2A73"/>
    <w:rsid w:val="FAFDA85D"/>
    <w:rsid w:val="FB8F55DC"/>
    <w:rsid w:val="FBCF7ABF"/>
    <w:rsid w:val="FBFC24CF"/>
    <w:rsid w:val="FCE7CF55"/>
    <w:rsid w:val="FCF7F34B"/>
    <w:rsid w:val="FDDF1BDF"/>
    <w:rsid w:val="FE3F271B"/>
    <w:rsid w:val="FEBD412B"/>
    <w:rsid w:val="FEBFC356"/>
    <w:rsid w:val="FEF64BF9"/>
    <w:rsid w:val="FF1FB34A"/>
    <w:rsid w:val="FF3FD8AE"/>
    <w:rsid w:val="FFDFE0A2"/>
    <w:rsid w:val="FFE3E384"/>
    <w:rsid w:val="FFEFB0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eastAsia="zh-CN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5">
    <w:name w:val="index 4"/>
    <w:basedOn w:val="1"/>
    <w:next w:val="1"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6">
    <w:name w:val="Plain Text"/>
    <w:basedOn w:val="1"/>
    <w:qFormat/>
    <w:uiPriority w:val="99"/>
    <w:rPr>
      <w:rFonts w:hAnsi="Courier New" w:cs="Courier New"/>
    </w:r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rPr>
      <w:sz w:val="24"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paragraph" w:customStyle="1" w:styleId="14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7">
    <w:name w:val="页眉 Char"/>
    <w:basedOn w:val="12"/>
    <w:link w:val="9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8">
    <w:name w:val="页脚 Char"/>
    <w:basedOn w:val="12"/>
    <w:link w:val="8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9">
    <w:name w:val="批注框文本 Char"/>
    <w:basedOn w:val="12"/>
    <w:link w:val="7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customStyle="1" w:styleId="20">
    <w:name w:val="p1"/>
    <w:basedOn w:val="1"/>
    <w:qFormat/>
    <w:uiPriority w:val="0"/>
    <w:rPr>
      <w:rFonts w:ascii="PingFang SC" w:hAnsi="PingFang SC" w:eastAsia="PingFang SC" w:cs="Times New Roman"/>
      <w:sz w:val="28"/>
      <w:szCs w:val="28"/>
      <w:lang w:eastAsia="zh-CN"/>
    </w:rPr>
  </w:style>
  <w:style w:type="character" w:customStyle="1" w:styleId="21">
    <w:name w:val="s1"/>
    <w:basedOn w:val="12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2">
    <w:name w:val="正文 A"/>
    <w:qFormat/>
    <w:uiPriority w:val="0"/>
    <w:pPr>
      <w:widowControl w:val="0"/>
      <w:spacing w:line="360" w:lineRule="atLeast"/>
    </w:pPr>
    <w:rPr>
      <w:rFonts w:ascii="Times New Roman" w:hAnsi="Times New Roman" w:eastAsia="Arial Unicode MS" w:cs="Arial Unicode MS"/>
      <w:color w:val="000000"/>
      <w:sz w:val="24"/>
      <w:szCs w:val="24"/>
      <w:u w:color="000000"/>
      <w:lang w:val="en-US" w:eastAsia="zh-CN" w:bidi="ar-SA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font41"/>
    <w:basedOn w:val="12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25">
    <w:name w:val="font61"/>
    <w:basedOn w:val="12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26">
    <w:name w:val="font112"/>
    <w:basedOn w:val="12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7">
    <w:name w:val="font51"/>
    <w:basedOn w:val="12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28">
    <w:name w:val="font121"/>
    <w:basedOn w:val="12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3" Type="http://schemas.openxmlformats.org/officeDocument/2006/relationships/fontTable" Target="fontTable.xml"/><Relationship Id="rId142" Type="http://schemas.openxmlformats.org/officeDocument/2006/relationships/numbering" Target="numbering.xml"/><Relationship Id="rId141" Type="http://schemas.openxmlformats.org/officeDocument/2006/relationships/customXml" Target="../customXml/item1.xml"/><Relationship Id="rId140" Type="http://schemas.openxmlformats.org/officeDocument/2006/relationships/image" Target="media/image135.png"/><Relationship Id="rId14" Type="http://schemas.openxmlformats.org/officeDocument/2006/relationships/image" Target="media/image9.png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8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55</Pages>
  <Words>33923</Words>
  <Characters>42737</Characters>
  <Lines>180</Lines>
  <Paragraphs>50</Paragraphs>
  <TotalTime>1</TotalTime>
  <ScaleCrop>false</ScaleCrop>
  <LinksUpToDate>false</LinksUpToDate>
  <CharactersWithSpaces>45406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2024-06-22T08:42:00Z</dcterms:created>
  <dc:creator>Cindy</dc:creator>
  <cp:lastModifiedBy>user</cp:lastModifiedBy>
  <cp:lastPrinted>2024-08-01T21:25:00Z</cp:lastPrinted>
  <dcterms:modified xsi:type="dcterms:W3CDTF">2024-09-26T08:59:44Z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5DDE55CFAC83E7B59FB1F4664C875A12_43</vt:lpwstr>
  </property>
</Properties>
</file>