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19D0A">
      <w:pPr>
        <w:pStyle w:val="15"/>
        <w:ind w:left="480" w:firstLine="643"/>
        <w:jc w:val="center"/>
        <w:rPr>
          <w:rFonts w:hint="eastAsia"/>
          <w:b/>
          <w:bCs/>
          <w:sz w:val="32"/>
          <w:szCs w:val="32"/>
        </w:rPr>
      </w:pPr>
    </w:p>
    <w:p w14:paraId="48127701">
      <w:pPr>
        <w:pStyle w:val="34"/>
        <w:ind w:firstLine="0" w:firstLineChars="0"/>
        <w:jc w:val="center"/>
        <w:rPr>
          <w:rFonts w:hint="eastAsia"/>
          <w:sz w:val="44"/>
          <w:szCs w:val="44"/>
        </w:rPr>
      </w:pPr>
      <w:r>
        <w:rPr>
          <w:rFonts w:hint="eastAsia"/>
          <w:sz w:val="44"/>
          <w:szCs w:val="44"/>
        </w:rPr>
        <w:t>上海电子信息职业技术学院</w:t>
      </w:r>
    </w:p>
    <w:p w14:paraId="076C2A46">
      <w:pPr>
        <w:pStyle w:val="34"/>
        <w:ind w:firstLine="0" w:firstLineChars="0"/>
        <w:jc w:val="center"/>
        <w:rPr>
          <w:rFonts w:hint="eastAsia" w:eastAsia="黑体"/>
          <w:kern w:val="44"/>
          <w:sz w:val="44"/>
          <w:szCs w:val="44"/>
        </w:rPr>
      </w:pPr>
      <w:bookmarkStart w:id="0" w:name="_Toc1656639206"/>
      <w:bookmarkStart w:id="1" w:name="_Toc386406690"/>
      <w:bookmarkStart w:id="2" w:name="_Toc3594252"/>
      <w:bookmarkStart w:id="3" w:name="_Toc139446517"/>
      <w:r>
        <w:rPr>
          <w:rFonts w:hint="eastAsia"/>
          <w:sz w:val="44"/>
          <w:szCs w:val="44"/>
          <w:lang w:eastAsia="zh-Hans"/>
        </w:rPr>
        <w:t>奉贤＋闵行智慧教室及标准化考场建设项目</w:t>
      </w:r>
      <w:r>
        <w:rPr>
          <w:rFonts w:hint="eastAsia"/>
          <w:sz w:val="44"/>
          <w:szCs w:val="44"/>
        </w:rPr>
        <w:t>采购需求</w:t>
      </w:r>
      <w:bookmarkEnd w:id="0"/>
      <w:bookmarkEnd w:id="1"/>
      <w:bookmarkEnd w:id="2"/>
      <w:bookmarkEnd w:id="3"/>
    </w:p>
    <w:p w14:paraId="5B9E68CA">
      <w:pPr>
        <w:tabs>
          <w:tab w:val="left" w:pos="425"/>
        </w:tabs>
        <w:ind w:firstLine="880"/>
        <w:rPr>
          <w:rFonts w:hint="eastAsia" w:ascii="Heiti SC Light" w:hAnsi="Heiti SC Light" w:eastAsia="Heiti SC Light" w:cs="Heiti SC Light"/>
          <w:sz w:val="44"/>
          <w:szCs w:val="44"/>
        </w:rPr>
      </w:pPr>
    </w:p>
    <w:p w14:paraId="6726F169">
      <w:pPr>
        <w:pStyle w:val="15"/>
        <w:tabs>
          <w:tab w:val="left" w:pos="425"/>
        </w:tabs>
        <w:ind w:left="480" w:firstLine="480"/>
        <w:rPr>
          <w:rFonts w:hint="eastAsia"/>
        </w:rPr>
      </w:pPr>
    </w:p>
    <w:p w14:paraId="5C0835CA">
      <w:pPr>
        <w:jc w:val="center"/>
        <w:rPr>
          <w:rFonts w:hint="eastAsia"/>
        </w:rPr>
      </w:pPr>
      <w:r>
        <w:drawing>
          <wp:inline distT="0" distB="0" distL="114300" distR="114300">
            <wp:extent cx="2777490" cy="2761615"/>
            <wp:effectExtent l="0" t="0" r="16510" b="6985"/>
            <wp:docPr id="3" name="图片 1" descr="点击查看图片来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点击查看图片来源"/>
                    <pic:cNvPicPr>
                      <a:picLocks noChangeAspect="1"/>
                    </pic:cNvPicPr>
                  </pic:nvPicPr>
                  <pic:blipFill>
                    <a:blip r:embed="rId13"/>
                    <a:stretch>
                      <a:fillRect/>
                    </a:stretch>
                  </pic:blipFill>
                  <pic:spPr>
                    <a:xfrm>
                      <a:off x="0" y="0"/>
                      <a:ext cx="2777490" cy="2761615"/>
                    </a:xfrm>
                    <a:prstGeom prst="rect">
                      <a:avLst/>
                    </a:prstGeom>
                    <a:noFill/>
                    <a:ln w="9525">
                      <a:noFill/>
                    </a:ln>
                  </pic:spPr>
                </pic:pic>
              </a:graphicData>
            </a:graphic>
          </wp:inline>
        </w:drawing>
      </w:r>
    </w:p>
    <w:p w14:paraId="42046EC2">
      <w:pPr>
        <w:tabs>
          <w:tab w:val="left" w:pos="425"/>
        </w:tabs>
        <w:rPr>
          <w:rFonts w:hint="eastAsia"/>
        </w:rPr>
      </w:pPr>
    </w:p>
    <w:p w14:paraId="3F19E34A">
      <w:pPr>
        <w:pStyle w:val="15"/>
        <w:tabs>
          <w:tab w:val="left" w:pos="425"/>
        </w:tabs>
        <w:ind w:left="480" w:firstLine="480"/>
        <w:rPr>
          <w:rFonts w:hint="eastAsia"/>
        </w:rPr>
      </w:pPr>
    </w:p>
    <w:p w14:paraId="5F316D6A">
      <w:pPr>
        <w:pStyle w:val="15"/>
        <w:tabs>
          <w:tab w:val="left" w:pos="425"/>
        </w:tabs>
        <w:ind w:left="480" w:firstLine="480"/>
        <w:rPr>
          <w:rFonts w:hint="eastAsia"/>
        </w:rPr>
      </w:pPr>
    </w:p>
    <w:p w14:paraId="063F6C0E">
      <w:pPr>
        <w:pStyle w:val="15"/>
        <w:tabs>
          <w:tab w:val="left" w:pos="425"/>
        </w:tabs>
        <w:ind w:left="480" w:firstLine="480"/>
        <w:rPr>
          <w:rFonts w:hint="eastAsia"/>
        </w:rPr>
      </w:pPr>
    </w:p>
    <w:p w14:paraId="4A2101D1">
      <w:pPr>
        <w:pStyle w:val="15"/>
        <w:tabs>
          <w:tab w:val="left" w:pos="425"/>
        </w:tabs>
        <w:ind w:left="480" w:firstLine="480"/>
        <w:rPr>
          <w:rFonts w:hint="eastAsia"/>
        </w:rPr>
      </w:pPr>
    </w:p>
    <w:p w14:paraId="4FF7DA08">
      <w:pPr>
        <w:pStyle w:val="15"/>
        <w:tabs>
          <w:tab w:val="left" w:pos="425"/>
        </w:tabs>
        <w:ind w:left="480" w:firstLine="640"/>
        <w:jc w:val="center"/>
        <w:rPr>
          <w:rFonts w:hint="eastAsia"/>
          <w:b/>
          <w:bCs/>
          <w:sz w:val="32"/>
          <w:szCs w:val="32"/>
          <w:lang w:eastAsia="zh-Hans"/>
        </w:rPr>
        <w:sectPr>
          <w:headerReference r:id="rId5" w:type="default"/>
          <w:pgSz w:w="11906" w:h="16838"/>
          <w:pgMar w:top="653" w:right="1797" w:bottom="1135" w:left="1797" w:header="340" w:footer="1687" w:gutter="0"/>
          <w:cols w:space="720" w:num="1"/>
          <w:titlePg/>
          <w:docGrid w:type="linesAndChars" w:linePitch="326" w:charSpace="0"/>
        </w:sectPr>
      </w:pPr>
      <w:r>
        <w:rPr>
          <w:rFonts w:hint="eastAsia"/>
          <w:sz w:val="32"/>
          <w:szCs w:val="32"/>
        </w:rPr>
        <w:t>项目单位</w:t>
      </w:r>
      <w:r>
        <w:rPr>
          <w:rFonts w:hint="eastAsia"/>
          <w:sz w:val="32"/>
          <w:szCs w:val="32"/>
          <w:lang w:eastAsia="zh-Hans"/>
        </w:rPr>
        <w:t>：上海</w:t>
      </w:r>
      <w:r>
        <w:rPr>
          <w:rFonts w:hint="eastAsia"/>
          <w:sz w:val="32"/>
          <w:szCs w:val="32"/>
        </w:rPr>
        <w:t>电子信息职业技术</w:t>
      </w:r>
      <w:r>
        <w:rPr>
          <w:rFonts w:hint="eastAsia"/>
          <w:sz w:val="32"/>
          <w:szCs w:val="32"/>
          <w:lang w:eastAsia="zh-Hans"/>
        </w:rPr>
        <w:t>学院</w:t>
      </w:r>
    </w:p>
    <w:sdt>
      <w:sdtPr>
        <w:rPr>
          <w:sz w:val="21"/>
        </w:rPr>
        <w:id w:val="122195065"/>
        <w15:color w:val="DBDBDB"/>
        <w:docPartObj>
          <w:docPartGallery w:val="Table of Contents"/>
          <w:docPartUnique/>
        </w:docPartObj>
      </w:sdtPr>
      <w:sdtEndPr>
        <w:rPr>
          <w:rFonts w:hint="eastAsia"/>
          <w:b/>
          <w:sz w:val="21"/>
        </w:rPr>
      </w:sdtEndPr>
      <w:sdtContent>
        <w:p w14:paraId="5BC55BC6">
          <w:pPr>
            <w:ind w:firstLine="0" w:firstLineChars="0"/>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目录</w:t>
          </w:r>
        </w:p>
        <w:p w14:paraId="3D5EB43D">
          <w:pPr>
            <w:ind w:firstLine="0" w:firstLineChars="0"/>
            <w:jc w:val="center"/>
            <w:rPr>
              <w:rFonts w:hint="eastAsia" w:asciiTheme="majorEastAsia" w:hAnsiTheme="majorEastAsia" w:eastAsiaTheme="majorEastAsia" w:cstheme="majorEastAsia"/>
            </w:rPr>
          </w:pPr>
        </w:p>
        <w:p w14:paraId="753564EB">
          <w:pPr>
            <w:pStyle w:val="29"/>
            <w:tabs>
              <w:tab w:val="right" w:leader="dot" w:pos="8312"/>
            </w:tabs>
            <w:spacing w:line="360" w:lineRule="auto"/>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TOC \o "1-2" \h \u </w:instrText>
          </w:r>
          <w:r>
            <w:rPr>
              <w:rFonts w:hint="eastAsia" w:asciiTheme="majorEastAsia" w:hAnsiTheme="majorEastAsia" w:eastAsiaTheme="majorEastAsia" w:cstheme="majorEastAsia"/>
              <w:sz w:val="24"/>
              <w:szCs w:val="24"/>
            </w:rPr>
            <w:fldChar w:fldCharType="separate"/>
          </w:r>
          <w:r>
            <w:fldChar w:fldCharType="begin"/>
          </w:r>
          <w:r>
            <w:instrText xml:space="preserve"> HYPERLINK \l "_Toc1928396716" </w:instrText>
          </w:r>
          <w:r>
            <w:fldChar w:fldCharType="separate"/>
          </w:r>
          <w:r>
            <w:rPr>
              <w:rFonts w:hint="eastAsia" w:asciiTheme="majorEastAsia" w:hAnsiTheme="majorEastAsia" w:eastAsiaTheme="majorEastAsia" w:cstheme="majorEastAsia"/>
              <w:b/>
              <w:sz w:val="24"/>
              <w:szCs w:val="24"/>
            </w:rPr>
            <w:t>一、 项目建设概况</w:t>
          </w:r>
          <w:r>
            <w:rPr>
              <w:rFonts w:hint="eastAsia" w:asciiTheme="majorEastAsia" w:hAnsiTheme="majorEastAsia" w:eastAsiaTheme="majorEastAsia" w:cstheme="majorEastAsia"/>
              <w:b/>
              <w:sz w:val="24"/>
              <w:szCs w:val="24"/>
            </w:rPr>
            <w:tab/>
          </w:r>
          <w:r>
            <w:rPr>
              <w:rFonts w:hint="eastAsia" w:asciiTheme="majorEastAsia" w:hAnsiTheme="majorEastAsia" w:eastAsiaTheme="majorEastAsia" w:cstheme="majorEastAsia"/>
              <w:b/>
              <w:sz w:val="24"/>
              <w:szCs w:val="24"/>
            </w:rPr>
            <w:fldChar w:fldCharType="begin"/>
          </w:r>
          <w:r>
            <w:rPr>
              <w:rFonts w:hint="eastAsia" w:asciiTheme="majorEastAsia" w:hAnsiTheme="majorEastAsia" w:eastAsiaTheme="majorEastAsia" w:cstheme="majorEastAsia"/>
              <w:b/>
              <w:sz w:val="24"/>
              <w:szCs w:val="24"/>
            </w:rPr>
            <w:instrText xml:space="preserve"> PAGEREF _Toc1928396716 \h </w:instrText>
          </w:r>
          <w:r>
            <w:rPr>
              <w:rFonts w:hint="eastAsia" w:asciiTheme="majorEastAsia" w:hAnsiTheme="majorEastAsia" w:eastAsiaTheme="majorEastAsia" w:cstheme="majorEastAsia"/>
              <w:b/>
              <w:sz w:val="24"/>
              <w:szCs w:val="24"/>
            </w:rPr>
            <w:fldChar w:fldCharType="separate"/>
          </w:r>
          <w:r>
            <w:rPr>
              <w:rFonts w:hint="eastAsia" w:asciiTheme="majorEastAsia" w:hAnsiTheme="majorEastAsia" w:eastAsiaTheme="majorEastAsia" w:cstheme="majorEastAsia"/>
              <w:b/>
              <w:sz w:val="24"/>
              <w:szCs w:val="24"/>
            </w:rPr>
            <w:t>4</w:t>
          </w:r>
          <w:r>
            <w:rPr>
              <w:rFonts w:hint="eastAsia" w:asciiTheme="majorEastAsia" w:hAnsiTheme="majorEastAsia" w:eastAsiaTheme="majorEastAsia" w:cstheme="majorEastAsia"/>
              <w:b/>
              <w:sz w:val="24"/>
              <w:szCs w:val="24"/>
            </w:rPr>
            <w:fldChar w:fldCharType="end"/>
          </w:r>
          <w:r>
            <w:rPr>
              <w:rFonts w:hint="eastAsia" w:asciiTheme="majorEastAsia" w:hAnsiTheme="majorEastAsia" w:eastAsiaTheme="majorEastAsia" w:cstheme="majorEastAsia"/>
              <w:b/>
              <w:sz w:val="24"/>
              <w:szCs w:val="24"/>
            </w:rPr>
            <w:fldChar w:fldCharType="end"/>
          </w:r>
        </w:p>
        <w:p w14:paraId="1C6D86A1">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"_Toc740405288" </w:instrText>
          </w:r>
          <w:r>
            <w:fldChar w:fldCharType="separate"/>
          </w:r>
          <w:r>
            <w:rPr>
              <w:rFonts w:hint="eastAsia" w:asciiTheme="majorEastAsia" w:hAnsiTheme="majorEastAsia" w:eastAsiaTheme="majorEastAsia" w:cstheme="majorEastAsia"/>
              <w:sz w:val="24"/>
              <w:szCs w:val="24"/>
            </w:rPr>
            <w:t>1.1 项目建设背景</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_Toc740405288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30D2A0B0">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"_Toc1471424698" </w:instrText>
          </w:r>
          <w:r>
            <w:fldChar w:fldCharType="separate"/>
          </w:r>
          <w:r>
            <w:rPr>
              <w:rFonts w:hint="eastAsia" w:asciiTheme="majorEastAsia" w:hAnsiTheme="majorEastAsia" w:eastAsiaTheme="majorEastAsia" w:cstheme="majorEastAsia"/>
              <w:sz w:val="24"/>
              <w:szCs w:val="24"/>
            </w:rPr>
            <w:t>1.2项目建设目标</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_Toc1471424698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5</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1B6B3D62">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"_Toc1960704081" </w:instrText>
          </w:r>
          <w:r>
            <w:fldChar w:fldCharType="separate"/>
          </w:r>
          <w:r>
            <w:rPr>
              <w:rFonts w:hint="eastAsia" w:asciiTheme="majorEastAsia" w:hAnsiTheme="majorEastAsia" w:eastAsiaTheme="majorEastAsia" w:cstheme="majorEastAsia"/>
              <w:sz w:val="24"/>
              <w:szCs w:val="24"/>
            </w:rPr>
            <w:t>1.3项目建设内容</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_Toc1960704081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6</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7C1E89FA">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"_Toc416926152" </w:instrText>
          </w:r>
          <w:r>
            <w:fldChar w:fldCharType="separate"/>
          </w:r>
          <w:r>
            <w:rPr>
              <w:rFonts w:hint="eastAsia" w:asciiTheme="majorEastAsia" w:hAnsiTheme="majorEastAsia" w:eastAsiaTheme="majorEastAsia" w:cstheme="majorEastAsia"/>
              <w:sz w:val="24"/>
              <w:szCs w:val="24"/>
            </w:rPr>
            <w:t>1.4项目建设周期</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_Toc416926152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8</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3AA0308F">
          <w:pPr>
            <w:pStyle w:val="29"/>
            <w:tabs>
              <w:tab w:val="right" w:leader="dot" w:pos="8312"/>
            </w:tabs>
            <w:spacing w:line="360" w:lineRule="auto"/>
            <w:rPr>
              <w:rFonts w:hint="eastAsia" w:asciiTheme="majorEastAsia" w:hAnsiTheme="majorEastAsia" w:eastAsiaTheme="majorEastAsia" w:cstheme="majorEastAsia"/>
              <w:b/>
              <w:sz w:val="24"/>
              <w:szCs w:val="24"/>
            </w:rPr>
          </w:pPr>
          <w:r>
            <w:fldChar w:fldCharType="begin"/>
          </w:r>
          <w:r>
            <w:instrText xml:space="preserve"> HYPERLINK \l "_Toc38696503" </w:instrText>
          </w:r>
          <w:r>
            <w:fldChar w:fldCharType="separate"/>
          </w:r>
          <w:r>
            <w:rPr>
              <w:rFonts w:hint="eastAsia" w:asciiTheme="majorEastAsia" w:hAnsiTheme="majorEastAsia" w:eastAsiaTheme="majorEastAsia" w:cstheme="majorEastAsia"/>
              <w:b/>
              <w:sz w:val="24"/>
              <w:szCs w:val="24"/>
            </w:rPr>
            <w:t>二、 采购产品清单</w:t>
          </w:r>
          <w:r>
            <w:rPr>
              <w:rFonts w:hint="eastAsia" w:asciiTheme="majorEastAsia" w:hAnsiTheme="majorEastAsia" w:eastAsiaTheme="majorEastAsia" w:cstheme="majorEastAsia"/>
              <w:b/>
              <w:sz w:val="24"/>
              <w:szCs w:val="24"/>
            </w:rPr>
            <w:tab/>
          </w:r>
          <w:r>
            <w:rPr>
              <w:rFonts w:hint="eastAsia" w:asciiTheme="majorEastAsia" w:hAnsiTheme="majorEastAsia" w:eastAsiaTheme="majorEastAsia" w:cstheme="majorEastAsia"/>
              <w:b/>
              <w:sz w:val="24"/>
              <w:szCs w:val="24"/>
            </w:rPr>
            <w:fldChar w:fldCharType="begin"/>
          </w:r>
          <w:r>
            <w:rPr>
              <w:rFonts w:hint="eastAsia" w:asciiTheme="majorEastAsia" w:hAnsiTheme="majorEastAsia" w:eastAsiaTheme="majorEastAsia" w:cstheme="majorEastAsia"/>
              <w:b/>
              <w:sz w:val="24"/>
              <w:szCs w:val="24"/>
            </w:rPr>
            <w:instrText xml:space="preserve"> PAGEREF _Toc38696503 \h </w:instrText>
          </w:r>
          <w:r>
            <w:rPr>
              <w:rFonts w:hint="eastAsia" w:asciiTheme="majorEastAsia" w:hAnsiTheme="majorEastAsia" w:eastAsiaTheme="majorEastAsia" w:cstheme="majorEastAsia"/>
              <w:b/>
              <w:sz w:val="24"/>
              <w:szCs w:val="24"/>
            </w:rPr>
            <w:fldChar w:fldCharType="separate"/>
          </w:r>
          <w:r>
            <w:rPr>
              <w:rFonts w:hint="eastAsia" w:asciiTheme="majorEastAsia" w:hAnsiTheme="majorEastAsia" w:eastAsiaTheme="majorEastAsia" w:cstheme="majorEastAsia"/>
              <w:b/>
              <w:sz w:val="24"/>
              <w:szCs w:val="24"/>
            </w:rPr>
            <w:t>9</w:t>
          </w:r>
          <w:r>
            <w:rPr>
              <w:rFonts w:hint="eastAsia" w:asciiTheme="majorEastAsia" w:hAnsiTheme="majorEastAsia" w:eastAsiaTheme="majorEastAsia" w:cstheme="majorEastAsia"/>
              <w:b/>
              <w:sz w:val="24"/>
              <w:szCs w:val="24"/>
            </w:rPr>
            <w:fldChar w:fldCharType="end"/>
          </w:r>
          <w:r>
            <w:rPr>
              <w:rFonts w:hint="eastAsia" w:asciiTheme="majorEastAsia" w:hAnsiTheme="majorEastAsia" w:eastAsiaTheme="majorEastAsia" w:cstheme="majorEastAsia"/>
              <w:b/>
              <w:sz w:val="24"/>
              <w:szCs w:val="24"/>
            </w:rPr>
            <w:fldChar w:fldCharType="end"/>
          </w:r>
        </w:p>
        <w:p w14:paraId="2E73B7CA">
          <w:pPr>
            <w:pStyle w:val="29"/>
            <w:tabs>
              <w:tab w:val="right" w:leader="dot" w:pos="8312"/>
            </w:tabs>
            <w:spacing w:line="360" w:lineRule="auto"/>
            <w:rPr>
              <w:rFonts w:hint="eastAsia" w:asciiTheme="majorEastAsia" w:hAnsiTheme="majorEastAsia" w:eastAsiaTheme="majorEastAsia" w:cstheme="majorEastAsia"/>
              <w:b/>
              <w:sz w:val="24"/>
              <w:szCs w:val="24"/>
            </w:rPr>
          </w:pPr>
          <w:r>
            <w:fldChar w:fldCharType="begin"/>
          </w:r>
          <w:r>
            <w:instrText xml:space="preserve"> HYPERLINK \l "_Toc1832064527" </w:instrText>
          </w:r>
          <w:r>
            <w:fldChar w:fldCharType="separate"/>
          </w:r>
          <w:r>
            <w:rPr>
              <w:rFonts w:hint="eastAsia" w:asciiTheme="majorEastAsia" w:hAnsiTheme="majorEastAsia" w:eastAsiaTheme="majorEastAsia" w:cstheme="majorEastAsia"/>
              <w:b/>
              <w:sz w:val="24"/>
              <w:szCs w:val="24"/>
            </w:rPr>
            <w:t>三、 产品参数要求</w:t>
          </w:r>
          <w:r>
            <w:rPr>
              <w:rFonts w:hint="eastAsia" w:asciiTheme="majorEastAsia" w:hAnsiTheme="majorEastAsia" w:eastAsiaTheme="majorEastAsia" w:cstheme="majorEastAsia"/>
              <w:b/>
              <w:sz w:val="24"/>
              <w:szCs w:val="24"/>
            </w:rPr>
            <w:tab/>
          </w:r>
          <w:r>
            <w:rPr>
              <w:rFonts w:hint="eastAsia" w:asciiTheme="majorEastAsia" w:hAnsiTheme="majorEastAsia" w:eastAsiaTheme="majorEastAsia" w:cstheme="majorEastAsia"/>
              <w:b/>
              <w:sz w:val="24"/>
              <w:szCs w:val="24"/>
            </w:rPr>
            <w:fldChar w:fldCharType="begin"/>
          </w:r>
          <w:r>
            <w:rPr>
              <w:rFonts w:hint="eastAsia" w:asciiTheme="majorEastAsia" w:hAnsiTheme="majorEastAsia" w:eastAsiaTheme="majorEastAsia" w:cstheme="majorEastAsia"/>
              <w:b/>
              <w:sz w:val="24"/>
              <w:szCs w:val="24"/>
            </w:rPr>
            <w:instrText xml:space="preserve"> PAGEREF _Toc1832064527 \h </w:instrText>
          </w:r>
          <w:r>
            <w:rPr>
              <w:rFonts w:hint="eastAsia" w:asciiTheme="majorEastAsia" w:hAnsiTheme="majorEastAsia" w:eastAsiaTheme="majorEastAsia" w:cstheme="majorEastAsia"/>
              <w:b/>
              <w:sz w:val="24"/>
              <w:szCs w:val="24"/>
            </w:rPr>
            <w:fldChar w:fldCharType="separate"/>
          </w:r>
          <w:r>
            <w:rPr>
              <w:rFonts w:hint="eastAsia" w:asciiTheme="majorEastAsia" w:hAnsiTheme="majorEastAsia" w:eastAsiaTheme="majorEastAsia" w:cstheme="majorEastAsia"/>
              <w:b/>
              <w:sz w:val="24"/>
              <w:szCs w:val="24"/>
            </w:rPr>
            <w:t>10</w:t>
          </w:r>
          <w:r>
            <w:rPr>
              <w:rFonts w:hint="eastAsia" w:asciiTheme="majorEastAsia" w:hAnsiTheme="majorEastAsia" w:eastAsiaTheme="majorEastAsia" w:cstheme="majorEastAsia"/>
              <w:b/>
              <w:sz w:val="24"/>
              <w:szCs w:val="24"/>
            </w:rPr>
            <w:fldChar w:fldCharType="end"/>
          </w:r>
          <w:r>
            <w:rPr>
              <w:rFonts w:hint="eastAsia" w:asciiTheme="majorEastAsia" w:hAnsiTheme="majorEastAsia" w:eastAsiaTheme="majorEastAsia" w:cstheme="majorEastAsia"/>
              <w:b/>
              <w:sz w:val="24"/>
              <w:szCs w:val="24"/>
            </w:rPr>
            <w:fldChar w:fldCharType="end"/>
          </w:r>
        </w:p>
        <w:p w14:paraId="285E920E">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"_Toc887974603" </w:instrText>
          </w:r>
          <w:r>
            <w:fldChar w:fldCharType="separate"/>
          </w:r>
          <w:r>
            <w:rPr>
              <w:rFonts w:hint="eastAsia" w:asciiTheme="majorEastAsia" w:hAnsiTheme="majorEastAsia" w:eastAsiaTheme="majorEastAsia" w:cstheme="majorEastAsia"/>
              <w:sz w:val="24"/>
              <w:szCs w:val="24"/>
            </w:rPr>
            <w:t>3.1软件</w:t>
          </w:r>
          <w:r>
            <w:rPr>
              <w:rFonts w:hint="eastAsia" w:asciiTheme="majorEastAsia" w:hAnsiTheme="majorEastAsia" w:eastAsiaTheme="majorEastAsia" w:cstheme="majorEastAsia"/>
              <w:sz w:val="24"/>
              <w:szCs w:val="24"/>
              <w:lang w:eastAsia="zh-Hans"/>
            </w:rPr>
            <w:t>产品参数</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_Toc887974603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10</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4F15FC7A">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"_Toc1325289618" </w:instrText>
          </w:r>
          <w:r>
            <w:fldChar w:fldCharType="separate"/>
          </w:r>
          <w:r>
            <w:rPr>
              <w:rFonts w:hint="eastAsia" w:asciiTheme="majorEastAsia" w:hAnsiTheme="majorEastAsia" w:eastAsiaTheme="majorEastAsia" w:cstheme="majorEastAsia"/>
              <w:sz w:val="24"/>
              <w:szCs w:val="24"/>
              <w:lang w:eastAsia="zh-Hans"/>
            </w:rPr>
            <w:t>3.2硬件设备产品</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_Toc1325289618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15</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1983A28C">
          <w:pPr>
            <w:pStyle w:val="29"/>
            <w:tabs>
              <w:tab w:val="right" w:leader="dot" w:pos="8312"/>
            </w:tabs>
            <w:spacing w:line="360" w:lineRule="auto"/>
            <w:rPr>
              <w:rFonts w:hint="eastAsia" w:asciiTheme="majorEastAsia" w:hAnsiTheme="majorEastAsia" w:eastAsiaTheme="majorEastAsia" w:cstheme="majorEastAsia"/>
              <w:b/>
              <w:sz w:val="24"/>
              <w:szCs w:val="24"/>
            </w:rPr>
          </w:pPr>
          <w:r>
            <w:fldChar w:fldCharType="begin"/>
          </w:r>
          <w:r>
            <w:instrText xml:space="preserve"> HYPERLINK \l "_Toc442223042" </w:instrText>
          </w:r>
          <w:r>
            <w:fldChar w:fldCharType="separate"/>
          </w:r>
          <w:r>
            <w:rPr>
              <w:rFonts w:hint="eastAsia" w:asciiTheme="majorEastAsia" w:hAnsiTheme="majorEastAsia" w:eastAsiaTheme="majorEastAsia" w:cstheme="majorEastAsia"/>
              <w:b/>
              <w:sz w:val="24"/>
              <w:szCs w:val="24"/>
              <w:lang w:eastAsia="zh-Hans"/>
            </w:rPr>
            <w:t>四、</w:t>
          </w:r>
          <w:r>
            <w:rPr>
              <w:rFonts w:hint="eastAsia" w:asciiTheme="majorEastAsia" w:hAnsiTheme="majorEastAsia" w:eastAsiaTheme="majorEastAsia" w:cstheme="majorEastAsia"/>
              <w:b/>
              <w:sz w:val="24"/>
              <w:szCs w:val="24"/>
            </w:rPr>
            <w:t>项目建设要求</w:t>
          </w:r>
          <w:r>
            <w:rPr>
              <w:rFonts w:hint="eastAsia" w:asciiTheme="majorEastAsia" w:hAnsiTheme="majorEastAsia" w:eastAsiaTheme="majorEastAsia" w:cstheme="majorEastAsia"/>
              <w:b/>
              <w:sz w:val="24"/>
              <w:szCs w:val="24"/>
            </w:rPr>
            <w:tab/>
          </w:r>
          <w:r>
            <w:rPr>
              <w:rFonts w:hint="eastAsia" w:asciiTheme="majorEastAsia" w:hAnsiTheme="majorEastAsia" w:eastAsiaTheme="majorEastAsia" w:cstheme="majorEastAsia"/>
              <w:b/>
              <w:sz w:val="24"/>
              <w:szCs w:val="24"/>
            </w:rPr>
            <w:fldChar w:fldCharType="begin"/>
          </w:r>
          <w:r>
            <w:rPr>
              <w:rFonts w:hint="eastAsia" w:asciiTheme="majorEastAsia" w:hAnsiTheme="majorEastAsia" w:eastAsiaTheme="majorEastAsia" w:cstheme="majorEastAsia"/>
              <w:b/>
              <w:sz w:val="24"/>
              <w:szCs w:val="24"/>
            </w:rPr>
            <w:instrText xml:space="preserve"> PAGEREF _Toc442223042 \h </w:instrText>
          </w:r>
          <w:r>
            <w:rPr>
              <w:rFonts w:hint="eastAsia" w:asciiTheme="majorEastAsia" w:hAnsiTheme="majorEastAsia" w:eastAsiaTheme="majorEastAsia" w:cstheme="majorEastAsia"/>
              <w:b/>
              <w:sz w:val="24"/>
              <w:szCs w:val="24"/>
            </w:rPr>
            <w:fldChar w:fldCharType="separate"/>
          </w:r>
          <w:r>
            <w:rPr>
              <w:rFonts w:hint="eastAsia" w:asciiTheme="majorEastAsia" w:hAnsiTheme="majorEastAsia" w:eastAsiaTheme="majorEastAsia" w:cstheme="majorEastAsia"/>
              <w:b/>
              <w:sz w:val="24"/>
              <w:szCs w:val="24"/>
            </w:rPr>
            <w:t>41</w:t>
          </w:r>
          <w:r>
            <w:rPr>
              <w:rFonts w:hint="eastAsia" w:asciiTheme="majorEastAsia" w:hAnsiTheme="majorEastAsia" w:eastAsiaTheme="majorEastAsia" w:cstheme="majorEastAsia"/>
              <w:b/>
              <w:sz w:val="24"/>
              <w:szCs w:val="24"/>
            </w:rPr>
            <w:fldChar w:fldCharType="end"/>
          </w:r>
          <w:r>
            <w:rPr>
              <w:rFonts w:hint="eastAsia" w:asciiTheme="majorEastAsia" w:hAnsiTheme="majorEastAsia" w:eastAsiaTheme="majorEastAsia" w:cstheme="majorEastAsia"/>
              <w:b/>
              <w:sz w:val="24"/>
              <w:szCs w:val="24"/>
            </w:rPr>
            <w:fldChar w:fldCharType="end"/>
          </w:r>
        </w:p>
        <w:p w14:paraId="69FFA09C">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"_Toc1764627" </w:instrText>
          </w:r>
          <w:r>
            <w:fldChar w:fldCharType="separate"/>
          </w:r>
          <w:r>
            <w:rPr>
              <w:rFonts w:hint="eastAsia" w:asciiTheme="majorEastAsia" w:hAnsiTheme="majorEastAsia" w:eastAsiaTheme="majorEastAsia" w:cstheme="majorEastAsia"/>
              <w:sz w:val="24"/>
              <w:szCs w:val="24"/>
            </w:rPr>
            <w:t>4.1总集服务要求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_Toc1764627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41</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0EC17304">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"_Toc1740798578" </w:instrText>
          </w:r>
          <w:r>
            <w:fldChar w:fldCharType="separate"/>
          </w:r>
          <w:r>
            <w:rPr>
              <w:rFonts w:hint="eastAsia" w:asciiTheme="majorEastAsia" w:hAnsiTheme="majorEastAsia" w:eastAsiaTheme="majorEastAsia" w:cstheme="majorEastAsia"/>
              <w:sz w:val="24"/>
              <w:szCs w:val="24"/>
            </w:rPr>
            <w:t>4.2项目总体要求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_Toc1740798578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42</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2E661AF9">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"_Toc284493718" </w:instrText>
          </w:r>
          <w:r>
            <w:fldChar w:fldCharType="separate"/>
          </w:r>
          <w:r>
            <w:rPr>
              <w:rFonts w:hint="eastAsia" w:asciiTheme="majorEastAsia" w:hAnsiTheme="majorEastAsia" w:eastAsiaTheme="majorEastAsia" w:cstheme="majorEastAsia"/>
              <w:sz w:val="24"/>
              <w:szCs w:val="24"/>
            </w:rPr>
            <w:t>4.3项目工期要求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_Toc284493718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42</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1E2596FB">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"_Toc1187320204" </w:instrText>
          </w:r>
          <w:r>
            <w:fldChar w:fldCharType="separate"/>
          </w:r>
          <w:r>
            <w:rPr>
              <w:rFonts w:hint="eastAsia" w:asciiTheme="majorEastAsia" w:hAnsiTheme="majorEastAsia" w:eastAsiaTheme="majorEastAsia" w:cstheme="majorEastAsia"/>
              <w:sz w:val="24"/>
              <w:szCs w:val="24"/>
            </w:rPr>
            <w:t>4.4项目实施要求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_Toc1187320204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42</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231DCA77">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"_Toc872620704" </w:instrText>
          </w:r>
          <w:r>
            <w:fldChar w:fldCharType="separate"/>
          </w:r>
          <w:r>
            <w:rPr>
              <w:rFonts w:hint="eastAsia" w:asciiTheme="majorEastAsia" w:hAnsiTheme="majorEastAsia" w:eastAsiaTheme="majorEastAsia" w:cstheme="majorEastAsia"/>
              <w:sz w:val="24"/>
              <w:szCs w:val="24"/>
            </w:rPr>
            <w:t>4.5项目人员配备要求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_Toc872620704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43</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48ED024F">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"_Toc970346765" </w:instrText>
          </w:r>
          <w:r>
            <w:fldChar w:fldCharType="separate"/>
          </w:r>
          <w:r>
            <w:rPr>
              <w:rFonts w:hint="eastAsia" w:asciiTheme="majorEastAsia" w:hAnsiTheme="majorEastAsia" w:eastAsiaTheme="majorEastAsia" w:cstheme="majorEastAsia"/>
              <w:sz w:val="24"/>
              <w:szCs w:val="24"/>
            </w:rPr>
            <w:t>4.6培训要求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_Toc970346765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43</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477E6AB0">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"_Toc627264037" </w:instrText>
          </w:r>
          <w:r>
            <w:fldChar w:fldCharType="separate"/>
          </w:r>
          <w:r>
            <w:rPr>
              <w:rFonts w:hint="eastAsia" w:asciiTheme="majorEastAsia" w:hAnsiTheme="majorEastAsia" w:eastAsiaTheme="majorEastAsia" w:cstheme="majorEastAsia"/>
              <w:sz w:val="24"/>
              <w:szCs w:val="24"/>
            </w:rPr>
            <w:t>4.7项目测试要求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_Toc627264037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57CFC18B">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"_Toc429446736" </w:instrText>
          </w:r>
          <w:r>
            <w:fldChar w:fldCharType="separate"/>
          </w:r>
          <w:r>
            <w:rPr>
              <w:rFonts w:hint="eastAsia" w:asciiTheme="majorEastAsia" w:hAnsiTheme="majorEastAsia" w:eastAsiaTheme="majorEastAsia" w:cstheme="majorEastAsia"/>
              <w:sz w:val="24"/>
              <w:szCs w:val="24"/>
            </w:rPr>
            <w:t>4.8项目验收要求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_Toc429446736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5840E901">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"_Toc18754385" </w:instrText>
          </w:r>
          <w:r>
            <w:fldChar w:fldCharType="separate"/>
          </w:r>
          <w:r>
            <w:rPr>
              <w:rFonts w:hint="eastAsia" w:asciiTheme="majorEastAsia" w:hAnsiTheme="majorEastAsia" w:eastAsiaTheme="majorEastAsia" w:cstheme="majorEastAsia"/>
              <w:sz w:val="24"/>
              <w:szCs w:val="24"/>
            </w:rPr>
            <w:t>4.9技术文档要求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_Toc18754385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4D37C0B3">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"_Toc1672336233" </w:instrText>
          </w:r>
          <w:r>
            <w:fldChar w:fldCharType="separate"/>
          </w:r>
          <w:r>
            <w:rPr>
              <w:rFonts w:hint="eastAsia" w:asciiTheme="majorEastAsia" w:hAnsiTheme="majorEastAsia" w:eastAsiaTheme="majorEastAsia" w:cstheme="majorEastAsia"/>
              <w:sz w:val="24"/>
              <w:szCs w:val="24"/>
            </w:rPr>
            <w:t>4.10维保和售后服务要求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_Toc1672336233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45</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6EE87E19">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"_Toc689096095" </w:instrText>
          </w:r>
          <w:r>
            <w:fldChar w:fldCharType="separate"/>
          </w:r>
          <w:r>
            <w:rPr>
              <w:rFonts w:hint="eastAsia" w:asciiTheme="majorEastAsia" w:hAnsiTheme="majorEastAsia" w:eastAsiaTheme="majorEastAsia" w:cstheme="majorEastAsia"/>
              <w:sz w:val="24"/>
              <w:szCs w:val="24"/>
            </w:rPr>
            <w:t>4.11保密承诺</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_Toc689096095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46</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683A7493">
          <w:pPr>
            <w:pStyle w:val="30"/>
            <w:tabs>
              <w:tab w:val="right" w:leader="dot" w:pos="8312"/>
            </w:tabs>
            <w:spacing w:line="360" w:lineRule="auto"/>
            <w:ind w:left="480"/>
            <w:rPr>
              <w:rFonts w:hint="eastAsia" w:asciiTheme="majorEastAsia" w:hAnsiTheme="majorEastAsia" w:eastAsiaTheme="majorEastAsia" w:cstheme="majorEastAsia"/>
              <w:sz w:val="24"/>
              <w:szCs w:val="24"/>
            </w:rPr>
          </w:pPr>
          <w:r>
            <w:fldChar w:fldCharType="begin"/>
          </w:r>
          <w:r>
            <w:instrText xml:space="preserve"> HYPERLINK \l "_Toc258760394" </w:instrText>
          </w:r>
          <w:r>
            <w:fldChar w:fldCharType="separate"/>
          </w:r>
          <w:r>
            <w:rPr>
              <w:rFonts w:hint="eastAsia" w:asciiTheme="majorEastAsia" w:hAnsiTheme="majorEastAsia" w:eastAsiaTheme="majorEastAsia" w:cstheme="majorEastAsia"/>
              <w:sz w:val="24"/>
              <w:szCs w:val="24"/>
            </w:rPr>
            <w:t>4.12其他要求</w:t>
          </w:r>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PAGEREF _Toc258760394 \h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46</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rPr>
            <w:fldChar w:fldCharType="end"/>
          </w:r>
        </w:p>
        <w:p w14:paraId="25971008">
          <w:pPr>
            <w:ind w:firstLine="482"/>
            <w:rPr>
              <w:rFonts w:hint="eastAsia"/>
            </w:rPr>
          </w:pPr>
          <w:r>
            <w:rPr>
              <w:rFonts w:hint="eastAsia" w:asciiTheme="majorEastAsia" w:hAnsiTheme="majorEastAsia" w:eastAsiaTheme="majorEastAsia" w:cstheme="majorEastAsia"/>
              <w:b/>
            </w:rPr>
            <w:fldChar w:fldCharType="end"/>
          </w:r>
        </w:p>
      </w:sdtContent>
    </w:sdt>
    <w:p w14:paraId="2F4EDA93">
      <w:pPr>
        <w:pStyle w:val="3"/>
        <w:rPr>
          <w:rFonts w:hint="eastAsia" w:eastAsia="宋体" w:cs="宋体"/>
        </w:rPr>
      </w:pPr>
      <w:bookmarkStart w:id="4" w:name="_Toc1451171412"/>
      <w:bookmarkStart w:id="5" w:name="_Toc1013722267"/>
      <w:bookmarkStart w:id="6" w:name="_Toc1407076280"/>
      <w:bookmarkStart w:id="7" w:name="_Toc939388805"/>
      <w:bookmarkStart w:id="8" w:name="_Toc1928396716"/>
      <w:r>
        <w:rPr>
          <w:rFonts w:hint="eastAsia" w:eastAsia="宋体" w:cs="宋体"/>
        </w:rPr>
        <w:t>项目建设概况</w:t>
      </w:r>
      <w:bookmarkEnd w:id="4"/>
      <w:bookmarkEnd w:id="5"/>
      <w:bookmarkEnd w:id="6"/>
      <w:bookmarkEnd w:id="7"/>
      <w:bookmarkEnd w:id="8"/>
    </w:p>
    <w:p w14:paraId="7F2400CE">
      <w:pPr>
        <w:pStyle w:val="4"/>
        <w:numPr>
          <w:ilvl w:val="1"/>
          <w:numId w:val="2"/>
        </w:numPr>
        <w:spacing w:before="0" w:after="0"/>
        <w:ind w:left="567"/>
        <w:rPr>
          <w:rFonts w:hint="eastAsia"/>
        </w:rPr>
      </w:pPr>
      <w:bookmarkStart w:id="9" w:name="_Toc4129"/>
      <w:bookmarkStart w:id="10" w:name="_Toc30871"/>
      <w:bookmarkStart w:id="11" w:name="_Toc108728451"/>
      <w:bookmarkStart w:id="12" w:name="_Toc320476107"/>
      <w:bookmarkStart w:id="13" w:name="_Toc125876344"/>
      <w:bookmarkStart w:id="14" w:name="_Toc740405288"/>
      <w:bookmarkStart w:id="15" w:name="_Toc1642369818"/>
      <w:bookmarkStart w:id="16" w:name="_Toc641117196"/>
      <w:bookmarkStart w:id="17" w:name="_Toc7872891"/>
      <w:bookmarkStart w:id="18" w:name="_Toc866142505"/>
      <w:r>
        <w:rPr>
          <w:rFonts w:hint="eastAsia"/>
        </w:rPr>
        <w:t>项目</w:t>
      </w:r>
      <w:bookmarkEnd w:id="9"/>
      <w:bookmarkEnd w:id="10"/>
      <w:bookmarkEnd w:id="11"/>
      <w:bookmarkEnd w:id="12"/>
      <w:bookmarkEnd w:id="13"/>
      <w:r>
        <w:rPr>
          <w:rFonts w:hint="eastAsia"/>
        </w:rPr>
        <w:t>建设背景</w:t>
      </w:r>
      <w:bookmarkEnd w:id="14"/>
      <w:bookmarkEnd w:id="15"/>
      <w:bookmarkEnd w:id="16"/>
      <w:bookmarkEnd w:id="17"/>
      <w:bookmarkEnd w:id="18"/>
    </w:p>
    <w:p w14:paraId="233FE303">
      <w:pPr>
        <w:pStyle w:val="14"/>
        <w:widowControl/>
        <w:ind w:firstLine="482"/>
        <w:rPr>
          <w:rFonts w:hint="eastAsia"/>
        </w:rPr>
      </w:pPr>
      <w:r>
        <w:rPr>
          <w:rStyle w:val="19"/>
        </w:rPr>
        <w:t>上海电子信息职业技术学院是一所具有60年办学历史的公办全日制普通高等职业院校</w:t>
      </w:r>
      <w:r>
        <w:t>，‌位于上海市，‌隶属于上海市教育委员会。‌学校自1960年成立以来，‌一直致力于培养电子信息、‌先进制造业、‌生产性服务业和城市服务业等领域的高素质技术技能人才。‌上海电子信息职业技术学院是“国家示范性高等职业院校建设计划”的骨干高职院校之一，‌同时也是国家优质专科高等职业院校。‌学校荣获了多项荣誉称号，‌包括“全国职业院校魅力校园”、‌“全国社会扶贫先进集体”等，‌并被评为“2018年、‌2019年亚太职业院校影响力50强”。‌</w:t>
      </w:r>
    </w:p>
    <w:p w14:paraId="64F4AD73">
      <w:pPr>
        <w:pStyle w:val="14"/>
        <w:widowControl/>
        <w:rPr>
          <w:rStyle w:val="19"/>
          <w:rFonts w:hint="eastAsia"/>
          <w:b w:val="0"/>
          <w:bCs/>
        </w:rPr>
      </w:pPr>
      <w:r>
        <w:rPr>
          <w:rStyle w:val="19"/>
          <w:b w:val="0"/>
          <w:bCs/>
        </w:rPr>
        <w:t>学校坚持社会主义办学方向，</w:t>
      </w:r>
      <w:r>
        <w:rPr>
          <w:rStyle w:val="19"/>
          <w:rFonts w:ascii="Times New Roman" w:hAnsi="Times New Roman"/>
          <w:b w:val="0"/>
          <w:bCs/>
        </w:rPr>
        <w:t>‌</w:t>
      </w:r>
      <w:r>
        <w:rPr>
          <w:rStyle w:val="19"/>
          <w:b w:val="0"/>
          <w:bCs/>
        </w:rPr>
        <w:t>深入贯彻落实全国高校思想政治工作会议精神，</w:t>
      </w:r>
      <w:r>
        <w:rPr>
          <w:rStyle w:val="19"/>
          <w:rFonts w:ascii="Times New Roman" w:hAnsi="Times New Roman"/>
          <w:b w:val="0"/>
          <w:bCs/>
        </w:rPr>
        <w:t>‌</w:t>
      </w:r>
      <w:r>
        <w:rPr>
          <w:rStyle w:val="19"/>
          <w:b w:val="0"/>
          <w:bCs/>
        </w:rPr>
        <w:t>以立德树人为根本任务，</w:t>
      </w:r>
      <w:r>
        <w:rPr>
          <w:rStyle w:val="19"/>
          <w:rFonts w:ascii="Times New Roman" w:hAnsi="Times New Roman"/>
          <w:b w:val="0"/>
          <w:bCs/>
        </w:rPr>
        <w:t>‌</w:t>
      </w:r>
      <w:r>
        <w:rPr>
          <w:rStyle w:val="19"/>
          <w:b w:val="0"/>
          <w:bCs/>
        </w:rPr>
        <w:t>以服务经济社会发展为先导，</w:t>
      </w:r>
      <w:r>
        <w:rPr>
          <w:rStyle w:val="19"/>
          <w:rFonts w:ascii="Times New Roman" w:hAnsi="Times New Roman"/>
          <w:b w:val="0"/>
          <w:bCs/>
        </w:rPr>
        <w:t>‌</w:t>
      </w:r>
      <w:r>
        <w:rPr>
          <w:rStyle w:val="19"/>
          <w:b w:val="0"/>
          <w:bCs/>
        </w:rPr>
        <w:t>旨在培养具有国际视野的知识型、</w:t>
      </w:r>
      <w:r>
        <w:rPr>
          <w:rStyle w:val="19"/>
          <w:rFonts w:ascii="Times New Roman" w:hAnsi="Times New Roman"/>
          <w:b w:val="0"/>
          <w:bCs/>
        </w:rPr>
        <w:t>‌</w:t>
      </w:r>
      <w:r>
        <w:rPr>
          <w:rStyle w:val="19"/>
          <w:b w:val="0"/>
          <w:bCs/>
        </w:rPr>
        <w:t>创新型、</w:t>
      </w:r>
      <w:r>
        <w:rPr>
          <w:rStyle w:val="19"/>
          <w:rFonts w:ascii="Times New Roman" w:hAnsi="Times New Roman"/>
          <w:b w:val="0"/>
          <w:bCs/>
        </w:rPr>
        <w:t>‌</w:t>
      </w:r>
      <w:r>
        <w:rPr>
          <w:rStyle w:val="19"/>
          <w:b w:val="0"/>
          <w:bCs/>
        </w:rPr>
        <w:t>复合型高素质技术技能人才。</w:t>
      </w:r>
      <w:r>
        <w:rPr>
          <w:rStyle w:val="19"/>
          <w:rFonts w:ascii="Times New Roman" w:hAnsi="Times New Roman"/>
          <w:b w:val="0"/>
          <w:bCs/>
        </w:rPr>
        <w:t>‌</w:t>
      </w:r>
      <w:r>
        <w:rPr>
          <w:rStyle w:val="19"/>
          <w:b w:val="0"/>
          <w:bCs/>
        </w:rPr>
        <w:t>学校的办学特色鲜明，</w:t>
      </w:r>
      <w:r>
        <w:rPr>
          <w:rStyle w:val="19"/>
          <w:rFonts w:ascii="Times New Roman" w:hAnsi="Times New Roman"/>
          <w:b w:val="0"/>
          <w:bCs/>
        </w:rPr>
        <w:t>‌</w:t>
      </w:r>
      <w:r>
        <w:rPr>
          <w:rStyle w:val="19"/>
          <w:b w:val="0"/>
          <w:bCs/>
        </w:rPr>
        <w:t>努力打造成为一所办学特色鲜明、</w:t>
      </w:r>
      <w:r>
        <w:rPr>
          <w:rStyle w:val="19"/>
          <w:rFonts w:ascii="Times New Roman" w:hAnsi="Times New Roman"/>
          <w:b w:val="0"/>
          <w:bCs/>
        </w:rPr>
        <w:t>‌</w:t>
      </w:r>
      <w:r>
        <w:rPr>
          <w:rStyle w:val="19"/>
          <w:b w:val="0"/>
          <w:bCs/>
        </w:rPr>
        <w:t>国内一流、</w:t>
      </w:r>
      <w:r>
        <w:rPr>
          <w:rStyle w:val="19"/>
          <w:rFonts w:ascii="Times New Roman" w:hAnsi="Times New Roman"/>
          <w:b w:val="0"/>
          <w:bCs/>
        </w:rPr>
        <w:t>‌</w:t>
      </w:r>
      <w:r>
        <w:rPr>
          <w:rStyle w:val="19"/>
          <w:b w:val="0"/>
          <w:bCs/>
        </w:rPr>
        <w:t>具有国际影响力的服务经济社会发展的技术应用型高校。</w:t>
      </w:r>
      <w:r>
        <w:rPr>
          <w:rStyle w:val="19"/>
          <w:rFonts w:ascii="Times New Roman" w:hAnsi="Times New Roman"/>
          <w:b w:val="0"/>
          <w:bCs/>
        </w:rPr>
        <w:t>‌</w:t>
      </w:r>
    </w:p>
    <w:p w14:paraId="19AEF9EF">
      <w:pPr>
        <w:pStyle w:val="14"/>
        <w:widowControl/>
        <w:rPr>
          <w:rStyle w:val="19"/>
          <w:rFonts w:hint="eastAsia"/>
          <w:b w:val="0"/>
        </w:rPr>
      </w:pPr>
      <w:r>
        <w:rPr>
          <w:rStyle w:val="19"/>
          <w:b w:val="0"/>
        </w:rPr>
        <w:t>上海电子信息职业技术学院总占地面积近800亩，</w:t>
      </w:r>
      <w:r>
        <w:rPr>
          <w:rStyle w:val="19"/>
          <w:rFonts w:ascii="Times New Roman" w:hAnsi="Times New Roman"/>
          <w:b w:val="0"/>
        </w:rPr>
        <w:t>‌</w:t>
      </w:r>
      <w:r>
        <w:rPr>
          <w:rStyle w:val="19"/>
          <w:b w:val="0"/>
        </w:rPr>
        <w:t>总部设在上海市奉贤区，</w:t>
      </w:r>
      <w:r>
        <w:rPr>
          <w:rStyle w:val="19"/>
          <w:rFonts w:ascii="Times New Roman" w:hAnsi="Times New Roman"/>
          <w:b w:val="0"/>
        </w:rPr>
        <w:t>‌</w:t>
      </w:r>
      <w:r>
        <w:rPr>
          <w:rStyle w:val="19"/>
          <w:b w:val="0"/>
        </w:rPr>
        <w:t>并拥有闵行校区、</w:t>
      </w:r>
      <w:r>
        <w:rPr>
          <w:rStyle w:val="19"/>
          <w:rFonts w:ascii="Times New Roman" w:hAnsi="Times New Roman"/>
          <w:b w:val="0"/>
        </w:rPr>
        <w:t>‌</w:t>
      </w:r>
      <w:r>
        <w:rPr>
          <w:rStyle w:val="19"/>
          <w:b w:val="0"/>
        </w:rPr>
        <w:t>徐汇校区、</w:t>
      </w:r>
      <w:r>
        <w:rPr>
          <w:rStyle w:val="19"/>
          <w:rFonts w:ascii="Times New Roman" w:hAnsi="Times New Roman"/>
          <w:b w:val="0"/>
        </w:rPr>
        <w:t>‌</w:t>
      </w:r>
      <w:r>
        <w:rPr>
          <w:rStyle w:val="19"/>
          <w:b w:val="0"/>
        </w:rPr>
        <w:t>普陀校区等分校区。</w:t>
      </w:r>
      <w:r>
        <w:rPr>
          <w:rStyle w:val="19"/>
          <w:rFonts w:ascii="Times New Roman" w:hAnsi="Times New Roman"/>
          <w:b w:val="0"/>
        </w:rPr>
        <w:t>‌</w:t>
      </w:r>
      <w:r>
        <w:rPr>
          <w:rStyle w:val="19"/>
          <w:b w:val="0"/>
        </w:rPr>
        <w:t>学校现有全日制在校生超过一万余人，</w:t>
      </w:r>
      <w:r>
        <w:rPr>
          <w:rStyle w:val="19"/>
          <w:rFonts w:ascii="Times New Roman" w:hAnsi="Times New Roman"/>
          <w:b w:val="0"/>
        </w:rPr>
        <w:t>‌</w:t>
      </w:r>
      <w:r>
        <w:rPr>
          <w:rStyle w:val="19"/>
          <w:b w:val="0"/>
        </w:rPr>
        <w:t>专任教师600余人，</w:t>
      </w:r>
      <w:r>
        <w:rPr>
          <w:rStyle w:val="19"/>
          <w:rFonts w:ascii="Times New Roman" w:hAnsi="Times New Roman"/>
          <w:b w:val="0"/>
        </w:rPr>
        <w:t>‌</w:t>
      </w:r>
      <w:r>
        <w:rPr>
          <w:rStyle w:val="19"/>
          <w:b w:val="0"/>
        </w:rPr>
        <w:t>其中中高级职称教师占比近90%，</w:t>
      </w:r>
      <w:r>
        <w:rPr>
          <w:rStyle w:val="19"/>
          <w:rFonts w:ascii="Times New Roman" w:hAnsi="Times New Roman"/>
          <w:b w:val="0"/>
        </w:rPr>
        <w:t>‌</w:t>
      </w:r>
      <w:r>
        <w:rPr>
          <w:rStyle w:val="19"/>
          <w:b w:val="0"/>
        </w:rPr>
        <w:t>双师素质教师占比近90%。</w:t>
      </w:r>
      <w:r>
        <w:rPr>
          <w:rStyle w:val="19"/>
          <w:rFonts w:ascii="Times New Roman" w:hAnsi="Times New Roman"/>
          <w:b w:val="0"/>
        </w:rPr>
        <w:t>‌</w:t>
      </w:r>
      <w:r>
        <w:rPr>
          <w:rStyle w:val="19"/>
          <w:b w:val="0"/>
        </w:rPr>
        <w:t>毕业生就业率稳定在97%以上，</w:t>
      </w:r>
      <w:r>
        <w:rPr>
          <w:rStyle w:val="19"/>
          <w:rFonts w:ascii="Times New Roman" w:hAnsi="Times New Roman"/>
          <w:b w:val="0"/>
        </w:rPr>
        <w:t>‌</w:t>
      </w:r>
      <w:r>
        <w:rPr>
          <w:rStyle w:val="19"/>
          <w:b w:val="0"/>
        </w:rPr>
        <w:t>其中90%以上的学生在上海电子信息制造业、</w:t>
      </w:r>
      <w:r>
        <w:rPr>
          <w:rStyle w:val="19"/>
          <w:rFonts w:ascii="Times New Roman" w:hAnsi="Times New Roman"/>
          <w:b w:val="0"/>
        </w:rPr>
        <w:t>‌</w:t>
      </w:r>
      <w:r>
        <w:rPr>
          <w:rStyle w:val="19"/>
          <w:b w:val="0"/>
        </w:rPr>
        <w:t>软件业、</w:t>
      </w:r>
      <w:r>
        <w:rPr>
          <w:rStyle w:val="19"/>
          <w:rFonts w:ascii="Times New Roman" w:hAnsi="Times New Roman"/>
          <w:b w:val="0"/>
        </w:rPr>
        <w:t>‌</w:t>
      </w:r>
      <w:r>
        <w:rPr>
          <w:rStyle w:val="19"/>
          <w:b w:val="0"/>
        </w:rPr>
        <w:t>信息服务业和城市服务业等相关行业就业，</w:t>
      </w:r>
      <w:r>
        <w:rPr>
          <w:rStyle w:val="19"/>
          <w:rFonts w:ascii="Times New Roman" w:hAnsi="Times New Roman"/>
          <w:b w:val="0"/>
        </w:rPr>
        <w:t>‌</w:t>
      </w:r>
      <w:r>
        <w:rPr>
          <w:rStyle w:val="19"/>
          <w:b w:val="0"/>
        </w:rPr>
        <w:t>用人单位对毕业生的综合满意率达90%以上。</w:t>
      </w:r>
      <w:r>
        <w:rPr>
          <w:rStyle w:val="19"/>
          <w:rFonts w:ascii="Times New Roman" w:hAnsi="Times New Roman"/>
          <w:b w:val="0"/>
        </w:rPr>
        <w:t>‌</w:t>
      </w:r>
    </w:p>
    <w:p w14:paraId="68B7018A">
      <w:pPr>
        <w:rPr>
          <w:rStyle w:val="19"/>
          <w:rFonts w:hint="eastAsia"/>
          <w:b w:val="0"/>
        </w:rPr>
      </w:pPr>
      <w:r>
        <w:rPr>
          <w:rStyle w:val="19"/>
          <w:b w:val="0"/>
        </w:rPr>
        <w:t>学校设有电子技术与工程学院、</w:t>
      </w:r>
      <w:r>
        <w:rPr>
          <w:rStyle w:val="19"/>
          <w:rFonts w:ascii="Times New Roman" w:hAnsi="Times New Roman"/>
          <w:b w:val="0"/>
        </w:rPr>
        <w:t>‌</w:t>
      </w:r>
      <w:r>
        <w:rPr>
          <w:rStyle w:val="19"/>
          <w:b w:val="0"/>
        </w:rPr>
        <w:t>通信与信息工程学院、</w:t>
      </w:r>
      <w:r>
        <w:rPr>
          <w:rStyle w:val="19"/>
          <w:rFonts w:ascii="Times New Roman" w:hAnsi="Times New Roman"/>
          <w:b w:val="0"/>
        </w:rPr>
        <w:t>‌</w:t>
      </w:r>
      <w:r>
        <w:rPr>
          <w:rStyle w:val="19"/>
          <w:b w:val="0"/>
        </w:rPr>
        <w:t>机械与能源工程学院、</w:t>
      </w:r>
      <w:r>
        <w:rPr>
          <w:rStyle w:val="19"/>
          <w:rFonts w:ascii="Times New Roman" w:hAnsi="Times New Roman"/>
          <w:b w:val="0"/>
        </w:rPr>
        <w:t>‌</w:t>
      </w:r>
      <w:r>
        <w:rPr>
          <w:rStyle w:val="19"/>
          <w:b w:val="0"/>
        </w:rPr>
        <w:t>经济与管理学院、</w:t>
      </w:r>
      <w:r>
        <w:rPr>
          <w:rStyle w:val="19"/>
          <w:rFonts w:ascii="Times New Roman" w:hAnsi="Times New Roman"/>
          <w:b w:val="0"/>
        </w:rPr>
        <w:t>‌</w:t>
      </w:r>
      <w:r>
        <w:rPr>
          <w:rStyle w:val="19"/>
          <w:b w:val="0"/>
        </w:rPr>
        <w:t>中德工程学院、</w:t>
      </w:r>
      <w:r>
        <w:rPr>
          <w:rStyle w:val="19"/>
          <w:rFonts w:ascii="Times New Roman" w:hAnsi="Times New Roman"/>
          <w:b w:val="0"/>
        </w:rPr>
        <w:t>‌</w:t>
      </w:r>
      <w:r>
        <w:rPr>
          <w:rStyle w:val="19"/>
          <w:b w:val="0"/>
        </w:rPr>
        <w:t>设计与艺术学院、</w:t>
      </w:r>
      <w:r>
        <w:rPr>
          <w:rStyle w:val="19"/>
          <w:rFonts w:ascii="Times New Roman" w:hAnsi="Times New Roman"/>
          <w:b w:val="0"/>
        </w:rPr>
        <w:t>‌</w:t>
      </w:r>
      <w:r>
        <w:rPr>
          <w:rStyle w:val="19"/>
          <w:b w:val="0"/>
        </w:rPr>
        <w:t>外语学院等七个专业学院及马克思主义学院、</w:t>
      </w:r>
      <w:r>
        <w:rPr>
          <w:rStyle w:val="19"/>
          <w:rFonts w:ascii="Times New Roman" w:hAnsi="Times New Roman"/>
          <w:b w:val="0"/>
        </w:rPr>
        <w:t>‌</w:t>
      </w:r>
      <w:r>
        <w:rPr>
          <w:rStyle w:val="19"/>
          <w:b w:val="0"/>
        </w:rPr>
        <w:t>公共基础学院和继续教育学院，</w:t>
      </w:r>
      <w:r>
        <w:rPr>
          <w:rStyle w:val="19"/>
          <w:rFonts w:ascii="Times New Roman" w:hAnsi="Times New Roman"/>
          <w:b w:val="0"/>
        </w:rPr>
        <w:t>‌</w:t>
      </w:r>
      <w:r>
        <w:rPr>
          <w:rStyle w:val="19"/>
          <w:b w:val="0"/>
        </w:rPr>
        <w:t>共有36个专业，</w:t>
      </w:r>
      <w:r>
        <w:rPr>
          <w:rStyle w:val="19"/>
          <w:rFonts w:ascii="Times New Roman" w:hAnsi="Times New Roman"/>
          <w:b w:val="0"/>
        </w:rPr>
        <w:t>‌</w:t>
      </w:r>
      <w:r>
        <w:rPr>
          <w:rStyle w:val="19"/>
          <w:b w:val="0"/>
        </w:rPr>
        <w:t>其中国家级重点专业8个，</w:t>
      </w:r>
      <w:r>
        <w:rPr>
          <w:rStyle w:val="19"/>
          <w:rFonts w:ascii="Times New Roman" w:hAnsi="Times New Roman"/>
          <w:b w:val="0"/>
        </w:rPr>
        <w:t>‌</w:t>
      </w:r>
      <w:r>
        <w:rPr>
          <w:rStyle w:val="19"/>
          <w:b w:val="0"/>
        </w:rPr>
        <w:t>上海市重点专业11个。</w:t>
      </w:r>
      <w:r>
        <w:rPr>
          <w:rStyle w:val="19"/>
          <w:rFonts w:ascii="Times New Roman" w:hAnsi="Times New Roman"/>
          <w:b w:val="0"/>
        </w:rPr>
        <w:t>‌</w:t>
      </w:r>
      <w:r>
        <w:rPr>
          <w:rStyle w:val="19"/>
          <w:b w:val="0"/>
        </w:rPr>
        <w:t>学校的专业设置以电子信息产业为主干，</w:t>
      </w:r>
      <w:r>
        <w:rPr>
          <w:rStyle w:val="19"/>
          <w:rFonts w:ascii="Times New Roman" w:hAnsi="Times New Roman"/>
          <w:b w:val="0"/>
        </w:rPr>
        <w:t>‌</w:t>
      </w:r>
      <w:r>
        <w:rPr>
          <w:rStyle w:val="19"/>
          <w:b w:val="0"/>
        </w:rPr>
        <w:t>高端制造业和现代服务业为叠加，</w:t>
      </w:r>
      <w:r>
        <w:rPr>
          <w:rStyle w:val="19"/>
          <w:rFonts w:ascii="Times New Roman" w:hAnsi="Times New Roman"/>
          <w:b w:val="0"/>
        </w:rPr>
        <w:t>‌</w:t>
      </w:r>
      <w:r>
        <w:rPr>
          <w:rStyle w:val="19"/>
          <w:b w:val="0"/>
        </w:rPr>
        <w:t>形成了“一体两翼”的专业布局</w:t>
      </w:r>
      <w:r>
        <w:rPr>
          <w:rStyle w:val="19"/>
          <w:rFonts w:hint="eastAsia"/>
          <w:b w:val="0"/>
        </w:rPr>
        <w:t>。</w:t>
      </w:r>
    </w:p>
    <w:p w14:paraId="4FC3026B">
      <w:pPr>
        <w:pStyle w:val="15"/>
        <w:ind w:left="480" w:firstLine="480"/>
        <w:rPr>
          <w:rFonts w:hint="eastAsia"/>
        </w:rPr>
      </w:pPr>
    </w:p>
    <w:p w14:paraId="0740A34F">
      <w:pPr>
        <w:pStyle w:val="4"/>
        <w:numPr>
          <w:ilvl w:val="1"/>
          <w:numId w:val="0"/>
        </w:numPr>
        <w:ind w:firstLine="300" w:firstLineChars="100"/>
        <w:rPr>
          <w:rFonts w:hint="eastAsia"/>
        </w:rPr>
      </w:pPr>
      <w:bookmarkStart w:id="19" w:name="_Toc15304"/>
      <w:bookmarkStart w:id="20" w:name="_Toc1612922169"/>
      <w:bookmarkStart w:id="21" w:name="_Toc1331256173"/>
      <w:bookmarkStart w:id="22" w:name="_Toc1323176570"/>
      <w:bookmarkStart w:id="23" w:name="_Toc10162"/>
      <w:bookmarkStart w:id="24" w:name="_Toc1702216235"/>
      <w:bookmarkStart w:id="25" w:name="_Toc1471424698"/>
      <w:r>
        <w:t>1.2</w:t>
      </w:r>
      <w:r>
        <w:rPr>
          <w:rFonts w:hint="eastAsia"/>
        </w:rPr>
        <w:t>项目建设目标</w:t>
      </w:r>
      <w:bookmarkEnd w:id="19"/>
      <w:bookmarkEnd w:id="20"/>
      <w:bookmarkEnd w:id="21"/>
      <w:bookmarkEnd w:id="22"/>
      <w:bookmarkEnd w:id="23"/>
      <w:bookmarkEnd w:id="24"/>
      <w:bookmarkEnd w:id="25"/>
    </w:p>
    <w:p w14:paraId="55C5B868">
      <w:pPr>
        <w:pStyle w:val="14"/>
        <w:widowControl/>
        <w:rPr>
          <w:rStyle w:val="19"/>
          <w:rFonts w:hint="eastAsia"/>
          <w:b w:val="0"/>
          <w:bCs/>
        </w:rPr>
      </w:pPr>
      <w:r>
        <w:rPr>
          <w:rStyle w:val="19"/>
          <w:rFonts w:hint="eastAsia"/>
          <w:b w:val="0"/>
          <w:bCs/>
        </w:rPr>
        <w:t>奉贤校区与闵行校区部分教室建设标准化考场</w:t>
      </w:r>
      <w:r>
        <w:rPr>
          <w:rStyle w:val="19"/>
          <w:rFonts w:hint="eastAsia"/>
          <w:b w:val="0"/>
          <w:lang w:eastAsia="zh-Hans"/>
        </w:rPr>
        <w:t>的</w:t>
      </w:r>
      <w:r>
        <w:rPr>
          <w:rStyle w:val="19"/>
          <w:rFonts w:hint="eastAsia"/>
          <w:b w:val="0"/>
          <w:bCs/>
        </w:rPr>
        <w:t>网上巡考系统和信号屏蔽系统，建设遵循《国家教育考试网上巡查系统视频标准技术规范》2017 版及《上海市教育考试标准化考点场地及信息化建设规划指南》要求，实现与上海市教育考试院互联互通。</w:t>
      </w:r>
    </w:p>
    <w:p w14:paraId="1D405C27">
      <w:pPr>
        <w:pStyle w:val="14"/>
        <w:widowControl/>
        <w:rPr>
          <w:rStyle w:val="19"/>
          <w:rFonts w:hint="eastAsia"/>
          <w:b w:val="0"/>
          <w:bCs/>
        </w:rPr>
      </w:pPr>
      <w:r>
        <w:rPr>
          <w:rStyle w:val="19"/>
          <w:rFonts w:hint="eastAsia"/>
          <w:b w:val="0"/>
          <w:bCs/>
        </w:rPr>
        <w:t>建设常态化录播系统建设，师生可在线观看授权教室的课程直播和点播视频，实现校内师生及各学院的教学资源汇聚与管理，同时深度挖掘教学媒体资源价值提高资源的利用率，助力学校教师提升教学能力和教学效果。同时通过信息化手段支撑督导工作，降低教学督导中因纸质填表造成的效率低、时效性差，赋能督导工作丰富教学评价手段。</w:t>
      </w:r>
    </w:p>
    <w:p w14:paraId="491C0CFF">
      <w:pPr>
        <w:pStyle w:val="14"/>
        <w:widowControl/>
        <w:rPr>
          <w:rStyle w:val="19"/>
          <w:rFonts w:hint="eastAsia"/>
          <w:b w:val="0"/>
          <w:bCs/>
        </w:rPr>
      </w:pPr>
      <w:r>
        <w:rPr>
          <w:rStyle w:val="19"/>
          <w:rFonts w:hint="eastAsia" w:ascii="Times New Roman" w:hAnsi="Times New Roman"/>
          <w:b w:val="0"/>
          <w:bCs/>
        </w:rPr>
        <w:t>同时对教室内教学条件进行改善，增加智慧大屏和智能融合信息终端, 并通过后台系统对所有教室的电源、空调、智慧大屏进行统一管控，实现大屏、</w:t>
      </w:r>
      <w:r>
        <w:rPr>
          <w:rStyle w:val="19"/>
          <w:rFonts w:hint="eastAsia"/>
          <w:b w:val="0"/>
          <w:bCs/>
        </w:rPr>
        <w:t>电源和空调等设备统一开启与关闭，降低非上课时段设备开启带来的设备损耗和电源等的耗能。</w:t>
      </w:r>
    </w:p>
    <w:p w14:paraId="542B81C1">
      <w:pPr>
        <w:pStyle w:val="14"/>
        <w:widowControl/>
        <w:rPr>
          <w:rStyle w:val="19"/>
          <w:rFonts w:hint="eastAsia"/>
          <w:b w:val="0"/>
          <w:bCs/>
        </w:rPr>
      </w:pPr>
      <w:r>
        <w:rPr>
          <w:rStyle w:val="19"/>
          <w:rFonts w:hint="eastAsia"/>
          <w:b w:val="0"/>
          <w:bCs/>
        </w:rPr>
        <w:t>上海电子信息职业技术学院奉贤校区和闵行校区教学条件较为老旧，不能满足标准化考场和日常教学、管理需要。2023年已对金山校区标准化考场系统进行改造升级，今年拟改造奉贤校区和闵行校区标准化考场系统，其中奉贤校区121间，包含标准教室（45人）110间，特大教室（250人）2间，大型教室（90人）9间；闵行校区标准教室（45人）19间，实现三校区互联互通，实现与上海市教育考试院互联互通。</w:t>
      </w:r>
    </w:p>
    <w:p w14:paraId="241DB144">
      <w:pPr>
        <w:pStyle w:val="14"/>
        <w:widowControl/>
        <w:rPr>
          <w:rFonts w:hint="eastAsia"/>
          <w:bCs/>
        </w:rPr>
      </w:pPr>
      <w:r>
        <w:rPr>
          <w:rStyle w:val="19"/>
          <w:rFonts w:hint="eastAsia"/>
          <w:b w:val="0"/>
          <w:bCs/>
        </w:rPr>
        <w:t>同时为更好地开展教学活动的常态化录播，真实反映教学状况、为科学评教提供佐证、为网络精品课程提供教学素材，推进教学资源的迭代更新和快速生成，拟对奉贤校区和闵行校区公共教室开展云录播系统和可视化教学督导建设，从而实现奉贤、闵行、金山多校区的统一接入、统一纳管、统一汇聚、统一服务。同时对教室内教学条件进行改善，增加智慧大屏和智能控制系统等教学设备。</w:t>
      </w:r>
      <w:bookmarkStart w:id="26" w:name="_Toc47539070"/>
      <w:bookmarkEnd w:id="26"/>
      <w:bookmarkStart w:id="27" w:name="_Toc47532891"/>
      <w:bookmarkEnd w:id="27"/>
      <w:bookmarkStart w:id="28" w:name="_Toc47536304"/>
      <w:bookmarkEnd w:id="28"/>
      <w:bookmarkStart w:id="29" w:name="_Toc47536676"/>
      <w:bookmarkEnd w:id="29"/>
      <w:bookmarkStart w:id="30" w:name="_Toc47537166"/>
      <w:bookmarkEnd w:id="30"/>
      <w:bookmarkStart w:id="31" w:name="_Toc47536272"/>
      <w:bookmarkEnd w:id="31"/>
      <w:bookmarkStart w:id="32" w:name="_Toc47539102"/>
      <w:bookmarkEnd w:id="32"/>
      <w:bookmarkStart w:id="33" w:name="_Toc47536644"/>
      <w:bookmarkEnd w:id="33"/>
      <w:bookmarkStart w:id="34" w:name="_Toc47532923"/>
      <w:bookmarkEnd w:id="34"/>
      <w:bookmarkStart w:id="35" w:name="_Toc47532255"/>
      <w:bookmarkEnd w:id="35"/>
      <w:bookmarkStart w:id="36" w:name="_Toc47537134"/>
      <w:bookmarkEnd w:id="36"/>
      <w:bookmarkStart w:id="37" w:name="_Toc47531634"/>
      <w:bookmarkEnd w:id="37"/>
      <w:bookmarkStart w:id="38" w:name="_Toc47533288"/>
      <w:bookmarkEnd w:id="38"/>
      <w:bookmarkStart w:id="39" w:name="_Toc47533256"/>
      <w:bookmarkEnd w:id="39"/>
    </w:p>
    <w:p w14:paraId="2226439D">
      <w:pPr>
        <w:pStyle w:val="4"/>
        <w:numPr>
          <w:ilvl w:val="1"/>
          <w:numId w:val="0"/>
        </w:numPr>
        <w:spacing w:before="0" w:after="0"/>
        <w:rPr>
          <w:rFonts w:hint="eastAsia"/>
        </w:rPr>
      </w:pPr>
      <w:bookmarkStart w:id="40" w:name="_Toc2394"/>
      <w:bookmarkStart w:id="41" w:name="_Toc14507"/>
      <w:bookmarkStart w:id="42" w:name="_Toc1435447305"/>
      <w:bookmarkStart w:id="43" w:name="_Toc1960704081"/>
      <w:bookmarkStart w:id="44" w:name="_Toc1937865165"/>
      <w:bookmarkStart w:id="45" w:name="_Toc696818302"/>
      <w:bookmarkStart w:id="46" w:name="_Toc371116311"/>
      <w:bookmarkStart w:id="47" w:name="_Toc6336"/>
      <w:bookmarkStart w:id="48" w:name="_Toc10388"/>
      <w:bookmarkStart w:id="49" w:name="_Toc125876350"/>
      <w:r>
        <w:t>1.3</w:t>
      </w:r>
      <w:r>
        <w:rPr>
          <w:rFonts w:hint="eastAsia"/>
        </w:rPr>
        <w:t>项目</w:t>
      </w:r>
      <w:bookmarkEnd w:id="40"/>
      <w:bookmarkEnd w:id="41"/>
      <w:r>
        <w:rPr>
          <w:rFonts w:hint="eastAsia"/>
        </w:rPr>
        <w:t>建设内容</w:t>
      </w:r>
      <w:bookmarkEnd w:id="42"/>
      <w:bookmarkEnd w:id="43"/>
      <w:bookmarkEnd w:id="44"/>
      <w:bookmarkEnd w:id="45"/>
      <w:bookmarkEnd w:id="46"/>
    </w:p>
    <w:p w14:paraId="30FCA392">
      <w:pPr>
        <w:rPr>
          <w:rStyle w:val="19"/>
          <w:rFonts w:hint="eastAsia"/>
          <w:b w:val="0"/>
          <w:bCs/>
        </w:rPr>
      </w:pPr>
      <w:r>
        <w:rPr>
          <w:rStyle w:val="19"/>
          <w:rFonts w:hint="eastAsia"/>
          <w:b w:val="0"/>
          <w:bCs/>
        </w:rPr>
        <w:t>本项目建设内容主要包括：</w:t>
      </w:r>
    </w:p>
    <w:p w14:paraId="671BE118">
      <w:pPr>
        <w:rPr>
          <w:rStyle w:val="19"/>
          <w:rFonts w:hint="eastAsia"/>
          <w:b w:val="0"/>
        </w:rPr>
      </w:pPr>
      <w:r>
        <w:rPr>
          <w:rStyle w:val="19"/>
          <w:rFonts w:hint="eastAsia"/>
          <w:b w:val="0"/>
        </w:rPr>
        <w:t xml:space="preserve">1、常态化录播系统 </w:t>
      </w:r>
    </w:p>
    <w:p w14:paraId="33973361">
      <w:pPr>
        <w:rPr>
          <w:rStyle w:val="19"/>
          <w:rFonts w:hint="eastAsia"/>
          <w:b w:val="0"/>
        </w:rPr>
      </w:pPr>
      <w:r>
        <w:rPr>
          <w:rStyle w:val="19"/>
          <w:rFonts w:hint="eastAsia"/>
          <w:b w:val="0"/>
        </w:rPr>
        <w:t xml:space="preserve">1）大教室安装部署教师跟踪摄像机、网课终端及拾音设备等录播设备，小教室安装部署教师半球摄像机、网课终端及拾音设备等录播设备，可实现高清视频录制、音频采集、实时编码、在线直播和点播回放等功能。 </w:t>
      </w:r>
    </w:p>
    <w:p w14:paraId="4A9AEC06">
      <w:pPr>
        <w:rPr>
          <w:rStyle w:val="19"/>
          <w:rFonts w:hint="eastAsia"/>
          <w:b w:val="0"/>
        </w:rPr>
      </w:pPr>
      <w:r>
        <w:rPr>
          <w:rStyle w:val="19"/>
          <w:rFonts w:hint="eastAsia"/>
          <w:b w:val="0"/>
        </w:rPr>
        <w:t xml:space="preserve">2）部署安装云录播平台、直播主机、剪辑主机、点播主机、点播存储等设备，为后续的课程资源开发、加工、动态更新等提供保障。 </w:t>
      </w:r>
    </w:p>
    <w:p w14:paraId="345D8F93">
      <w:pPr>
        <w:rPr>
          <w:rStyle w:val="19"/>
          <w:rFonts w:hint="eastAsia"/>
          <w:b w:val="0"/>
        </w:rPr>
      </w:pPr>
      <w:r>
        <w:rPr>
          <w:rStyle w:val="19"/>
          <w:rFonts w:hint="eastAsia"/>
          <w:b w:val="0"/>
        </w:rPr>
        <w:t xml:space="preserve">2、在线督导应用 </w:t>
      </w:r>
    </w:p>
    <w:p w14:paraId="0459DBBD">
      <w:pPr>
        <w:rPr>
          <w:rStyle w:val="19"/>
          <w:rFonts w:hint="eastAsia"/>
          <w:b w:val="0"/>
        </w:rPr>
      </w:pPr>
      <w:r>
        <w:rPr>
          <w:rStyle w:val="19"/>
          <w:rFonts w:hint="eastAsia"/>
          <w:b w:val="0"/>
        </w:rPr>
        <w:t xml:space="preserve">1）部署支持远程可视化督导服务，可通过教师姓名、教室名称、课程名称、开课院系等多个检索项进行课程选择，进入所选课程后实现在线实时督导，真实地了解该课程的教学情况。 </w:t>
      </w:r>
    </w:p>
    <w:p w14:paraId="064F9344">
      <w:pPr>
        <w:rPr>
          <w:rStyle w:val="19"/>
          <w:rFonts w:hint="eastAsia"/>
          <w:b w:val="0"/>
        </w:rPr>
      </w:pPr>
      <w:r>
        <w:rPr>
          <w:rStyle w:val="19"/>
          <w:rFonts w:hint="eastAsia"/>
          <w:b w:val="0"/>
        </w:rPr>
        <w:t xml:space="preserve">2）开展课程的教学评价，支持设置多维度评价指标从不同的角度对教学过程进行评估，支持数据统计、分析和报表展示等场景应用。 </w:t>
      </w:r>
    </w:p>
    <w:p w14:paraId="35D1549F">
      <w:pPr>
        <w:rPr>
          <w:rStyle w:val="19"/>
          <w:rFonts w:hint="eastAsia"/>
          <w:b w:val="0"/>
        </w:rPr>
      </w:pPr>
      <w:r>
        <w:rPr>
          <w:rStyle w:val="19"/>
          <w:rFonts w:hint="eastAsia"/>
          <w:b w:val="0"/>
        </w:rPr>
        <w:t xml:space="preserve">3、标准化考场（网上巡查模块和信号屏蔽模块） </w:t>
      </w:r>
    </w:p>
    <w:p w14:paraId="3AA82517">
      <w:pPr>
        <w:rPr>
          <w:rStyle w:val="19"/>
          <w:rFonts w:hint="eastAsia"/>
          <w:b w:val="0"/>
        </w:rPr>
      </w:pPr>
      <w:r>
        <w:rPr>
          <w:rStyle w:val="19"/>
          <w:rFonts w:hint="eastAsia"/>
          <w:b w:val="0"/>
        </w:rPr>
        <w:t xml:space="preserve">1）部署巡考半球摄像机，并部分复用常态化录播系统所部署的摄像机，建设奉贤校区和闵行校区的在线巡考管理平台和日常存储，奉贤校区作为标准化考场主校区，需将现有金山校区标准化考试设施设备无缝接入，实现远程监控、实时巡考等统一管理。 </w:t>
      </w:r>
    </w:p>
    <w:p w14:paraId="5FA3A837">
      <w:pPr>
        <w:pStyle w:val="15"/>
        <w:ind w:left="0" w:leftChars="0" w:firstLine="480"/>
        <w:rPr>
          <w:rFonts w:hint="eastAsia"/>
        </w:rPr>
      </w:pPr>
      <w:r>
        <w:rPr>
          <w:rFonts w:hint="eastAsia"/>
        </w:rPr>
        <w:t>2）保密室部署符合考试院要求高清红外半球和拾音器实现无死角全天候监控。 3）安全监控：为保证考卷的保密性，自保密室出发，试卷的所有路径部署监控前端，保证对考卷的全程监控。</w:t>
      </w:r>
    </w:p>
    <w:p w14:paraId="24791D0D">
      <w:pPr>
        <w:pStyle w:val="15"/>
        <w:ind w:left="0" w:leftChars="0" w:firstLine="0" w:firstLineChars="0"/>
        <w:rPr>
          <w:rFonts w:hint="eastAsia"/>
        </w:rPr>
      </w:pPr>
      <w:r>
        <w:rPr>
          <w:rFonts w:hint="eastAsia"/>
        </w:rPr>
        <w:t xml:space="preserve">   4）迁移金山校区已有SIP网关至奉贤主校区，实现三校区级联并与上海市教育考试院互联互通。</w:t>
      </w:r>
    </w:p>
    <w:p w14:paraId="555C31BF">
      <w:pPr>
        <w:rPr>
          <w:rStyle w:val="19"/>
          <w:rFonts w:hint="eastAsia"/>
          <w:b w:val="0"/>
        </w:rPr>
      </w:pPr>
      <w:r>
        <w:rPr>
          <w:rStyle w:val="19"/>
          <w:rFonts w:hint="eastAsia"/>
          <w:b w:val="0"/>
        </w:rPr>
        <w:t>5）部署信号屏蔽系统，实现无线信号的屏蔽，从而达到防控目的。</w:t>
      </w:r>
    </w:p>
    <w:p w14:paraId="4CED44CD">
      <w:pPr>
        <w:rPr>
          <w:rStyle w:val="19"/>
          <w:rFonts w:hint="eastAsia"/>
          <w:b w:val="0"/>
        </w:rPr>
      </w:pPr>
      <w:r>
        <w:rPr>
          <w:rStyle w:val="19"/>
          <w:rFonts w:hint="eastAsia"/>
          <w:b w:val="0"/>
        </w:rPr>
        <w:t xml:space="preserve">4、智能大屏 </w:t>
      </w:r>
    </w:p>
    <w:p w14:paraId="45755333">
      <w:pPr>
        <w:rPr>
          <w:rStyle w:val="19"/>
          <w:rFonts w:hint="eastAsia"/>
          <w:b w:val="0"/>
        </w:rPr>
      </w:pPr>
      <w:r>
        <w:rPr>
          <w:rStyle w:val="19"/>
          <w:rFonts w:hint="eastAsia"/>
          <w:b w:val="0"/>
        </w:rPr>
        <w:t>部署智能大屏，实现本地显示。</w:t>
      </w:r>
    </w:p>
    <w:p w14:paraId="4105A67E">
      <w:pPr>
        <w:rPr>
          <w:rStyle w:val="19"/>
          <w:rFonts w:hint="eastAsia"/>
          <w:b w:val="0"/>
        </w:rPr>
      </w:pPr>
      <w:r>
        <w:rPr>
          <w:rStyle w:val="19"/>
          <w:rFonts w:hint="eastAsia"/>
          <w:b w:val="0"/>
        </w:rPr>
        <w:t>5智能控制系统</w:t>
      </w:r>
    </w:p>
    <w:p w14:paraId="10D0F6E2">
      <w:pPr>
        <w:rPr>
          <w:rStyle w:val="19"/>
          <w:rFonts w:hint="eastAsia"/>
          <w:b w:val="0"/>
        </w:rPr>
      </w:pPr>
      <w:r>
        <w:rPr>
          <w:rStyle w:val="19"/>
          <w:rFonts w:hint="eastAsia"/>
          <w:b w:val="0"/>
        </w:rPr>
        <w:t>学院已建智能控制平台，此次新建融合信息终端、融合教学终端、电源控制器，此次新建设备新建的终端需无缝接入已建智能控制平台，实现对教室智能化远程控制与管理。</w:t>
      </w:r>
    </w:p>
    <w:p w14:paraId="3B9BFE0A">
      <w:pPr>
        <w:rPr>
          <w:rStyle w:val="19"/>
          <w:rFonts w:hint="eastAsia"/>
          <w:b w:val="0"/>
        </w:rPr>
      </w:pPr>
      <w:r>
        <w:rPr>
          <w:rStyle w:val="19"/>
          <w:rFonts w:hint="eastAsia"/>
          <w:b w:val="0"/>
        </w:rPr>
        <w:t xml:space="preserve">6、集成调试 </w:t>
      </w:r>
    </w:p>
    <w:p w14:paraId="6A6D997A">
      <w:pPr>
        <w:pStyle w:val="15"/>
        <w:ind w:left="480" w:firstLine="480"/>
        <w:rPr>
          <w:rFonts w:hint="eastAsia"/>
        </w:rPr>
      </w:pPr>
      <w:r>
        <w:rPr>
          <w:rFonts w:hint="eastAsia"/>
        </w:rPr>
        <w:t>本项目包含全部产品的优化设计、供货、运输、布线、安装、拆卸原有黑板、调试、系统对接、验收、相应的技术服务、售后服务与质量保修以及保险、税费、管理费、利润、合同明示或暗示的所有一般风险、责任和义务的费用</w:t>
      </w:r>
    </w:p>
    <w:p w14:paraId="09A5C0FB">
      <w:pPr>
        <w:rPr>
          <w:rStyle w:val="19"/>
          <w:rFonts w:hint="eastAsia"/>
          <w:b w:val="0"/>
        </w:rPr>
      </w:pPr>
      <w:r>
        <w:rPr>
          <w:rStyle w:val="19"/>
          <w:rFonts w:hint="eastAsia"/>
          <w:b w:val="0"/>
        </w:rPr>
        <w:t xml:space="preserve">7、对接要求： </w:t>
      </w:r>
    </w:p>
    <w:p w14:paraId="36E900A0">
      <w:pPr>
        <w:rPr>
          <w:rStyle w:val="19"/>
          <w:rFonts w:hint="eastAsia"/>
          <w:b w:val="0"/>
        </w:rPr>
      </w:pPr>
      <w:r>
        <w:rPr>
          <w:rStyle w:val="19"/>
          <w:rFonts w:hint="eastAsia"/>
          <w:b w:val="0"/>
        </w:rPr>
        <w:t xml:space="preserve">1）常态化录播系统要求对接学校单点登陆系统，师生进入系统采用学校统一身份认证后即可进入，无需多重账号管理，学生登陆后能看到本教学班课程的视频直播和点播，老师登陆后能看到自己授课课程的视频直播和点播。 </w:t>
      </w:r>
    </w:p>
    <w:p w14:paraId="23C9D0BF">
      <w:pPr>
        <w:rPr>
          <w:rStyle w:val="19"/>
          <w:rFonts w:hint="eastAsia"/>
          <w:b w:val="0"/>
        </w:rPr>
      </w:pPr>
      <w:r>
        <w:rPr>
          <w:rStyle w:val="19"/>
          <w:rFonts w:hint="eastAsia"/>
          <w:b w:val="0"/>
        </w:rPr>
        <w:t xml:space="preserve">2）常态化录播系统要求对接学校教务排课系统，通过数据中间库方式或者对接学校数据中台 API 接口，根据课表自动生成课程直播与回放。 </w:t>
      </w:r>
    </w:p>
    <w:p w14:paraId="1059E1F7">
      <w:pPr>
        <w:rPr>
          <w:rStyle w:val="19"/>
          <w:rFonts w:hint="eastAsia"/>
          <w:b w:val="0"/>
        </w:rPr>
      </w:pPr>
      <w:r>
        <w:rPr>
          <w:rStyle w:val="19"/>
          <w:rFonts w:hint="eastAsia"/>
          <w:b w:val="0"/>
        </w:rPr>
        <w:t>3）智慧控制系统要求对接学校教务排课系统，通过数据中间库方式或者对接学校数据中台 API 接口，根据课表自动开启或关闭教室内设备。</w:t>
      </w:r>
    </w:p>
    <w:p w14:paraId="633E8B82">
      <w:pPr>
        <w:pStyle w:val="15"/>
        <w:ind w:left="0" w:leftChars="0" w:firstLine="0" w:firstLineChars="0"/>
        <w:rPr>
          <w:rFonts w:hint="eastAsia"/>
        </w:rPr>
      </w:pPr>
      <w:r>
        <w:rPr>
          <w:rFonts w:hint="eastAsia"/>
        </w:rPr>
        <w:t xml:space="preserve">    4）在线督导系统要求对接学校单点登陆系统和教务排课系统，督导通过统一身份认证后能观看实时课程和课程回放。</w:t>
      </w:r>
    </w:p>
    <w:p w14:paraId="717ADEB4">
      <w:pPr>
        <w:rPr>
          <w:rStyle w:val="19"/>
          <w:rFonts w:hint="eastAsia"/>
          <w:b w:val="0"/>
        </w:rPr>
      </w:pPr>
      <w:r>
        <w:rPr>
          <w:rStyle w:val="19"/>
          <w:rFonts w:hint="eastAsia"/>
          <w:b w:val="0"/>
        </w:rPr>
        <w:t>5）奉贤校区新建的巡考管理平台要求将现有金山校区标准化考试设施设备无缝接入</w:t>
      </w:r>
      <w:r>
        <w:rPr>
          <w:rFonts w:hint="eastAsia"/>
        </w:rPr>
        <w:t>，须无缝对接原有数据资料，实现音视频资料无缝连接，支持在新建平台上调取、查看、下载原有教室数据录</w:t>
      </w:r>
      <w:r>
        <w:rPr>
          <w:rFonts w:hint="eastAsia" w:cstheme="minorBidi"/>
          <w:sz w:val="21"/>
          <w:szCs w:val="21"/>
        </w:rPr>
        <w:t>像</w:t>
      </w:r>
      <w:r>
        <w:rPr>
          <w:rStyle w:val="19"/>
          <w:rFonts w:hint="eastAsia"/>
          <w:b w:val="0"/>
        </w:rPr>
        <w:t>，与上海市教育考试院互联互通。金山校区原有标准化考场采用SIP协议实现连接和业务控制（比如前端设备远程控制，音视频浏览和回放，前端设备报警等），音视频数据和控制传输协议同时遵守《国家教育考试网上巡查系统视频标准技术规范 （2017 版）》。</w:t>
      </w:r>
    </w:p>
    <w:p w14:paraId="11BE8F7D">
      <w:pPr>
        <w:rPr>
          <w:rFonts w:hint="eastAsia"/>
        </w:rPr>
      </w:pPr>
      <w:r>
        <w:rPr>
          <w:rFonts w:hint="eastAsia"/>
        </w:rPr>
        <w:t>6）</w:t>
      </w:r>
      <w:r>
        <w:rPr>
          <w:rStyle w:val="19"/>
          <w:rFonts w:hint="eastAsia"/>
          <w:b w:val="0"/>
        </w:rPr>
        <w:t>融合信息终端、融合教学终端、电源控制器</w:t>
      </w:r>
      <w:r>
        <w:rPr>
          <w:rFonts w:hint="eastAsia"/>
        </w:rPr>
        <w:t>与已建智能控制平台对接，学院</w:t>
      </w:r>
      <w:r>
        <w:rPr>
          <w:rStyle w:val="19"/>
          <w:rFonts w:hint="eastAsia"/>
          <w:b w:val="0"/>
        </w:rPr>
        <w:t>已建智能控制平台，此次新建融合信息终端、融合教学终端、电源控制器，此次新建设备新建的终端需无缝接入已建智能控制平台，实现对教室智能化远程控制与管理。</w:t>
      </w:r>
    </w:p>
    <w:p w14:paraId="569357B2">
      <w:pPr>
        <w:rPr>
          <w:rFonts w:hint="eastAsia"/>
        </w:rPr>
      </w:pPr>
      <w:r>
        <w:rPr>
          <w:rFonts w:hint="eastAsia"/>
        </w:rPr>
        <w:t>详情请投保人现场勘查时自行了解。</w:t>
      </w:r>
    </w:p>
    <w:p w14:paraId="6D9824B9">
      <w:pPr>
        <w:pStyle w:val="4"/>
        <w:numPr>
          <w:ilvl w:val="1"/>
          <w:numId w:val="0"/>
        </w:numPr>
        <w:spacing w:before="0" w:after="0"/>
        <w:rPr>
          <w:rFonts w:hint="eastAsia"/>
        </w:rPr>
      </w:pPr>
      <w:bookmarkStart w:id="50" w:name="_Toc962837753"/>
      <w:bookmarkStart w:id="51" w:name="_Toc416926152"/>
      <w:bookmarkStart w:id="52" w:name="_Toc1059328089"/>
      <w:bookmarkStart w:id="53" w:name="_Toc731564737"/>
      <w:bookmarkStart w:id="54" w:name="_Toc1196874623"/>
      <w:r>
        <w:t>1.4</w:t>
      </w:r>
      <w:r>
        <w:rPr>
          <w:rFonts w:hint="eastAsia"/>
        </w:rPr>
        <w:t>项目建设周期</w:t>
      </w:r>
      <w:bookmarkEnd w:id="47"/>
      <w:bookmarkEnd w:id="48"/>
      <w:bookmarkEnd w:id="49"/>
      <w:bookmarkEnd w:id="50"/>
      <w:bookmarkEnd w:id="51"/>
      <w:bookmarkEnd w:id="52"/>
      <w:bookmarkEnd w:id="53"/>
      <w:bookmarkEnd w:id="54"/>
    </w:p>
    <w:p w14:paraId="00C5BDFA">
      <w:pPr>
        <w:pStyle w:val="15"/>
        <w:ind w:left="480" w:firstLine="480"/>
        <w:rPr>
          <w:rFonts w:hint="eastAsia"/>
        </w:rPr>
      </w:pPr>
      <w:r>
        <w:rPr>
          <w:rStyle w:val="19"/>
          <w:rFonts w:hint="eastAsia" w:ascii="Times New Roman" w:hAnsi="Times New Roman"/>
          <w:b w:val="0"/>
        </w:rPr>
        <w:t>本项目的建设工期为自合同签订之日起至2025年</w:t>
      </w:r>
      <w:r>
        <w:rPr>
          <w:rStyle w:val="19"/>
          <w:rFonts w:ascii="Times New Roman" w:hAnsi="Times New Roman"/>
          <w:b w:val="0"/>
        </w:rPr>
        <w:t>11</w:t>
      </w:r>
      <w:r>
        <w:rPr>
          <w:rStyle w:val="19"/>
          <w:rFonts w:hint="eastAsia" w:ascii="Times New Roman" w:hAnsi="Times New Roman"/>
          <w:b w:val="0"/>
        </w:rPr>
        <w:t>月</w:t>
      </w:r>
      <w:r>
        <w:rPr>
          <w:rStyle w:val="19"/>
          <w:rFonts w:ascii="Times New Roman" w:hAnsi="Times New Roman"/>
          <w:b w:val="0"/>
        </w:rPr>
        <w:t>20</w:t>
      </w:r>
      <w:r>
        <w:rPr>
          <w:rStyle w:val="19"/>
          <w:rFonts w:hint="eastAsia" w:ascii="Times New Roman" w:hAnsi="Times New Roman"/>
          <w:b w:val="0"/>
        </w:rPr>
        <w:t>日完成所有项目建设并通过竣工验收，其中包括3个月试运行。</w:t>
      </w:r>
    </w:p>
    <w:p w14:paraId="3D15E188">
      <w:pPr>
        <w:widowControl/>
        <w:spacing w:line="240" w:lineRule="auto"/>
        <w:ind w:firstLine="0" w:firstLineChars="0"/>
        <w:jc w:val="left"/>
        <w:rPr>
          <w:rFonts w:hint="eastAsia"/>
          <w:color w:val="0000FF"/>
        </w:rPr>
      </w:pPr>
      <w:r>
        <w:rPr>
          <w:rFonts w:hint="eastAsia"/>
          <w:color w:val="0000FF"/>
        </w:rPr>
        <w:br w:type="page"/>
      </w:r>
    </w:p>
    <w:p w14:paraId="0B7A03B7">
      <w:pPr>
        <w:pStyle w:val="3"/>
        <w:rPr>
          <w:rFonts w:hint="eastAsia" w:eastAsia="宋体" w:cs="宋体"/>
        </w:rPr>
      </w:pPr>
      <w:bookmarkStart w:id="55" w:name="_Toc1124834526"/>
      <w:bookmarkStart w:id="56" w:name="_Toc38696503"/>
      <w:bookmarkStart w:id="57" w:name="_Toc392467312"/>
      <w:bookmarkStart w:id="58" w:name="_Toc1064655684"/>
      <w:bookmarkStart w:id="59" w:name="_Toc1487758193"/>
      <w:r>
        <w:rPr>
          <w:rFonts w:hint="eastAsia" w:eastAsia="宋体" w:cs="宋体"/>
        </w:rPr>
        <w:t>采购产品清单</w:t>
      </w:r>
      <w:bookmarkEnd w:id="55"/>
      <w:bookmarkEnd w:id="56"/>
      <w:bookmarkEnd w:id="57"/>
      <w:bookmarkEnd w:id="58"/>
      <w:bookmarkEnd w:id="59"/>
    </w:p>
    <w:tbl>
      <w:tblPr>
        <w:tblStyle w:val="16"/>
        <w:tblW w:w="8961" w:type="dxa"/>
        <w:tblInd w:w="96" w:type="dxa"/>
        <w:tblLayout w:type="fixed"/>
        <w:tblCellMar>
          <w:top w:w="0" w:type="dxa"/>
          <w:left w:w="108" w:type="dxa"/>
          <w:bottom w:w="0" w:type="dxa"/>
          <w:right w:w="108" w:type="dxa"/>
        </w:tblCellMar>
      </w:tblPr>
      <w:tblGrid>
        <w:gridCol w:w="801"/>
        <w:gridCol w:w="95"/>
        <w:gridCol w:w="900"/>
        <w:gridCol w:w="2899"/>
        <w:gridCol w:w="1440"/>
        <w:gridCol w:w="26"/>
        <w:gridCol w:w="1440"/>
        <w:gridCol w:w="14"/>
        <w:gridCol w:w="1340"/>
        <w:gridCol w:w="6"/>
      </w:tblGrid>
      <w:tr w14:paraId="40AD0ED3">
        <w:tblPrEx>
          <w:tblCellMar>
            <w:top w:w="0" w:type="dxa"/>
            <w:left w:w="108" w:type="dxa"/>
            <w:bottom w:w="0" w:type="dxa"/>
            <w:right w:w="108" w:type="dxa"/>
          </w:tblCellMar>
        </w:tblPrEx>
        <w:trPr>
          <w:gridAfter w:val="1"/>
          <w:wAfter w:w="6" w:type="dxa"/>
          <w:trHeight w:val="312" w:hRule="atLeast"/>
        </w:trPr>
        <w:tc>
          <w:tcPr>
            <w:tcW w:w="8955" w:type="dxa"/>
            <w:gridSpan w:val="9"/>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2ED323C">
            <w:pPr>
              <w:ind w:firstLine="0" w:firstLineChars="0"/>
              <w:rPr>
                <w:rFonts w:hint="eastAsia" w:cs="宋体"/>
                <w:kern w:val="0"/>
                <w:sz w:val="21"/>
                <w:szCs w:val="21"/>
                <w:lang w:bidi="ar"/>
              </w:rPr>
            </w:pPr>
            <w:r>
              <w:rPr>
                <w:rFonts w:cs="宋体"/>
              </w:rPr>
              <w:t>1</w:t>
            </w:r>
            <w:r>
              <w:rPr>
                <w:rFonts w:hint="eastAsia" w:cs="宋体"/>
                <w:lang w:eastAsia="zh-Hans"/>
              </w:rPr>
              <w:t>、</w:t>
            </w:r>
            <w:r>
              <w:rPr>
                <w:rFonts w:hint="eastAsia" w:cs="宋体"/>
              </w:rPr>
              <w:t>软件产品（主要）</w:t>
            </w:r>
          </w:p>
        </w:tc>
      </w:tr>
      <w:tr w14:paraId="69FFBC59">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A1E8520">
            <w:pPr>
              <w:widowControl/>
              <w:ind w:firstLine="0" w:firstLineChars="0"/>
              <w:jc w:val="center"/>
              <w:textAlignment w:val="bottom"/>
              <w:rPr>
                <w:rFonts w:hint="eastAsia" w:cs="宋体"/>
                <w:sz w:val="21"/>
                <w:szCs w:val="21"/>
              </w:rPr>
            </w:pPr>
            <w:r>
              <w:rPr>
                <w:rFonts w:hint="eastAsia" w:cs="宋体"/>
                <w:kern w:val="0"/>
                <w:sz w:val="21"/>
                <w:szCs w:val="21"/>
                <w:lang w:bidi="ar"/>
              </w:rPr>
              <w:t>序号</w:t>
            </w:r>
          </w:p>
        </w:tc>
        <w:tc>
          <w:tcPr>
            <w:tcW w:w="389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FE5F99D">
            <w:pPr>
              <w:widowControl/>
              <w:ind w:firstLine="0" w:firstLineChars="0"/>
              <w:jc w:val="center"/>
              <w:textAlignment w:val="bottom"/>
              <w:rPr>
                <w:rFonts w:hint="eastAsia" w:cs="宋体"/>
                <w:sz w:val="21"/>
                <w:szCs w:val="21"/>
              </w:rPr>
            </w:pPr>
            <w:r>
              <w:rPr>
                <w:rFonts w:hint="eastAsia" w:cs="宋体"/>
                <w:kern w:val="0"/>
                <w:sz w:val="21"/>
                <w:szCs w:val="21"/>
                <w:lang w:bidi="ar"/>
              </w:rPr>
              <w:t>设备名称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4A5BF79">
            <w:pPr>
              <w:widowControl/>
              <w:ind w:firstLine="0" w:firstLineChars="0"/>
              <w:jc w:val="center"/>
              <w:textAlignment w:val="bottom"/>
              <w:rPr>
                <w:rFonts w:hint="eastAsia" w:cs="宋体"/>
                <w:sz w:val="21"/>
                <w:szCs w:val="21"/>
              </w:rPr>
            </w:pPr>
            <w:r>
              <w:rPr>
                <w:rFonts w:hint="eastAsia" w:cs="宋体"/>
                <w:kern w:val="0"/>
                <w:sz w:val="21"/>
                <w:szCs w:val="21"/>
                <w:lang w:bidi="ar"/>
              </w:rPr>
              <w:t>计量单位</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5AF4AB7">
            <w:pPr>
              <w:widowControl/>
              <w:ind w:firstLine="0" w:firstLineChars="0"/>
              <w:jc w:val="center"/>
              <w:textAlignment w:val="bottom"/>
              <w:rPr>
                <w:rFonts w:hint="eastAsia" w:cs="宋体"/>
                <w:sz w:val="21"/>
                <w:szCs w:val="21"/>
              </w:rPr>
            </w:pPr>
            <w:r>
              <w:rPr>
                <w:rFonts w:hint="eastAsia" w:cs="宋体"/>
                <w:kern w:val="0"/>
                <w:sz w:val="21"/>
                <w:szCs w:val="21"/>
                <w:lang w:bidi="ar"/>
              </w:rPr>
              <w:t>数量</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D22C72">
            <w:pPr>
              <w:widowControl/>
              <w:ind w:firstLine="0" w:firstLineChars="0"/>
              <w:jc w:val="center"/>
              <w:textAlignment w:val="bottom"/>
              <w:rPr>
                <w:rFonts w:hint="eastAsia" w:cs="宋体"/>
                <w:sz w:val="21"/>
                <w:szCs w:val="21"/>
              </w:rPr>
            </w:pPr>
            <w:r>
              <w:rPr>
                <w:rFonts w:hint="eastAsia" w:cs="宋体"/>
                <w:kern w:val="0"/>
                <w:sz w:val="21"/>
                <w:szCs w:val="21"/>
                <w:lang w:bidi="ar"/>
              </w:rPr>
              <w:t>质保期</w:t>
            </w:r>
          </w:p>
        </w:tc>
      </w:tr>
      <w:tr w14:paraId="00FCF0E8">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E97F3F">
            <w:pPr>
              <w:widowControl/>
              <w:ind w:firstLine="0" w:firstLineChars="0"/>
              <w:jc w:val="center"/>
              <w:textAlignment w:val="bottom"/>
              <w:rPr>
                <w:rFonts w:hint="eastAsia" w:cs="宋体"/>
                <w:sz w:val="21"/>
                <w:szCs w:val="21"/>
              </w:rPr>
            </w:pPr>
            <w:r>
              <w:rPr>
                <w:rFonts w:hint="eastAsia" w:cs="宋体"/>
                <w:kern w:val="0"/>
                <w:sz w:val="21"/>
                <w:szCs w:val="21"/>
                <w:lang w:bidi="ar"/>
              </w:rPr>
              <w:t>1</w:t>
            </w:r>
          </w:p>
        </w:tc>
        <w:tc>
          <w:tcPr>
            <w:tcW w:w="3894"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3505B">
            <w:pPr>
              <w:widowControl/>
              <w:ind w:firstLine="0" w:firstLineChars="0"/>
              <w:jc w:val="center"/>
              <w:textAlignment w:val="bottom"/>
              <w:rPr>
                <w:rFonts w:hint="eastAsia" w:cs="宋体"/>
                <w:sz w:val="21"/>
                <w:szCs w:val="21"/>
              </w:rPr>
            </w:pPr>
            <w:r>
              <w:rPr>
                <w:rFonts w:hint="eastAsia" w:cs="宋体"/>
                <w:kern w:val="0"/>
                <w:sz w:val="21"/>
                <w:szCs w:val="21"/>
                <w:lang w:bidi="ar"/>
              </w:rPr>
              <w:t>系统保护还原卡</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7CF0">
            <w:pPr>
              <w:widowControl/>
              <w:ind w:firstLine="0" w:firstLineChars="0"/>
              <w:jc w:val="center"/>
              <w:textAlignment w:val="center"/>
              <w:rPr>
                <w:rFonts w:hint="eastAsia" w:cs="宋体"/>
                <w:sz w:val="21"/>
                <w:szCs w:val="21"/>
              </w:rPr>
            </w:pPr>
            <w:r>
              <w:rPr>
                <w:rFonts w:hint="eastAsia" w:cs="宋体"/>
                <w:kern w:val="0"/>
                <w:sz w:val="21"/>
                <w:szCs w:val="21"/>
                <w:lang w:bidi="ar"/>
              </w:rPr>
              <w:t>套</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E0C7">
            <w:pPr>
              <w:widowControl/>
              <w:ind w:firstLine="0" w:firstLineChars="0"/>
              <w:jc w:val="center"/>
              <w:textAlignment w:val="center"/>
              <w:rPr>
                <w:rFonts w:hint="eastAsia" w:cs="宋体"/>
                <w:sz w:val="21"/>
                <w:szCs w:val="21"/>
              </w:rPr>
            </w:pPr>
            <w:r>
              <w:rPr>
                <w:rFonts w:hint="eastAsia" w:cs="宋体"/>
                <w:kern w:val="0"/>
                <w:sz w:val="21"/>
                <w:szCs w:val="21"/>
                <w:lang w:bidi="ar"/>
              </w:rPr>
              <w:t>71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E0BF">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31923A7A">
        <w:tblPrEx>
          <w:tblCellMar>
            <w:top w:w="0" w:type="dxa"/>
            <w:left w:w="108" w:type="dxa"/>
            <w:bottom w:w="0" w:type="dxa"/>
            <w:right w:w="108" w:type="dxa"/>
          </w:tblCellMar>
        </w:tblPrEx>
        <w:trPr>
          <w:gridAfter w:val="1"/>
          <w:wAfter w:w="6" w:type="dxa"/>
          <w:trHeight w:val="624"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B2AEE1">
            <w:pPr>
              <w:widowControl/>
              <w:ind w:firstLine="0" w:firstLineChars="0"/>
              <w:jc w:val="center"/>
              <w:textAlignment w:val="bottom"/>
              <w:rPr>
                <w:rFonts w:hint="eastAsia" w:cs="宋体"/>
                <w:sz w:val="21"/>
                <w:szCs w:val="21"/>
              </w:rPr>
            </w:pPr>
            <w:r>
              <w:rPr>
                <w:rFonts w:hint="eastAsia" w:cs="宋体"/>
                <w:kern w:val="0"/>
                <w:sz w:val="21"/>
                <w:szCs w:val="21"/>
                <w:lang w:bidi="ar"/>
              </w:rPr>
              <w:t>2</w:t>
            </w:r>
          </w:p>
        </w:tc>
        <w:tc>
          <w:tcPr>
            <w:tcW w:w="389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14:paraId="1BEBA2DE">
            <w:pPr>
              <w:widowControl/>
              <w:ind w:firstLine="0" w:firstLineChars="0"/>
              <w:jc w:val="center"/>
              <w:textAlignment w:val="bottom"/>
              <w:rPr>
                <w:rFonts w:hint="eastAsia" w:cs="宋体"/>
                <w:sz w:val="21"/>
                <w:szCs w:val="21"/>
              </w:rPr>
            </w:pPr>
            <w:r>
              <w:rPr>
                <w:rFonts w:hint="eastAsia" w:cs="宋体"/>
                <w:kern w:val="0"/>
                <w:sz w:val="21"/>
                <w:szCs w:val="21"/>
                <w:lang w:bidi="ar"/>
              </w:rPr>
              <w:t>监控接入（license）许可授权</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3D54F">
            <w:pPr>
              <w:widowControl/>
              <w:ind w:firstLine="0" w:firstLineChars="0"/>
              <w:jc w:val="center"/>
              <w:textAlignment w:val="center"/>
              <w:rPr>
                <w:rFonts w:hint="eastAsia" w:cs="宋体"/>
                <w:sz w:val="21"/>
                <w:szCs w:val="21"/>
              </w:rPr>
            </w:pPr>
            <w:r>
              <w:rPr>
                <w:rFonts w:hint="eastAsia" w:cs="宋体"/>
                <w:kern w:val="0"/>
                <w:sz w:val="21"/>
                <w:szCs w:val="21"/>
                <w:lang w:bidi="ar"/>
              </w:rPr>
              <w:t>路</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AFACD">
            <w:pPr>
              <w:widowControl/>
              <w:ind w:firstLine="0" w:firstLineChars="0"/>
              <w:jc w:val="center"/>
              <w:textAlignment w:val="center"/>
              <w:rPr>
                <w:rFonts w:hint="eastAsia" w:cs="宋体"/>
                <w:sz w:val="21"/>
                <w:szCs w:val="21"/>
              </w:rPr>
            </w:pPr>
            <w:r>
              <w:rPr>
                <w:rFonts w:hint="eastAsia" w:cs="宋体"/>
                <w:kern w:val="0"/>
                <w:sz w:val="21"/>
                <w:szCs w:val="21"/>
                <w:lang w:bidi="ar"/>
              </w:rPr>
              <w:t>421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44404">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3D3A77E0">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DA18CF">
            <w:pPr>
              <w:widowControl/>
              <w:ind w:firstLine="0" w:firstLineChars="0"/>
              <w:jc w:val="center"/>
              <w:textAlignment w:val="bottom"/>
              <w:rPr>
                <w:rFonts w:hint="eastAsia" w:cs="宋体"/>
                <w:sz w:val="21"/>
                <w:szCs w:val="21"/>
              </w:rPr>
            </w:pPr>
            <w:r>
              <w:rPr>
                <w:rFonts w:hint="eastAsia" w:cs="宋体"/>
                <w:kern w:val="0"/>
                <w:sz w:val="21"/>
                <w:szCs w:val="21"/>
                <w:lang w:bidi="ar"/>
              </w:rPr>
              <w:t>3</w:t>
            </w:r>
          </w:p>
        </w:tc>
        <w:tc>
          <w:tcPr>
            <w:tcW w:w="995" w:type="dxa"/>
            <w:gridSpan w:val="2"/>
            <w:vMerge w:val="restart"/>
            <w:tcBorders>
              <w:top w:val="single" w:color="000000" w:sz="4" w:space="0"/>
              <w:left w:val="single" w:color="000000" w:sz="4" w:space="0"/>
              <w:right w:val="single" w:color="auto" w:sz="4" w:space="0"/>
            </w:tcBorders>
            <w:shd w:val="clear" w:color="auto" w:fill="auto"/>
            <w:vAlign w:val="center"/>
          </w:tcPr>
          <w:p w14:paraId="36F6A9C5">
            <w:pPr>
              <w:widowControl/>
              <w:ind w:firstLine="0" w:firstLineChars="0"/>
              <w:jc w:val="center"/>
              <w:textAlignment w:val="center"/>
              <w:rPr>
                <w:rFonts w:hint="eastAsia" w:cs="宋体"/>
                <w:sz w:val="21"/>
                <w:szCs w:val="21"/>
              </w:rPr>
            </w:pPr>
            <w:r>
              <w:rPr>
                <w:rFonts w:hint="eastAsia" w:cs="宋体"/>
                <w:sz w:val="21"/>
                <w:szCs w:val="21"/>
              </w:rPr>
              <w:t>教学督导系统</w:t>
            </w:r>
          </w:p>
        </w:tc>
        <w:tc>
          <w:tcPr>
            <w:tcW w:w="2899" w:type="dxa"/>
            <w:tcBorders>
              <w:top w:val="single" w:color="000000" w:sz="4" w:space="0"/>
              <w:left w:val="single" w:color="auto" w:sz="4" w:space="0"/>
              <w:bottom w:val="single" w:color="000000" w:sz="4" w:space="0"/>
              <w:right w:val="single" w:color="000000" w:sz="4" w:space="0"/>
            </w:tcBorders>
            <w:shd w:val="clear" w:color="auto" w:fill="auto"/>
            <w:vAlign w:val="center"/>
          </w:tcPr>
          <w:p w14:paraId="2FDBCBF9">
            <w:pPr>
              <w:ind w:firstLine="420"/>
              <w:jc w:val="center"/>
              <w:textAlignment w:val="center"/>
              <w:rPr>
                <w:rFonts w:hint="eastAsia" w:cs="宋体"/>
                <w:sz w:val="21"/>
                <w:szCs w:val="21"/>
              </w:rPr>
            </w:pPr>
            <w:r>
              <w:rPr>
                <w:rFonts w:hint="eastAsia" w:cs="宋体"/>
                <w:kern w:val="0"/>
                <w:sz w:val="21"/>
                <w:szCs w:val="21"/>
                <w:lang w:bidi="ar"/>
              </w:rPr>
              <w:t>角色管理模块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CEE65">
            <w:pPr>
              <w:widowControl/>
              <w:ind w:firstLine="0" w:firstLineChars="0"/>
              <w:jc w:val="center"/>
              <w:textAlignment w:val="center"/>
              <w:rPr>
                <w:rFonts w:hint="eastAsia" w:cs="宋体"/>
                <w:sz w:val="21"/>
                <w:szCs w:val="21"/>
              </w:rPr>
            </w:pPr>
            <w:r>
              <w:rPr>
                <w:rFonts w:hint="eastAsia" w:cs="宋体"/>
                <w:kern w:val="0"/>
                <w:sz w:val="21"/>
                <w:szCs w:val="21"/>
                <w:lang w:bidi="ar"/>
              </w:rPr>
              <w:t>项</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2517D">
            <w:pPr>
              <w:widowControl/>
              <w:ind w:firstLine="0" w:firstLineChars="0"/>
              <w:jc w:val="center"/>
              <w:textAlignment w:val="center"/>
              <w:rPr>
                <w:rFonts w:hint="eastAsia" w:cs="宋体"/>
                <w:sz w:val="21"/>
                <w:szCs w:val="21"/>
              </w:rPr>
            </w:pPr>
            <w:r>
              <w:rPr>
                <w:rFonts w:hint="eastAsia" w:cs="宋体"/>
                <w:kern w:val="0"/>
                <w:sz w:val="21"/>
                <w:szCs w:val="21"/>
                <w:lang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CF61D">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2148A34D">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158ED7">
            <w:pPr>
              <w:widowControl/>
              <w:ind w:firstLine="0" w:firstLineChars="0"/>
              <w:jc w:val="center"/>
              <w:textAlignment w:val="bottom"/>
              <w:rPr>
                <w:rFonts w:hint="eastAsia" w:cs="宋体"/>
                <w:sz w:val="21"/>
                <w:szCs w:val="21"/>
              </w:rPr>
            </w:pPr>
            <w:r>
              <w:rPr>
                <w:rFonts w:hint="eastAsia" w:cs="宋体"/>
                <w:kern w:val="0"/>
                <w:sz w:val="21"/>
                <w:szCs w:val="21"/>
                <w:lang w:bidi="ar"/>
              </w:rPr>
              <w:t>4</w:t>
            </w:r>
          </w:p>
        </w:tc>
        <w:tc>
          <w:tcPr>
            <w:tcW w:w="995" w:type="dxa"/>
            <w:gridSpan w:val="2"/>
            <w:vMerge w:val="continue"/>
            <w:tcBorders>
              <w:left w:val="single" w:color="000000" w:sz="4" w:space="0"/>
              <w:right w:val="single" w:color="auto" w:sz="4" w:space="0"/>
            </w:tcBorders>
            <w:shd w:val="clear" w:color="auto" w:fill="auto"/>
            <w:vAlign w:val="center"/>
          </w:tcPr>
          <w:p w14:paraId="61158600">
            <w:pPr>
              <w:widowControl/>
              <w:ind w:firstLine="0" w:firstLineChars="0"/>
              <w:jc w:val="center"/>
              <w:textAlignment w:val="center"/>
              <w:rPr>
                <w:rFonts w:hint="eastAsia" w:cs="宋体"/>
                <w:sz w:val="21"/>
                <w:szCs w:val="21"/>
              </w:rPr>
            </w:pPr>
          </w:p>
        </w:tc>
        <w:tc>
          <w:tcPr>
            <w:tcW w:w="2899" w:type="dxa"/>
            <w:tcBorders>
              <w:top w:val="single" w:color="000000" w:sz="4" w:space="0"/>
              <w:left w:val="single" w:color="auto" w:sz="4" w:space="0"/>
              <w:bottom w:val="single" w:color="000000" w:sz="4" w:space="0"/>
              <w:right w:val="single" w:color="000000" w:sz="4" w:space="0"/>
            </w:tcBorders>
            <w:shd w:val="clear" w:color="auto" w:fill="auto"/>
            <w:vAlign w:val="center"/>
          </w:tcPr>
          <w:p w14:paraId="11C29B2C">
            <w:pPr>
              <w:ind w:firstLine="420"/>
              <w:jc w:val="center"/>
              <w:textAlignment w:val="center"/>
              <w:rPr>
                <w:rFonts w:hint="eastAsia" w:cs="宋体"/>
                <w:sz w:val="21"/>
                <w:szCs w:val="21"/>
              </w:rPr>
            </w:pPr>
            <w:r>
              <w:rPr>
                <w:rFonts w:hint="eastAsia" w:cs="宋体"/>
                <w:kern w:val="0"/>
                <w:sz w:val="21"/>
                <w:szCs w:val="21"/>
                <w:lang w:bidi="ar"/>
              </w:rPr>
              <w:t>线下听课模块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7B369">
            <w:pPr>
              <w:widowControl/>
              <w:ind w:firstLine="0" w:firstLineChars="0"/>
              <w:jc w:val="center"/>
              <w:textAlignment w:val="center"/>
              <w:rPr>
                <w:rFonts w:hint="eastAsia" w:cs="宋体"/>
                <w:sz w:val="21"/>
                <w:szCs w:val="21"/>
              </w:rPr>
            </w:pPr>
            <w:r>
              <w:rPr>
                <w:rFonts w:hint="eastAsia" w:cs="宋体"/>
                <w:kern w:val="0"/>
                <w:sz w:val="21"/>
                <w:szCs w:val="21"/>
                <w:lang w:bidi="ar"/>
              </w:rPr>
              <w:t>项</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AA77A">
            <w:pPr>
              <w:widowControl/>
              <w:ind w:firstLine="0" w:firstLineChars="0"/>
              <w:jc w:val="center"/>
              <w:textAlignment w:val="center"/>
              <w:rPr>
                <w:rFonts w:hint="eastAsia" w:cs="宋体"/>
                <w:sz w:val="21"/>
                <w:szCs w:val="21"/>
              </w:rPr>
            </w:pPr>
            <w:r>
              <w:rPr>
                <w:rFonts w:hint="eastAsia" w:cs="宋体"/>
                <w:kern w:val="0"/>
                <w:sz w:val="21"/>
                <w:szCs w:val="21"/>
                <w:lang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AF31">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28A3A448">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AD72CC">
            <w:pPr>
              <w:widowControl/>
              <w:ind w:firstLine="0" w:firstLineChars="0"/>
              <w:jc w:val="center"/>
              <w:textAlignment w:val="bottom"/>
              <w:rPr>
                <w:rFonts w:hint="eastAsia" w:cs="宋体"/>
                <w:sz w:val="21"/>
                <w:szCs w:val="21"/>
              </w:rPr>
            </w:pPr>
            <w:r>
              <w:rPr>
                <w:rFonts w:hint="eastAsia" w:cs="宋体"/>
                <w:kern w:val="0"/>
                <w:sz w:val="21"/>
                <w:szCs w:val="21"/>
                <w:lang w:bidi="ar"/>
              </w:rPr>
              <w:t>5</w:t>
            </w:r>
          </w:p>
        </w:tc>
        <w:tc>
          <w:tcPr>
            <w:tcW w:w="995" w:type="dxa"/>
            <w:gridSpan w:val="2"/>
            <w:vMerge w:val="continue"/>
            <w:tcBorders>
              <w:left w:val="single" w:color="000000" w:sz="4" w:space="0"/>
              <w:right w:val="single" w:color="auto" w:sz="4" w:space="0"/>
            </w:tcBorders>
            <w:shd w:val="clear" w:color="auto" w:fill="auto"/>
            <w:vAlign w:val="center"/>
          </w:tcPr>
          <w:p w14:paraId="6B19F44B">
            <w:pPr>
              <w:widowControl/>
              <w:ind w:firstLine="0" w:firstLineChars="0"/>
              <w:jc w:val="center"/>
              <w:textAlignment w:val="center"/>
              <w:rPr>
                <w:rFonts w:hint="eastAsia" w:cs="宋体"/>
                <w:sz w:val="21"/>
                <w:szCs w:val="21"/>
              </w:rPr>
            </w:pPr>
          </w:p>
        </w:tc>
        <w:tc>
          <w:tcPr>
            <w:tcW w:w="2899" w:type="dxa"/>
            <w:tcBorders>
              <w:top w:val="single" w:color="000000" w:sz="4" w:space="0"/>
              <w:left w:val="single" w:color="auto" w:sz="4" w:space="0"/>
              <w:bottom w:val="single" w:color="000000" w:sz="4" w:space="0"/>
              <w:right w:val="single" w:color="000000" w:sz="4" w:space="0"/>
            </w:tcBorders>
            <w:shd w:val="clear" w:color="auto" w:fill="auto"/>
            <w:vAlign w:val="center"/>
          </w:tcPr>
          <w:p w14:paraId="5DBDC892">
            <w:pPr>
              <w:ind w:firstLine="420"/>
              <w:jc w:val="center"/>
              <w:textAlignment w:val="center"/>
              <w:rPr>
                <w:rFonts w:hint="eastAsia" w:cs="宋体"/>
                <w:sz w:val="21"/>
                <w:szCs w:val="21"/>
              </w:rPr>
            </w:pPr>
            <w:r>
              <w:rPr>
                <w:rFonts w:hint="eastAsia" w:cs="宋体"/>
                <w:kern w:val="0"/>
                <w:sz w:val="21"/>
                <w:szCs w:val="21"/>
                <w:lang w:bidi="ar"/>
              </w:rPr>
              <w:t>移动端督导模块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47576">
            <w:pPr>
              <w:widowControl/>
              <w:ind w:firstLine="0" w:firstLineChars="0"/>
              <w:jc w:val="center"/>
              <w:textAlignment w:val="center"/>
              <w:rPr>
                <w:rFonts w:hint="eastAsia" w:cs="宋体"/>
                <w:sz w:val="21"/>
                <w:szCs w:val="21"/>
              </w:rPr>
            </w:pPr>
            <w:r>
              <w:rPr>
                <w:rFonts w:hint="eastAsia" w:cs="宋体"/>
                <w:kern w:val="0"/>
                <w:sz w:val="21"/>
                <w:szCs w:val="21"/>
                <w:lang w:bidi="ar"/>
              </w:rPr>
              <w:t>项</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B0357">
            <w:pPr>
              <w:widowControl/>
              <w:ind w:firstLine="0" w:firstLineChars="0"/>
              <w:jc w:val="center"/>
              <w:textAlignment w:val="center"/>
              <w:rPr>
                <w:rFonts w:hint="eastAsia" w:cs="宋体"/>
                <w:sz w:val="21"/>
                <w:szCs w:val="21"/>
              </w:rPr>
            </w:pPr>
            <w:r>
              <w:rPr>
                <w:rFonts w:hint="eastAsia" w:cs="宋体"/>
                <w:kern w:val="0"/>
                <w:sz w:val="21"/>
                <w:szCs w:val="21"/>
                <w:lang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BE16B">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1161A5A6">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E232E7">
            <w:pPr>
              <w:widowControl/>
              <w:ind w:firstLine="0" w:firstLineChars="0"/>
              <w:jc w:val="center"/>
              <w:textAlignment w:val="bottom"/>
              <w:rPr>
                <w:rFonts w:hint="eastAsia" w:cs="宋体"/>
                <w:sz w:val="21"/>
                <w:szCs w:val="21"/>
              </w:rPr>
            </w:pPr>
            <w:r>
              <w:rPr>
                <w:rFonts w:hint="eastAsia" w:cs="宋体"/>
                <w:kern w:val="0"/>
                <w:sz w:val="21"/>
                <w:szCs w:val="21"/>
                <w:lang w:bidi="ar"/>
              </w:rPr>
              <w:t>6</w:t>
            </w:r>
          </w:p>
        </w:tc>
        <w:tc>
          <w:tcPr>
            <w:tcW w:w="995" w:type="dxa"/>
            <w:gridSpan w:val="2"/>
            <w:vMerge w:val="continue"/>
            <w:tcBorders>
              <w:left w:val="single" w:color="000000" w:sz="4" w:space="0"/>
              <w:bottom w:val="single" w:color="000000" w:sz="4" w:space="0"/>
              <w:right w:val="single" w:color="auto" w:sz="4" w:space="0"/>
            </w:tcBorders>
            <w:shd w:val="clear" w:color="auto" w:fill="auto"/>
            <w:vAlign w:val="center"/>
          </w:tcPr>
          <w:p w14:paraId="08C78C1B">
            <w:pPr>
              <w:widowControl/>
              <w:ind w:firstLine="0" w:firstLineChars="0"/>
              <w:jc w:val="center"/>
              <w:textAlignment w:val="center"/>
              <w:rPr>
                <w:rFonts w:hint="eastAsia" w:cs="宋体"/>
                <w:sz w:val="21"/>
                <w:szCs w:val="21"/>
              </w:rPr>
            </w:pPr>
          </w:p>
        </w:tc>
        <w:tc>
          <w:tcPr>
            <w:tcW w:w="2899" w:type="dxa"/>
            <w:tcBorders>
              <w:top w:val="single" w:color="000000" w:sz="4" w:space="0"/>
              <w:left w:val="single" w:color="auto" w:sz="4" w:space="0"/>
              <w:bottom w:val="single" w:color="000000" w:sz="4" w:space="0"/>
              <w:right w:val="single" w:color="000000" w:sz="4" w:space="0"/>
            </w:tcBorders>
            <w:shd w:val="clear" w:color="auto" w:fill="auto"/>
            <w:vAlign w:val="center"/>
          </w:tcPr>
          <w:p w14:paraId="6A56A685">
            <w:pPr>
              <w:ind w:firstLine="420"/>
              <w:jc w:val="center"/>
              <w:textAlignment w:val="center"/>
              <w:rPr>
                <w:rFonts w:hint="eastAsia" w:cs="宋体"/>
                <w:sz w:val="21"/>
                <w:szCs w:val="21"/>
              </w:rPr>
            </w:pPr>
            <w:r>
              <w:rPr>
                <w:rFonts w:hint="eastAsia" w:cs="宋体"/>
                <w:kern w:val="0"/>
                <w:sz w:val="21"/>
                <w:szCs w:val="21"/>
                <w:lang w:bidi="ar"/>
              </w:rPr>
              <w:t>专项任务模块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F3DCC">
            <w:pPr>
              <w:widowControl/>
              <w:ind w:firstLine="0" w:firstLineChars="0"/>
              <w:jc w:val="center"/>
              <w:textAlignment w:val="center"/>
              <w:rPr>
                <w:rFonts w:hint="eastAsia" w:cs="宋体"/>
                <w:sz w:val="21"/>
                <w:szCs w:val="21"/>
              </w:rPr>
            </w:pPr>
            <w:r>
              <w:rPr>
                <w:rFonts w:hint="eastAsia" w:cs="宋体"/>
                <w:kern w:val="0"/>
                <w:sz w:val="21"/>
                <w:szCs w:val="21"/>
                <w:lang w:bidi="ar"/>
              </w:rPr>
              <w:t>项</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269CB">
            <w:pPr>
              <w:widowControl/>
              <w:ind w:firstLine="0" w:firstLineChars="0"/>
              <w:jc w:val="center"/>
              <w:textAlignment w:val="center"/>
              <w:rPr>
                <w:rFonts w:hint="eastAsia" w:cs="宋体"/>
                <w:sz w:val="21"/>
                <w:szCs w:val="21"/>
              </w:rPr>
            </w:pPr>
            <w:r>
              <w:rPr>
                <w:rFonts w:hint="eastAsia" w:cs="宋体"/>
                <w:kern w:val="0"/>
                <w:sz w:val="21"/>
                <w:szCs w:val="21"/>
                <w:lang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4A70">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5263B0AE">
        <w:tblPrEx>
          <w:tblCellMar>
            <w:top w:w="0" w:type="dxa"/>
            <w:left w:w="108" w:type="dxa"/>
            <w:bottom w:w="0" w:type="dxa"/>
            <w:right w:w="108" w:type="dxa"/>
          </w:tblCellMar>
        </w:tblPrEx>
        <w:trPr>
          <w:gridAfter w:val="1"/>
          <w:wAfter w:w="6" w:type="dxa"/>
          <w:trHeight w:val="312"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1C87A0">
            <w:pPr>
              <w:widowControl/>
              <w:ind w:firstLine="0" w:firstLineChars="0"/>
              <w:jc w:val="center"/>
              <w:textAlignment w:val="bottom"/>
              <w:rPr>
                <w:rFonts w:hint="eastAsia" w:cs="宋体"/>
                <w:sz w:val="21"/>
                <w:szCs w:val="21"/>
              </w:rPr>
            </w:pPr>
            <w:r>
              <w:rPr>
                <w:rFonts w:hint="eastAsia" w:cs="宋体"/>
                <w:kern w:val="0"/>
                <w:sz w:val="21"/>
                <w:szCs w:val="21"/>
                <w:lang w:bidi="ar"/>
              </w:rPr>
              <w:t>7</w:t>
            </w:r>
          </w:p>
        </w:tc>
        <w:tc>
          <w:tcPr>
            <w:tcW w:w="38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8BF969">
            <w:pPr>
              <w:widowControl/>
              <w:ind w:firstLine="0" w:firstLineChars="0"/>
              <w:jc w:val="center"/>
              <w:textAlignment w:val="center"/>
              <w:rPr>
                <w:rFonts w:hint="eastAsia" w:cs="宋体"/>
                <w:sz w:val="21"/>
                <w:szCs w:val="21"/>
              </w:rPr>
            </w:pPr>
            <w:r>
              <w:rPr>
                <w:rFonts w:hint="eastAsia" w:cs="宋体"/>
                <w:kern w:val="0"/>
                <w:sz w:val="21"/>
                <w:szCs w:val="21"/>
                <w:lang w:bidi="ar"/>
              </w:rPr>
              <w:t>系统对接</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C2DC1">
            <w:pPr>
              <w:widowControl/>
              <w:ind w:firstLine="0" w:firstLineChars="0"/>
              <w:jc w:val="center"/>
              <w:textAlignment w:val="center"/>
              <w:rPr>
                <w:rFonts w:hint="eastAsia" w:cs="宋体"/>
                <w:sz w:val="21"/>
                <w:szCs w:val="21"/>
              </w:rPr>
            </w:pPr>
            <w:r>
              <w:rPr>
                <w:rFonts w:hint="eastAsia" w:cs="宋体"/>
                <w:kern w:val="0"/>
                <w:sz w:val="21"/>
                <w:szCs w:val="21"/>
                <w:lang w:bidi="ar"/>
              </w:rPr>
              <w:t>套</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3FB35">
            <w:pPr>
              <w:widowControl/>
              <w:ind w:firstLine="0" w:firstLineChars="0"/>
              <w:jc w:val="center"/>
              <w:textAlignment w:val="center"/>
              <w:rPr>
                <w:rFonts w:hint="eastAsia" w:cs="宋体"/>
                <w:sz w:val="21"/>
                <w:szCs w:val="21"/>
              </w:rPr>
            </w:pPr>
            <w:r>
              <w:rPr>
                <w:rFonts w:hint="eastAsia" w:cs="宋体"/>
                <w:kern w:val="0"/>
                <w:sz w:val="21"/>
                <w:szCs w:val="21"/>
                <w:lang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2600">
            <w:pPr>
              <w:widowControl/>
              <w:ind w:firstLine="0" w:firstLineChars="0"/>
              <w:jc w:val="center"/>
              <w:textAlignment w:val="center"/>
              <w:rPr>
                <w:rFonts w:hint="eastAsia" w:cs="宋体"/>
                <w:sz w:val="21"/>
                <w:szCs w:val="21"/>
              </w:rPr>
            </w:pPr>
            <w:r>
              <w:rPr>
                <w:rFonts w:hint="eastAsia" w:cs="宋体"/>
                <w:kern w:val="0"/>
                <w:sz w:val="21"/>
                <w:szCs w:val="21"/>
                <w:lang w:bidi="ar"/>
              </w:rPr>
              <w:t>3年</w:t>
            </w:r>
          </w:p>
        </w:tc>
      </w:tr>
      <w:tr w14:paraId="59DDBEA6">
        <w:tblPrEx>
          <w:tblCellMar>
            <w:top w:w="0" w:type="dxa"/>
            <w:left w:w="108" w:type="dxa"/>
            <w:bottom w:w="0" w:type="dxa"/>
            <w:right w:w="108" w:type="dxa"/>
          </w:tblCellMar>
        </w:tblPrEx>
        <w:trPr>
          <w:trHeight w:val="312" w:hRule="atLeast"/>
        </w:trPr>
        <w:tc>
          <w:tcPr>
            <w:tcW w:w="8961" w:type="dxa"/>
            <w:gridSpan w:val="10"/>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7DE597">
            <w:pPr>
              <w:pStyle w:val="15"/>
              <w:ind w:left="0" w:leftChars="0" w:firstLine="0" w:firstLineChars="0"/>
              <w:rPr>
                <w:rFonts w:hint="eastAsia" w:cs="宋体"/>
                <w:kern w:val="0"/>
                <w:sz w:val="20"/>
                <w:szCs w:val="20"/>
                <w:lang w:bidi="ar"/>
              </w:rPr>
            </w:pPr>
            <w:r>
              <w:t>2</w:t>
            </w:r>
            <w:r>
              <w:rPr>
                <w:rFonts w:hint="eastAsia"/>
                <w:lang w:eastAsia="zh-Hans"/>
              </w:rPr>
              <w:t>、</w:t>
            </w:r>
            <w:r>
              <w:rPr>
                <w:rFonts w:hint="eastAsia"/>
              </w:rPr>
              <w:t>硬件产品</w:t>
            </w:r>
          </w:p>
        </w:tc>
      </w:tr>
      <w:tr w14:paraId="3CF553B5">
        <w:tblPrEx>
          <w:tblCellMar>
            <w:top w:w="0" w:type="dxa"/>
            <w:left w:w="108" w:type="dxa"/>
            <w:bottom w:w="0" w:type="dxa"/>
            <w:right w:w="108" w:type="dxa"/>
          </w:tblCellMar>
        </w:tblPrEx>
        <w:trPr>
          <w:trHeight w:val="312"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E7DC9E">
            <w:pPr>
              <w:widowControl/>
              <w:ind w:firstLine="0" w:firstLineChars="0"/>
              <w:jc w:val="center"/>
              <w:textAlignment w:val="bottom"/>
              <w:rPr>
                <w:rFonts w:hint="eastAsia" w:cs="宋体"/>
                <w:sz w:val="20"/>
                <w:szCs w:val="20"/>
              </w:rPr>
            </w:pPr>
            <w:r>
              <w:rPr>
                <w:rFonts w:hint="eastAsia" w:cs="宋体"/>
                <w:kern w:val="0"/>
                <w:sz w:val="20"/>
                <w:szCs w:val="20"/>
                <w:lang w:bidi="ar"/>
              </w:rPr>
              <w:t>序号</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076BF9">
            <w:pPr>
              <w:widowControl/>
              <w:ind w:firstLine="400"/>
              <w:jc w:val="center"/>
              <w:textAlignment w:val="bottom"/>
              <w:rPr>
                <w:rFonts w:hint="eastAsia" w:cs="宋体"/>
                <w:sz w:val="20"/>
                <w:szCs w:val="20"/>
              </w:rPr>
            </w:pPr>
            <w:r>
              <w:rPr>
                <w:rFonts w:hint="eastAsia" w:cs="宋体"/>
                <w:kern w:val="0"/>
                <w:sz w:val="20"/>
                <w:szCs w:val="20"/>
                <w:lang w:bidi="ar"/>
              </w:rPr>
              <w:t>设备名称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C5E960">
            <w:pPr>
              <w:widowControl/>
              <w:ind w:firstLine="0" w:firstLineChars="0"/>
              <w:jc w:val="center"/>
              <w:textAlignment w:val="bottom"/>
              <w:rPr>
                <w:rFonts w:hint="eastAsia" w:cs="宋体"/>
                <w:sz w:val="20"/>
                <w:szCs w:val="20"/>
              </w:rPr>
            </w:pPr>
            <w:r>
              <w:rPr>
                <w:rFonts w:hint="eastAsia" w:cs="宋体"/>
                <w:kern w:val="0"/>
                <w:sz w:val="20"/>
                <w:szCs w:val="20"/>
                <w:lang w:bidi="ar"/>
              </w:rPr>
              <w:t>计量单位</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96F160">
            <w:pPr>
              <w:widowControl/>
              <w:ind w:firstLine="400"/>
              <w:jc w:val="center"/>
              <w:textAlignment w:val="bottom"/>
              <w:rPr>
                <w:rFonts w:hint="eastAsia" w:cs="宋体"/>
                <w:sz w:val="20"/>
                <w:szCs w:val="20"/>
              </w:rPr>
            </w:pPr>
            <w:r>
              <w:rPr>
                <w:rFonts w:hint="eastAsia" w:cs="宋体"/>
                <w:kern w:val="0"/>
                <w:sz w:val="20"/>
                <w:szCs w:val="20"/>
                <w:lang w:bidi="ar"/>
              </w:rPr>
              <w:t>数量</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B6C01F">
            <w:pPr>
              <w:widowControl/>
              <w:ind w:firstLine="400"/>
              <w:textAlignment w:val="bottom"/>
              <w:rPr>
                <w:rFonts w:hint="eastAsia" w:cs="宋体"/>
                <w:sz w:val="20"/>
                <w:szCs w:val="20"/>
              </w:rPr>
            </w:pPr>
            <w:r>
              <w:rPr>
                <w:rFonts w:hint="eastAsia" w:cs="宋体"/>
                <w:sz w:val="20"/>
                <w:szCs w:val="20"/>
              </w:rPr>
              <w:t>质保期</w:t>
            </w:r>
          </w:p>
        </w:tc>
      </w:tr>
      <w:tr w14:paraId="1AD7BC43">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9168E">
            <w:pPr>
              <w:widowControl/>
              <w:ind w:firstLine="400"/>
              <w:jc w:val="left"/>
              <w:textAlignment w:val="center"/>
              <w:rPr>
                <w:rFonts w:hint="eastAsia" w:cs="宋体"/>
                <w:sz w:val="20"/>
                <w:szCs w:val="20"/>
              </w:rPr>
            </w:pPr>
            <w:r>
              <w:rPr>
                <w:rFonts w:hint="eastAsia" w:cs="宋体"/>
                <w:kern w:val="0"/>
                <w:sz w:val="20"/>
                <w:szCs w:val="20"/>
                <w:lang w:bidi="ar"/>
              </w:rPr>
              <w:t>1</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30A38">
            <w:pPr>
              <w:widowControl/>
              <w:ind w:firstLine="400"/>
              <w:jc w:val="left"/>
              <w:textAlignment w:val="center"/>
              <w:rPr>
                <w:rFonts w:hint="eastAsia" w:cs="宋体"/>
                <w:sz w:val="20"/>
                <w:szCs w:val="20"/>
              </w:rPr>
            </w:pPr>
            <w:r>
              <w:rPr>
                <w:rFonts w:hint="eastAsia" w:cs="宋体"/>
                <w:kern w:val="0"/>
                <w:sz w:val="20"/>
                <w:szCs w:val="20"/>
                <w:lang w:bidi="ar"/>
              </w:rPr>
              <w:t>2A电源适配器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EEDE">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7A367">
            <w:pPr>
              <w:widowControl/>
              <w:ind w:firstLine="400"/>
              <w:jc w:val="left"/>
              <w:textAlignment w:val="center"/>
              <w:rPr>
                <w:rFonts w:hint="eastAsia" w:cs="宋体"/>
                <w:sz w:val="20"/>
                <w:szCs w:val="20"/>
              </w:rPr>
            </w:pPr>
            <w:r>
              <w:rPr>
                <w:rFonts w:hint="eastAsia" w:cs="宋体"/>
                <w:kern w:val="0"/>
                <w:sz w:val="20"/>
                <w:szCs w:val="20"/>
                <w:lang w:bidi="ar"/>
              </w:rPr>
              <w:t>280</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445759">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EFAAAB1">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E2264">
            <w:pPr>
              <w:widowControl/>
              <w:ind w:firstLine="400"/>
              <w:jc w:val="left"/>
              <w:textAlignment w:val="center"/>
              <w:rPr>
                <w:rFonts w:hint="eastAsia" w:cs="宋体"/>
                <w:sz w:val="20"/>
                <w:szCs w:val="20"/>
              </w:rPr>
            </w:pPr>
            <w:r>
              <w:rPr>
                <w:rFonts w:hint="eastAsia" w:cs="宋体"/>
                <w:kern w:val="0"/>
                <w:sz w:val="20"/>
                <w:szCs w:val="20"/>
                <w:lang w:bidi="ar"/>
              </w:rPr>
              <w:t>2</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5A3E2D">
            <w:pPr>
              <w:widowControl/>
              <w:ind w:firstLine="400"/>
              <w:jc w:val="left"/>
              <w:textAlignment w:val="center"/>
              <w:rPr>
                <w:rFonts w:hint="eastAsia" w:cs="宋体"/>
                <w:sz w:val="20"/>
                <w:szCs w:val="20"/>
              </w:rPr>
            </w:pPr>
            <w:r>
              <w:rPr>
                <w:rFonts w:hint="eastAsia" w:cs="宋体"/>
                <w:kern w:val="0"/>
                <w:sz w:val="20"/>
                <w:szCs w:val="20"/>
                <w:lang w:bidi="ar"/>
              </w:rPr>
              <w:t>3A电源适配器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03B1B">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87744">
            <w:pPr>
              <w:widowControl/>
              <w:ind w:firstLine="400"/>
              <w:jc w:val="left"/>
              <w:textAlignment w:val="center"/>
              <w:rPr>
                <w:rFonts w:hint="eastAsia" w:cs="宋体"/>
                <w:sz w:val="20"/>
                <w:szCs w:val="20"/>
              </w:rPr>
            </w:pPr>
            <w:r>
              <w:rPr>
                <w:rFonts w:hint="eastAsia" w:cs="宋体"/>
                <w:kern w:val="0"/>
                <w:sz w:val="20"/>
                <w:szCs w:val="20"/>
                <w:lang w:bidi="ar"/>
              </w:rPr>
              <w:t>11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C43A3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8953040">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35085">
            <w:pPr>
              <w:widowControl/>
              <w:ind w:firstLine="400"/>
              <w:jc w:val="left"/>
              <w:textAlignment w:val="center"/>
              <w:rPr>
                <w:rFonts w:hint="eastAsia" w:cs="宋体"/>
                <w:sz w:val="20"/>
                <w:szCs w:val="20"/>
              </w:rPr>
            </w:pPr>
            <w:r>
              <w:rPr>
                <w:rFonts w:hint="eastAsia" w:cs="宋体"/>
                <w:kern w:val="0"/>
                <w:sz w:val="20"/>
                <w:szCs w:val="20"/>
                <w:lang w:bidi="ar"/>
              </w:rPr>
              <w:t>3</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4E0D8">
            <w:pPr>
              <w:widowControl/>
              <w:ind w:firstLine="400"/>
              <w:jc w:val="left"/>
              <w:textAlignment w:val="center"/>
              <w:rPr>
                <w:rFonts w:hint="eastAsia" w:cs="宋体"/>
                <w:sz w:val="20"/>
                <w:szCs w:val="20"/>
              </w:rPr>
            </w:pPr>
            <w:r>
              <w:rPr>
                <w:rFonts w:hint="eastAsia" w:cs="宋体"/>
                <w:kern w:val="0"/>
                <w:sz w:val="20"/>
                <w:szCs w:val="20"/>
                <w:lang w:bidi="ar"/>
              </w:rPr>
              <w:t>保密室NVR</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B947">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AA78B">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5A55AA">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6D37426E">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8EAC1">
            <w:pPr>
              <w:widowControl/>
              <w:ind w:firstLine="400"/>
              <w:jc w:val="left"/>
              <w:textAlignment w:val="center"/>
              <w:rPr>
                <w:rFonts w:hint="eastAsia" w:cs="宋体"/>
                <w:sz w:val="20"/>
                <w:szCs w:val="20"/>
              </w:rPr>
            </w:pPr>
            <w:r>
              <w:rPr>
                <w:rFonts w:hint="eastAsia" w:cs="宋体"/>
                <w:kern w:val="0"/>
                <w:sz w:val="20"/>
                <w:szCs w:val="20"/>
                <w:lang w:bidi="ar"/>
              </w:rPr>
              <w:t>4</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2D058">
            <w:pPr>
              <w:widowControl/>
              <w:ind w:firstLine="400"/>
              <w:jc w:val="left"/>
              <w:textAlignment w:val="center"/>
              <w:rPr>
                <w:rFonts w:hint="eastAsia" w:cs="宋体"/>
                <w:sz w:val="20"/>
                <w:szCs w:val="20"/>
              </w:rPr>
            </w:pPr>
            <w:r>
              <w:rPr>
                <w:rFonts w:hint="eastAsia" w:cs="宋体"/>
                <w:kern w:val="0"/>
                <w:sz w:val="20"/>
                <w:szCs w:val="20"/>
                <w:lang w:bidi="ar"/>
              </w:rPr>
              <w:t>点播主机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F9EE7">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FE314">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3743F8">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4B3CEA6">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C5EC8">
            <w:pPr>
              <w:widowControl/>
              <w:ind w:firstLine="400"/>
              <w:jc w:val="left"/>
              <w:textAlignment w:val="center"/>
              <w:rPr>
                <w:rFonts w:hint="eastAsia" w:cs="宋体"/>
                <w:sz w:val="20"/>
                <w:szCs w:val="20"/>
              </w:rPr>
            </w:pPr>
            <w:r>
              <w:rPr>
                <w:rFonts w:hint="eastAsia" w:cs="宋体"/>
                <w:kern w:val="0"/>
                <w:sz w:val="20"/>
                <w:szCs w:val="20"/>
                <w:lang w:bidi="ar"/>
              </w:rPr>
              <w:t>5</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D235B">
            <w:pPr>
              <w:widowControl/>
              <w:ind w:firstLine="400"/>
              <w:jc w:val="left"/>
              <w:textAlignment w:val="center"/>
              <w:rPr>
                <w:rFonts w:hint="eastAsia" w:cs="宋体"/>
                <w:sz w:val="20"/>
                <w:szCs w:val="20"/>
              </w:rPr>
            </w:pPr>
            <w:r>
              <w:rPr>
                <w:rFonts w:hint="eastAsia" w:cs="宋体"/>
                <w:kern w:val="0"/>
                <w:sz w:val="20"/>
                <w:szCs w:val="20"/>
                <w:lang w:bidi="ar"/>
              </w:rPr>
              <w:t>督导主机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27E9">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1E4EB">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C7EBF5">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62946FEA">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B9C6F">
            <w:pPr>
              <w:widowControl/>
              <w:ind w:firstLine="400"/>
              <w:jc w:val="left"/>
              <w:textAlignment w:val="center"/>
              <w:rPr>
                <w:rFonts w:hint="eastAsia" w:cs="宋体"/>
                <w:sz w:val="20"/>
                <w:szCs w:val="20"/>
              </w:rPr>
            </w:pPr>
            <w:r>
              <w:rPr>
                <w:rFonts w:hint="eastAsia" w:cs="宋体"/>
                <w:kern w:val="0"/>
                <w:sz w:val="20"/>
                <w:szCs w:val="20"/>
                <w:lang w:bidi="ar"/>
              </w:rPr>
              <w:t>6</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D17E8">
            <w:pPr>
              <w:widowControl/>
              <w:ind w:firstLine="400"/>
              <w:jc w:val="left"/>
              <w:textAlignment w:val="center"/>
              <w:rPr>
                <w:rFonts w:hint="eastAsia" w:cs="宋体"/>
                <w:sz w:val="20"/>
                <w:szCs w:val="20"/>
              </w:rPr>
            </w:pPr>
            <w:r>
              <w:rPr>
                <w:rFonts w:hint="eastAsia" w:cs="宋体"/>
                <w:kern w:val="0"/>
                <w:sz w:val="20"/>
                <w:szCs w:val="20"/>
                <w:lang w:bidi="ar"/>
              </w:rPr>
              <w:t>高密度流媒体主机机箱</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E0FF">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65593">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EDD86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25ED15B1">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64556">
            <w:pPr>
              <w:widowControl/>
              <w:ind w:firstLine="400"/>
              <w:jc w:val="left"/>
              <w:textAlignment w:val="center"/>
              <w:rPr>
                <w:rFonts w:hint="eastAsia" w:cs="宋体"/>
                <w:sz w:val="20"/>
                <w:szCs w:val="20"/>
              </w:rPr>
            </w:pPr>
            <w:r>
              <w:rPr>
                <w:rFonts w:hint="eastAsia" w:cs="宋体"/>
                <w:kern w:val="0"/>
                <w:sz w:val="20"/>
                <w:szCs w:val="20"/>
                <w:lang w:bidi="ar"/>
              </w:rPr>
              <w:t>7</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EF292">
            <w:pPr>
              <w:widowControl/>
              <w:ind w:firstLine="400"/>
              <w:jc w:val="left"/>
              <w:textAlignment w:val="center"/>
              <w:rPr>
                <w:rFonts w:hint="eastAsia" w:cs="宋体"/>
                <w:sz w:val="20"/>
                <w:szCs w:val="20"/>
              </w:rPr>
            </w:pPr>
            <w:r>
              <w:rPr>
                <w:rFonts w:hint="eastAsia" w:cs="宋体"/>
                <w:kern w:val="0"/>
                <w:sz w:val="20"/>
                <w:szCs w:val="20"/>
                <w:lang w:bidi="ar"/>
              </w:rPr>
              <w:t>高速点播视频存储磁阵</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AE77">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E0CDB">
            <w:pPr>
              <w:widowControl/>
              <w:ind w:firstLine="400"/>
              <w:jc w:val="left"/>
              <w:textAlignment w:val="center"/>
              <w:rPr>
                <w:rFonts w:hint="eastAsia" w:cs="宋体"/>
                <w:sz w:val="20"/>
                <w:szCs w:val="20"/>
              </w:rPr>
            </w:pPr>
            <w:r>
              <w:rPr>
                <w:rFonts w:hint="eastAsia" w:cs="宋体"/>
                <w:kern w:val="0"/>
                <w:sz w:val="20"/>
                <w:szCs w:val="20"/>
                <w:lang w:bidi="ar"/>
              </w:rPr>
              <w:t>3</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E010B0">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1231053E">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5F468">
            <w:pPr>
              <w:widowControl/>
              <w:ind w:firstLine="400"/>
              <w:jc w:val="left"/>
              <w:textAlignment w:val="center"/>
              <w:rPr>
                <w:rFonts w:hint="eastAsia" w:cs="宋体"/>
                <w:sz w:val="20"/>
                <w:szCs w:val="20"/>
              </w:rPr>
            </w:pPr>
            <w:r>
              <w:rPr>
                <w:rFonts w:hint="eastAsia" w:cs="宋体"/>
                <w:kern w:val="0"/>
                <w:sz w:val="20"/>
                <w:szCs w:val="20"/>
                <w:lang w:bidi="ar"/>
              </w:rPr>
              <w:t>8</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DE9BC">
            <w:pPr>
              <w:widowControl/>
              <w:ind w:firstLine="400"/>
              <w:jc w:val="left"/>
              <w:textAlignment w:val="center"/>
              <w:rPr>
                <w:rFonts w:hint="eastAsia" w:cs="宋体"/>
                <w:sz w:val="20"/>
                <w:szCs w:val="20"/>
              </w:rPr>
            </w:pPr>
            <w:r>
              <w:rPr>
                <w:rFonts w:hint="eastAsia" w:cs="宋体"/>
                <w:kern w:val="0"/>
                <w:sz w:val="20"/>
                <w:szCs w:val="20"/>
                <w:lang w:bidi="ar"/>
              </w:rPr>
              <w:t>混音主机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B4BA">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E1ED5">
            <w:pPr>
              <w:widowControl/>
              <w:ind w:firstLine="400"/>
              <w:jc w:val="left"/>
              <w:textAlignment w:val="center"/>
              <w:rPr>
                <w:rFonts w:hint="eastAsia" w:cs="宋体"/>
                <w:sz w:val="20"/>
                <w:szCs w:val="20"/>
              </w:rPr>
            </w:pPr>
            <w:r>
              <w:rPr>
                <w:rFonts w:hint="eastAsia" w:cs="宋体"/>
                <w:kern w:val="0"/>
                <w:sz w:val="20"/>
                <w:szCs w:val="20"/>
                <w:lang w:bidi="ar"/>
              </w:rPr>
              <w:t>108</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C1B45C">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DBA8A05">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A2CA80">
            <w:pPr>
              <w:widowControl/>
              <w:ind w:firstLine="400"/>
              <w:jc w:val="left"/>
              <w:textAlignment w:val="center"/>
              <w:rPr>
                <w:rFonts w:hint="eastAsia" w:cs="宋体"/>
                <w:sz w:val="20"/>
                <w:szCs w:val="20"/>
              </w:rPr>
            </w:pPr>
            <w:r>
              <w:rPr>
                <w:rFonts w:hint="eastAsia" w:cs="宋体"/>
                <w:kern w:val="0"/>
                <w:sz w:val="20"/>
                <w:szCs w:val="20"/>
                <w:lang w:bidi="ar"/>
              </w:rPr>
              <w:t>9</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F8C6E">
            <w:pPr>
              <w:widowControl/>
              <w:ind w:firstLine="400"/>
              <w:jc w:val="left"/>
              <w:textAlignment w:val="center"/>
              <w:rPr>
                <w:rFonts w:hint="eastAsia" w:cs="宋体"/>
                <w:sz w:val="20"/>
                <w:szCs w:val="20"/>
              </w:rPr>
            </w:pPr>
            <w:r>
              <w:rPr>
                <w:rFonts w:hint="eastAsia" w:cs="宋体"/>
                <w:kern w:val="0"/>
                <w:sz w:val="20"/>
                <w:szCs w:val="20"/>
                <w:lang w:bidi="ar"/>
              </w:rPr>
              <w:t>剪辑主机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4295">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63A2D">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62A756">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0C266FEA">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DE4B7">
            <w:pPr>
              <w:widowControl/>
              <w:ind w:firstLine="400"/>
              <w:jc w:val="left"/>
              <w:textAlignment w:val="center"/>
              <w:rPr>
                <w:rFonts w:hint="eastAsia" w:cs="宋体"/>
                <w:sz w:val="20"/>
                <w:szCs w:val="20"/>
              </w:rPr>
            </w:pPr>
            <w:r>
              <w:rPr>
                <w:rFonts w:hint="eastAsia" w:cs="宋体"/>
                <w:kern w:val="0"/>
                <w:sz w:val="20"/>
                <w:szCs w:val="20"/>
                <w:lang w:bidi="ar"/>
              </w:rPr>
              <w:t>10</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C26E8">
            <w:pPr>
              <w:widowControl/>
              <w:ind w:firstLine="400"/>
              <w:jc w:val="left"/>
              <w:textAlignment w:val="center"/>
              <w:rPr>
                <w:rFonts w:hint="eastAsia" w:cs="宋体"/>
                <w:sz w:val="20"/>
                <w:szCs w:val="20"/>
              </w:rPr>
            </w:pPr>
            <w:r>
              <w:rPr>
                <w:rFonts w:hint="eastAsia" w:cs="宋体"/>
                <w:kern w:val="0"/>
                <w:sz w:val="20"/>
                <w:szCs w:val="20"/>
                <w:lang w:bidi="ar"/>
              </w:rPr>
              <w:t>教师半球摄像机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77D0">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A1EC2">
            <w:pPr>
              <w:widowControl/>
              <w:ind w:firstLine="400"/>
              <w:jc w:val="left"/>
              <w:textAlignment w:val="center"/>
              <w:rPr>
                <w:rFonts w:hint="eastAsia" w:cs="宋体"/>
                <w:sz w:val="20"/>
                <w:szCs w:val="20"/>
              </w:rPr>
            </w:pPr>
            <w:r>
              <w:rPr>
                <w:rFonts w:hint="eastAsia" w:cs="宋体"/>
                <w:kern w:val="0"/>
                <w:sz w:val="20"/>
                <w:szCs w:val="20"/>
                <w:lang w:bidi="ar"/>
              </w:rPr>
              <w:t>110</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2ADB28">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728E222">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02A71">
            <w:pPr>
              <w:widowControl/>
              <w:ind w:firstLine="400"/>
              <w:jc w:val="left"/>
              <w:textAlignment w:val="center"/>
              <w:rPr>
                <w:rFonts w:hint="eastAsia" w:cs="宋体"/>
                <w:sz w:val="20"/>
                <w:szCs w:val="20"/>
              </w:rPr>
            </w:pPr>
            <w:r>
              <w:rPr>
                <w:rFonts w:hint="eastAsia" w:cs="宋体"/>
                <w:kern w:val="0"/>
                <w:sz w:val="20"/>
                <w:szCs w:val="20"/>
                <w:lang w:bidi="ar"/>
              </w:rPr>
              <w:t>11</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90100">
            <w:pPr>
              <w:widowControl/>
              <w:ind w:firstLine="400"/>
              <w:jc w:val="left"/>
              <w:textAlignment w:val="center"/>
              <w:rPr>
                <w:rFonts w:hint="eastAsia" w:cs="宋体"/>
                <w:sz w:val="20"/>
                <w:szCs w:val="20"/>
              </w:rPr>
            </w:pPr>
            <w:r>
              <w:rPr>
                <w:rFonts w:hint="eastAsia" w:cs="宋体"/>
                <w:kern w:val="0"/>
                <w:sz w:val="20"/>
                <w:szCs w:val="20"/>
                <w:lang w:bidi="ar"/>
              </w:rPr>
              <w:t>教师跟踪摄像机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2F92">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5D452">
            <w:pPr>
              <w:widowControl/>
              <w:ind w:firstLine="400"/>
              <w:jc w:val="left"/>
              <w:textAlignment w:val="center"/>
              <w:rPr>
                <w:rFonts w:hint="eastAsia" w:cs="宋体"/>
                <w:sz w:val="20"/>
                <w:szCs w:val="20"/>
              </w:rPr>
            </w:pPr>
            <w:r>
              <w:rPr>
                <w:rFonts w:hint="eastAsia" w:cs="宋体"/>
                <w:kern w:val="0"/>
                <w:sz w:val="20"/>
                <w:szCs w:val="20"/>
                <w:lang w:bidi="ar"/>
              </w:rPr>
              <w:t>11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F3749">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F7B8C72">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7FA83">
            <w:pPr>
              <w:widowControl/>
              <w:ind w:firstLine="400"/>
              <w:jc w:val="left"/>
              <w:textAlignment w:val="center"/>
              <w:rPr>
                <w:rFonts w:hint="eastAsia" w:cs="宋体"/>
                <w:sz w:val="20"/>
                <w:szCs w:val="20"/>
              </w:rPr>
            </w:pPr>
            <w:r>
              <w:rPr>
                <w:rFonts w:hint="eastAsia" w:cs="宋体"/>
                <w:kern w:val="0"/>
                <w:sz w:val="20"/>
                <w:szCs w:val="20"/>
                <w:lang w:bidi="ar"/>
              </w:rPr>
              <w:t>12</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223FE">
            <w:pPr>
              <w:widowControl/>
              <w:ind w:firstLine="400"/>
              <w:jc w:val="left"/>
              <w:textAlignment w:val="center"/>
              <w:rPr>
                <w:rFonts w:hint="eastAsia" w:cs="宋体"/>
                <w:sz w:val="20"/>
                <w:szCs w:val="20"/>
              </w:rPr>
            </w:pPr>
            <w:r>
              <w:rPr>
                <w:rFonts w:hint="eastAsia" w:cs="宋体"/>
                <w:kern w:val="0"/>
                <w:sz w:val="20"/>
                <w:szCs w:val="20"/>
                <w:lang w:bidi="ar"/>
              </w:rPr>
              <w:t>教师拾音器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AE26">
            <w:pPr>
              <w:widowControl/>
              <w:ind w:firstLine="400"/>
              <w:jc w:val="left"/>
              <w:textAlignment w:val="center"/>
              <w:rPr>
                <w:rFonts w:hint="eastAsia" w:cs="宋体"/>
                <w:sz w:val="20"/>
                <w:szCs w:val="20"/>
              </w:rPr>
            </w:pPr>
            <w:r>
              <w:rPr>
                <w:rFonts w:hint="eastAsia" w:cs="宋体"/>
                <w:kern w:val="0"/>
                <w:sz w:val="20"/>
                <w:szCs w:val="20"/>
                <w:lang w:bidi="ar"/>
              </w:rPr>
              <w:t>个</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4D0B5">
            <w:pPr>
              <w:widowControl/>
              <w:ind w:firstLine="400"/>
              <w:jc w:val="left"/>
              <w:textAlignment w:val="center"/>
              <w:rPr>
                <w:rFonts w:hint="eastAsia" w:cs="宋体"/>
                <w:sz w:val="20"/>
                <w:szCs w:val="20"/>
              </w:rPr>
            </w:pPr>
            <w:r>
              <w:rPr>
                <w:rFonts w:hint="eastAsia" w:cs="宋体"/>
                <w:kern w:val="0"/>
                <w:sz w:val="20"/>
                <w:szCs w:val="20"/>
                <w:lang w:bidi="ar"/>
              </w:rPr>
              <w:t>108</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976E9E">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16A184B">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7E494">
            <w:pPr>
              <w:widowControl/>
              <w:ind w:firstLine="400"/>
              <w:jc w:val="left"/>
              <w:textAlignment w:val="center"/>
              <w:rPr>
                <w:rFonts w:hint="eastAsia" w:cs="宋体"/>
                <w:sz w:val="20"/>
                <w:szCs w:val="20"/>
              </w:rPr>
            </w:pPr>
            <w:r>
              <w:rPr>
                <w:rFonts w:hint="eastAsia" w:cs="宋体"/>
                <w:kern w:val="0"/>
                <w:sz w:val="20"/>
                <w:szCs w:val="20"/>
                <w:lang w:bidi="ar"/>
              </w:rPr>
              <w:t>13</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8E2A6">
            <w:pPr>
              <w:widowControl/>
              <w:ind w:firstLine="400"/>
              <w:jc w:val="left"/>
              <w:textAlignment w:val="center"/>
              <w:rPr>
                <w:rFonts w:hint="eastAsia" w:cs="宋体"/>
                <w:sz w:val="20"/>
                <w:szCs w:val="20"/>
              </w:rPr>
            </w:pPr>
            <w:r>
              <w:rPr>
                <w:rFonts w:hint="eastAsia" w:cs="宋体"/>
                <w:kern w:val="0"/>
                <w:sz w:val="20"/>
                <w:szCs w:val="20"/>
                <w:lang w:bidi="ar"/>
              </w:rPr>
              <w:t>解码机框</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CED4">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A4A4C">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8110B1">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890AB55">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2D7EE">
            <w:pPr>
              <w:widowControl/>
              <w:ind w:firstLine="400"/>
              <w:jc w:val="left"/>
              <w:textAlignment w:val="center"/>
              <w:rPr>
                <w:rFonts w:hint="eastAsia" w:cs="宋体"/>
                <w:sz w:val="20"/>
                <w:szCs w:val="20"/>
              </w:rPr>
            </w:pPr>
            <w:r>
              <w:rPr>
                <w:rFonts w:hint="eastAsia" w:cs="宋体"/>
                <w:kern w:val="0"/>
                <w:sz w:val="20"/>
                <w:szCs w:val="20"/>
                <w:lang w:bidi="ar"/>
              </w:rPr>
              <w:t>14</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28168">
            <w:pPr>
              <w:widowControl/>
              <w:ind w:firstLine="400"/>
              <w:jc w:val="left"/>
              <w:textAlignment w:val="center"/>
              <w:rPr>
                <w:rFonts w:hint="eastAsia" w:cs="宋体"/>
                <w:sz w:val="20"/>
                <w:szCs w:val="20"/>
              </w:rPr>
            </w:pPr>
            <w:r>
              <w:rPr>
                <w:rFonts w:hint="eastAsia" w:cs="宋体"/>
                <w:kern w:val="0"/>
                <w:sz w:val="20"/>
                <w:szCs w:val="20"/>
                <w:lang w:bidi="ar"/>
              </w:rPr>
              <w:t>解码卡</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323F">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36EF4">
            <w:pPr>
              <w:widowControl/>
              <w:ind w:firstLine="400"/>
              <w:jc w:val="left"/>
              <w:textAlignment w:val="center"/>
              <w:rPr>
                <w:rFonts w:hint="eastAsia" w:cs="宋体"/>
                <w:sz w:val="20"/>
                <w:szCs w:val="20"/>
              </w:rPr>
            </w:pPr>
            <w:r>
              <w:rPr>
                <w:rFonts w:hint="eastAsia" w:cs="宋体"/>
                <w:kern w:val="0"/>
                <w:sz w:val="20"/>
                <w:szCs w:val="20"/>
                <w:lang w:bidi="ar"/>
              </w:rPr>
              <w:t>8</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047F33">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04ACFEF9">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9B39F">
            <w:pPr>
              <w:widowControl/>
              <w:ind w:firstLine="400"/>
              <w:jc w:val="left"/>
              <w:textAlignment w:val="center"/>
              <w:rPr>
                <w:rFonts w:hint="eastAsia" w:cs="宋体"/>
                <w:sz w:val="20"/>
                <w:szCs w:val="20"/>
              </w:rPr>
            </w:pPr>
            <w:r>
              <w:rPr>
                <w:rFonts w:hint="eastAsia" w:cs="宋体"/>
                <w:kern w:val="0"/>
                <w:sz w:val="20"/>
                <w:szCs w:val="20"/>
                <w:lang w:bidi="ar"/>
              </w:rPr>
              <w:t>15</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CA923">
            <w:pPr>
              <w:widowControl/>
              <w:ind w:firstLine="400"/>
              <w:jc w:val="left"/>
              <w:textAlignment w:val="center"/>
              <w:rPr>
                <w:rFonts w:hint="eastAsia" w:cs="宋体"/>
                <w:sz w:val="20"/>
                <w:szCs w:val="20"/>
              </w:rPr>
            </w:pPr>
            <w:r>
              <w:rPr>
                <w:rFonts w:hint="eastAsia" w:cs="宋体"/>
                <w:kern w:val="0"/>
                <w:sz w:val="20"/>
                <w:szCs w:val="20"/>
                <w:lang w:bidi="ar"/>
              </w:rPr>
              <w:t>考场拾音器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17D68">
            <w:pPr>
              <w:widowControl/>
              <w:ind w:firstLine="400"/>
              <w:jc w:val="left"/>
              <w:textAlignment w:val="center"/>
              <w:rPr>
                <w:rFonts w:hint="eastAsia" w:cs="宋体"/>
                <w:sz w:val="20"/>
                <w:szCs w:val="20"/>
              </w:rPr>
            </w:pPr>
            <w:r>
              <w:rPr>
                <w:rFonts w:hint="eastAsia" w:cs="宋体"/>
                <w:kern w:val="0"/>
                <w:sz w:val="20"/>
                <w:szCs w:val="20"/>
                <w:lang w:bidi="ar"/>
              </w:rPr>
              <w:t>个</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4C284">
            <w:pPr>
              <w:widowControl/>
              <w:ind w:firstLine="400"/>
              <w:jc w:val="left"/>
              <w:textAlignment w:val="center"/>
              <w:rPr>
                <w:rFonts w:hint="eastAsia" w:cs="宋体"/>
                <w:sz w:val="20"/>
                <w:szCs w:val="20"/>
              </w:rPr>
            </w:pPr>
            <w:r>
              <w:rPr>
                <w:rFonts w:hint="eastAsia" w:cs="宋体"/>
                <w:kern w:val="0"/>
                <w:sz w:val="20"/>
                <w:szCs w:val="20"/>
                <w:lang w:bidi="ar"/>
              </w:rPr>
              <w:t>136</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C72396">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04B75A11">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E42E3">
            <w:pPr>
              <w:widowControl/>
              <w:ind w:firstLine="400"/>
              <w:jc w:val="left"/>
              <w:textAlignment w:val="center"/>
              <w:rPr>
                <w:rFonts w:hint="eastAsia" w:cs="宋体"/>
                <w:sz w:val="20"/>
                <w:szCs w:val="20"/>
              </w:rPr>
            </w:pPr>
            <w:r>
              <w:rPr>
                <w:rFonts w:hint="eastAsia" w:cs="宋体"/>
                <w:kern w:val="0"/>
                <w:sz w:val="20"/>
                <w:szCs w:val="20"/>
                <w:lang w:bidi="ar"/>
              </w:rPr>
              <w:t>16</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8F3A7">
            <w:pPr>
              <w:widowControl/>
              <w:ind w:firstLine="400"/>
              <w:jc w:val="left"/>
              <w:textAlignment w:val="center"/>
              <w:rPr>
                <w:rFonts w:hint="eastAsia" w:cs="宋体"/>
                <w:sz w:val="20"/>
                <w:szCs w:val="20"/>
              </w:rPr>
            </w:pPr>
            <w:r>
              <w:rPr>
                <w:rFonts w:hint="eastAsia" w:cs="宋体"/>
                <w:kern w:val="0"/>
                <w:sz w:val="20"/>
                <w:szCs w:val="20"/>
                <w:lang w:bidi="ar"/>
              </w:rPr>
              <w:t>日常存储（闵行）</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2ACE">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EF235">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BEBF22">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25AC0B13">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6E212">
            <w:pPr>
              <w:widowControl/>
              <w:ind w:firstLine="400"/>
              <w:jc w:val="left"/>
              <w:textAlignment w:val="center"/>
              <w:rPr>
                <w:rFonts w:hint="eastAsia" w:cs="宋体"/>
                <w:sz w:val="20"/>
                <w:szCs w:val="20"/>
              </w:rPr>
            </w:pPr>
            <w:r>
              <w:rPr>
                <w:rFonts w:hint="eastAsia" w:cs="宋体"/>
                <w:kern w:val="0"/>
                <w:sz w:val="20"/>
                <w:szCs w:val="20"/>
                <w:lang w:bidi="ar"/>
              </w:rPr>
              <w:t>17</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B803D">
            <w:pPr>
              <w:widowControl/>
              <w:ind w:firstLine="400"/>
              <w:jc w:val="left"/>
              <w:textAlignment w:val="center"/>
              <w:rPr>
                <w:rFonts w:hint="eastAsia" w:cs="宋体"/>
                <w:sz w:val="20"/>
                <w:szCs w:val="20"/>
              </w:rPr>
            </w:pPr>
            <w:r>
              <w:rPr>
                <w:rFonts w:hint="eastAsia" w:cs="宋体"/>
                <w:kern w:val="0"/>
                <w:sz w:val="20"/>
                <w:szCs w:val="20"/>
                <w:lang w:bidi="ar"/>
              </w:rPr>
              <w:t>日常存储（奉贤）</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8ABE">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E41B0">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EACC4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184B12EB">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1A9B9">
            <w:pPr>
              <w:widowControl/>
              <w:ind w:firstLine="400"/>
              <w:jc w:val="left"/>
              <w:textAlignment w:val="center"/>
              <w:rPr>
                <w:rFonts w:hint="eastAsia" w:cs="宋体"/>
                <w:sz w:val="20"/>
                <w:szCs w:val="20"/>
              </w:rPr>
            </w:pPr>
            <w:r>
              <w:rPr>
                <w:rFonts w:hint="eastAsia" w:cs="宋体"/>
                <w:kern w:val="0"/>
                <w:sz w:val="20"/>
                <w:szCs w:val="20"/>
                <w:lang w:bidi="ar"/>
              </w:rPr>
              <w:t>18</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90589">
            <w:pPr>
              <w:widowControl/>
              <w:ind w:firstLine="400"/>
              <w:jc w:val="left"/>
              <w:textAlignment w:val="center"/>
              <w:rPr>
                <w:rFonts w:hint="eastAsia" w:cs="宋体"/>
                <w:sz w:val="20"/>
                <w:szCs w:val="20"/>
              </w:rPr>
            </w:pPr>
            <w:r>
              <w:rPr>
                <w:rFonts w:hint="eastAsia" w:cs="宋体"/>
                <w:kern w:val="0"/>
                <w:sz w:val="20"/>
                <w:szCs w:val="20"/>
                <w:lang w:bidi="ar"/>
              </w:rPr>
              <w:t>网课终端</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1EC0">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69E9D">
            <w:pPr>
              <w:widowControl/>
              <w:ind w:firstLine="400"/>
              <w:jc w:val="left"/>
              <w:textAlignment w:val="center"/>
              <w:rPr>
                <w:rFonts w:hint="eastAsia" w:cs="宋体"/>
                <w:sz w:val="20"/>
                <w:szCs w:val="20"/>
              </w:rPr>
            </w:pPr>
            <w:r>
              <w:rPr>
                <w:rFonts w:hint="eastAsia" w:cs="宋体"/>
                <w:kern w:val="0"/>
                <w:sz w:val="20"/>
                <w:szCs w:val="20"/>
                <w:lang w:bidi="ar"/>
              </w:rPr>
              <w:t>108</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EFD854">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01A543C6">
        <w:tblPrEx>
          <w:tblCellMar>
            <w:top w:w="0" w:type="dxa"/>
            <w:left w:w="108" w:type="dxa"/>
            <w:bottom w:w="0" w:type="dxa"/>
            <w:right w:w="108" w:type="dxa"/>
          </w:tblCellMar>
        </w:tblPrEx>
        <w:trPr>
          <w:trHeight w:val="9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1735A">
            <w:pPr>
              <w:widowControl/>
              <w:ind w:firstLine="400"/>
              <w:jc w:val="left"/>
              <w:textAlignment w:val="center"/>
              <w:rPr>
                <w:rFonts w:hint="eastAsia" w:cs="宋体"/>
                <w:sz w:val="20"/>
                <w:szCs w:val="20"/>
              </w:rPr>
            </w:pPr>
            <w:r>
              <w:rPr>
                <w:rFonts w:hint="eastAsia" w:cs="宋体"/>
                <w:kern w:val="0"/>
                <w:sz w:val="20"/>
                <w:szCs w:val="20"/>
                <w:lang w:bidi="ar"/>
              </w:rPr>
              <w:t>19</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2FD18">
            <w:pPr>
              <w:widowControl/>
              <w:ind w:firstLine="400"/>
              <w:jc w:val="left"/>
              <w:textAlignment w:val="center"/>
              <w:rPr>
                <w:rFonts w:hint="eastAsia" w:cs="宋体"/>
                <w:sz w:val="20"/>
                <w:szCs w:val="20"/>
              </w:rPr>
            </w:pPr>
            <w:r>
              <w:rPr>
                <w:rFonts w:hint="eastAsia" w:cs="宋体"/>
                <w:kern w:val="0"/>
                <w:sz w:val="20"/>
                <w:szCs w:val="20"/>
                <w:lang w:bidi="ar"/>
              </w:rPr>
              <w:t>信号屏蔽仪</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3A70">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2C7C9">
            <w:pPr>
              <w:widowControl/>
              <w:ind w:firstLine="400"/>
              <w:jc w:val="left"/>
              <w:textAlignment w:val="center"/>
              <w:rPr>
                <w:rFonts w:hint="eastAsia" w:cs="宋体"/>
                <w:sz w:val="20"/>
                <w:szCs w:val="20"/>
              </w:rPr>
            </w:pPr>
            <w:r>
              <w:rPr>
                <w:rFonts w:hint="eastAsia" w:cs="宋体"/>
                <w:kern w:val="0"/>
                <w:sz w:val="20"/>
                <w:szCs w:val="20"/>
                <w:lang w:bidi="ar"/>
              </w:rPr>
              <w:t>135</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B72F7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13DDD665">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5BE59">
            <w:pPr>
              <w:widowControl/>
              <w:ind w:firstLine="400"/>
              <w:jc w:val="left"/>
              <w:textAlignment w:val="center"/>
              <w:rPr>
                <w:rFonts w:hint="eastAsia" w:cs="宋体"/>
                <w:sz w:val="20"/>
                <w:szCs w:val="20"/>
              </w:rPr>
            </w:pPr>
            <w:r>
              <w:rPr>
                <w:rFonts w:hint="eastAsia" w:cs="宋体"/>
                <w:kern w:val="0"/>
                <w:sz w:val="20"/>
                <w:szCs w:val="20"/>
                <w:lang w:bidi="ar"/>
              </w:rPr>
              <w:t>20</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437C0">
            <w:pPr>
              <w:widowControl/>
              <w:ind w:firstLine="400"/>
              <w:jc w:val="left"/>
              <w:textAlignment w:val="center"/>
              <w:rPr>
                <w:rFonts w:hint="eastAsia" w:cs="宋体"/>
                <w:sz w:val="20"/>
                <w:szCs w:val="20"/>
              </w:rPr>
            </w:pPr>
            <w:r>
              <w:rPr>
                <w:rFonts w:hint="eastAsia" w:cs="宋体"/>
                <w:kern w:val="0"/>
                <w:sz w:val="20"/>
                <w:szCs w:val="20"/>
                <w:lang w:bidi="ar"/>
              </w:rPr>
              <w:t>巡考半球摄像机</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7068">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40D57">
            <w:pPr>
              <w:widowControl/>
              <w:ind w:firstLine="400"/>
              <w:jc w:val="left"/>
              <w:textAlignment w:val="center"/>
              <w:rPr>
                <w:rFonts w:hint="eastAsia" w:cs="宋体"/>
                <w:sz w:val="20"/>
                <w:szCs w:val="20"/>
              </w:rPr>
            </w:pPr>
            <w:r>
              <w:rPr>
                <w:rFonts w:hint="eastAsia" w:cs="宋体"/>
                <w:kern w:val="0"/>
                <w:sz w:val="20"/>
                <w:szCs w:val="20"/>
                <w:lang w:bidi="ar"/>
              </w:rPr>
              <w:t>170</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3087FD">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87CC8C0">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6A03B">
            <w:pPr>
              <w:widowControl/>
              <w:ind w:firstLine="400"/>
              <w:jc w:val="left"/>
              <w:textAlignment w:val="center"/>
              <w:rPr>
                <w:rFonts w:hint="eastAsia" w:cs="宋体"/>
                <w:sz w:val="20"/>
                <w:szCs w:val="20"/>
              </w:rPr>
            </w:pPr>
            <w:r>
              <w:rPr>
                <w:rFonts w:hint="eastAsia" w:cs="宋体"/>
                <w:kern w:val="0"/>
                <w:sz w:val="20"/>
                <w:szCs w:val="20"/>
                <w:lang w:bidi="ar"/>
              </w:rPr>
              <w:t>21</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DD279">
            <w:pPr>
              <w:widowControl/>
              <w:ind w:firstLine="400"/>
              <w:jc w:val="left"/>
              <w:textAlignment w:val="center"/>
              <w:rPr>
                <w:rFonts w:hint="eastAsia" w:cs="宋体"/>
                <w:sz w:val="20"/>
                <w:szCs w:val="20"/>
              </w:rPr>
            </w:pPr>
            <w:r>
              <w:rPr>
                <w:rFonts w:hint="eastAsia" w:cs="宋体"/>
                <w:kern w:val="0"/>
                <w:sz w:val="20"/>
                <w:szCs w:val="20"/>
                <w:lang w:bidi="ar"/>
              </w:rPr>
              <w:t>巡考管理平台（奉贤）</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3A08">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F2915">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C80536">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6E572D9">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E494F">
            <w:pPr>
              <w:widowControl/>
              <w:ind w:firstLine="400"/>
              <w:jc w:val="left"/>
              <w:textAlignment w:val="center"/>
              <w:rPr>
                <w:rFonts w:hint="eastAsia" w:cs="宋体"/>
                <w:sz w:val="20"/>
                <w:szCs w:val="20"/>
              </w:rPr>
            </w:pPr>
            <w:r>
              <w:rPr>
                <w:rFonts w:hint="eastAsia" w:cs="宋体"/>
                <w:kern w:val="0"/>
                <w:sz w:val="20"/>
                <w:szCs w:val="20"/>
                <w:lang w:bidi="ar"/>
              </w:rPr>
              <w:t>22</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F5A8D">
            <w:pPr>
              <w:widowControl/>
              <w:ind w:firstLine="400"/>
              <w:jc w:val="left"/>
              <w:textAlignment w:val="center"/>
              <w:rPr>
                <w:rFonts w:hint="eastAsia" w:cs="宋体"/>
                <w:sz w:val="20"/>
                <w:szCs w:val="20"/>
              </w:rPr>
            </w:pPr>
            <w:r>
              <w:rPr>
                <w:rFonts w:hint="eastAsia" w:cs="宋体"/>
                <w:kern w:val="0"/>
                <w:sz w:val="20"/>
                <w:szCs w:val="20"/>
                <w:lang w:bidi="ar"/>
              </w:rPr>
              <w:t>巡考管理平台（闵行）</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C0FF">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5AE16">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04455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0BC3CBF3">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3D0E9">
            <w:pPr>
              <w:widowControl/>
              <w:ind w:firstLine="400"/>
              <w:jc w:val="left"/>
              <w:textAlignment w:val="center"/>
              <w:rPr>
                <w:rFonts w:hint="eastAsia" w:cs="宋体"/>
                <w:sz w:val="20"/>
                <w:szCs w:val="20"/>
              </w:rPr>
            </w:pPr>
            <w:r>
              <w:rPr>
                <w:rFonts w:hint="eastAsia" w:cs="宋体"/>
                <w:kern w:val="0"/>
                <w:sz w:val="20"/>
                <w:szCs w:val="20"/>
                <w:lang w:bidi="ar"/>
              </w:rPr>
              <w:t>23</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71EE">
            <w:pPr>
              <w:widowControl/>
              <w:ind w:firstLine="400"/>
              <w:jc w:val="left"/>
              <w:textAlignment w:val="center"/>
              <w:rPr>
                <w:rFonts w:hint="eastAsia" w:cs="宋体"/>
                <w:sz w:val="20"/>
                <w:szCs w:val="20"/>
              </w:rPr>
            </w:pPr>
            <w:r>
              <w:rPr>
                <w:rFonts w:hint="eastAsia" w:cs="宋体"/>
                <w:kern w:val="0"/>
                <w:sz w:val="20"/>
                <w:szCs w:val="20"/>
                <w:lang w:bidi="ar"/>
              </w:rPr>
              <w:t>云录播教室接入授权</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997E5">
            <w:pPr>
              <w:widowControl/>
              <w:ind w:firstLine="400"/>
              <w:jc w:val="left"/>
              <w:textAlignment w:val="center"/>
              <w:rPr>
                <w:rFonts w:hint="eastAsia" w:cs="宋体"/>
                <w:sz w:val="20"/>
                <w:szCs w:val="20"/>
              </w:rPr>
            </w:pPr>
            <w:r>
              <w:rPr>
                <w:rFonts w:hint="eastAsia" w:cs="宋体"/>
                <w:kern w:val="0"/>
                <w:sz w:val="20"/>
                <w:szCs w:val="20"/>
                <w:lang w:bidi="ar"/>
              </w:rPr>
              <w:t>间</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FD44">
            <w:pPr>
              <w:widowControl/>
              <w:ind w:firstLine="400"/>
              <w:jc w:val="left"/>
              <w:textAlignment w:val="center"/>
              <w:rPr>
                <w:rFonts w:hint="eastAsia" w:cs="宋体"/>
                <w:sz w:val="20"/>
                <w:szCs w:val="20"/>
              </w:rPr>
            </w:pPr>
            <w:r>
              <w:rPr>
                <w:rFonts w:hint="eastAsia" w:cs="宋体"/>
                <w:kern w:val="0"/>
                <w:sz w:val="20"/>
                <w:szCs w:val="20"/>
                <w:lang w:bidi="ar"/>
              </w:rPr>
              <w:t>102</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34E1B5">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FF5E983">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3F208">
            <w:pPr>
              <w:widowControl/>
              <w:ind w:firstLine="400"/>
              <w:jc w:val="left"/>
              <w:textAlignment w:val="center"/>
              <w:rPr>
                <w:rFonts w:hint="eastAsia" w:cs="宋体"/>
                <w:sz w:val="20"/>
                <w:szCs w:val="20"/>
              </w:rPr>
            </w:pPr>
            <w:r>
              <w:rPr>
                <w:rFonts w:hint="eastAsia" w:cs="宋体"/>
                <w:kern w:val="0"/>
                <w:sz w:val="20"/>
                <w:szCs w:val="20"/>
                <w:lang w:bidi="ar"/>
              </w:rPr>
              <w:t>24</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9050F">
            <w:pPr>
              <w:widowControl/>
              <w:ind w:firstLine="400"/>
              <w:jc w:val="left"/>
              <w:textAlignment w:val="center"/>
              <w:rPr>
                <w:rFonts w:hint="eastAsia" w:cs="宋体"/>
                <w:sz w:val="20"/>
                <w:szCs w:val="20"/>
              </w:rPr>
            </w:pPr>
            <w:r>
              <w:rPr>
                <w:rFonts w:hint="eastAsia" w:cs="宋体"/>
                <w:kern w:val="0"/>
                <w:sz w:val="20"/>
                <w:szCs w:val="20"/>
                <w:lang w:bidi="ar"/>
              </w:rPr>
              <w:t>云录播平台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D682">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90CB3">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58EFD8">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91F6DB4">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C41B2">
            <w:pPr>
              <w:widowControl/>
              <w:ind w:firstLine="400"/>
              <w:jc w:val="left"/>
              <w:textAlignment w:val="center"/>
              <w:rPr>
                <w:rFonts w:hint="eastAsia" w:cs="宋体"/>
                <w:sz w:val="20"/>
                <w:szCs w:val="20"/>
              </w:rPr>
            </w:pPr>
            <w:r>
              <w:rPr>
                <w:rFonts w:hint="eastAsia" w:cs="宋体"/>
                <w:kern w:val="0"/>
                <w:sz w:val="20"/>
                <w:szCs w:val="20"/>
                <w:lang w:bidi="ar"/>
              </w:rPr>
              <w:t>25</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3437">
            <w:pPr>
              <w:widowControl/>
              <w:ind w:firstLine="400"/>
              <w:jc w:val="left"/>
              <w:textAlignment w:val="center"/>
              <w:rPr>
                <w:rFonts w:hint="eastAsia" w:cs="宋体"/>
                <w:sz w:val="20"/>
                <w:szCs w:val="20"/>
              </w:rPr>
            </w:pPr>
            <w:r>
              <w:rPr>
                <w:rFonts w:hint="eastAsia" w:cs="宋体"/>
                <w:kern w:val="0"/>
                <w:sz w:val="20"/>
                <w:szCs w:val="20"/>
                <w:lang w:bidi="ar"/>
              </w:rPr>
              <w:t>触控86型电源控制器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CE0D9">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A785">
            <w:pPr>
              <w:widowControl/>
              <w:ind w:firstLine="400"/>
              <w:jc w:val="left"/>
              <w:textAlignment w:val="center"/>
              <w:rPr>
                <w:rFonts w:hint="eastAsia" w:cs="宋体"/>
                <w:sz w:val="20"/>
                <w:szCs w:val="20"/>
              </w:rPr>
            </w:pPr>
            <w:r>
              <w:rPr>
                <w:rFonts w:hint="eastAsia" w:cs="宋体"/>
                <w:kern w:val="0"/>
                <w:sz w:val="20"/>
                <w:szCs w:val="20"/>
                <w:lang w:bidi="ar"/>
              </w:rPr>
              <w:t>71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89661D">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3CBC264F">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0864E">
            <w:pPr>
              <w:widowControl/>
              <w:ind w:firstLine="400"/>
              <w:jc w:val="left"/>
              <w:textAlignment w:val="center"/>
              <w:rPr>
                <w:rFonts w:hint="eastAsia" w:cs="宋体"/>
                <w:sz w:val="20"/>
                <w:szCs w:val="20"/>
              </w:rPr>
            </w:pPr>
            <w:r>
              <w:rPr>
                <w:rFonts w:hint="eastAsia" w:cs="宋体"/>
                <w:kern w:val="0"/>
                <w:sz w:val="20"/>
                <w:szCs w:val="20"/>
                <w:lang w:bidi="ar"/>
              </w:rPr>
              <w:t>26</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382E">
            <w:pPr>
              <w:widowControl/>
              <w:ind w:firstLine="400"/>
              <w:jc w:val="left"/>
              <w:textAlignment w:val="center"/>
              <w:rPr>
                <w:rFonts w:hint="eastAsia" w:cs="宋体"/>
                <w:sz w:val="20"/>
                <w:szCs w:val="20"/>
              </w:rPr>
            </w:pPr>
            <w:r>
              <w:rPr>
                <w:rFonts w:hint="eastAsia" w:cs="宋体"/>
                <w:kern w:val="0"/>
                <w:sz w:val="20"/>
                <w:szCs w:val="20"/>
                <w:lang w:bidi="ar"/>
              </w:rPr>
              <w:t>吊麦</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0E804">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E134">
            <w:pPr>
              <w:widowControl/>
              <w:ind w:firstLine="400"/>
              <w:jc w:val="left"/>
              <w:textAlignment w:val="center"/>
              <w:rPr>
                <w:rFonts w:hint="eastAsia" w:cs="宋体"/>
                <w:sz w:val="20"/>
                <w:szCs w:val="20"/>
              </w:rPr>
            </w:pPr>
            <w:r>
              <w:rPr>
                <w:rFonts w:hint="eastAsia" w:cs="宋体"/>
                <w:kern w:val="0"/>
                <w:sz w:val="20"/>
                <w:szCs w:val="20"/>
                <w:lang w:bidi="ar"/>
              </w:rPr>
              <w:t>71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C97C8E">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809B937">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66C8F">
            <w:pPr>
              <w:widowControl/>
              <w:ind w:firstLine="400"/>
              <w:jc w:val="left"/>
              <w:textAlignment w:val="center"/>
              <w:rPr>
                <w:rFonts w:hint="eastAsia" w:cs="宋体"/>
                <w:sz w:val="20"/>
                <w:szCs w:val="20"/>
              </w:rPr>
            </w:pPr>
            <w:r>
              <w:rPr>
                <w:rFonts w:hint="eastAsia" w:cs="宋体"/>
                <w:kern w:val="0"/>
                <w:sz w:val="20"/>
                <w:szCs w:val="20"/>
                <w:lang w:bidi="ar"/>
              </w:rPr>
              <w:t>27</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F64D9">
            <w:pPr>
              <w:widowControl/>
              <w:ind w:firstLine="400"/>
              <w:jc w:val="left"/>
              <w:textAlignment w:val="center"/>
              <w:rPr>
                <w:rFonts w:hint="eastAsia" w:cs="宋体"/>
                <w:sz w:val="20"/>
                <w:szCs w:val="20"/>
                <w:lang w:eastAsia="zh-Hans"/>
              </w:rPr>
            </w:pPr>
            <w:r>
              <w:rPr>
                <w:rFonts w:hint="eastAsia" w:cs="宋体"/>
                <w:sz w:val="20"/>
                <w:szCs w:val="20"/>
                <w:lang w:eastAsia="zh-Hans"/>
              </w:rPr>
              <w:t>融合信息终端</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8377">
            <w:pPr>
              <w:widowControl/>
              <w:ind w:firstLine="400"/>
              <w:jc w:val="left"/>
              <w:textAlignment w:val="center"/>
              <w:rPr>
                <w:rFonts w:hint="eastAsia" w:cs="宋体"/>
                <w:sz w:val="20"/>
                <w:szCs w:val="20"/>
                <w:lang w:eastAsia="zh-Hans"/>
              </w:rPr>
            </w:pPr>
            <w:r>
              <w:rPr>
                <w:rFonts w:hint="eastAsia" w:cs="宋体"/>
                <w:sz w:val="20"/>
                <w:szCs w:val="20"/>
                <w:lang w:eastAsia="zh-Hans"/>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53A2">
            <w:pPr>
              <w:widowControl/>
              <w:ind w:firstLine="400"/>
              <w:jc w:val="left"/>
              <w:textAlignment w:val="center"/>
              <w:rPr>
                <w:rFonts w:hint="eastAsia" w:cs="宋体"/>
                <w:sz w:val="20"/>
                <w:szCs w:val="20"/>
              </w:rPr>
            </w:pPr>
            <w:r>
              <w:rPr>
                <w:rFonts w:cs="宋体"/>
                <w:sz w:val="20"/>
                <w:szCs w:val="20"/>
              </w:rPr>
              <w:t>71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113ACD">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C3F04F7">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35ECE">
            <w:pPr>
              <w:widowControl/>
              <w:ind w:firstLine="400"/>
              <w:jc w:val="left"/>
              <w:textAlignment w:val="center"/>
              <w:rPr>
                <w:rFonts w:hint="eastAsia" w:cs="宋体"/>
                <w:sz w:val="20"/>
                <w:szCs w:val="20"/>
              </w:rPr>
            </w:pPr>
            <w:r>
              <w:rPr>
                <w:rFonts w:hint="eastAsia" w:cs="宋体"/>
                <w:kern w:val="0"/>
                <w:sz w:val="20"/>
                <w:szCs w:val="20"/>
                <w:lang w:bidi="ar"/>
              </w:rPr>
              <w:t>28</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8C6EC">
            <w:pPr>
              <w:widowControl/>
              <w:ind w:firstLine="400"/>
              <w:jc w:val="left"/>
              <w:textAlignment w:val="center"/>
              <w:rPr>
                <w:rFonts w:hint="eastAsia" w:cs="宋体"/>
                <w:sz w:val="20"/>
                <w:szCs w:val="20"/>
              </w:rPr>
            </w:pPr>
            <w:r>
              <w:rPr>
                <w:rFonts w:hint="eastAsia" w:cs="宋体"/>
                <w:kern w:val="0"/>
                <w:sz w:val="20"/>
                <w:szCs w:val="20"/>
                <w:lang w:bidi="ar"/>
              </w:rPr>
              <w:t>高保真教学音箱</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42D83">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FC5E">
            <w:pPr>
              <w:widowControl/>
              <w:ind w:firstLine="400"/>
              <w:jc w:val="left"/>
              <w:textAlignment w:val="center"/>
              <w:rPr>
                <w:rFonts w:hint="eastAsia" w:cs="宋体"/>
                <w:sz w:val="20"/>
                <w:szCs w:val="20"/>
              </w:rPr>
            </w:pPr>
            <w:r>
              <w:rPr>
                <w:rFonts w:hint="eastAsia" w:cs="宋体"/>
                <w:kern w:val="0"/>
                <w:sz w:val="20"/>
                <w:szCs w:val="20"/>
                <w:lang w:bidi="ar"/>
              </w:rPr>
              <w:t>69</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086CB4">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9ED5F96">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E4DD2">
            <w:pPr>
              <w:widowControl/>
              <w:ind w:firstLine="400"/>
              <w:jc w:val="left"/>
              <w:textAlignment w:val="center"/>
              <w:rPr>
                <w:rFonts w:hint="eastAsia" w:cs="宋体"/>
                <w:sz w:val="20"/>
                <w:szCs w:val="20"/>
              </w:rPr>
            </w:pPr>
            <w:r>
              <w:rPr>
                <w:rFonts w:hint="eastAsia" w:cs="宋体"/>
                <w:kern w:val="0"/>
                <w:sz w:val="20"/>
                <w:szCs w:val="20"/>
                <w:lang w:bidi="ar"/>
              </w:rPr>
              <w:t>29</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C662D">
            <w:pPr>
              <w:widowControl/>
              <w:ind w:firstLine="400"/>
              <w:jc w:val="left"/>
              <w:textAlignment w:val="center"/>
              <w:rPr>
                <w:rFonts w:hint="eastAsia" w:cs="宋体"/>
                <w:sz w:val="20"/>
                <w:szCs w:val="20"/>
              </w:rPr>
            </w:pPr>
            <w:r>
              <w:rPr>
                <w:rFonts w:hint="eastAsia" w:cs="宋体"/>
                <w:kern w:val="0"/>
                <w:sz w:val="20"/>
                <w:szCs w:val="20"/>
                <w:lang w:bidi="ar"/>
              </w:rPr>
              <w:t>物联电子时钟</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B3F8">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3950">
            <w:pPr>
              <w:widowControl/>
              <w:ind w:firstLine="400"/>
              <w:jc w:val="left"/>
              <w:textAlignment w:val="center"/>
              <w:rPr>
                <w:rFonts w:hint="eastAsia" w:cs="宋体"/>
                <w:sz w:val="20"/>
                <w:szCs w:val="20"/>
              </w:rPr>
            </w:pPr>
            <w:r>
              <w:rPr>
                <w:rFonts w:hint="eastAsia" w:cs="宋体"/>
                <w:kern w:val="0"/>
                <w:sz w:val="20"/>
                <w:szCs w:val="20"/>
                <w:lang w:bidi="ar"/>
              </w:rPr>
              <w:t>69</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4C9498">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89F22CE">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8EB90">
            <w:pPr>
              <w:widowControl/>
              <w:ind w:firstLine="400"/>
              <w:jc w:val="left"/>
              <w:textAlignment w:val="center"/>
              <w:rPr>
                <w:rFonts w:hint="eastAsia" w:cs="宋体"/>
                <w:sz w:val="20"/>
                <w:szCs w:val="20"/>
              </w:rPr>
            </w:pPr>
            <w:r>
              <w:rPr>
                <w:rFonts w:hint="eastAsia" w:cs="宋体"/>
                <w:kern w:val="0"/>
                <w:sz w:val="20"/>
                <w:szCs w:val="20"/>
                <w:lang w:bidi="ar"/>
              </w:rPr>
              <w:t>30</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1C6B6">
            <w:pPr>
              <w:widowControl/>
              <w:ind w:firstLine="400"/>
              <w:jc w:val="left"/>
              <w:textAlignment w:val="center"/>
              <w:rPr>
                <w:rFonts w:hint="eastAsia" w:cs="宋体"/>
                <w:sz w:val="20"/>
                <w:szCs w:val="20"/>
              </w:rPr>
            </w:pPr>
            <w:r>
              <w:rPr>
                <w:rFonts w:hint="eastAsia" w:cs="宋体"/>
                <w:kern w:val="0"/>
                <w:sz w:val="20"/>
                <w:szCs w:val="20"/>
                <w:lang w:bidi="ar"/>
              </w:rPr>
              <w:t>智能触控显示器</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0EDF6">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D8E6">
            <w:pPr>
              <w:widowControl/>
              <w:ind w:firstLine="400"/>
              <w:jc w:val="left"/>
              <w:textAlignment w:val="center"/>
              <w:rPr>
                <w:rFonts w:hint="eastAsia" w:cs="宋体"/>
                <w:sz w:val="20"/>
                <w:szCs w:val="20"/>
              </w:rPr>
            </w:pPr>
            <w:r>
              <w:rPr>
                <w:rFonts w:hint="eastAsia" w:cs="宋体"/>
                <w:kern w:val="0"/>
                <w:sz w:val="20"/>
                <w:szCs w:val="20"/>
                <w:lang w:bidi="ar"/>
              </w:rPr>
              <w:t>2</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AEC3EC">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5DDAD136">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70C3B">
            <w:pPr>
              <w:widowControl/>
              <w:ind w:firstLine="400"/>
              <w:jc w:val="left"/>
              <w:textAlignment w:val="center"/>
              <w:rPr>
                <w:rFonts w:hint="eastAsia" w:cs="宋体"/>
                <w:sz w:val="20"/>
                <w:szCs w:val="20"/>
              </w:rPr>
            </w:pPr>
            <w:r>
              <w:rPr>
                <w:rFonts w:hint="eastAsia" w:cs="宋体"/>
                <w:kern w:val="0"/>
                <w:sz w:val="20"/>
                <w:szCs w:val="20"/>
                <w:lang w:bidi="ar"/>
              </w:rPr>
              <w:t>31</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13A4">
            <w:pPr>
              <w:widowControl/>
              <w:ind w:firstLine="400"/>
              <w:jc w:val="left"/>
              <w:textAlignment w:val="center"/>
              <w:rPr>
                <w:rFonts w:hint="eastAsia" w:cs="宋体"/>
                <w:sz w:val="20"/>
                <w:szCs w:val="20"/>
              </w:rPr>
            </w:pPr>
            <w:r>
              <w:rPr>
                <w:rFonts w:hint="eastAsia" w:cs="宋体"/>
                <w:kern w:val="0"/>
                <w:sz w:val="20"/>
                <w:szCs w:val="20"/>
                <w:lang w:bidi="ar"/>
              </w:rPr>
              <w:t>融合教学终端</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5D1C">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CF8A">
            <w:pPr>
              <w:widowControl/>
              <w:ind w:firstLine="400"/>
              <w:jc w:val="left"/>
              <w:textAlignment w:val="center"/>
              <w:rPr>
                <w:rFonts w:hint="eastAsia" w:cs="宋体"/>
                <w:sz w:val="20"/>
                <w:szCs w:val="20"/>
              </w:rPr>
            </w:pPr>
            <w:r>
              <w:rPr>
                <w:rFonts w:cs="宋体"/>
                <w:sz w:val="20"/>
                <w:szCs w:val="20"/>
              </w:rPr>
              <w:t>69</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B5CF34">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6993BC11">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8DDDC">
            <w:pPr>
              <w:widowControl/>
              <w:ind w:firstLine="400"/>
              <w:jc w:val="left"/>
              <w:textAlignment w:val="center"/>
              <w:rPr>
                <w:rFonts w:hint="eastAsia" w:cs="宋体"/>
                <w:sz w:val="20"/>
                <w:szCs w:val="20"/>
              </w:rPr>
            </w:pPr>
            <w:r>
              <w:rPr>
                <w:rFonts w:hint="eastAsia" w:cs="宋体"/>
                <w:kern w:val="0"/>
                <w:sz w:val="20"/>
                <w:szCs w:val="20"/>
                <w:lang w:bidi="ar"/>
              </w:rPr>
              <w:t>32</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0136">
            <w:pPr>
              <w:widowControl/>
              <w:ind w:firstLine="400"/>
              <w:jc w:val="left"/>
              <w:textAlignment w:val="center"/>
              <w:rPr>
                <w:rFonts w:hint="eastAsia" w:cs="宋体"/>
                <w:sz w:val="20"/>
                <w:szCs w:val="20"/>
              </w:rPr>
            </w:pPr>
            <w:r>
              <w:rPr>
                <w:rFonts w:hint="eastAsia" w:cs="宋体"/>
                <w:kern w:val="0"/>
                <w:sz w:val="20"/>
                <w:szCs w:val="20"/>
                <w:lang w:bidi="ar"/>
              </w:rPr>
              <w:t>55寸大屏</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F489D">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7A43">
            <w:pPr>
              <w:widowControl/>
              <w:ind w:firstLine="400"/>
              <w:jc w:val="left"/>
              <w:textAlignment w:val="center"/>
              <w:rPr>
                <w:rFonts w:hint="eastAsia" w:cs="宋体"/>
                <w:sz w:val="20"/>
                <w:szCs w:val="20"/>
              </w:rPr>
            </w:pPr>
            <w:r>
              <w:rPr>
                <w:rFonts w:hint="eastAsia" w:cs="宋体"/>
                <w:kern w:val="0"/>
                <w:sz w:val="20"/>
                <w:szCs w:val="20"/>
                <w:lang w:bidi="ar"/>
              </w:rPr>
              <w:t>8</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BC4443">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69AEBE6D">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2D095">
            <w:pPr>
              <w:widowControl/>
              <w:ind w:firstLine="400"/>
              <w:jc w:val="left"/>
              <w:textAlignment w:val="center"/>
              <w:rPr>
                <w:rFonts w:hint="eastAsia" w:cs="宋体"/>
                <w:sz w:val="20"/>
                <w:szCs w:val="20"/>
              </w:rPr>
            </w:pPr>
            <w:r>
              <w:rPr>
                <w:rFonts w:hint="eastAsia" w:cs="宋体"/>
                <w:kern w:val="0"/>
                <w:sz w:val="20"/>
                <w:szCs w:val="20"/>
                <w:lang w:bidi="ar"/>
              </w:rPr>
              <w:t>33</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E05B">
            <w:pPr>
              <w:widowControl/>
              <w:ind w:firstLine="400"/>
              <w:jc w:val="left"/>
              <w:textAlignment w:val="center"/>
              <w:rPr>
                <w:rFonts w:hint="eastAsia" w:cs="宋体"/>
                <w:sz w:val="20"/>
                <w:szCs w:val="20"/>
              </w:rPr>
            </w:pPr>
            <w:r>
              <w:rPr>
                <w:rFonts w:hint="eastAsia" w:cs="宋体"/>
                <w:kern w:val="0"/>
                <w:sz w:val="20"/>
                <w:szCs w:val="20"/>
                <w:lang w:bidi="ar"/>
              </w:rPr>
              <w:t>75寸大屏</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40967">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A87C">
            <w:pPr>
              <w:widowControl/>
              <w:ind w:firstLine="400"/>
              <w:jc w:val="left"/>
              <w:textAlignment w:val="center"/>
              <w:rPr>
                <w:rFonts w:hint="eastAsia" w:cs="宋体"/>
                <w:sz w:val="20"/>
                <w:szCs w:val="20"/>
              </w:rPr>
            </w:pPr>
            <w:r>
              <w:rPr>
                <w:rFonts w:hint="eastAsia" w:cs="宋体"/>
                <w:kern w:val="0"/>
                <w:sz w:val="20"/>
                <w:szCs w:val="20"/>
                <w:lang w:bidi="ar"/>
              </w:rPr>
              <w:t>5</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A15E63">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49A56960">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C39DB">
            <w:pPr>
              <w:widowControl/>
              <w:ind w:firstLine="400"/>
              <w:jc w:val="left"/>
              <w:textAlignment w:val="center"/>
              <w:rPr>
                <w:rFonts w:hint="eastAsia" w:cs="宋体"/>
                <w:sz w:val="20"/>
                <w:szCs w:val="20"/>
              </w:rPr>
            </w:pPr>
            <w:r>
              <w:rPr>
                <w:rFonts w:hint="eastAsia" w:cs="宋体"/>
                <w:kern w:val="0"/>
                <w:sz w:val="20"/>
                <w:szCs w:val="20"/>
                <w:lang w:bidi="ar"/>
              </w:rPr>
              <w:t>34</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473BC">
            <w:pPr>
              <w:widowControl/>
              <w:ind w:firstLine="400"/>
              <w:jc w:val="left"/>
              <w:textAlignment w:val="center"/>
              <w:rPr>
                <w:rFonts w:hint="eastAsia" w:cs="宋体"/>
                <w:sz w:val="20"/>
                <w:szCs w:val="20"/>
              </w:rPr>
            </w:pPr>
            <w:r>
              <w:rPr>
                <w:rFonts w:hint="eastAsia" w:cs="宋体"/>
                <w:kern w:val="0"/>
                <w:sz w:val="20"/>
                <w:szCs w:val="20"/>
                <w:lang w:bidi="ar"/>
              </w:rPr>
              <w:t>智慧大屏（86寸，不含OPS）</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996F">
            <w:pPr>
              <w:widowControl/>
              <w:ind w:firstLine="400"/>
              <w:jc w:val="left"/>
              <w:textAlignment w:val="center"/>
              <w:rPr>
                <w:rFonts w:hint="eastAsia" w:cs="宋体"/>
                <w:sz w:val="20"/>
                <w:szCs w:val="20"/>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322A0">
            <w:pPr>
              <w:widowControl/>
              <w:ind w:firstLine="400"/>
              <w:jc w:val="left"/>
              <w:textAlignment w:val="center"/>
              <w:rPr>
                <w:rFonts w:hint="eastAsia" w:cs="宋体"/>
                <w:sz w:val="20"/>
                <w:szCs w:val="20"/>
              </w:rPr>
            </w:pPr>
            <w:r>
              <w:rPr>
                <w:rFonts w:hint="eastAsia" w:cs="宋体"/>
                <w:kern w:val="0"/>
                <w:sz w:val="20"/>
                <w:szCs w:val="20"/>
                <w:lang w:bidi="ar"/>
              </w:rPr>
              <w:t xml:space="preserve">27 </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E40BCB">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7037AC8B">
        <w:tblPrEx>
          <w:tblCellMar>
            <w:top w:w="0" w:type="dxa"/>
            <w:left w:w="108" w:type="dxa"/>
            <w:bottom w:w="0" w:type="dxa"/>
            <w:right w:w="108" w:type="dxa"/>
          </w:tblCellMar>
        </w:tblPrEx>
        <w:trPr>
          <w:trHeight w:val="480"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860D0">
            <w:pPr>
              <w:widowControl/>
              <w:ind w:firstLine="400"/>
              <w:jc w:val="left"/>
              <w:textAlignment w:val="center"/>
              <w:rPr>
                <w:rFonts w:hint="eastAsia" w:cs="宋体"/>
                <w:sz w:val="20"/>
                <w:szCs w:val="20"/>
              </w:rPr>
            </w:pPr>
            <w:r>
              <w:rPr>
                <w:rFonts w:hint="eastAsia" w:cs="宋体"/>
                <w:kern w:val="0"/>
                <w:sz w:val="20"/>
                <w:szCs w:val="20"/>
                <w:lang w:bidi="ar"/>
              </w:rPr>
              <w:t>35</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6FCB4">
            <w:pPr>
              <w:widowControl/>
              <w:ind w:firstLine="400"/>
              <w:jc w:val="left"/>
              <w:textAlignment w:val="center"/>
              <w:rPr>
                <w:rFonts w:hint="eastAsia" w:cs="宋体"/>
                <w:sz w:val="20"/>
                <w:szCs w:val="20"/>
              </w:rPr>
            </w:pPr>
            <w:r>
              <w:rPr>
                <w:rFonts w:hint="eastAsia" w:cs="宋体"/>
                <w:kern w:val="0"/>
                <w:sz w:val="20"/>
                <w:szCs w:val="20"/>
                <w:lang w:bidi="ar"/>
              </w:rPr>
              <w:t>智慧大屏（90寸，不含OPS）</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969DF">
            <w:pPr>
              <w:widowControl/>
              <w:ind w:firstLine="400"/>
              <w:jc w:val="left"/>
              <w:textAlignment w:val="center"/>
              <w:rPr>
                <w:rFonts w:hint="eastAsia" w:cs="宋体"/>
                <w:sz w:val="20"/>
                <w:szCs w:val="20"/>
              </w:rPr>
            </w:pPr>
            <w:r>
              <w:rPr>
                <w:rFonts w:hint="eastAsia" w:cs="宋体"/>
                <w:kern w:val="0"/>
                <w:sz w:val="20"/>
                <w:szCs w:val="20"/>
                <w:lang w:bidi="ar"/>
              </w:rPr>
              <w:t>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59BD">
            <w:pPr>
              <w:widowControl/>
              <w:ind w:firstLine="400"/>
              <w:jc w:val="left"/>
              <w:textAlignment w:val="center"/>
              <w:rPr>
                <w:rFonts w:hint="eastAsia" w:cs="宋体"/>
                <w:sz w:val="20"/>
                <w:szCs w:val="20"/>
              </w:rPr>
            </w:pPr>
            <w:r>
              <w:rPr>
                <w:rFonts w:hint="eastAsia" w:cs="宋体"/>
                <w:kern w:val="0"/>
                <w:sz w:val="20"/>
                <w:szCs w:val="20"/>
                <w:lang w:bidi="ar"/>
              </w:rPr>
              <w:t>1</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129DAD">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2D843BA6">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34144">
            <w:pPr>
              <w:widowControl/>
              <w:ind w:firstLine="400"/>
              <w:jc w:val="left"/>
              <w:textAlignment w:val="center"/>
              <w:rPr>
                <w:rFonts w:hint="eastAsia" w:cs="宋体"/>
                <w:sz w:val="20"/>
                <w:szCs w:val="20"/>
              </w:rPr>
            </w:pPr>
            <w:r>
              <w:rPr>
                <w:rFonts w:hint="eastAsia" w:cs="宋体"/>
                <w:kern w:val="0"/>
                <w:sz w:val="20"/>
                <w:szCs w:val="20"/>
                <w:lang w:bidi="ar"/>
              </w:rPr>
              <w:t>36</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8F6B">
            <w:pPr>
              <w:widowControl/>
              <w:ind w:firstLine="400"/>
              <w:jc w:val="left"/>
              <w:textAlignment w:val="center"/>
              <w:rPr>
                <w:rFonts w:hint="eastAsia" w:cs="宋体"/>
                <w:sz w:val="20"/>
                <w:szCs w:val="20"/>
              </w:rPr>
            </w:pPr>
            <w:r>
              <w:rPr>
                <w:rFonts w:hint="eastAsia" w:cs="宋体"/>
                <w:kern w:val="0"/>
                <w:sz w:val="20"/>
                <w:szCs w:val="20"/>
                <w:lang w:bidi="ar"/>
              </w:rPr>
              <w:t>互联黑板</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BAD1">
            <w:pPr>
              <w:widowControl/>
              <w:ind w:firstLine="400"/>
              <w:jc w:val="left"/>
              <w:textAlignment w:val="center"/>
              <w:rPr>
                <w:rFonts w:hint="eastAsia" w:cs="宋体"/>
                <w:sz w:val="20"/>
                <w:szCs w:val="20"/>
              </w:rPr>
            </w:pPr>
            <w:r>
              <w:rPr>
                <w:rFonts w:hint="eastAsia" w:cs="宋体"/>
                <w:kern w:val="0"/>
                <w:sz w:val="20"/>
                <w:szCs w:val="20"/>
                <w:lang w:bidi="ar"/>
              </w:rPr>
              <w:t>套</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8738">
            <w:pPr>
              <w:widowControl/>
              <w:ind w:firstLine="400"/>
              <w:jc w:val="left"/>
              <w:textAlignment w:val="center"/>
              <w:rPr>
                <w:rFonts w:hint="eastAsia" w:cs="宋体"/>
                <w:sz w:val="20"/>
                <w:szCs w:val="20"/>
              </w:rPr>
            </w:pPr>
            <w:r>
              <w:rPr>
                <w:rFonts w:hint="eastAsia" w:cs="宋体"/>
                <w:kern w:val="0"/>
                <w:sz w:val="20"/>
                <w:szCs w:val="20"/>
                <w:lang w:bidi="ar"/>
              </w:rPr>
              <w:t>4</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204F04">
            <w:pPr>
              <w:widowControl/>
              <w:ind w:firstLine="400"/>
              <w:jc w:val="left"/>
              <w:textAlignment w:val="bottom"/>
              <w:rPr>
                <w:rFonts w:hint="eastAsia" w:cs="宋体"/>
                <w:sz w:val="20"/>
                <w:szCs w:val="20"/>
              </w:rPr>
            </w:pPr>
            <w:r>
              <w:rPr>
                <w:rFonts w:hint="eastAsia" w:cs="宋体"/>
                <w:kern w:val="0"/>
                <w:sz w:val="20"/>
                <w:szCs w:val="20"/>
                <w:lang w:bidi="ar"/>
              </w:rPr>
              <w:t>3年</w:t>
            </w:r>
          </w:p>
        </w:tc>
      </w:tr>
      <w:tr w14:paraId="1A2F0B7C">
        <w:tblPrEx>
          <w:tblCellMar>
            <w:top w:w="0" w:type="dxa"/>
            <w:left w:w="108" w:type="dxa"/>
            <w:bottom w:w="0" w:type="dxa"/>
            <w:right w:w="108" w:type="dxa"/>
          </w:tblCellMar>
        </w:tblPrEx>
        <w:trPr>
          <w:trHeight w:val="264" w:hRule="atLeast"/>
        </w:trPr>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1180F">
            <w:pPr>
              <w:widowControl/>
              <w:ind w:firstLine="400"/>
              <w:jc w:val="left"/>
              <w:textAlignment w:val="center"/>
              <w:rPr>
                <w:rFonts w:hint="eastAsia" w:cs="宋体"/>
                <w:kern w:val="0"/>
                <w:sz w:val="20"/>
                <w:szCs w:val="20"/>
                <w:lang w:bidi="ar"/>
              </w:rPr>
            </w:pPr>
            <w:r>
              <w:rPr>
                <w:rFonts w:hint="eastAsia" w:cs="宋体"/>
                <w:kern w:val="0"/>
                <w:sz w:val="20"/>
                <w:szCs w:val="20"/>
                <w:lang w:bidi="ar"/>
              </w:rPr>
              <w:t>37</w:t>
            </w:r>
          </w:p>
        </w:tc>
        <w:tc>
          <w:tcPr>
            <w:tcW w:w="37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DF99">
            <w:pPr>
              <w:widowControl/>
              <w:ind w:firstLine="400"/>
              <w:jc w:val="left"/>
              <w:textAlignment w:val="center"/>
              <w:rPr>
                <w:rFonts w:hint="eastAsia" w:cs="宋体"/>
                <w:kern w:val="0"/>
                <w:sz w:val="20"/>
                <w:szCs w:val="20"/>
                <w:lang w:bidi="ar"/>
              </w:rPr>
            </w:pPr>
            <w:r>
              <w:rPr>
                <w:rFonts w:hint="eastAsia" w:cs="宋体"/>
                <w:kern w:val="0"/>
                <w:sz w:val="20"/>
                <w:szCs w:val="20"/>
                <w:lang w:bidi="ar"/>
              </w:rPr>
              <w:t>超大屏（150寸）</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DCDB">
            <w:pPr>
              <w:widowControl/>
              <w:ind w:firstLine="400"/>
              <w:jc w:val="left"/>
              <w:textAlignment w:val="center"/>
              <w:rPr>
                <w:rFonts w:hint="eastAsia" w:cs="宋体"/>
                <w:kern w:val="0"/>
                <w:sz w:val="20"/>
                <w:szCs w:val="20"/>
                <w:lang w:bidi="ar"/>
              </w:rPr>
            </w:pPr>
            <w:r>
              <w:rPr>
                <w:rFonts w:hint="eastAsia" w:cs="宋体"/>
                <w:kern w:val="0"/>
                <w:sz w:val="20"/>
                <w:szCs w:val="20"/>
                <w:lang w:bidi="ar"/>
              </w:rPr>
              <w:t>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832B">
            <w:pPr>
              <w:widowControl/>
              <w:ind w:firstLine="400"/>
              <w:jc w:val="left"/>
              <w:textAlignment w:val="center"/>
              <w:rPr>
                <w:rFonts w:hint="eastAsia" w:cs="宋体"/>
                <w:kern w:val="0"/>
                <w:sz w:val="20"/>
                <w:szCs w:val="20"/>
                <w:lang w:bidi="ar"/>
              </w:rPr>
            </w:pPr>
            <w:r>
              <w:rPr>
                <w:rFonts w:hint="eastAsia" w:cs="宋体"/>
                <w:kern w:val="0"/>
                <w:sz w:val="20"/>
                <w:szCs w:val="20"/>
                <w:lang w:bidi="ar"/>
              </w:rPr>
              <w:t xml:space="preserve">2 </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A7D8A5">
            <w:pPr>
              <w:widowControl/>
              <w:ind w:firstLine="400"/>
              <w:jc w:val="left"/>
              <w:textAlignment w:val="bottom"/>
              <w:rPr>
                <w:rFonts w:hint="eastAsia" w:cs="宋体"/>
                <w:kern w:val="0"/>
                <w:sz w:val="20"/>
                <w:szCs w:val="20"/>
                <w:lang w:bidi="ar"/>
              </w:rPr>
            </w:pPr>
            <w:r>
              <w:rPr>
                <w:rFonts w:hint="eastAsia" w:cs="宋体"/>
                <w:kern w:val="0"/>
                <w:sz w:val="20"/>
                <w:szCs w:val="20"/>
                <w:lang w:bidi="ar"/>
              </w:rPr>
              <w:t>3年</w:t>
            </w:r>
          </w:p>
        </w:tc>
      </w:tr>
    </w:tbl>
    <w:p w14:paraId="19D849D9">
      <w:pPr>
        <w:pStyle w:val="3"/>
        <w:rPr>
          <w:rFonts w:hint="eastAsia" w:cs="宋体"/>
        </w:rPr>
      </w:pPr>
      <w:bookmarkStart w:id="60" w:name="_Toc795333941"/>
      <w:bookmarkStart w:id="61" w:name="_Toc13789"/>
      <w:bookmarkStart w:id="62" w:name="_Toc834334184"/>
      <w:bookmarkStart w:id="63" w:name="_Toc1599847730"/>
      <w:bookmarkStart w:id="64" w:name="_Toc1832064527"/>
      <w:bookmarkStart w:id="65" w:name="_Toc1275832847"/>
      <w:bookmarkStart w:id="66" w:name="_Toc20149"/>
      <w:bookmarkStart w:id="67" w:name="_Toc1381370976"/>
      <w:bookmarkStart w:id="68" w:name="_Toc1266163613"/>
      <w:bookmarkStart w:id="69" w:name="_Toc935501086"/>
      <w:bookmarkStart w:id="70" w:name="_Toc2026104784"/>
      <w:bookmarkStart w:id="71" w:name="_Toc1973213620"/>
      <w:bookmarkStart w:id="72" w:name="_Toc927315018"/>
      <w:bookmarkStart w:id="73" w:name="_Toc1146901135"/>
      <w:bookmarkStart w:id="74" w:name="_Toc1747628539"/>
      <w:bookmarkStart w:id="75" w:name="_Toc1301591321"/>
      <w:bookmarkStart w:id="76" w:name="_Toc1999761984"/>
      <w:r>
        <w:rPr>
          <w:rFonts w:hint="eastAsia" w:cs="宋体"/>
        </w:rPr>
        <w:t>产品参数要求</w:t>
      </w:r>
      <w:bookmarkEnd w:id="60"/>
      <w:bookmarkEnd w:id="61"/>
      <w:bookmarkEnd w:id="62"/>
      <w:bookmarkEnd w:id="63"/>
      <w:bookmarkEnd w:id="64"/>
      <w:bookmarkEnd w:id="65"/>
      <w:bookmarkEnd w:id="66"/>
    </w:p>
    <w:p w14:paraId="1995CD58">
      <w:pPr>
        <w:pStyle w:val="4"/>
        <w:numPr>
          <w:ilvl w:val="1"/>
          <w:numId w:val="0"/>
        </w:numPr>
        <w:ind w:firstLine="600" w:firstLineChars="200"/>
        <w:rPr>
          <w:rFonts w:hint="eastAsia"/>
          <w:lang w:eastAsia="zh-Hans"/>
        </w:rPr>
      </w:pPr>
      <w:bookmarkStart w:id="77" w:name="_Toc26023"/>
      <w:bookmarkStart w:id="78" w:name="_Toc1733899225"/>
      <w:bookmarkStart w:id="79" w:name="_Toc1239327459"/>
      <w:bookmarkStart w:id="80" w:name="_Toc2145537670"/>
      <w:bookmarkStart w:id="81" w:name="_Toc298444234"/>
      <w:bookmarkStart w:id="82" w:name="_Toc887974603"/>
      <w:r>
        <w:t>3.1</w:t>
      </w:r>
      <w:r>
        <w:rPr>
          <w:rFonts w:hint="eastAsia"/>
        </w:rPr>
        <w:t>软件</w:t>
      </w:r>
      <w:bookmarkEnd w:id="77"/>
      <w:r>
        <w:rPr>
          <w:rFonts w:hint="eastAsia"/>
          <w:lang w:eastAsia="zh-Hans"/>
        </w:rPr>
        <w:t>产品</w:t>
      </w:r>
      <w:bookmarkEnd w:id="78"/>
      <w:r>
        <w:rPr>
          <w:rFonts w:hint="eastAsia"/>
          <w:lang w:eastAsia="zh-Hans"/>
        </w:rPr>
        <w:t>参数</w:t>
      </w:r>
      <w:bookmarkEnd w:id="79"/>
      <w:bookmarkEnd w:id="80"/>
      <w:bookmarkEnd w:id="81"/>
      <w:bookmarkEnd w:id="82"/>
    </w:p>
    <w:p w14:paraId="22F375B3">
      <w:pPr>
        <w:rPr>
          <w:rFonts w:hint="eastAsia"/>
        </w:rPr>
      </w:pPr>
    </w:p>
    <w:tbl>
      <w:tblPr>
        <w:tblStyle w:val="16"/>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492"/>
        <w:gridCol w:w="738"/>
        <w:gridCol w:w="6583"/>
      </w:tblGrid>
      <w:tr w14:paraId="4435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70F70780">
            <w:pPr>
              <w:ind w:firstLine="0" w:firstLineChars="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序号</w:t>
            </w:r>
          </w:p>
        </w:tc>
        <w:tc>
          <w:tcPr>
            <w:tcW w:w="1230" w:type="dxa"/>
            <w:gridSpan w:val="2"/>
            <w:shd w:val="clear" w:color="auto" w:fill="auto"/>
            <w:vAlign w:val="center"/>
          </w:tcPr>
          <w:p w14:paraId="4FE7B189">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系统名称</w:t>
            </w:r>
          </w:p>
        </w:tc>
        <w:tc>
          <w:tcPr>
            <w:tcW w:w="6583" w:type="dxa"/>
            <w:shd w:val="clear" w:color="auto" w:fill="auto"/>
            <w:vAlign w:val="center"/>
          </w:tcPr>
          <w:p w14:paraId="0692AE50">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参数要求</w:t>
            </w:r>
          </w:p>
        </w:tc>
      </w:tr>
      <w:tr w14:paraId="50D9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633329CB">
            <w:pPr>
              <w:ind w:firstLine="240" w:firstLineChars="10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w:t>
            </w:r>
          </w:p>
        </w:tc>
        <w:tc>
          <w:tcPr>
            <w:tcW w:w="1230" w:type="dxa"/>
            <w:gridSpan w:val="2"/>
            <w:shd w:val="clear" w:color="auto" w:fill="auto"/>
            <w:vAlign w:val="center"/>
          </w:tcPr>
          <w:p w14:paraId="3CD743D6">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系统保护还原卡</w:t>
            </w:r>
          </w:p>
        </w:tc>
        <w:tc>
          <w:tcPr>
            <w:tcW w:w="6583" w:type="dxa"/>
            <w:shd w:val="clear" w:color="auto" w:fill="auto"/>
            <w:vAlign w:val="center"/>
          </w:tcPr>
          <w:p w14:paraId="29524295">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支持B /S管理架构，可通过移动设备通过网页方式对机房进行远程管理，包括远程开关机、时间同步、系统切换、消息广播等操作(提供功能界面截图等供证明文件)</w:t>
            </w:r>
          </w:p>
          <w:p w14:paraId="53D11FCD">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支持对Ubuntu、Redhat、Centos、Fedora等系统的立即还原和ip地址自动分配</w:t>
            </w:r>
          </w:p>
          <w:p w14:paraId="18BDD4DD">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支持电脑本地硬盘操作系统（xp\win7\win8\win10\linux）的立即还原和还原点瞬间创建(提供功能界面截图等供证明文件)</w:t>
            </w:r>
          </w:p>
          <w:p w14:paraId="459BF083">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支持MBR分区系统和GPT分区系统混合安装,可支持60个以上的不同操作系统。</w:t>
            </w:r>
          </w:p>
          <w:p w14:paraId="0A669D59">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支持SSD硬盘和机械硬盘双硬盘保护模式和同传(提供功能界面截图等供证明文件)</w:t>
            </w:r>
          </w:p>
          <w:p w14:paraId="1DAF04F3">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支持从WINDOWS界面对1000台以上的电脑进行数据差异拷贝，非增量拷贝、变量拷贝、进度同步等上一代部署方式。根据网络状况可选择广播、组播、单播等方式（提供支持1000台机位的界面截图等供证明文件）</w:t>
            </w:r>
          </w:p>
          <w:p w14:paraId="5E5D98CB">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支持差异拷贝接收端网络环境检测，可检测接收端网卡连接速度，提前发现问题网点，排查处理影响差异拷贝的终端；(提供可检测接收端连接速度的功能界面截图等供证明文件)</w:t>
            </w:r>
          </w:p>
          <w:p w14:paraId="47BB9EA1">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支持操作系统分权管理，可分配不同的管理员管理不同的操作系统。(提供功能界面截图等供证明文件)</w:t>
            </w:r>
          </w:p>
          <w:p w14:paraId="03C15C23">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管理员可给教师单独分配用户名和密码，教师可凭此用户名和密码在教学的电脑上瞬间创建自己独立的备课系统，其他人员不可见，也不影响正常的教学系统</w:t>
            </w:r>
          </w:p>
          <w:p w14:paraId="2BF84F6E">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支持将当前的教学系统，无需新增分区的情况下瞬间复制一个不保护的系统，用于学生自主实验或计算机等级考试</w:t>
            </w:r>
          </w:p>
          <w:p w14:paraId="700C08F2">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支持文件夹穿透，可在当前保护的分区下设定一个开放的文件夹,保存更新设置，重启分区还原其它数据还原，此文件夹中的数据不还原。</w:t>
            </w:r>
          </w:p>
          <w:p w14:paraId="18C031E3">
            <w:pPr>
              <w:pStyle w:val="24"/>
              <w:numPr>
                <w:ilvl w:val="0"/>
                <w:numId w:val="3"/>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支持批量修改Windows用户登录名、计算机名和IP地址</w:t>
            </w:r>
          </w:p>
          <w:p w14:paraId="2046A29D">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支持硬件虚拟化功能，针对硬件识别码的软件可实现软件统一注册，大幅度降低激活软件带来的工作量；</w:t>
            </w:r>
          </w:p>
        </w:tc>
      </w:tr>
      <w:tr w14:paraId="1343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3713A7CD">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30" w:type="dxa"/>
            <w:gridSpan w:val="2"/>
            <w:shd w:val="clear" w:color="auto" w:fill="auto"/>
            <w:vAlign w:val="center"/>
          </w:tcPr>
          <w:p w14:paraId="08192C9B">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lang w:bidi="ar"/>
              </w:rPr>
              <w:t>监控接入（license）许可授权</w:t>
            </w:r>
          </w:p>
        </w:tc>
        <w:tc>
          <w:tcPr>
            <w:tcW w:w="6583" w:type="dxa"/>
            <w:shd w:val="clear" w:color="auto" w:fill="auto"/>
            <w:vAlign w:val="center"/>
          </w:tcPr>
          <w:p w14:paraId="48D0F493">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监控信号接入巡考平台的授权许可，实现设备注册、配置、实时浏览和录像功能。</w:t>
            </w:r>
          </w:p>
        </w:tc>
      </w:tr>
      <w:tr w14:paraId="1C96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200810F3">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492" w:type="dxa"/>
            <w:shd w:val="clear" w:color="auto" w:fill="auto"/>
            <w:vAlign w:val="center"/>
          </w:tcPr>
          <w:p w14:paraId="707EF1B9">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教学督导系统</w:t>
            </w:r>
          </w:p>
        </w:tc>
        <w:tc>
          <w:tcPr>
            <w:tcW w:w="738" w:type="dxa"/>
            <w:shd w:val="clear" w:color="auto" w:fill="auto"/>
            <w:vAlign w:val="center"/>
          </w:tcPr>
          <w:p w14:paraId="510C2FEE">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角色管理模块</w:t>
            </w:r>
          </w:p>
        </w:tc>
        <w:tc>
          <w:tcPr>
            <w:tcW w:w="6583" w:type="dxa"/>
            <w:shd w:val="clear" w:color="auto" w:fill="auto"/>
            <w:vAlign w:val="center"/>
          </w:tcPr>
          <w:p w14:paraId="5B97A2B0">
            <w:pPr>
              <w:pStyle w:val="24"/>
              <w:numPr>
                <w:ilvl w:val="0"/>
                <w:numId w:val="4"/>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校级、院级教学管理人员管理查询及管理督导人员督导权限授权有效期，支持发起用户授权有效期延期或缩短操作。支持有审批权限的系统管理员或上级领导对教学管理人员提交的有效期申请进行审批。审批通过后用户有效期则进行相应变更。</w:t>
            </w:r>
          </w:p>
          <w:p w14:paraId="634922FC">
            <w:pPr>
              <w:pStyle w:val="24"/>
              <w:numPr>
                <w:ilvl w:val="0"/>
                <w:numId w:val="4"/>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支持校级、院级教学管理人员进行指定人员级督导、院级督导权限申请操作，在审批通过后，相应人员即可被授予相应权限。</w:t>
            </w:r>
          </w:p>
          <w:p w14:paraId="07D010B7">
            <w:pPr>
              <w:pStyle w:val="24"/>
              <w:numPr>
                <w:ilvl w:val="0"/>
                <w:numId w:val="4"/>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系统应支持根据学校审批规定，按角色或人员配置审批人员。</w:t>
            </w:r>
          </w:p>
          <w:p w14:paraId="541DF6EC">
            <w:pPr>
              <w:pStyle w:val="24"/>
              <w:numPr>
                <w:ilvl w:val="0"/>
                <w:numId w:val="4"/>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应支持教学管理人员进行督导任务创建与维护。支持按院系维度或课程维度或教学班维度或老师维度建立符合不同教学管理需要的的督导任务，并分配给指定的督导人员或督导组。被指派的督导人员将获得对相应的课程进行督导权限。</w:t>
            </w:r>
          </w:p>
        </w:tc>
      </w:tr>
      <w:tr w14:paraId="0841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5BDD4D11">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492" w:type="dxa"/>
            <w:shd w:val="clear" w:color="auto" w:fill="auto"/>
            <w:vAlign w:val="center"/>
          </w:tcPr>
          <w:p w14:paraId="53E2763E">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教学督导系统</w:t>
            </w:r>
          </w:p>
        </w:tc>
        <w:tc>
          <w:tcPr>
            <w:tcW w:w="738" w:type="dxa"/>
            <w:shd w:val="clear" w:color="auto" w:fill="auto"/>
            <w:vAlign w:val="center"/>
          </w:tcPr>
          <w:p w14:paraId="31DF0609">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线下听课模块</w:t>
            </w:r>
          </w:p>
        </w:tc>
        <w:tc>
          <w:tcPr>
            <w:tcW w:w="6583" w:type="dxa"/>
            <w:shd w:val="clear" w:color="auto" w:fill="auto"/>
            <w:vAlign w:val="center"/>
          </w:tcPr>
          <w:p w14:paraId="53F7551E">
            <w:pPr>
              <w:pStyle w:val="24"/>
              <w:numPr>
                <w:ilvl w:val="0"/>
                <w:numId w:val="5"/>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具有线下听课功能，支持PC端纯表单评价功能，可通过用户查询教室号、课程名称、节次自动匹配课程信息，以减少用户输入，提高用户体验。</w:t>
            </w:r>
          </w:p>
          <w:p w14:paraId="52895589">
            <w:pPr>
              <w:pStyle w:val="24"/>
              <w:numPr>
                <w:ilvl w:val="0"/>
                <w:numId w:val="5"/>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具有在移动端进行纯表单评价功能，可通过用户查询教室号、课程名称、节次自动匹配课程信息，填写听课表单。</w:t>
            </w:r>
          </w:p>
          <w:p w14:paraId="79A34959">
            <w:pPr>
              <w:pStyle w:val="24"/>
              <w:numPr>
                <w:ilvl w:val="0"/>
                <w:numId w:val="5"/>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若临时调换课，查不到课程，允许督导自行输入课程名、教室号、周次、节次、任课教师、学院后提交。系统上创建一节未知课程，管理员手工匹配。若管理员不匹配，列入已督导日志，作为其他数据能导出。</w:t>
            </w:r>
          </w:p>
        </w:tc>
      </w:tr>
      <w:tr w14:paraId="1C38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62563F84">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492" w:type="dxa"/>
            <w:shd w:val="clear" w:color="auto" w:fill="auto"/>
            <w:vAlign w:val="center"/>
          </w:tcPr>
          <w:p w14:paraId="21CF9AE6">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教学督导系统</w:t>
            </w:r>
          </w:p>
        </w:tc>
        <w:tc>
          <w:tcPr>
            <w:tcW w:w="738" w:type="dxa"/>
            <w:shd w:val="clear" w:color="auto" w:fill="auto"/>
            <w:vAlign w:val="center"/>
          </w:tcPr>
          <w:p w14:paraId="34762B45">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移动端督导模块</w:t>
            </w:r>
          </w:p>
        </w:tc>
        <w:tc>
          <w:tcPr>
            <w:tcW w:w="6583" w:type="dxa"/>
            <w:shd w:val="clear" w:color="auto" w:fill="auto"/>
            <w:vAlign w:val="center"/>
          </w:tcPr>
          <w:p w14:paraId="3466B502">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支持移动端督导应用接入学校企业微信，便于学校听评课老师在移动端进行实时课程督导、课后回放督导，通过移动端查看课程教学画面，进行听课程、评价工作； </w:t>
            </w:r>
          </w:p>
          <w:p w14:paraId="633AD761">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移动端督导课程界面应包含：课程编号、课程名称、任课教师、开课院系、课程来源（本或研）、学期、上课开始时间等课程信息； </w:t>
            </w:r>
          </w:p>
          <w:p w14:paraId="63659348">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移动端支持搜索基本信息如：课程名称、授课教师名称、课程状态、课程来源、教学楼等进行选择，在完成所需的精确筛选条件录入后，点击[筛选]则进行过滤筛选，任务列表呈现筛选后的结果； </w:t>
            </w:r>
          </w:p>
          <w:p w14:paraId="4AD01257">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移动端具体展示用户权限内的课程任务功能。可查看权限内的督导任务。课程列表信息默认为本学期内未评价课程； </w:t>
            </w:r>
          </w:p>
          <w:p w14:paraId="2B5C5DA3">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移动端具有系统自动匹配合适的督导方案功能，便于用户进行督导，系统在用户进入督导详情页前，将根据用户的角色的类型和查看课程、专项任务中指定的课程来源(本科生、研究生)与课程开课院系，自动匹配方案。匹配的方案结果若只有一个，则跳过匹配方案选择页，直接进入督导详情页，匹配的方案结果若有多个，则用户进入匹配方案选择页，页面显示匹配的结果，点击需要的方案，进入督导详情页； </w:t>
            </w:r>
          </w:p>
          <w:p w14:paraId="1180FB60">
            <w:pPr>
              <w:pStyle w:val="24"/>
              <w:numPr>
                <w:ilvl w:val="0"/>
                <w:numId w:val="6"/>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移动端具备视角切换按</w:t>
            </w:r>
            <w:bookmarkStart w:id="225" w:name="_GoBack"/>
            <w:bookmarkEnd w:id="225"/>
            <w:r>
              <w:rPr>
                <w:rFonts w:hint="eastAsia" w:asciiTheme="minorEastAsia" w:hAnsiTheme="minorEastAsia" w:eastAsiaTheme="minorEastAsia" w:cstheme="minorEastAsia"/>
              </w:rPr>
              <w:t>钮，可切换查看不同的视角画面，在评价方案页面，可填写输入相应的评价结果。</w:t>
            </w:r>
          </w:p>
        </w:tc>
      </w:tr>
      <w:tr w14:paraId="0B5F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398C540B">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492" w:type="dxa"/>
            <w:shd w:val="clear" w:color="auto" w:fill="auto"/>
            <w:vAlign w:val="center"/>
          </w:tcPr>
          <w:p w14:paraId="578103E9">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督导系统</w:t>
            </w:r>
          </w:p>
        </w:tc>
        <w:tc>
          <w:tcPr>
            <w:tcW w:w="738" w:type="dxa"/>
            <w:shd w:val="clear" w:color="auto" w:fill="auto"/>
            <w:vAlign w:val="center"/>
          </w:tcPr>
          <w:p w14:paraId="0B7FDA4A">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专项任务模块</w:t>
            </w:r>
          </w:p>
        </w:tc>
        <w:tc>
          <w:tcPr>
            <w:tcW w:w="6583" w:type="dxa"/>
            <w:shd w:val="clear" w:color="auto" w:fill="auto"/>
            <w:vAlign w:val="center"/>
          </w:tcPr>
          <w:p w14:paraId="42E5F7CA">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应支持根据学校对部分课程的督导需求，由系统管理员建立专项任务，批量或个别授权课程给个别督导员或督导组，并设置任务有效期。用户登录督导系统后，在有效期内可看到此专项任务下的课程，并进行督导。</w:t>
            </w:r>
          </w:p>
        </w:tc>
      </w:tr>
      <w:tr w14:paraId="26E9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shd w:val="clear" w:color="auto" w:fill="auto"/>
            <w:vAlign w:val="center"/>
          </w:tcPr>
          <w:p w14:paraId="759461C6">
            <w:pPr>
              <w:ind w:left="240" w:leftChars="100" w:firstLine="240" w:firstLineChars="100"/>
              <w:rPr>
                <w:rFonts w:hint="eastAsia" w:asciiTheme="minorEastAsia" w:hAnsiTheme="minorEastAsia" w:eastAsiaTheme="minorEastAsia" w:cstheme="minorEastAsia"/>
              </w:rPr>
            </w:pPr>
            <w:bookmarkStart w:id="83" w:name="_Toc291184785"/>
            <w:r>
              <w:rPr>
                <w:rFonts w:hint="eastAsia" w:asciiTheme="minorEastAsia" w:hAnsiTheme="minorEastAsia" w:eastAsiaTheme="minorEastAsia" w:cstheme="minorEastAsia"/>
              </w:rPr>
              <w:t xml:space="preserve"> 7</w:t>
            </w:r>
          </w:p>
        </w:tc>
        <w:tc>
          <w:tcPr>
            <w:tcW w:w="1230" w:type="dxa"/>
            <w:gridSpan w:val="2"/>
            <w:shd w:val="clear" w:color="auto" w:fill="auto"/>
            <w:vAlign w:val="center"/>
          </w:tcPr>
          <w:p w14:paraId="5877ED07">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系统对接</w:t>
            </w:r>
          </w:p>
        </w:tc>
        <w:tc>
          <w:tcPr>
            <w:tcW w:w="6583" w:type="dxa"/>
            <w:shd w:val="clear" w:color="auto" w:fill="auto"/>
            <w:vAlign w:val="center"/>
          </w:tcPr>
          <w:p w14:paraId="0BCD0860">
            <w:pPr>
              <w:rPr>
                <w:rStyle w:val="19"/>
                <w:rFonts w:hint="eastAsia" w:asciiTheme="minorEastAsia" w:hAnsiTheme="minorEastAsia" w:eastAsiaTheme="minorEastAsia" w:cstheme="minorEastAsia"/>
                <w:b w:val="0"/>
              </w:rPr>
            </w:pPr>
            <w:r>
              <w:rPr>
                <w:rStyle w:val="19"/>
                <w:rFonts w:hint="eastAsia" w:asciiTheme="minorEastAsia" w:hAnsiTheme="minorEastAsia" w:eastAsiaTheme="minorEastAsia" w:cstheme="minorEastAsia"/>
                <w:b w:val="0"/>
              </w:rPr>
              <w:t xml:space="preserve">1）常态化录播系统要求对接学校单点登陆系统，师生进入系统采用学校统一身份认证后即可进入，无需多重账号管理，学生登陆后能看到本教学班课程的视频直播和点播，老师登陆后能看到自己授课课程的视频直播和点播。 </w:t>
            </w:r>
          </w:p>
          <w:p w14:paraId="53C714C1">
            <w:pPr>
              <w:rPr>
                <w:rStyle w:val="19"/>
                <w:rFonts w:hint="eastAsia" w:asciiTheme="minorEastAsia" w:hAnsiTheme="minorEastAsia" w:eastAsiaTheme="minorEastAsia" w:cstheme="minorEastAsia"/>
                <w:b w:val="0"/>
              </w:rPr>
            </w:pPr>
            <w:r>
              <w:rPr>
                <w:rStyle w:val="19"/>
                <w:rFonts w:hint="eastAsia" w:asciiTheme="minorEastAsia" w:hAnsiTheme="minorEastAsia" w:eastAsiaTheme="minorEastAsia" w:cstheme="minorEastAsia"/>
                <w:b w:val="0"/>
              </w:rPr>
              <w:t xml:space="preserve">2）常态化录播系统要求对接学校教务排课系统，通过数据中间库方式或者对接学校数据中台 API 接口，根据课表自动生成课程直播与回放。 </w:t>
            </w:r>
          </w:p>
          <w:p w14:paraId="17740DB4">
            <w:pPr>
              <w:rPr>
                <w:rStyle w:val="19"/>
                <w:rFonts w:hint="eastAsia" w:asciiTheme="minorEastAsia" w:hAnsiTheme="minorEastAsia" w:eastAsiaTheme="minorEastAsia" w:cstheme="minorEastAsia"/>
                <w:b w:val="0"/>
              </w:rPr>
            </w:pPr>
            <w:r>
              <w:rPr>
                <w:rStyle w:val="19"/>
                <w:rFonts w:hint="eastAsia" w:asciiTheme="minorEastAsia" w:hAnsiTheme="minorEastAsia" w:eastAsiaTheme="minorEastAsia" w:cstheme="minorEastAsia"/>
                <w:b w:val="0"/>
              </w:rPr>
              <w:t>3）智慧控制系统要求对接学校教务排课系统，通过数据中间库方式或者对接学校数据中台 API 接口，根据课表自动开启或关闭教室内设备。</w:t>
            </w:r>
          </w:p>
          <w:p w14:paraId="5A3E60D8">
            <w:pPr>
              <w:pStyle w:val="15"/>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4）在线督导系统要求对接学校单点登陆系统和教务排课系统，督导通过统一身份认证后能观看实时课程和课程回放。</w:t>
            </w:r>
          </w:p>
          <w:p w14:paraId="26162FFD">
            <w:pPr>
              <w:rPr>
                <w:rStyle w:val="19"/>
                <w:rFonts w:hint="eastAsia" w:asciiTheme="minorEastAsia" w:hAnsiTheme="minorEastAsia" w:eastAsiaTheme="minorEastAsia" w:cstheme="minorEastAsia"/>
                <w:b w:val="0"/>
              </w:rPr>
            </w:pPr>
            <w:r>
              <w:rPr>
                <w:rStyle w:val="19"/>
                <w:rFonts w:hint="eastAsia" w:asciiTheme="minorEastAsia" w:hAnsiTheme="minorEastAsia" w:eastAsiaTheme="minorEastAsia" w:cstheme="minorEastAsia"/>
                <w:b w:val="0"/>
              </w:rPr>
              <w:t>5）奉贤校区新建的巡考管理平台要求将现有金山校区标准化考试设施设备无缝接入</w:t>
            </w:r>
            <w:r>
              <w:rPr>
                <w:rFonts w:hint="eastAsia" w:asciiTheme="minorEastAsia" w:hAnsiTheme="minorEastAsia" w:eastAsiaTheme="minorEastAsia" w:cstheme="minorEastAsia"/>
              </w:rPr>
              <w:t>，须无缝对接原有数据资料，实现音视频资料无缝连接，支持在新建平台上调取、查看、下载原有教室数据录像</w:t>
            </w:r>
            <w:r>
              <w:rPr>
                <w:rStyle w:val="19"/>
                <w:rFonts w:hint="eastAsia" w:asciiTheme="minorEastAsia" w:hAnsiTheme="minorEastAsia" w:eastAsiaTheme="minorEastAsia" w:cstheme="minorEastAsia"/>
                <w:b w:val="0"/>
              </w:rPr>
              <w:t>，与上海市教育考试院互联互通。金山校区原有标准化考场采用SIP协议实现连接和业务控制（比如前端设备远程控制，音视频浏览和回放，前端设备报警等），音视频数据和控制传输协议同时遵守《国家教育考试网上巡查系统视频标准技术规范 （2017 版）》。</w:t>
            </w:r>
          </w:p>
          <w:p w14:paraId="3C3BB781">
            <w:pPr>
              <w:pStyle w:val="15"/>
              <w:ind w:left="0" w:leftChars="0" w:firstLine="48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6）智能控制平台对接部分：</w:t>
            </w:r>
          </w:p>
          <w:p w14:paraId="59FBAB59">
            <w:pPr>
              <w:pStyle w:val="15"/>
              <w:widowControl/>
              <w:adjustRightInd w:val="0"/>
              <w:snapToGrid w:val="0"/>
              <w:ind w:left="0" w:leftChars="0" w:firstLine="0" w:firstLineChars="0"/>
              <w:jc w:val="left"/>
              <w:textAlignment w:val="baseline"/>
              <w:rPr>
                <w:rFonts w:hint="eastAsia" w:asciiTheme="minorEastAsia" w:hAnsiTheme="minorEastAsia" w:eastAsiaTheme="minorEastAsia" w:cstheme="minorEastAsia"/>
              </w:rPr>
            </w:pPr>
            <w:r>
              <w:rPr>
                <w:rStyle w:val="19"/>
                <w:rFonts w:hint="eastAsia" w:asciiTheme="minorEastAsia" w:hAnsiTheme="minorEastAsia" w:eastAsiaTheme="minorEastAsia" w:cstheme="minorEastAsia"/>
                <w:b w:val="0"/>
              </w:rPr>
              <w:t>学院已建智能控制平台，此次新建融合信息终端、融合教学终端、电源控制器，此次新建设备新建的终端需无缝接入已建智能控制平台，实现对教室智能化远程控制与管理。</w:t>
            </w:r>
          </w:p>
        </w:tc>
      </w:tr>
    </w:tbl>
    <w:p w14:paraId="640FC8CB">
      <w:pPr>
        <w:pStyle w:val="4"/>
        <w:numPr>
          <w:ilvl w:val="1"/>
          <w:numId w:val="0"/>
        </w:numPr>
        <w:spacing w:before="0" w:after="0"/>
        <w:ind w:firstLine="300" w:firstLineChars="100"/>
        <w:jc w:val="left"/>
        <w:rPr>
          <w:rFonts w:hint="eastAsia"/>
          <w:lang w:eastAsia="zh-Hans"/>
        </w:rPr>
      </w:pPr>
      <w:bookmarkStart w:id="84" w:name="_Toc1577925093"/>
      <w:bookmarkStart w:id="85" w:name="_Toc1325289618"/>
      <w:bookmarkStart w:id="86" w:name="_Toc1653702913"/>
      <w:bookmarkStart w:id="87" w:name="_Toc932711160"/>
      <w:r>
        <w:rPr>
          <w:lang w:eastAsia="zh-Hans"/>
        </w:rPr>
        <w:t>3.2</w:t>
      </w:r>
      <w:r>
        <w:rPr>
          <w:rFonts w:hint="eastAsia"/>
          <w:lang w:eastAsia="zh-Hans"/>
        </w:rPr>
        <w:t>硬件设备产品</w:t>
      </w:r>
      <w:bookmarkEnd w:id="83"/>
      <w:bookmarkEnd w:id="84"/>
      <w:bookmarkEnd w:id="85"/>
      <w:bookmarkEnd w:id="86"/>
      <w:bookmarkEnd w:id="87"/>
    </w:p>
    <w:p w14:paraId="4C971094">
      <w:pPr>
        <w:pStyle w:val="5"/>
        <w:ind w:firstLine="602"/>
        <w:rPr>
          <w:rFonts w:hint="eastAsia"/>
          <w:sz w:val="30"/>
          <w:szCs w:val="30"/>
        </w:rPr>
      </w:pPr>
      <w:bookmarkStart w:id="88" w:name="_Toc1593326667"/>
      <w:bookmarkStart w:id="89" w:name="_Toc911481248"/>
      <w:r>
        <w:rPr>
          <w:sz w:val="30"/>
          <w:szCs w:val="30"/>
        </w:rPr>
        <w:t>3.2.1</w:t>
      </w:r>
      <w:r>
        <w:rPr>
          <w:rFonts w:hint="eastAsia"/>
          <w:sz w:val="30"/>
          <w:szCs w:val="30"/>
        </w:rPr>
        <w:t>标准化考场、云录播系统、教学督导系统设备参数</w:t>
      </w:r>
      <w:bookmarkEnd w:id="88"/>
      <w:bookmarkEnd w:id="89"/>
    </w:p>
    <w:tbl>
      <w:tblPr>
        <w:tblStyle w:val="16"/>
        <w:tblW w:w="8214" w:type="dxa"/>
        <w:tblInd w:w="96" w:type="dxa"/>
        <w:tblLayout w:type="fixed"/>
        <w:tblCellMar>
          <w:top w:w="0" w:type="dxa"/>
          <w:left w:w="108" w:type="dxa"/>
          <w:bottom w:w="0" w:type="dxa"/>
          <w:right w:w="108" w:type="dxa"/>
        </w:tblCellMar>
      </w:tblPr>
      <w:tblGrid>
        <w:gridCol w:w="719"/>
        <w:gridCol w:w="1293"/>
        <w:gridCol w:w="6202"/>
      </w:tblGrid>
      <w:tr w14:paraId="064C817C">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C8C4">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序号</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0096">
            <w:pPr>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设备名称</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5E39">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技术参数要求</w:t>
            </w:r>
          </w:p>
        </w:tc>
      </w:tr>
      <w:tr w14:paraId="2609F359">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1E2E">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A407">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2A电源适配器</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67CC">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教师半球和巡考半球摄像机电源DC12V/2A输出</w:t>
            </w:r>
          </w:p>
        </w:tc>
      </w:tr>
      <w:tr w14:paraId="1A700958">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6915">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3CF8">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3A电源适配器</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D6F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教师跟踪摄像机电源DC12V/3A输出</w:t>
            </w:r>
          </w:p>
        </w:tc>
      </w:tr>
      <w:tr w14:paraId="0031A087">
        <w:tblPrEx>
          <w:tblCellMar>
            <w:top w:w="0" w:type="dxa"/>
            <w:left w:w="108" w:type="dxa"/>
            <w:bottom w:w="0" w:type="dxa"/>
            <w:right w:w="108" w:type="dxa"/>
          </w:tblCellMar>
        </w:tblPrEx>
        <w:trPr>
          <w:trHeight w:val="9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3243F">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7653">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保密室NVR</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4E80">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设备应采具备网络视频接入能力≥16路；</w:t>
            </w:r>
          </w:p>
          <w:p w14:paraId="76BA8A8B">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视频解码：H.265、H.264；</w:t>
            </w:r>
          </w:p>
          <w:p w14:paraId="6D61F50C">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解码能力≥16路分辨率1920×1080 帧率25 fps视频图像；</w:t>
            </w:r>
          </w:p>
          <w:p w14:paraId="6202C59E">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支持8MP、6MP、5MP、3MP、1080P、UXGA、960P、720P、XGA、SVGA、D1、CIF、QCIF及以上录像分辨率；</w:t>
            </w:r>
          </w:p>
          <w:p w14:paraId="1F642CC5">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视频输出接口：2×HDMI、1×VGA；</w:t>
            </w:r>
          </w:p>
          <w:p w14:paraId="61164A65">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硬盘接口≥8×SATA接口；</w:t>
            </w:r>
          </w:p>
          <w:p w14:paraId="2F30F3D0">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支持IPV4、IPV6、HTTP、DNS、NTP、ONVIF、SMTP等网络协议；</w:t>
            </w:r>
          </w:p>
          <w:p w14:paraId="0406345B">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可进行RAID0、RAID1、RAID5、RAID10设置管理；</w:t>
            </w:r>
          </w:p>
          <w:p w14:paraId="7D13269A">
            <w:pPr>
              <w:pStyle w:val="24"/>
              <w:numPr>
                <w:ilvl w:val="0"/>
                <w:numId w:val="7"/>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支持硬盘热插拔；</w:t>
            </w:r>
          </w:p>
          <w:p w14:paraId="62BCCDD7">
            <w:pPr>
              <w:pStyle w:val="24"/>
              <w:numPr>
                <w:ilvl w:val="255"/>
                <w:numId w:val="0"/>
              </w:numPr>
              <w:ind w:left="48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▲需提供符合“国家教育考试网上巡查系统视频标准技术规范（2017版）”的检测报告复印件。</w:t>
            </w:r>
          </w:p>
        </w:tc>
      </w:tr>
      <w:tr w14:paraId="78FC8676">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1258">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6F66">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点播主机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4B1A">
            <w:pPr>
              <w:pStyle w:val="24"/>
              <w:numPr>
                <w:ilvl w:val="0"/>
                <w:numId w:val="8"/>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具备Intel Xeon Silver 4210 (10核/20线程，主频 2.2GHz,up to 3.2GHz，13.75MB 缓存)或</w:t>
            </w:r>
            <w:r>
              <w:rPr>
                <w:rFonts w:hint="eastAsia" w:asciiTheme="minorEastAsia" w:hAnsiTheme="minorEastAsia" w:eastAsiaTheme="minorEastAsia" w:cstheme="minorEastAsia"/>
                <w:lang w:eastAsia="zh-CN"/>
              </w:rPr>
              <w:t>同性能</w:t>
            </w:r>
            <w:r>
              <w:rPr>
                <w:rFonts w:hint="eastAsia" w:asciiTheme="minorEastAsia" w:hAnsiTheme="minorEastAsia" w:eastAsiaTheme="minorEastAsia" w:cstheme="minorEastAsia"/>
              </w:rPr>
              <w:t>CPU，至少128G内存，拥有高性能的处理能力；</w:t>
            </w:r>
          </w:p>
          <w:p w14:paraId="3607F1BA">
            <w:pPr>
              <w:pStyle w:val="24"/>
              <w:numPr>
                <w:ilvl w:val="0"/>
                <w:numId w:val="8"/>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应支持硬盘规格：1块2.4TB SAS/SATA接口机械硬盘，支持热插拔。具备容量至少960GB SSD固态硬盘；2个SFP+光接口，含光模块；</w:t>
            </w:r>
          </w:p>
          <w:p w14:paraId="69D131E0">
            <w:pPr>
              <w:pStyle w:val="24"/>
              <w:numPr>
                <w:ilvl w:val="0"/>
                <w:numId w:val="8"/>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软件指标：</w:t>
            </w:r>
          </w:p>
          <w:p w14:paraId="19735F41">
            <w:pPr>
              <w:pStyle w:val="24"/>
              <w:numPr>
                <w:ilvl w:val="255"/>
                <w:numId w:val="0"/>
              </w:numPr>
              <w:ind w:left="480"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（1）内置流媒体软件，根据课表时间自动生成点播视频，教学班师生能点播本教学班的课程视频；</w:t>
            </w:r>
          </w:p>
          <w:p w14:paraId="7A1A0445">
            <w:pPr>
              <w:pStyle w:val="24"/>
              <w:numPr>
                <w:ilvl w:val="255"/>
                <w:numId w:val="0"/>
              </w:numPr>
              <w:ind w:left="480"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（2）支持查看所有点播列表，查看视频及相关信息，可以通过时间、教师姓名、课程名称、院系、教室类型进行组合查询相应的点播视频。</w:t>
            </w:r>
          </w:p>
          <w:p w14:paraId="5322CC18">
            <w:pPr>
              <w:pStyle w:val="24"/>
              <w:numPr>
                <w:ilvl w:val="255"/>
                <w:numId w:val="0"/>
              </w:numPr>
              <w:ind w:left="480"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（3）支持点播资源统计功能，查看当前点播课程数、当前观看点播人数、历史点播课程数、历史观看点播人次等管理数据。</w:t>
            </w:r>
          </w:p>
        </w:tc>
      </w:tr>
      <w:tr w14:paraId="3B72BF8D">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F6398">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621B">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督导主机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A63C">
            <w:pPr>
              <w:pStyle w:val="24"/>
              <w:numPr>
                <w:ilvl w:val="0"/>
                <w:numId w:val="9"/>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具备Intel Xeon Silver 4210 (10核/20线程，主频 2.2GHz,up to 3.2GHz，13.75MB 缓存)或</w:t>
            </w:r>
            <w:r>
              <w:rPr>
                <w:rFonts w:hint="eastAsia" w:asciiTheme="minorEastAsia" w:hAnsiTheme="minorEastAsia" w:eastAsiaTheme="minorEastAsia" w:cstheme="minorEastAsia"/>
                <w:lang w:eastAsia="zh-CN"/>
              </w:rPr>
              <w:t>同性能</w:t>
            </w:r>
            <w:r>
              <w:rPr>
                <w:rFonts w:hint="eastAsia" w:asciiTheme="minorEastAsia" w:hAnsiTheme="minorEastAsia" w:eastAsiaTheme="minorEastAsia" w:cstheme="minorEastAsia"/>
              </w:rPr>
              <w:t xml:space="preserve">CPU，至少128G内存，拥有高性能的处理能力; </w:t>
            </w:r>
          </w:p>
          <w:p w14:paraId="15F23287">
            <w:pPr>
              <w:pStyle w:val="24"/>
              <w:numPr>
                <w:ilvl w:val="0"/>
                <w:numId w:val="9"/>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至少2块2.4TB SAS盘，1块960G SSD盘；2个SFP+光接口，含光模块； </w:t>
            </w:r>
          </w:p>
          <w:p w14:paraId="078919A5">
            <w:pPr>
              <w:spacing w:line="240" w:lineRule="auto"/>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3.软件指标：</w:t>
            </w:r>
          </w:p>
          <w:p w14:paraId="31A9960D">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（1）具有在上课的教室进行实时听评，对已经结束的课程进行课后听评功能。并且根据督导方案可以进行直观评价、建议。支持评价保存，将督导任务状态变为草稿；</w:t>
            </w:r>
          </w:p>
          <w:p w14:paraId="51EE32A9">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（2）具有拍照点评功能，抓拍教室多路视频画面并进行截图说明。同时也能上传本地图片作为拍照点评的补充；</w:t>
            </w:r>
          </w:p>
          <w:p w14:paraId="3A1A513D">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具有查看教室多视角画面功能，包括老师、学生、课件等画面，实现多画面灵活选看，支持对单画面的音频开关控制，支持单视角查看；具有画面水印功能，水印内容含观看人姓名、学号，便于找到视频泄露来源保障授课教师教学成果版权；</w:t>
            </w:r>
          </w:p>
          <w:p w14:paraId="1EAB74D1">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（4）具有在教室视频画面下方的页面显示授课老师、教学班信息、课程时间、开课院系、上课教室等信息功能；支持显示扩容AI后的选课学生数、线下学生数、线下出勤率；</w:t>
            </w:r>
          </w:p>
          <w:p w14:paraId="32AD3FBB">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p>
        </w:tc>
      </w:tr>
      <w:tr w14:paraId="04AAA6F2">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5D2A">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DF09">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高密度流媒体主机机箱</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40BF">
            <w:pPr>
              <w:pStyle w:val="24"/>
              <w:numPr>
                <w:ilvl w:val="0"/>
                <w:numId w:val="1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设备采用2U机框，至少支持4个计算节点。 </w:t>
            </w:r>
          </w:p>
          <w:p w14:paraId="041ECF7C">
            <w:pPr>
              <w:pStyle w:val="24"/>
              <w:numPr>
                <w:ilvl w:val="0"/>
                <w:numId w:val="1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设备需支持1+1电源冗余备份，设备运行工程中电源如有失效，可直接在线更换，系统在单个电源供电下仍可正常工作。</w:t>
            </w:r>
          </w:p>
          <w:p w14:paraId="2D0A7155">
            <w:pPr>
              <w:pStyle w:val="24"/>
              <w:numPr>
                <w:ilvl w:val="0"/>
                <w:numId w:val="1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设备采用全模块化无线缆设计，支持热插拔。</w:t>
            </w:r>
          </w:p>
        </w:tc>
      </w:tr>
      <w:tr w14:paraId="04E4AFCF">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35F5">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B9A4">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高速点播视频存储磁阵</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A6E9">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 19英寸标准机柜安装，组件化设计，风扇、电源、主板可插拔；</w:t>
            </w:r>
          </w:p>
          <w:p w14:paraId="47872CC9">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支持BBU电池保护模块，确保系统数据不丢失；</w:t>
            </w:r>
          </w:p>
          <w:p w14:paraId="27CDE354">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至少24盘位，支持SATA磁盘，支持硬盘混合使用，支持硬盘热插拔； </w:t>
            </w:r>
          </w:p>
          <w:p w14:paraId="2096CBDC">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支持N+M（跨节点，跨机柜）数据块冗余及副本冗余模式；</w:t>
            </w:r>
          </w:p>
          <w:p w14:paraId="54176F31">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至少1个千兆以太网口、1个万兆光口；</w:t>
            </w:r>
          </w:p>
          <w:p w14:paraId="22119474">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应配备至少144TB硬盘，硬盘为企业级硬盘，单块容量6TB，3.5寸、128MB缓存、7200rpm；</w:t>
            </w:r>
          </w:p>
          <w:p w14:paraId="1778DDF7">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支持H.264、H.265、MJPEG等多种视频编码格式数据的存储；</w:t>
            </w:r>
          </w:p>
          <w:p w14:paraId="12E80C93">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冗余保护模式，存储空间利用率≥80%；</w:t>
            </w:r>
          </w:p>
          <w:p w14:paraId="6B370D96">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支持NRU服务，实现视频录像、回放、检索以及录像文件的锁定，解锁等功能；</w:t>
            </w:r>
          </w:p>
          <w:p w14:paraId="3A111772">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支持通过Web界面实现对云存储集群中的硬件资源和软件组件进行统一的集中化管理和控制；</w:t>
            </w:r>
          </w:p>
          <w:p w14:paraId="3CBD563E">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支持扩展至数百PB级以上存储容量，容量随节点数平滑扩展，扩容过程业务系统不感知，存储业务不中断；</w:t>
            </w:r>
          </w:p>
          <w:p w14:paraId="46A25C98">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持在线扩/缩容；扩容模式下，支持即扩即用、直接添加硬盘或者添加存储节点的IP地址，系统存储空间即可快速自动扩容。支持选择数据均衡迁移或者不迁移策略，迁移策略下支持业务负载均衡，数据在存储节点及硬盘层面均达到负载均衡。 </w:t>
            </w:r>
          </w:p>
          <w:p w14:paraId="5DC7056A">
            <w:pPr>
              <w:pStyle w:val="24"/>
              <w:numPr>
                <w:ilvl w:val="0"/>
                <w:numId w:val="1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▲单台存储节点的读写性能不低于8Gbps或500路高清视频（码流4Mbps）（需提供检测报告复印件）</w:t>
            </w:r>
          </w:p>
          <w:p w14:paraId="37279750">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p>
        </w:tc>
      </w:tr>
      <w:tr w14:paraId="70DE57C2">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94036">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1314F">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混音主机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D676F">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可进行远程软件升级和参数配置；</w:t>
            </w:r>
          </w:p>
          <w:p w14:paraId="4165EEF5">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集成自动降噪技术（去除包含空调、排气扇等噪音干扰）,保证声音质量；</w:t>
            </w:r>
          </w:p>
          <w:p w14:paraId="7E8CFA7A">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6路差分输入，支持软硬件48V幻象供电开启关闭；</w:t>
            </w:r>
          </w:p>
          <w:p w14:paraId="0172137C">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3路Line-IN输入和3路Line-OUT输出；</w:t>
            </w:r>
          </w:p>
          <w:p w14:paraId="10622496">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6路平衡输入可做16段EQ处理；</w:t>
            </w:r>
          </w:p>
          <w:p w14:paraId="20224C3D">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智能混音功能，保证音质清晰干净；</w:t>
            </w:r>
          </w:p>
          <w:p w14:paraId="5ED3728C">
            <w:pPr>
              <w:pStyle w:val="24"/>
              <w:numPr>
                <w:ilvl w:val="0"/>
                <w:numId w:val="12"/>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回声消除功能：无线麦克风、吊麦的混音需要进行AEC处理，参考信号为远程音频信号；</w:t>
            </w:r>
          </w:p>
        </w:tc>
      </w:tr>
      <w:tr w14:paraId="4DF62838">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9AF68">
            <w:pPr>
              <w:ind w:left="417" w:leftChars="174"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DB0E">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剪辑主机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A3B8">
            <w:pPr>
              <w:pStyle w:val="24"/>
              <w:numPr>
                <w:ilvl w:val="0"/>
                <w:numId w:val="13"/>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具备Intel Xeon Silver 4210 (10核/20线程，主频 2.2GHz,up to 3.2GHz，13.75MB 缓存)或</w:t>
            </w:r>
            <w:r>
              <w:rPr>
                <w:rFonts w:hint="eastAsia" w:asciiTheme="minorEastAsia" w:hAnsiTheme="minorEastAsia" w:eastAsiaTheme="minorEastAsia" w:cstheme="minorEastAsia"/>
                <w:lang w:eastAsia="zh-CN"/>
              </w:rPr>
              <w:t>同性能</w:t>
            </w:r>
            <w:r>
              <w:rPr>
                <w:rFonts w:hint="eastAsia" w:asciiTheme="minorEastAsia" w:hAnsiTheme="minorEastAsia" w:eastAsiaTheme="minorEastAsia" w:cstheme="minorEastAsia"/>
              </w:rPr>
              <w:t xml:space="preserve">CPU，至少128G内存，拥有高性能的处理能力; </w:t>
            </w:r>
          </w:p>
          <w:p w14:paraId="6CEF9871">
            <w:pPr>
              <w:pStyle w:val="24"/>
              <w:numPr>
                <w:ilvl w:val="0"/>
                <w:numId w:val="13"/>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应支持硬盘规格：1块2.4TB SAS/SATA接口机械硬盘，支持热插拔。具备容量至少960GB SSD固态硬盘；2个SFP+光接口，含光模块；</w:t>
            </w:r>
          </w:p>
          <w:p w14:paraId="3EB815A5">
            <w:pPr>
              <w:pStyle w:val="24"/>
              <w:numPr>
                <w:ilvl w:val="0"/>
                <w:numId w:val="13"/>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软件指标：</w:t>
            </w:r>
          </w:p>
          <w:p w14:paraId="372338AD">
            <w:pPr>
              <w:pStyle w:val="24"/>
              <w:numPr>
                <w:ilvl w:val="255"/>
                <w:numId w:val="0"/>
              </w:numPr>
              <w:tabs>
                <w:tab w:val="left" w:pos="425"/>
              </w:tabs>
              <w:spacing w:before="163" w:beforeLines="50" w:after="163" w:afterLines="50" w:line="240" w:lineRule="auto"/>
              <w:ind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（1）支持视频资源剪辑设定，支持根据课表进行自动剪辑；应支持剪辑时间段设定、审核模式设定、发布设定、编辑权限设定等功能；</w:t>
            </w:r>
          </w:p>
          <w:p w14:paraId="5D42279A">
            <w:pPr>
              <w:pStyle w:val="24"/>
              <w:numPr>
                <w:ilvl w:val="255"/>
                <w:numId w:val="0"/>
              </w:numPr>
              <w:tabs>
                <w:tab w:val="left" w:pos="425"/>
              </w:tabs>
              <w:spacing w:before="163" w:beforeLines="50" w:after="163" w:afterLines="50" w:line="240" w:lineRule="auto"/>
              <w:ind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（2）内置流媒体软件，支持根据课表时间进行自动课程视频剪辑</w:t>
            </w:r>
          </w:p>
        </w:tc>
      </w:tr>
      <w:tr w14:paraId="1EAE2940">
        <w:tblPrEx>
          <w:tblCellMar>
            <w:top w:w="0" w:type="dxa"/>
            <w:left w:w="108" w:type="dxa"/>
            <w:bottom w:w="0" w:type="dxa"/>
            <w:right w:w="108" w:type="dxa"/>
          </w:tblCellMar>
        </w:tblPrEx>
        <w:trPr>
          <w:trHeight w:val="8232" w:hRule="exac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CE0C">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A9D2A">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教师半球摄像机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495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1.像素≥500W，主码流分辨率输出≥3072×1728，帧率30fps；</w:t>
            </w:r>
          </w:p>
          <w:p w14:paraId="754797A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2.红外照射距离≥ 50 m；</w:t>
            </w:r>
          </w:p>
          <w:p w14:paraId="5692C3B4">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4.信噪比≥50dB，宽动态能力≥110dB；</w:t>
            </w:r>
          </w:p>
          <w:p w14:paraId="576AB3F8">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5.视频编码标准：H.265/H.264/MJPEG，音频压缩标准：G.711a、AAC_LC；</w:t>
            </w:r>
          </w:p>
          <w:p w14:paraId="33871A4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6.支持数字降噪；</w:t>
            </w:r>
          </w:p>
          <w:p w14:paraId="610889FC">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7.支持32kbps～16Mbps视频码率可调。 </w:t>
            </w:r>
          </w:p>
          <w:p w14:paraId="1FA2611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8.网络接口：RJ45接口≥1，10M/100M自适应；</w:t>
            </w:r>
          </w:p>
          <w:p w14:paraId="337463D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9.外壳防护等级应≥IP66；</w:t>
            </w:r>
          </w:p>
          <w:p w14:paraId="1326DB7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▲10.支持AEC回声消除、混音录像功能（需提供检测机构出具的检测报告复印件）;</w:t>
            </w:r>
          </w:p>
          <w:p w14:paraId="54BE2C1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11.设备应支持移动侦测，遮挡报警，虚焦，检测声音异常等行为分析智能功能和网线断开等异常侦测功能。</w:t>
            </w:r>
          </w:p>
        </w:tc>
      </w:tr>
      <w:tr w14:paraId="5DBB8E3C">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4D40">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514B">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教师跟踪摄像机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450D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1.支持分辨率应≥3840*2160、帧率30fps；</w:t>
            </w:r>
          </w:p>
          <w:p w14:paraId="696DEA1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2.采用逐行扫描模式，有效像≥800万；</w:t>
            </w:r>
          </w:p>
          <w:p w14:paraId="38BB92E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3.视频编码标准：H.265/H.264/MJPEG，音频压缩标准：AAC；</w:t>
            </w:r>
          </w:p>
          <w:p w14:paraId="0F00B55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4.支持数字降噪；</w:t>
            </w:r>
          </w:p>
          <w:p w14:paraId="29398E44">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▲5.抗丢包能力≥10%（需提供检测机构出具的检测报告复印件）;</w:t>
            </w:r>
          </w:p>
          <w:p w14:paraId="2013A15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6.支持随动跟踪，通过单个无机械云台摄像机识别教师移动并进行自动跟踪；</w:t>
            </w:r>
          </w:p>
          <w:p w14:paraId="2C2264B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▲7.支持ANR断网续传功能，避免数据丢失和传输失败；（需提供检测机构出具的检测报告复印件）;</w:t>
            </w:r>
          </w:p>
          <w:p w14:paraId="3E7FC5C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8.网络接口：RJ45接口≥1，100/1000M自适应</w:t>
            </w:r>
          </w:p>
          <w:p w14:paraId="46D4688C">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9.支持不少于3路码流输出：全景流、跟踪流与板书流等；</w:t>
            </w:r>
          </w:p>
        </w:tc>
      </w:tr>
      <w:tr w14:paraId="12212B55">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C89A8">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E785">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教师拾音器</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ABF6">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频率响应 100Hz～16KHz</w:t>
            </w:r>
          </w:p>
          <w:p w14:paraId="5B28E39E">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灵敏度 -32dB</w:t>
            </w:r>
          </w:p>
          <w:p w14:paraId="4AB109C7">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输出阻抗 250Ω±30%</w:t>
            </w:r>
          </w:p>
          <w:p w14:paraId="04D0E7EB">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输出幅度 Max 300mV</w:t>
            </w:r>
          </w:p>
          <w:p w14:paraId="5D5DE6EE">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最大承受声压 139dB声压，1kHz于1%T.H.D</w:t>
            </w:r>
          </w:p>
          <w:p w14:paraId="76711A04">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动态范围 典型值115dB，1kHz于最高声压</w:t>
            </w:r>
          </w:p>
          <w:p w14:paraId="6BFFF852">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信噪比 &gt;=65dB</w:t>
            </w:r>
          </w:p>
          <w:p w14:paraId="55E65F25">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幻象供电 直流48V </w:t>
            </w:r>
          </w:p>
          <w:p w14:paraId="01DCE3F0">
            <w:pPr>
              <w:pStyle w:val="24"/>
              <w:numPr>
                <w:ilvl w:val="0"/>
                <w:numId w:val="14"/>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输出连接器 外置式3针卡侬公头XLR-3-12C</w:t>
            </w:r>
          </w:p>
        </w:tc>
      </w:tr>
      <w:tr w14:paraId="4A156BED">
        <w:tblPrEx>
          <w:tblCellMar>
            <w:top w:w="0" w:type="dxa"/>
            <w:left w:w="108" w:type="dxa"/>
            <w:bottom w:w="0" w:type="dxa"/>
            <w:right w:w="108" w:type="dxa"/>
          </w:tblCellMar>
        </w:tblPrEx>
        <w:trPr>
          <w:trHeight w:val="154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17C0">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3F041">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解码机箱</w:t>
            </w:r>
          </w:p>
        </w:tc>
        <w:tc>
          <w:tcPr>
            <w:tcW w:w="6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4965F">
            <w:pPr>
              <w:pStyle w:val="24"/>
              <w:numPr>
                <w:ilvl w:val="0"/>
                <w:numId w:val="15"/>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设备应采用嵌入式硬件设计，Linux系统；采用模块化设计，至少支持8个业务插槽,可扩充解码模块。</w:t>
            </w:r>
          </w:p>
          <w:p w14:paraId="51A9B385">
            <w:pPr>
              <w:pStyle w:val="24"/>
              <w:numPr>
                <w:ilvl w:val="0"/>
                <w:numId w:val="15"/>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设备应内置网络交换模块，至少支持1个千兆网口。</w:t>
            </w:r>
          </w:p>
          <w:p w14:paraId="7658DCA4">
            <w:pPr>
              <w:tabs>
                <w:tab w:val="left" w:pos="425"/>
              </w:tabs>
              <w:spacing w:before="163" w:beforeLines="50" w:after="163" w:afterLines="50" w:line="240" w:lineRule="auto"/>
              <w:ind w:firstLine="0" w:firstLineChars="0"/>
              <w:jc w:val="left"/>
              <w:rPr>
                <w:rFonts w:hint="eastAsia" w:asciiTheme="minorEastAsia" w:hAnsiTheme="minorEastAsia" w:eastAsiaTheme="minorEastAsia" w:cstheme="minorEastAsia"/>
              </w:rPr>
            </w:pPr>
          </w:p>
        </w:tc>
      </w:tr>
      <w:tr w14:paraId="393F098D">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A2FC0">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AB9E">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解码卡</w:t>
            </w:r>
          </w:p>
        </w:tc>
        <w:tc>
          <w:tcPr>
            <w:tcW w:w="6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2C88E">
            <w:pPr>
              <w:pStyle w:val="24"/>
              <w:numPr>
                <w:ilvl w:val="0"/>
                <w:numId w:val="16"/>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单块解码卡应支持不少于1路HDMI、1路VGA视频输出接口，1路Line in线性输入和1路Line out输出。</w:t>
            </w:r>
          </w:p>
          <w:p w14:paraId="0964C8AE">
            <w:pPr>
              <w:pStyle w:val="24"/>
              <w:numPr>
                <w:ilvl w:val="0"/>
                <w:numId w:val="16"/>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单块解码卡的解码性能应支持不少于1×4k（3840×2160@30fps分辨率）或8×1080P（1920×1080@30fps分辨率）。</w:t>
            </w:r>
          </w:p>
          <w:p w14:paraId="7A736D8F">
            <w:pPr>
              <w:pStyle w:val="24"/>
              <w:numPr>
                <w:ilvl w:val="0"/>
                <w:numId w:val="16"/>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设备应支持双向音频，实现现场拾音及语音对讲</w:t>
            </w:r>
          </w:p>
        </w:tc>
      </w:tr>
      <w:tr w14:paraId="28F85239">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30C7">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11DE">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考场拾音器</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47BE">
            <w:pPr>
              <w:pStyle w:val="24"/>
              <w:numPr>
                <w:ilvl w:val="0"/>
                <w:numId w:val="17"/>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拾音范围：5-150平方米</w:t>
            </w:r>
          </w:p>
          <w:p w14:paraId="3071128D">
            <w:pPr>
              <w:pStyle w:val="24"/>
              <w:numPr>
                <w:ilvl w:val="0"/>
                <w:numId w:val="17"/>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音频传输距离：＞1000米</w:t>
            </w:r>
          </w:p>
          <w:p w14:paraId="7CE16C7B">
            <w:pPr>
              <w:pStyle w:val="24"/>
              <w:numPr>
                <w:ilvl w:val="0"/>
                <w:numId w:val="17"/>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灵敏度：-30dB</w:t>
            </w:r>
          </w:p>
          <w:p w14:paraId="6F0BB2E7">
            <w:pPr>
              <w:pStyle w:val="24"/>
              <w:numPr>
                <w:ilvl w:val="0"/>
                <w:numId w:val="17"/>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频率响应：100Hz～16KHz</w:t>
            </w:r>
          </w:p>
          <w:p w14:paraId="2EDB2A73">
            <w:pPr>
              <w:pStyle w:val="24"/>
              <w:numPr>
                <w:ilvl w:val="0"/>
                <w:numId w:val="17"/>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指向特性：全指向性</w:t>
            </w:r>
          </w:p>
        </w:tc>
      </w:tr>
      <w:tr w14:paraId="56DAEBFD">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72361">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535CD">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日常存储（闵行）</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D31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1.支持WEB的配置管理功能，简单易用；</w:t>
            </w:r>
          </w:p>
          <w:p w14:paraId="33D7D62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2.支持 SATA 硬盘，支持硬盘热插拔；</w:t>
            </w:r>
          </w:p>
          <w:p w14:paraId="7A3E490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3.支持 RAID存储技术，保障业务数据；</w:t>
            </w:r>
          </w:p>
          <w:p w14:paraId="4283EB8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4.支持设备重启之后，RAID可以继续重建；</w:t>
            </w:r>
          </w:p>
          <w:p w14:paraId="59F07CF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5.具备2个10/100/1000M以太网接口；</w:t>
            </w:r>
          </w:p>
          <w:p w14:paraId="79F76D3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6.具备2个USB接口；</w:t>
            </w:r>
          </w:p>
          <w:p w14:paraId="2425D47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7.支持虚拟磁盘类型ISCSI、HTTP、FTP、NFS等存储协议；</w:t>
            </w:r>
          </w:p>
          <w:p w14:paraId="5A557C7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8.支持多级服务器集群、级联，方便系统的大规模运用和扩展；</w:t>
            </w:r>
          </w:p>
          <w:p w14:paraId="1C952F9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9.支持 1+1 冗余电源；</w:t>
            </w:r>
          </w:p>
          <w:p w14:paraId="224F4A1C">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10.含不少于64T企业级硬盘</w:t>
            </w:r>
          </w:p>
        </w:tc>
      </w:tr>
      <w:tr w14:paraId="335C3888">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1E41">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17</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792F">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日常存储（奉贤）</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C43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1.支持WEB的配置管理功能，简单易用；</w:t>
            </w:r>
          </w:p>
          <w:p w14:paraId="75BD1D2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2.支持 SATA 硬盘，支持硬盘热插拔；</w:t>
            </w:r>
          </w:p>
          <w:p w14:paraId="7315734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3.支持 RAID存储技术，保障业务数据；</w:t>
            </w:r>
          </w:p>
          <w:p w14:paraId="18F5727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4.支持动态调整RADI重建速度；</w:t>
            </w:r>
          </w:p>
          <w:p w14:paraId="1B3443A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5.具备2个10/100/1000M以太网接口；</w:t>
            </w:r>
          </w:p>
          <w:p w14:paraId="3F150988">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6.具备2个USB接口；</w:t>
            </w:r>
          </w:p>
          <w:p w14:paraId="251B7D6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▲7.录像和转发性能：写入能力≥1000Mbits/s 同时转发能力≥400Mbits/s。（需提供检测机构出具的检测报告复印件）; </w:t>
            </w:r>
          </w:p>
          <w:p w14:paraId="2AA6877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8.支持虚拟磁盘类型ISCSI、HTTP、FTP、NFS等存储协议；</w:t>
            </w:r>
          </w:p>
          <w:p w14:paraId="51A8097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9.支持多级服务器集群、级联，方便系统的大规模运用和扩展；</w:t>
            </w:r>
          </w:p>
          <w:p w14:paraId="36810D2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10.支持 1+1 冗余电源；</w:t>
            </w:r>
          </w:p>
          <w:p w14:paraId="0FE1631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11．含不少于144T企业级硬盘</w:t>
            </w:r>
          </w:p>
          <w:p w14:paraId="54A404E2">
            <w:pPr>
              <w:pStyle w:val="15"/>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tc>
      </w:tr>
      <w:tr w14:paraId="62E47000">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787E">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77BB">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网课终端</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6017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1.需具备≥1路HDMI输入接口、≥1路HDMI输出接口，且采集和输出分辨率均支持1080P@30fps；</w:t>
            </w:r>
          </w:p>
          <w:p w14:paraId="0C725B51">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2.音频需支持≥1路LINE IN；</w:t>
            </w:r>
          </w:p>
          <w:p w14:paraId="1A25F14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3.支持音频降噪，可配置降噪等级0，1，2，3； </w:t>
            </w:r>
          </w:p>
          <w:p w14:paraId="3CA68CE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4.需支持H.265/H.264的编码格式，最大支持1920×1080；</w:t>
            </w:r>
          </w:p>
          <w:p w14:paraId="5C7979A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5.需支持至少 1 路 USB 接口，用于外接 USB 设备；</w:t>
            </w:r>
          </w:p>
          <w:p w14:paraId="3B3BCFE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6.需支持G.711、G.722、AAC自适应音频编码格式；</w:t>
            </w:r>
          </w:p>
          <w:p w14:paraId="4E0129A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▲7.支持实时混音，可配置≥6路输入混音，同时提供1路音频输出；（需提供检测报告复印件）;</w:t>
            </w:r>
          </w:p>
          <w:p w14:paraId="1DA7434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8.支持多视频叠加模式，包括单画面、画中画、三分屏等； </w:t>
            </w:r>
          </w:p>
          <w:p w14:paraId="34CD0A2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▲9.支持通过UVC 接口模拟USBCamera 接入网上视频会议软件；（需提供检测机构出具的检测报告复印件）; </w:t>
            </w:r>
          </w:p>
          <w:p w14:paraId="390A802F">
            <w:pPr>
              <w:rPr>
                <w:rFonts w:hint="eastAsia" w:asciiTheme="minorEastAsia" w:hAnsiTheme="minorEastAsia" w:eastAsiaTheme="minorEastAsia" w:cstheme="minorEastAsia"/>
              </w:rPr>
            </w:pPr>
          </w:p>
        </w:tc>
      </w:tr>
      <w:tr w14:paraId="76FC6A28">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9A389">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19</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C26B">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信号屏蔽仪</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6241">
            <w:pPr>
              <w:numPr>
                <w:ilvl w:val="0"/>
                <w:numId w:val="18"/>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屏蔽面积:半径≤10M</w:t>
            </w:r>
          </w:p>
          <w:p w14:paraId="18A43A39">
            <w:pPr>
              <w:numPr>
                <w:ilvl w:val="0"/>
                <w:numId w:val="18"/>
              </w:numPr>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屏蔽信号频段50MHz-2700MHz、3300MHz-3600MHz、4800MHz-5825MHz，需屏蔽所有手机信号、无线电以及WIFI信号;</w:t>
            </w:r>
          </w:p>
          <w:p w14:paraId="6F5A51AE">
            <w:pPr>
              <w:numPr>
                <w:ilvl w:val="0"/>
                <w:numId w:val="18"/>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电源集中控制。</w:t>
            </w:r>
          </w:p>
        </w:tc>
      </w:tr>
      <w:tr w14:paraId="345A0F8B">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7ABD">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8864">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巡考半球摄像机</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3351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1.像素≥200W，主码流分辨率输出不低于1920×1080，帧率30fps；</w:t>
            </w:r>
          </w:p>
          <w:p w14:paraId="52A8F8F1">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2.红外照射距离≥ 30 m；</w:t>
            </w:r>
          </w:p>
          <w:p w14:paraId="37630ED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3.支持混音录像功能；</w:t>
            </w:r>
          </w:p>
          <w:p w14:paraId="6E3E21E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4.信噪比≥50dB，宽动态能力≥100dB；</w:t>
            </w:r>
          </w:p>
          <w:p w14:paraId="60A7912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5.视频编码标准：H.265/H.264/MJPEG，音频压缩标准：AAC；</w:t>
            </w:r>
          </w:p>
          <w:p w14:paraId="1778774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6.支持数字降噪；</w:t>
            </w:r>
          </w:p>
          <w:p w14:paraId="0384F78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7.支持32kbps～16Mbps视频码率可调。 </w:t>
            </w:r>
          </w:p>
          <w:p w14:paraId="1F17A405">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8.网络接口：RJ45接口≥1，10/100M自适应；</w:t>
            </w:r>
          </w:p>
          <w:p w14:paraId="68FC2855">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9.外壳防护等级应≥IP66；</w:t>
            </w:r>
          </w:p>
          <w:p w14:paraId="2CA440E3">
            <w:pPr>
              <w:rPr>
                <w:rFonts w:hint="eastAsia" w:asciiTheme="minorEastAsia" w:hAnsiTheme="minorEastAsia" w:eastAsiaTheme="minorEastAsia" w:cstheme="minorEastAsia"/>
              </w:rPr>
            </w:pPr>
          </w:p>
        </w:tc>
      </w:tr>
      <w:tr w14:paraId="6AA4D802">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217B">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71A8">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巡考管理平台（奉贤）</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0B2D">
            <w:pPr>
              <w:numPr>
                <w:ilvl w:val="0"/>
                <w:numId w:val="19"/>
              </w:numPr>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支持C/S客户端、B/S客户端访问；</w:t>
            </w:r>
          </w:p>
          <w:p w14:paraId="4712B2AF">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支持至少1000台设备的接入；</w:t>
            </w:r>
          </w:p>
          <w:p w14:paraId="335DCEA6">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支持平台级联组网；</w:t>
            </w:r>
          </w:p>
          <w:p w14:paraId="30CD7F70">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支持H.265、H.264编码前端自适应接入；</w:t>
            </w:r>
          </w:p>
          <w:p w14:paraId="569EA9F4">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解码分辨率：支持4K、QXGA（2048×1536）、1080P、UXGA、960P、720P、XGA、SVGA、D1、4CIF、2CIF、CIF、QVGA、QCIF、QQCIF等主流视频分辨率；</w:t>
            </w:r>
          </w:p>
          <w:p w14:paraId="1FEACD4F">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具备2个10/100/1000M以太网接口；</w:t>
            </w:r>
          </w:p>
          <w:p w14:paraId="0DD3171C">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具备2个USB接口；</w:t>
            </w:r>
          </w:p>
          <w:p w14:paraId="762A449E">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接入带宽≥300Mbps；</w:t>
            </w:r>
          </w:p>
          <w:p w14:paraId="4E974B1F">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▲9.支持当监控业务平台宕机或断网的情况下，录像业务具备较强可靠性不受任何影响，当平台恢复正常后数据不丢失；（需提供检测机构出具的检测报告复印件）;</w:t>
            </w:r>
          </w:p>
          <w:p w14:paraId="1D29C97E">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支持实况、回放、轮巡、电视墙、电子地图、语音对讲、报警联动等功能；</w:t>
            </w:r>
          </w:p>
          <w:p w14:paraId="6723A975">
            <w:pPr>
              <w:numPr>
                <w:ilvl w:val="0"/>
                <w:numId w:val="19"/>
              </w:numPr>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支持NTP时间服务器同步功能；</w:t>
            </w:r>
          </w:p>
          <w:p w14:paraId="5E28E0AB">
            <w:pPr>
              <w:pStyle w:val="24"/>
              <w:tabs>
                <w:tab w:val="left" w:pos="425"/>
              </w:tabs>
              <w:spacing w:before="163" w:beforeLines="50" w:after="163" w:afterLines="50" w:line="240" w:lineRule="auto"/>
              <w:ind w:left="425"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 支持与其他校区已建标准化考场互联互通，需提供对接方案或成功案例。</w:t>
            </w:r>
          </w:p>
          <w:p w14:paraId="613FE0ED">
            <w:pPr>
              <w:tabs>
                <w:tab w:val="left" w:pos="425"/>
              </w:tabs>
              <w:spacing w:before="163" w:beforeLines="50" w:after="163" w:afterLines="50" w:line="240" w:lineRule="auto"/>
              <w:ind w:firstLine="0" w:firstLineChars="0"/>
              <w:jc w:val="left"/>
              <w:rPr>
                <w:rFonts w:hint="eastAsia" w:asciiTheme="minorEastAsia" w:hAnsiTheme="minorEastAsia" w:eastAsiaTheme="minorEastAsia" w:cstheme="minorEastAsia"/>
              </w:rPr>
            </w:pPr>
          </w:p>
        </w:tc>
      </w:tr>
      <w:tr w14:paraId="726CDCE3">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C4DA">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D042">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巡考管理平台（闵行）</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77D9">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支持C/S客户端、B/S客户端访问；</w:t>
            </w:r>
          </w:p>
          <w:p w14:paraId="31E3B40C">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支持至少300台设备的接入；</w:t>
            </w:r>
          </w:p>
          <w:p w14:paraId="077EFFA3">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支持平台级联组网；</w:t>
            </w:r>
          </w:p>
          <w:p w14:paraId="2E21CA6F">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支持H.265、H.264编码前端自适应接入；</w:t>
            </w:r>
          </w:p>
          <w:p w14:paraId="615FE355">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解码分辨率：支持4K、QXGA（2048×1536）、1080P、UXGA、960P、720P、XGA、SVGA、D1、4CIF、2CIF、CIF、QVGA、QCIF、QQCIF等主流视频分辨率；</w:t>
            </w:r>
          </w:p>
          <w:p w14:paraId="36A11A02">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具备2个10/100/1000M以太网接口；</w:t>
            </w:r>
          </w:p>
          <w:p w14:paraId="5D6F884E">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具备2个USB接口；</w:t>
            </w:r>
          </w:p>
          <w:p w14:paraId="1ACD006A">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转发能力≥160Mbps；</w:t>
            </w:r>
          </w:p>
          <w:p w14:paraId="4595A173">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支持一机多屏功能，可同时展现多个业务界面，客户端可同时查看视频浏览、录像管理、电视墙和电子地图；</w:t>
            </w:r>
          </w:p>
          <w:p w14:paraId="185F826F">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支持实况、回放、轮巡、电视墙、电子地图、语音对讲、报警联动等功能；</w:t>
            </w:r>
          </w:p>
          <w:p w14:paraId="231BA502">
            <w:pPr>
              <w:pStyle w:val="24"/>
              <w:numPr>
                <w:ilvl w:val="0"/>
                <w:numId w:val="20"/>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支持NTP时间服务器同步功能</w:t>
            </w:r>
          </w:p>
          <w:p w14:paraId="7695F88B">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Songti SC Regular" w:hAnsi="Songti SC Regular" w:eastAsia="Songti SC Regular" w:cs="Songti SC Regular"/>
              </w:rPr>
              <w:t>▲需提供符合“国家教育考试网上巡查系统视频标准技术规范（2017版）”的检测报告复印件</w:t>
            </w:r>
          </w:p>
        </w:tc>
      </w:tr>
      <w:tr w14:paraId="75B3B5BC">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2DBFC">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4590">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云录播教室接入授权</w:t>
            </w:r>
          </w:p>
        </w:tc>
        <w:tc>
          <w:tcPr>
            <w:tcW w:w="6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782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实现教室接入云录播系统，实现教室管理、排课管理、课程安排、课程剪辑、直播资源管理、点播资源管理等功能。</w:t>
            </w:r>
          </w:p>
          <w:p w14:paraId="0E1278D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满足在这些教室上课的师生实现课程直播和课程点播应用</w:t>
            </w:r>
          </w:p>
        </w:tc>
      </w:tr>
      <w:tr w14:paraId="0F5F400C">
        <w:tblPrEx>
          <w:tblCellMar>
            <w:top w:w="0" w:type="dxa"/>
            <w:left w:w="108" w:type="dxa"/>
            <w:bottom w:w="0" w:type="dxa"/>
            <w:right w:w="108" w:type="dxa"/>
          </w:tblCellMar>
        </w:tblPrEx>
        <w:trPr>
          <w:trHeight w:val="4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EC61">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FB1D">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云录播平台</w:t>
            </w:r>
          </w:p>
        </w:tc>
        <w:tc>
          <w:tcPr>
            <w:tcW w:w="6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D5204">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具备Intel Xeon Silver 4210 (10核/20线程，主频 2.2GHz,up to 3.2GHz，13.75MB 缓存)或</w:t>
            </w:r>
            <w:r>
              <w:rPr>
                <w:rFonts w:hint="eastAsia" w:asciiTheme="minorEastAsia" w:hAnsiTheme="minorEastAsia" w:eastAsiaTheme="minorEastAsia" w:cstheme="minorEastAsia"/>
                <w:lang w:eastAsia="zh-CN"/>
              </w:rPr>
              <w:t>同性能</w:t>
            </w:r>
            <w:r>
              <w:rPr>
                <w:rFonts w:hint="eastAsia" w:asciiTheme="minorEastAsia" w:hAnsiTheme="minorEastAsia" w:eastAsiaTheme="minorEastAsia" w:cstheme="minorEastAsia"/>
              </w:rPr>
              <w:t xml:space="preserve">CPU，至少128G内存，拥有高性能的处理能力; </w:t>
            </w:r>
          </w:p>
          <w:p w14:paraId="0A502C10">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至少1块2.4TB SAS盘，1块960G SSD盘；2个SFP+光接口，含光模块；</w:t>
            </w:r>
          </w:p>
          <w:p w14:paraId="40B715AA">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软件指标：</w:t>
            </w:r>
          </w:p>
          <w:p w14:paraId="4AC6E8E8">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（1）▲应具备微服务架构，各微服务相互独立，应支持动态扩容，应支持集群、中间件、网关管理及高可用；应支持应用不中断的情况下，各微服务的升级（需提供经检测机构出具的检测报告复印件）；</w:t>
            </w:r>
          </w:p>
          <w:p w14:paraId="4BE1F76E">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（2）应具备 7×24 小时不间断运行的高可靠性，同时为保证系统安全可靠地运行，保证相关监测数据保密，维护数据相关方的合法权益，系统应具备良好的安全策略，安全手段，安全环境及安全管理措施； </w:t>
            </w:r>
          </w:p>
          <w:p w14:paraId="36DE070F">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（3）督导管理、巡课管理功能模块需复用教室已有教师摄像机和标准化考场学生摄像机，实现教室内多视角浏览。若有成功案例，需提供案例证明文件；</w:t>
            </w:r>
          </w:p>
          <w:p w14:paraId="7EC1AAF4">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（4）应具备移动端直播、点播应用，可通过手机及平板（安卓、iOS、鸿蒙）直点播；</w:t>
            </w:r>
          </w:p>
          <w:p w14:paraId="66C8510B">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（5）应具备在主流浏览器无插件的情况下，浏览直播、点播视频，应支持进行画面属性调节（亮度、 饱和度、对比度、色相），点播应具备倍速播放功能，应支持 1.25/1.5/2/4 等不同倍速播放选型； </w:t>
            </w:r>
          </w:p>
          <w:p w14:paraId="2DD9FD52">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应具备≥4 路视频流播放，应支持画面风格切换，可通过鼠标拖动的方式切换主画面，大小屏切换、 画面缩放、单通道静音； </w:t>
            </w:r>
          </w:p>
          <w:p w14:paraId="1ED802F7">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应具备访问权限的识别和控制功能，提供密码口令等安全保护措施，对系统管理员、数据库管理员及其他管理员必须授予不同级别的管理权限； </w:t>
            </w:r>
          </w:p>
          <w:p w14:paraId="5FF67ED7">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应具备对角色进行自定义应用授权管理，如直播、点播、查看、下载等； </w:t>
            </w:r>
          </w:p>
          <w:p w14:paraId="0E6CF864">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数据权限授权应具有按照用户的院系、角色、教学班属性或单个用户进行课程、课次授权； 应支持按照课程的院系、科目、授课老师、教学班属性授权给不同用户； </w:t>
            </w:r>
          </w:p>
          <w:p w14:paraId="0581D897">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应具有教学楼管理，应支持添加教学楼、编辑教学楼层数，便于以教学楼维度设置不同节次， 满足课程活动需求的灵活安排； </w:t>
            </w:r>
          </w:p>
          <w:p w14:paraId="615EDE89">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应支持快速更换门户 LOGO 与页尾信息及自定义主题颜色，便于满足学校个性化需求； </w:t>
            </w:r>
          </w:p>
          <w:p w14:paraId="0F8C2B21">
            <w:pPr>
              <w:pStyle w:val="24"/>
              <w:numPr>
                <w:ilvl w:val="0"/>
                <w:numId w:val="21"/>
              </w:numPr>
              <w:tabs>
                <w:tab w:val="left" w:pos="425"/>
              </w:tabs>
              <w:spacing w:before="163" w:beforeLines="50" w:after="163" w:afterLines="50" w:line="240" w:lineRule="auto"/>
              <w:ind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▲应具备通过 WebRTC、RTMP、RTSP、HLS、HTTP、HTML5、FLV 等协议进行音视频码流的传输，应支持浏览器无插件浏览直点播功能（需提供检测机构出具的检测报告复印件）</w:t>
            </w:r>
          </w:p>
        </w:tc>
      </w:tr>
    </w:tbl>
    <w:p w14:paraId="5428C288">
      <w:pPr>
        <w:ind w:firstLine="0" w:firstLineChars="0"/>
        <w:rPr>
          <w:rFonts w:hint="eastAsia"/>
        </w:rPr>
      </w:pPr>
    </w:p>
    <w:p w14:paraId="3ABBC1C2">
      <w:pPr>
        <w:pStyle w:val="5"/>
        <w:ind w:firstLine="643"/>
        <w:rPr>
          <w:rFonts w:hint="eastAsia"/>
        </w:rPr>
      </w:pPr>
      <w:bookmarkStart w:id="90" w:name="_Toc2067697826"/>
      <w:bookmarkStart w:id="91" w:name="_Toc1264481085"/>
      <w:r>
        <w:t>3.2.2</w:t>
      </w:r>
      <w:r>
        <w:rPr>
          <w:rFonts w:hint="eastAsia"/>
        </w:rPr>
        <w:t>智能融合信息终端设备参数</w:t>
      </w:r>
      <w:bookmarkEnd w:id="90"/>
      <w:bookmarkEnd w:id="91"/>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93"/>
        <w:gridCol w:w="6447"/>
      </w:tblGrid>
      <w:tr w14:paraId="715FC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50050DF6">
            <w:pPr>
              <w:ind w:firstLine="24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1293" w:type="dxa"/>
            <w:shd w:val="clear" w:color="auto" w:fill="auto"/>
            <w:vAlign w:val="center"/>
          </w:tcPr>
          <w:p w14:paraId="6CF57214">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触控86型电源控制器</w:t>
            </w:r>
          </w:p>
        </w:tc>
        <w:tc>
          <w:tcPr>
            <w:tcW w:w="6447" w:type="dxa"/>
            <w:shd w:val="clear" w:color="auto" w:fill="auto"/>
            <w:vAlign w:val="center"/>
          </w:tcPr>
          <w:p w14:paraId="1F264FB2">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1、标准触摸86型开关面板，通过无线方式与智能融合终端系统连接。220V AC电源输入，触控按键功能可自定义设置。</w:t>
            </w:r>
          </w:p>
          <w:p w14:paraId="1BCC1ED5">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2、通过平台软件远程监控每个电源输出的运行状态，对各教室的灯光、风扇、窗帘等用电设备进行实时通断电控制。可以对电源模块采用定时或手动的方式进行控制。</w:t>
            </w:r>
          </w:p>
          <w:p w14:paraId="00C78994">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3、内置能耗计量芯片，可实时检测用电设备运行状态并上报能耗数据。</w:t>
            </w:r>
          </w:p>
          <w:p w14:paraId="01F5AF1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4、电源控制盒可根据服务器预先设定的模式自动运行，无需人工到教室操作，实现智能自动控制，也可以通过平台软件远程手动控制。当配置有本地控制权限时，支持本地开关功能。</w:t>
            </w:r>
          </w:p>
          <w:p w14:paraId="494A9AF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5、支持授权用户可通过WEB、微信小程序等通信方式对所连接的用电设备（电灯、窗帘等）进行远程的手动单点、批量或定时的通断电动作。</w:t>
            </w:r>
          </w:p>
          <w:p w14:paraId="4E26B42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6、支持触控按键蜂鸣提示，LED双色灯红色/蓝色/无色分别指示关闭/打开/禁用或未配对状态。</w:t>
            </w:r>
          </w:p>
          <w:p w14:paraId="3DDA07EC">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7、支持≥2路电源独立输出，独立控制用电设备通断电。</w:t>
            </w:r>
          </w:p>
          <w:p w14:paraId="706EB4B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8、支持无线断链后，自动切换到本地操作状态。</w:t>
            </w:r>
          </w:p>
          <w:p w14:paraId="62178AF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9、支持两路电源或一路窗帘控制，配合本品牌空调控制器可实现两路空调设备的本地控制，支持平台统一集中/分组设备管理，支持设备自定义命名。</w:t>
            </w:r>
          </w:p>
          <w:p w14:paraId="3C3C5398">
            <w:pPr>
              <w:rPr>
                <w:rFonts w:hint="eastAsia" w:asciiTheme="minorEastAsia" w:hAnsiTheme="minorEastAsia" w:eastAsiaTheme="minorEastAsia" w:cstheme="minorEastAsia"/>
                <w:color w:val="auto"/>
              </w:rPr>
            </w:pPr>
          </w:p>
        </w:tc>
      </w:tr>
      <w:tr w14:paraId="7886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02F51457">
            <w:pPr>
              <w:ind w:firstLine="240"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p>
        </w:tc>
        <w:tc>
          <w:tcPr>
            <w:tcW w:w="1293" w:type="dxa"/>
            <w:shd w:val="clear" w:color="auto" w:fill="auto"/>
            <w:vAlign w:val="center"/>
          </w:tcPr>
          <w:p w14:paraId="0F1A01AF">
            <w:pPr>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吊麦</w:t>
            </w:r>
          </w:p>
        </w:tc>
        <w:tc>
          <w:tcPr>
            <w:tcW w:w="6447" w:type="dxa"/>
            <w:shd w:val="clear" w:color="auto" w:fill="auto"/>
            <w:vAlign w:val="center"/>
          </w:tcPr>
          <w:p w14:paraId="73BF534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1、类型：电容枪式传声器</w:t>
            </w:r>
          </w:p>
          <w:p w14:paraId="0DEA4D7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2、灵敏度：≤-30dB</w:t>
            </w:r>
          </w:p>
          <w:p w14:paraId="70ABA2E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3、信嗓比：≥66dB</w:t>
            </w:r>
          </w:p>
          <w:p w14:paraId="03965B3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4、频率响应：40-15000Hz</w:t>
            </w:r>
          </w:p>
          <w:p w14:paraId="3A36A719">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5、输出阻抗：800欧姆（平衡式）</w:t>
            </w:r>
          </w:p>
          <w:p w14:paraId="5DB53A8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6、指向性：超心形</w:t>
            </w:r>
          </w:p>
          <w:p w14:paraId="0C94369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7、电源：48V幻像供电</w:t>
            </w:r>
          </w:p>
          <w:p w14:paraId="2CFE68D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8、输出端口：三针XLR</w:t>
            </w:r>
          </w:p>
          <w:p w14:paraId="3708C5D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9、最高承受声压级：130dB</w:t>
            </w:r>
          </w:p>
          <w:p w14:paraId="669B8D3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10、规格：20*260MM</w:t>
            </w:r>
          </w:p>
        </w:tc>
      </w:tr>
      <w:tr w14:paraId="10D1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5A3096FC">
            <w:pPr>
              <w:ind w:firstLine="240"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Hans"/>
              </w:rPr>
              <w:t>3</w:t>
            </w:r>
          </w:p>
        </w:tc>
        <w:tc>
          <w:tcPr>
            <w:tcW w:w="1293" w:type="dxa"/>
            <w:shd w:val="clear" w:color="auto" w:fill="auto"/>
            <w:vAlign w:val="center"/>
          </w:tcPr>
          <w:p w14:paraId="151D2461">
            <w:pPr>
              <w:ind w:firstLine="0" w:firstLineChars="0"/>
              <w:rPr>
                <w:rFonts w:hint="eastAsia" w:asciiTheme="minorEastAsia" w:hAnsiTheme="minorEastAsia" w:eastAsiaTheme="minorEastAsia" w:cstheme="minorEastAsia"/>
                <w:color w:val="auto"/>
                <w:highlight w:val="none"/>
                <w:lang w:eastAsia="zh-Hans"/>
              </w:rPr>
            </w:pPr>
            <w:r>
              <w:rPr>
                <w:rFonts w:hint="eastAsia" w:asciiTheme="minorEastAsia" w:hAnsiTheme="minorEastAsia" w:eastAsiaTheme="minorEastAsia" w:cstheme="minorEastAsia"/>
                <w:color w:val="auto"/>
                <w:highlight w:val="none"/>
                <w:lang w:eastAsia="zh-Hans"/>
              </w:rPr>
              <w:t>融合信息终端</w:t>
            </w:r>
          </w:p>
        </w:tc>
        <w:tc>
          <w:tcPr>
            <w:tcW w:w="6447" w:type="dxa"/>
            <w:shd w:val="clear" w:color="auto" w:fill="auto"/>
            <w:vAlign w:val="center"/>
          </w:tcPr>
          <w:p w14:paraId="1A09671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1、机柜式终端，标准1U机架式设计，采用安卓操作系统。</w:t>
            </w:r>
          </w:p>
          <w:p w14:paraId="75C5C77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2、具备以下接口：</w:t>
            </w:r>
          </w:p>
          <w:p w14:paraId="3F82B4DE">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集成千兆交换机功能，具备4个RJ45网口，具备1路SFP光口，最大支持4组vlan划分</w:t>
            </w:r>
          </w:p>
          <w:p w14:paraId="146173CE">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集成2*60W数字功放。</w:t>
            </w:r>
          </w:p>
          <w:p w14:paraId="79A4606D">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具备2路3.5mm音频线性输入接口。</w:t>
            </w:r>
          </w:p>
          <w:p w14:paraId="32143773">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具备1路3.5mm音频线性输出。</w:t>
            </w:r>
          </w:p>
          <w:p w14:paraId="4CA00860">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具备2路幻象供电麦克风输入接口，支持配置幻象供电开启或关闭。</w:t>
            </w:r>
          </w:p>
          <w:p w14:paraId="326E1D4C">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具备2路RS232通信端口。</w:t>
            </w:r>
          </w:p>
          <w:p w14:paraId="4566BEF5">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具备4路USB通信接口。</w:t>
            </w:r>
          </w:p>
          <w:p w14:paraId="11B88863">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具备3路IO接口。</w:t>
            </w:r>
          </w:p>
          <w:p w14:paraId="6F54E719">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具备4*2 HDMI矩阵。</w:t>
            </w:r>
          </w:p>
          <w:p w14:paraId="27329F92">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具备2路HDMI高清输入接口。</w:t>
            </w:r>
          </w:p>
          <w:p w14:paraId="5C2076AF">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具备3路HDMI同源高清输出接口。</w:t>
            </w:r>
          </w:p>
          <w:p w14:paraId="6475FED3">
            <w:pPr>
              <w:numPr>
                <w:ilvl w:val="0"/>
                <w:numId w:val="22"/>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具备1路HDMI录播高清输出。</w:t>
            </w:r>
          </w:p>
          <w:p w14:paraId="14FC6588">
            <w:pPr>
              <w:rPr>
                <w:rFonts w:hint="eastAsia" w:asciiTheme="minorEastAsia" w:hAnsiTheme="minorEastAsia" w:eastAsiaTheme="minorEastAsia" w:cstheme="minorEastAsia"/>
                <w:strike/>
                <w:color w:val="auto"/>
                <w:highlight w:val="none"/>
              </w:rPr>
            </w:pPr>
            <w:r>
              <w:rPr>
                <w:rFonts w:hint="eastAsia" w:asciiTheme="minorEastAsia" w:hAnsiTheme="minorEastAsia" w:eastAsiaTheme="minorEastAsia" w:cstheme="minorEastAsia"/>
                <w:color w:val="auto"/>
                <w:highlight w:val="none"/>
              </w:rPr>
              <w:t>（</w:t>
            </w:r>
            <w:r>
              <w:rPr>
                <w:rFonts w:hint="eastAsia" w:eastAsiaTheme="minorEastAsia"/>
                <w:color w:val="auto"/>
                <w:highlight w:val="none"/>
              </w:rPr>
              <w:t>需提供CMA标识的检测报告扫描件，要求内容能体现满足上述参数要求</w:t>
            </w:r>
            <w:r>
              <w:rPr>
                <w:rFonts w:hint="eastAsia" w:asciiTheme="minorEastAsia" w:hAnsiTheme="minorEastAsia" w:eastAsiaTheme="minorEastAsia" w:cstheme="minorEastAsia"/>
                <w:color w:val="auto"/>
                <w:highlight w:val="none"/>
              </w:rPr>
              <w:t>。）</w:t>
            </w:r>
          </w:p>
          <w:p w14:paraId="31CFD6F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3、集成强电管理，采用防脱落电源插口，具备3路独立电源输出接口，1路电源输入。（提供防脱落电源插口截图等供证明文件）</w:t>
            </w:r>
          </w:p>
          <w:p w14:paraId="0D76A34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4、集成工业计算机，采用intel i5 CPU</w:t>
            </w:r>
            <w:r>
              <w:rPr>
                <w:rFonts w:hint="eastAsia" w:asciiTheme="minorEastAsia" w:hAnsiTheme="minorEastAsia" w:eastAsiaTheme="minorEastAsia" w:cstheme="minorEastAsia"/>
                <w:color w:val="auto"/>
                <w:highlight w:val="none"/>
                <w:lang w:eastAsia="zh-CN"/>
              </w:rPr>
              <w:t>或同性能</w:t>
            </w:r>
            <w:r>
              <w:rPr>
                <w:rFonts w:hint="eastAsia" w:asciiTheme="minorEastAsia" w:hAnsiTheme="minorEastAsia" w:eastAsiaTheme="minorEastAsia" w:cstheme="minorEastAsia"/>
                <w:color w:val="auto"/>
                <w:highlight w:val="none"/>
                <w:lang w:val="en-US" w:eastAsia="zh-CN"/>
              </w:rPr>
              <w:t>CPU</w:t>
            </w:r>
            <w:r>
              <w:rPr>
                <w:rFonts w:hint="eastAsia" w:asciiTheme="minorEastAsia" w:hAnsiTheme="minorEastAsia" w:eastAsiaTheme="minorEastAsia" w:cstheme="minorEastAsia"/>
                <w:color w:val="auto"/>
                <w:highlight w:val="none"/>
              </w:rPr>
              <w:t>，8GB内存，512GB MSATA SSD固态硬盘。具备4路电脑 USB接口。</w:t>
            </w:r>
          </w:p>
          <w:p w14:paraId="1B63146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具备网络中控功能，可以对灯光、风扇、窗帘等用电设备进行实时通断电控制。可以对电源模块采用定时或手动的方式进行控制，支持电教设备及物联设备的本地或远程控制。支持本地或远程参数配置，支持自定义场景模式（可联动设置电源、音频、物联打开/关闭及延时等）。</w:t>
            </w:r>
          </w:p>
          <w:p w14:paraId="4312173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6、集成物联网关功能，支持能耗数据上报。支持 MQTT协议，配合系统平台及小程序可远程对终端设备及物联模块进行手动、定时、集控管理。（需提供CMA标识的检测报告扫描件，要求内容能体现满足上述参数要求。）</w:t>
            </w:r>
          </w:p>
          <w:p w14:paraId="28129A5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7、具备音视频硬解码能力。</w:t>
            </w:r>
          </w:p>
          <w:p w14:paraId="6CB7B5E6">
            <w:pPr>
              <w:numPr>
                <w:ilvl w:val="0"/>
                <w:numId w:val="23"/>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具备平台推送的音视频广播播放功能。</w:t>
            </w:r>
          </w:p>
          <w:p w14:paraId="5ECA1E88">
            <w:pPr>
              <w:numPr>
                <w:ilvl w:val="0"/>
                <w:numId w:val="23"/>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可播放平台定时/手动广播任务。</w:t>
            </w:r>
          </w:p>
          <w:p w14:paraId="0B02297E">
            <w:pPr>
              <w:numPr>
                <w:ilvl w:val="0"/>
                <w:numId w:val="23"/>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支持HTTP、RTSP、TS、RTMP等主流流媒体协议。</w:t>
            </w:r>
          </w:p>
          <w:p w14:paraId="6CFE7155">
            <w:pPr>
              <w:numPr>
                <w:ilvl w:val="0"/>
                <w:numId w:val="23"/>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配合系统平台支持0-99级广播级别选择。</w:t>
            </w:r>
          </w:p>
          <w:p w14:paraId="784EAA4F">
            <w:pPr>
              <w:numPr>
                <w:ilvl w:val="0"/>
                <w:numId w:val="23"/>
              </w:numPr>
              <w:ind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支持智能终端在待机状态下接收系统平台预设的高清流媒体内容或在线电视节目进行自动播放，自动开启和关闭显示设备，实现智能自动播放的功能。</w:t>
            </w:r>
          </w:p>
          <w:p w14:paraId="7CE8903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（需提供CMA标识的检测报告扫描件，要求内容能体现满足上述参数要求。）</w:t>
            </w:r>
          </w:p>
          <w:p w14:paraId="00F136AC">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具备音视频编码和推流能力。配合系统平台实现直播课堂功能。可将本地教室的摄像头画面、电脑画面、话筒和电脑声音等编码后直播到其他教室和互联网。学生可通过扫码进入线上课堂。（需提供CMA标识的检测报告扫描件，要求内容能体现满足上述参数要求。）</w:t>
            </w:r>
          </w:p>
          <w:p w14:paraId="40CB09E0">
            <w:pPr>
              <w:ind w:left="60" w:firstLine="42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9、具备图文信息发布功能，智能终端在待机状态下接收系统平台预设的图文内容进行自动播放，自动开启显示设备，实现无人值守智能化图文信息发布功能。</w:t>
            </w:r>
          </w:p>
          <w:p w14:paraId="4846A25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通过配套触控显示器可完成一键开关机设备、音量调节、环境控制。支持IC卡刷卡、二维码反扫上课、IP对讲、画面预览等功能，具备无线麦克风语音接入及扩声能力。支持设备故障报修功能，待机状态下可显示设备联机网络信息、终端ID信息、运维电话等。</w:t>
            </w:r>
          </w:p>
          <w:p w14:paraId="58CF430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11、支持在线升级功能，可直接联网升级新版软件，支持版本信息查看，网络配置等功能。</w:t>
            </w:r>
          </w:p>
          <w:p w14:paraId="224BC980">
            <w:pPr>
              <w:pStyle w:val="15"/>
              <w:ind w:left="0" w:leftChars="0" w:firstLine="0" w:firstLineChars="0"/>
              <w:rPr>
                <w:rFonts w:hint="eastAsia"/>
                <w:color w:val="auto"/>
                <w:highlight w:val="none"/>
              </w:rPr>
            </w:pPr>
            <w:r>
              <w:rPr>
                <w:rFonts w:hint="eastAsia" w:asciiTheme="minorEastAsia" w:hAnsiTheme="minorEastAsia" w:eastAsiaTheme="minorEastAsia" w:cstheme="minorEastAsia"/>
                <w:color w:val="auto"/>
                <w:highlight w:val="none"/>
              </w:rPr>
              <w:t>12、需提供3C证书</w:t>
            </w:r>
          </w:p>
          <w:p w14:paraId="0BB0985D">
            <w:pPr>
              <w:pStyle w:val="15"/>
              <w:ind w:left="0" w:leftChars="0" w:firstLine="480" w:firstLineChars="200"/>
              <w:rPr>
                <w:rFonts w:hint="eastAsia"/>
                <w:color w:val="auto"/>
                <w:highlight w:val="none"/>
              </w:rPr>
            </w:pPr>
          </w:p>
        </w:tc>
      </w:tr>
      <w:tr w14:paraId="4E06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5D990DBA">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p>
        </w:tc>
        <w:tc>
          <w:tcPr>
            <w:tcW w:w="1293" w:type="dxa"/>
            <w:shd w:val="clear" w:color="auto" w:fill="auto"/>
            <w:vAlign w:val="center"/>
          </w:tcPr>
          <w:p w14:paraId="53B07BC6">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高保真教学音箱</w:t>
            </w:r>
          </w:p>
        </w:tc>
        <w:tc>
          <w:tcPr>
            <w:tcW w:w="6447" w:type="dxa"/>
            <w:shd w:val="clear" w:color="auto" w:fill="auto"/>
            <w:vAlign w:val="center"/>
          </w:tcPr>
          <w:p w14:paraId="348947A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1、室内壁挂式安装，角度可调节。</w:t>
            </w:r>
          </w:p>
          <w:p w14:paraId="118E9AA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2、高强度ABS工程环保塑料一次注塑成形。</w:t>
            </w:r>
          </w:p>
          <w:p w14:paraId="26CFA90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3、具备号角式结构设计、双导向管、音柱型箱体设计。</w:t>
            </w:r>
          </w:p>
          <w:p w14:paraId="07931E8C">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4、内置4×6寸椭圆形专业定制低音单元，94mm球顶高音单元、HIFI分频器。</w:t>
            </w:r>
          </w:p>
          <w:p w14:paraId="3207A785">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5、功率：60W，阻抗：8欧姆。</w:t>
            </w:r>
          </w:p>
          <w:p w14:paraId="6AB257CE">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6、频响：35HZ-18KHZ。</w:t>
            </w:r>
          </w:p>
          <w:p w14:paraId="56DF6668">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7、总谐波失真：低音喇叭＜5% ，高音喇叭＜3%。</w:t>
            </w:r>
          </w:p>
          <w:p w14:paraId="5368853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8、灵敏度：90±3dB。</w:t>
            </w:r>
          </w:p>
          <w:p w14:paraId="6BCA615F">
            <w:pPr>
              <w:rPr>
                <w:rFonts w:hint="eastAsia" w:asciiTheme="minorEastAsia" w:hAnsiTheme="minorEastAsia" w:eastAsiaTheme="minorEastAsia" w:cstheme="minorEastAsia"/>
                <w:color w:val="auto"/>
              </w:rPr>
            </w:pPr>
          </w:p>
        </w:tc>
      </w:tr>
      <w:tr w14:paraId="0E863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64848C55">
            <w:pPr>
              <w:ind w:firstLine="24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w:t>
            </w:r>
          </w:p>
        </w:tc>
        <w:tc>
          <w:tcPr>
            <w:tcW w:w="1293" w:type="dxa"/>
            <w:shd w:val="clear" w:color="auto" w:fill="auto"/>
            <w:vAlign w:val="center"/>
          </w:tcPr>
          <w:p w14:paraId="4C088E84">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物联电子时钟</w:t>
            </w:r>
          </w:p>
        </w:tc>
        <w:tc>
          <w:tcPr>
            <w:tcW w:w="6447" w:type="dxa"/>
            <w:shd w:val="clear" w:color="auto" w:fill="auto"/>
            <w:vAlign w:val="center"/>
          </w:tcPr>
          <w:p w14:paraId="7F503E88">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 通过2.4G无线通讯协议接入同品牌物联网关，自动同步系统平台时间，通过系统平台与互联网时间同步。实时显示年月日、星期、时、分、秒。</w:t>
            </w:r>
          </w:p>
          <w:p w14:paraId="447BECC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 内置高精度时钟芯片，单机运行误差小于3秒/周，自动校时误差小于2秒/周。</w:t>
            </w:r>
          </w:p>
          <w:p w14:paraId="6137746B">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 外框尺寸：690mmx210mmx30mm。显示尺寸：640mmx160mm。外框采用黑色超薄铝合金材料，LED采用SMD全彩灯珠。</w:t>
            </w:r>
          </w:p>
          <w:p w14:paraId="277A1CD1">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 配合系统平台可手动或定时息屏和亮屏。</w:t>
            </w:r>
          </w:p>
          <w:p w14:paraId="12B03FA4">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 供电方式：DC 12V/3A。</w:t>
            </w:r>
          </w:p>
        </w:tc>
      </w:tr>
      <w:tr w14:paraId="244A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4DBFF8F8">
            <w:pPr>
              <w:ind w:firstLine="24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w:t>
            </w:r>
          </w:p>
        </w:tc>
        <w:tc>
          <w:tcPr>
            <w:tcW w:w="1293" w:type="dxa"/>
            <w:shd w:val="clear" w:color="auto" w:fill="auto"/>
            <w:vAlign w:val="center"/>
          </w:tcPr>
          <w:p w14:paraId="58BF3123">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智能触控显示器</w:t>
            </w:r>
          </w:p>
        </w:tc>
        <w:tc>
          <w:tcPr>
            <w:tcW w:w="6447" w:type="dxa"/>
            <w:shd w:val="clear" w:color="auto" w:fill="auto"/>
            <w:vAlign w:val="center"/>
          </w:tcPr>
          <w:p w14:paraId="39CCECE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1、全触控≥23.8英寸显示终端，分辨率：≥1920x1080，支持多点触控，亮度:≥250 nits。（11）</w:t>
            </w:r>
          </w:p>
          <w:p w14:paraId="05A8FD96">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2、具备≥2路USB2.0接口；具备近场感应（正面1.5米内），检测亮屏功能，支持独立供电。</w:t>
            </w:r>
          </w:p>
          <w:p w14:paraId="3F1528A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3、具备物联网关功能，可接入同品牌无线麦克风，可接入最大30路同品牌2.4G无线物联模块，可接入至少2路同品牌无线电子时钟，通过配套主机及系统平台实现对接入的物联模块进行策略管理。</w:t>
            </w:r>
          </w:p>
          <w:p w14:paraId="29C55B3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4、具备二维码扫码摄像头，支持二维码反扫功能及二维码扫码开机；集成IC卡读卡器，支持刷卡开机。</w:t>
            </w:r>
          </w:p>
          <w:p w14:paraId="134A4BCB">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5、内置扬声器、拾音器，集成音频编解码功能，通过配套主机及系统平台实现远程IP对讲、语音监听等功能</w:t>
            </w:r>
          </w:p>
        </w:tc>
      </w:tr>
      <w:tr w14:paraId="56B6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0" w:type="dxa"/>
            <w:shd w:val="clear" w:color="auto" w:fill="auto"/>
            <w:vAlign w:val="center"/>
          </w:tcPr>
          <w:p w14:paraId="54106240">
            <w:pPr>
              <w:ind w:firstLine="24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lang w:bidi="ar"/>
              </w:rPr>
              <w:t>7</w:t>
            </w:r>
          </w:p>
        </w:tc>
        <w:tc>
          <w:tcPr>
            <w:tcW w:w="1293" w:type="dxa"/>
            <w:shd w:val="clear" w:color="auto" w:fill="auto"/>
            <w:vAlign w:val="center"/>
          </w:tcPr>
          <w:p w14:paraId="13960685">
            <w:pPr>
              <w:ind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lang w:bidi="ar"/>
              </w:rPr>
              <w:t>融合教学终端</w:t>
            </w:r>
          </w:p>
        </w:tc>
        <w:tc>
          <w:tcPr>
            <w:tcW w:w="6447" w:type="dxa"/>
            <w:shd w:val="clear" w:color="auto" w:fill="auto"/>
            <w:vAlign w:val="center"/>
          </w:tcPr>
          <w:p w14:paraId="7D84EAEA">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1、全触控≥23.8英寸显示终端，分辨率：≥1920x1080，支持多点触控，亮度:≥250 nits。（11）</w:t>
            </w:r>
          </w:p>
          <w:p w14:paraId="6F350199">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2、具备≥2路USB2.0接口；具备近场感应（正面1.5米内），检测亮屏功能，支持独立供电。</w:t>
            </w:r>
          </w:p>
          <w:p w14:paraId="5F8B4EAE">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3、具备物联网关功能，可接入同品牌无线麦克风，可接入最大30路同品牌2.4G无线物联模块，可接入至少2路同品牌无线电子时钟，通过配套主机及系统平台实现对接入的物联模块进行策略管理。</w:t>
            </w:r>
          </w:p>
          <w:p w14:paraId="7E564C0A">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4、具备二维码扫码摄像头，支持二维码反扫功能及二维码扫码开机；集成IC卡读卡器，支持刷卡开机。</w:t>
            </w:r>
          </w:p>
          <w:p w14:paraId="4FB00BE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5、内置扬声器、拾音器，集成音频编解码功能，通过配套主机及系统平台实现远程IP对讲、语音监听等功能。</w:t>
            </w:r>
          </w:p>
          <w:p w14:paraId="2FC46E1D">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配套教学升降台架：</w:t>
            </w:r>
          </w:p>
          <w:p w14:paraId="1DC10AEE">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1、尺寸：1100*700*730~1200/MM；</w:t>
            </w:r>
          </w:p>
          <w:p w14:paraId="11CD0F6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2、材料：桌面采用25mm中密度纤维板（颜色可选），桌面转角采用圆弧关怀设计，无棱角，防止</w:t>
            </w:r>
          </w:p>
          <w:p w14:paraId="02D39139">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撞伤；桌架主体采用钢制结构,桌脚安装4个高度可以调接的脚杯。</w:t>
            </w:r>
          </w:p>
          <w:p w14:paraId="0976E5CB">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3、参数：升降电机控制器输入功率100-200V</w:t>
            </w:r>
          </w:p>
          <w:p w14:paraId="315A4510">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4、功能：高度电动可调，采用至少2节升降立柱，桌面高度行程介于730MM~1200MM之间,带3组记忆高度功能的控制面板，可以预设至少3种不同的高度，并一键切换；讲桌最大承重不小于70kg。</w:t>
            </w:r>
          </w:p>
          <w:p w14:paraId="6F1836A4">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5、安装前挡板，挡板采用白色耐划木质材料，厚度为不少于16mm的高密度纤维板；</w:t>
            </w:r>
          </w:p>
          <w:p w14:paraId="0EF5193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6、讲桌上层预留显示器万向臂支架安装位，建议安装10-32寸显示器。配备显示器支架采用航空铝材制造，承重≤9KG，显示器任意角度可调。</w:t>
            </w:r>
          </w:p>
          <w:p w14:paraId="6BD631B8">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7、讲桌上层桌面安装嵌入式模块，内置方形电源插口*1、音频接口*1、USB接口*2、RJ45接口*1、HDMI接口*1，方便用户使用。</w:t>
            </w:r>
          </w:p>
          <w:p w14:paraId="133E43A7">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8、含NB两节式电脑支臂。上线蛇腹管</w:t>
            </w:r>
          </w:p>
        </w:tc>
      </w:tr>
    </w:tbl>
    <w:p w14:paraId="216C0DBD">
      <w:pPr>
        <w:rPr>
          <w:rFonts w:hint="eastAsia"/>
          <w:kern w:val="0"/>
          <w:szCs w:val="20"/>
          <w:lang w:eastAsia="zh-Hans"/>
        </w:rPr>
      </w:pPr>
      <w:r>
        <w:rPr>
          <w:rFonts w:hint="eastAsia" w:asciiTheme="minorEastAsia" w:hAnsiTheme="minorEastAsia" w:eastAsiaTheme="minorEastAsia" w:cstheme="minorEastAsia"/>
          <w:lang w:eastAsia="zh-Hans"/>
        </w:rPr>
        <w:br w:type="page"/>
      </w:r>
    </w:p>
    <w:p w14:paraId="4957BEFC">
      <w:pPr>
        <w:pStyle w:val="5"/>
        <w:ind w:firstLine="643"/>
        <w:rPr>
          <w:rFonts w:hint="eastAsia"/>
          <w:lang w:eastAsia="zh-Hans"/>
        </w:rPr>
      </w:pPr>
      <w:bookmarkStart w:id="92" w:name="_Toc635424883"/>
      <w:bookmarkStart w:id="93" w:name="_Toc1216985828"/>
      <w:bookmarkStart w:id="94" w:name="_Hlk177722483"/>
      <w:r>
        <w:t>3.2.3</w:t>
      </w:r>
      <w:r>
        <w:rPr>
          <w:rFonts w:hint="eastAsia"/>
        </w:rPr>
        <w:t>智慧大屏设备参数</w:t>
      </w:r>
      <w:bookmarkEnd w:id="92"/>
      <w:bookmarkEnd w:id="93"/>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176"/>
        <w:gridCol w:w="6164"/>
      </w:tblGrid>
      <w:tr w14:paraId="7F7C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4646B3A5">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序号</w:t>
            </w:r>
          </w:p>
        </w:tc>
        <w:tc>
          <w:tcPr>
            <w:tcW w:w="1176" w:type="dxa"/>
            <w:shd w:val="clear" w:color="auto" w:fill="auto"/>
            <w:vAlign w:val="center"/>
          </w:tcPr>
          <w:p w14:paraId="2166A293">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设备名称</w:t>
            </w:r>
          </w:p>
        </w:tc>
        <w:tc>
          <w:tcPr>
            <w:tcW w:w="6164" w:type="dxa"/>
            <w:shd w:val="clear" w:color="auto" w:fill="auto"/>
            <w:vAlign w:val="center"/>
          </w:tcPr>
          <w:p w14:paraId="7977AEE0">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技术参数要求</w:t>
            </w:r>
          </w:p>
        </w:tc>
      </w:tr>
      <w:tr w14:paraId="69D3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6FF316AB">
            <w:pPr>
              <w:ind w:firstLine="240" w:firstLineChars="10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w:t>
            </w:r>
          </w:p>
        </w:tc>
        <w:tc>
          <w:tcPr>
            <w:tcW w:w="1176" w:type="dxa"/>
            <w:shd w:val="clear" w:color="auto" w:fill="auto"/>
            <w:vAlign w:val="center"/>
          </w:tcPr>
          <w:p w14:paraId="5BB9824D">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55吋大屏</w:t>
            </w:r>
          </w:p>
        </w:tc>
        <w:tc>
          <w:tcPr>
            <w:tcW w:w="6164" w:type="dxa"/>
            <w:shd w:val="clear" w:color="auto" w:fill="auto"/>
            <w:vAlign w:val="center"/>
          </w:tcPr>
          <w:p w14:paraId="76C89844">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1、包含安装 屏显比例：16:9、分辨率：4K 尺寸：55英寸 高清屏幕  亮度(Min/Typ) 250/280nit对比度 5000:1(Typ)</w:t>
            </w:r>
          </w:p>
          <w:p w14:paraId="08864FCF">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屏体刷新率≥ 60HZ 响应速度≤ 2.5ms(Typ)</w:t>
            </w:r>
          </w:p>
          <w:p w14:paraId="23B06948">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灰度级 10bit(8bit+FRC) 屏色数 1.07G</w:t>
            </w:r>
          </w:p>
          <w:p w14:paraId="41C3A1A8">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色域 NTSC min68% 可视角度 H/V 60/60min</w:t>
            </w:r>
          </w:p>
          <w:p w14:paraId="091D9435">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背光方式 直下式  屏寿命 50000 Hr</w:t>
            </w:r>
          </w:p>
          <w:p w14:paraId="4ECB777D">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屏幕类型 VA 色彩模式 RGB</w:t>
            </w:r>
          </w:p>
          <w:p w14:paraId="6EB3E620">
            <w:pPr>
              <w:pStyle w:val="24"/>
              <w:numPr>
                <w:ilvl w:val="0"/>
                <w:numId w:val="24"/>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声音 伴音制式 D/K、1</w:t>
            </w:r>
          </w:p>
          <w:p w14:paraId="0690532A">
            <w:pPr>
              <w:tabs>
                <w:tab w:val="left" w:pos="425"/>
              </w:tabs>
              <w:spacing w:before="163" w:beforeLines="50" w:after="163" w:afterLines="50" w:line="240" w:lineRule="auto"/>
              <w:ind w:firstLine="0" w:firstLineChars="0"/>
              <w:jc w:val="left"/>
              <w:rPr>
                <w:rFonts w:hint="eastAsia" w:asciiTheme="majorEastAsia" w:hAnsiTheme="majorEastAsia" w:eastAsiaTheme="majorEastAsia" w:cstheme="majorEastAsia"/>
                <w:color w:val="auto"/>
              </w:rPr>
            </w:pPr>
          </w:p>
        </w:tc>
      </w:tr>
      <w:tr w14:paraId="1500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7" w:hRule="atLeast"/>
          <w:jc w:val="center"/>
        </w:trPr>
        <w:tc>
          <w:tcPr>
            <w:tcW w:w="848" w:type="dxa"/>
            <w:shd w:val="clear" w:color="auto" w:fill="auto"/>
            <w:vAlign w:val="center"/>
          </w:tcPr>
          <w:p w14:paraId="623387CC">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2</w:t>
            </w:r>
          </w:p>
        </w:tc>
        <w:tc>
          <w:tcPr>
            <w:tcW w:w="1176" w:type="dxa"/>
            <w:shd w:val="clear" w:color="auto" w:fill="auto"/>
            <w:vAlign w:val="center"/>
          </w:tcPr>
          <w:p w14:paraId="6DED8E79">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75吋大屏</w:t>
            </w:r>
          </w:p>
          <w:p w14:paraId="4D7FB157">
            <w:pPr>
              <w:rPr>
                <w:rFonts w:hint="eastAsia" w:asciiTheme="majorEastAsia" w:hAnsiTheme="majorEastAsia" w:eastAsiaTheme="majorEastAsia" w:cstheme="majorEastAsia"/>
                <w:color w:val="auto"/>
              </w:rPr>
            </w:pPr>
          </w:p>
        </w:tc>
        <w:tc>
          <w:tcPr>
            <w:tcW w:w="6164" w:type="dxa"/>
            <w:shd w:val="clear" w:color="auto" w:fill="auto"/>
            <w:vAlign w:val="center"/>
          </w:tcPr>
          <w:p w14:paraId="36C33A56">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1、包含安装 尺  寸：75 分辨率：4K 屏显比例：16:9屏与背光 屏显比例 16:09</w:t>
            </w:r>
          </w:p>
          <w:p w14:paraId="7AA1C603">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亮度(Min/Typ) 250/280nit对比度 5000:1(Typ)</w:t>
            </w:r>
          </w:p>
          <w:p w14:paraId="2B3659F3">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屏体刷新率≥ 60HZ 响应速度≤ 2.5ms(Typ)</w:t>
            </w:r>
          </w:p>
          <w:p w14:paraId="5F2598AA">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灰度级 10bit(8bit+FRC) 屏色数 1.07G</w:t>
            </w:r>
          </w:p>
          <w:p w14:paraId="405EA659">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色域 NTSC min68% 可视角度 H/V 60/60min</w:t>
            </w:r>
          </w:p>
          <w:p w14:paraId="0A207017">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背光方式 直下式  屏寿命 50000 Hr</w:t>
            </w:r>
          </w:p>
          <w:p w14:paraId="1978C7F9">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屏幕类型 VA 色彩模式 RGB</w:t>
            </w:r>
          </w:p>
          <w:p w14:paraId="499C55FA">
            <w:pPr>
              <w:pStyle w:val="24"/>
              <w:numPr>
                <w:ilvl w:val="0"/>
                <w:numId w:val="25"/>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声音 伴音制式 D/K、1</w:t>
            </w:r>
          </w:p>
          <w:p w14:paraId="0D9B2C58">
            <w:pPr>
              <w:pStyle w:val="24"/>
              <w:tabs>
                <w:tab w:val="left" w:pos="425"/>
              </w:tabs>
              <w:spacing w:before="163" w:beforeLines="50" w:after="163" w:afterLines="50" w:line="240" w:lineRule="auto"/>
              <w:ind w:firstLine="0" w:firstLineChars="0"/>
              <w:jc w:val="left"/>
              <w:rPr>
                <w:rFonts w:hint="eastAsia" w:asciiTheme="majorEastAsia" w:hAnsiTheme="majorEastAsia" w:eastAsiaTheme="majorEastAsia" w:cstheme="majorEastAsia"/>
                <w:color w:val="auto"/>
              </w:rPr>
            </w:pPr>
          </w:p>
        </w:tc>
      </w:tr>
      <w:tr w14:paraId="22BC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5CE7F154">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3</w:t>
            </w:r>
          </w:p>
        </w:tc>
        <w:tc>
          <w:tcPr>
            <w:tcW w:w="1176" w:type="dxa"/>
            <w:shd w:val="clear" w:color="auto" w:fill="auto"/>
            <w:vAlign w:val="center"/>
          </w:tcPr>
          <w:p w14:paraId="4921FD81">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智慧大屏（86吋，不含OPS）</w:t>
            </w:r>
          </w:p>
        </w:tc>
        <w:tc>
          <w:tcPr>
            <w:tcW w:w="6164" w:type="dxa"/>
            <w:shd w:val="clear" w:color="auto" w:fill="auto"/>
            <w:vAlign w:val="center"/>
          </w:tcPr>
          <w:p w14:paraId="38071D79">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智能交互大屏为平面结构设计，采用无推拉结构方式，正面书写区域支持水笔、普通粉笔、无尘粉笔等多种笔书写，手感流畅、摩擦力适度，笔记均匀、线条明显。</w:t>
            </w:r>
          </w:p>
          <w:p w14:paraId="04027C1C">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显示屏幕采用86英寸液晶面板（对角线），整体平面尺寸≥4200mm×1200mm，屏幕表面采用防眩钢化玻璃，表面硬度&gt;8H等级硬度。</w:t>
            </w:r>
          </w:p>
          <w:p w14:paraId="6E5FE6C8">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屏幕分辨率≥3840×2160，显示比例为16:9，触摸响应时间≤8ms，触摸最小识别物≤±4mm。</w:t>
            </w:r>
          </w:p>
          <w:p w14:paraId="702571BA">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支持任意通道下调取悬浮菜单，并切换完整模式和精简模式等不同风格，悬浮菜单中快捷工具可根据需要自定义</w:t>
            </w:r>
          </w:p>
          <w:p w14:paraId="6788DC23">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整机采用电容触摸感应方式，支持双系统Windows与Android13.0/Harmony4.0下30点同时触控及书写，触摸分辨率≥32768×32768，触摸响应≤4ms，触摸书写延迟≤30ms。</w:t>
            </w:r>
          </w:p>
          <w:p w14:paraId="08721664">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整机需内置不低于Android 13.0或Harmony4.0版本的操作系统，内存≥2GB，存储空间≥8GB。</w:t>
            </w:r>
          </w:p>
          <w:p w14:paraId="1BD1AE7B">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整机前置物理电源按键可实现电源及电脑开关、辅助电脑系统还原、节能息屏多键合一功能。</w:t>
            </w:r>
          </w:p>
          <w:p w14:paraId="561F6858">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前置按键：不少于5个自定义前置按键，可实现开关机、切换HDMI信号、音量+/-、护眼、屏幕下降等多种操作，满足个性化教学需要</w:t>
            </w:r>
          </w:p>
          <w:p w14:paraId="0DF2D2A3">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输入接口：不低于2路HDMI、1路RS232、3路USB接口；1路Type-C接口</w:t>
            </w:r>
          </w:p>
          <w:p w14:paraId="37876273">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输出接口：不低于1路音频输出、1路触控USB输出</w:t>
            </w:r>
          </w:p>
          <w:p w14:paraId="5FD8A832">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音频系统：内置音响功率&gt;55w；内置阵列麦克风不低于7个，拾音角度≥178°，拾音距离&gt;11m。</w:t>
            </w:r>
          </w:p>
          <w:p w14:paraId="15B97EE0">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色彩标准：支持sRGB等多种色彩模式，高色准显示△E&lt;1.2，满足教学素材的色彩显示准确性要求（需提供检测机构出具的检测报告复印件）;</w:t>
            </w:r>
          </w:p>
          <w:p w14:paraId="084522C2">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蓝牙：不低于Bluetooth 5.3，支持主动发现教学辅助设备。</w:t>
            </w:r>
          </w:p>
          <w:p w14:paraId="5F53159C">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网卡：内置双网卡，均不低于Wi-Fi6标准，支持整机及ops下实现无线网络链接和AP无线热点发射。</w:t>
            </w:r>
          </w:p>
          <w:p w14:paraId="1170F72A">
            <w:pPr>
              <w:numPr>
                <w:ilvl w:val="0"/>
                <w:numId w:val="26"/>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文件传输：内置文件传输应用，可通过蓝牙、WIFI、超声波等不少于三种方式与移动终端进行连接，多样化设备连接不受限。</w:t>
            </w:r>
          </w:p>
          <w:p w14:paraId="35C6B28B">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内置摄像头：至少具备一个广角摄像头和一组融合分析摄像头。像素&gt;1500万，视场角&gt;138度，输出画面分辨率&gt;4096×2160；融合摄像头组需具备AI功能，可实现人数统计、随机抽选等功能，方便日常教学；摄像头需满足不少于三种的教学活动同时开展，且不会因设备占用而限制教学。（需提供检测报告复印件）;</w:t>
            </w:r>
          </w:p>
        </w:tc>
      </w:tr>
      <w:tr w14:paraId="6C89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2AD877FB">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4</w:t>
            </w:r>
          </w:p>
        </w:tc>
        <w:tc>
          <w:tcPr>
            <w:tcW w:w="1176" w:type="dxa"/>
            <w:shd w:val="clear" w:color="auto" w:fill="auto"/>
            <w:vAlign w:val="center"/>
          </w:tcPr>
          <w:p w14:paraId="4D7FA8CE">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智慧大屏（90吋，不含OPS)</w:t>
            </w:r>
          </w:p>
        </w:tc>
        <w:tc>
          <w:tcPr>
            <w:tcW w:w="6164" w:type="dxa"/>
            <w:shd w:val="clear" w:color="auto" w:fill="auto"/>
            <w:vAlign w:val="center"/>
          </w:tcPr>
          <w:p w14:paraId="357BD1C2">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智能交互大屏为平面结构设计，采用无推拉结构方式，正面书写区域支持水笔、普通粉笔、无尘粉笔等多种笔书写，手感流畅、摩擦力适度，笔记均匀、线条明显。</w:t>
            </w:r>
          </w:p>
          <w:p w14:paraId="6A2AE108">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显示屏幕采用90英寸液晶面板（对角线），智慧大屏整体平面尺寸≥4200mm×1250mm，表面采用防眩光钢化玻璃；表面硬度&gt;8H等级硬度。副屏支持磁吸功能，可吸附常用教具，方便使用。</w:t>
            </w:r>
          </w:p>
          <w:p w14:paraId="0A07DCC8">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屏幕分辨率≥3840×2160，显示比例为16:9，触摸响应时间≤8ms，触摸最小识别物≤4mm</w:t>
            </w:r>
          </w:p>
          <w:p w14:paraId="6AAD9535">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支持任意通道下调取悬浮菜单，并切换完整模式和精简模式等不同风格，悬浮菜单中快捷工具可根据需要自定义</w:t>
            </w:r>
          </w:p>
          <w:p w14:paraId="20420712">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整机采用电容触摸感应方式，支持双系统Windows与Android13.0/Harmony4.0下20点同时触控及书写，触摸分辨率≥32768×32768，触摸书写延迟≤30ms。 </w:t>
            </w:r>
          </w:p>
          <w:p w14:paraId="2015F7D6">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整机需内置不低于Android 13.0或Harmony4.0版本的操作系统，内存≥2GB，存储空间≥8GB。（需提供检测机构出具的检测报告复印件）;</w:t>
            </w:r>
          </w:p>
          <w:p w14:paraId="05D18C5C">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整机前置物理电源按键可实现电源及电脑开关、辅助电脑系统还原、节能息屏多键合一功能。</w:t>
            </w:r>
          </w:p>
          <w:p w14:paraId="53026110">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前置按键：不少于5个自定义前置按键，可实现开关机、切换HDMI信号、音量+/-、护眼、屏幕下降等多种操作，满足个性化教学需要（需提供检测机构出具的检测报告复印件）;</w:t>
            </w:r>
          </w:p>
          <w:p w14:paraId="1D529322">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前置接口：不低于1路Type-C接口；不低于2路USB3.0接口。</w:t>
            </w:r>
          </w:p>
          <w:p w14:paraId="03E33D8C">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多功能Type-C接口：内置Type-C接口需支持文件传输、u盘读取、移动终端音视频输入、充电等功能，且充电功率不低于12w。（需提供检测机构出具的检测报告复印件）;</w:t>
            </w:r>
          </w:p>
          <w:p w14:paraId="3FBCCE32">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音频系统：音频系统：内置音响功率&gt;55w；内置阵列麦克风不低于7个，拾音角度≥178°，拾音距离&gt;11m。</w:t>
            </w:r>
          </w:p>
          <w:p w14:paraId="493F1FB1">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色彩标准：支持sRGB等多种色彩模式，高色准显示△E&lt;1.2，满足教学素材的色彩显示准确性要求</w:t>
            </w:r>
          </w:p>
          <w:p w14:paraId="15AFA6BD">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蓝牙：不低于Bluetooth 5.2，支持主动发现教学辅助设备</w:t>
            </w:r>
          </w:p>
          <w:p w14:paraId="0E9C678C">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网卡：内置双网卡，均不低于Wi-Fi5标准，支持整机及ops下实现无线网络链接和AP无线热点发射</w:t>
            </w:r>
          </w:p>
          <w:p w14:paraId="213D12E5">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文件传输：内置文件传输应用，可通过蓝牙、WIFI、超声波等不少于三种方式与移动终端进行连接，多样化设备连接不受限</w:t>
            </w:r>
          </w:p>
          <w:p w14:paraId="3F0A9509">
            <w:pPr>
              <w:numPr>
                <w:ilvl w:val="0"/>
                <w:numId w:val="27"/>
              </w:numPr>
              <w:ind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内置摄像头：至少具备一个广角摄像头和一组融合分析摄像头。像素&gt;1500万，视场角&gt;138度，输出画面分辨率&gt;4096×2160；融合摄像头组需具备AI功能，可实现人数统计、随机抽选等功能，方便日常教学；摄像头需满足不少于两种的教学活动同时开展，且不会因设备占用而限制教学。（需提供检测机构出具的检测报告复印件）;</w:t>
            </w:r>
          </w:p>
          <w:p w14:paraId="14045CCE">
            <w:pPr>
              <w:numPr>
                <w:ilvl w:val="0"/>
                <w:numId w:val="27"/>
              </w:numPr>
              <w:ind w:firstLineChars="0"/>
              <w:rPr>
                <w:rFonts w:hint="default" w:asciiTheme="majorEastAsia" w:hAnsiTheme="majorEastAsia" w:eastAsiaTheme="majorEastAsia" w:cstheme="majorEastAsia"/>
                <w:color w:val="auto"/>
                <w:lang w:val="en-US"/>
              </w:rPr>
            </w:pPr>
            <w:r>
              <w:rPr>
                <w:rFonts w:hint="eastAsia" w:asciiTheme="majorEastAsia" w:hAnsiTheme="majorEastAsia" w:eastAsiaTheme="majorEastAsia" w:cstheme="majorEastAsia"/>
                <w:color w:val="auto"/>
                <w:kern w:val="0"/>
              </w:rPr>
              <w:t>▲</w:t>
            </w:r>
            <w:r>
              <w:rPr>
                <w:rFonts w:hint="eastAsia" w:asciiTheme="majorEastAsia" w:hAnsiTheme="majorEastAsia" w:eastAsiaTheme="majorEastAsia" w:cstheme="majorEastAsia"/>
                <w:color w:val="auto"/>
              </w:rPr>
              <w:t>设备上边框内置非独立摄像头，采用一体化集成设计，摄像头数量≥2个（需提供检测报告复印件）</w:t>
            </w:r>
            <w:r>
              <w:rPr>
                <w:rFonts w:hint="eastAsia" w:asciiTheme="majorEastAsia" w:hAnsiTheme="majorEastAsia" w:eastAsiaTheme="majorEastAsia" w:cstheme="majorEastAsia"/>
                <w:color w:val="auto"/>
                <w:lang w:val="en-US" w:eastAsia="zh-CN"/>
              </w:rPr>
              <w:t>。</w:t>
            </w:r>
          </w:p>
          <w:p w14:paraId="2880B413">
            <w:pPr>
              <w:rPr>
                <w:rFonts w:hint="eastAsia" w:asciiTheme="majorEastAsia" w:hAnsiTheme="majorEastAsia" w:eastAsiaTheme="majorEastAsia" w:cstheme="majorEastAsia"/>
                <w:color w:val="auto"/>
              </w:rPr>
            </w:pPr>
          </w:p>
        </w:tc>
      </w:tr>
      <w:tr w14:paraId="1E0C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615A12C8">
            <w:pPr>
              <w:ind w:firstLine="240" w:firstLineChars="10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5</w:t>
            </w:r>
          </w:p>
        </w:tc>
        <w:tc>
          <w:tcPr>
            <w:tcW w:w="1176" w:type="dxa"/>
            <w:shd w:val="clear" w:color="auto" w:fill="auto"/>
            <w:vAlign w:val="center"/>
          </w:tcPr>
          <w:p w14:paraId="578F6A95">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互联黑板</w:t>
            </w:r>
          </w:p>
        </w:tc>
        <w:tc>
          <w:tcPr>
            <w:tcW w:w="6164" w:type="dxa"/>
            <w:shd w:val="clear" w:color="auto" w:fill="auto"/>
            <w:vAlign w:val="center"/>
          </w:tcPr>
          <w:p w14:paraId="33F8AD7F">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1、结构规格</w:t>
            </w:r>
          </w:p>
          <w:p w14:paraId="6624B308">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结构：由升降互联黑板可配合150寸LED使用，中间为LED屏，两侧为一组互联升降板，可上下升降，外框和轨道一体化设计；升降结构在黑板竖框内面，不外露；采用优质滑道，封闭式防尘轴承，钢丝绳式升降；书写板下边框配有通长拉手，方便书写板上下推拉。升降板边框装有智能板书数字化系统，可同时在相连的触控设备上同步显示板书内容（并且一侧设有板书功能键，可删除、修改、保存等多项功能）。</w:t>
            </w:r>
          </w:p>
          <w:p w14:paraId="28F52834">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黑板下方设有粉笔槽，粉笔槽和黑板下框镶嵌式连接， 整体美观。</w:t>
            </w:r>
          </w:p>
          <w:p w14:paraId="601414C0">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单组规格：总约高2200mm×长2000mm，由两块同等大小可上下交替的书写板和配套产品组装而成，整体外径可根据学校实际情况进行适当调整，满足教学使用。</w:t>
            </w:r>
          </w:p>
          <w:p w14:paraId="7D6CFCFC">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2、书写面板</w:t>
            </w:r>
          </w:p>
          <w:p w14:paraId="59325DAF">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材质采用进口搪瓷板面，基板厚度≥0.35mm，整板无拼接；颜色：墨绿色、亚光，表面附有透明保护膜；硬度：涂层硬度≥8H；光泽度：光泽度＜8%；使用寿命：面板正常使用寿命≥3年。</w:t>
            </w:r>
          </w:p>
          <w:p w14:paraId="7C40F270">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3、边框型材</w:t>
            </w:r>
          </w:p>
          <w:p w14:paraId="62A1BA28">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材质：采用高级亚光铝合金型材，表面氧化、磨砂涂层处理，模具一次成型；内边框：竖边框36mm×29mm，下边框56mm×29mm，封闭管状，内加助筋，增加有效书写面积，提高书写板挺度；竖边框规格105mm×55mm，竖框外有护板，外框和轨道一体化设计，有效提高产品使用的安全性，可有效保护内置轨道，使轨道不会受到外力撞击而导致变形。保证使用者安全；书写板固定要考虑到墙体的特殊性，保证书写板安装牢固可靠；符合GB28231-2011《书写板安全卫生要求》。</w:t>
            </w:r>
          </w:p>
          <w:p w14:paraId="716F79F4">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4、配套软件登录模式：</w:t>
            </w:r>
          </w:p>
          <w:p w14:paraId="5CA67548">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（1）本地模式： 支持板书与显示设备同步显示，可本地化对板书、电子课件和教师语音进行录制、并支持本地指定位置归档存储；本地回看时一侧板书、一侧课件，可通过PPT索引页，快速定位到想要观看的内容，无需拖动进度条，提高重点回看及复习的效率；</w:t>
            </w:r>
          </w:p>
          <w:p w14:paraId="78EE3DDE">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（2）网络模式：在支持本地模式的基础上，课间系统可识别用户身份，讲解的板书及知识重点和课件内容均会自动同步教师网络空间和学校平台形成校本资源库； 并且有效杜绝非授权人员使用，在网络上产生违法违规的有害信息，及占用学校的网络空间和流量消耗；</w:t>
            </w:r>
          </w:p>
          <w:p w14:paraId="66C8715F">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（3）支持系统：支持Win7或Win7以上系统。</w:t>
            </w:r>
          </w:p>
          <w:p w14:paraId="32B22FF1">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（4）启动系统：可自动检测黑板数量、网络、话筒、正常与否，并提供异常解决方案；</w:t>
            </w:r>
          </w:p>
          <w:p w14:paraId="78E5EFA3">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（5）同步显示：基于普通黑板、普通白板等任何书写面，将普通粉笔或白板笔实时数字化，自动生成带原笔迹电子化板书，还原老师重要的板书内容，将书写的内容时时同步到教学显示屏上，实现数字化。</w:t>
            </w:r>
          </w:p>
          <w:p w14:paraId="28273E2C">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（6）微信分享功能：</w:t>
            </w:r>
          </w:p>
          <w:p w14:paraId="0488DE80">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微信扫描二维码或是输入课堂号进入课堂并显示签到的学生人数，可实现实时截取显示屏上的内容，形成课堂个性化笔记进行保存，并支持微信分享课程，将课程带走，（也支持课程自动跟随班级，学生无需扫码，下课或回到家中，也可以查看到隶属自我课程内容）均实现随时查看，随时进行复习；</w:t>
            </w:r>
          </w:p>
          <w:p w14:paraId="11CC970A">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图片上传：支持老师将实时拍照的图片（学生作业、教学素材等）上传到屏幕，供全班快速学习，交流。在老师同意的情况下，也支持所有班级的学生通过智能设备将各自的内容上传到屏幕，作为小组研讨交流，并支持教师选择性，或对违规不健康的图片不予以课中放大展示，能够及时关闭的功能；</w:t>
            </w:r>
          </w:p>
          <w:p w14:paraId="70CB197F">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（7）更换书写背景颜色：可以设置页面颜色背景白色、绿色、蓝、黑。更换深色背景色后系统自动识别，并切换默认笔迹的颜色为白色，避免教师再设置笔迹色；</w:t>
            </w:r>
          </w:p>
          <w:p w14:paraId="3A9E0630">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（8） 录课功能：通过安装客户端软件，可以对黑板板书、电子课件和教师语音进行录制，实现微录播功能，避免了教师对肖像权的争议，而且每堂课的存储大小平均50M以内。</w:t>
            </w:r>
          </w:p>
          <w:p w14:paraId="5B602C63">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（9）重点回看：在本地模式或网络模式下，均支持对某节课的重点回看，视频包括（授课板书+课件+语音），无需通过整堂课视频拖动进度条查找，可充分高效提高师生复习重温的效率；</w:t>
            </w:r>
          </w:p>
          <w:p w14:paraId="1393C0B6">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（10）轻录课回看：支持三种模式存储、回看，本地模式、手机端、WEB网页端，均可查看录制的整堂课视频或知识重点、难点、考点的视频，并且支持图片内容做笔记。</w:t>
            </w:r>
          </w:p>
          <w:p w14:paraId="2654CB6E">
            <w:p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（11）课件支持：在满足常规PPT 课件的情况下，介于教学场景下课件格式需求，也支持WORD、Excel、JPG、PNG常用格式的文件展示及录制；</w:t>
            </w:r>
          </w:p>
        </w:tc>
      </w:tr>
      <w:tr w14:paraId="409A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8" w:type="dxa"/>
            <w:shd w:val="clear" w:color="auto" w:fill="auto"/>
            <w:vAlign w:val="center"/>
          </w:tcPr>
          <w:p w14:paraId="713DEF31">
            <w:pPr>
              <w:ind w:firstLine="240" w:firstLineChars="10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6</w:t>
            </w:r>
          </w:p>
        </w:tc>
        <w:tc>
          <w:tcPr>
            <w:tcW w:w="1176" w:type="dxa"/>
            <w:shd w:val="clear" w:color="auto" w:fill="auto"/>
            <w:vAlign w:val="center"/>
          </w:tcPr>
          <w:p w14:paraId="700E2BD3">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超大屏</w:t>
            </w:r>
          </w:p>
          <w:p w14:paraId="6AB435C3">
            <w:pPr>
              <w:ind w:firstLine="0" w:firstLineChars="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（150吋）</w:t>
            </w:r>
          </w:p>
        </w:tc>
        <w:tc>
          <w:tcPr>
            <w:tcW w:w="6164" w:type="dxa"/>
            <w:shd w:val="clear" w:color="auto" w:fill="auto"/>
            <w:vAlign w:val="center"/>
          </w:tcPr>
          <w:p w14:paraId="1E7F5A46">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点间距P:≤2.5(mm)；LED显示屏尺寸：长≥3200mm宽≥1800mm；</w:t>
            </w:r>
          </w:p>
          <w:p w14:paraId="16B70081">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为保证产品的稳定性，避免多部件产品现场拼装；</w:t>
            </w:r>
          </w:p>
          <w:p w14:paraId="059B1CE0">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显示屏最大亮度≧800cd/m²，支持屏体亮度在 0-100%可调；</w:t>
            </w:r>
          </w:p>
          <w:p w14:paraId="2AAF5FD8">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为保证本项目所用LED屏效果一致性，所投产品的光电参数需满足如下要求：亮度均匀性≥99%，色度均匀性 ≦±0.001Cx,Cy，</w:t>
            </w:r>
          </w:p>
          <w:p w14:paraId="24FCAA3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LED显示屏高色域范围，要求色域覆盖率 ≧114%NTSC，对比度≧10000：刷新率为≧3840Hz，换帧频率：50&amp;60Hz；灰度等级＞ 14bit；LED 像素失控率≤1/1000000；</w:t>
            </w:r>
          </w:p>
          <w:p w14:paraId="0C1B34DC">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依据SJ/T11281第4.2.2测试，视角垂直≧175度， 水平≧175 度；</w:t>
            </w:r>
          </w:p>
          <w:p w14:paraId="0AC7A1D5">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LED显示屏功耗：峰值功耗≦320W/m²，平均功耗≦98W/m²；</w:t>
            </w:r>
          </w:p>
          <w:p w14:paraId="27982DE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LED显示屏电源支持识别灯板所需电压，从而自动调节输出 电压设计 ；</w:t>
            </w:r>
          </w:p>
          <w:p w14:paraId="14263311">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 HDR 2.0 高清显示，VICO 指数（人眼视觉舒适度）0-1 级，支持 3D 显示功能；</w:t>
            </w:r>
          </w:p>
          <w:p w14:paraId="1881CA7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 显示大屏蓝光辐射能量符合 A 级；</w:t>
            </w:r>
          </w:p>
          <w:p w14:paraId="46415FBE">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LED显示屏电源、接收卡、转接板多合一集成设计设计，即箱体内接收卡、电源、转接板多个模块的线路及元器件都集成在同一块 PCB 板上（接收卡和电源非插拔、焊接或螺丝固定于PCB板上）；</w:t>
            </w:r>
          </w:p>
          <w:p w14:paraId="5502E96B">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本项目所用LED屏接收卡控制方案（FPGA）为国产芯片，集成板卡功能包含但不限于交/直流电源、接收卡，配合不同点间距灯板即可正常工作；</w:t>
            </w:r>
          </w:p>
          <w:p w14:paraId="6BC18F33">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为保证屏体长期安全稳定运行，屏体内LED 灯板 PCB 板材料满足 V-0 级，LED箱体材料满足 V-0 级防火标准；</w:t>
            </w:r>
          </w:p>
          <w:p w14:paraId="7B9F95D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屏体内部部件连接采用硬链接设计，即灯板与接收卡、电源之间采用硬连接，无需 连接线材，保障连接可靠性；</w:t>
            </w:r>
          </w:p>
          <w:p w14:paraId="3444D5FD">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LED显示屏具有方便易用运维设计，其支持前后维护、支持热插拔，支持磁吸和壁挂等安装方式；</w:t>
            </w:r>
          </w:p>
          <w:p w14:paraId="4FD2263F">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LED通过光生物安全检测，符合EN62471：2008 LED 光生物安全标准；通过 IEC TR62778：2014 LED 蓝光危害安全标准；</w:t>
            </w:r>
          </w:p>
          <w:p w14:paraId="4C1228D6">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符合 CESI TS 006-2020 超高清显示认证技术规范，并提供权威机构的证明文件；</w:t>
            </w:r>
          </w:p>
          <w:p w14:paraId="6FB56D6F">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符合 CESI TS009-2018《LED 显示屏绿色健康分级认证技术规范》，并提供权威机构的证明文件；</w:t>
            </w:r>
          </w:p>
          <w:p w14:paraId="1E343768">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对外开放有效端口：支持USB3.0 接口*1，USB2.0*1，HDMI-IN*1，3.5 音频输出口*1，Type-C 接口*1，红外接口*1，光感接口*1，RS232 接口*1，亮度调节接口*2，菜单调出接口*1，待机/唤醒按键*1；</w:t>
            </w:r>
          </w:p>
          <w:p w14:paraId="543E62D4">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 Android 9.0 操作系统软件、安卓终端应用软件，硬件配置：CPU: 2 x Cortex-A72 + 4 x Cortex-A53, 2.0GHz，内存容量 ：4GB，存储容量：32GB；</w:t>
            </w:r>
          </w:p>
          <w:p w14:paraId="786234E1">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支持最大输入分辨率 7680*4320@60Hz，并可实现 3840*2160 以内标准分辨率图像缩放支持 16 路输出网口，最大带载面积 830 万像素点， 最宽可达 7680 像素，最高可达 4320 像素；</w:t>
            </w:r>
          </w:p>
          <w:p w14:paraId="6A93A215">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安卓卡和发送卡二合一高度集成设计，内置电源管理，无需额外配置配电柜，最大额定功率：7.7KW 220V/3.85KW 110V；内置视频处理器，无需额外配置视频处理器；</w:t>
            </w:r>
          </w:p>
          <w:p w14:paraId="3CBDF3B1">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支持双wifi（AP和station互相切换，使用同一个芯片）；</w:t>
            </w:r>
          </w:p>
          <w:p w14:paraId="5E3AB500">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支持多方终端统一连接，最多支持同时8个用户终端同时连接设备，对设备进行控制；</w:t>
            </w:r>
          </w:p>
          <w:p w14:paraId="0D3EA9D4">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支持板载亮度传感器接口，支持自动和定时亮度调节；</w:t>
            </w:r>
          </w:p>
          <w:p w14:paraId="3805E1E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支持电脑通过无线投屏，把屏幕传到 LED 显示屏且不影响电脑上网功能(Windows, MacOS) ；支持手机/平板投屏(Android/iOS)，传输平均延迟≤130ms，可通过连接局域网或连接 WIFI 热点投屏；</w:t>
            </w:r>
          </w:p>
          <w:p w14:paraId="54B894D0">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无需外置视频处理器即可支持全屏、两分屏、 三分屏、四分屏自由切换；</w:t>
            </w:r>
          </w:p>
          <w:p w14:paraId="4831E25A">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 OSD 菜单功能，实现遥控器、移动端 （Windows、 MacOS、Android、IOS）对其操控时的状态显示；</w:t>
            </w:r>
          </w:p>
          <w:p w14:paraId="3CC57B06">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支持直流 12V 电源供电；</w:t>
            </w:r>
          </w:p>
          <w:p w14:paraId="7F0D7755">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可通过遥控器或鼠标可对视频进行暂时、播放、播放比例（自动、4：3、16：9）、播放模式（循环播放、顺序播放、单曲播放）、播放字幕（内嵌字幕、外挂字幕）、添加字幕等操作；</w:t>
            </w:r>
          </w:p>
          <w:p w14:paraId="42A7F622">
            <w:pPr>
              <w:pStyle w:val="24"/>
              <w:numPr>
                <w:ilvl w:val="0"/>
                <w:numId w:val="28"/>
              </w:numPr>
              <w:tabs>
                <w:tab w:val="left" w:pos="425"/>
              </w:tabs>
              <w:spacing w:before="163" w:beforeLines="50" w:after="163" w:afterLines="50" w:line="240" w:lineRule="auto"/>
              <w:ind w:firstLineChars="0"/>
              <w:jc w:val="lef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支持 PC 端软件控制可实现调节设备音量、删除设备内节目、定时亮度调节、色温调节、外部源缩放、查看及配件运行概要（CPU\内存\光探头）、支持配置继电器开关策略、支持查看配置有线网络、WIFI 等参数，支持设备升级固件和播放软件、支持设备安装第三方 APK；</w:t>
            </w:r>
          </w:p>
        </w:tc>
      </w:tr>
    </w:tbl>
    <w:p w14:paraId="7B64F512">
      <w:pPr>
        <w:widowControl/>
        <w:spacing w:line="240" w:lineRule="auto"/>
        <w:ind w:firstLine="0" w:firstLineChars="0"/>
        <w:rPr>
          <w:rFonts w:hint="eastAsia" w:cs="宋体"/>
          <w:sz w:val="21"/>
          <w:szCs w:val="21"/>
        </w:rPr>
      </w:pPr>
    </w:p>
    <w:p w14:paraId="6B1AC0A0">
      <w:pPr>
        <w:rPr>
          <w:rFonts w:hint="eastAsia" w:asciiTheme="majorEastAsia" w:hAnsiTheme="majorEastAsia" w:eastAsiaTheme="majorEastAsia" w:cstheme="majorEastAsia"/>
          <w:kern w:val="0"/>
        </w:rPr>
      </w:pPr>
      <w:r>
        <w:rPr>
          <w:rFonts w:hint="eastAsia" w:asciiTheme="majorEastAsia" w:hAnsiTheme="majorEastAsia" w:eastAsiaTheme="majorEastAsia" w:cstheme="majorEastAsia"/>
          <w:kern w:val="0"/>
          <w:lang w:eastAsia="zh-CN"/>
        </w:rPr>
        <w:t>“</w:t>
      </w:r>
      <w:r>
        <w:rPr>
          <w:rFonts w:hint="eastAsia" w:asciiTheme="majorEastAsia" w:hAnsiTheme="majorEastAsia" w:eastAsiaTheme="majorEastAsia" w:cstheme="majorEastAsia"/>
          <w:kern w:val="0"/>
        </w:rPr>
        <w:t>▲</w:t>
      </w:r>
      <w:r>
        <w:rPr>
          <w:rFonts w:hint="eastAsia" w:asciiTheme="majorEastAsia" w:hAnsiTheme="majorEastAsia" w:eastAsiaTheme="majorEastAsia" w:cstheme="majorEastAsia"/>
          <w:kern w:val="0"/>
          <w:lang w:eastAsia="zh-CN"/>
        </w:rPr>
        <w:t>”技术要求</w:t>
      </w:r>
      <w:r>
        <w:rPr>
          <w:rFonts w:hint="eastAsia" w:asciiTheme="majorEastAsia" w:hAnsiTheme="majorEastAsia" w:eastAsiaTheme="majorEastAsia" w:cstheme="majorEastAsia"/>
          <w:kern w:val="0"/>
          <w:sz w:val="24"/>
          <w:szCs w:val="24"/>
        </w:rPr>
        <w:t>需提供技术白皮书或技术说明书或产品介绍彩页或第三方检测机构出具的检测报告等证明材料</w:t>
      </w:r>
      <w:r>
        <w:rPr>
          <w:rFonts w:hint="eastAsia" w:asciiTheme="majorEastAsia" w:hAnsiTheme="majorEastAsia" w:eastAsiaTheme="majorEastAsia" w:cstheme="majorEastAsia"/>
          <w:kern w:val="0"/>
          <w:sz w:val="24"/>
          <w:szCs w:val="24"/>
          <w:lang w:eastAsia="zh-CN"/>
        </w:rPr>
        <w:t>。</w:t>
      </w:r>
    </w:p>
    <w:p w14:paraId="7C5CBB86">
      <w:pPr>
        <w:pStyle w:val="5"/>
        <w:spacing w:before="0" w:after="0" w:line="240" w:lineRule="auto"/>
        <w:ind w:firstLine="0" w:firstLineChars="0"/>
        <w:rPr>
          <w:rFonts w:hint="eastAsia" w:ascii="宋体" w:hAnsi="宋体" w:eastAsia="宋体" w:cs="Times New Roman"/>
        </w:rPr>
      </w:pPr>
      <w:r>
        <w:t>3.2.4视频演示内容以及要求</w:t>
      </w:r>
      <w:r>
        <w:rPr>
          <w:rFonts w:hint="eastAsia" w:cs="宋体"/>
          <w:sz w:val="21"/>
          <w:szCs w:val="21"/>
        </w:rPr>
        <w:br w:type="textWrapping"/>
      </w:r>
      <w:r>
        <w:rPr>
          <w:rFonts w:hint="eastAsia" w:asciiTheme="minorEastAsia" w:hAnsiTheme="minorEastAsia" w:eastAsiaTheme="minorEastAsia" w:cstheme="minorEastAsia"/>
          <w:bCs/>
          <w:sz w:val="24"/>
        </w:rPr>
        <w:t>演示内容1：督导主机</w:t>
      </w:r>
    </w:p>
    <w:p w14:paraId="0C92F832">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1.具有在上课的教室进行实时听评，对已经结束的课程进行课后听评功能。并且根据督导方案可以进行直观评价、建议。支持评价保存，将督导任务状态变为草稿；</w:t>
      </w:r>
    </w:p>
    <w:p w14:paraId="7D485B05">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2.具有拍照点评功能，抓拍教室多路视频画面并进行截图说明。同时也能上传本地图片作为拍照点评的补充；</w:t>
      </w:r>
    </w:p>
    <w:p w14:paraId="5BD8CC3F">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具有查看教室多视角画面功能，包括老师、学生、课件等画面，实现多画面灵活选看，支持对单画面的音频开关控制，支持单视角查看；具有画面水印功能，水印内容含观看人姓名、学号，便于找到视频泄露来源保障授课教师教学成果版权；</w:t>
      </w:r>
    </w:p>
    <w:p w14:paraId="2720696D">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4.具有在教室视频画面下方的页面显示授课老师、教学班信息、课程时间、开课院系、上课教室等信息功能；支持显示扩容AI后的选课学生数、线下学生数、线下出勤率；</w:t>
      </w:r>
    </w:p>
    <w:p w14:paraId="21793A97">
      <w:pPr>
        <w:widowControl/>
        <w:spacing w:line="240" w:lineRule="auto"/>
        <w:ind w:firstLine="0" w:firstLineChars="0"/>
        <w:rPr>
          <w:rFonts w:hint="eastAsia" w:cs="宋体"/>
          <w:color w:val="auto"/>
          <w:sz w:val="21"/>
          <w:szCs w:val="21"/>
        </w:rPr>
      </w:pPr>
      <w:r>
        <w:rPr>
          <w:rFonts w:hint="eastAsia" w:asciiTheme="minorEastAsia" w:hAnsiTheme="minorEastAsia" w:eastAsiaTheme="minorEastAsia" w:cstheme="minorEastAsia"/>
          <w:color w:val="auto"/>
          <w:highlight w:val="none"/>
        </w:rPr>
        <w:t>以上软件指标功能需提供演示视频功能说明，明确标注视频演示的功能所对应的时间段。视频演示时长不超过3分钟。</w:t>
      </w:r>
      <w:r>
        <w:rPr>
          <w:rFonts w:hint="eastAsia" w:cs="宋体"/>
          <w:color w:val="auto"/>
          <w:sz w:val="21"/>
          <w:szCs w:val="21"/>
          <w:highlight w:val="none"/>
        </w:rPr>
        <w:br w:type="textWrapping"/>
      </w:r>
    </w:p>
    <w:p w14:paraId="1C990FD6">
      <w:pPr>
        <w:widowControl/>
        <w:numPr>
          <w:ilvl w:val="255"/>
          <w:numId w:val="0"/>
        </w:numPr>
        <w:spacing w:line="240" w:lineRule="auto"/>
        <w:ind w:firstLine="480" w:firstLineChars="200"/>
        <w:jc w:val="left"/>
        <w:rPr>
          <w:rFonts w:hint="eastAsia" w:asciiTheme="minorEastAsia" w:hAnsiTheme="minorEastAsia" w:eastAsiaTheme="minorEastAsia" w:cstheme="minorEastAsia"/>
          <w:color w:val="auto"/>
        </w:rPr>
      </w:pPr>
    </w:p>
    <w:p w14:paraId="370135F9">
      <w:pPr>
        <w:widowControl/>
        <w:numPr>
          <w:ilvl w:val="255"/>
          <w:numId w:val="0"/>
        </w:numPr>
        <w:ind w:firstLine="240" w:firstLineChars="100"/>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演示内容2</w:t>
      </w:r>
      <w:r>
        <w:rPr>
          <w:rFonts w:asciiTheme="minorEastAsia" w:hAnsiTheme="minorEastAsia" w:eastAsiaTheme="minorEastAsia" w:cstheme="minorEastAsia"/>
          <w:bCs/>
          <w:lang w:eastAsia="zh-Hans"/>
        </w:rPr>
        <w:t>：</w:t>
      </w:r>
      <w:r>
        <w:rPr>
          <w:rFonts w:hint="eastAsia" w:asciiTheme="minorEastAsia" w:hAnsiTheme="minorEastAsia" w:eastAsiaTheme="minorEastAsia" w:cstheme="minorEastAsia"/>
          <w:b/>
          <w:bCs/>
        </w:rPr>
        <w:t>融合信息终端</w:t>
      </w:r>
    </w:p>
    <w:p w14:paraId="448051E5">
      <w:pPr>
        <w:ind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default" w:asciiTheme="minorEastAsia" w:hAnsiTheme="minorEastAsia" w:eastAsiaTheme="minorEastAsia" w:cstheme="minorEastAsia"/>
          <w:lang w:val="en-US"/>
        </w:rPr>
        <w:t>.</w:t>
      </w:r>
      <w:r>
        <w:rPr>
          <w:rFonts w:hint="eastAsia" w:asciiTheme="minorEastAsia" w:hAnsiTheme="minorEastAsia" w:eastAsiaTheme="minorEastAsia" w:cstheme="minorEastAsia"/>
        </w:rPr>
        <w:t>具备以下接口：</w:t>
      </w:r>
    </w:p>
    <w:p w14:paraId="09D2A020">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集成千兆交换机功能，具备4个RJ45网口，具备1路SFP光口，最大支持4组vlan划分</w:t>
      </w:r>
    </w:p>
    <w:p w14:paraId="7055AE9C">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集成2*60W数字功放。</w:t>
      </w:r>
    </w:p>
    <w:p w14:paraId="22187F59">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具备2路3.5mm音频线性输入接口。</w:t>
      </w:r>
    </w:p>
    <w:p w14:paraId="20DA49BB">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具备1路3.5mm音频线性输出。</w:t>
      </w:r>
    </w:p>
    <w:p w14:paraId="714B60F3">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具备2路幻象供电麦克风输入接口，支持配置幻象供电开启或关闭。</w:t>
      </w:r>
    </w:p>
    <w:p w14:paraId="73D33832">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具备2路RS232通信端口。</w:t>
      </w:r>
    </w:p>
    <w:p w14:paraId="091FC1FD">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具备4路USB通信接口。</w:t>
      </w:r>
    </w:p>
    <w:p w14:paraId="2261C913">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具备3路IO接口。</w:t>
      </w:r>
    </w:p>
    <w:p w14:paraId="1C6BA04B">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具备4*2 HDMI矩阵。</w:t>
      </w:r>
    </w:p>
    <w:p w14:paraId="67F10E2C">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具备2路HDMI高清输入接口。</w:t>
      </w:r>
    </w:p>
    <w:p w14:paraId="25B99F47">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具备3路HDMI同源高清输出接口。</w:t>
      </w:r>
    </w:p>
    <w:p w14:paraId="5D2032D8">
      <w:pPr>
        <w:numPr>
          <w:ilvl w:val="255"/>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具备1路HDMI录播高清输出。</w:t>
      </w:r>
    </w:p>
    <w:p w14:paraId="6420CA2F">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（需提供CMA标识的检测报告扫描件，要求内容能体现满足上述参数要求。）</w:t>
      </w:r>
    </w:p>
    <w:p w14:paraId="58F96974">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default" w:asciiTheme="minorEastAsia" w:hAnsiTheme="minorEastAsia" w:eastAsiaTheme="minorEastAsia" w:cstheme="minorEastAsia"/>
          <w:lang w:val="en-US"/>
        </w:rPr>
        <w:t>.</w:t>
      </w:r>
      <w:r>
        <w:rPr>
          <w:rFonts w:hint="eastAsia" w:asciiTheme="minorEastAsia" w:hAnsiTheme="minorEastAsia" w:eastAsiaTheme="minorEastAsia" w:cstheme="minorEastAsia"/>
        </w:rPr>
        <w:t>具备音视频硬解码能力。</w:t>
      </w:r>
    </w:p>
    <w:p w14:paraId="734F750F">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具备平台推送的音视频广播播放功能。</w:t>
      </w:r>
    </w:p>
    <w:p w14:paraId="4A4AAC32">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可播放平台定时/手动广播任务。</w:t>
      </w:r>
    </w:p>
    <w:p w14:paraId="2DBCDBCC">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支持HTTP、RTSP、TS、RTMP等主流流媒体协议。</w:t>
      </w:r>
    </w:p>
    <w:p w14:paraId="4148EE96">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配合系统平台支持0-99级广播级别选择。</w:t>
      </w:r>
    </w:p>
    <w:p w14:paraId="25F5C34A">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rPr>
        <w:t>支持智能终端在待机状态下接收系统平台预设的高清流媒体内容或在线电视节</w:t>
      </w:r>
      <w:r>
        <w:rPr>
          <w:rFonts w:hint="eastAsia" w:asciiTheme="minorEastAsia" w:hAnsiTheme="minorEastAsia" w:eastAsiaTheme="minorEastAsia" w:cstheme="minorEastAsia"/>
          <w:color w:val="auto"/>
        </w:rPr>
        <w:t>目进行自动播放，自动开启和关闭显示设备，实现智能自动播放的功能。</w:t>
      </w:r>
    </w:p>
    <w:p w14:paraId="6051BCB5">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（需提供CMA标识的检测报告扫描件，要求内容能体现满足上述参数要求。）</w:t>
      </w:r>
    </w:p>
    <w:p w14:paraId="3AC148E4">
      <w:pPr>
        <w:pStyle w:val="24"/>
        <w:numPr>
          <w:ilvl w:val="255"/>
          <w:numId w:val="0"/>
        </w:numPr>
        <w:tabs>
          <w:tab w:val="left" w:pos="425"/>
        </w:tabs>
        <w:spacing w:before="163" w:beforeLines="50" w:after="163" w:afterLines="50" w:line="24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w:t>
      </w:r>
      <w:r>
        <w:rPr>
          <w:rFonts w:hint="default" w:asciiTheme="minorEastAsia" w:hAnsiTheme="minorEastAsia" w:eastAsiaTheme="minorEastAsia" w:cstheme="minorEastAsia"/>
          <w:color w:val="auto"/>
          <w:lang w:val="en-US"/>
        </w:rPr>
        <w:t>.</w:t>
      </w:r>
      <w:r>
        <w:rPr>
          <w:rFonts w:hint="eastAsia" w:asciiTheme="minorEastAsia" w:hAnsiTheme="minorEastAsia" w:eastAsiaTheme="minorEastAsia" w:cstheme="minorEastAsia"/>
          <w:color w:val="auto"/>
        </w:rPr>
        <w:t>具备音视频编码和推流能力。配合系统平台实现直播课堂功能。可将本地教室的摄像头画面、电脑画面、话筒和电脑声音等编码后直播到其他教室和互联网。学生可通过扫码进入线上课堂。（需提供CMA标识的检测报告扫描件，要求内容能体现满足上述参数要求。）</w:t>
      </w:r>
    </w:p>
    <w:p w14:paraId="24162434">
      <w:pPr>
        <w:widowControl/>
        <w:numPr>
          <w:ilvl w:val="255"/>
          <w:numId w:val="0"/>
        </w:num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以上参数功能需提供演示视频功能说明，明确标注视频演示的功能所对应的时间段。视频演示时长不超过2分钟。</w:t>
      </w:r>
    </w:p>
    <w:p w14:paraId="00779C69">
      <w:pPr>
        <w:widowControl/>
        <w:numPr>
          <w:ilvl w:val="255"/>
          <w:numId w:val="0"/>
        </w:numPr>
        <w:spacing w:line="240" w:lineRule="auto"/>
        <w:rPr>
          <w:rFonts w:hint="eastAsia" w:asciiTheme="minorEastAsia" w:hAnsiTheme="minorEastAsia" w:eastAsiaTheme="minorEastAsia" w:cstheme="minorEastAsia"/>
          <w:color w:val="auto"/>
          <w:highlight w:val="yellow"/>
        </w:rPr>
      </w:pPr>
    </w:p>
    <w:p w14:paraId="6121C57B">
      <w:pPr>
        <w:spacing w:line="360" w:lineRule="auto"/>
        <w:ind w:firstLine="480" w:firstLineChars="200"/>
        <w:rPr>
          <w:rFonts w:ascii="宋体" w:hAnsi="宋体"/>
          <w:color w:val="auto"/>
          <w:sz w:val="24"/>
        </w:rPr>
      </w:pPr>
      <w:r>
        <w:rPr>
          <w:rFonts w:hint="eastAsia" w:ascii="宋体" w:hAnsi="宋体"/>
          <w:color w:val="auto"/>
          <w:sz w:val="24"/>
        </w:rPr>
        <w:t>视频演示应采用现场播放录屏视频的方式进行演示，不得以界面截图或幻灯片代替。录屏视频应为mp4格式，分辨率1080P以上，音视频流畅、字幕清晰，可在32位及64位操作系统下用播放器</w:t>
      </w:r>
      <w:r>
        <w:rPr>
          <w:rFonts w:hint="eastAsia" w:ascii="宋体" w:hAnsi="宋体"/>
          <w:color w:val="auto"/>
          <w:sz w:val="24"/>
          <w:lang w:eastAsia="zh-CN"/>
        </w:rPr>
        <w:t>软件</w:t>
      </w:r>
      <w:r>
        <w:rPr>
          <w:rFonts w:hint="eastAsia" w:ascii="宋体" w:hAnsi="宋体"/>
          <w:color w:val="auto"/>
          <w:sz w:val="24"/>
        </w:rPr>
        <w:t>进行播放，总播放时间不超过5分钟。演示视频材料一式两份，存储于U盘。</w:t>
      </w:r>
    </w:p>
    <w:p w14:paraId="0354C0E0">
      <w:pPr>
        <w:spacing w:line="360" w:lineRule="auto"/>
        <w:ind w:firstLine="480" w:firstLineChars="200"/>
        <w:rPr>
          <w:rFonts w:ascii="宋体" w:hAnsi="宋体"/>
          <w:color w:val="auto"/>
          <w:sz w:val="24"/>
        </w:rPr>
      </w:pPr>
      <w:r>
        <w:rPr>
          <w:rFonts w:hint="eastAsia" w:ascii="宋体" w:hAnsi="宋体"/>
          <w:color w:val="auto"/>
          <w:sz w:val="24"/>
        </w:rPr>
        <w:t>演示视频材料递交：演示视频材料应以</w:t>
      </w:r>
      <w:r>
        <w:rPr>
          <w:rFonts w:ascii="宋体" w:hAnsi="宋体"/>
          <w:color w:val="auto"/>
          <w:sz w:val="24"/>
        </w:rPr>
        <w:t>U</w:t>
      </w:r>
      <w:r>
        <w:rPr>
          <w:rFonts w:hint="eastAsia" w:ascii="宋体" w:hAnsi="宋体"/>
          <w:color w:val="auto"/>
          <w:sz w:val="24"/>
        </w:rPr>
        <w:t>盘形式递交。演示视频材料应在投标截止时间前递交，以送达签收时间作为视频递交时间，不接受邮寄或快递方式递交，运送风险由投标人自行承担。视频材料请密封提交，并在密封的外包装上注明项目名称及投标人名称，并骑缝加盖投标人公章。未进行密封将被拒绝接受。</w:t>
      </w:r>
    </w:p>
    <w:p w14:paraId="08488E1D">
      <w:pPr>
        <w:widowControl/>
        <w:numPr>
          <w:ilvl w:val="255"/>
          <w:numId w:val="0"/>
        </w:numPr>
        <w:spacing w:line="240" w:lineRule="auto"/>
        <w:rPr>
          <w:rFonts w:hint="eastAsia" w:asciiTheme="minorEastAsia" w:hAnsiTheme="minorEastAsia" w:eastAsiaTheme="minorEastAsia" w:cstheme="minorEastAsia"/>
          <w:color w:val="auto"/>
          <w:highlight w:val="yellow"/>
          <w:lang w:eastAsia="zh-Hans"/>
        </w:rPr>
      </w:pPr>
    </w:p>
    <w:bookmarkEnd w:id="67"/>
    <w:bookmarkEnd w:id="68"/>
    <w:bookmarkEnd w:id="69"/>
    <w:bookmarkEnd w:id="70"/>
    <w:bookmarkEnd w:id="71"/>
    <w:bookmarkEnd w:id="72"/>
    <w:bookmarkEnd w:id="73"/>
    <w:bookmarkEnd w:id="74"/>
    <w:bookmarkEnd w:id="75"/>
    <w:bookmarkEnd w:id="76"/>
    <w:bookmarkEnd w:id="94"/>
    <w:p w14:paraId="628096FF">
      <w:pPr>
        <w:pStyle w:val="24"/>
        <w:keepNext/>
        <w:keepLines/>
        <w:numPr>
          <w:ilvl w:val="0"/>
          <w:numId w:val="2"/>
        </w:numPr>
        <w:ind w:firstLineChars="0"/>
        <w:outlineLvl w:val="1"/>
        <w:rPr>
          <w:rFonts w:hint="eastAsia" w:ascii="宋体" w:hAnsi="宋体"/>
          <w:b/>
          <w:bCs/>
          <w:vanish/>
          <w:sz w:val="30"/>
          <w:szCs w:val="32"/>
        </w:rPr>
      </w:pPr>
      <w:bookmarkStart w:id="95" w:name="_Toc175668795"/>
      <w:bookmarkEnd w:id="95"/>
      <w:bookmarkStart w:id="96" w:name="_Toc175668765"/>
      <w:bookmarkEnd w:id="96"/>
      <w:bookmarkStart w:id="97" w:name="_Toc19372"/>
      <w:bookmarkStart w:id="98" w:name="_Toc131712071"/>
      <w:bookmarkStart w:id="99" w:name="_Toc15095"/>
      <w:bookmarkStart w:id="100" w:name="_Toc125876352"/>
      <w:bookmarkStart w:id="101" w:name="_Toc125876357"/>
      <w:bookmarkStart w:id="102" w:name="_Toc127989387"/>
    </w:p>
    <w:p w14:paraId="7A2D91C5">
      <w:pPr>
        <w:pStyle w:val="4"/>
        <w:numPr>
          <w:ilvl w:val="1"/>
          <w:numId w:val="0"/>
        </w:numPr>
        <w:spacing w:before="0" w:after="0"/>
        <w:rPr>
          <w:rFonts w:hint="eastAsia"/>
        </w:rPr>
      </w:pPr>
      <w:bookmarkStart w:id="103" w:name="_Toc1376430066"/>
      <w:bookmarkStart w:id="104" w:name="_Toc35862444"/>
      <w:bookmarkStart w:id="105" w:name="_Toc906089656"/>
      <w:bookmarkStart w:id="106" w:name="_Toc1202254571"/>
      <w:bookmarkStart w:id="107" w:name="_Toc1764627"/>
      <w:r>
        <w:t>4.1</w:t>
      </w:r>
      <w:r>
        <w:rPr>
          <w:rFonts w:hint="eastAsia"/>
        </w:rPr>
        <w:t>总集服务要求</w:t>
      </w:r>
      <w:bookmarkEnd w:id="97"/>
      <w:bookmarkEnd w:id="98"/>
      <w:bookmarkEnd w:id="99"/>
      <w:bookmarkEnd w:id="100"/>
      <w:bookmarkEnd w:id="103"/>
      <w:bookmarkEnd w:id="104"/>
      <w:bookmarkEnd w:id="105"/>
      <w:bookmarkEnd w:id="106"/>
      <w:bookmarkEnd w:id="107"/>
    </w:p>
    <w:p w14:paraId="413E2A4D">
      <w:pPr>
        <w:pStyle w:val="14"/>
        <w:widowControl/>
        <w:rPr>
          <w:rStyle w:val="19"/>
          <w:rFonts w:hint="eastAsia"/>
          <w:b w:val="0"/>
        </w:rPr>
      </w:pPr>
      <w:bookmarkStart w:id="108" w:name="_Toc11802596"/>
      <w:r>
        <w:rPr>
          <w:rStyle w:val="19"/>
          <w:rFonts w:hint="eastAsia"/>
          <w:b w:val="0"/>
        </w:rPr>
        <w:t>1、投标方需制定合理可行的项目管理计划，保证所有建设内容按计划保质保量地开展，投标方对</w:t>
      </w:r>
      <w:r>
        <w:rPr>
          <w:rStyle w:val="19"/>
          <w:rFonts w:hint="eastAsia" w:ascii="Times New Roman" w:hAnsi="Times New Roman"/>
          <w:b w:val="0"/>
          <w:lang w:eastAsia="zh-Hans"/>
        </w:rPr>
        <w:t>上海电子信息职业技术学院</w:t>
      </w:r>
      <w:r>
        <w:rPr>
          <w:rStyle w:val="19"/>
          <w:rFonts w:hint="eastAsia"/>
          <w:b w:val="0"/>
        </w:rPr>
        <w:t>总体质量和进度负总责，对软硬件设备的到货、安装调试、验收负责，同时对各系统及平台的联调、总体测试、试运行、验收负责。</w:t>
      </w:r>
    </w:p>
    <w:p w14:paraId="08E9B001">
      <w:pPr>
        <w:pStyle w:val="14"/>
        <w:widowControl/>
        <w:rPr>
          <w:rStyle w:val="19"/>
          <w:rFonts w:hint="eastAsia"/>
          <w:b w:val="0"/>
          <w:bCs/>
        </w:rPr>
      </w:pPr>
      <w:r>
        <w:rPr>
          <w:rStyle w:val="19"/>
          <w:rFonts w:hint="eastAsia"/>
          <w:b w:val="0"/>
          <w:bCs/>
        </w:rPr>
        <w:t>2、投标方需在本次项目建设需要、未来业务扩展以及设备采购需求，对本次项目建设中进行统一规划设计，</w:t>
      </w:r>
      <w:r>
        <w:rPr>
          <w:rFonts w:hint="eastAsia"/>
        </w:rPr>
        <w:t>含系统设计图、拓扑图、平面图，</w:t>
      </w:r>
      <w:r>
        <w:rPr>
          <w:rStyle w:val="19"/>
          <w:rFonts w:hint="eastAsia"/>
          <w:b w:val="0"/>
          <w:bCs/>
        </w:rPr>
        <w:t>需在投标文件中以独立章节对此详细描述。方案应当以先进性、安全性、高可用性和可扩展性为原则。方案的设计及实施过程需要充分考虑上述要求并给出科学、合理的系统集成方案，同时，投标方需要具备大型系统的集成能力和交付能力。</w:t>
      </w:r>
    </w:p>
    <w:p w14:paraId="0811DCA6">
      <w:pPr>
        <w:pStyle w:val="14"/>
        <w:widowControl/>
        <w:rPr>
          <w:rStyle w:val="19"/>
          <w:rFonts w:hint="eastAsia"/>
          <w:b w:val="0"/>
          <w:bCs/>
        </w:rPr>
      </w:pPr>
      <w:r>
        <w:rPr>
          <w:rStyle w:val="19"/>
          <w:rFonts w:hint="eastAsia"/>
          <w:b w:val="0"/>
          <w:bCs/>
        </w:rPr>
        <w:t xml:space="preserve">3、投标方的总集成工作需确保项目实施工作稳定开展。 </w:t>
      </w:r>
    </w:p>
    <w:p w14:paraId="304A8E51">
      <w:pPr>
        <w:pStyle w:val="14"/>
        <w:widowControl/>
        <w:rPr>
          <w:rStyle w:val="19"/>
          <w:rFonts w:hint="eastAsia"/>
          <w:b w:val="0"/>
          <w:bCs/>
        </w:rPr>
      </w:pPr>
      <w:r>
        <w:rPr>
          <w:rStyle w:val="19"/>
          <w:rFonts w:hint="eastAsia"/>
          <w:b w:val="0"/>
          <w:bCs/>
        </w:rPr>
        <w:t>5、投标方负责提交符合采购方规范要求的项目管理文档，包括但不限于：项目计划、沟通管理计划、项目周月报、会议纪要等。</w:t>
      </w:r>
    </w:p>
    <w:bookmarkEnd w:id="108"/>
    <w:p w14:paraId="3742943D">
      <w:pPr>
        <w:rPr>
          <w:rFonts w:hint="eastAsia" w:cs="宋体"/>
          <w:color w:val="000000" w:themeColor="text1"/>
          <w14:textFill>
            <w14:solidFill>
              <w14:schemeClr w14:val="tx1"/>
            </w14:solidFill>
          </w14:textFill>
        </w:rPr>
      </w:pPr>
    </w:p>
    <w:bookmarkEnd w:id="101"/>
    <w:bookmarkEnd w:id="102"/>
    <w:p w14:paraId="103DC7B2">
      <w:pPr>
        <w:pStyle w:val="4"/>
        <w:numPr>
          <w:ilvl w:val="1"/>
          <w:numId w:val="0"/>
        </w:numPr>
        <w:spacing w:before="0" w:after="0"/>
        <w:rPr>
          <w:rFonts w:hint="eastAsia"/>
        </w:rPr>
      </w:pPr>
      <w:bookmarkStart w:id="109" w:name="_Toc9579"/>
      <w:bookmarkStart w:id="110" w:name="_Toc1740798578"/>
      <w:bookmarkStart w:id="111" w:name="_Toc842307515"/>
      <w:bookmarkStart w:id="112" w:name="_Toc24881"/>
      <w:bookmarkStart w:id="113" w:name="_Toc966273778"/>
      <w:bookmarkStart w:id="114" w:name="_Toc1444675148"/>
      <w:bookmarkStart w:id="115" w:name="_Toc618940174"/>
      <w:bookmarkStart w:id="116" w:name="_Toc11550"/>
      <w:bookmarkStart w:id="117" w:name="_Toc4994"/>
      <w:bookmarkStart w:id="118" w:name="_Toc13238"/>
      <w:bookmarkStart w:id="119" w:name="_Toc1770"/>
      <w:bookmarkStart w:id="120" w:name="_Toc125876363"/>
      <w:bookmarkStart w:id="121" w:name="_Toc11802603"/>
      <w:r>
        <w:t>4.2</w:t>
      </w:r>
      <w:r>
        <w:rPr>
          <w:rFonts w:hint="eastAsia"/>
        </w:rPr>
        <w:t>项目总体要求</w:t>
      </w:r>
      <w:bookmarkEnd w:id="109"/>
      <w:bookmarkEnd w:id="110"/>
      <w:bookmarkEnd w:id="111"/>
      <w:bookmarkEnd w:id="112"/>
      <w:bookmarkEnd w:id="113"/>
      <w:bookmarkEnd w:id="114"/>
      <w:bookmarkEnd w:id="115"/>
      <w:bookmarkEnd w:id="116"/>
      <w:bookmarkEnd w:id="117"/>
      <w:bookmarkEnd w:id="118"/>
      <w:bookmarkEnd w:id="119"/>
      <w:bookmarkEnd w:id="120"/>
    </w:p>
    <w:p w14:paraId="2D22C1D8">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投标方应充分理解及考虑此次项目的建设要求及内容，提出完整且详细的项目实施、项目培训、项目管理、项目验收、售后服务方案及软硬件应急预案等。</w:t>
      </w:r>
    </w:p>
    <w:p w14:paraId="29734E91">
      <w:pPr>
        <w:numPr>
          <w:ilvl w:val="0"/>
          <w:numId w:val="29"/>
        </w:numPr>
        <w:ind w:firstLine="480"/>
        <w:rPr>
          <w:rFonts w:hint="eastAsia" w:cs="宋体"/>
        </w:rPr>
      </w:pPr>
      <w:r>
        <w:rPr>
          <w:rFonts w:hint="eastAsia" w:cs="宋体"/>
        </w:rPr>
        <w:t>投标方应充分理解</w:t>
      </w:r>
      <w:r>
        <w:rPr>
          <w:rFonts w:cs="宋体"/>
        </w:rPr>
        <w:t>上海电子信息职业技术学院</w:t>
      </w:r>
      <w:r>
        <w:rPr>
          <w:rFonts w:hint="eastAsia" w:cs="宋体"/>
        </w:rPr>
        <w:t>建设项目的建设要求，本着认真负责态度，组织技术队伍，认真做好项目的实施工作。在签订合同前，提出具体实施、服务、维护以及今后技术支持的措施计划和承诺。</w:t>
      </w:r>
    </w:p>
    <w:p w14:paraId="4799D503">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投标方应提供项目实施计划，经采购方同意后，严格执行。如果遇到问题，由项目组提出项目变更说明，经采购方和系统提供商确定后，修改计划。</w:t>
      </w:r>
    </w:p>
    <w:p w14:paraId="738DA0BD">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投标方应根据对项目的理解做出项目的人员配置管理计划，包括组织结构、项目经理、组成人员及分工职责。项目经理及项目成员一旦确定原则上不得更换。</w:t>
      </w:r>
    </w:p>
    <w:p w14:paraId="1B5C6BE6">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投标方应负责在项目验收时将系统的全部有关技术文件、资料及安装、测试、验收报告等文档汇集成册交付采购方。</w:t>
      </w:r>
    </w:p>
    <w:p w14:paraId="43A40622">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采购方有权监督和管理此项目的安装、调试、故障排查、测试及系统验收等各项工作，中标人应接受并服从采购方和监理方、测评方的监督和管理要求。</w:t>
      </w:r>
    </w:p>
    <w:bookmarkEnd w:id="121"/>
    <w:p w14:paraId="068C2D4F">
      <w:pPr>
        <w:numPr>
          <w:ilvl w:val="0"/>
          <w:numId w:val="29"/>
        </w:numPr>
        <w:ind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投标方一旦中标后，应承担开发设备环境、人员的开发场地和食宿等相关内容和费用，对此，投标方应作出明确承诺。</w:t>
      </w:r>
    </w:p>
    <w:p w14:paraId="4AB2D2D7">
      <w:pPr>
        <w:pStyle w:val="4"/>
        <w:numPr>
          <w:ilvl w:val="1"/>
          <w:numId w:val="0"/>
        </w:numPr>
        <w:spacing w:before="0" w:after="0"/>
        <w:rPr>
          <w:rFonts w:hint="eastAsia"/>
        </w:rPr>
      </w:pPr>
      <w:bookmarkStart w:id="122" w:name="_Toc19374"/>
      <w:bookmarkStart w:id="123" w:name="_Toc284493718"/>
      <w:bookmarkStart w:id="124" w:name="_Toc12089"/>
      <w:bookmarkStart w:id="125" w:name="_Toc116718350"/>
      <w:bookmarkStart w:id="126" w:name="_Toc125876364"/>
      <w:bookmarkStart w:id="127" w:name="_Toc17090"/>
      <w:bookmarkStart w:id="128" w:name="_Toc450203581"/>
      <w:bookmarkStart w:id="129" w:name="_Toc892048232"/>
      <w:bookmarkStart w:id="130" w:name="_Toc1205099454"/>
      <w:r>
        <w:t>4.3</w:t>
      </w:r>
      <w:r>
        <w:rPr>
          <w:rFonts w:hint="eastAsia"/>
        </w:rPr>
        <w:t>项目工期要求</w:t>
      </w:r>
      <w:bookmarkEnd w:id="122"/>
      <w:bookmarkEnd w:id="123"/>
      <w:bookmarkEnd w:id="124"/>
      <w:bookmarkEnd w:id="125"/>
      <w:bookmarkEnd w:id="126"/>
      <w:bookmarkEnd w:id="127"/>
      <w:bookmarkEnd w:id="128"/>
      <w:bookmarkEnd w:id="129"/>
      <w:bookmarkEnd w:id="130"/>
    </w:p>
    <w:p w14:paraId="494F6336">
      <w:pPr>
        <w:rPr>
          <w:rStyle w:val="19"/>
          <w:rFonts w:ascii="Times New Roman" w:hAnsi="Times New Roman"/>
          <w:b w:val="0"/>
        </w:rPr>
      </w:pPr>
      <w:r>
        <w:rPr>
          <w:rStyle w:val="19"/>
          <w:rFonts w:hint="eastAsia" w:ascii="Times New Roman" w:hAnsi="Times New Roman"/>
          <w:b w:val="0"/>
        </w:rPr>
        <w:t>本项目的建设工期为自合同签订之日起计算：</w:t>
      </w:r>
    </w:p>
    <w:p w14:paraId="059DF80C">
      <w:pPr>
        <w:rPr>
          <w:rStyle w:val="19"/>
          <w:rFonts w:ascii="Times New Roman" w:hAnsi="Times New Roman"/>
          <w:b w:val="0"/>
        </w:rPr>
      </w:pPr>
      <w:r>
        <w:rPr>
          <w:rStyle w:val="19"/>
          <w:rFonts w:hint="eastAsia" w:ascii="Times New Roman" w:hAnsi="Times New Roman"/>
          <w:b w:val="0"/>
        </w:rPr>
        <w:t>闵行校区和奉贤校区的I402和I403的教室从合同签订之日起1月20日之前完成智慧大屏主要设备安装；两校区教室的所有设备在2025年8月20日之前完成安装，于2025年11月20日之前完成验收。</w:t>
      </w:r>
    </w:p>
    <w:p w14:paraId="18418747">
      <w:pPr>
        <w:pStyle w:val="4"/>
        <w:numPr>
          <w:ilvl w:val="1"/>
          <w:numId w:val="0"/>
        </w:numPr>
        <w:spacing w:before="0" w:after="0"/>
        <w:rPr>
          <w:rFonts w:hint="eastAsia"/>
        </w:rPr>
      </w:pPr>
      <w:bookmarkStart w:id="131" w:name="_Toc1187320204"/>
      <w:bookmarkStart w:id="132" w:name="_Toc986697486"/>
      <w:bookmarkStart w:id="133" w:name="_Toc125876365"/>
      <w:bookmarkStart w:id="134" w:name="_Toc7496"/>
      <w:bookmarkStart w:id="135" w:name="_Toc1032738739"/>
      <w:bookmarkStart w:id="136" w:name="_Toc6856"/>
      <w:bookmarkStart w:id="137" w:name="_Toc1188248521"/>
      <w:bookmarkStart w:id="138" w:name="_Toc11802604"/>
      <w:bookmarkStart w:id="139" w:name="_Toc11858"/>
      <w:bookmarkStart w:id="140" w:name="_Toc22451"/>
      <w:bookmarkStart w:id="141" w:name="_Toc17432"/>
      <w:bookmarkStart w:id="142" w:name="_Toc1071295517"/>
      <w:bookmarkStart w:id="143" w:name="_Toc30318"/>
      <w:r>
        <w:t>4.4</w:t>
      </w:r>
      <w:r>
        <w:rPr>
          <w:rFonts w:hint="eastAsia"/>
        </w:rPr>
        <w:t>项目实施要求</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4EF7AFF">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提供详细可行的项目实施方案。实施方案要求包含如下（但不限于）：</w:t>
      </w:r>
    </w:p>
    <w:p w14:paraId="124E5810">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1.包括管理架构、达到的管理目标和承诺、制定管理制度、现场管理机构、工作的内容、工作流程、质量保证措施、针对本项目的服务计划和方案等。</w:t>
      </w:r>
    </w:p>
    <w:p w14:paraId="629525F7">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2.服务人员情况：包括人员构成，人员简历、资格证书、主要类似项目经历，项目经理、项目组成员主要工作职责。</w:t>
      </w:r>
    </w:p>
    <w:p w14:paraId="0EDE71DD">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3.此次项目工作量巨大，涉及领域复杂，要求投标方建立针对本次项目的领导小组，下设各个具体的工作小组。</w:t>
      </w:r>
    </w:p>
    <w:p w14:paraId="06C2EBCD">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4.系统部署方案：投标方应根据采购方需求及招标人现有情况，制定整合方案。招标人将从合理性、可靠性及完整性等方面对本方案进行评估。</w:t>
      </w:r>
    </w:p>
    <w:p w14:paraId="7EDCDA01">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5.项目实施过程中可能涉及的网络割接、系统对接等操作，投标方需提供承诺函，承诺保障现有业务不中断、数据不丢失，并承诺超时后承担相应的责任和全部损失。</w:t>
      </w:r>
    </w:p>
    <w:p w14:paraId="79A463F4">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7.投标方需提供针对本项目的风险控制方案。</w:t>
      </w:r>
    </w:p>
    <w:p w14:paraId="329B70C4">
      <w:pPr>
        <w:pStyle w:val="4"/>
        <w:numPr>
          <w:ilvl w:val="1"/>
          <w:numId w:val="0"/>
        </w:numPr>
        <w:spacing w:before="0" w:after="0"/>
        <w:rPr>
          <w:rFonts w:hint="eastAsia"/>
        </w:rPr>
      </w:pPr>
      <w:bookmarkStart w:id="144" w:name="_Toc1442458994"/>
      <w:bookmarkStart w:id="145" w:name="_Toc872620704"/>
      <w:bookmarkStart w:id="146" w:name="_Toc18361"/>
      <w:bookmarkStart w:id="147" w:name="_Toc29026"/>
      <w:bookmarkStart w:id="148" w:name="_Toc125876366"/>
      <w:bookmarkStart w:id="149" w:name="_Toc20100"/>
      <w:bookmarkStart w:id="150" w:name="_Toc555925068"/>
      <w:bookmarkStart w:id="151" w:name="_Toc19430"/>
      <w:bookmarkStart w:id="152" w:name="_Toc9668"/>
      <w:bookmarkStart w:id="153" w:name="_Toc1277151319"/>
      <w:bookmarkStart w:id="154" w:name="_Toc29264"/>
      <w:bookmarkStart w:id="155" w:name="_Toc760857771"/>
      <w:bookmarkStart w:id="156" w:name="_Toc11802605"/>
      <w:r>
        <w:t>4.5</w:t>
      </w:r>
      <w:r>
        <w:rPr>
          <w:rFonts w:hint="eastAsia"/>
          <w:lang w:eastAsia="zh-CN"/>
        </w:rPr>
        <w:t>公司能力及</w:t>
      </w:r>
      <w:r>
        <w:rPr>
          <w:rFonts w:hint="eastAsia"/>
        </w:rPr>
        <w:t>项目人员配备要求</w:t>
      </w:r>
      <w:bookmarkEnd w:id="144"/>
      <w:bookmarkEnd w:id="145"/>
      <w:bookmarkEnd w:id="146"/>
      <w:bookmarkEnd w:id="147"/>
      <w:bookmarkEnd w:id="148"/>
      <w:bookmarkEnd w:id="149"/>
      <w:bookmarkEnd w:id="150"/>
      <w:bookmarkEnd w:id="151"/>
      <w:bookmarkEnd w:id="152"/>
      <w:bookmarkEnd w:id="153"/>
      <w:bookmarkEnd w:id="154"/>
      <w:bookmarkEnd w:id="155"/>
      <w:r>
        <w:rPr>
          <w:rFonts w:hint="eastAsia"/>
        </w:rPr>
        <w:t xml:space="preserve">    </w:t>
      </w:r>
    </w:p>
    <w:p w14:paraId="1041E30D">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投标方应充分考虑本项目的复杂程度及实施要求，合理配置项目实施团队，包括：项目经理、核心技术负责人以及其他项目组成员。具体要求如下：</w:t>
      </w:r>
    </w:p>
    <w:p w14:paraId="4AB02704">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要求明确实施团队的组织架构及各成员的分工职责；</w:t>
      </w:r>
    </w:p>
    <w:p w14:paraId="62D58E41">
      <w:pPr>
        <w:pStyle w:val="24"/>
        <w:numPr>
          <w:ilvl w:val="0"/>
          <w:numId w:val="30"/>
        </w:numPr>
        <w:ind w:firstLineChars="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项目经理：具有本科及以上学位，具有10年以上项目相关工作经验，具有项目管理经验且担任过类似信息化项目的项目经理优先考虑；具备调动公司内部完成项目建设所需各项资源的能力，且在项目实施过程中，不能兼任其他项目。</w:t>
      </w:r>
    </w:p>
    <w:p w14:paraId="35BF5098">
      <w:pPr>
        <w:pStyle w:val="24"/>
        <w:numPr>
          <w:ilvl w:val="0"/>
          <w:numId w:val="30"/>
        </w:numPr>
        <w:ind w:firstLineChars="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核心技术负责人：核心技术负责人作为项目整体技术把关，需具备全面扎实的技术能力。</w:t>
      </w:r>
    </w:p>
    <w:p w14:paraId="0783B02A">
      <w:pPr>
        <w:pStyle w:val="24"/>
        <w:numPr>
          <w:ilvl w:val="0"/>
          <w:numId w:val="30"/>
        </w:numPr>
        <w:ind w:firstLineChars="0"/>
        <w:rPr>
          <w:rFonts w:hint="eastAsia" w:ascii="宋体" w:hAnsi="宋体" w:cs="宋体"/>
        </w:rPr>
      </w:pPr>
      <w:r>
        <w:rPr>
          <w:rFonts w:hint="eastAsia" w:ascii="宋体" w:hAnsi="宋体" w:cs="宋体"/>
        </w:rPr>
        <w:t>为保证项目顺利实施，要求投标方优先选派的</w:t>
      </w:r>
      <w:r>
        <w:rPr>
          <w:rFonts w:hint="eastAsia" w:ascii="宋体" w:hAnsi="宋体" w:cs="宋体"/>
          <w:lang w:eastAsia="zh-CN"/>
        </w:rPr>
        <w:t>项目团队</w:t>
      </w:r>
      <w:r>
        <w:rPr>
          <w:rFonts w:hint="eastAsia" w:ascii="宋体" w:hAnsi="宋体" w:cs="宋体"/>
        </w:rPr>
        <w:t>人员（包括项目经理、核心技术负责人），不少于30人的</w:t>
      </w:r>
      <w:r>
        <w:rPr>
          <w:rFonts w:hint="eastAsia" w:ascii="宋体" w:hAnsi="宋体" w:cs="宋体"/>
          <w:lang w:eastAsia="zh-CN"/>
        </w:rPr>
        <w:t>项目</w:t>
      </w:r>
      <w:r>
        <w:rPr>
          <w:rFonts w:hint="eastAsia" w:ascii="宋体" w:hAnsi="宋体" w:cs="宋体"/>
        </w:rPr>
        <w:t>团队负责本项目实施。</w:t>
      </w:r>
    </w:p>
    <w:p w14:paraId="6209DFAC">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投标方应详细列出项目实施团队人员姓名、相关认证资质、项目经验等证明材料。</w:t>
      </w:r>
    </w:p>
    <w:p w14:paraId="1741A4EE">
      <w:pPr>
        <w:spacing w:line="360" w:lineRule="auto"/>
        <w:ind w:firstLine="480" w:firstLineChars="200"/>
        <w:rPr>
          <w:rFonts w:hint="eastAsia" w:ascii="宋体" w:hAnsi="宋体"/>
          <w:sz w:val="24"/>
        </w:rPr>
      </w:pPr>
      <w:r>
        <w:rPr>
          <w:rFonts w:hint="eastAsia" w:ascii="宋体" w:hAnsi="宋体"/>
          <w:sz w:val="24"/>
        </w:rPr>
        <w:t>投标人具备ISO9001质量管理体系认证证书的优先考虑。</w:t>
      </w:r>
    </w:p>
    <w:bookmarkEnd w:id="156"/>
    <w:p w14:paraId="2FD6ADF7">
      <w:pPr>
        <w:pStyle w:val="4"/>
        <w:numPr>
          <w:ilvl w:val="1"/>
          <w:numId w:val="0"/>
        </w:numPr>
        <w:spacing w:before="0" w:after="0"/>
        <w:rPr>
          <w:rFonts w:hint="eastAsia"/>
        </w:rPr>
      </w:pPr>
      <w:bookmarkStart w:id="157" w:name="_Toc970346765"/>
      <w:bookmarkStart w:id="158" w:name="_Toc1618922959"/>
      <w:bookmarkStart w:id="159" w:name="_Toc1878753426"/>
      <w:bookmarkStart w:id="160" w:name="_Toc32361"/>
      <w:bookmarkStart w:id="161" w:name="_Toc28905"/>
      <w:bookmarkStart w:id="162" w:name="_Toc11802607"/>
      <w:bookmarkStart w:id="163" w:name="_Toc32006"/>
      <w:bookmarkStart w:id="164" w:name="_Toc465421175"/>
      <w:bookmarkStart w:id="165" w:name="_Toc161"/>
      <w:bookmarkStart w:id="166" w:name="_Toc26742"/>
      <w:bookmarkStart w:id="167" w:name="_Toc125876368"/>
      <w:bookmarkStart w:id="168" w:name="_Toc13783"/>
      <w:bookmarkStart w:id="169" w:name="_Toc983166668"/>
      <w:r>
        <w:t>4.6</w:t>
      </w:r>
      <w:r>
        <w:rPr>
          <w:rFonts w:hint="eastAsia"/>
        </w:rPr>
        <w:t>培训要求</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59DCA675">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提供详细的项目培训计划及方案，具体要求如下：</w:t>
      </w:r>
    </w:p>
    <w:p w14:paraId="00EACC85">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1.培训方案中需提供对系统使用人员、系统运行维护管理人员等不同对象的培训计划。</w:t>
      </w:r>
    </w:p>
    <w:p w14:paraId="4AB4C104">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2.培训方案中需包含培训课程安排、培训方式、培训教材、培训时间等进行说明。</w:t>
      </w:r>
    </w:p>
    <w:p w14:paraId="135D80DC">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3.中标人需提供系统操作培训，操作培训主要是面向上海电子信息职业技术学院相关业务使用部门和运维管理部门。</w:t>
      </w:r>
    </w:p>
    <w:p w14:paraId="05254507">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4.提供系统日常维护系统培训，培训主要是面向上海电子信息职业技术学院技术人员，通过培训使其具备独立进行系统日常维护、故障的诊断与处理等方面的能力。</w:t>
      </w:r>
    </w:p>
    <w:p w14:paraId="01D5CD80">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中标人提供的培训内容应包含但不限于：系统安装配置、系统调试、操作使用、运行维护、故障排除等硬件方面业务技能知识培训，以及关于软件、软件结构、应用软件、数据库系统、安全系统、系统日常维护、故障维护、升级等软件方面业务技能知识的培训。</w:t>
      </w:r>
    </w:p>
    <w:p w14:paraId="02396492">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6.本次投标报价须包含培训产生的相关费用。</w:t>
      </w:r>
    </w:p>
    <w:p w14:paraId="6ED3E9F0">
      <w:pPr>
        <w:pStyle w:val="4"/>
        <w:numPr>
          <w:ilvl w:val="1"/>
          <w:numId w:val="0"/>
        </w:numPr>
        <w:spacing w:before="0" w:after="0"/>
        <w:rPr>
          <w:rFonts w:hint="eastAsia"/>
        </w:rPr>
      </w:pPr>
      <w:bookmarkStart w:id="170" w:name="_Toc1343009058"/>
      <w:bookmarkStart w:id="171" w:name="_Toc28179"/>
      <w:bookmarkStart w:id="172" w:name="_Toc627264037"/>
      <w:bookmarkStart w:id="173" w:name="_Toc27903"/>
      <w:bookmarkStart w:id="174" w:name="_Toc1198245851"/>
      <w:bookmarkStart w:id="175" w:name="_Toc620364423"/>
      <w:bookmarkStart w:id="176" w:name="_Toc1756768941"/>
      <w:r>
        <w:t>4.7</w:t>
      </w:r>
      <w:r>
        <w:rPr>
          <w:rFonts w:hint="eastAsia"/>
        </w:rPr>
        <w:t>项目测试要求</w:t>
      </w:r>
      <w:bookmarkEnd w:id="170"/>
      <w:bookmarkEnd w:id="171"/>
      <w:bookmarkEnd w:id="172"/>
      <w:bookmarkEnd w:id="173"/>
      <w:bookmarkEnd w:id="174"/>
      <w:bookmarkEnd w:id="175"/>
      <w:bookmarkEnd w:id="176"/>
    </w:p>
    <w:p w14:paraId="52C2962A">
      <w:pPr>
        <w:rPr>
          <w:rFonts w:hint="eastAsia" w:cs="宋体"/>
        </w:rPr>
      </w:pPr>
      <w:r>
        <w:rPr>
          <w:rFonts w:hint="eastAsia" w:cs="宋体"/>
        </w:rPr>
        <w:t>投标人应提供测试方案，验收时根据测试方案完成测试。</w:t>
      </w:r>
      <w:bookmarkStart w:id="177" w:name="_Toc20400"/>
      <w:bookmarkStart w:id="178" w:name="_Toc10680"/>
      <w:bookmarkStart w:id="179" w:name="_Toc3679"/>
      <w:bookmarkStart w:id="180" w:name="_Toc29885"/>
      <w:bookmarkStart w:id="181" w:name="_Toc10130"/>
      <w:bookmarkStart w:id="182" w:name="_Toc11802608"/>
      <w:bookmarkStart w:id="183" w:name="_Toc7724"/>
      <w:bookmarkStart w:id="184" w:name="_Toc125876369"/>
    </w:p>
    <w:p w14:paraId="0E07B6E2">
      <w:pPr>
        <w:rPr>
          <w:rFonts w:hint="eastAsia"/>
        </w:rPr>
      </w:pPr>
    </w:p>
    <w:p w14:paraId="58FFA59C">
      <w:pPr>
        <w:pStyle w:val="4"/>
        <w:numPr>
          <w:ilvl w:val="1"/>
          <w:numId w:val="0"/>
        </w:numPr>
        <w:spacing w:before="0" w:after="0"/>
        <w:rPr>
          <w:rFonts w:hint="eastAsia"/>
        </w:rPr>
      </w:pPr>
      <w:bookmarkStart w:id="185" w:name="_Toc262928784"/>
      <w:bookmarkStart w:id="186" w:name="_Toc1963859838"/>
      <w:bookmarkStart w:id="187" w:name="_Toc429446736"/>
      <w:bookmarkStart w:id="188" w:name="_Toc431751176"/>
      <w:bookmarkStart w:id="189" w:name="_Toc1900107836"/>
      <w:r>
        <w:t>4.8</w:t>
      </w:r>
      <w:r>
        <w:rPr>
          <w:rFonts w:hint="eastAsia"/>
        </w:rPr>
        <w:t>项目验收要求</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628143A3">
      <w:pPr>
        <w:rPr>
          <w:rFonts w:hint="eastAsia" w:cs="宋体"/>
        </w:rPr>
      </w:pPr>
      <w:r>
        <w:rPr>
          <w:rFonts w:hint="eastAsia" w:cs="宋体"/>
        </w:rPr>
        <w:t>投标方在投标方案中需提供详细的验收方案，此次项目验收由相关专家、验收通过后签署验收报告（巡考系统需现场演示与上海市教育考试院成功对接）。</w:t>
      </w:r>
    </w:p>
    <w:p w14:paraId="140CA89F">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双方签署最终终验文件时，投标方应提交规范、全套、完整的验收文档，包括但不限于需求分析报告、概要设计说明书、详细设计说明书、程序安装维护手册、使用手册、软件维护手册、系统在线实施手册、系统测试计划、系统测试报告、技术手册、配置、管理及维护的全面技术资料，以及所有与用户、设备等相关联的说明、表格，并有责任帮助整理、装订或刻盘、归档。</w:t>
      </w:r>
    </w:p>
    <w:p w14:paraId="44AD9E86">
      <w:pPr>
        <w:pStyle w:val="4"/>
        <w:numPr>
          <w:ilvl w:val="1"/>
          <w:numId w:val="0"/>
        </w:numPr>
        <w:spacing w:before="0" w:after="0"/>
        <w:rPr>
          <w:rFonts w:hint="eastAsia"/>
        </w:rPr>
      </w:pPr>
      <w:bookmarkStart w:id="190" w:name="_Toc1916126523"/>
      <w:bookmarkStart w:id="191" w:name="_Toc2030568762"/>
      <w:bookmarkStart w:id="192" w:name="_Toc18754385"/>
      <w:bookmarkStart w:id="193" w:name="_Toc27440"/>
      <w:bookmarkStart w:id="194" w:name="_Toc94771819"/>
      <w:bookmarkStart w:id="195" w:name="_Toc1670210809"/>
      <w:bookmarkStart w:id="196" w:name="_Toc23242"/>
      <w:r>
        <w:t>4.9</w:t>
      </w:r>
      <w:r>
        <w:rPr>
          <w:rFonts w:hint="eastAsia"/>
        </w:rPr>
        <w:t>技术文档要求</w:t>
      </w:r>
      <w:bookmarkEnd w:id="190"/>
      <w:bookmarkEnd w:id="191"/>
      <w:bookmarkEnd w:id="192"/>
      <w:bookmarkEnd w:id="193"/>
      <w:bookmarkEnd w:id="194"/>
      <w:bookmarkEnd w:id="195"/>
      <w:bookmarkEnd w:id="196"/>
    </w:p>
    <w:p w14:paraId="53A74E73">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系统验收后投标方需提供详细的相关技术文档等文档资料，文档包括但不限于以下内容：</w:t>
      </w:r>
    </w:p>
    <w:p w14:paraId="54796E76">
      <w:pPr>
        <w:numPr>
          <w:ilvl w:val="0"/>
          <w:numId w:val="31"/>
        </w:numPr>
        <w:ind w:firstLine="480"/>
        <w:rPr>
          <w:rFonts w:hint="eastAsia" w:cs="宋体"/>
          <w:color w:val="000000" w:themeColor="text1"/>
          <w14:textFill>
            <w14:solidFill>
              <w14:schemeClr w14:val="tx1"/>
            </w14:solidFill>
          </w14:textFill>
        </w:rPr>
      </w:pPr>
      <w:r>
        <w:rPr>
          <w:rFonts w:hint="eastAsia" w:cs="宋体"/>
          <w:color w:val="000000" w:themeColor="text1"/>
          <w:kern w:val="0"/>
          <w14:textFill>
            <w14:solidFill>
              <w14:schemeClr w14:val="tx1"/>
            </w14:solidFill>
          </w14:textFill>
        </w:rPr>
        <w:t>项目实施方案；</w:t>
      </w:r>
    </w:p>
    <w:p w14:paraId="518F9928">
      <w:pPr>
        <w:numPr>
          <w:ilvl w:val="0"/>
          <w:numId w:val="31"/>
        </w:numPr>
        <w:ind w:firstLine="480"/>
        <w:rPr>
          <w:rFonts w:hint="eastAsia" w:cs="宋体"/>
          <w:color w:val="000000" w:themeColor="text1"/>
          <w14:textFill>
            <w14:solidFill>
              <w14:schemeClr w14:val="tx1"/>
            </w14:solidFill>
          </w14:textFill>
        </w:rPr>
      </w:pPr>
      <w:r>
        <w:rPr>
          <w:rFonts w:hint="eastAsia" w:cs="宋体"/>
          <w:color w:val="000000" w:themeColor="text1"/>
          <w:kern w:val="0"/>
          <w14:textFill>
            <w14:solidFill>
              <w14:schemeClr w14:val="tx1"/>
            </w14:solidFill>
          </w14:textFill>
        </w:rPr>
        <w:t>需求说明书、设计说明书；</w:t>
      </w:r>
    </w:p>
    <w:p w14:paraId="0CF369C7">
      <w:pPr>
        <w:numPr>
          <w:ilvl w:val="0"/>
          <w:numId w:val="31"/>
        </w:numPr>
        <w:ind w:firstLine="480"/>
        <w:rPr>
          <w:rFonts w:hint="eastAsia" w:cs="宋体"/>
          <w:color w:val="000000" w:themeColor="text1"/>
          <w14:textFill>
            <w14:solidFill>
              <w14:schemeClr w14:val="tx1"/>
            </w14:solidFill>
          </w14:textFill>
        </w:rPr>
      </w:pPr>
      <w:r>
        <w:rPr>
          <w:rFonts w:hint="eastAsia" w:cs="宋体"/>
          <w:color w:val="000000" w:themeColor="text1"/>
          <w:kern w:val="0"/>
          <w14:textFill>
            <w14:solidFill>
              <w14:schemeClr w14:val="tx1"/>
            </w14:solidFill>
          </w14:textFill>
        </w:rPr>
        <w:t>测试报告；</w:t>
      </w:r>
    </w:p>
    <w:p w14:paraId="712DAD63">
      <w:pPr>
        <w:numPr>
          <w:ilvl w:val="0"/>
          <w:numId w:val="31"/>
        </w:numPr>
        <w:ind w:firstLine="480"/>
        <w:rPr>
          <w:rFonts w:hint="eastAsia" w:cs="宋体"/>
          <w:color w:val="000000" w:themeColor="text1"/>
          <w14:textFill>
            <w14:solidFill>
              <w14:schemeClr w14:val="tx1"/>
            </w14:solidFill>
          </w14:textFill>
        </w:rPr>
      </w:pPr>
      <w:r>
        <w:rPr>
          <w:rFonts w:hint="eastAsia" w:cs="宋体"/>
          <w:color w:val="000000" w:themeColor="text1"/>
          <w:kern w:val="0"/>
          <w14:textFill>
            <w14:solidFill>
              <w14:schemeClr w14:val="tx1"/>
            </w14:solidFill>
          </w14:textFill>
        </w:rPr>
        <w:t>用户操作手册、系统运维手册以及培训文档等；</w:t>
      </w:r>
    </w:p>
    <w:p w14:paraId="0061B4B7">
      <w:pPr>
        <w:numPr>
          <w:ilvl w:val="0"/>
          <w:numId w:val="31"/>
        </w:numPr>
        <w:ind w:firstLine="480"/>
        <w:rPr>
          <w:rFonts w:hint="eastAsia" w:cs="宋体"/>
          <w:color w:val="000000" w:themeColor="text1"/>
          <w14:textFill>
            <w14:solidFill>
              <w14:schemeClr w14:val="tx1"/>
            </w14:solidFill>
          </w14:textFill>
        </w:rPr>
      </w:pPr>
      <w:r>
        <w:rPr>
          <w:rFonts w:hint="eastAsia" w:cs="宋体"/>
          <w:color w:val="000000" w:themeColor="text1"/>
          <w:kern w:val="0"/>
          <w14:textFill>
            <w14:solidFill>
              <w14:schemeClr w14:val="tx1"/>
            </w14:solidFill>
          </w14:textFill>
        </w:rPr>
        <w:t>试运行报告、项目总结报告、验收报告等；</w:t>
      </w:r>
    </w:p>
    <w:p w14:paraId="3F5E8CCC">
      <w:pPr>
        <w:pStyle w:val="4"/>
        <w:numPr>
          <w:ilvl w:val="1"/>
          <w:numId w:val="0"/>
        </w:numPr>
        <w:spacing w:before="0" w:after="0"/>
        <w:rPr>
          <w:rFonts w:hint="eastAsia"/>
        </w:rPr>
      </w:pPr>
      <w:bookmarkStart w:id="197" w:name="_Toc11802609"/>
      <w:bookmarkStart w:id="198" w:name="_Toc1474316926"/>
      <w:bookmarkStart w:id="199" w:name="_Toc13745"/>
      <w:bookmarkStart w:id="200" w:name="_Toc19076"/>
      <w:bookmarkStart w:id="201" w:name="_Toc14508"/>
      <w:bookmarkStart w:id="202" w:name="_Toc29980"/>
      <w:bookmarkStart w:id="203" w:name="_Toc673701649"/>
      <w:bookmarkStart w:id="204" w:name="_Toc1544579506"/>
      <w:bookmarkStart w:id="205" w:name="_Toc2559"/>
      <w:bookmarkStart w:id="206" w:name="_Toc8035"/>
      <w:bookmarkStart w:id="207" w:name="_Toc125876370"/>
      <w:bookmarkStart w:id="208" w:name="_Toc2106548457"/>
      <w:bookmarkStart w:id="209" w:name="_Toc1672336233"/>
      <w:r>
        <w:t>4.10</w:t>
      </w:r>
      <w:r>
        <w:rPr>
          <w:rFonts w:hint="eastAsia"/>
        </w:rPr>
        <w:t>维保和售后服务要求</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294C506B">
      <w:pPr>
        <w:ind w:firstLine="482"/>
        <w:rPr>
          <w:rFonts w:hint="eastAsia"/>
          <w:b/>
          <w:bCs/>
        </w:rPr>
      </w:pPr>
      <w:bookmarkStart w:id="210" w:name="_Hlk100832893"/>
      <w:r>
        <w:rPr>
          <w:rFonts w:hint="eastAsia"/>
          <w:b/>
          <w:bCs/>
        </w:rPr>
        <w:t>免费维护期：</w:t>
      </w:r>
    </w:p>
    <w:p w14:paraId="6FB5E6B8">
      <w:pPr>
        <w:rPr>
          <w:rFonts w:hint="eastAsia" w:cs="宋体"/>
          <w:color w:val="000000" w:themeColor="text1"/>
          <w:kern w:val="0"/>
          <w14:textFill>
            <w14:solidFill>
              <w14:schemeClr w14:val="tx1"/>
            </w14:solidFill>
          </w14:textFill>
        </w:rPr>
      </w:pPr>
      <w:r>
        <w:rPr>
          <w:rFonts w:hint="eastAsia" w:cs="宋体"/>
          <w:color w:val="000000" w:themeColor="text1"/>
          <w:kern w:val="0"/>
          <w14:textFill>
            <w14:solidFill>
              <w14:schemeClr w14:val="tx1"/>
            </w14:solidFill>
          </w14:textFill>
        </w:rPr>
        <w:t>1、本项目整体系统质保期为</w:t>
      </w:r>
      <w:r>
        <w:rPr>
          <w:rFonts w:hint="eastAsia" w:cs="宋体"/>
          <w:color w:val="000000" w:themeColor="text1"/>
          <w:kern w:val="0"/>
          <w:lang w:val="en-US" w:eastAsia="zh-CN"/>
          <w14:textFill>
            <w14:solidFill>
              <w14:schemeClr w14:val="tx1"/>
            </w14:solidFill>
          </w14:textFill>
        </w:rPr>
        <w:t>3</w:t>
      </w:r>
      <w:r>
        <w:rPr>
          <w:rFonts w:hint="eastAsia" w:cs="宋体"/>
          <w:color w:val="000000" w:themeColor="text1"/>
          <w:kern w:val="0"/>
          <w14:textFill>
            <w14:solidFill>
              <w14:schemeClr w14:val="tx1"/>
            </w14:solidFill>
          </w14:textFill>
        </w:rPr>
        <w:t>年，硬件质保期为 3 年，详见采购产品清单要求。</w:t>
      </w:r>
    </w:p>
    <w:p w14:paraId="3061167C">
      <w:pPr>
        <w:rPr>
          <w:rFonts w:hint="eastAsia" w:cs="宋体"/>
          <w:color w:val="000000" w:themeColor="text1"/>
          <w:kern w:val="0"/>
          <w14:textFill>
            <w14:solidFill>
              <w14:schemeClr w14:val="tx1"/>
            </w14:solidFill>
          </w14:textFill>
        </w:rPr>
      </w:pPr>
      <w:r>
        <w:rPr>
          <w:rFonts w:hint="eastAsia" w:cs="宋体"/>
          <w:color w:val="000000" w:themeColor="text1"/>
          <w:kern w:val="0"/>
          <w14:textFill>
            <w14:solidFill>
              <w14:schemeClr w14:val="tx1"/>
            </w14:solidFill>
          </w14:textFill>
        </w:rPr>
        <w:t>2、根据本次招标文件所制定的目标和范围，提供详细的售后服务方案。</w:t>
      </w:r>
    </w:p>
    <w:p w14:paraId="17A84D6B">
      <w:pPr>
        <w:rPr>
          <w:rFonts w:hint="eastAsia" w:cs="宋体"/>
          <w:color w:val="000000" w:themeColor="text1"/>
          <w:kern w:val="0"/>
          <w14:textFill>
            <w14:solidFill>
              <w14:schemeClr w14:val="tx1"/>
            </w14:solidFill>
          </w14:textFill>
        </w:rPr>
      </w:pPr>
      <w:r>
        <w:rPr>
          <w:rFonts w:hint="eastAsia" w:cs="宋体"/>
          <w:color w:val="000000" w:themeColor="text1"/>
          <w:kern w:val="0"/>
          <w14:textFill>
            <w14:solidFill>
              <w14:schemeClr w14:val="tx1"/>
            </w14:solidFill>
          </w14:textFill>
        </w:rPr>
        <w:t>3、为保证本次项目顺利成功，承诺在项目质保期内均提供技术支持、方案咨询、故障排除、性能调优等服务。</w:t>
      </w:r>
    </w:p>
    <w:p w14:paraId="2EAEC874">
      <w:pPr>
        <w:ind w:firstLine="482"/>
        <w:rPr>
          <w:rFonts w:hint="eastAsia"/>
          <w:b/>
          <w:bCs/>
        </w:rPr>
      </w:pPr>
      <w:r>
        <w:rPr>
          <w:rFonts w:hint="eastAsia"/>
          <w:b/>
          <w:bCs/>
        </w:rPr>
        <w:t>售后服务</w:t>
      </w:r>
    </w:p>
    <w:p w14:paraId="024CE808">
      <w:pPr>
        <w:rPr>
          <w:rFonts w:hint="eastAsia"/>
        </w:rPr>
      </w:pPr>
      <w:r>
        <w:rPr>
          <w:rFonts w:hint="eastAsia"/>
        </w:rPr>
        <w:t>（1）技术支持</w:t>
      </w:r>
    </w:p>
    <w:p w14:paraId="5B6E1EDF">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投标方须提供应急技术支持服务，在接到技术支持要求时，应为系统使用人员提供如何使用系统的咨询。</w:t>
      </w:r>
    </w:p>
    <w:p w14:paraId="2AA3320C">
      <w:pPr>
        <w:rPr>
          <w:rFonts w:hint="eastAsia"/>
        </w:rPr>
      </w:pPr>
      <w:r>
        <w:rPr>
          <w:rFonts w:hint="eastAsia"/>
        </w:rPr>
        <w:t>（2）故障响应</w:t>
      </w:r>
    </w:p>
    <w:p w14:paraId="51C3C974">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投标方须保证在售后服务期内，各类故障应在接到报修电话通知后1小时内响应，对于影响系统正常运行的严重故障，4小时内到现场查找故障原因并提出解决方案，8小时内解决问题。</w:t>
      </w:r>
    </w:p>
    <w:p w14:paraId="5F1451D6">
      <w:pPr>
        <w:rPr>
          <w:rFonts w:hint="eastAsia"/>
        </w:rPr>
      </w:pPr>
      <w:r>
        <w:rPr>
          <w:rFonts w:hint="eastAsia"/>
        </w:rPr>
        <w:t>（3）热线服务</w:t>
      </w:r>
    </w:p>
    <w:p w14:paraId="299471C2">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应保证在质保期内为招标人的所有应用单位提供电话客服服务，并且投标方须提供本单位的热线电话、E-mail、传真、网站等途径，随时接受招标人及项目使用单位提出的各种技术问题，并在24小时内提供解决方案。</w:t>
      </w:r>
    </w:p>
    <w:p w14:paraId="3EDCF259">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其他服务：</w:t>
      </w:r>
    </w:p>
    <w:p w14:paraId="3D4A1620">
      <w:pPr>
        <w:numPr>
          <w:ilvl w:val="0"/>
          <w:numId w:val="32"/>
        </w:numPr>
        <w:ind w:left="0"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中标人负责所供软件及配套产品的售后服务，包括提供所供产品技术咨询、技术培训、到货验收、安装调试以及负责所供产品的保修及其他售后技术服务。</w:t>
      </w:r>
    </w:p>
    <w:p w14:paraId="5E3FA2A3">
      <w:pPr>
        <w:numPr>
          <w:ilvl w:val="0"/>
          <w:numId w:val="32"/>
        </w:numPr>
        <w:ind w:left="0"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中标人须作出无推诿承诺。即中标人应提供特殊措施，无论由于哪一方产生的问题而使系统发生不正常情况时，在得到招标人通知后，须立即派工程师到现场，全力协助招标人，使系统尽快恢复正常。</w:t>
      </w:r>
    </w:p>
    <w:p w14:paraId="4A4F3F53">
      <w:pPr>
        <w:numPr>
          <w:ilvl w:val="0"/>
          <w:numId w:val="32"/>
        </w:numPr>
        <w:ind w:left="0"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中标人应提供中文电话免费咨询服务。</w:t>
      </w:r>
    </w:p>
    <w:p w14:paraId="5D3D3382">
      <w:pPr>
        <w:numPr>
          <w:ilvl w:val="0"/>
          <w:numId w:val="32"/>
        </w:numPr>
        <w:ind w:left="0" w:firstLine="48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质保期结束前，须由中标人工程师和业主代表进行一次全面检查，任何缺陷必须由中标人负责修理，在修理之后，中标人应将缺陷原因、修理内容、完成修理及恢复正常的时间和日期等报告给招标人，报告一式两份。</w:t>
      </w:r>
    </w:p>
    <w:bookmarkEnd w:id="210"/>
    <w:p w14:paraId="0FEDF2B2">
      <w:pPr>
        <w:pStyle w:val="4"/>
        <w:numPr>
          <w:ilvl w:val="1"/>
          <w:numId w:val="0"/>
        </w:numPr>
        <w:spacing w:before="0" w:after="0"/>
        <w:rPr>
          <w:rFonts w:hint="eastAsia"/>
        </w:rPr>
      </w:pPr>
      <w:bookmarkStart w:id="211" w:name="_Toc689096095"/>
      <w:bookmarkStart w:id="212" w:name="_Toc965432406"/>
      <w:bookmarkStart w:id="213" w:name="_Toc1178256196"/>
      <w:bookmarkStart w:id="214" w:name="_Toc8462"/>
      <w:bookmarkStart w:id="215" w:name="_Toc3254"/>
      <w:bookmarkStart w:id="216" w:name="_Toc1344512357"/>
      <w:bookmarkStart w:id="217" w:name="_Toc1369827759"/>
      <w:r>
        <w:t>4.11</w:t>
      </w:r>
      <w:r>
        <w:rPr>
          <w:rFonts w:hint="eastAsia"/>
        </w:rPr>
        <w:t>保密承诺</w:t>
      </w:r>
      <w:bookmarkEnd w:id="211"/>
      <w:bookmarkEnd w:id="212"/>
      <w:bookmarkEnd w:id="213"/>
      <w:bookmarkEnd w:id="214"/>
      <w:bookmarkEnd w:id="215"/>
      <w:bookmarkEnd w:id="216"/>
      <w:bookmarkEnd w:id="217"/>
    </w:p>
    <w:p w14:paraId="368462CB">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1.中标人承诺参与本项目的所有服务人员需严格保守与本项目有关的技术秘密和商业秘密，任何涉及采购方及使用单位的信息，包括但不限于数据、特有的功能需求等，未得到采购方及使用单位的书面同意，不得对任何第三方展示、举例乃至销售，否则中标人将承担由此产生的一切后果。</w:t>
      </w:r>
    </w:p>
    <w:p w14:paraId="0FCECE34">
      <w:p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2.中标人不以实施项目为名，侵害本项目各参与单位的技术、商业秘密或者知识产权。</w:t>
      </w:r>
    </w:p>
    <w:p w14:paraId="0BC96D2C">
      <w:pPr>
        <w:pStyle w:val="4"/>
        <w:numPr>
          <w:ilvl w:val="1"/>
          <w:numId w:val="0"/>
        </w:numPr>
        <w:spacing w:before="0" w:after="0"/>
        <w:rPr>
          <w:rFonts w:hint="eastAsia"/>
        </w:rPr>
      </w:pPr>
      <w:bookmarkStart w:id="218" w:name="_Toc27323"/>
      <w:bookmarkStart w:id="219" w:name="_Toc1783494557"/>
      <w:bookmarkStart w:id="220" w:name="_Toc1670449673"/>
      <w:bookmarkStart w:id="221" w:name="_Toc21184"/>
      <w:bookmarkStart w:id="222" w:name="_Toc258760394"/>
      <w:bookmarkStart w:id="223" w:name="_Toc1396250365"/>
      <w:bookmarkStart w:id="224" w:name="_Toc1005177185"/>
      <w:r>
        <w:t>4.12</w:t>
      </w:r>
      <w:r>
        <w:rPr>
          <w:rFonts w:hint="eastAsia"/>
        </w:rPr>
        <w:t>其他要求</w:t>
      </w:r>
      <w:bookmarkEnd w:id="218"/>
      <w:bookmarkEnd w:id="219"/>
      <w:bookmarkEnd w:id="220"/>
      <w:bookmarkEnd w:id="221"/>
      <w:bookmarkEnd w:id="222"/>
      <w:bookmarkEnd w:id="223"/>
      <w:bookmarkEnd w:id="224"/>
    </w:p>
    <w:p w14:paraId="496DE103">
      <w:pPr>
        <w:numPr>
          <w:ilvl w:val="0"/>
          <w:numId w:val="33"/>
        </w:num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中标人需提供相应的技术服务，在满足采购方的应用与需求的前提下，配合完成相关的系统集成工作。</w:t>
      </w:r>
    </w:p>
    <w:p w14:paraId="175E1A7E">
      <w:pPr>
        <w:numPr>
          <w:ilvl w:val="0"/>
          <w:numId w:val="33"/>
        </w:num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投标方提供的产品及其配置应该是安全、可靠和成熟的，不是技术上已经或即将淘汰的。</w:t>
      </w:r>
    </w:p>
    <w:p w14:paraId="102B048E">
      <w:pPr>
        <w:numPr>
          <w:ilvl w:val="0"/>
          <w:numId w:val="33"/>
        </w:numPr>
        <w:rPr>
          <w:rFonts w:hint="eastAsia" w:cs="宋体"/>
        </w:rPr>
      </w:pPr>
      <w:r>
        <w:rPr>
          <w:rFonts w:hint="eastAsia" w:cs="宋体"/>
          <w:color w:val="000000" w:themeColor="text1"/>
          <w14:textFill>
            <w14:solidFill>
              <w14:schemeClr w14:val="tx1"/>
            </w14:solidFill>
          </w14:textFill>
        </w:rPr>
        <w:t>投标方提供的产品在升级、扩展时不应改变整个系统的结构、通信方式、管理</w:t>
      </w:r>
      <w:r>
        <w:rPr>
          <w:rFonts w:hint="eastAsia" w:cs="宋体"/>
        </w:rPr>
        <w:t>模式，不应破坏应用软件的正常工作环境。</w:t>
      </w:r>
    </w:p>
    <w:p w14:paraId="5D5A7893">
      <w:pPr>
        <w:numPr>
          <w:ilvl w:val="0"/>
          <w:numId w:val="33"/>
        </w:numPr>
        <w:rPr>
          <w:rFonts w:hint="eastAsia"/>
        </w:rPr>
      </w:pPr>
      <w:r>
        <w:rPr>
          <w:rFonts w:hint="eastAsia" w:cs="宋体"/>
        </w:rPr>
        <w:t>技术支撑证明材料以权威机构出具的认证证书（如通过</w:t>
      </w:r>
      <w:r>
        <w:rPr>
          <w:rFonts w:cs="宋体"/>
        </w:rPr>
        <w:t xml:space="preserve"> 3C 认证的证书）或第三方检测机构出具的检测报告或投标货物制造商公开发布的印刷资料为准</w:t>
      </w:r>
      <w:r>
        <w:rPr>
          <w:rFonts w:hint="eastAsia" w:cs="宋体"/>
        </w:rPr>
        <w:t>。</w:t>
      </w:r>
    </w:p>
    <w:p w14:paraId="72D09A0F">
      <w:pPr>
        <w:numPr>
          <w:ilvl w:val="0"/>
          <w:numId w:val="33"/>
        </w:numP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投标人需提供质保期后三年内维保服务的价格清单，格式自拟。</w:t>
      </w:r>
    </w:p>
    <w:p w14:paraId="47B3188D">
      <w:pPr>
        <w:numPr>
          <w:ilvl w:val="0"/>
          <w:numId w:val="33"/>
        </w:numPr>
        <w:rPr>
          <w:rFonts w:hint="eastAsia"/>
        </w:rPr>
      </w:pPr>
      <w:r>
        <w:rPr>
          <w:rFonts w:hint="eastAsia" w:cs="宋体"/>
          <w:color w:val="000000" w:themeColor="text1"/>
          <w14:textFill>
            <w14:solidFill>
              <w14:schemeClr w14:val="tx1"/>
            </w14:solidFill>
          </w14:textFill>
        </w:rPr>
        <w:t>投标人所提供产品质保期应不低于厂商出厂保质期。</w:t>
      </w:r>
    </w:p>
    <w:p w14:paraId="3CC1B0AA">
      <w:pPr>
        <w:numPr>
          <w:ilvl w:val="0"/>
          <w:numId w:val="33"/>
        </w:numPr>
        <w:rPr>
          <w:rFonts w:hint="eastAsia"/>
        </w:rPr>
      </w:pPr>
      <w:r>
        <w:rPr>
          <w:rStyle w:val="19"/>
          <w:rFonts w:hint="eastAsia" w:ascii="Times New Roman" w:hAnsi="Times New Roman"/>
          <w:b w:val="0"/>
        </w:rPr>
        <w:t>投标人须在2025年1月11日之前完成项目的智慧大屏（86寸和90寸）、超大屏（150寸）、日常存储、巡考管理平台、云录播平台、融合信息终端主</w:t>
      </w:r>
      <w:r>
        <w:rPr>
          <w:rStyle w:val="19"/>
          <w:rFonts w:hint="eastAsia" w:ascii="Times New Roman" w:hAnsi="Times New Roman"/>
          <w:b w:val="0"/>
          <w:bCs/>
        </w:rPr>
        <w:t>要大型设备的</w:t>
      </w:r>
      <w:r>
        <w:rPr>
          <w:rStyle w:val="19"/>
          <w:rFonts w:hint="eastAsia" w:ascii="Times New Roman" w:hAnsi="Times New Roman"/>
          <w:b w:val="0"/>
        </w:rPr>
        <w:t>的供货；</w:t>
      </w:r>
    </w:p>
    <w:p w14:paraId="6DA3429F">
      <w:pPr>
        <w:numPr>
          <w:ilvl w:val="0"/>
          <w:numId w:val="33"/>
        </w:numPr>
        <w:rPr>
          <w:rFonts w:hint="eastAsia" w:cs="宋体"/>
        </w:rPr>
      </w:pPr>
      <w:r>
        <w:rPr>
          <w:rFonts w:hint="eastAsia" w:cs="宋体"/>
        </w:rPr>
        <w:t>投标人</w:t>
      </w:r>
      <w:r>
        <w:rPr>
          <w:rFonts w:hint="eastAsia" w:cs="宋体"/>
          <w:lang w:eastAsia="zh-CN"/>
        </w:rPr>
        <w:t>需</w:t>
      </w:r>
      <w:r>
        <w:rPr>
          <w:rFonts w:hint="eastAsia" w:cs="宋体"/>
        </w:rPr>
        <w:t>按照采购方需求拆除原教室内相关设备到指定地点。</w:t>
      </w:r>
    </w:p>
    <w:p w14:paraId="2B3FB7F0">
      <w:pPr>
        <w:numPr>
          <w:ilvl w:val="0"/>
          <w:numId w:val="33"/>
        </w:numPr>
        <w:rPr>
          <w:rFonts w:hint="eastAsia" w:cs="宋体"/>
          <w:color w:val="auto"/>
          <w:highlight w:val="none"/>
        </w:rPr>
      </w:pPr>
      <w:r>
        <w:rPr>
          <w:rFonts w:hint="eastAsia" w:cs="宋体"/>
          <w:color w:val="auto"/>
          <w:highlight w:val="none"/>
        </w:rPr>
        <w:t>中标方应在中标通知发布3日内提供相关检测报告的原件备查。</w:t>
      </w:r>
    </w:p>
    <w:p w14:paraId="46803480">
      <w:pPr>
        <w:ind w:firstLine="0" w:firstLineChars="0"/>
        <w:rPr>
          <w:rFonts w:hint="eastAsia"/>
        </w:rPr>
      </w:pPr>
    </w:p>
    <w:sectPr>
      <w:headerReference r:id="rId8" w:type="first"/>
      <w:footerReference r:id="rId11" w:type="first"/>
      <w:headerReference r:id="rId6" w:type="default"/>
      <w:footerReference r:id="rId9" w:type="default"/>
      <w:headerReference r:id="rId7" w:type="even"/>
      <w:footerReference r:id="rId10" w:type="even"/>
      <w:pgSz w:w="11906" w:h="16838"/>
      <w:pgMar w:top="1134" w:right="1797" w:bottom="1135" w:left="1797" w:header="340" w:footer="7" w:gutter="0"/>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ongti SC Regular">
    <w:altName w:val="仿宋_GB2312"/>
    <w:panose1 w:val="00000000000000000000"/>
    <w:charset w:val="86"/>
    <w:family w:val="auto"/>
    <w:pitch w:val="default"/>
    <w:sig w:usb0="00000000" w:usb1="00000000" w:usb2="00000000" w:usb3="00000000" w:csb0="00160000" w:csb1="00000000"/>
  </w:font>
  <w:font w:name="仿宋_GB2312">
    <w:panose1 w:val="02010609030101010101"/>
    <w:charset w:val="86"/>
    <w:family w:val="auto"/>
    <w:pitch w:val="default"/>
    <w:sig w:usb0="00000001" w:usb1="080E0000" w:usb2="00000000" w:usb3="00000000" w:csb0="00040000" w:csb1="00000000"/>
  </w:font>
  <w:font w:name="宋体-简">
    <w:altName w:val="方正书宋_GBK"/>
    <w:panose1 w:val="00000000000000000000"/>
    <w:charset w:val="86"/>
    <w:family w:val="auto"/>
    <w:pitch w:val="default"/>
    <w:sig w:usb0="00000000" w:usb1="00000000" w:usb2="00000000" w:usb3="00000000" w:csb0="00160000" w:csb1="00000000"/>
  </w:font>
  <w:font w:name="Heiti SC Light">
    <w:altName w:val="仿宋_GB2312"/>
    <w:panose1 w:val="00000000000000000000"/>
    <w:charset w:val="86"/>
    <w:family w:val="auto"/>
    <w:pitch w:val="default"/>
    <w:sig w:usb0="00000000" w:usb1="00000000" w:usb2="00000000" w:usb3="00000000" w:csb0="00160000" w:csb1="00000000"/>
  </w:font>
  <w:font w:name="GWZT-EN">
    <w:panose1 w:val="02020400000000000000"/>
    <w:charset w:val="86"/>
    <w:family w:val="auto"/>
    <w:pitch w:val="default"/>
    <w:sig w:usb0="A00002BF" w:usb1="38CF7CFA" w:usb2="00082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B977C">
    <w:pPr>
      <w:pStyle w:val="10"/>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319BD">
                          <w:pPr>
                            <w:pStyle w:val="10"/>
                            <w:ind w:firstLine="360"/>
                            <w:rPr>
                              <w:rFonts w:hint="eastAsia"/>
                            </w:rPr>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C4319BD">
                    <w:pPr>
                      <w:pStyle w:val="10"/>
                      <w:ind w:firstLine="360"/>
                      <w:rPr>
                        <w:rFonts w:hint="eastAsia"/>
                      </w:rPr>
                    </w:pPr>
                    <w:r>
                      <w:fldChar w:fldCharType="begin"/>
                    </w:r>
                    <w:r>
                      <w:instrText xml:space="preserve"> PAGE  \* MERGEFORMAT </w:instrText>
                    </w:r>
                    <w:r>
                      <w:fldChar w:fldCharType="separate"/>
                    </w:r>
                    <w:r>
                      <w:t>90</w:t>
                    </w:r>
                    <w:r>
                      <w:fldChar w:fldCharType="end"/>
                    </w:r>
                  </w:p>
                </w:txbxContent>
              </v:textbox>
            </v:shape>
          </w:pict>
        </mc:Fallback>
      </mc:AlternateContent>
    </w:r>
  </w:p>
  <w:p w14:paraId="027F4B3D">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2139">
    <w:pPr>
      <w:pStyle w:val="10"/>
      <w:ind w:firstLine="360"/>
      <w:rPr>
        <w:rFonts w:hint="eastAsia"/>
      </w:rPr>
    </w:pPr>
  </w:p>
  <w:p w14:paraId="40AA6CA3">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1C0E8">
    <w:pPr>
      <w:ind w:firstLine="0" w:firstLineChars="0"/>
      <w:jc w:val="center"/>
      <w:rPr>
        <w:rFonts w:hint="eastAsia"/>
        <w:lang w:val="zh-C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8F1A7">
                          <w:pPr>
                            <w:pStyle w:val="10"/>
                            <w:ind w:firstLine="360"/>
                            <w:rPr>
                              <w:rFonts w:hint="eastAsia"/>
                            </w:rPr>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328F1A7">
                    <w:pPr>
                      <w:pStyle w:val="10"/>
                      <w:ind w:firstLine="360"/>
                      <w:rPr>
                        <w:rFonts w:hint="eastAsia"/>
                      </w:rPr>
                    </w:pPr>
                    <w:r>
                      <w:fldChar w:fldCharType="begin"/>
                    </w:r>
                    <w:r>
                      <w:instrText xml:space="preserve"> PAGE  \* MERGEFORMAT </w:instrText>
                    </w:r>
                    <w:r>
                      <w:fldChar w:fldCharType="separate"/>
                    </w:r>
                    <w:r>
                      <w:t>89</w:t>
                    </w:r>
                    <w:r>
                      <w:fldChar w:fldCharType="end"/>
                    </w:r>
                  </w:p>
                </w:txbxContent>
              </v:textbox>
            </v:shape>
          </w:pict>
        </mc:Fallback>
      </mc:AlternateContent>
    </w:r>
  </w:p>
  <w:p w14:paraId="39326072">
    <w:pPr>
      <w:rPr>
        <w:rFonts w:hint="eastAsia"/>
      </w:rPr>
    </w:pPr>
  </w:p>
  <w:p w14:paraId="5CAAB8EC">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DC0C1">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B1720">
    <w:pPr>
      <w:pStyle w:val="11"/>
      <w:pBdr>
        <w:bottom w:val="none" w:color="auto" w:sz="0" w:space="0"/>
      </w:pBdr>
      <w:ind w:firstLine="360"/>
    </w:pPr>
  </w:p>
  <w:p w14:paraId="6C331A9D">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45D37">
    <w:pPr>
      <w:pStyle w:val="11"/>
      <w:ind w:firstLine="360"/>
    </w:pPr>
  </w:p>
  <w:p w14:paraId="11A8D908">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9924">
    <w:pPr>
      <w:pStyle w:val="11"/>
      <w:pBdr>
        <w:bottom w:val="none" w:color="auto" w:sz="0" w:space="0"/>
      </w:pBdr>
      <w:ind w:firstLine="360"/>
    </w:pPr>
  </w:p>
  <w:p w14:paraId="19D9BFB0">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BC5FC"/>
    <w:multiLevelType w:val="singleLevel"/>
    <w:tmpl w:val="816BC5FC"/>
    <w:lvl w:ilvl="0" w:tentative="0">
      <w:start w:val="1"/>
      <w:numFmt w:val="decimal"/>
      <w:lvlText w:val="(%1)"/>
      <w:lvlJc w:val="left"/>
      <w:pPr>
        <w:tabs>
          <w:tab w:val="left" w:pos="840"/>
        </w:tabs>
        <w:ind w:left="1265" w:hanging="425"/>
      </w:pPr>
      <w:rPr>
        <w:rFonts w:hint="default"/>
      </w:rPr>
    </w:lvl>
  </w:abstractNum>
  <w:abstractNum w:abstractNumId="1">
    <w:nsid w:val="84A05544"/>
    <w:multiLevelType w:val="singleLevel"/>
    <w:tmpl w:val="84A05544"/>
    <w:lvl w:ilvl="0" w:tentative="0">
      <w:start w:val="1"/>
      <w:numFmt w:val="decimal"/>
      <w:lvlText w:val="(%1)"/>
      <w:lvlJc w:val="left"/>
      <w:pPr>
        <w:tabs>
          <w:tab w:val="left" w:pos="840"/>
        </w:tabs>
        <w:ind w:left="905" w:hanging="425"/>
      </w:pPr>
      <w:rPr>
        <w:rFonts w:hint="default"/>
      </w:rPr>
    </w:lvl>
  </w:abstractNum>
  <w:abstractNum w:abstractNumId="2">
    <w:nsid w:val="920971F4"/>
    <w:multiLevelType w:val="singleLevel"/>
    <w:tmpl w:val="920971F4"/>
    <w:lvl w:ilvl="0" w:tentative="0">
      <w:start w:val="1"/>
      <w:numFmt w:val="decimal"/>
      <w:suff w:val="space"/>
      <w:lvlText w:val="%1)"/>
      <w:lvlJc w:val="left"/>
    </w:lvl>
  </w:abstractNum>
  <w:abstractNum w:abstractNumId="3">
    <w:nsid w:val="B67F8A68"/>
    <w:multiLevelType w:val="singleLevel"/>
    <w:tmpl w:val="B67F8A68"/>
    <w:lvl w:ilvl="0" w:tentative="0">
      <w:start w:val="1"/>
      <w:numFmt w:val="bullet"/>
      <w:lvlText w:val=""/>
      <w:lvlJc w:val="left"/>
      <w:pPr>
        <w:ind w:left="420" w:hanging="420"/>
      </w:pPr>
      <w:rPr>
        <w:rFonts w:hint="default" w:ascii="Wingdings" w:hAnsi="Wingdings"/>
      </w:rPr>
    </w:lvl>
  </w:abstractNum>
  <w:abstractNum w:abstractNumId="4">
    <w:nsid w:val="EFDF5100"/>
    <w:multiLevelType w:val="singleLevel"/>
    <w:tmpl w:val="EFDF5100"/>
    <w:lvl w:ilvl="0" w:tentative="0">
      <w:start w:val="1"/>
      <w:numFmt w:val="decimal"/>
      <w:suff w:val="nothing"/>
      <w:lvlText w:val="%1．"/>
      <w:lvlJc w:val="left"/>
      <w:pPr>
        <w:ind w:left="0" w:firstLine="400"/>
      </w:pPr>
      <w:rPr>
        <w:rFonts w:hint="default"/>
      </w:rPr>
    </w:lvl>
  </w:abstractNum>
  <w:abstractNum w:abstractNumId="5">
    <w:nsid w:val="FDFEDC20"/>
    <w:multiLevelType w:val="singleLevel"/>
    <w:tmpl w:val="FDFEDC20"/>
    <w:lvl w:ilvl="0" w:tentative="0">
      <w:start w:val="1"/>
      <w:numFmt w:val="decimal"/>
      <w:suff w:val="nothing"/>
      <w:lvlText w:val="%1．"/>
      <w:lvlJc w:val="left"/>
      <w:pPr>
        <w:ind w:left="0" w:firstLine="400"/>
      </w:pPr>
      <w:rPr>
        <w:rFonts w:hint="default"/>
      </w:rPr>
    </w:lvl>
  </w:abstractNum>
  <w:abstractNum w:abstractNumId="6">
    <w:nsid w:val="00000028"/>
    <w:multiLevelType w:val="multilevel"/>
    <w:tmpl w:val="00000028"/>
    <w:lvl w:ilvl="0" w:tentative="0">
      <w:start w:val="1"/>
      <w:numFmt w:val="decimal"/>
      <w:lvlText w:val="%1)"/>
      <w:lvlJc w:val="left"/>
      <w:pPr>
        <w:ind w:left="480" w:hanging="480"/>
      </w:p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057346AE"/>
    <w:multiLevelType w:val="multilevel"/>
    <w:tmpl w:val="057346AE"/>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
    <w:nsid w:val="101645B4"/>
    <w:multiLevelType w:val="singleLevel"/>
    <w:tmpl w:val="101645B4"/>
    <w:lvl w:ilvl="0" w:tentative="0">
      <w:start w:val="1"/>
      <w:numFmt w:val="decimal"/>
      <w:lvlText w:val="%1."/>
      <w:lvlJc w:val="left"/>
      <w:pPr>
        <w:ind w:left="425" w:hanging="425"/>
      </w:pPr>
      <w:rPr>
        <w:rFonts w:hint="default"/>
      </w:rPr>
    </w:lvl>
  </w:abstractNum>
  <w:abstractNum w:abstractNumId="9">
    <w:nsid w:val="12491E43"/>
    <w:multiLevelType w:val="singleLevel"/>
    <w:tmpl w:val="12491E43"/>
    <w:lvl w:ilvl="0" w:tentative="0">
      <w:start w:val="1"/>
      <w:numFmt w:val="decimal"/>
      <w:lvlText w:val="%1."/>
      <w:lvlJc w:val="left"/>
      <w:pPr>
        <w:ind w:left="425" w:hanging="425"/>
      </w:pPr>
      <w:rPr>
        <w:rFonts w:hint="default"/>
      </w:rPr>
    </w:lvl>
  </w:abstractNum>
  <w:abstractNum w:abstractNumId="10">
    <w:nsid w:val="186B6EB2"/>
    <w:multiLevelType w:val="multilevel"/>
    <w:tmpl w:val="186B6EB2"/>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1">
    <w:nsid w:val="1FD64086"/>
    <w:multiLevelType w:val="singleLevel"/>
    <w:tmpl w:val="1FD64086"/>
    <w:lvl w:ilvl="0" w:tentative="0">
      <w:start w:val="1"/>
      <w:numFmt w:val="decimal"/>
      <w:suff w:val="nothing"/>
      <w:lvlText w:val="%1．"/>
      <w:lvlJc w:val="left"/>
      <w:pPr>
        <w:ind w:left="0" w:firstLine="400"/>
      </w:pPr>
      <w:rPr>
        <w:rFonts w:hint="default"/>
      </w:rPr>
    </w:lvl>
  </w:abstractNum>
  <w:abstractNum w:abstractNumId="12">
    <w:nsid w:val="219C1626"/>
    <w:multiLevelType w:val="multilevel"/>
    <w:tmpl w:val="219C1626"/>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3">
    <w:nsid w:val="27342E1A"/>
    <w:multiLevelType w:val="singleLevel"/>
    <w:tmpl w:val="27342E1A"/>
    <w:lvl w:ilvl="0" w:tentative="0">
      <w:start w:val="1"/>
      <w:numFmt w:val="decimal"/>
      <w:lvlText w:val="%1."/>
      <w:lvlJc w:val="left"/>
      <w:pPr>
        <w:ind w:left="425" w:hanging="425"/>
      </w:pPr>
      <w:rPr>
        <w:rFonts w:hint="default"/>
      </w:rPr>
    </w:lvl>
  </w:abstractNum>
  <w:abstractNum w:abstractNumId="14">
    <w:nsid w:val="27F0517F"/>
    <w:multiLevelType w:val="multilevel"/>
    <w:tmpl w:val="27F0517F"/>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5">
    <w:nsid w:val="28DA6267"/>
    <w:multiLevelType w:val="singleLevel"/>
    <w:tmpl w:val="28DA6267"/>
    <w:lvl w:ilvl="0" w:tentative="0">
      <w:start w:val="1"/>
      <w:numFmt w:val="decimal"/>
      <w:lvlText w:val="%1."/>
      <w:lvlJc w:val="left"/>
      <w:pPr>
        <w:ind w:left="425" w:hanging="425"/>
      </w:pPr>
      <w:rPr>
        <w:rFonts w:hint="default"/>
      </w:rPr>
    </w:lvl>
  </w:abstractNum>
  <w:abstractNum w:abstractNumId="16">
    <w:nsid w:val="2F4C2122"/>
    <w:multiLevelType w:val="singleLevel"/>
    <w:tmpl w:val="2F4C2122"/>
    <w:lvl w:ilvl="0" w:tentative="0">
      <w:start w:val="1"/>
      <w:numFmt w:val="decimal"/>
      <w:lvlText w:val="%1."/>
      <w:lvlJc w:val="left"/>
      <w:pPr>
        <w:ind w:left="425" w:hanging="425"/>
      </w:pPr>
      <w:rPr>
        <w:rFonts w:hint="default"/>
      </w:rPr>
    </w:lvl>
  </w:abstractNum>
  <w:abstractNum w:abstractNumId="17">
    <w:nsid w:val="345C6691"/>
    <w:multiLevelType w:val="singleLevel"/>
    <w:tmpl w:val="345C6691"/>
    <w:lvl w:ilvl="0" w:tentative="0">
      <w:start w:val="1"/>
      <w:numFmt w:val="decimal"/>
      <w:lvlText w:val="%1."/>
      <w:lvlJc w:val="left"/>
      <w:pPr>
        <w:ind w:left="425" w:hanging="425"/>
      </w:pPr>
      <w:rPr>
        <w:rFonts w:hint="default"/>
      </w:rPr>
    </w:lvl>
  </w:abstractNum>
  <w:abstractNum w:abstractNumId="18">
    <w:nsid w:val="37A86D1F"/>
    <w:multiLevelType w:val="singleLevel"/>
    <w:tmpl w:val="37A86D1F"/>
    <w:lvl w:ilvl="0" w:tentative="0">
      <w:start w:val="1"/>
      <w:numFmt w:val="decimal"/>
      <w:lvlText w:val="%1."/>
      <w:lvlJc w:val="left"/>
      <w:pPr>
        <w:ind w:left="425" w:hanging="425"/>
      </w:pPr>
      <w:rPr>
        <w:rFonts w:hint="default"/>
      </w:rPr>
    </w:lvl>
  </w:abstractNum>
  <w:abstractNum w:abstractNumId="19">
    <w:nsid w:val="43A01D85"/>
    <w:multiLevelType w:val="multilevel"/>
    <w:tmpl w:val="43A01D8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0">
    <w:nsid w:val="44400F79"/>
    <w:multiLevelType w:val="singleLevel"/>
    <w:tmpl w:val="44400F79"/>
    <w:lvl w:ilvl="0" w:tentative="0">
      <w:start w:val="1"/>
      <w:numFmt w:val="decimal"/>
      <w:lvlText w:val="%1."/>
      <w:lvlJc w:val="left"/>
      <w:pPr>
        <w:ind w:left="425" w:hanging="425"/>
      </w:pPr>
      <w:rPr>
        <w:rFonts w:hint="default"/>
      </w:rPr>
    </w:lvl>
  </w:abstractNum>
  <w:abstractNum w:abstractNumId="21">
    <w:nsid w:val="48DA1777"/>
    <w:multiLevelType w:val="singleLevel"/>
    <w:tmpl w:val="48DA1777"/>
    <w:lvl w:ilvl="0" w:tentative="0">
      <w:start w:val="1"/>
      <w:numFmt w:val="decimal"/>
      <w:suff w:val="nothing"/>
      <w:lvlText w:val="%1．"/>
      <w:lvlJc w:val="left"/>
      <w:pPr>
        <w:ind w:left="0" w:firstLine="400"/>
      </w:pPr>
      <w:rPr>
        <w:rFonts w:hint="default"/>
      </w:rPr>
    </w:lvl>
  </w:abstractNum>
  <w:abstractNum w:abstractNumId="22">
    <w:nsid w:val="4BD31B09"/>
    <w:multiLevelType w:val="multilevel"/>
    <w:tmpl w:val="4BD31B09"/>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3">
    <w:nsid w:val="4CAB7A4F"/>
    <w:multiLevelType w:val="singleLevel"/>
    <w:tmpl w:val="4CAB7A4F"/>
    <w:lvl w:ilvl="0" w:tentative="0">
      <w:start w:val="1"/>
      <w:numFmt w:val="decimal"/>
      <w:lvlText w:val="%1."/>
      <w:lvlJc w:val="left"/>
      <w:pPr>
        <w:ind w:left="425" w:hanging="425"/>
      </w:pPr>
      <w:rPr>
        <w:rFonts w:hint="default"/>
      </w:rPr>
    </w:lvl>
  </w:abstractNum>
  <w:abstractNum w:abstractNumId="24">
    <w:nsid w:val="5C283456"/>
    <w:multiLevelType w:val="multilevel"/>
    <w:tmpl w:val="5C283456"/>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5">
    <w:nsid w:val="604036B0"/>
    <w:multiLevelType w:val="singleLevel"/>
    <w:tmpl w:val="604036B0"/>
    <w:lvl w:ilvl="0" w:tentative="0">
      <w:start w:val="1"/>
      <w:numFmt w:val="decimal"/>
      <w:lvlText w:val="%1."/>
      <w:lvlJc w:val="left"/>
      <w:pPr>
        <w:ind w:left="425" w:hanging="425"/>
      </w:pPr>
      <w:rPr>
        <w:rFonts w:hint="default"/>
      </w:rPr>
    </w:lvl>
  </w:abstractNum>
  <w:abstractNum w:abstractNumId="26">
    <w:nsid w:val="6A2F4AB3"/>
    <w:multiLevelType w:val="multilevel"/>
    <w:tmpl w:val="6A2F4AB3"/>
    <w:lvl w:ilvl="0" w:tentative="0">
      <w:start w:val="1"/>
      <w:numFmt w:val="chineseCountingThousand"/>
      <w:pStyle w:val="3"/>
      <w:suff w:val="nothing"/>
      <w:lvlText w:val="%1、"/>
      <w:lvlJc w:val="left"/>
      <w:pPr>
        <w:ind w:left="425" w:hanging="425"/>
      </w:pPr>
      <w:rPr>
        <w:rFonts w:hint="eastAsia"/>
        <w:sz w:val="32"/>
        <w:szCs w:val="32"/>
      </w:rPr>
    </w:lvl>
    <w:lvl w:ilvl="1" w:tentative="0">
      <w:start w:val="1"/>
      <w:numFmt w:val="decimal"/>
      <w:pStyle w:val="4"/>
      <w:isLgl/>
      <w:suff w:val="nothing"/>
      <w:lvlText w:val="%1.%2、"/>
      <w:lvlJc w:val="left"/>
      <w:pPr>
        <w:ind w:left="1418"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7">
    <w:nsid w:val="6A674BFF"/>
    <w:multiLevelType w:val="multilevel"/>
    <w:tmpl w:val="6A674BF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8">
    <w:nsid w:val="6F2C3C1E"/>
    <w:multiLevelType w:val="singleLevel"/>
    <w:tmpl w:val="6F2C3C1E"/>
    <w:lvl w:ilvl="0" w:tentative="0">
      <w:start w:val="1"/>
      <w:numFmt w:val="decimal"/>
      <w:lvlText w:val="%1."/>
      <w:lvlJc w:val="left"/>
      <w:pPr>
        <w:ind w:left="425" w:hanging="425"/>
      </w:pPr>
      <w:rPr>
        <w:rFonts w:hint="default"/>
      </w:rPr>
    </w:lvl>
  </w:abstractNum>
  <w:abstractNum w:abstractNumId="29">
    <w:nsid w:val="73BF3166"/>
    <w:multiLevelType w:val="singleLevel"/>
    <w:tmpl w:val="73BF3166"/>
    <w:lvl w:ilvl="0" w:tentative="0">
      <w:start w:val="1"/>
      <w:numFmt w:val="decimal"/>
      <w:suff w:val="nothing"/>
      <w:lvlText w:val="%1．"/>
      <w:lvlJc w:val="left"/>
      <w:pPr>
        <w:ind w:left="0" w:firstLine="400"/>
      </w:pPr>
      <w:rPr>
        <w:rFonts w:hint="default"/>
      </w:rPr>
    </w:lvl>
  </w:abstractNum>
  <w:abstractNum w:abstractNumId="30">
    <w:nsid w:val="78A6589D"/>
    <w:multiLevelType w:val="singleLevel"/>
    <w:tmpl w:val="78A6589D"/>
    <w:lvl w:ilvl="0" w:tentative="0">
      <w:start w:val="1"/>
      <w:numFmt w:val="decimal"/>
      <w:lvlText w:val="%1."/>
      <w:lvlJc w:val="left"/>
      <w:pPr>
        <w:ind w:left="425" w:hanging="425"/>
      </w:pPr>
      <w:rPr>
        <w:rFonts w:hint="default"/>
      </w:rPr>
    </w:lvl>
  </w:abstractNum>
  <w:abstractNum w:abstractNumId="31">
    <w:nsid w:val="792135E8"/>
    <w:multiLevelType w:val="singleLevel"/>
    <w:tmpl w:val="792135E8"/>
    <w:lvl w:ilvl="0" w:tentative="0">
      <w:start w:val="1"/>
      <w:numFmt w:val="decimal"/>
      <w:lvlText w:val="%1."/>
      <w:lvlJc w:val="left"/>
      <w:pPr>
        <w:ind w:left="425" w:hanging="425"/>
      </w:pPr>
      <w:rPr>
        <w:rFonts w:hint="default"/>
      </w:rPr>
    </w:lvl>
  </w:abstractNum>
  <w:abstractNum w:abstractNumId="32">
    <w:nsid w:val="7F064AE7"/>
    <w:multiLevelType w:val="singleLevel"/>
    <w:tmpl w:val="7F064AE7"/>
    <w:lvl w:ilvl="0" w:tentative="0">
      <w:start w:val="1"/>
      <w:numFmt w:val="decimal"/>
      <w:lvlText w:val="%1."/>
      <w:lvlJc w:val="left"/>
      <w:pPr>
        <w:ind w:left="425" w:hanging="425"/>
      </w:pPr>
      <w:rPr>
        <w:rFonts w:hint="default"/>
      </w:rPr>
    </w:lvl>
  </w:abstractNum>
  <w:num w:numId="1">
    <w:abstractNumId w:val="26"/>
  </w:num>
  <w:num w:numId="2">
    <w:abstractNumId w:val="24"/>
  </w:num>
  <w:num w:numId="3">
    <w:abstractNumId w:val="22"/>
  </w:num>
  <w:num w:numId="4">
    <w:abstractNumId w:val="10"/>
  </w:num>
  <w:num w:numId="5">
    <w:abstractNumId w:val="19"/>
  </w:num>
  <w:num w:numId="6">
    <w:abstractNumId w:val="12"/>
  </w:num>
  <w:num w:numId="7">
    <w:abstractNumId w:val="7"/>
  </w:num>
  <w:num w:numId="8">
    <w:abstractNumId w:val="14"/>
  </w:num>
  <w:num w:numId="9">
    <w:abstractNumId w:val="8"/>
  </w:num>
  <w:num w:numId="10">
    <w:abstractNumId w:val="17"/>
  </w:num>
  <w:num w:numId="11">
    <w:abstractNumId w:val="25"/>
  </w:num>
  <w:num w:numId="12">
    <w:abstractNumId w:val="28"/>
  </w:num>
  <w:num w:numId="13">
    <w:abstractNumId w:val="23"/>
  </w:num>
  <w:num w:numId="14">
    <w:abstractNumId w:val="15"/>
  </w:num>
  <w:num w:numId="15">
    <w:abstractNumId w:val="13"/>
  </w:num>
  <w:num w:numId="16">
    <w:abstractNumId w:val="16"/>
  </w:num>
  <w:num w:numId="17">
    <w:abstractNumId w:val="32"/>
  </w:num>
  <w:num w:numId="18">
    <w:abstractNumId w:val="5"/>
  </w:num>
  <w:num w:numId="19">
    <w:abstractNumId w:val="29"/>
  </w:num>
  <w:num w:numId="20">
    <w:abstractNumId w:val="20"/>
  </w:num>
  <w:num w:numId="21">
    <w:abstractNumId w:val="18"/>
  </w:num>
  <w:num w:numId="22">
    <w:abstractNumId w:val="0"/>
  </w:num>
  <w:num w:numId="23">
    <w:abstractNumId w:val="1"/>
  </w:num>
  <w:num w:numId="24">
    <w:abstractNumId w:val="30"/>
  </w:num>
  <w:num w:numId="25">
    <w:abstractNumId w:val="31"/>
  </w:num>
  <w:num w:numId="26">
    <w:abstractNumId w:val="4"/>
  </w:num>
  <w:num w:numId="27">
    <w:abstractNumId w:val="11"/>
  </w:num>
  <w:num w:numId="28">
    <w:abstractNumId w:val="9"/>
  </w:num>
  <w:num w:numId="29">
    <w:abstractNumId w:val="21"/>
  </w:num>
  <w:num w:numId="30">
    <w:abstractNumId w:val="27"/>
  </w:num>
  <w:num w:numId="31">
    <w:abstractNumId w:val="3"/>
  </w:num>
  <w:num w:numId="32">
    <w:abstractNumId w:val="6"/>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2NjgwYzc2ODNhNDUzNzVhMjMyOTgzZDBjNjMxMmQifQ=="/>
  </w:docVars>
  <w:rsids>
    <w:rsidRoot w:val="009509BC"/>
    <w:rsid w:val="00000D60"/>
    <w:rsid w:val="0000582F"/>
    <w:rsid w:val="00011558"/>
    <w:rsid w:val="000218C9"/>
    <w:rsid w:val="00046488"/>
    <w:rsid w:val="00054AF6"/>
    <w:rsid w:val="00056BC7"/>
    <w:rsid w:val="000857E7"/>
    <w:rsid w:val="000A7E6A"/>
    <w:rsid w:val="000B63C4"/>
    <w:rsid w:val="000C2A58"/>
    <w:rsid w:val="000C596C"/>
    <w:rsid w:val="000C624F"/>
    <w:rsid w:val="000D6D21"/>
    <w:rsid w:val="000E7AE8"/>
    <w:rsid w:val="001147C8"/>
    <w:rsid w:val="00122958"/>
    <w:rsid w:val="00122B14"/>
    <w:rsid w:val="00123111"/>
    <w:rsid w:val="0012431F"/>
    <w:rsid w:val="0014340E"/>
    <w:rsid w:val="00147D1E"/>
    <w:rsid w:val="0015283A"/>
    <w:rsid w:val="00152A91"/>
    <w:rsid w:val="001549BD"/>
    <w:rsid w:val="00174903"/>
    <w:rsid w:val="00181A63"/>
    <w:rsid w:val="00185534"/>
    <w:rsid w:val="001914B2"/>
    <w:rsid w:val="00192347"/>
    <w:rsid w:val="001950BF"/>
    <w:rsid w:val="001A60D9"/>
    <w:rsid w:val="001C0312"/>
    <w:rsid w:val="001C07AA"/>
    <w:rsid w:val="001C3C2F"/>
    <w:rsid w:val="001C3C51"/>
    <w:rsid w:val="001D6BA9"/>
    <w:rsid w:val="00213296"/>
    <w:rsid w:val="00213993"/>
    <w:rsid w:val="00214F91"/>
    <w:rsid w:val="002162C9"/>
    <w:rsid w:val="00220AE2"/>
    <w:rsid w:val="00235D08"/>
    <w:rsid w:val="00243C74"/>
    <w:rsid w:val="00245BE2"/>
    <w:rsid w:val="00245E25"/>
    <w:rsid w:val="002664AF"/>
    <w:rsid w:val="00270018"/>
    <w:rsid w:val="00284C22"/>
    <w:rsid w:val="00286E2B"/>
    <w:rsid w:val="00294353"/>
    <w:rsid w:val="00296273"/>
    <w:rsid w:val="002976F2"/>
    <w:rsid w:val="002B5B43"/>
    <w:rsid w:val="002C657C"/>
    <w:rsid w:val="002D4E4D"/>
    <w:rsid w:val="002D75ED"/>
    <w:rsid w:val="002D7996"/>
    <w:rsid w:val="002F7606"/>
    <w:rsid w:val="002F78D6"/>
    <w:rsid w:val="00301F5A"/>
    <w:rsid w:val="00325BCD"/>
    <w:rsid w:val="00337CFA"/>
    <w:rsid w:val="003452C3"/>
    <w:rsid w:val="00346F71"/>
    <w:rsid w:val="00352451"/>
    <w:rsid w:val="003565DF"/>
    <w:rsid w:val="00363525"/>
    <w:rsid w:val="003706F6"/>
    <w:rsid w:val="00377B0A"/>
    <w:rsid w:val="003834BC"/>
    <w:rsid w:val="003840BA"/>
    <w:rsid w:val="003A37FA"/>
    <w:rsid w:val="003E21FD"/>
    <w:rsid w:val="003E226B"/>
    <w:rsid w:val="003E5475"/>
    <w:rsid w:val="003E5E92"/>
    <w:rsid w:val="003F3944"/>
    <w:rsid w:val="00402BB0"/>
    <w:rsid w:val="00405302"/>
    <w:rsid w:val="00416585"/>
    <w:rsid w:val="00417117"/>
    <w:rsid w:val="00430AF9"/>
    <w:rsid w:val="004649C9"/>
    <w:rsid w:val="0047095E"/>
    <w:rsid w:val="00475663"/>
    <w:rsid w:val="00491D13"/>
    <w:rsid w:val="00495D99"/>
    <w:rsid w:val="004A24B1"/>
    <w:rsid w:val="004B0B21"/>
    <w:rsid w:val="004B6E1B"/>
    <w:rsid w:val="004C0C9C"/>
    <w:rsid w:val="004E4848"/>
    <w:rsid w:val="004F1741"/>
    <w:rsid w:val="00512887"/>
    <w:rsid w:val="00532653"/>
    <w:rsid w:val="005368A8"/>
    <w:rsid w:val="00537E61"/>
    <w:rsid w:val="00545E64"/>
    <w:rsid w:val="00562CC0"/>
    <w:rsid w:val="00570CE7"/>
    <w:rsid w:val="00570DC6"/>
    <w:rsid w:val="00582FB8"/>
    <w:rsid w:val="00591EBE"/>
    <w:rsid w:val="005B4B92"/>
    <w:rsid w:val="005C4280"/>
    <w:rsid w:val="005E2B29"/>
    <w:rsid w:val="005E4799"/>
    <w:rsid w:val="005E4B83"/>
    <w:rsid w:val="005E64DE"/>
    <w:rsid w:val="005E696A"/>
    <w:rsid w:val="005E73B2"/>
    <w:rsid w:val="005F064B"/>
    <w:rsid w:val="005F530C"/>
    <w:rsid w:val="0060343F"/>
    <w:rsid w:val="00623CF7"/>
    <w:rsid w:val="0062751D"/>
    <w:rsid w:val="00634D67"/>
    <w:rsid w:val="00644020"/>
    <w:rsid w:val="00670685"/>
    <w:rsid w:val="006A5C71"/>
    <w:rsid w:val="006B5984"/>
    <w:rsid w:val="006C461D"/>
    <w:rsid w:val="006F6AE5"/>
    <w:rsid w:val="007150CF"/>
    <w:rsid w:val="00717A25"/>
    <w:rsid w:val="007236B4"/>
    <w:rsid w:val="00735699"/>
    <w:rsid w:val="00737DC7"/>
    <w:rsid w:val="00745609"/>
    <w:rsid w:val="007457CF"/>
    <w:rsid w:val="00751F49"/>
    <w:rsid w:val="00754F5F"/>
    <w:rsid w:val="007732C7"/>
    <w:rsid w:val="0077717F"/>
    <w:rsid w:val="00780DE7"/>
    <w:rsid w:val="0079014E"/>
    <w:rsid w:val="0079025F"/>
    <w:rsid w:val="007A004E"/>
    <w:rsid w:val="007B59D6"/>
    <w:rsid w:val="007D5257"/>
    <w:rsid w:val="007E1FDE"/>
    <w:rsid w:val="007E6798"/>
    <w:rsid w:val="007F4C79"/>
    <w:rsid w:val="00804B75"/>
    <w:rsid w:val="008070B0"/>
    <w:rsid w:val="00811D5D"/>
    <w:rsid w:val="0081665C"/>
    <w:rsid w:val="008168A6"/>
    <w:rsid w:val="00817D00"/>
    <w:rsid w:val="0083679C"/>
    <w:rsid w:val="008370A7"/>
    <w:rsid w:val="00844BB8"/>
    <w:rsid w:val="00846380"/>
    <w:rsid w:val="008515EE"/>
    <w:rsid w:val="00855F4B"/>
    <w:rsid w:val="008674E2"/>
    <w:rsid w:val="0087453F"/>
    <w:rsid w:val="008B2A3C"/>
    <w:rsid w:val="008D6EE2"/>
    <w:rsid w:val="008E4C68"/>
    <w:rsid w:val="009025B3"/>
    <w:rsid w:val="009136A4"/>
    <w:rsid w:val="009307BC"/>
    <w:rsid w:val="00941D9C"/>
    <w:rsid w:val="00944381"/>
    <w:rsid w:val="009463F7"/>
    <w:rsid w:val="009509BC"/>
    <w:rsid w:val="00965A73"/>
    <w:rsid w:val="009665D1"/>
    <w:rsid w:val="00976179"/>
    <w:rsid w:val="00994B2C"/>
    <w:rsid w:val="009951D0"/>
    <w:rsid w:val="009967DA"/>
    <w:rsid w:val="009C40D4"/>
    <w:rsid w:val="009D003D"/>
    <w:rsid w:val="009D2211"/>
    <w:rsid w:val="009D46FF"/>
    <w:rsid w:val="009D6ABC"/>
    <w:rsid w:val="009F3F41"/>
    <w:rsid w:val="009F4EE7"/>
    <w:rsid w:val="009F6BD7"/>
    <w:rsid w:val="00A074B3"/>
    <w:rsid w:val="00A11383"/>
    <w:rsid w:val="00A127C9"/>
    <w:rsid w:val="00A13AAB"/>
    <w:rsid w:val="00A1512C"/>
    <w:rsid w:val="00A15AAA"/>
    <w:rsid w:val="00A16015"/>
    <w:rsid w:val="00A32309"/>
    <w:rsid w:val="00A4744A"/>
    <w:rsid w:val="00A52B8A"/>
    <w:rsid w:val="00A55C7D"/>
    <w:rsid w:val="00A61852"/>
    <w:rsid w:val="00A83940"/>
    <w:rsid w:val="00A91662"/>
    <w:rsid w:val="00AA2E22"/>
    <w:rsid w:val="00AA540D"/>
    <w:rsid w:val="00AB1A97"/>
    <w:rsid w:val="00AB2C83"/>
    <w:rsid w:val="00AB5FF3"/>
    <w:rsid w:val="00AD2340"/>
    <w:rsid w:val="00AD612C"/>
    <w:rsid w:val="00AE563F"/>
    <w:rsid w:val="00AE5841"/>
    <w:rsid w:val="00AF471D"/>
    <w:rsid w:val="00B109E6"/>
    <w:rsid w:val="00B10A9E"/>
    <w:rsid w:val="00B11072"/>
    <w:rsid w:val="00B24244"/>
    <w:rsid w:val="00B31965"/>
    <w:rsid w:val="00B43F08"/>
    <w:rsid w:val="00B53AA5"/>
    <w:rsid w:val="00B63404"/>
    <w:rsid w:val="00B64CB8"/>
    <w:rsid w:val="00B702AE"/>
    <w:rsid w:val="00B778E4"/>
    <w:rsid w:val="00B779C1"/>
    <w:rsid w:val="00B8518A"/>
    <w:rsid w:val="00BA5A56"/>
    <w:rsid w:val="00BB4F7C"/>
    <w:rsid w:val="00BC57C6"/>
    <w:rsid w:val="00BE3BD5"/>
    <w:rsid w:val="00C04FEA"/>
    <w:rsid w:val="00C0666A"/>
    <w:rsid w:val="00C14BF2"/>
    <w:rsid w:val="00C21059"/>
    <w:rsid w:val="00C22D83"/>
    <w:rsid w:val="00C5198F"/>
    <w:rsid w:val="00C636D0"/>
    <w:rsid w:val="00C920F6"/>
    <w:rsid w:val="00CC38BD"/>
    <w:rsid w:val="00CD1313"/>
    <w:rsid w:val="00D011BC"/>
    <w:rsid w:val="00D102D7"/>
    <w:rsid w:val="00D331B2"/>
    <w:rsid w:val="00D42256"/>
    <w:rsid w:val="00D42776"/>
    <w:rsid w:val="00D44C4D"/>
    <w:rsid w:val="00D530DA"/>
    <w:rsid w:val="00D5516F"/>
    <w:rsid w:val="00D61282"/>
    <w:rsid w:val="00D84D58"/>
    <w:rsid w:val="00D9167B"/>
    <w:rsid w:val="00DB12D4"/>
    <w:rsid w:val="00DB68DD"/>
    <w:rsid w:val="00DE17EB"/>
    <w:rsid w:val="00DE3169"/>
    <w:rsid w:val="00DE41AE"/>
    <w:rsid w:val="00DE483A"/>
    <w:rsid w:val="00DE6217"/>
    <w:rsid w:val="00DE67EA"/>
    <w:rsid w:val="00DF0C84"/>
    <w:rsid w:val="00DF1C04"/>
    <w:rsid w:val="00DF3292"/>
    <w:rsid w:val="00E04DF1"/>
    <w:rsid w:val="00E07EA1"/>
    <w:rsid w:val="00E114AA"/>
    <w:rsid w:val="00E122C9"/>
    <w:rsid w:val="00E16A79"/>
    <w:rsid w:val="00E23A99"/>
    <w:rsid w:val="00E406CD"/>
    <w:rsid w:val="00E417A5"/>
    <w:rsid w:val="00E4296B"/>
    <w:rsid w:val="00E56EBC"/>
    <w:rsid w:val="00E76649"/>
    <w:rsid w:val="00E942B3"/>
    <w:rsid w:val="00E94EA5"/>
    <w:rsid w:val="00E95242"/>
    <w:rsid w:val="00E9540F"/>
    <w:rsid w:val="00E960CB"/>
    <w:rsid w:val="00EB42C3"/>
    <w:rsid w:val="00EC1001"/>
    <w:rsid w:val="00EC52A1"/>
    <w:rsid w:val="00EF0A95"/>
    <w:rsid w:val="00F10E38"/>
    <w:rsid w:val="00F20157"/>
    <w:rsid w:val="00F21D77"/>
    <w:rsid w:val="00F24DCE"/>
    <w:rsid w:val="00F33652"/>
    <w:rsid w:val="00F35422"/>
    <w:rsid w:val="00F42396"/>
    <w:rsid w:val="00F42677"/>
    <w:rsid w:val="00F6631B"/>
    <w:rsid w:val="00F70A41"/>
    <w:rsid w:val="00FA3726"/>
    <w:rsid w:val="00FA429F"/>
    <w:rsid w:val="00FB0A18"/>
    <w:rsid w:val="00FC0049"/>
    <w:rsid w:val="00FC0F62"/>
    <w:rsid w:val="00FC579E"/>
    <w:rsid w:val="00FC7DE2"/>
    <w:rsid w:val="00FD01CF"/>
    <w:rsid w:val="00FE01FC"/>
    <w:rsid w:val="00FE1819"/>
    <w:rsid w:val="00FE1F00"/>
    <w:rsid w:val="00FE7EA1"/>
    <w:rsid w:val="00FF0116"/>
    <w:rsid w:val="00FF5782"/>
    <w:rsid w:val="019B2F5B"/>
    <w:rsid w:val="01A22C6C"/>
    <w:rsid w:val="026F15A8"/>
    <w:rsid w:val="027345B1"/>
    <w:rsid w:val="05560668"/>
    <w:rsid w:val="070F57D7"/>
    <w:rsid w:val="08122781"/>
    <w:rsid w:val="0814730F"/>
    <w:rsid w:val="09EF4F2D"/>
    <w:rsid w:val="0A2C0C06"/>
    <w:rsid w:val="0AA60FE7"/>
    <w:rsid w:val="0B9667E9"/>
    <w:rsid w:val="0D7731A8"/>
    <w:rsid w:val="0DBE1C14"/>
    <w:rsid w:val="0FA7BC8A"/>
    <w:rsid w:val="0FDEF1C3"/>
    <w:rsid w:val="10C93D9F"/>
    <w:rsid w:val="116457F1"/>
    <w:rsid w:val="117F073A"/>
    <w:rsid w:val="11CE7F63"/>
    <w:rsid w:val="13872236"/>
    <w:rsid w:val="144E5F58"/>
    <w:rsid w:val="145824B4"/>
    <w:rsid w:val="16573316"/>
    <w:rsid w:val="16FF0B97"/>
    <w:rsid w:val="17334D4D"/>
    <w:rsid w:val="1BF7EE49"/>
    <w:rsid w:val="1BFF889D"/>
    <w:rsid w:val="1D1F1D81"/>
    <w:rsid w:val="1D511248"/>
    <w:rsid w:val="1EC027CA"/>
    <w:rsid w:val="1F2615A1"/>
    <w:rsid w:val="1FFF1E9B"/>
    <w:rsid w:val="20823EE5"/>
    <w:rsid w:val="210B3EDB"/>
    <w:rsid w:val="21357CAA"/>
    <w:rsid w:val="21A64F83"/>
    <w:rsid w:val="233F8459"/>
    <w:rsid w:val="23887D8A"/>
    <w:rsid w:val="23F073B8"/>
    <w:rsid w:val="25D85A3C"/>
    <w:rsid w:val="26A272F3"/>
    <w:rsid w:val="27994E67"/>
    <w:rsid w:val="27BDE004"/>
    <w:rsid w:val="287A6446"/>
    <w:rsid w:val="28F96D0F"/>
    <w:rsid w:val="295A3164"/>
    <w:rsid w:val="2A954B17"/>
    <w:rsid w:val="2AF84813"/>
    <w:rsid w:val="2C735C97"/>
    <w:rsid w:val="2CE55BE4"/>
    <w:rsid w:val="2D535987"/>
    <w:rsid w:val="2D720D39"/>
    <w:rsid w:val="2E0B376C"/>
    <w:rsid w:val="2EB15692"/>
    <w:rsid w:val="2F750D73"/>
    <w:rsid w:val="30E95AA6"/>
    <w:rsid w:val="30FF6E8C"/>
    <w:rsid w:val="3323239A"/>
    <w:rsid w:val="33F14639"/>
    <w:rsid w:val="35B446E9"/>
    <w:rsid w:val="36FEC502"/>
    <w:rsid w:val="37934930"/>
    <w:rsid w:val="381E23B5"/>
    <w:rsid w:val="39FBA6AF"/>
    <w:rsid w:val="3A79564E"/>
    <w:rsid w:val="3A9838A6"/>
    <w:rsid w:val="3AF11293"/>
    <w:rsid w:val="3BEACC4E"/>
    <w:rsid w:val="3C141301"/>
    <w:rsid w:val="3C3E6CAB"/>
    <w:rsid w:val="3C9F33D5"/>
    <w:rsid w:val="3D927084"/>
    <w:rsid w:val="3D9820F7"/>
    <w:rsid w:val="3DFDA284"/>
    <w:rsid w:val="3DFFE927"/>
    <w:rsid w:val="3ED6EDB5"/>
    <w:rsid w:val="3EF52B33"/>
    <w:rsid w:val="3EFFE119"/>
    <w:rsid w:val="3F571B48"/>
    <w:rsid w:val="3F620473"/>
    <w:rsid w:val="3F7F8EC9"/>
    <w:rsid w:val="3F8974D9"/>
    <w:rsid w:val="3FB472E2"/>
    <w:rsid w:val="3FB832AB"/>
    <w:rsid w:val="3FEF27AE"/>
    <w:rsid w:val="3FEF3E7F"/>
    <w:rsid w:val="41B40210"/>
    <w:rsid w:val="435B45BA"/>
    <w:rsid w:val="439C0C1F"/>
    <w:rsid w:val="43AE47EC"/>
    <w:rsid w:val="44D31075"/>
    <w:rsid w:val="44E16D43"/>
    <w:rsid w:val="45124F88"/>
    <w:rsid w:val="45976D50"/>
    <w:rsid w:val="464B2C29"/>
    <w:rsid w:val="47743CD8"/>
    <w:rsid w:val="477A6E15"/>
    <w:rsid w:val="47FB61A8"/>
    <w:rsid w:val="48790E7B"/>
    <w:rsid w:val="4AA77F21"/>
    <w:rsid w:val="4AB33541"/>
    <w:rsid w:val="4B6C424B"/>
    <w:rsid w:val="4B7D1518"/>
    <w:rsid w:val="4BE7A02D"/>
    <w:rsid w:val="4C4063C6"/>
    <w:rsid w:val="4C9B703E"/>
    <w:rsid w:val="4D3862F9"/>
    <w:rsid w:val="4DAE095F"/>
    <w:rsid w:val="4E77939D"/>
    <w:rsid w:val="50A50DD3"/>
    <w:rsid w:val="517F7ACD"/>
    <w:rsid w:val="51991A9C"/>
    <w:rsid w:val="52831274"/>
    <w:rsid w:val="52E01A85"/>
    <w:rsid w:val="53320646"/>
    <w:rsid w:val="53FE2FC7"/>
    <w:rsid w:val="53FFCC32"/>
    <w:rsid w:val="54622C8E"/>
    <w:rsid w:val="54EFE957"/>
    <w:rsid w:val="571532B4"/>
    <w:rsid w:val="57771E02"/>
    <w:rsid w:val="57F14ED1"/>
    <w:rsid w:val="58F21EBB"/>
    <w:rsid w:val="596720F7"/>
    <w:rsid w:val="59FEEBBF"/>
    <w:rsid w:val="5BCB58F6"/>
    <w:rsid w:val="5DBF20E2"/>
    <w:rsid w:val="5DD7A6CD"/>
    <w:rsid w:val="5E4A7828"/>
    <w:rsid w:val="5E4E35EB"/>
    <w:rsid w:val="5E9E00B2"/>
    <w:rsid w:val="5EE380E4"/>
    <w:rsid w:val="5F500DE3"/>
    <w:rsid w:val="5FDF18F8"/>
    <w:rsid w:val="5FE543E1"/>
    <w:rsid w:val="5FFB8048"/>
    <w:rsid w:val="5FFEEB3D"/>
    <w:rsid w:val="5FFF978F"/>
    <w:rsid w:val="611C5A10"/>
    <w:rsid w:val="6224245E"/>
    <w:rsid w:val="637FAE7E"/>
    <w:rsid w:val="645D785C"/>
    <w:rsid w:val="648D7E85"/>
    <w:rsid w:val="657C6B0D"/>
    <w:rsid w:val="66521231"/>
    <w:rsid w:val="667A0154"/>
    <w:rsid w:val="66853EDE"/>
    <w:rsid w:val="66BB471E"/>
    <w:rsid w:val="67066277"/>
    <w:rsid w:val="67584FA9"/>
    <w:rsid w:val="68D4056E"/>
    <w:rsid w:val="6903443B"/>
    <w:rsid w:val="69BD4AF0"/>
    <w:rsid w:val="69E8112B"/>
    <w:rsid w:val="6B4867DB"/>
    <w:rsid w:val="6C380529"/>
    <w:rsid w:val="6C41709D"/>
    <w:rsid w:val="6C7812C6"/>
    <w:rsid w:val="6D19675B"/>
    <w:rsid w:val="6D4453E3"/>
    <w:rsid w:val="6D792F82"/>
    <w:rsid w:val="6D9C01A5"/>
    <w:rsid w:val="6DDF492D"/>
    <w:rsid w:val="6EBE56B6"/>
    <w:rsid w:val="6FE56A14"/>
    <w:rsid w:val="714C10CE"/>
    <w:rsid w:val="71AC3EEB"/>
    <w:rsid w:val="721A6559"/>
    <w:rsid w:val="72EB3C6B"/>
    <w:rsid w:val="742C2525"/>
    <w:rsid w:val="744F3B51"/>
    <w:rsid w:val="750E0A19"/>
    <w:rsid w:val="754937FF"/>
    <w:rsid w:val="754E66A1"/>
    <w:rsid w:val="75747BC5"/>
    <w:rsid w:val="75B451B1"/>
    <w:rsid w:val="75CA1915"/>
    <w:rsid w:val="75D86957"/>
    <w:rsid w:val="75EF3248"/>
    <w:rsid w:val="76452218"/>
    <w:rsid w:val="76D228A4"/>
    <w:rsid w:val="777F2FDD"/>
    <w:rsid w:val="77B2C020"/>
    <w:rsid w:val="77CF69DC"/>
    <w:rsid w:val="77D90260"/>
    <w:rsid w:val="77DDCEC7"/>
    <w:rsid w:val="77DEF358"/>
    <w:rsid w:val="77EF614D"/>
    <w:rsid w:val="78742457"/>
    <w:rsid w:val="78D1434D"/>
    <w:rsid w:val="793C27A7"/>
    <w:rsid w:val="79DF0E59"/>
    <w:rsid w:val="7A973E80"/>
    <w:rsid w:val="7B31216C"/>
    <w:rsid w:val="7B4E03F5"/>
    <w:rsid w:val="7B8F2F77"/>
    <w:rsid w:val="7BE10C35"/>
    <w:rsid w:val="7BFF11BC"/>
    <w:rsid w:val="7BFFAC10"/>
    <w:rsid w:val="7CDE638D"/>
    <w:rsid w:val="7DF98BDC"/>
    <w:rsid w:val="7DFF7E9F"/>
    <w:rsid w:val="7E19425B"/>
    <w:rsid w:val="7E33EC6B"/>
    <w:rsid w:val="7EAF0649"/>
    <w:rsid w:val="7EB74F1E"/>
    <w:rsid w:val="7EBB85C0"/>
    <w:rsid w:val="7EBFB220"/>
    <w:rsid w:val="7EE7362E"/>
    <w:rsid w:val="7EE91811"/>
    <w:rsid w:val="7EF9DE44"/>
    <w:rsid w:val="7EFF843F"/>
    <w:rsid w:val="7F44009D"/>
    <w:rsid w:val="7F7B14C6"/>
    <w:rsid w:val="7F7BD967"/>
    <w:rsid w:val="7F7F936B"/>
    <w:rsid w:val="7FBC4D2B"/>
    <w:rsid w:val="7FCB74B2"/>
    <w:rsid w:val="7FCE6ABC"/>
    <w:rsid w:val="7FEC803C"/>
    <w:rsid w:val="7FFD5912"/>
    <w:rsid w:val="7FFF974D"/>
    <w:rsid w:val="9BF650FB"/>
    <w:rsid w:val="9F7344DF"/>
    <w:rsid w:val="9F9C103B"/>
    <w:rsid w:val="9FDF1448"/>
    <w:rsid w:val="A7FE3A74"/>
    <w:rsid w:val="B2FFF236"/>
    <w:rsid w:val="B77F33C0"/>
    <w:rsid w:val="B9F7B0EF"/>
    <w:rsid w:val="BDCE273B"/>
    <w:rsid w:val="BDEDF9CF"/>
    <w:rsid w:val="BDF291F6"/>
    <w:rsid w:val="BE67D87C"/>
    <w:rsid w:val="BEFFF7C3"/>
    <w:rsid w:val="BF0ECC58"/>
    <w:rsid w:val="BF7D2C9C"/>
    <w:rsid w:val="BFFDDAB5"/>
    <w:rsid w:val="C7BCA2BA"/>
    <w:rsid w:val="CFF7FAD0"/>
    <w:rsid w:val="DB7FC70F"/>
    <w:rsid w:val="DD7EC6B2"/>
    <w:rsid w:val="DDEABD20"/>
    <w:rsid w:val="DEFDB8B2"/>
    <w:rsid w:val="DEFE753B"/>
    <w:rsid w:val="DF3E1138"/>
    <w:rsid w:val="E2FA09B9"/>
    <w:rsid w:val="E3F272B0"/>
    <w:rsid w:val="E5FFDCC0"/>
    <w:rsid w:val="E7797E10"/>
    <w:rsid w:val="EB3FAB74"/>
    <w:rsid w:val="EBF63E5F"/>
    <w:rsid w:val="EEB3FEA5"/>
    <w:rsid w:val="EEDE885C"/>
    <w:rsid w:val="EFF76F48"/>
    <w:rsid w:val="EFFDB105"/>
    <w:rsid w:val="F3FE763F"/>
    <w:rsid w:val="F4F528BA"/>
    <w:rsid w:val="F5BD6BED"/>
    <w:rsid w:val="F672B593"/>
    <w:rsid w:val="F6E7719B"/>
    <w:rsid w:val="F6EEA6E0"/>
    <w:rsid w:val="F7DF4EC0"/>
    <w:rsid w:val="F7FFD1B1"/>
    <w:rsid w:val="F9FF7BB2"/>
    <w:rsid w:val="FA6719AA"/>
    <w:rsid w:val="FB3D57E6"/>
    <w:rsid w:val="FBEB33A9"/>
    <w:rsid w:val="FBEECD88"/>
    <w:rsid w:val="FBFF3175"/>
    <w:rsid w:val="FCBC9822"/>
    <w:rsid w:val="FCEB8B67"/>
    <w:rsid w:val="FD3795CD"/>
    <w:rsid w:val="FD5C0859"/>
    <w:rsid w:val="FE7B265D"/>
    <w:rsid w:val="FED7885D"/>
    <w:rsid w:val="FEFBD440"/>
    <w:rsid w:val="FF3BD49D"/>
    <w:rsid w:val="FF3D08F3"/>
    <w:rsid w:val="FF670078"/>
    <w:rsid w:val="FF756EEE"/>
    <w:rsid w:val="FF96AD88"/>
    <w:rsid w:val="FFCEB316"/>
    <w:rsid w:val="FFDF3373"/>
    <w:rsid w:val="FFEF0DFD"/>
    <w:rsid w:val="FFF79690"/>
    <w:rsid w:val="FFFCD8E4"/>
    <w:rsid w:val="FFFF744B"/>
    <w:rsid w:val="FFFF7DE8"/>
    <w:rsid w:val="FFFF9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3">
    <w:name w:val="heading 1"/>
    <w:basedOn w:val="1"/>
    <w:next w:val="1"/>
    <w:link w:val="37"/>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4">
    <w:name w:val="heading 2"/>
    <w:basedOn w:val="1"/>
    <w:next w:val="1"/>
    <w:link w:val="35"/>
    <w:qFormat/>
    <w:uiPriority w:val="9"/>
    <w:pPr>
      <w:keepNext/>
      <w:keepLines/>
      <w:numPr>
        <w:ilvl w:val="1"/>
        <w:numId w:val="1"/>
      </w:numPr>
      <w:spacing w:before="120" w:after="120"/>
      <w:ind w:firstLine="0" w:firstLineChars="0"/>
      <w:outlineLvl w:val="1"/>
    </w:pPr>
    <w:rPr>
      <w:b/>
      <w:bCs/>
      <w:sz w:val="30"/>
      <w:szCs w:val="32"/>
    </w:rPr>
  </w:style>
  <w:style w:type="paragraph" w:styleId="5">
    <w:name w:val="heading 3"/>
    <w:basedOn w:val="1"/>
    <w:next w:val="1"/>
    <w:link w:val="36"/>
    <w:unhideWhenUsed/>
    <w:qFormat/>
    <w:uiPriority w:val="0"/>
    <w:pPr>
      <w:keepNext/>
      <w:keepLines/>
      <w:spacing w:before="260" w:after="260" w:line="413" w:lineRule="auto"/>
      <w:outlineLvl w:val="2"/>
    </w:pPr>
    <w:rPr>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6">
    <w:name w:val="annotation text"/>
    <w:basedOn w:val="1"/>
    <w:link w:val="28"/>
    <w:qFormat/>
    <w:uiPriority w:val="0"/>
    <w:pPr>
      <w:tabs>
        <w:tab w:val="left" w:pos="425"/>
      </w:tabs>
      <w:spacing w:before="163" w:beforeLines="50" w:after="163" w:afterLines="50"/>
      <w:ind w:firstLine="0" w:firstLineChars="0"/>
      <w:jc w:val="left"/>
    </w:pPr>
  </w:style>
  <w:style w:type="paragraph" w:styleId="7">
    <w:name w:val="Body Text Indent"/>
    <w:basedOn w:val="1"/>
    <w:next w:val="8"/>
    <w:unhideWhenUsed/>
    <w:qFormat/>
    <w:uiPriority w:val="99"/>
    <w:pPr>
      <w:spacing w:after="120"/>
      <w:ind w:left="420" w:leftChars="200"/>
    </w:pPr>
  </w:style>
  <w:style w:type="paragraph" w:styleId="8">
    <w:name w:val="annotation subject"/>
    <w:basedOn w:val="6"/>
    <w:next w:val="1"/>
    <w:unhideWhenUsed/>
    <w:qFormat/>
    <w:uiPriority w:val="99"/>
    <w:rPr>
      <w:b/>
      <w:bCs/>
    </w:rPr>
  </w:style>
  <w:style w:type="paragraph" w:styleId="9">
    <w:name w:val="toc 3"/>
    <w:basedOn w:val="1"/>
    <w:next w:val="1"/>
    <w:qFormat/>
    <w:uiPriority w:val="0"/>
    <w:pPr>
      <w:ind w:left="840" w:leftChars="400"/>
    </w:pPr>
  </w:style>
  <w:style w:type="paragraph" w:styleId="10">
    <w:name w:val="footer"/>
    <w:basedOn w:val="1"/>
    <w:link w:val="25"/>
    <w:qFormat/>
    <w:uiPriority w:val="0"/>
    <w:pPr>
      <w:tabs>
        <w:tab w:val="center" w:pos="4153"/>
        <w:tab w:val="right" w:pos="8306"/>
      </w:tabs>
      <w:snapToGrid w:val="0"/>
      <w:spacing w:line="240" w:lineRule="auto"/>
      <w:jc w:val="left"/>
    </w:pPr>
    <w:rPr>
      <w:sz w:val="18"/>
      <w:szCs w:val="18"/>
    </w:rPr>
  </w:style>
  <w:style w:type="paragraph" w:styleId="11">
    <w:name w:val="header"/>
    <w:basedOn w:val="1"/>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0"/>
    <w:pPr>
      <w:tabs>
        <w:tab w:val="left" w:pos="425"/>
      </w:tabs>
    </w:pPr>
  </w:style>
  <w:style w:type="paragraph" w:styleId="15">
    <w:name w:val="Body Text First Indent 2"/>
    <w:basedOn w:val="7"/>
    <w:next w:val="1"/>
    <w:link w:val="40"/>
    <w:unhideWhenUsed/>
    <w:qFormat/>
    <w:uiPriority w:val="99"/>
    <w:pPr>
      <w:ind w:firstLine="42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basedOn w:val="18"/>
    <w:unhideWhenUsed/>
    <w:qFormat/>
    <w:uiPriority w:val="99"/>
    <w:rPr>
      <w:color w:val="0026E5" w:themeColor="hyperlink"/>
      <w:u w:val="single"/>
      <w14:textFill>
        <w14:solidFill>
          <w14:schemeClr w14:val="hlink"/>
        </w14:solidFill>
      </w14:textFill>
    </w:rPr>
  </w:style>
  <w:style w:type="character" w:styleId="21">
    <w:name w:val="annotation reference"/>
    <w:basedOn w:val="18"/>
    <w:qFormat/>
    <w:uiPriority w:val="0"/>
    <w:rPr>
      <w:sz w:val="21"/>
      <w:szCs w:val="21"/>
    </w:rPr>
  </w:style>
  <w:style w:type="paragraph" w:customStyle="1" w:styleId="22">
    <w:name w:val="正文缩进1"/>
    <w:basedOn w:val="1"/>
    <w:qFormat/>
    <w:uiPriority w:val="0"/>
    <w:pPr>
      <w:spacing w:line="240" w:lineRule="auto"/>
      <w:ind w:firstLine="420"/>
    </w:pPr>
    <w:rPr>
      <w:rFonts w:ascii="Times New Roman" w:hAnsi="Times New Roman"/>
      <w:sz w:val="21"/>
      <w:szCs w:val="20"/>
    </w:rPr>
  </w:style>
  <w:style w:type="paragraph" w:customStyle="1" w:styleId="23">
    <w:name w:val="正文正文2"/>
    <w:basedOn w:val="1"/>
    <w:qFormat/>
    <w:uiPriority w:val="0"/>
    <w:pPr>
      <w:ind w:firstLine="420"/>
    </w:pPr>
    <w:rPr>
      <w:sz w:val="21"/>
      <w:szCs w:val="21"/>
    </w:rPr>
  </w:style>
  <w:style w:type="paragraph" w:styleId="24">
    <w:name w:val="List Paragraph"/>
    <w:basedOn w:val="1"/>
    <w:link w:val="26"/>
    <w:qFormat/>
    <w:uiPriority w:val="34"/>
    <w:pPr>
      <w:ind w:firstLine="420"/>
    </w:pPr>
    <w:rPr>
      <w:rFonts w:ascii="Times New Roman" w:hAnsi="Times New Roman"/>
    </w:rPr>
  </w:style>
  <w:style w:type="character" w:customStyle="1" w:styleId="25">
    <w:name w:val="页脚 字符"/>
    <w:basedOn w:val="18"/>
    <w:link w:val="10"/>
    <w:qFormat/>
    <w:uiPriority w:val="0"/>
    <w:rPr>
      <w:rFonts w:ascii="宋体" w:hAnsi="宋体"/>
      <w:kern w:val="2"/>
      <w:sz w:val="18"/>
      <w:szCs w:val="18"/>
    </w:rPr>
  </w:style>
  <w:style w:type="character" w:customStyle="1" w:styleId="26">
    <w:name w:val="列表段落 字符"/>
    <w:link w:val="24"/>
    <w:qFormat/>
    <w:uiPriority w:val="34"/>
    <w:rPr>
      <w:kern w:val="2"/>
      <w:sz w:val="24"/>
      <w:szCs w:val="24"/>
    </w:rPr>
  </w:style>
  <w:style w:type="paragraph" w:customStyle="1" w:styleId="27">
    <w:name w:val="Table Paragraph"/>
    <w:basedOn w:val="1"/>
    <w:qFormat/>
    <w:uiPriority w:val="1"/>
    <w:pPr>
      <w:autoSpaceDE w:val="0"/>
      <w:autoSpaceDN w:val="0"/>
      <w:adjustRightInd w:val="0"/>
      <w:spacing w:before="163" w:beforeLines="50" w:after="163" w:afterLines="50" w:line="240" w:lineRule="auto"/>
      <w:ind w:firstLine="0" w:firstLineChars="0"/>
      <w:jc w:val="left"/>
    </w:pPr>
    <w:rPr>
      <w:rFonts w:hAnsi="Times New Roman" w:cs="宋体"/>
      <w:kern w:val="0"/>
    </w:rPr>
  </w:style>
  <w:style w:type="character" w:customStyle="1" w:styleId="28">
    <w:name w:val="批注文字 字符"/>
    <w:basedOn w:val="18"/>
    <w:link w:val="6"/>
    <w:qFormat/>
    <w:uiPriority w:val="0"/>
    <w:rPr>
      <w:rFonts w:ascii="宋体" w:hAnsi="宋体"/>
      <w:kern w:val="2"/>
      <w:sz w:val="24"/>
      <w:szCs w:val="24"/>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1">
    <w:name w:val="font41"/>
    <w:basedOn w:val="18"/>
    <w:qFormat/>
    <w:uiPriority w:val="0"/>
    <w:rPr>
      <w:rFonts w:hint="eastAsia" w:ascii="Songti SC Regular" w:hAnsi="Songti SC Regular" w:eastAsia="Songti SC Regular" w:cs="Songti SC Regular"/>
      <w:color w:val="000000"/>
      <w:sz w:val="24"/>
      <w:szCs w:val="24"/>
      <w:u w:val="none"/>
    </w:rPr>
  </w:style>
  <w:style w:type="character" w:customStyle="1" w:styleId="32">
    <w:name w:val="font31"/>
    <w:basedOn w:val="18"/>
    <w:qFormat/>
    <w:uiPriority w:val="0"/>
    <w:rPr>
      <w:rFonts w:ascii="Arial" w:hAnsi="Arial" w:cs="Arial"/>
      <w:color w:val="000000"/>
      <w:sz w:val="20"/>
      <w:szCs w:val="20"/>
      <w:u w:val="none"/>
    </w:rPr>
  </w:style>
  <w:style w:type="character" w:customStyle="1" w:styleId="33">
    <w:name w:val="font01"/>
    <w:basedOn w:val="18"/>
    <w:qFormat/>
    <w:uiPriority w:val="0"/>
    <w:rPr>
      <w:rFonts w:ascii="宋体-简" w:hAnsi="宋体-简" w:eastAsia="宋体-简" w:cs="宋体-简"/>
      <w:color w:val="000000"/>
      <w:sz w:val="20"/>
      <w:szCs w:val="20"/>
      <w:u w:val="none"/>
    </w:rPr>
  </w:style>
  <w:style w:type="paragraph" w:customStyle="1" w:styleId="34">
    <w:name w:val="04-正文"/>
    <w:basedOn w:val="1"/>
    <w:qFormat/>
    <w:uiPriority w:val="0"/>
    <w:pPr>
      <w:ind w:firstLine="482"/>
    </w:pPr>
    <w:rPr>
      <w:kern w:val="0"/>
      <w:szCs w:val="20"/>
    </w:rPr>
  </w:style>
  <w:style w:type="character" w:customStyle="1" w:styleId="35">
    <w:name w:val="标题 2 字符"/>
    <w:link w:val="4"/>
    <w:qFormat/>
    <w:uiPriority w:val="9"/>
    <w:rPr>
      <w:b/>
      <w:bCs/>
      <w:sz w:val="30"/>
      <w:szCs w:val="32"/>
    </w:rPr>
  </w:style>
  <w:style w:type="character" w:customStyle="1" w:styleId="36">
    <w:name w:val="标题 3 字符"/>
    <w:link w:val="5"/>
    <w:qFormat/>
    <w:uiPriority w:val="0"/>
    <w:rPr>
      <w:b/>
      <w:sz w:val="32"/>
    </w:rPr>
  </w:style>
  <w:style w:type="character" w:customStyle="1" w:styleId="37">
    <w:name w:val="标题 1 字符"/>
    <w:link w:val="3"/>
    <w:qFormat/>
    <w:uiPriority w:val="0"/>
    <w:rPr>
      <w:rFonts w:eastAsia="黑体"/>
      <w:b/>
      <w:bCs/>
      <w:kern w:val="44"/>
      <w:sz w:val="32"/>
      <w:szCs w:val="28"/>
    </w:rPr>
  </w:style>
  <w:style w:type="character" w:customStyle="1" w:styleId="38">
    <w:name w:val="font11"/>
    <w:basedOn w:val="18"/>
    <w:qFormat/>
    <w:uiPriority w:val="0"/>
    <w:rPr>
      <w:rFonts w:hint="eastAsia" w:ascii="宋体-简" w:hAnsi="宋体-简" w:eastAsia="宋体-简" w:cs="宋体-简"/>
      <w:b/>
      <w:bCs/>
      <w:color w:val="FF0000"/>
      <w:sz w:val="22"/>
      <w:szCs w:val="22"/>
      <w:u w:val="none"/>
    </w:rPr>
  </w:style>
  <w:style w:type="character" w:customStyle="1" w:styleId="39">
    <w:name w:val="font71"/>
    <w:basedOn w:val="18"/>
    <w:qFormat/>
    <w:uiPriority w:val="0"/>
    <w:rPr>
      <w:rFonts w:hint="default" w:ascii="Arial" w:hAnsi="Arial" w:cs="Arial"/>
      <w:b/>
      <w:bCs/>
      <w:color w:val="000000"/>
      <w:sz w:val="22"/>
      <w:szCs w:val="22"/>
      <w:u w:val="none"/>
    </w:rPr>
  </w:style>
  <w:style w:type="character" w:customStyle="1" w:styleId="40">
    <w:name w:val="正文文本首行缩进 2 字符"/>
    <w:basedOn w:val="18"/>
    <w:link w:val="15"/>
    <w:qFormat/>
    <w:uiPriority w:val="99"/>
    <w:rPr>
      <w:rFonts w:ascii="宋体" w:hAnsi="宋体"/>
      <w:kern w:val="2"/>
      <w:sz w:val="24"/>
      <w:szCs w:val="24"/>
    </w:rPr>
  </w:style>
  <w:style w:type="paragraph" w:customStyle="1" w:styleId="41">
    <w:name w:val="修订1"/>
    <w:hidden/>
    <w:unhideWhenUsed/>
    <w:qFormat/>
    <w:uiPriority w:val="99"/>
    <w:rPr>
      <w:rFonts w:ascii="宋体" w:hAnsi="宋体" w:eastAsia="宋体" w:cs="Times New Roman"/>
      <w:kern w:val="2"/>
      <w:sz w:val="24"/>
      <w:szCs w:val="24"/>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43">
    <w:name w:val="font51"/>
    <w:basedOn w:val="18"/>
    <w:qFormat/>
    <w:uiPriority w:val="0"/>
    <w:rPr>
      <w:rFonts w:ascii="Arial" w:hAnsi="Arial" w:cs="Arial"/>
      <w:color w:val="000000"/>
      <w:sz w:val="20"/>
      <w:szCs w:val="20"/>
      <w:u w:val="none"/>
    </w:rPr>
  </w:style>
  <w:style w:type="paragraph" w:customStyle="1" w:styleId="44">
    <w:name w:val="修订2"/>
    <w:hidden/>
    <w:unhideWhenUsed/>
    <w:qFormat/>
    <w:uiPriority w:val="99"/>
    <w:rPr>
      <w:rFonts w:ascii="宋体" w:hAnsi="宋体" w:eastAsia="宋体" w:cs="Times New Roman"/>
      <w:kern w:val="2"/>
      <w:sz w:val="24"/>
      <w:szCs w:val="24"/>
      <w:lang w:val="en-US" w:eastAsia="zh-CN" w:bidi="ar-SA"/>
    </w:rPr>
  </w:style>
  <w:style w:type="paragraph" w:customStyle="1" w:styleId="45">
    <w:name w:val="修订3"/>
    <w:hidden/>
    <w:semiHidden/>
    <w:qFormat/>
    <w:uiPriority w:val="99"/>
    <w:rPr>
      <w:rFonts w:ascii="宋体" w:hAnsi="宋体" w:eastAsia="宋体" w:cs="Times New Roman"/>
      <w:kern w:val="2"/>
      <w:sz w:val="24"/>
      <w:szCs w:val="24"/>
      <w:lang w:val="en-US" w:eastAsia="zh-CN" w:bidi="ar-SA"/>
    </w:rPr>
  </w:style>
  <w:style w:type="paragraph" w:customStyle="1" w:styleId="46">
    <w:name w:val="修订4"/>
    <w:hidden/>
    <w:unhideWhenUsed/>
    <w:qFormat/>
    <w:uiPriority w:val="99"/>
    <w:rPr>
      <w:rFonts w:ascii="宋体" w:hAnsi="宋体" w:eastAsia="宋体" w:cs="Times New Roman"/>
      <w:kern w:val="2"/>
      <w:sz w:val="24"/>
      <w:szCs w:val="24"/>
      <w:lang w:val="en-US" w:eastAsia="zh-CN" w:bidi="ar-SA"/>
    </w:rPr>
  </w:style>
  <w:style w:type="paragraph" w:customStyle="1" w:styleId="47">
    <w:name w:val="修订5"/>
    <w:hidden/>
    <w:unhideWhenUsed/>
    <w:qFormat/>
    <w:uiPriority w:val="99"/>
    <w:rPr>
      <w:rFonts w:ascii="宋体" w:hAnsi="宋体" w:eastAsia="宋体" w:cs="Times New Roman"/>
      <w:kern w:val="2"/>
      <w:sz w:val="24"/>
      <w:szCs w:val="24"/>
      <w:lang w:val="en-US" w:eastAsia="zh-CN" w:bidi="ar-SA"/>
    </w:rPr>
  </w:style>
  <w:style w:type="paragraph" w:customStyle="1" w:styleId="48">
    <w:name w:val="修订6"/>
    <w:hidden/>
    <w:unhideWhenUsed/>
    <w:qFormat/>
    <w:uiPriority w:val="99"/>
    <w:rPr>
      <w:rFonts w:ascii="宋体" w:hAnsi="宋体" w:eastAsia="宋体" w:cs="Times New Roman"/>
      <w:kern w:val="2"/>
      <w:sz w:val="24"/>
      <w:szCs w:val="24"/>
      <w:lang w:val="en-US" w:eastAsia="zh-CN" w:bidi="ar-SA"/>
    </w:rPr>
  </w:style>
  <w:style w:type="paragraph" w:customStyle="1" w:styleId="49">
    <w:name w:val="Revision"/>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23900</Words>
  <Characters>26948</Characters>
  <Lines>212</Lines>
  <Paragraphs>59</Paragraphs>
  <TotalTime>21</TotalTime>
  <ScaleCrop>false</ScaleCrop>
  <LinksUpToDate>false</LinksUpToDate>
  <CharactersWithSpaces>27386</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2024-09-27T20:46:00Z</dcterms:created>
  <dc:creator>user</dc:creator>
  <cp:lastModifiedBy>user</cp:lastModifiedBy>
  <cp:lastPrinted>2024-09-05T16:24:00Z</cp:lastPrinted>
  <dcterms:modified xsi:type="dcterms:W3CDTF">2024-10-21T16:33:08Z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BB0E136994E06EBE06091667DAA878E5_43</vt:lpwstr>
  </property>
</Properties>
</file>