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A5383">
      <w:pPr>
        <w:ind w:left="1605" w:hanging="1605"/>
        <w:jc w:val="center"/>
        <w:rPr>
          <w:rFonts w:ascii="仿宋" w:hAnsi="仿宋" w:eastAsia="仿宋"/>
          <w:b/>
          <w:bCs/>
          <w:color w:val="auto"/>
          <w:sz w:val="40"/>
          <w:szCs w:val="40"/>
        </w:rPr>
      </w:pPr>
      <w:bookmarkStart w:id="0" w:name="_Toc55031001"/>
      <w:r>
        <w:rPr>
          <w:rFonts w:hint="eastAsia" w:ascii="仿宋" w:hAnsi="仿宋" w:eastAsia="仿宋"/>
          <w:b/>
          <w:bCs/>
          <w:color w:val="auto"/>
          <w:sz w:val="40"/>
          <w:szCs w:val="40"/>
        </w:rPr>
        <w:t>宣传系统文化数字化服务平台（二期）</w:t>
      </w:r>
    </w:p>
    <w:p w14:paraId="152C5F93">
      <w:pPr>
        <w:pStyle w:val="2"/>
        <w:ind w:left="1605" w:hanging="1605"/>
        <w:jc w:val="center"/>
        <w:rPr>
          <w:rFonts w:ascii="仿宋" w:hAnsi="仿宋" w:eastAsia="仿宋"/>
          <w:color w:val="auto"/>
          <w:sz w:val="40"/>
          <w:szCs w:val="40"/>
        </w:rPr>
      </w:pPr>
      <w:r>
        <w:rPr>
          <w:rFonts w:hint="eastAsia" w:ascii="仿宋" w:hAnsi="仿宋" w:eastAsia="仿宋"/>
          <w:color w:val="auto"/>
          <w:sz w:val="40"/>
          <w:szCs w:val="40"/>
        </w:rPr>
        <w:t>采购需求</w:t>
      </w:r>
      <w:bookmarkEnd w:id="0"/>
      <w:bookmarkStart w:id="1" w:name="TableOfContents"/>
      <w:bookmarkEnd w:id="1"/>
      <w:bookmarkStart w:id="2" w:name="_Toc287857567"/>
      <w:bookmarkStart w:id="3" w:name="_Toc327435532"/>
    </w:p>
    <w:p w14:paraId="6DD764BF">
      <w:pPr>
        <w:pStyle w:val="2"/>
        <w:keepNext w:val="0"/>
        <w:keepLines w:val="0"/>
        <w:numPr>
          <w:ilvl w:val="0"/>
          <w:numId w:val="2"/>
        </w:numPr>
        <w:spacing w:line="360" w:lineRule="auto"/>
        <w:ind w:left="0" w:firstLine="0"/>
        <w:rPr>
          <w:rFonts w:ascii="仿宋" w:hAnsi="仿宋" w:eastAsia="仿宋" w:cs="仿宋"/>
          <w:color w:val="auto"/>
          <w:sz w:val="28"/>
          <w:szCs w:val="28"/>
        </w:rPr>
      </w:pPr>
      <w:bookmarkStart w:id="4" w:name="_Toc25207"/>
      <w:bookmarkStart w:id="5" w:name="_Toc678"/>
      <w:bookmarkStart w:id="6" w:name="_Toc26905"/>
      <w:bookmarkStart w:id="7" w:name="_Toc27602"/>
      <w:bookmarkStart w:id="8" w:name="_Toc2696"/>
      <w:bookmarkStart w:id="9" w:name="_Toc16131"/>
      <w:bookmarkStart w:id="10" w:name="_Toc32401"/>
      <w:bookmarkStart w:id="11" w:name="_Toc13680"/>
      <w:bookmarkStart w:id="12" w:name="_Toc34601495"/>
      <w:bookmarkStart w:id="13" w:name="_Toc10645"/>
      <w:bookmarkStart w:id="14" w:name="_Toc25649_WPSOffice_Level1"/>
      <w:bookmarkStart w:id="15" w:name="_Toc22228"/>
      <w:bookmarkStart w:id="16" w:name="_Toc24570"/>
      <w:r>
        <w:rPr>
          <w:rFonts w:hint="eastAsia" w:ascii="仿宋" w:hAnsi="仿宋" w:eastAsia="仿宋" w:cs="仿宋"/>
          <w:color w:val="auto"/>
          <w:sz w:val="28"/>
          <w:szCs w:val="28"/>
        </w:rPr>
        <w:t>项目</w:t>
      </w:r>
      <w:bookmarkEnd w:id="4"/>
      <w:bookmarkEnd w:id="5"/>
      <w:bookmarkEnd w:id="6"/>
      <w:bookmarkEnd w:id="7"/>
      <w:bookmarkEnd w:id="8"/>
      <w:bookmarkEnd w:id="9"/>
      <w:bookmarkEnd w:id="10"/>
      <w:bookmarkEnd w:id="11"/>
      <w:bookmarkEnd w:id="12"/>
      <w:bookmarkEnd w:id="13"/>
      <w:bookmarkEnd w:id="14"/>
      <w:bookmarkEnd w:id="15"/>
      <w:bookmarkEnd w:id="16"/>
      <w:r>
        <w:rPr>
          <w:rFonts w:hint="eastAsia" w:ascii="仿宋" w:hAnsi="仿宋" w:eastAsia="仿宋" w:cs="仿宋"/>
          <w:color w:val="auto"/>
          <w:sz w:val="28"/>
          <w:szCs w:val="28"/>
        </w:rPr>
        <w:t>背景</w:t>
      </w:r>
    </w:p>
    <w:p w14:paraId="214F9DD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为深入贯彻落实党中央、国务院和市委、市政府文化数字化战略决策部署，2022年市委宣传部启动宣传系统文化数字化服务平台（以下简称“服务平台（一期）”）建设，以新技术、新思维纵深推进宣传思想文化工作数字化转型。服务平台（一期）通过基础设施服务提供计算、存储、网络环境资源，通过数据采集服务提供多种传输方式，实现宣传系统内外部单位业务数据采集，通过数据治理服务融合应用大数据与人工智能等技术，对汇聚的数据开</w:t>
      </w:r>
      <w:bookmarkStart w:id="35" w:name="_GoBack"/>
      <w:bookmarkEnd w:id="35"/>
      <w:r>
        <w:rPr>
          <w:rFonts w:hint="eastAsia" w:ascii="仿宋" w:hAnsi="仿宋" w:eastAsia="仿宋" w:cs="仿宋"/>
          <w:color w:val="auto"/>
          <w:sz w:val="28"/>
          <w:szCs w:val="28"/>
        </w:rPr>
        <w:t>展质量检查、数据清洗、数据编目数据挖掘和建模，通过数据应用服务将场景与业务相结合，提供文艺演出</w:t>
      </w:r>
      <w:r>
        <w:rPr>
          <w:rFonts w:hint="eastAsia" w:ascii="仿宋" w:hAnsi="仿宋" w:eastAsia="仿宋" w:cs="仿宋"/>
          <w:color w:val="auto"/>
          <w:sz w:val="28"/>
          <w:szCs w:val="28"/>
          <w:lang w:eastAsia="zh-CN"/>
        </w:rPr>
        <w:t>舆 情</w:t>
      </w:r>
      <w:r>
        <w:rPr>
          <w:rFonts w:hint="eastAsia" w:ascii="仿宋" w:hAnsi="仿宋" w:eastAsia="仿宋" w:cs="仿宋"/>
          <w:color w:val="auto"/>
          <w:sz w:val="28"/>
          <w:szCs w:val="28"/>
        </w:rPr>
        <w:t>、融媒体等板块的可视化应用，逐步形成了数据导向的管理和决策机制，提升问题分析研判能力，支持本市宣传思想文化工作高效开展。</w:t>
      </w:r>
    </w:p>
    <w:p w14:paraId="1377658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随着技术迭代的节奏加快，数字化转型需要持续精进。当前平台的能级还稍显薄弱，尚未开展融合文本、语言、视觉等多模态信息的模型搭建，现有的数据服务无法对业务管理提供更为科学量化的参考。通过建设宣传系统文化数字化服务平台（二期）推进数据分类分级管理、数据运营以及安全管理等规范的建设，以增强数据一致性、促进数据集成、加强数据资产管理以及实现数据资源共享，从而为上海市宣传文化数据价值的深度挖掘提供保障。</w:t>
      </w:r>
    </w:p>
    <w:p w14:paraId="718F775E">
      <w:pPr>
        <w:pStyle w:val="2"/>
        <w:keepNext w:val="0"/>
        <w:keepLines w:val="0"/>
        <w:numPr>
          <w:ilvl w:val="0"/>
          <w:numId w:val="2"/>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项目目标</w:t>
      </w:r>
    </w:p>
    <w:p w14:paraId="4BC250A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全力落实《2024年上海宣传文化领域数字化转型工作要点》的建设部署，在服务平台（一期）建设的基础上，加强文化数字化综合治理能力。</w:t>
      </w:r>
    </w:p>
    <w:p w14:paraId="60641969">
      <w:pPr>
        <w:numPr>
          <w:ilvl w:val="0"/>
          <w:numId w:val="3"/>
        </w:numPr>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加强数据汇聚和数据应用。</w:t>
      </w:r>
    </w:p>
    <w:p w14:paraId="16CBA40E">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对思想理论、文化旅游、文物、非遗传承、新闻出版、电影电视、网络游戏等不同领域的文化资源数据进行汇聚，对文化数据进行可视化处理，结合重点主题活动开展情况开展专题分析，为日常业务管理与工作指挥决策提供辅助。</w:t>
      </w:r>
    </w:p>
    <w:p w14:paraId="0CD9CB2D">
      <w:pPr>
        <w:numPr>
          <w:ilvl w:val="0"/>
          <w:numId w:val="3"/>
        </w:numPr>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加强数据治理和安全管理。</w:t>
      </w:r>
    </w:p>
    <w:p w14:paraId="44A7444D">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建立完善的数据质量管理、数据安全、数据应用和数据服务的长效运营工作机制，及时处理监管过程中发现的各类数据质量问题，确保数据状态可感知、数据使用可追溯、安全责任可落实。</w:t>
      </w:r>
    </w:p>
    <w:p w14:paraId="0C1E037B">
      <w:pPr>
        <w:pStyle w:val="2"/>
        <w:keepNext w:val="0"/>
        <w:keepLines w:val="0"/>
        <w:numPr>
          <w:ilvl w:val="0"/>
          <w:numId w:val="2"/>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建设内容</w:t>
      </w:r>
    </w:p>
    <w:p w14:paraId="71DBDF43">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宣传文化数字化服务平台建设已初具雏形，功能架构基本完善，已成功对接宣传思想文化业务系统，并按序开展数据清洗和处理等数据质量管理，经配置可对外提供数据接口服务，逐步形成数据导向的管理和决策机制，提升问题分析研判能力，支持本市宣传思想文化工作高效开展。随着技术迭代的节奏加快，数字化转型需要持续精进。本项目将根据上海宣传文化领域数字化转型工作的最新部署，对平台在能级、形态、运行机制等方面做进一步优化建设。</w:t>
      </w:r>
    </w:p>
    <w:p w14:paraId="5DF2DDDF">
      <w:pPr>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（一）提升服务能级，强化平台数据汇聚治理能力</w:t>
      </w:r>
    </w:p>
    <w:p w14:paraId="77251DF2">
      <w:pPr>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一是加强业务数据汇聚。</w:t>
      </w:r>
      <w:r>
        <w:rPr>
          <w:rFonts w:hint="eastAsia" w:ascii="仿宋" w:hAnsi="仿宋" w:eastAsia="仿宋" w:cs="仿宋"/>
          <w:color w:val="auto"/>
          <w:sz w:val="28"/>
          <w:szCs w:val="28"/>
        </w:rPr>
        <w:t>通过系统对接、数据抓取等手段，汇聚上海市文化和旅游局、上海博物馆、上海社会科学院、中国共产党第一次全国代表大会纪念馆、上海市新闻出版局等单位的文化资源数据，逐步实现与系统内数字化转型重点项目的数据共享。</w:t>
      </w:r>
      <w:r>
        <w:rPr>
          <w:rFonts w:hint="eastAsia" w:ascii="仿宋" w:hAnsi="仿宋" w:eastAsia="仿宋" w:cs="仿宋"/>
          <w:b/>
          <w:bCs/>
          <w:color w:val="auto"/>
          <w:sz w:val="28"/>
          <w:szCs w:val="28"/>
        </w:rPr>
        <w:t>二是加强数据服务能力</w:t>
      </w:r>
      <w:r>
        <w:rPr>
          <w:rFonts w:hint="eastAsia" w:ascii="仿宋" w:hAnsi="仿宋" w:eastAsia="仿宋" w:cs="仿宋"/>
          <w:color w:val="auto"/>
          <w:sz w:val="28"/>
          <w:szCs w:val="28"/>
        </w:rPr>
        <w:t>。制定更精准化的模型部署与训练策略，建立更有实践应用价值的、多场景的垂直领域知识库；对照业务需求进行垂直领域大模型开发；在此基础上使用大模型对各场景的业务数据进行开发，形成多维度探索面板，更好地理解和展示用户需求。</w:t>
      </w:r>
      <w:r>
        <w:rPr>
          <w:rFonts w:hint="eastAsia" w:ascii="仿宋" w:hAnsi="仿宋" w:eastAsia="仿宋" w:cs="仿宋"/>
          <w:b/>
          <w:bCs/>
          <w:color w:val="auto"/>
          <w:sz w:val="28"/>
          <w:szCs w:val="28"/>
        </w:rPr>
        <w:t>三是开展国资企业监控预警</w:t>
      </w:r>
      <w:r>
        <w:rPr>
          <w:rFonts w:hint="eastAsia" w:ascii="仿宋" w:hAnsi="仿宋" w:eastAsia="仿宋" w:cs="仿宋"/>
          <w:color w:val="auto"/>
          <w:sz w:val="28"/>
          <w:szCs w:val="28"/>
        </w:rPr>
        <w:t>，对文化企业及其国有资产进行全方位监控和管理，提高监管效率，确保国有资产的安全和增值。</w:t>
      </w:r>
      <w:r>
        <w:rPr>
          <w:rFonts w:hint="eastAsia" w:ascii="仿宋" w:hAnsi="仿宋" w:eastAsia="仿宋" w:cs="仿宋"/>
          <w:b/>
          <w:bCs/>
          <w:color w:val="auto"/>
          <w:sz w:val="28"/>
          <w:szCs w:val="28"/>
        </w:rPr>
        <w:t>四是加强数据共享应用，</w:t>
      </w:r>
      <w:r>
        <w:rPr>
          <w:rFonts w:hint="eastAsia" w:ascii="仿宋" w:hAnsi="仿宋" w:eastAsia="仿宋" w:cs="仿宋"/>
          <w:color w:val="auto"/>
          <w:sz w:val="28"/>
          <w:szCs w:val="28"/>
        </w:rPr>
        <w:t>建设文旅体商、文博展馆、社会科学、非遗传承、网络游戏、十四五文化发展、</w:t>
      </w:r>
      <w:r>
        <w:rPr>
          <w:rFonts w:hint="eastAsia" w:ascii="仿宋" w:hAnsi="仿宋" w:eastAsia="仿宋" w:cs="仿宋"/>
          <w:color w:val="auto"/>
          <w:sz w:val="28"/>
          <w:szCs w:val="28"/>
          <w:lang w:eastAsia="zh-CN"/>
        </w:rPr>
        <w:t>舆 情</w:t>
      </w:r>
      <w:r>
        <w:rPr>
          <w:rFonts w:hint="eastAsia" w:ascii="仿宋" w:hAnsi="仿宋" w:eastAsia="仿宋" w:cs="仿宋"/>
          <w:color w:val="auto"/>
          <w:sz w:val="28"/>
          <w:szCs w:val="28"/>
        </w:rPr>
        <w:t>热点进行时业务场景。</w:t>
      </w:r>
    </w:p>
    <w:p w14:paraId="562F8C95">
      <w:pPr>
        <w:ind w:firstLine="562"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（二）完善运行机制，紧盯数据质量和数据安全</w:t>
      </w:r>
    </w:p>
    <w:p w14:paraId="5C807951">
      <w:pPr>
        <w:ind w:firstLine="562" w:firstLineChars="200"/>
        <w:rPr>
          <w:rFonts w:ascii="仿宋" w:hAnsi="仿宋" w:eastAsia="仿宋" w:cs="仿宋"/>
          <w:color w:val="auto"/>
          <w:sz w:val="28"/>
          <w:szCs w:val="28"/>
        </w:rPr>
      </w:pPr>
      <w:r>
        <w:rPr>
          <w:rFonts w:hint="eastAsia" w:ascii="仿宋" w:hAnsi="仿宋" w:eastAsia="仿宋" w:cs="仿宋"/>
          <w:b/>
          <w:bCs/>
          <w:color w:val="auto"/>
          <w:sz w:val="28"/>
          <w:szCs w:val="28"/>
        </w:rPr>
        <w:t>一方面，以长效运营机制提升数据质量。</w:t>
      </w:r>
      <w:r>
        <w:rPr>
          <w:rFonts w:hint="eastAsia" w:ascii="仿宋" w:hAnsi="仿宋" w:eastAsia="仿宋" w:cs="仿宋"/>
          <w:color w:val="auto"/>
          <w:sz w:val="28"/>
          <w:szCs w:val="28"/>
        </w:rPr>
        <w:t>通过完善数据资源编目、数据分类分级管理、文化数据资源标识、编制数据运营报告，形成一套更成熟的数据质量评估体系和反馈机制，从源头上保障数据的准确、完整，突出文化数据的资源性，提升数据利用的可持续性；</w:t>
      </w:r>
      <w:r>
        <w:rPr>
          <w:rFonts w:hint="eastAsia" w:ascii="仿宋" w:hAnsi="仿宋" w:eastAsia="仿宋" w:cs="仿宋"/>
          <w:b/>
          <w:bCs/>
          <w:color w:val="auto"/>
          <w:sz w:val="28"/>
          <w:szCs w:val="28"/>
        </w:rPr>
        <w:t>另一方面，通过规则约束和技术手段强化数据安全保障。</w:t>
      </w:r>
      <w:r>
        <w:rPr>
          <w:rFonts w:hint="eastAsia" w:ascii="仿宋" w:hAnsi="仿宋" w:eastAsia="仿宋" w:cs="仿宋"/>
          <w:color w:val="auto"/>
          <w:sz w:val="28"/>
          <w:szCs w:val="28"/>
        </w:rPr>
        <w:t>一是通过制定和实施保密规则，规避平台参与方数据泄密的风险；二是采取技术手段，开展应用安全监测分析、威胁情报服务、应用安全检查评估、应用安全渗透测试、应用安全重保管理和数据安全控制等，为“服务平台”提供全面的信息安全防护体系。</w:t>
      </w:r>
    </w:p>
    <w:p w14:paraId="3A0D3B9C">
      <w:pPr>
        <w:pStyle w:val="2"/>
        <w:keepNext w:val="0"/>
        <w:keepLines w:val="0"/>
        <w:numPr>
          <w:ilvl w:val="0"/>
          <w:numId w:val="2"/>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采购需求清单</w:t>
      </w:r>
    </w:p>
    <w:tbl>
      <w:tblPr>
        <w:tblStyle w:val="43"/>
        <w:tblW w:w="4998" w:type="pct"/>
        <w:tblInd w:w="0" w:type="dxa"/>
        <w:tblLayout w:type="autofit"/>
        <w:tblCellMar>
          <w:top w:w="0" w:type="dxa"/>
          <w:left w:w="108" w:type="dxa"/>
          <w:bottom w:w="0" w:type="dxa"/>
          <w:right w:w="108" w:type="dxa"/>
        </w:tblCellMar>
      </w:tblPr>
      <w:tblGrid>
        <w:gridCol w:w="794"/>
        <w:gridCol w:w="1428"/>
        <w:gridCol w:w="4206"/>
        <w:gridCol w:w="2091"/>
      </w:tblGrid>
      <w:tr w14:paraId="6CFEE3FA">
        <w:tblPrEx>
          <w:tblCellMar>
            <w:top w:w="0" w:type="dxa"/>
            <w:left w:w="108" w:type="dxa"/>
            <w:bottom w:w="0" w:type="dxa"/>
            <w:right w:w="108" w:type="dxa"/>
          </w:tblCellMar>
        </w:tblPrEx>
        <w:trPr>
          <w:trHeight w:val="348"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6153">
            <w:pPr>
              <w:widowControl/>
              <w:spacing w:line="400" w:lineRule="exact"/>
              <w:jc w:val="center"/>
              <w:textAlignment w:val="center"/>
              <w:rPr>
                <w:rFonts w:ascii="仿宋" w:hAnsi="仿宋" w:eastAsia="仿宋" w:cs="仿宋"/>
                <w:b/>
                <w:bCs/>
                <w:color w:val="auto"/>
              </w:rPr>
            </w:pPr>
            <w:r>
              <w:rPr>
                <w:rFonts w:hint="eastAsia" w:ascii="仿宋" w:hAnsi="仿宋" w:eastAsia="仿宋" w:cs="仿宋"/>
                <w:b/>
                <w:bCs/>
                <w:color w:val="auto"/>
                <w:kern w:val="0"/>
              </w:rPr>
              <w:t>序号</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3283">
            <w:pPr>
              <w:widowControl/>
              <w:spacing w:line="400" w:lineRule="exact"/>
              <w:jc w:val="center"/>
              <w:textAlignment w:val="center"/>
              <w:rPr>
                <w:rFonts w:ascii="仿宋" w:hAnsi="仿宋" w:eastAsia="仿宋" w:cs="仿宋"/>
                <w:b/>
                <w:bCs/>
                <w:color w:val="auto"/>
              </w:rPr>
            </w:pPr>
            <w:r>
              <w:rPr>
                <w:rFonts w:hint="eastAsia" w:ascii="仿宋" w:hAnsi="仿宋" w:eastAsia="仿宋" w:cs="仿宋"/>
                <w:b/>
                <w:bCs/>
                <w:color w:val="auto"/>
                <w:kern w:val="0"/>
              </w:rPr>
              <w:t>服务项目</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DB5D">
            <w:pPr>
              <w:widowControl/>
              <w:spacing w:line="400" w:lineRule="exact"/>
              <w:jc w:val="center"/>
              <w:textAlignment w:val="center"/>
              <w:rPr>
                <w:rFonts w:ascii="仿宋" w:hAnsi="仿宋" w:eastAsia="仿宋" w:cs="仿宋"/>
                <w:b/>
                <w:bCs/>
                <w:color w:val="auto"/>
              </w:rPr>
            </w:pPr>
            <w:r>
              <w:rPr>
                <w:rFonts w:hint="eastAsia" w:ascii="仿宋" w:hAnsi="仿宋" w:eastAsia="仿宋" w:cs="仿宋"/>
                <w:b/>
                <w:bCs/>
                <w:color w:val="auto"/>
                <w:kern w:val="0"/>
              </w:rPr>
              <w:t>服务内容</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B8F0">
            <w:pPr>
              <w:widowControl/>
              <w:spacing w:line="400" w:lineRule="exact"/>
              <w:jc w:val="center"/>
              <w:textAlignment w:val="center"/>
              <w:rPr>
                <w:rFonts w:ascii="仿宋" w:hAnsi="仿宋" w:eastAsia="仿宋" w:cs="仿宋"/>
                <w:b/>
                <w:bCs/>
                <w:color w:val="auto"/>
              </w:rPr>
            </w:pPr>
            <w:r>
              <w:rPr>
                <w:rFonts w:hint="eastAsia" w:ascii="仿宋" w:hAnsi="仿宋" w:eastAsia="仿宋" w:cs="仿宋"/>
                <w:b/>
                <w:bCs/>
                <w:color w:val="auto"/>
                <w:kern w:val="0"/>
              </w:rPr>
              <w:t>具体服务要求</w:t>
            </w:r>
          </w:p>
        </w:tc>
      </w:tr>
      <w:tr w14:paraId="3A3F8B0E">
        <w:tblPrEx>
          <w:tblCellMar>
            <w:top w:w="0" w:type="dxa"/>
            <w:left w:w="108" w:type="dxa"/>
            <w:bottom w:w="0" w:type="dxa"/>
            <w:right w:w="108" w:type="dxa"/>
          </w:tblCellMar>
        </w:tblPrEx>
        <w:trPr>
          <w:trHeight w:val="348"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B1D3">
            <w:pPr>
              <w:widowControl/>
              <w:spacing w:line="400" w:lineRule="exact"/>
              <w:jc w:val="center"/>
              <w:textAlignment w:val="center"/>
              <w:rPr>
                <w:rFonts w:ascii="仿宋" w:hAnsi="仿宋" w:eastAsia="仿宋" w:cs="仿宋"/>
                <w:b/>
                <w:bCs/>
                <w:color w:val="auto"/>
              </w:rPr>
            </w:pPr>
            <w:r>
              <w:rPr>
                <w:rFonts w:hint="eastAsia" w:ascii="仿宋" w:hAnsi="仿宋" w:eastAsia="仿宋" w:cs="仿宋"/>
                <w:b/>
                <w:bCs/>
                <w:color w:val="auto"/>
                <w:kern w:val="0"/>
              </w:rPr>
              <w:t>一</w:t>
            </w:r>
          </w:p>
        </w:tc>
        <w:tc>
          <w:tcPr>
            <w:tcW w:w="4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E49BE">
            <w:pPr>
              <w:widowControl/>
              <w:spacing w:line="400" w:lineRule="exact"/>
              <w:jc w:val="left"/>
              <w:textAlignment w:val="center"/>
              <w:rPr>
                <w:rFonts w:ascii="仿宋" w:hAnsi="仿宋" w:eastAsia="仿宋" w:cs="仿宋"/>
                <w:b/>
                <w:bCs/>
                <w:color w:val="auto"/>
              </w:rPr>
            </w:pPr>
            <w:r>
              <w:rPr>
                <w:rFonts w:hint="eastAsia" w:ascii="仿宋" w:hAnsi="仿宋" w:eastAsia="仿宋" w:cs="仿宋"/>
                <w:b/>
                <w:bCs/>
                <w:color w:val="auto"/>
                <w:kern w:val="0"/>
              </w:rPr>
              <w:t>加强业务数据汇聚</w:t>
            </w:r>
          </w:p>
        </w:tc>
      </w:tr>
      <w:tr w14:paraId="0D2F1E54">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86AE">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69A7">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数据汇聚</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458A">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通过系统对接、数据抓取等手段，汇聚上海市文化和旅游局、上海博物馆、上海社会科学院、中国共产党第一次全国代表大会纪念馆、上海市新闻出版局等单位系统文化资源数据，逐步实现与系统内数字化转型重点项目的数据共享。</w:t>
            </w:r>
          </w:p>
        </w:tc>
        <w:tc>
          <w:tcPr>
            <w:tcW w:w="1227" w:type="pct"/>
            <w:tcBorders>
              <w:top w:val="single" w:color="000000" w:sz="4" w:space="0"/>
              <w:left w:val="single" w:color="000000" w:sz="4" w:space="0"/>
              <w:bottom w:val="single" w:color="000000" w:sz="4" w:space="0"/>
              <w:right w:val="single" w:color="000000" w:sz="4" w:space="0"/>
            </w:tcBorders>
            <w:shd w:val="clear" w:color="auto" w:fill="auto"/>
          </w:tcPr>
          <w:p w14:paraId="72489F9F">
            <w:pPr>
              <w:widowControl/>
              <w:spacing w:line="400" w:lineRule="exact"/>
              <w:jc w:val="left"/>
              <w:textAlignment w:val="top"/>
              <w:rPr>
                <w:rFonts w:ascii="仿宋" w:hAnsi="仿宋" w:eastAsia="仿宋" w:cs="仿宋"/>
                <w:b/>
                <w:bCs/>
                <w:color w:val="auto"/>
                <w:kern w:val="0"/>
              </w:rPr>
            </w:pPr>
            <w:r>
              <w:rPr>
                <w:rFonts w:hint="eastAsia" w:ascii="仿宋" w:hAnsi="仿宋" w:eastAsia="仿宋" w:cs="仿宋"/>
                <w:color w:val="auto"/>
                <w:kern w:val="0"/>
              </w:rPr>
              <w:t>服务期内，完成上海市文化和旅游局、上海博物馆、上海社会科学院、中国共产党第一次全国代表大会纪念馆、上海市新闻出版局等单位系统文化资源数据汇聚，</w:t>
            </w:r>
            <w:r>
              <w:rPr>
                <w:rFonts w:ascii="仿宋" w:hAnsi="仿宋" w:eastAsia="仿宋" w:cs="仿宋"/>
                <w:color w:val="auto"/>
                <w:kern w:val="0"/>
              </w:rPr>
              <w:t>涉及的具体实施单位、系统及数据，需在项目执行阶段与采购人进行确认</w:t>
            </w:r>
            <w:r>
              <w:rPr>
                <w:rFonts w:hint="eastAsia" w:ascii="仿宋" w:hAnsi="仿宋" w:eastAsia="仿宋" w:cs="仿宋"/>
                <w:b/>
                <w:bCs/>
                <w:color w:val="auto"/>
                <w:kern w:val="0"/>
              </w:rPr>
              <w:t>数据汇聚条数不少于400万条。</w:t>
            </w:r>
          </w:p>
        </w:tc>
      </w:tr>
      <w:tr w14:paraId="3DFD9D6F">
        <w:tblPrEx>
          <w:tblCellMar>
            <w:top w:w="0" w:type="dxa"/>
            <w:left w:w="108" w:type="dxa"/>
            <w:bottom w:w="0" w:type="dxa"/>
            <w:right w:w="108" w:type="dxa"/>
          </w:tblCellMar>
        </w:tblPrEx>
        <w:trPr>
          <w:trHeight w:val="348"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F211">
            <w:pPr>
              <w:widowControl/>
              <w:spacing w:line="400" w:lineRule="exact"/>
              <w:jc w:val="center"/>
              <w:textAlignment w:val="center"/>
              <w:rPr>
                <w:rFonts w:ascii="仿宋" w:hAnsi="仿宋" w:eastAsia="仿宋" w:cs="仿宋"/>
                <w:b/>
                <w:bCs/>
                <w:color w:val="auto"/>
              </w:rPr>
            </w:pPr>
            <w:r>
              <w:rPr>
                <w:rFonts w:hint="eastAsia" w:ascii="仿宋" w:hAnsi="仿宋" w:eastAsia="仿宋" w:cs="仿宋"/>
                <w:b/>
                <w:bCs/>
                <w:color w:val="auto"/>
                <w:kern w:val="0"/>
              </w:rPr>
              <w:t>二</w:t>
            </w:r>
          </w:p>
        </w:tc>
        <w:tc>
          <w:tcPr>
            <w:tcW w:w="4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05857">
            <w:pPr>
              <w:widowControl/>
              <w:spacing w:line="400" w:lineRule="exact"/>
              <w:jc w:val="left"/>
              <w:textAlignment w:val="center"/>
              <w:rPr>
                <w:rFonts w:ascii="仿宋" w:hAnsi="仿宋" w:eastAsia="仿宋" w:cs="仿宋"/>
                <w:b/>
                <w:bCs/>
                <w:color w:val="auto"/>
              </w:rPr>
            </w:pPr>
            <w:r>
              <w:rPr>
                <w:rFonts w:hint="eastAsia" w:ascii="仿宋" w:hAnsi="仿宋" w:eastAsia="仿宋" w:cs="仿宋"/>
                <w:b/>
                <w:bCs/>
                <w:color w:val="auto"/>
                <w:kern w:val="0"/>
              </w:rPr>
              <w:t>加强数据服务能力</w:t>
            </w:r>
          </w:p>
        </w:tc>
      </w:tr>
      <w:tr w14:paraId="406F8B1D">
        <w:tblPrEx>
          <w:tblCellMar>
            <w:top w:w="0" w:type="dxa"/>
            <w:left w:w="108" w:type="dxa"/>
            <w:bottom w:w="0" w:type="dxa"/>
            <w:right w:w="108" w:type="dxa"/>
          </w:tblCellMar>
        </w:tblPrEx>
        <w:trPr>
          <w:trHeight w:val="348"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FFDE">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1</w:t>
            </w:r>
          </w:p>
        </w:tc>
        <w:tc>
          <w:tcPr>
            <w:tcW w:w="4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6FAAF">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数字底座AI赋能</w:t>
            </w:r>
          </w:p>
        </w:tc>
      </w:tr>
      <w:tr w14:paraId="7C690A95">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01E9">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1.1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0556">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代码生成能力</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BBB1">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利用大语言模型的代码生成能力，通过编写提示词和修改大语言模型能读懂的数据库结构，提供智能提示、错误纠正功能以及根据自然语言自动生成可执行脚本，帮助运维人员编写更安全、更高效的SQL语句。</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3D9F9">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服务期内，基于人工智能等算法开展代码生成、数据标注、数据清洗、数据分类、精准捕捉、决策辅助、报告生成等数据建模服务，</w:t>
            </w:r>
            <w:r>
              <w:rPr>
                <w:rFonts w:hint="eastAsia" w:ascii="仿宋" w:hAnsi="仿宋" w:eastAsia="仿宋" w:cs="仿宋"/>
                <w:b/>
                <w:bCs/>
                <w:color w:val="auto"/>
                <w:kern w:val="0"/>
              </w:rPr>
              <w:t>建模不少于7个</w:t>
            </w:r>
            <w:r>
              <w:rPr>
                <w:rFonts w:hint="eastAsia" w:ascii="仿宋" w:hAnsi="仿宋" w:eastAsia="仿宋" w:cs="仿宋"/>
                <w:color w:val="auto"/>
                <w:kern w:val="0"/>
              </w:rPr>
              <w:t>；同时通过数据可视化展现服务提供相关服务应用，</w:t>
            </w:r>
            <w:r>
              <w:rPr>
                <w:rFonts w:hint="eastAsia" w:ascii="仿宋" w:hAnsi="仿宋" w:eastAsia="仿宋" w:cs="仿宋"/>
                <w:b/>
                <w:bCs/>
                <w:color w:val="auto"/>
                <w:kern w:val="0"/>
              </w:rPr>
              <w:t>数据可视化展现版面不少于7个</w:t>
            </w:r>
            <w:r>
              <w:rPr>
                <w:rFonts w:hint="eastAsia" w:ascii="仿宋" w:hAnsi="仿宋" w:eastAsia="仿宋" w:cs="仿宋"/>
                <w:color w:val="auto"/>
                <w:kern w:val="0"/>
              </w:rPr>
              <w:t>。</w:t>
            </w:r>
          </w:p>
        </w:tc>
      </w:tr>
      <w:tr w14:paraId="64D6BC40">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9525">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1.2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C656">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数据标注能力</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79D0">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通过自动化的方式辅助人工标注，例如，模型可以预处理数据，识别出可能的标签进行自动标注，然后由人工进行审核和修正。这种方法可以显著提高数据标注的速度和准确性。</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4098">
            <w:pPr>
              <w:widowControl/>
              <w:spacing w:line="400" w:lineRule="exact"/>
              <w:jc w:val="left"/>
              <w:rPr>
                <w:rFonts w:ascii="仿宋" w:hAnsi="仿宋" w:eastAsia="仿宋" w:cs="仿宋"/>
                <w:color w:val="auto"/>
              </w:rPr>
            </w:pPr>
          </w:p>
        </w:tc>
      </w:tr>
      <w:tr w14:paraId="7FCC4D31">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AA08">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1.3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996A">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数据清洗能力</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8D3C">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加入大语言模型技术辅助优化数据清洗规则，通过学习大量的数据清洗案例，自动生成或推荐清洗规则，提高数据清洗的准确性和效率，同时可以分析和预测数据质量趋势，提供数据质量改进的建议。</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C3CC0">
            <w:pPr>
              <w:widowControl/>
              <w:spacing w:line="400" w:lineRule="exact"/>
              <w:jc w:val="left"/>
              <w:rPr>
                <w:rFonts w:ascii="仿宋" w:hAnsi="仿宋" w:eastAsia="仿宋" w:cs="仿宋"/>
                <w:color w:val="auto"/>
              </w:rPr>
            </w:pPr>
          </w:p>
        </w:tc>
      </w:tr>
      <w:tr w14:paraId="0EB3289A">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9CFA0">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1.4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7DA0">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数据分类能力</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76CC">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对业务数据进行清洗和格式化，利用机器学习算法，从业务数据中提取关键特征。建立分类模型，将提取的关键特征进行模型训练训练模型以识别和分类不同类型的业务数据，实现自动化的业务数据管理。</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322E">
            <w:pPr>
              <w:widowControl/>
              <w:spacing w:line="400" w:lineRule="exact"/>
              <w:jc w:val="left"/>
              <w:rPr>
                <w:rFonts w:ascii="仿宋" w:hAnsi="仿宋" w:eastAsia="仿宋" w:cs="仿宋"/>
                <w:color w:val="auto"/>
              </w:rPr>
            </w:pPr>
          </w:p>
        </w:tc>
      </w:tr>
      <w:tr w14:paraId="78B03696">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DA91">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1.5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D99D">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精准捕捉能力</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1ECF">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通过大语言模型技术，将热点话题中的关键词进行标准化处理，提取出核心概念并集中在知识图谱的中心节点上形成热点“风暴眼”，预测其发展趋势和潜在的社会影响。</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2DBB1">
            <w:pPr>
              <w:widowControl/>
              <w:spacing w:line="400" w:lineRule="exact"/>
              <w:jc w:val="left"/>
              <w:rPr>
                <w:rFonts w:ascii="仿宋" w:hAnsi="仿宋" w:eastAsia="仿宋" w:cs="仿宋"/>
                <w:color w:val="auto"/>
              </w:rPr>
            </w:pPr>
          </w:p>
        </w:tc>
      </w:tr>
      <w:tr w14:paraId="30CF2BC9">
        <w:tblPrEx>
          <w:tblCellMar>
            <w:top w:w="0" w:type="dxa"/>
            <w:left w:w="108" w:type="dxa"/>
            <w:bottom w:w="0" w:type="dxa"/>
            <w:right w:w="108" w:type="dxa"/>
          </w:tblCellMar>
        </w:tblPrEx>
        <w:trPr>
          <w:trHeight w:val="97"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F52E">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1.6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74A8">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决策辅助能力</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9836">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构建包含多领域知识的图谱，将知识以图的形式组织，便于查询和分析，降低处理大规模数据集的成本和时间。利用知识图谱提供的数据和信息，辅助决策者进行决策。</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E9A17">
            <w:pPr>
              <w:widowControl/>
              <w:spacing w:line="400" w:lineRule="exact"/>
              <w:jc w:val="left"/>
              <w:rPr>
                <w:rFonts w:ascii="仿宋" w:hAnsi="仿宋" w:eastAsia="仿宋" w:cs="仿宋"/>
                <w:color w:val="auto"/>
              </w:rPr>
            </w:pPr>
          </w:p>
        </w:tc>
      </w:tr>
      <w:tr w14:paraId="6458946A">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E75A">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1.7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9FA5">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报告生成能力</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6644">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利用大语言模型技术辅助自动生成数据运营制度，根据不同的需求，可自动化生成报告中的内容和排序，提供提供的报告包括数据分析、趋势预测、风险评估等内容。</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364A">
            <w:pPr>
              <w:widowControl/>
              <w:spacing w:line="400" w:lineRule="exact"/>
              <w:jc w:val="left"/>
              <w:rPr>
                <w:rFonts w:ascii="仿宋" w:hAnsi="仿宋" w:eastAsia="仿宋" w:cs="仿宋"/>
                <w:color w:val="auto"/>
              </w:rPr>
            </w:pPr>
          </w:p>
        </w:tc>
      </w:tr>
      <w:tr w14:paraId="05993951">
        <w:tblPrEx>
          <w:tblCellMar>
            <w:top w:w="0" w:type="dxa"/>
            <w:left w:w="108" w:type="dxa"/>
            <w:bottom w:w="0" w:type="dxa"/>
            <w:right w:w="108" w:type="dxa"/>
          </w:tblCellMar>
        </w:tblPrEx>
        <w:trPr>
          <w:trHeight w:val="348"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45DB">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2</w:t>
            </w:r>
          </w:p>
        </w:tc>
        <w:tc>
          <w:tcPr>
            <w:tcW w:w="4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CB432">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国资企业监控预警</w:t>
            </w:r>
          </w:p>
        </w:tc>
      </w:tr>
      <w:tr w14:paraId="0AF893A6">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2CFB">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2.1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2D5C">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监控中心</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2688">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作为国资企业监控预警系统的核心，实时追踪企业运营数据，包括财务状况、资产负债、市场表现等关键指标。通过设置预警阈值，一旦数据异常，系统即刻发出警报，帮助管理层迅速响应，确保国有资产安全。</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625DC">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服务期内，基于统计学及业务领域理论、规范及方法建立监控中心、企业发展、</w:t>
            </w:r>
            <w:r>
              <w:rPr>
                <w:rFonts w:hint="eastAsia" w:ascii="仿宋" w:hAnsi="仿宋" w:eastAsia="仿宋" w:cs="仿宋"/>
                <w:color w:val="auto"/>
                <w:kern w:val="0"/>
                <w:lang w:eastAsia="zh-CN"/>
              </w:rPr>
              <w:t>舆 情</w:t>
            </w:r>
            <w:r>
              <w:rPr>
                <w:rFonts w:hint="eastAsia" w:ascii="仿宋" w:hAnsi="仿宋" w:eastAsia="仿宋" w:cs="仿宋"/>
                <w:color w:val="auto"/>
                <w:kern w:val="0"/>
              </w:rPr>
              <w:t>新闻、司法诉讼、经营风险等数据建模服务，</w:t>
            </w:r>
            <w:r>
              <w:rPr>
                <w:rFonts w:hint="eastAsia" w:ascii="仿宋" w:hAnsi="仿宋" w:eastAsia="仿宋" w:cs="仿宋"/>
                <w:b/>
                <w:bCs/>
                <w:color w:val="auto"/>
                <w:kern w:val="0"/>
              </w:rPr>
              <w:t>建模不少于5个；</w:t>
            </w:r>
            <w:r>
              <w:rPr>
                <w:rFonts w:hint="eastAsia" w:ascii="仿宋" w:hAnsi="仿宋" w:eastAsia="仿宋" w:cs="仿宋"/>
                <w:color w:val="auto"/>
                <w:kern w:val="0"/>
              </w:rPr>
              <w:t>同时通过数据可视化展现服务提供相关服务应用，</w:t>
            </w:r>
            <w:r>
              <w:rPr>
                <w:rFonts w:hint="eastAsia" w:ascii="仿宋" w:hAnsi="仿宋" w:eastAsia="仿宋" w:cs="仿宋"/>
                <w:b/>
                <w:bCs/>
                <w:color w:val="auto"/>
                <w:kern w:val="0"/>
              </w:rPr>
              <w:t>数据可视化展现版面不少于5个</w:t>
            </w:r>
            <w:r>
              <w:rPr>
                <w:rFonts w:hint="eastAsia" w:ascii="仿宋" w:hAnsi="仿宋" w:eastAsia="仿宋" w:cs="仿宋"/>
                <w:color w:val="auto"/>
                <w:kern w:val="0"/>
              </w:rPr>
              <w:t>。</w:t>
            </w:r>
          </w:p>
        </w:tc>
      </w:tr>
      <w:tr w14:paraId="678DC306">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DAAA">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2.2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AF63">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企业发展</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1042">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专注于企业的成长轨迹和战略规划，分析市场机会与挑战，预测企业发展趋势。通过对比行业数据，识别企业发展中的潜在风险和机遇，为企业提供战略决策的依据。</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57336">
            <w:pPr>
              <w:widowControl/>
              <w:spacing w:line="400" w:lineRule="exact"/>
              <w:jc w:val="left"/>
              <w:rPr>
                <w:rFonts w:ascii="仿宋" w:hAnsi="仿宋" w:eastAsia="仿宋" w:cs="仿宋"/>
                <w:color w:val="auto"/>
              </w:rPr>
            </w:pPr>
          </w:p>
        </w:tc>
      </w:tr>
      <w:tr w14:paraId="119BFD8C">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DC5A">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2.3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3627">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lang w:eastAsia="zh-CN"/>
              </w:rPr>
              <w:t>舆 情</w:t>
            </w:r>
            <w:r>
              <w:rPr>
                <w:rFonts w:hint="eastAsia" w:ascii="仿宋" w:hAnsi="仿宋" w:eastAsia="仿宋" w:cs="仿宋"/>
                <w:color w:val="auto"/>
                <w:kern w:val="0"/>
              </w:rPr>
              <w:t>新闻</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B0BF">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监控与企业相关的新闻报道和社交媒体动态，实时捕捉公众情绪和市场反馈。通过情感分析和趋势预测，帮助企业及时调整公关策略，维护企业形象，预防声誉风险。</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27689">
            <w:pPr>
              <w:widowControl/>
              <w:spacing w:line="400" w:lineRule="exact"/>
              <w:jc w:val="left"/>
              <w:rPr>
                <w:rFonts w:ascii="仿宋" w:hAnsi="仿宋" w:eastAsia="仿宋" w:cs="仿宋"/>
                <w:color w:val="auto"/>
              </w:rPr>
            </w:pPr>
          </w:p>
        </w:tc>
      </w:tr>
      <w:tr w14:paraId="3175E0D1">
        <w:tblPrEx>
          <w:tblCellMar>
            <w:top w:w="0" w:type="dxa"/>
            <w:left w:w="108" w:type="dxa"/>
            <w:bottom w:w="0" w:type="dxa"/>
            <w:right w:w="108" w:type="dxa"/>
          </w:tblCellMar>
        </w:tblPrEx>
        <w:trPr>
          <w:trHeight w:val="348"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4691">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2.4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8838">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司法诉讼</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E0B67">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跟踪企业的法律诉讼案件，包括案件进展、判决结果和潜在影响。通过法律风险评估，企业可以提前准备应对措施，减少法律风险对企业运营的负面影响。</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FF3D6">
            <w:pPr>
              <w:widowControl/>
              <w:spacing w:line="400" w:lineRule="exact"/>
              <w:jc w:val="left"/>
              <w:rPr>
                <w:rFonts w:ascii="仿宋" w:hAnsi="仿宋" w:eastAsia="仿宋" w:cs="仿宋"/>
                <w:color w:val="auto"/>
              </w:rPr>
            </w:pPr>
          </w:p>
        </w:tc>
      </w:tr>
      <w:tr w14:paraId="1FC150E0">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A14B">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2.5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6C68">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经营风险</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5E11">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综合分析企业的内外部风险因素，如市场波动、供应链问题、政策变化等。通过风险评估模型，提前预警可能的经营风险，为企业提供风险管理和应急准备的方案。</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2868">
            <w:pPr>
              <w:widowControl/>
              <w:spacing w:line="400" w:lineRule="exact"/>
              <w:jc w:val="left"/>
              <w:rPr>
                <w:rFonts w:ascii="仿宋" w:hAnsi="仿宋" w:eastAsia="仿宋" w:cs="仿宋"/>
                <w:color w:val="auto"/>
              </w:rPr>
            </w:pPr>
          </w:p>
        </w:tc>
      </w:tr>
      <w:tr w14:paraId="6B6CACFB">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0341">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2.6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A603">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定期报表</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91B2">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通过定期报表自动化生成企业运营的周期性报告，包括企业重要信息、企业变更、企业发展、企业</w:t>
            </w:r>
            <w:r>
              <w:rPr>
                <w:rFonts w:hint="eastAsia" w:ascii="仿宋" w:hAnsi="仿宋" w:eastAsia="仿宋" w:cs="仿宋"/>
                <w:color w:val="auto"/>
                <w:kern w:val="0"/>
                <w:lang w:eastAsia="zh-CN"/>
              </w:rPr>
              <w:t>舆 情</w:t>
            </w:r>
            <w:r>
              <w:rPr>
                <w:rFonts w:hint="eastAsia" w:ascii="仿宋" w:hAnsi="仿宋" w:eastAsia="仿宋" w:cs="仿宋"/>
                <w:color w:val="auto"/>
                <w:kern w:val="0"/>
              </w:rPr>
              <w:t>、经营风险以及法律诉讼的数据分析等。这些报告为管理层提供决策支持，通过数据可视化展示，使得复杂的数据信息一目了然，提高决策效率和准确性。</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17AD">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服务期内，基于数据挖掘等算法开展数据分析建模服务，</w:t>
            </w:r>
            <w:r>
              <w:rPr>
                <w:rFonts w:hint="eastAsia" w:ascii="仿宋" w:hAnsi="仿宋" w:eastAsia="仿宋" w:cs="仿宋"/>
                <w:b/>
                <w:bCs/>
                <w:color w:val="auto"/>
                <w:kern w:val="0"/>
              </w:rPr>
              <w:t>建模不少于1个</w:t>
            </w:r>
            <w:r>
              <w:rPr>
                <w:rFonts w:hint="eastAsia" w:ascii="仿宋" w:hAnsi="仿宋" w:eastAsia="仿宋" w:cs="仿宋"/>
                <w:color w:val="auto"/>
                <w:kern w:val="0"/>
              </w:rPr>
              <w:t>；同时每月提供数据统计分析及报表服务，</w:t>
            </w:r>
            <w:r>
              <w:rPr>
                <w:rFonts w:hint="eastAsia" w:ascii="仿宋" w:hAnsi="仿宋" w:eastAsia="仿宋" w:cs="仿宋"/>
                <w:b/>
                <w:bCs/>
                <w:color w:val="auto"/>
                <w:kern w:val="0"/>
              </w:rPr>
              <w:t>服务期内不少于</w:t>
            </w:r>
            <w:r>
              <w:rPr>
                <w:rFonts w:hint="eastAsia" w:ascii="仿宋" w:hAnsi="仿宋" w:eastAsia="仿宋" w:cs="仿宋"/>
                <w:b/>
                <w:bCs/>
                <w:color w:val="auto"/>
                <w:kern w:val="0"/>
                <w:lang w:val="en-US" w:eastAsia="zh-CN"/>
              </w:rPr>
              <w:t>5</w:t>
            </w:r>
            <w:r>
              <w:rPr>
                <w:rFonts w:hint="eastAsia" w:ascii="仿宋" w:hAnsi="仿宋" w:eastAsia="仿宋" w:cs="仿宋"/>
                <w:b/>
                <w:bCs/>
                <w:color w:val="auto"/>
                <w:kern w:val="0"/>
              </w:rPr>
              <w:t>次</w:t>
            </w:r>
            <w:r>
              <w:rPr>
                <w:rFonts w:hint="eastAsia" w:ascii="仿宋" w:hAnsi="仿宋" w:eastAsia="仿宋" w:cs="仿宋"/>
                <w:color w:val="auto"/>
                <w:kern w:val="0"/>
              </w:rPr>
              <w:t>。</w:t>
            </w:r>
          </w:p>
        </w:tc>
      </w:tr>
      <w:tr w14:paraId="5369D190">
        <w:tblPrEx>
          <w:tblCellMar>
            <w:top w:w="0" w:type="dxa"/>
            <w:left w:w="108" w:type="dxa"/>
            <w:bottom w:w="0" w:type="dxa"/>
            <w:right w:w="108" w:type="dxa"/>
          </w:tblCellMar>
        </w:tblPrEx>
        <w:trPr>
          <w:trHeight w:val="9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7A74">
            <w:pPr>
              <w:widowControl/>
              <w:spacing w:line="400" w:lineRule="exact"/>
              <w:jc w:val="center"/>
              <w:textAlignment w:val="center"/>
              <w:rPr>
                <w:rFonts w:ascii="仿宋" w:hAnsi="仿宋" w:eastAsia="仿宋" w:cs="仿宋"/>
                <w:color w:val="auto"/>
                <w:kern w:val="0"/>
              </w:rPr>
            </w:pPr>
            <w:r>
              <w:rPr>
                <w:rFonts w:hint="eastAsia" w:ascii="仿宋" w:hAnsi="仿宋" w:eastAsia="仿宋" w:cs="仿宋"/>
                <w:color w:val="auto"/>
                <w:kern w:val="0"/>
              </w:rPr>
              <w:t>3</w:t>
            </w:r>
          </w:p>
        </w:tc>
        <w:tc>
          <w:tcPr>
            <w:tcW w:w="4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571D1">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数据共享应用</w:t>
            </w:r>
          </w:p>
        </w:tc>
      </w:tr>
      <w:tr w14:paraId="265930E3">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F243">
            <w:pPr>
              <w:widowControl/>
              <w:spacing w:line="400" w:lineRule="exact"/>
              <w:jc w:val="center"/>
              <w:textAlignment w:val="center"/>
              <w:rPr>
                <w:rFonts w:ascii="仿宋" w:hAnsi="仿宋" w:eastAsia="仿宋" w:cs="仿宋"/>
                <w:color w:val="auto"/>
                <w:kern w:val="0"/>
              </w:rPr>
            </w:pPr>
            <w:r>
              <w:rPr>
                <w:rFonts w:hint="eastAsia" w:ascii="仿宋" w:hAnsi="仿宋" w:eastAsia="仿宋" w:cs="仿宋"/>
                <w:color w:val="auto"/>
                <w:kern w:val="0"/>
              </w:rPr>
              <w:t>3.1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5C09">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文旅体商</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4DC2">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通过实施全域动态监测，汇聚新闻、</w:t>
            </w:r>
            <w:r>
              <w:rPr>
                <w:rFonts w:hint="eastAsia" w:ascii="仿宋" w:hAnsi="仿宋" w:eastAsia="仿宋" w:cs="仿宋"/>
                <w:color w:val="auto"/>
                <w:kern w:val="0"/>
                <w:lang w:eastAsia="zh-CN"/>
              </w:rPr>
              <w:t>舆 情</w:t>
            </w:r>
            <w:r>
              <w:rPr>
                <w:rFonts w:hint="eastAsia" w:ascii="仿宋" w:hAnsi="仿宋" w:eastAsia="仿宋" w:cs="仿宋"/>
                <w:color w:val="auto"/>
                <w:kern w:val="0"/>
              </w:rPr>
              <w:t>热点等多元数据，精准聚焦上海市文旅体商重点联动活动工作动态并进行深度建模。全方位提供数据发现及可视化数据展示等一站式服务，为优化城市文旅体商融合发展战略决策提供有力支持。</w:t>
            </w:r>
          </w:p>
        </w:tc>
        <w:tc>
          <w:tcPr>
            <w:tcW w:w="1227" w:type="pct"/>
            <w:vMerge w:val="restart"/>
            <w:tcBorders>
              <w:top w:val="single" w:color="000000" w:sz="4" w:space="0"/>
              <w:left w:val="single" w:color="000000" w:sz="4" w:space="0"/>
              <w:right w:val="single" w:color="000000" w:sz="4" w:space="0"/>
            </w:tcBorders>
            <w:shd w:val="clear" w:color="auto" w:fill="auto"/>
            <w:vAlign w:val="center"/>
          </w:tcPr>
          <w:p w14:paraId="6EA761D2">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服务期内，基于汇聚的上海市文化和旅游局、上海博物馆、上海社会科学院、中国共产党第一次全国代表大会纪念馆、上海市新闻出版局等单位文化资源数据开展文旅体商、文博展馆、非遗传承、社会科学、网络游戏等数据建模服务，同时通过数据可视化展现服务提供相关服务应用，</w:t>
            </w:r>
            <w:r>
              <w:rPr>
                <w:rFonts w:hint="eastAsia" w:ascii="仿宋" w:hAnsi="仿宋" w:eastAsia="仿宋" w:cs="仿宋"/>
                <w:b/>
                <w:bCs/>
                <w:color w:val="auto"/>
                <w:kern w:val="0"/>
              </w:rPr>
              <w:t>数据可视化展现版面不少于7个</w:t>
            </w:r>
            <w:r>
              <w:rPr>
                <w:rFonts w:hint="eastAsia" w:ascii="仿宋" w:hAnsi="仿宋" w:eastAsia="仿宋" w:cs="仿宋"/>
                <w:color w:val="auto"/>
                <w:kern w:val="0"/>
              </w:rPr>
              <w:t>。</w:t>
            </w:r>
          </w:p>
        </w:tc>
      </w:tr>
      <w:tr w14:paraId="52472AA0">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03D1">
            <w:pPr>
              <w:widowControl/>
              <w:spacing w:line="400" w:lineRule="exact"/>
              <w:jc w:val="center"/>
              <w:textAlignment w:val="center"/>
              <w:rPr>
                <w:rFonts w:ascii="仿宋" w:hAnsi="仿宋" w:eastAsia="仿宋" w:cs="仿宋"/>
                <w:color w:val="auto"/>
                <w:kern w:val="0"/>
              </w:rPr>
            </w:pPr>
            <w:r>
              <w:rPr>
                <w:rFonts w:hint="eastAsia" w:ascii="仿宋" w:hAnsi="仿宋" w:eastAsia="仿宋" w:cs="仿宋"/>
                <w:color w:val="auto"/>
                <w:kern w:val="0"/>
              </w:rPr>
              <w:t>3.2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A0DC7">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文博展馆</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DCB8">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充分运用上海博物馆、中国共产党第一次全国代表大会纪念馆、韬奋纪念馆等文博展馆数据对接成果，采用多元数据融合技术，深度挖掘文博资源的内涵价值。借助可视化技术，将特色藏品及展馆简介进行艺术化呈现，塑造独具魅力的文化展示窗口。</w:t>
            </w:r>
          </w:p>
        </w:tc>
        <w:tc>
          <w:tcPr>
            <w:tcW w:w="1227" w:type="pct"/>
            <w:vMerge w:val="continue"/>
            <w:tcBorders>
              <w:left w:val="single" w:color="000000" w:sz="4" w:space="0"/>
              <w:right w:val="single" w:color="000000" w:sz="4" w:space="0"/>
            </w:tcBorders>
            <w:shd w:val="clear" w:color="auto" w:fill="auto"/>
            <w:vAlign w:val="center"/>
          </w:tcPr>
          <w:p w14:paraId="6277E713">
            <w:pPr>
              <w:widowControl/>
              <w:spacing w:line="400" w:lineRule="exact"/>
              <w:jc w:val="left"/>
              <w:textAlignment w:val="center"/>
              <w:rPr>
                <w:rFonts w:ascii="仿宋" w:hAnsi="仿宋" w:eastAsia="仿宋" w:cs="仿宋"/>
                <w:color w:val="auto"/>
                <w:kern w:val="0"/>
              </w:rPr>
            </w:pPr>
          </w:p>
        </w:tc>
      </w:tr>
      <w:tr w14:paraId="508D54E8">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5A75">
            <w:pPr>
              <w:widowControl/>
              <w:spacing w:line="400" w:lineRule="exact"/>
              <w:jc w:val="center"/>
              <w:textAlignment w:val="center"/>
              <w:rPr>
                <w:rFonts w:ascii="仿宋" w:hAnsi="仿宋" w:eastAsia="仿宋" w:cs="仿宋"/>
                <w:color w:val="auto"/>
                <w:kern w:val="0"/>
              </w:rPr>
            </w:pPr>
            <w:r>
              <w:rPr>
                <w:rFonts w:hint="eastAsia" w:ascii="仿宋" w:hAnsi="仿宋" w:eastAsia="仿宋" w:cs="仿宋"/>
                <w:color w:val="auto"/>
                <w:kern w:val="0"/>
              </w:rPr>
              <w:t>3.3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83C5">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社会科学</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7D6B1">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系统整合上海社会科学院专家的学术成果、课题项目、获奖信息以及著作出版等关键数据，并进行深度建模分析。智能推荐相关研究学者，为推动社会科学知识传播、促进学术交流与创新提供高效、专业的平台，助力提升社会科学领域的整体影响力。</w:t>
            </w:r>
          </w:p>
        </w:tc>
        <w:tc>
          <w:tcPr>
            <w:tcW w:w="1227" w:type="pct"/>
            <w:vMerge w:val="continue"/>
            <w:tcBorders>
              <w:left w:val="single" w:color="000000" w:sz="4" w:space="0"/>
              <w:right w:val="single" w:color="000000" w:sz="4" w:space="0"/>
            </w:tcBorders>
            <w:shd w:val="clear" w:color="auto" w:fill="auto"/>
            <w:vAlign w:val="center"/>
          </w:tcPr>
          <w:p w14:paraId="03946060">
            <w:pPr>
              <w:widowControl/>
              <w:spacing w:line="400" w:lineRule="exact"/>
              <w:jc w:val="left"/>
              <w:textAlignment w:val="center"/>
              <w:rPr>
                <w:rFonts w:ascii="仿宋" w:hAnsi="仿宋" w:eastAsia="仿宋" w:cs="仿宋"/>
                <w:color w:val="auto"/>
                <w:kern w:val="0"/>
              </w:rPr>
            </w:pPr>
          </w:p>
        </w:tc>
      </w:tr>
      <w:tr w14:paraId="42ED774E">
        <w:tblPrEx>
          <w:tblCellMar>
            <w:top w:w="0" w:type="dxa"/>
            <w:left w:w="108" w:type="dxa"/>
            <w:bottom w:w="0" w:type="dxa"/>
            <w:right w:w="108" w:type="dxa"/>
          </w:tblCellMar>
        </w:tblPrEx>
        <w:trPr>
          <w:trHeight w:val="160"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4B03">
            <w:pPr>
              <w:widowControl/>
              <w:spacing w:line="400" w:lineRule="exact"/>
              <w:jc w:val="center"/>
              <w:textAlignment w:val="center"/>
              <w:rPr>
                <w:rFonts w:ascii="仿宋" w:hAnsi="仿宋" w:eastAsia="仿宋" w:cs="仿宋"/>
                <w:color w:val="auto"/>
                <w:kern w:val="0"/>
              </w:rPr>
            </w:pPr>
            <w:r>
              <w:rPr>
                <w:rFonts w:hint="eastAsia" w:ascii="仿宋" w:hAnsi="仿宋" w:eastAsia="仿宋" w:cs="仿宋"/>
                <w:color w:val="auto"/>
                <w:kern w:val="0"/>
              </w:rPr>
              <w:t>3.4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D771">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非遗传承</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64D1">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依托上海非物质文化遗产信息数字资源，展示“非遗项目”和“传承人”的数字档案，通过对传统音乐、传统舞蹈、传统戏剧、曲艺、民间文学、传统体育、游艺与杂技、传统美术、传统技艺、传统医药、民俗各类别数据进行分析，构建非遗项目数字档案，全面反映上海市非物质文化遗产的保护与传承现状。</w:t>
            </w:r>
          </w:p>
        </w:tc>
        <w:tc>
          <w:tcPr>
            <w:tcW w:w="1227" w:type="pct"/>
            <w:vMerge w:val="continue"/>
            <w:tcBorders>
              <w:left w:val="single" w:color="000000" w:sz="4" w:space="0"/>
              <w:right w:val="single" w:color="000000" w:sz="4" w:space="0"/>
            </w:tcBorders>
            <w:shd w:val="clear" w:color="auto" w:fill="auto"/>
            <w:vAlign w:val="center"/>
          </w:tcPr>
          <w:p w14:paraId="594F9A83">
            <w:pPr>
              <w:widowControl/>
              <w:spacing w:line="400" w:lineRule="exact"/>
              <w:jc w:val="left"/>
              <w:textAlignment w:val="center"/>
              <w:rPr>
                <w:rFonts w:ascii="仿宋" w:hAnsi="仿宋" w:eastAsia="仿宋" w:cs="仿宋"/>
                <w:color w:val="auto"/>
                <w:kern w:val="0"/>
              </w:rPr>
            </w:pPr>
          </w:p>
        </w:tc>
      </w:tr>
      <w:tr w14:paraId="6C1D4250">
        <w:tblPrEx>
          <w:tblCellMar>
            <w:top w:w="0" w:type="dxa"/>
            <w:left w:w="108" w:type="dxa"/>
            <w:bottom w:w="0" w:type="dxa"/>
            <w:right w:w="108" w:type="dxa"/>
          </w:tblCellMar>
        </w:tblPrEx>
        <w:trPr>
          <w:trHeight w:val="174"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539C">
            <w:pPr>
              <w:widowControl/>
              <w:spacing w:line="400" w:lineRule="exact"/>
              <w:jc w:val="center"/>
              <w:textAlignment w:val="center"/>
              <w:rPr>
                <w:rFonts w:ascii="仿宋" w:hAnsi="仿宋" w:eastAsia="仿宋" w:cs="仿宋"/>
                <w:color w:val="auto"/>
                <w:kern w:val="0"/>
              </w:rPr>
            </w:pPr>
            <w:r>
              <w:rPr>
                <w:rFonts w:hint="eastAsia" w:ascii="仿宋" w:hAnsi="仿宋" w:eastAsia="仿宋" w:cs="仿宋"/>
                <w:color w:val="auto"/>
                <w:kern w:val="0"/>
              </w:rPr>
              <w:t>3.5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0D9D">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网络游戏</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A880">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通过官方游戏排行榜数据与上海每年发行的游戏做匹配，呈现上海游戏行业发展情况，从网络游戏的数量、收入、下载量、实时热度等维度进行深入分析和探索，展示行业优秀成果，助力上海游戏产业的创新与发展。</w:t>
            </w:r>
          </w:p>
        </w:tc>
        <w:tc>
          <w:tcPr>
            <w:tcW w:w="1227" w:type="pct"/>
            <w:vMerge w:val="continue"/>
            <w:tcBorders>
              <w:left w:val="single" w:color="000000" w:sz="4" w:space="0"/>
              <w:right w:val="single" w:color="000000" w:sz="4" w:space="0"/>
            </w:tcBorders>
            <w:shd w:val="clear" w:color="auto" w:fill="auto"/>
            <w:vAlign w:val="center"/>
          </w:tcPr>
          <w:p w14:paraId="7F0A0084">
            <w:pPr>
              <w:widowControl/>
              <w:spacing w:line="400" w:lineRule="exact"/>
              <w:jc w:val="left"/>
              <w:textAlignment w:val="center"/>
              <w:rPr>
                <w:rFonts w:ascii="仿宋" w:hAnsi="仿宋" w:eastAsia="仿宋" w:cs="仿宋"/>
                <w:color w:val="auto"/>
                <w:kern w:val="0"/>
              </w:rPr>
            </w:pPr>
          </w:p>
        </w:tc>
      </w:tr>
      <w:tr w14:paraId="33AE61E3">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DCB0">
            <w:pPr>
              <w:widowControl/>
              <w:spacing w:line="400" w:lineRule="exact"/>
              <w:jc w:val="center"/>
              <w:textAlignment w:val="center"/>
              <w:rPr>
                <w:rFonts w:ascii="仿宋" w:hAnsi="仿宋" w:eastAsia="仿宋" w:cs="仿宋"/>
                <w:color w:val="auto"/>
                <w:kern w:val="0"/>
              </w:rPr>
            </w:pPr>
            <w:r>
              <w:rPr>
                <w:rFonts w:hint="eastAsia" w:ascii="仿宋" w:hAnsi="仿宋" w:eastAsia="仿宋" w:cs="仿宋"/>
                <w:color w:val="auto"/>
                <w:kern w:val="0"/>
              </w:rPr>
              <w:t>3.6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6DF4">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十四五文化发展</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F023">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2025年是“十四五”规划的“收官之年”，在决胜“十四五”，谋篇“十五五”的关键年度，充分利用大数据、人工智能等技术手段，开展数据分析和展示工作，以体现“十四五”期间上海市在宣传文化领域所取得的成就。</w:t>
            </w:r>
          </w:p>
        </w:tc>
        <w:tc>
          <w:tcPr>
            <w:tcW w:w="1227" w:type="pct"/>
            <w:vMerge w:val="continue"/>
            <w:tcBorders>
              <w:left w:val="single" w:color="000000" w:sz="4" w:space="0"/>
              <w:right w:val="single" w:color="000000" w:sz="4" w:space="0"/>
            </w:tcBorders>
            <w:shd w:val="clear" w:color="auto" w:fill="auto"/>
            <w:vAlign w:val="center"/>
          </w:tcPr>
          <w:p w14:paraId="5625D9ED">
            <w:pPr>
              <w:widowControl/>
              <w:spacing w:line="400" w:lineRule="exact"/>
              <w:jc w:val="left"/>
              <w:textAlignment w:val="center"/>
              <w:rPr>
                <w:rFonts w:ascii="仿宋" w:hAnsi="仿宋" w:eastAsia="仿宋" w:cs="仿宋"/>
                <w:color w:val="auto"/>
                <w:kern w:val="0"/>
              </w:rPr>
            </w:pPr>
          </w:p>
        </w:tc>
      </w:tr>
      <w:tr w14:paraId="7E7C2C10">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B885">
            <w:pPr>
              <w:widowControl/>
              <w:spacing w:line="400" w:lineRule="exact"/>
              <w:jc w:val="center"/>
              <w:textAlignment w:val="center"/>
              <w:rPr>
                <w:rFonts w:ascii="仿宋" w:hAnsi="仿宋" w:eastAsia="仿宋" w:cs="仿宋"/>
                <w:color w:val="auto"/>
                <w:kern w:val="0"/>
              </w:rPr>
            </w:pPr>
            <w:r>
              <w:rPr>
                <w:rFonts w:hint="eastAsia" w:ascii="仿宋" w:hAnsi="仿宋" w:eastAsia="仿宋" w:cs="仿宋"/>
                <w:color w:val="auto"/>
                <w:kern w:val="0"/>
              </w:rPr>
              <w:t>3.7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B4D6">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lang w:eastAsia="zh-CN"/>
              </w:rPr>
              <w:t>舆 情</w:t>
            </w:r>
            <w:r>
              <w:rPr>
                <w:rFonts w:hint="eastAsia" w:ascii="仿宋" w:hAnsi="仿宋" w:eastAsia="仿宋" w:cs="仿宋"/>
                <w:color w:val="auto"/>
                <w:kern w:val="0"/>
              </w:rPr>
              <w:t>热点进行时</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F2E7">
            <w:pPr>
              <w:widowControl/>
              <w:spacing w:line="400" w:lineRule="exact"/>
              <w:jc w:val="left"/>
              <w:textAlignment w:val="center"/>
              <w:rPr>
                <w:rFonts w:ascii="仿宋" w:hAnsi="仿宋" w:eastAsia="仿宋" w:cs="仿宋"/>
                <w:color w:val="auto"/>
                <w:kern w:val="0"/>
              </w:rPr>
            </w:pPr>
            <w:r>
              <w:rPr>
                <w:rFonts w:hint="eastAsia" w:ascii="仿宋" w:hAnsi="仿宋" w:eastAsia="仿宋" w:cs="仿宋"/>
                <w:color w:val="auto"/>
                <w:kern w:val="0"/>
              </w:rPr>
              <w:t>通过</w:t>
            </w:r>
            <w:r>
              <w:rPr>
                <w:rFonts w:hint="eastAsia" w:ascii="仿宋" w:hAnsi="仿宋" w:eastAsia="仿宋" w:cs="仿宋"/>
                <w:color w:val="auto"/>
                <w:kern w:val="0"/>
                <w:lang w:eastAsia="zh-CN"/>
              </w:rPr>
              <w:t>舆 情</w:t>
            </w:r>
            <w:r>
              <w:rPr>
                <w:rFonts w:hint="eastAsia" w:ascii="仿宋" w:hAnsi="仿宋" w:eastAsia="仿宋" w:cs="仿宋"/>
                <w:color w:val="auto"/>
                <w:kern w:val="0"/>
              </w:rPr>
              <w:t>数据实时呈现</w:t>
            </w:r>
            <w:r>
              <w:rPr>
                <w:rFonts w:hint="eastAsia" w:ascii="仿宋" w:hAnsi="仿宋" w:eastAsia="仿宋" w:cs="仿宋"/>
                <w:color w:val="auto"/>
                <w:kern w:val="0"/>
                <w:lang w:eastAsia="zh-CN"/>
              </w:rPr>
              <w:t>舆 情</w:t>
            </w:r>
            <w:r>
              <w:rPr>
                <w:rFonts w:hint="eastAsia" w:ascii="仿宋" w:hAnsi="仿宋" w:eastAsia="仿宋" w:cs="仿宋"/>
                <w:color w:val="auto"/>
                <w:kern w:val="0"/>
              </w:rPr>
              <w:t>热点，同时采集分析热点事件脉络，展示</w:t>
            </w:r>
            <w:r>
              <w:rPr>
                <w:rFonts w:hint="eastAsia" w:ascii="仿宋" w:hAnsi="仿宋" w:eastAsia="仿宋" w:cs="仿宋"/>
                <w:color w:val="auto"/>
                <w:kern w:val="0"/>
                <w:lang w:eastAsia="zh-CN"/>
              </w:rPr>
              <w:t>舆 情</w:t>
            </w:r>
            <w:r>
              <w:rPr>
                <w:rFonts w:hint="eastAsia" w:ascii="仿宋" w:hAnsi="仿宋" w:eastAsia="仿宋" w:cs="仿宋"/>
                <w:color w:val="auto"/>
                <w:kern w:val="0"/>
              </w:rPr>
              <w:t>事件脉络并进行正负面情感分析。</w:t>
            </w:r>
          </w:p>
        </w:tc>
        <w:tc>
          <w:tcPr>
            <w:tcW w:w="1227" w:type="pct"/>
            <w:vMerge w:val="continue"/>
            <w:tcBorders>
              <w:left w:val="single" w:color="000000" w:sz="4" w:space="0"/>
              <w:bottom w:val="single" w:color="000000" w:sz="4" w:space="0"/>
              <w:right w:val="single" w:color="000000" w:sz="4" w:space="0"/>
            </w:tcBorders>
            <w:shd w:val="clear" w:color="auto" w:fill="auto"/>
            <w:vAlign w:val="center"/>
          </w:tcPr>
          <w:p w14:paraId="2BFEBF0F">
            <w:pPr>
              <w:widowControl/>
              <w:spacing w:line="400" w:lineRule="exact"/>
              <w:jc w:val="left"/>
              <w:textAlignment w:val="center"/>
              <w:rPr>
                <w:rFonts w:ascii="仿宋" w:hAnsi="仿宋" w:eastAsia="仿宋" w:cs="仿宋"/>
                <w:color w:val="auto"/>
                <w:kern w:val="0"/>
              </w:rPr>
            </w:pPr>
          </w:p>
        </w:tc>
      </w:tr>
      <w:tr w14:paraId="093CC6FF">
        <w:tblPrEx>
          <w:tblCellMar>
            <w:top w:w="0" w:type="dxa"/>
            <w:left w:w="108" w:type="dxa"/>
            <w:bottom w:w="0" w:type="dxa"/>
            <w:right w:w="108" w:type="dxa"/>
          </w:tblCellMar>
        </w:tblPrEx>
        <w:trPr>
          <w:trHeight w:val="348"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7B14">
            <w:pPr>
              <w:widowControl/>
              <w:spacing w:line="400" w:lineRule="exact"/>
              <w:jc w:val="center"/>
              <w:textAlignment w:val="center"/>
              <w:rPr>
                <w:rFonts w:ascii="仿宋" w:hAnsi="仿宋" w:eastAsia="仿宋" w:cs="仿宋"/>
                <w:b/>
                <w:bCs/>
                <w:color w:val="auto"/>
              </w:rPr>
            </w:pPr>
            <w:r>
              <w:rPr>
                <w:rFonts w:hint="eastAsia" w:ascii="仿宋" w:hAnsi="仿宋" w:eastAsia="仿宋" w:cs="仿宋"/>
                <w:b/>
                <w:bCs/>
                <w:color w:val="auto"/>
                <w:kern w:val="0"/>
              </w:rPr>
              <w:t>三</w:t>
            </w:r>
          </w:p>
        </w:tc>
        <w:tc>
          <w:tcPr>
            <w:tcW w:w="45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20781">
            <w:pPr>
              <w:widowControl/>
              <w:spacing w:line="400" w:lineRule="exact"/>
              <w:jc w:val="left"/>
              <w:textAlignment w:val="center"/>
              <w:rPr>
                <w:rFonts w:ascii="仿宋" w:hAnsi="仿宋" w:eastAsia="仿宋" w:cs="仿宋"/>
                <w:b/>
                <w:bCs/>
                <w:color w:val="auto"/>
              </w:rPr>
            </w:pPr>
            <w:r>
              <w:rPr>
                <w:rFonts w:hint="eastAsia" w:ascii="仿宋" w:hAnsi="仿宋" w:eastAsia="仿宋" w:cs="仿宋"/>
                <w:b/>
                <w:bCs/>
                <w:color w:val="auto"/>
                <w:kern w:val="0"/>
              </w:rPr>
              <w:t>建立长效运营机制</w:t>
            </w:r>
          </w:p>
        </w:tc>
      </w:tr>
      <w:tr w14:paraId="0C2E9070">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06D4">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21E9">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完善数据资源编目</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CF46">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按照数据资源目录的“完整性”、“-致性”、“准确性”、“可识别性”等要求开展数据资源目录编制与更新工作，保障上海市宣传文化数据资源目录的整体质量。</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45CFD">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服务期内，对汇聚数据开展数据资源编目、数据分类分级管理，</w:t>
            </w:r>
            <w:r>
              <w:rPr>
                <w:rFonts w:hint="eastAsia" w:ascii="仿宋" w:hAnsi="仿宋" w:eastAsia="仿宋" w:cs="仿宋"/>
                <w:b/>
                <w:bCs/>
                <w:color w:val="auto"/>
                <w:kern w:val="0"/>
              </w:rPr>
              <w:t>数据资源编目、分类分级数据表不少于150张</w:t>
            </w:r>
            <w:r>
              <w:rPr>
                <w:rFonts w:hint="eastAsia" w:ascii="仿宋" w:hAnsi="仿宋" w:eastAsia="仿宋" w:cs="仿宋"/>
                <w:color w:val="auto"/>
                <w:kern w:val="0"/>
              </w:rPr>
              <w:t>。</w:t>
            </w:r>
          </w:p>
        </w:tc>
      </w:tr>
      <w:tr w14:paraId="05B7C37B">
        <w:tblPrEx>
          <w:tblCellMar>
            <w:top w:w="0" w:type="dxa"/>
            <w:left w:w="108" w:type="dxa"/>
            <w:bottom w:w="0" w:type="dxa"/>
            <w:right w:w="108" w:type="dxa"/>
          </w:tblCellMar>
        </w:tblPrEx>
        <w:trPr>
          <w:trHeight w:val="348"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FD77">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F444">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数据分类分级管理</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9067">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对已汇聚数据按照重要性、敏感性、价值等进行分类、分级管理，更有效地管理、保护和利用其数据资产。</w:t>
            </w: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1826F">
            <w:pPr>
              <w:widowControl/>
              <w:spacing w:line="400" w:lineRule="exact"/>
              <w:jc w:val="left"/>
              <w:rPr>
                <w:rFonts w:ascii="仿宋" w:hAnsi="仿宋" w:eastAsia="仿宋" w:cs="仿宋"/>
                <w:color w:val="auto"/>
              </w:rPr>
            </w:pPr>
          </w:p>
        </w:tc>
      </w:tr>
      <w:tr w14:paraId="7AA52632">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EC81">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F19F">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文化数据资源标识</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4A45">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建立文化数据资源分类管理，导入T/CPRA301-2021文化资源数据分类与代码标准，对汇聚数据对照标准对数字资源进行标注和识别，推动上海文化资源的数字化、标准化管理，为文化产业发展提供有力支撑。</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9214">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服务期内，对照相关标准对汇聚数据开展进行标注和识别，</w:t>
            </w:r>
            <w:r>
              <w:rPr>
                <w:rFonts w:hint="eastAsia" w:ascii="仿宋" w:hAnsi="仿宋" w:eastAsia="仿宋" w:cs="仿宋"/>
                <w:b/>
                <w:bCs/>
                <w:color w:val="auto"/>
                <w:kern w:val="0"/>
              </w:rPr>
              <w:t>标识数据表不少于150张</w:t>
            </w:r>
            <w:r>
              <w:rPr>
                <w:rFonts w:hint="eastAsia" w:ascii="仿宋" w:hAnsi="仿宋" w:eastAsia="仿宋" w:cs="仿宋"/>
                <w:color w:val="auto"/>
                <w:kern w:val="0"/>
              </w:rPr>
              <w:t>。</w:t>
            </w:r>
          </w:p>
        </w:tc>
      </w:tr>
      <w:tr w14:paraId="676E517C">
        <w:tblPrEx>
          <w:tblCellMar>
            <w:top w:w="0" w:type="dxa"/>
            <w:left w:w="108" w:type="dxa"/>
            <w:bottom w:w="0" w:type="dxa"/>
            <w:right w:w="108" w:type="dxa"/>
          </w:tblCellMar>
        </w:tblPrEx>
        <w:trPr>
          <w:trHeight w:val="696"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17C5A">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1CA8">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强化数据安全保障</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46A7">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采取技术手段和管理措施，提高数据的安全性，防止数据泄密。同时对应用设备提供应用安全监测分析、威胁情报服务、应用安全检查评估和数据安全控制服务等解决方案，为“服务平台”提供全面的信息安全防护体系。</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0F55">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服务期内，为平台基础设施服务16台服务器提供应用安全监测分析及威胁情报服务、应用安全基础管理服务，每季度对服务器开展应用安全检查评估，</w:t>
            </w:r>
            <w:r>
              <w:rPr>
                <w:rFonts w:hint="eastAsia" w:ascii="仿宋" w:hAnsi="仿宋" w:eastAsia="仿宋" w:cs="仿宋"/>
                <w:b/>
                <w:bCs/>
                <w:color w:val="auto"/>
                <w:kern w:val="0"/>
              </w:rPr>
              <w:t>服务期内不少于4次。</w:t>
            </w:r>
          </w:p>
        </w:tc>
      </w:tr>
      <w:tr w14:paraId="23400362">
        <w:tblPrEx>
          <w:tblCellMar>
            <w:top w:w="0" w:type="dxa"/>
            <w:left w:w="108" w:type="dxa"/>
            <w:bottom w:w="0" w:type="dxa"/>
            <w:right w:w="108" w:type="dxa"/>
          </w:tblCellMar>
        </w:tblPrEx>
        <w:trPr>
          <w:trHeight w:val="1044" w:hRule="atLeast"/>
        </w:trPr>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B726">
            <w:pPr>
              <w:widowControl/>
              <w:spacing w:line="400" w:lineRule="exact"/>
              <w:jc w:val="center"/>
              <w:textAlignment w:val="center"/>
              <w:rPr>
                <w:rFonts w:ascii="仿宋" w:hAnsi="仿宋" w:eastAsia="仿宋" w:cs="仿宋"/>
                <w:color w:val="auto"/>
              </w:rPr>
            </w:pPr>
            <w:r>
              <w:rPr>
                <w:rFonts w:hint="eastAsia" w:ascii="仿宋" w:hAnsi="仿宋" w:eastAsia="仿宋" w:cs="仿宋"/>
                <w:color w:val="auto"/>
                <w:kern w:val="0"/>
              </w:rPr>
              <w:t>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A302">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数据运营服务报告</w:t>
            </w:r>
          </w:p>
        </w:tc>
        <w:tc>
          <w:tcPr>
            <w:tcW w:w="2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1B7B">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建立数据运营报告制度，对数据采集汇聚、质量检查、资源编目、数据标注、数据应用等情况进行定期评估和监控，及时发现数据运营服务过程中出现的问题。对数据源出现的数据质量存在的问题反馈数据提供方，从源头改进数据质量。</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2DCD">
            <w:pPr>
              <w:widowControl/>
              <w:spacing w:line="400" w:lineRule="exact"/>
              <w:jc w:val="left"/>
              <w:textAlignment w:val="center"/>
              <w:rPr>
                <w:rFonts w:ascii="仿宋" w:hAnsi="仿宋" w:eastAsia="仿宋" w:cs="仿宋"/>
                <w:color w:val="auto"/>
              </w:rPr>
            </w:pPr>
            <w:r>
              <w:rPr>
                <w:rFonts w:hint="eastAsia" w:ascii="仿宋" w:hAnsi="仿宋" w:eastAsia="仿宋" w:cs="仿宋"/>
                <w:color w:val="auto"/>
                <w:kern w:val="0"/>
              </w:rPr>
              <w:t>服务期内，每季度提供数据运营服务报告或数据统计分析及报表，包括数据采集汇聚、数据质量检查、数据资源编目、数据分类分级、数据标注、应用建模、应用服务、数据安全情况，</w:t>
            </w:r>
            <w:r>
              <w:rPr>
                <w:rFonts w:hint="eastAsia" w:ascii="仿宋" w:hAnsi="仿宋" w:eastAsia="仿宋" w:cs="仿宋"/>
                <w:b/>
                <w:bCs/>
                <w:color w:val="auto"/>
                <w:kern w:val="0"/>
              </w:rPr>
              <w:t>服务期内不少于4次。</w:t>
            </w:r>
          </w:p>
        </w:tc>
      </w:tr>
    </w:tbl>
    <w:p w14:paraId="3B2B1BBB">
      <w:pPr>
        <w:pStyle w:val="2"/>
        <w:keepNext w:val="0"/>
        <w:keepLines w:val="0"/>
        <w:numPr>
          <w:ilvl w:val="0"/>
          <w:numId w:val="2"/>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技术要求</w:t>
      </w:r>
    </w:p>
    <w:p w14:paraId="07D3B8F7">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供应商所提供的平台和服务</w:t>
      </w:r>
      <w:r>
        <w:rPr>
          <w:rFonts w:hint="eastAsia" w:ascii="仿宋" w:hAnsi="仿宋" w:eastAsia="仿宋" w:cs="仿宋"/>
          <w:color w:val="auto"/>
          <w:sz w:val="28"/>
          <w:szCs w:val="28"/>
          <w:lang w:eastAsia="zh-CN"/>
        </w:rPr>
        <w:t>需</w:t>
      </w:r>
      <w:r>
        <w:rPr>
          <w:rFonts w:hint="eastAsia" w:ascii="仿宋" w:hAnsi="仿宋" w:eastAsia="仿宋" w:cs="仿宋"/>
          <w:color w:val="auto"/>
          <w:sz w:val="28"/>
          <w:szCs w:val="28"/>
        </w:rPr>
        <w:t>在支撑能力、服务性能、技术指标、安全服务、系统对接等方面支撑租户实现宣传文化数字化服务需求。</w:t>
      </w:r>
    </w:p>
    <w:p w14:paraId="4E19D59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本项目设计的实用性、先进性、可扩展性等多方面设计要求如下：</w:t>
      </w:r>
    </w:p>
    <w:p w14:paraId="764D38E5">
      <w:pPr>
        <w:numPr>
          <w:ilvl w:val="0"/>
          <w:numId w:val="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创新性</w:t>
      </w:r>
    </w:p>
    <w:p w14:paraId="3C895C75">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要结合当前宣传文化数字化发展特点，针对出现的新业务模式、新技术呈现手段、新互动方式等能够及时应对，通过创新的技术手段做到随时变化和调整，达到适应互联网意识形态的管理要求。</w:t>
      </w:r>
    </w:p>
    <w:p w14:paraId="09D74CE3">
      <w:pPr>
        <w:numPr>
          <w:ilvl w:val="0"/>
          <w:numId w:val="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易操作性</w:t>
      </w:r>
    </w:p>
    <w:p w14:paraId="367A48EA">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易操作性主要表现在以下几个方面：易管理、易使用、易学习。系统具有友好的界面、操作简单易懂、各功能操作标准一致、给予适当的操作提示，能够最大限度的满足实际安保工作需求。   </w:t>
      </w:r>
    </w:p>
    <w:p w14:paraId="5BCEB716">
      <w:pPr>
        <w:numPr>
          <w:ilvl w:val="0"/>
          <w:numId w:val="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用户高体验性</w:t>
      </w:r>
    </w:p>
    <w:p w14:paraId="2192666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系统所对应的各个前端，</w:t>
      </w:r>
      <w:r>
        <w:rPr>
          <w:rFonts w:hint="eastAsia" w:ascii="仿宋" w:hAnsi="仿宋" w:eastAsia="仿宋" w:cs="仿宋"/>
          <w:color w:val="auto"/>
          <w:sz w:val="28"/>
          <w:szCs w:val="28"/>
          <w:lang w:eastAsia="zh-CN"/>
        </w:rPr>
        <w:t>需</w:t>
      </w:r>
      <w:r>
        <w:rPr>
          <w:rFonts w:hint="eastAsia" w:ascii="仿宋" w:hAnsi="仿宋" w:eastAsia="仿宋" w:cs="仿宋"/>
          <w:color w:val="auto"/>
          <w:sz w:val="28"/>
          <w:szCs w:val="28"/>
        </w:rPr>
        <w:t>保持流畅、稳定、便捷、智能的用户操作体验，服务方</w:t>
      </w:r>
      <w:r>
        <w:rPr>
          <w:rFonts w:hint="eastAsia" w:ascii="仿宋" w:hAnsi="仿宋" w:eastAsia="仿宋" w:cs="仿宋"/>
          <w:color w:val="auto"/>
          <w:sz w:val="28"/>
          <w:szCs w:val="28"/>
          <w:lang w:eastAsia="zh-CN"/>
        </w:rPr>
        <w:t>需</w:t>
      </w:r>
      <w:r>
        <w:rPr>
          <w:rFonts w:hint="eastAsia" w:ascii="仿宋" w:hAnsi="仿宋" w:eastAsia="仿宋" w:cs="仿宋"/>
          <w:color w:val="auto"/>
          <w:sz w:val="28"/>
          <w:szCs w:val="28"/>
        </w:rPr>
        <w:t>提供丰富的UI设计，供项目方选择，打造界面美观、功能完善、特色鲜明、操作方便、保障有力的前端系统。提供人性化的应用和管理界面，以满足用户需求。</w:t>
      </w:r>
    </w:p>
    <w:p w14:paraId="1045FF38">
      <w:pPr>
        <w:numPr>
          <w:ilvl w:val="0"/>
          <w:numId w:val="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先进性</w:t>
      </w:r>
    </w:p>
    <w:p w14:paraId="01CC5483">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系统要采用业界先进的软件开发技术，在较长的时间内能保证系统的先进性和成长性，选择实用性强产品，模块化结构设计，既可满足当前需要又可实现今后系统发展平滑扩展。</w:t>
      </w:r>
    </w:p>
    <w:p w14:paraId="0AB8FA87">
      <w:pPr>
        <w:numPr>
          <w:ilvl w:val="0"/>
          <w:numId w:val="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可靠性</w:t>
      </w:r>
    </w:p>
    <w:p w14:paraId="3FFAB17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采用成熟和高质量的技术与产品，系统所选择的设备，应广泛的应用于各领域，经过市场考验，安全可靠，能确保系统在运行期间不间断工作。</w:t>
      </w:r>
    </w:p>
    <w:p w14:paraId="12E8FE8A">
      <w:pPr>
        <w:numPr>
          <w:ilvl w:val="0"/>
          <w:numId w:val="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安全稳定性</w:t>
      </w:r>
    </w:p>
    <w:p w14:paraId="31555F3B">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配置安全的备份系统，对应用数据进行更加安全的数据保护，降低人为操作失误或病毒袭击给系统造成的数据丢失。进行有效的安全访问控制，实现故障屏蔽、自动冗余重建等智能化安全可靠措施，提供统一的系统管理和监控平台，进行有效的故障定位、预警。</w:t>
      </w:r>
    </w:p>
    <w:p w14:paraId="78E87029">
      <w:pPr>
        <w:numPr>
          <w:ilvl w:val="0"/>
          <w:numId w:val="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开放性</w:t>
      </w:r>
    </w:p>
    <w:p w14:paraId="610BEFAE">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技术平台首先要符合国家相关信息化标准，提供符合标准的通用文件系统访问接口。系统遵循开放性技术架构，可在不改变系统架构的情况下扩展数据内容、业务流程，适应发展需求。</w:t>
      </w:r>
    </w:p>
    <w:p w14:paraId="4327A364">
      <w:pPr>
        <w:numPr>
          <w:ilvl w:val="0"/>
          <w:numId w:val="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可扩展性</w:t>
      </w:r>
    </w:p>
    <w:p w14:paraId="4B4944AB">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采用开放性架构体系、能够兼容业界通用的设备及主流的操作系统、虚拟化软件、大数据软件、应用程序，能够大大降低开发、运营、维护成本。系统软硬件架构均具有弹性扩展的能力，以应对互联网快速发展及监管业务需要。系统建设需采用松耦合的开放技术架构，便于新任务、新功能、新审核目标的扩充。</w:t>
      </w:r>
    </w:p>
    <w:p w14:paraId="3B62FBFF">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支撑能力需求</w:t>
      </w:r>
    </w:p>
    <w:p w14:paraId="55808CA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供应商应为本服务项目提供基础设施、数据采集、数据治理、数据应用等支撑能力，用以支撑本项目开展数字化服务工作。</w:t>
      </w:r>
    </w:p>
    <w:p w14:paraId="28B5BEF8">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基础设施支撑</w:t>
      </w:r>
    </w:p>
    <w:p w14:paraId="5EF1E51B">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网络基础架构：应具备冗余架构设计，IDC机房内关键重要设备都应采用双点备份，避免单点故障，有效保证网络的稳定性与高效性。</w:t>
      </w:r>
    </w:p>
    <w:p w14:paraId="3ADFC9DA">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计算及存储资源需求：应提供物理主机、虚拟主机、虚拟机、磁盘阵列、分布式存储等可用的物理和逻辑资源，可根据用户需求定制提供高性能服务器集群、容器集群、分布式数据库集群及灾备服务基础设施资源。</w:t>
      </w:r>
    </w:p>
    <w:p w14:paraId="5FC1652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安全防护：应对自建设备和托管设备提供物理环境、网络通信、计算设备、应用数据等全方面安全防护，在完全遵从国家、市相关法律法规和标准规范开展安全保障设计工作，满足信息系统等级保护三级标准，通过三级等保测评并取得证书。</w:t>
      </w:r>
    </w:p>
    <w:p w14:paraId="7C45921B">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数据采集支撑</w:t>
      </w:r>
    </w:p>
    <w:p w14:paraId="523052DB">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密钥规则配置：可根据业务需求配置数据交换密钥。可对密钥规则进行有效管理。</w:t>
      </w:r>
    </w:p>
    <w:p w14:paraId="6B470FE6">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数据共享服务：注册发布数据服务接口并对服务进行有效管理，还可对接口元数据和数据格式进行规范统一的设置。</w:t>
      </w:r>
    </w:p>
    <w:p w14:paraId="2B7A204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数据资源中心：提供统一数据视图对数据资源进行有效管理，可通过IP地址黑白名单机制、启用接口访问进行统一监控。</w:t>
      </w:r>
    </w:p>
    <w:p w14:paraId="60CE9B38">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地址隐蔽：通过统一对外公布经平台授权地址按照服务代码规则进行调用，保证服务规范性、安全性以及统一维护的要求。</w:t>
      </w:r>
    </w:p>
    <w:p w14:paraId="283AE0FF">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接口监控：提供统计监控功能，实现对动态数据的流向进行跟踪监控，监控结果通过日志查询进行体现。</w:t>
      </w:r>
    </w:p>
    <w:p w14:paraId="3A07996A">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数据自助分析：可导出接口统计提供自助分析能力，查看接口整体情况及每月调用情况。</w:t>
      </w:r>
    </w:p>
    <w:p w14:paraId="5E1F442B">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文件同步：通过导入Excel文件，将外部数据导入至数据模型中。</w:t>
      </w:r>
    </w:p>
    <w:p w14:paraId="432FA0FF">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抓取同步：通过设置爬虫相关信息提供数据抓取同步服务，可按照一定规则自动抓取网站信息，并可进行有效管理。</w:t>
      </w:r>
    </w:p>
    <w:p w14:paraId="7AB8408B">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数据治理支撑</w:t>
      </w:r>
    </w:p>
    <w:p w14:paraId="0428F8B8">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数据源管理：可链接多种不同的数据库，也可对数据源进行新增、编辑、删除等管理操作。</w:t>
      </w:r>
    </w:p>
    <w:p w14:paraId="30EEBCCB">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清洗模型：可通过可视化界面对数据清洗规则进行编辑和维护，新增模型可通过选择相应信息便捷完成添加。</w:t>
      </w:r>
    </w:p>
    <w:p w14:paraId="267631C5">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元数据维护：可对原始库、基础库、业务库、实验库、应用库等数据库进行管理和维护，还可查看节点下相关数据。</w:t>
      </w:r>
    </w:p>
    <w:p w14:paraId="5183DBB0">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SQL工作台：提供在线编写和执行SQL语句的功能，可通过选择数据源、录入SQL指令、点击执行即时查看SQL运算结果。</w:t>
      </w:r>
    </w:p>
    <w:p w14:paraId="2B82D0B6">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标准字典管理：提供数据标准编码配置维护能力，可通过树形节点对数据标准进行维护。</w:t>
      </w:r>
    </w:p>
    <w:p w14:paraId="0E0C59C7">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质量规则配置：可对唯一性、完整性等质量检查规则进行管理，选择校验规则后，录入相关信息完成规则配置。</w:t>
      </w:r>
    </w:p>
    <w:p w14:paraId="33F2BCF3">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数据质量检查：通过定时任务配置cron表达式自动开展数据质量检查任务，检查成果通过数据质量报告进行查看。</w:t>
      </w:r>
    </w:p>
    <w:p w14:paraId="0736DFA3">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质量结果查看：支持查看数据质量检查情况，包括规则名称、规则类型、数据源、数据表、核查字段、核查数量、不合规数量等。</w:t>
      </w:r>
    </w:p>
    <w:p w14:paraId="6868946C">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质量分析报告：可以按数据源、规则类型对数据质量进行统计分析，可根据日期搜索特定时间数据质量情况。</w:t>
      </w:r>
    </w:p>
    <w:p w14:paraId="6E89E93B">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数据应用支撑</w:t>
      </w:r>
    </w:p>
    <w:p w14:paraId="15B2E2F6">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算法集管理：通过可视化界面对选定的父子节点下对算法代码进行新增、编辑、删除等管理操作，并可运行算法。</w:t>
      </w:r>
    </w:p>
    <w:p w14:paraId="1D9DC1B3">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执行配置：对数据治理服务的相关服务脚本进行管理，提供多种配置方式和业务服务类型。</w:t>
      </w:r>
    </w:p>
    <w:p w14:paraId="4CBCC188">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数据服务：通过配置API相关信息自动生成接口提供外部服务。</w:t>
      </w:r>
    </w:p>
    <w:p w14:paraId="213541EB">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数据脱敏：根据业务需求对输出的接口字段进行数据脱敏设置，支持正则替换和数据加密进行数据脱敏。</w:t>
      </w:r>
    </w:p>
    <w:p w14:paraId="30A68A88">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标注管理：可对各库中的数据表字段进行内容标注、实体标注、库表标注，标注内容可用于后续数据分析、统计。</w:t>
      </w:r>
    </w:p>
    <w:p w14:paraId="19D3BA37">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标签管理：通过对源数据中的字段进行标签标注为数据分析和知识图谱构建提供依据。</w:t>
      </w:r>
    </w:p>
    <w:p w14:paraId="29DF846E">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词汇管理：可根据业务需求创建不同的关键词库用于数据分析、数据清洗、知识图谱生成等。</w:t>
      </w:r>
    </w:p>
    <w:p w14:paraId="760D1DA0">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词云管理：用于对词云和热词数据的管理，可根据平台算法自动生成的词云和热词数据进行手动干预设置是否显示。</w:t>
      </w:r>
    </w:p>
    <w:p w14:paraId="2F97A1BC">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服务性能需求</w:t>
      </w:r>
    </w:p>
    <w:p w14:paraId="7744B4AA">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平台的性能需求包括基本性能、并发性、存储性能、页面性能、可扩展性、稳定性与可靠性、易维护性、易用性和兼容性需求。</w:t>
      </w:r>
    </w:p>
    <w:p w14:paraId="565E56FE">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基本性能需求</w:t>
      </w:r>
    </w:p>
    <w:p w14:paraId="78F28460">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基本性能：系统总体可用率&gt;99.7%，数据库应用可用率&gt;=99.8%，WEB应用可用率&gt;=99.8%。（或7×24小时不间断运行）；在100M局域网环境下进行增、删、改业务（不含大对象数据类型）响应时间在5秒以内。在100M局域网环境下查询操作响应时间要求在5秒以内。</w:t>
      </w:r>
    </w:p>
    <w:p w14:paraId="3196BAB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数据交换及集成处理：批量数据交换中，平均单条记录数据交换的时间不大于20毫秒。批量数据交换中，平均单条记录入库的响应时间不大于20毫秒。</w:t>
      </w:r>
    </w:p>
    <w:p w14:paraId="6C08EC4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数据共享利用：查询基础数据（精确匹配）的响应时间不大于5秒。查询单个数据主题（百万级）的响应时间不大于5秒。目录检索的响应时间不大于5秒。查询统计报表（非实时统计）的响应时间不大于5秒。</w:t>
      </w:r>
    </w:p>
    <w:p w14:paraId="00E146B0">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并发性需求</w:t>
      </w:r>
    </w:p>
    <w:p w14:paraId="4643C658">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平台采用主从数据库配置，支持用户同时读写操作。通过分区分库设计，为平台提供高性能并发性设计。</w:t>
      </w:r>
    </w:p>
    <w:p w14:paraId="62D8C572">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支持500名用户同时在线，并发用户不少于100人；其中并发操作指多用户同时在平台上进行的访问、信息修改等各类操作。</w:t>
      </w:r>
    </w:p>
    <w:p w14:paraId="51705D4A">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存储性能需求</w:t>
      </w:r>
    </w:p>
    <w:p w14:paraId="29B3D4DA">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系统配置日志文件存储时间为2个月，包括操作日志、系统运行日志、用户访问日志等各种日志原始文本文件。</w:t>
      </w:r>
    </w:p>
    <w:p w14:paraId="5FD26967">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平台可支撑大量数据的长期存储需求。</w:t>
      </w:r>
    </w:p>
    <w:p w14:paraId="7FC6A9C6">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系统对关键数据有实时备份，并对整体数据有离线备份功能，离线备份时间窗口为10天，每24个小时增量备份一次数据。</w:t>
      </w:r>
    </w:p>
    <w:p w14:paraId="3C572000">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页面性能需求</w:t>
      </w:r>
    </w:p>
    <w:p w14:paraId="5387490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为保证平台访问性能，通过多种方法提升用户访问体验，确保实现以下页面访问性能目标：</w:t>
      </w:r>
    </w:p>
    <w:p w14:paraId="702A96BA">
      <w:pPr>
        <w:numPr>
          <w:ilvl w:val="0"/>
          <w:numId w:val="5"/>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用户查询时系统的响应时间（从查询开始到查询结果展现）小于5秒，同时不影响其他在线用户进行的操作。</w:t>
      </w:r>
    </w:p>
    <w:p w14:paraId="7DCF8D47">
      <w:pPr>
        <w:numPr>
          <w:ilvl w:val="0"/>
          <w:numId w:val="5"/>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在网络稳定（业务有效带宽不少于512kbps）的环境下操作性界面单一操作的系统响应时间小于5秒。</w:t>
      </w:r>
    </w:p>
    <w:p w14:paraId="480B95B8">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可扩展性需求</w:t>
      </w:r>
    </w:p>
    <w:p w14:paraId="44BC1DA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具有比较容易地适应调整、扩充和删减的动态扩展能力，并具有与其它系统的接口能力，利用各系统功能之长，进行优势互补。平台可扩展性设计包括数据库可扩展性、功能可扩展性、业务可扩展性、服务可扩展性、硬件系统可扩展性设计。</w:t>
      </w:r>
    </w:p>
    <w:p w14:paraId="61A6D5C4">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系统的可扩展性需求表现在以下几个方面：</w:t>
      </w:r>
    </w:p>
    <w:p w14:paraId="6E50D7F4">
      <w:pPr>
        <w:numPr>
          <w:ilvl w:val="0"/>
          <w:numId w:val="6"/>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数据可扩展</w:t>
      </w:r>
    </w:p>
    <w:p w14:paraId="0F7906AF">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将建立一个统一的面向规划管理的数据模型，这是建立在对规划局的业务系统进行全面综合分析的基础之上，该数据模型包含不同空间数据间的、不同业务数据间的、空间数据与业务数据间的、管理数据与运行数据间存在的各种关系。即使现在建设时，许多数据并不完整或完善，可通过系统的可扩展性设计在将来逐步完善。</w:t>
      </w:r>
    </w:p>
    <w:p w14:paraId="48C67586">
      <w:pPr>
        <w:numPr>
          <w:ilvl w:val="0"/>
          <w:numId w:val="6"/>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功能可扩展性</w:t>
      </w:r>
    </w:p>
    <w:p w14:paraId="46896ECF">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提供统一的框架，并采用面向对象技术开发组件，为组件提供一致的接口规范，并在组件内部进行封装。这样使得需要优化某一系统功能时只需在原来的接口规范基础上，改进组件内部的设计，以提供功能更为强大的组件。当需要增加新的功能或增加新的数据预处理算法时，也可以通过简单的配置，引入包含新功能的组件实现。</w:t>
      </w:r>
    </w:p>
    <w:p w14:paraId="65FAA42D">
      <w:pPr>
        <w:numPr>
          <w:ilvl w:val="0"/>
          <w:numId w:val="6"/>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业务可扩展性</w:t>
      </w:r>
    </w:p>
    <w:p w14:paraId="3D3711F4">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的业务都是通过定制来实现，在每个业务的数据和流转信息等信息并没有和平台框架紧密绑定，而是通过读取或传输数据流、业务流来实现。因此，系统需要改变业务流程，新增或者删除某个业务对平台框架本身没有影响。系统采用框架技术，对业务进行定制，将很容易扩展新的业务。</w:t>
      </w:r>
    </w:p>
    <w:p w14:paraId="100B3579">
      <w:pPr>
        <w:numPr>
          <w:ilvl w:val="0"/>
          <w:numId w:val="6"/>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服务可扩展性</w:t>
      </w:r>
    </w:p>
    <w:p w14:paraId="1552BB2F">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系统的共享和发布机制将建立综合服务体系，对外提供服务方式采用XML和基于Web Service的方式。通过Web Service能够定制出针对不同对象的不同种类、格式不同内容的数据服务和功能调用接口，实现服务的可扩展。</w:t>
      </w:r>
    </w:p>
    <w:p w14:paraId="6CBC4F20">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稳定性与可靠性需求</w:t>
      </w:r>
    </w:p>
    <w:p w14:paraId="0FC2542B">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平台具有较高的稳定性，能够保持7*24稳定的不间断运行，具备99.9%的高可用性，平均故障间隔时间MTBF≥1000小时。当系统出现问题后能在较短的时间内恢复，而且系统的数据是完整的，不会引起数据的不一致。</w:t>
      </w:r>
    </w:p>
    <w:p w14:paraId="1F4654F5">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平台从系统软硬件平台及网络等方面来保证系统的稳定性。当主服务器宕机时，可快速调用备用服务器，以确保用户应用不受影响。</w:t>
      </w:r>
    </w:p>
    <w:p w14:paraId="6A1D3A71">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易维护性需求</w:t>
      </w:r>
    </w:p>
    <w:p w14:paraId="70FA3CBD">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的可维护性是衡量一个修复(恢复)性和可改进的难易程度。主要包括系统在实施预防性和纠正性维护功能时的难易程度，其中包括对故障检测、诊断修复以及否将该系统重新进行初始化等功能。以及系统能接受改进，甚至为了一步适应外界(或新的)环境进行功能修改的难易程度。</w:t>
      </w:r>
    </w:p>
    <w:p w14:paraId="285EB315">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易用性和兼容性需求</w:t>
      </w:r>
    </w:p>
    <w:p w14:paraId="6E7F76CC">
      <w:pPr>
        <w:numPr>
          <w:ilvl w:val="0"/>
          <w:numId w:val="7"/>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系统提供统一的图形用户界面风格；</w:t>
      </w:r>
    </w:p>
    <w:p w14:paraId="7AAC83BC">
      <w:pPr>
        <w:numPr>
          <w:ilvl w:val="0"/>
          <w:numId w:val="7"/>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系统界面友好，易于安装、配置和管理，并有详尽的技术文档，支持中文图形界面、提供中文报表以及各类中文技术文档；</w:t>
      </w:r>
    </w:p>
    <w:p w14:paraId="30E43A7D">
      <w:pPr>
        <w:numPr>
          <w:ilvl w:val="0"/>
          <w:numId w:val="7"/>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能在浏览器中完成基本的管理任务，对用户输入错误，支持实时发现和提示；</w:t>
      </w:r>
    </w:p>
    <w:p w14:paraId="793D6F6D">
      <w:pPr>
        <w:numPr>
          <w:ilvl w:val="0"/>
          <w:numId w:val="7"/>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支持同时打开多个管理窗口以对不同任务进行并行的操作；</w:t>
      </w:r>
    </w:p>
    <w:p w14:paraId="1BC9BEC6">
      <w:pPr>
        <w:numPr>
          <w:ilvl w:val="0"/>
          <w:numId w:val="7"/>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导致系统数据发生变化的操作执行之前，系统会明确提示用户确认。系统正在执行用户提交的请求而无法返回时，会明确标识系统处于繁忙阶段；</w:t>
      </w:r>
    </w:p>
    <w:p w14:paraId="52452D39">
      <w:pPr>
        <w:numPr>
          <w:ilvl w:val="0"/>
          <w:numId w:val="7"/>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支持分布式结构，能够提供统一的管理界面进行配置及管理；</w:t>
      </w:r>
    </w:p>
    <w:p w14:paraId="42339348">
      <w:pPr>
        <w:numPr>
          <w:ilvl w:val="0"/>
          <w:numId w:val="7"/>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系统运行平台支持国产化操作系统；</w:t>
      </w:r>
    </w:p>
    <w:p w14:paraId="4EE746A3">
      <w:pPr>
        <w:numPr>
          <w:ilvl w:val="0"/>
          <w:numId w:val="7"/>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系统支持国产化浏览器的访问与显示。</w:t>
      </w:r>
    </w:p>
    <w:p w14:paraId="690FF158">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技术指标需求</w:t>
      </w:r>
    </w:p>
    <w:p w14:paraId="57C2410C">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数据采集和交换技术指标</w:t>
      </w:r>
    </w:p>
    <w:p w14:paraId="2351DA7D">
      <w:pPr>
        <w:numPr>
          <w:ilvl w:val="0"/>
          <w:numId w:val="8"/>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GB级数据量单条记录查询时间2-3毫秒；</w:t>
      </w:r>
    </w:p>
    <w:p w14:paraId="2C05E13D">
      <w:pPr>
        <w:numPr>
          <w:ilvl w:val="0"/>
          <w:numId w:val="8"/>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GB级数据量单条记录更新时长10毫秒；</w:t>
      </w:r>
    </w:p>
    <w:p w14:paraId="2BE19042">
      <w:pPr>
        <w:numPr>
          <w:ilvl w:val="0"/>
          <w:numId w:val="8"/>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TB级数据量单条记录查询时间6-10毫秒；</w:t>
      </w:r>
    </w:p>
    <w:p w14:paraId="709483CF">
      <w:pPr>
        <w:numPr>
          <w:ilvl w:val="0"/>
          <w:numId w:val="8"/>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TB级数据量单条记录更新时长20毫秒；</w:t>
      </w:r>
    </w:p>
    <w:p w14:paraId="6BCBA3C6">
      <w:pPr>
        <w:numPr>
          <w:ilvl w:val="0"/>
          <w:numId w:val="8"/>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40张表JOIN的OLTP操作时长200毫秒；</w:t>
      </w:r>
    </w:p>
    <w:p w14:paraId="2AECB8D8">
      <w:pPr>
        <w:numPr>
          <w:ilvl w:val="0"/>
          <w:numId w:val="8"/>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150张表JOIN的OLAP查询时长4-6分钟；</w:t>
      </w:r>
    </w:p>
    <w:p w14:paraId="05E7F460">
      <w:pPr>
        <w:numPr>
          <w:ilvl w:val="0"/>
          <w:numId w:val="8"/>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支持关联查询表数据量&gt;100张。</w:t>
      </w:r>
    </w:p>
    <w:p w14:paraId="03B18FAC">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应用系统技术指标</w:t>
      </w:r>
    </w:p>
    <w:p w14:paraId="2EB05E5C">
      <w:pPr>
        <w:numPr>
          <w:ilvl w:val="0"/>
          <w:numId w:val="9"/>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业务数据量在百万级简单检索查询类响应时间≤3秒，复杂类检索查询响应时间≤3-5秒；</w:t>
      </w:r>
    </w:p>
    <w:p w14:paraId="18EF51A0">
      <w:pPr>
        <w:numPr>
          <w:ilvl w:val="0"/>
          <w:numId w:val="9"/>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业务数据量在千万级简单检索查询类响应时间≤5秒，复杂类检索查询响应时间≤5-8秒；</w:t>
      </w:r>
    </w:p>
    <w:p w14:paraId="0E6993FF">
      <w:pPr>
        <w:numPr>
          <w:ilvl w:val="0"/>
          <w:numId w:val="9"/>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非业务数据查询类页面响应时间≤5秒；</w:t>
      </w:r>
    </w:p>
    <w:p w14:paraId="47775AED">
      <w:pPr>
        <w:numPr>
          <w:ilvl w:val="0"/>
          <w:numId w:val="9"/>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支持用户并发数≥500。</w:t>
      </w:r>
    </w:p>
    <w:p w14:paraId="70E0984F">
      <w:pPr>
        <w:pStyle w:val="4"/>
        <w:keepNext w:val="0"/>
        <w:keepLines w:val="0"/>
        <w:numPr>
          <w:ilvl w:val="2"/>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数据处理分析技术指标</w:t>
      </w:r>
    </w:p>
    <w:p w14:paraId="628856D5">
      <w:pPr>
        <w:numPr>
          <w:ilvl w:val="0"/>
          <w:numId w:val="10"/>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数据加载≥ 100M/秒；</w:t>
      </w:r>
    </w:p>
    <w:p w14:paraId="41B4CB00">
      <w:pPr>
        <w:numPr>
          <w:ilvl w:val="0"/>
          <w:numId w:val="10"/>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实时分析，在百万级别的数据连接分析，返回时间≤10秒；</w:t>
      </w:r>
    </w:p>
    <w:p w14:paraId="6EEDDE24">
      <w:pPr>
        <w:numPr>
          <w:ilvl w:val="0"/>
          <w:numId w:val="10"/>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离线分析，在百万级别的数据连接分析，返回时间≤10分钟。</w:t>
      </w:r>
    </w:p>
    <w:p w14:paraId="0C2F5A84">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安全服务需求</w:t>
      </w:r>
    </w:p>
    <w:p w14:paraId="246FBF49">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系统的可靠安全运行关系到各业务应用工作的顺利开展，因此项目的安全设计工作尤为重要，需要完全遵从国家、市相关法律法规和标准规范开展安全保障设计工作。</w:t>
      </w:r>
    </w:p>
    <w:p w14:paraId="02632F1B">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系统在日常运行过程中，在用户身份鉴别、关键数据、数据完整性保护等方面，都需要利用安全技术进行保护，主要包括以下几方面：</w:t>
      </w:r>
    </w:p>
    <w:p w14:paraId="5ABBFA0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身份鉴别需求：对登录后台系统的用户进行身份标识和鉴别，实现身份鉴别信息的防截获、防假冒和防重用，保证用户身份的真实性。</w:t>
      </w:r>
    </w:p>
    <w:p w14:paraId="09D10570">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关键数据的安全存储和传输需求：保证关键数据在存储和传输过程中的保密性与完整性。</w:t>
      </w:r>
    </w:p>
    <w:p w14:paraId="1A287125">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系统对接需求</w:t>
      </w:r>
    </w:p>
    <w:p w14:paraId="2967EC2F">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要求实现与采购人上海市宣传思想文化工作指挥平台对接，实现数据资源共享交互，提高对本市宣传思想领域重大问题的分析研判和重大战略性任务的统筹指导能力。</w:t>
      </w:r>
    </w:p>
    <w:p w14:paraId="62B159AF">
      <w:pPr>
        <w:pStyle w:val="2"/>
        <w:keepNext w:val="0"/>
        <w:keepLines w:val="0"/>
        <w:numPr>
          <w:ilvl w:val="0"/>
          <w:numId w:val="2"/>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 xml:space="preserve">项目实施要求 </w:t>
      </w:r>
    </w:p>
    <w:p w14:paraId="6CDCBA34">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bookmarkStart w:id="17" w:name="_Toc52110048"/>
      <w:bookmarkEnd w:id="17"/>
      <w:bookmarkStart w:id="18" w:name="_Toc52109803"/>
      <w:bookmarkEnd w:id="18"/>
      <w:bookmarkStart w:id="19" w:name="_Toc52109670"/>
      <w:bookmarkEnd w:id="19"/>
      <w:bookmarkStart w:id="20" w:name="_Toc52110057"/>
      <w:bookmarkStart w:id="21" w:name="_Toc332"/>
      <w:r>
        <w:rPr>
          <w:rFonts w:hint="eastAsia" w:ascii="仿宋" w:hAnsi="仿宋" w:eastAsia="仿宋" w:cs="仿宋"/>
          <w:color w:val="auto"/>
          <w:sz w:val="28"/>
          <w:szCs w:val="28"/>
        </w:rPr>
        <w:t>服务周期</w:t>
      </w:r>
    </w:p>
    <w:p w14:paraId="177D3227">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合同签订之日起</w:t>
      </w:r>
      <w:r>
        <w:rPr>
          <w:rFonts w:hint="eastAsia" w:ascii="仿宋" w:hAnsi="仿宋" w:eastAsia="仿宋" w:cs="仿宋"/>
          <w:color w:val="auto"/>
          <w:sz w:val="28"/>
          <w:szCs w:val="28"/>
          <w:lang w:val="en-US" w:eastAsia="zh-CN"/>
        </w:rPr>
        <w:t>至2025年10月10日前</w:t>
      </w:r>
      <w:r>
        <w:rPr>
          <w:rFonts w:hint="eastAsia" w:ascii="仿宋" w:hAnsi="仿宋" w:eastAsia="仿宋" w:cs="仿宋"/>
          <w:color w:val="auto"/>
          <w:sz w:val="28"/>
          <w:szCs w:val="28"/>
        </w:rPr>
        <w:t>完成</w:t>
      </w:r>
      <w:r>
        <w:rPr>
          <w:rFonts w:hint="eastAsia" w:ascii="仿宋" w:hAnsi="仿宋" w:eastAsia="仿宋" w:cs="仿宋"/>
          <w:color w:val="auto"/>
          <w:sz w:val="28"/>
          <w:szCs w:val="28"/>
          <w:lang w:eastAsia="zh-CN"/>
        </w:rPr>
        <w:t>所有服务内容并通过</w:t>
      </w:r>
      <w:r>
        <w:rPr>
          <w:rFonts w:hint="eastAsia" w:ascii="仿宋" w:hAnsi="仿宋" w:eastAsia="仿宋" w:cs="仿宋"/>
          <w:color w:val="auto"/>
          <w:sz w:val="28"/>
          <w:szCs w:val="28"/>
        </w:rPr>
        <w:t>验收。</w:t>
      </w:r>
      <w:r>
        <w:rPr>
          <w:rFonts w:hint="eastAsia" w:ascii="仿宋" w:hAnsi="仿宋" w:eastAsia="仿宋" w:cs="仿宋"/>
          <w:color w:val="auto"/>
          <w:sz w:val="28"/>
          <w:szCs w:val="28"/>
          <w:lang w:val="en-US" w:eastAsia="zh-CN"/>
        </w:rPr>
        <w:t>本服务项目</w:t>
      </w:r>
      <w:r>
        <w:rPr>
          <w:rFonts w:hint="eastAsia" w:ascii="仿宋" w:hAnsi="仿宋" w:eastAsia="仿宋" w:cs="仿宋"/>
          <w:color w:val="auto"/>
          <w:sz w:val="28"/>
          <w:szCs w:val="28"/>
        </w:rPr>
        <w:t>验收后</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供应商需保障服务期内形成的业务数据汇聚、数据服务能力和数据运营机制有效运行,保障文化数据持续高质量接入</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宣传文化数字化服务平台</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,并保障</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宣传文化数字化服务平台</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正常运行时间不少于两年</w:t>
      </w:r>
      <w:r>
        <w:rPr>
          <w:rFonts w:hint="eastAsia" w:ascii="仿宋" w:hAnsi="仿宋" w:eastAsia="仿宋" w:cs="仿宋"/>
          <w:color w:val="auto"/>
          <w:sz w:val="28"/>
          <w:szCs w:val="28"/>
        </w:rPr>
        <w:t>。</w:t>
      </w:r>
    </w:p>
    <w:p w14:paraId="1A2B87A2">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实施原则</w:t>
      </w:r>
      <w:bookmarkEnd w:id="20"/>
      <w:bookmarkEnd w:id="21"/>
    </w:p>
    <w:p w14:paraId="5FD1C114">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为保障项目的顺利实施，在项目实施过程中应遵循以下原则：</w:t>
      </w:r>
    </w:p>
    <w:p w14:paraId="5D4CE591">
      <w:pPr>
        <w:numPr>
          <w:ilvl w:val="0"/>
          <w:numId w:val="11"/>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规范性原则：成交供应商应采用项目管理方法，按照采购单位的要求在人员、质量和时间进度等方面进行严格管控。</w:t>
      </w:r>
    </w:p>
    <w:p w14:paraId="16584DA4">
      <w:pPr>
        <w:numPr>
          <w:ilvl w:val="0"/>
          <w:numId w:val="11"/>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标准化原则：项目实施过程应严格遵守国家、市和有关部门的相关法规、标准。</w:t>
      </w:r>
    </w:p>
    <w:p w14:paraId="0D5456AE">
      <w:pPr>
        <w:numPr>
          <w:ilvl w:val="0"/>
          <w:numId w:val="11"/>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完整性原则：成交供应商应按照采购人的要求，保证实施内容、实施流程的完整性，保证实施过程科学完整。</w:t>
      </w:r>
    </w:p>
    <w:p w14:paraId="2C628FCC">
      <w:pPr>
        <w:numPr>
          <w:ilvl w:val="0"/>
          <w:numId w:val="11"/>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保密性原则：在进行实施过程中，成交供应商及实施工作人员应按照采购人的要求签署相关的保密协议，采取严格的管理措施，确保实施中涉及到的任何信息，不会泄露给第三方单位或个人，或利用这些信息损害采购人利益。</w:t>
      </w:r>
    </w:p>
    <w:p w14:paraId="30563D4E">
      <w:pPr>
        <w:numPr>
          <w:ilvl w:val="0"/>
          <w:numId w:val="11"/>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最小影响原则：成交供应商在实施过程中，应充分考虑项目实施对目标系统的正常运行可能产生的不利影响，并采取必要的措施将风险降到最低。</w:t>
      </w:r>
    </w:p>
    <w:p w14:paraId="47BB934E">
      <w:pPr>
        <w:pStyle w:val="3"/>
        <w:numPr>
          <w:ilvl w:val="1"/>
          <w:numId w:val="2"/>
        </w:numPr>
        <w:spacing w:line="360" w:lineRule="auto"/>
        <w:ind w:left="0" w:firstLine="562"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人员要求</w:t>
      </w:r>
    </w:p>
    <w:p w14:paraId="6D4A0CEB">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选派在同类数字化项目服务方面具备丰富经验的团队人员负责本项目，服务团队应至少配备20人，驻场至少2人，具体人员要求如下表所示：</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963"/>
        <w:gridCol w:w="775"/>
        <w:gridCol w:w="3062"/>
        <w:gridCol w:w="1206"/>
      </w:tblGrid>
      <w:tr w14:paraId="1666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40A2F09">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角色</w:t>
            </w:r>
          </w:p>
        </w:tc>
        <w:tc>
          <w:tcPr>
            <w:tcW w:w="1963" w:type="dxa"/>
          </w:tcPr>
          <w:p w14:paraId="1515A54E">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主要职责</w:t>
            </w:r>
          </w:p>
        </w:tc>
        <w:tc>
          <w:tcPr>
            <w:tcW w:w="775" w:type="dxa"/>
          </w:tcPr>
          <w:p w14:paraId="4251E709">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人数</w:t>
            </w:r>
          </w:p>
        </w:tc>
        <w:tc>
          <w:tcPr>
            <w:tcW w:w="3062" w:type="dxa"/>
          </w:tcPr>
          <w:p w14:paraId="7787EA61">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人员要求</w:t>
            </w:r>
          </w:p>
        </w:tc>
        <w:tc>
          <w:tcPr>
            <w:tcW w:w="1206" w:type="dxa"/>
          </w:tcPr>
          <w:p w14:paraId="31C3392B">
            <w:pPr>
              <w:jc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驻场要求</w:t>
            </w:r>
          </w:p>
        </w:tc>
      </w:tr>
      <w:tr w14:paraId="1707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90C296A">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项目负责人</w:t>
            </w:r>
          </w:p>
        </w:tc>
        <w:tc>
          <w:tcPr>
            <w:tcW w:w="1963" w:type="dxa"/>
          </w:tcPr>
          <w:p w14:paraId="70C27038">
            <w:pPr>
              <w:rPr>
                <w:rFonts w:hint="default"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rPr>
              <w:t>负责项目</w:t>
            </w:r>
            <w:r>
              <w:rPr>
                <w:rFonts w:hint="eastAsia" w:ascii="仿宋" w:hAnsi="仿宋" w:eastAsia="仿宋" w:cs="仿宋"/>
                <w:b w:val="0"/>
                <w:bCs w:val="0"/>
                <w:color w:val="auto"/>
                <w:sz w:val="24"/>
                <w:szCs w:val="24"/>
                <w:lang w:val="en-US" w:eastAsia="zh-CN"/>
              </w:rPr>
              <w:t>整体服务</w:t>
            </w:r>
            <w:r>
              <w:rPr>
                <w:rFonts w:hint="eastAsia" w:ascii="仿宋" w:hAnsi="仿宋" w:eastAsia="仿宋" w:cs="仿宋"/>
                <w:b w:val="0"/>
                <w:bCs w:val="0"/>
                <w:color w:val="auto"/>
                <w:sz w:val="24"/>
                <w:szCs w:val="24"/>
              </w:rPr>
              <w:t>质量和进度控制</w:t>
            </w:r>
          </w:p>
        </w:tc>
        <w:tc>
          <w:tcPr>
            <w:tcW w:w="775" w:type="dxa"/>
          </w:tcPr>
          <w:p w14:paraId="175A5924">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3062" w:type="dxa"/>
          </w:tcPr>
          <w:p w14:paraId="05F8B04E">
            <w:pPr>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lang w:val="en-US" w:eastAsia="zh-CN"/>
              </w:rPr>
              <w:t>具备硕士及以上学历，具有信息系统项目管理师证书、系统分析师证书，具备10年以上数据服务项目经理工作经验</w:t>
            </w:r>
          </w:p>
        </w:tc>
        <w:tc>
          <w:tcPr>
            <w:tcW w:w="1206" w:type="dxa"/>
          </w:tcPr>
          <w:p w14:paraId="23BEF190">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不驻场</w:t>
            </w:r>
          </w:p>
        </w:tc>
      </w:tr>
      <w:tr w14:paraId="218A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CE14298">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需求分析服务人员</w:t>
            </w:r>
          </w:p>
        </w:tc>
        <w:tc>
          <w:tcPr>
            <w:tcW w:w="1963" w:type="dxa"/>
          </w:tcPr>
          <w:p w14:paraId="1E8B7C0C">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负责项目各项服务需求收集及整理</w:t>
            </w:r>
          </w:p>
        </w:tc>
        <w:tc>
          <w:tcPr>
            <w:tcW w:w="775" w:type="dxa"/>
          </w:tcPr>
          <w:p w14:paraId="3F0B15ED">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3062" w:type="dxa"/>
          </w:tcPr>
          <w:p w14:paraId="43ED56C9">
            <w:pPr>
              <w:rPr>
                <w:rFonts w:hint="eastAsia"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lang w:val="en-US" w:eastAsia="zh-CN"/>
              </w:rPr>
              <w:t>具备本科及以上学历，具有</w:t>
            </w:r>
            <w:r>
              <w:rPr>
                <w:rFonts w:hint="eastAsia" w:ascii="仿宋" w:hAnsi="仿宋" w:eastAsia="仿宋" w:cs="仿宋"/>
                <w:b w:val="0"/>
                <w:bCs w:val="0"/>
                <w:color w:val="auto"/>
                <w:sz w:val="24"/>
                <w:szCs w:val="24"/>
              </w:rPr>
              <w:t>系统集成项目管理工程师</w:t>
            </w:r>
            <w:r>
              <w:rPr>
                <w:rFonts w:hint="eastAsia" w:ascii="仿宋" w:hAnsi="仿宋" w:eastAsia="仿宋" w:cs="仿宋"/>
                <w:b w:val="0"/>
                <w:bCs w:val="0"/>
                <w:color w:val="auto"/>
                <w:sz w:val="24"/>
                <w:szCs w:val="24"/>
                <w:lang w:val="en-US" w:eastAsia="zh-CN"/>
              </w:rPr>
              <w:t>证书，具备5年以上数据服务项目工作经验</w:t>
            </w:r>
          </w:p>
        </w:tc>
        <w:tc>
          <w:tcPr>
            <w:tcW w:w="1206" w:type="dxa"/>
          </w:tcPr>
          <w:p w14:paraId="2326A9A9">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不驻场</w:t>
            </w:r>
          </w:p>
        </w:tc>
      </w:tr>
      <w:tr w14:paraId="00DF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5F1C0F3">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算法分析师</w:t>
            </w:r>
          </w:p>
        </w:tc>
        <w:tc>
          <w:tcPr>
            <w:tcW w:w="1963" w:type="dxa"/>
          </w:tcPr>
          <w:p w14:paraId="74199CC5">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负责数据治理、数据分析工作</w:t>
            </w:r>
          </w:p>
        </w:tc>
        <w:tc>
          <w:tcPr>
            <w:tcW w:w="775" w:type="dxa"/>
          </w:tcPr>
          <w:p w14:paraId="6B469B89">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3062" w:type="dxa"/>
          </w:tcPr>
          <w:p w14:paraId="08DBF768">
            <w:pPr>
              <w:rPr>
                <w:rFonts w:hint="default"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lang w:val="en-US" w:eastAsia="zh-CN"/>
              </w:rPr>
              <w:t>具备本科及以上学历，具有</w:t>
            </w:r>
            <w:r>
              <w:rPr>
                <w:rFonts w:hint="eastAsia" w:ascii="仿宋" w:hAnsi="仿宋" w:eastAsia="仿宋" w:cs="仿宋"/>
                <w:b w:val="0"/>
                <w:bCs w:val="0"/>
                <w:color w:val="auto"/>
                <w:sz w:val="24"/>
                <w:szCs w:val="24"/>
              </w:rPr>
              <w:t>系统集成项目管理工程师</w:t>
            </w:r>
            <w:r>
              <w:rPr>
                <w:rFonts w:hint="eastAsia" w:ascii="仿宋" w:hAnsi="仿宋" w:eastAsia="仿宋" w:cs="仿宋"/>
                <w:b w:val="0"/>
                <w:bCs w:val="0"/>
                <w:color w:val="auto"/>
                <w:sz w:val="24"/>
                <w:szCs w:val="24"/>
                <w:lang w:val="en-US" w:eastAsia="zh-CN"/>
              </w:rPr>
              <w:t>/软件设计师证书，具备5年以上数据服务项目工作经验</w:t>
            </w:r>
          </w:p>
        </w:tc>
        <w:tc>
          <w:tcPr>
            <w:tcW w:w="1206" w:type="dxa"/>
          </w:tcPr>
          <w:p w14:paraId="1FC002E6">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不驻场</w:t>
            </w:r>
          </w:p>
        </w:tc>
      </w:tr>
      <w:tr w14:paraId="7C01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D6C01C2">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数据库管理人员</w:t>
            </w:r>
          </w:p>
        </w:tc>
        <w:tc>
          <w:tcPr>
            <w:tcW w:w="1963" w:type="dxa"/>
          </w:tcPr>
          <w:p w14:paraId="289031EF">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负责数据采集、数据清洗、数据管理等工作</w:t>
            </w:r>
          </w:p>
        </w:tc>
        <w:tc>
          <w:tcPr>
            <w:tcW w:w="775" w:type="dxa"/>
          </w:tcPr>
          <w:p w14:paraId="7E3FAB0B">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3062" w:type="dxa"/>
          </w:tcPr>
          <w:p w14:paraId="09156B41">
            <w:pPr>
              <w:rPr>
                <w:rFonts w:hint="default"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lang w:val="en-US" w:eastAsia="zh-CN"/>
              </w:rPr>
              <w:t>具备大专及以上学历，具备5年以上数据服务项目工作经验</w:t>
            </w:r>
          </w:p>
        </w:tc>
        <w:tc>
          <w:tcPr>
            <w:tcW w:w="1206" w:type="dxa"/>
          </w:tcPr>
          <w:p w14:paraId="4200D73E">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不驻场</w:t>
            </w:r>
          </w:p>
        </w:tc>
      </w:tr>
      <w:tr w14:paraId="121C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15173B9">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模型开发人员</w:t>
            </w:r>
          </w:p>
        </w:tc>
        <w:tc>
          <w:tcPr>
            <w:tcW w:w="1963" w:type="dxa"/>
          </w:tcPr>
          <w:p w14:paraId="523A7672">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负责模型开发及场景构建</w:t>
            </w:r>
          </w:p>
        </w:tc>
        <w:tc>
          <w:tcPr>
            <w:tcW w:w="775" w:type="dxa"/>
          </w:tcPr>
          <w:p w14:paraId="06159097">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3062" w:type="dxa"/>
          </w:tcPr>
          <w:p w14:paraId="08560D82">
            <w:pPr>
              <w:rPr>
                <w:rFonts w:hint="default" w:ascii="仿宋" w:hAnsi="仿宋" w:eastAsia="仿宋" w:cs="仿宋"/>
                <w:color w:val="auto"/>
                <w:sz w:val="24"/>
                <w:szCs w:val="24"/>
                <w:vertAlign w:val="baseline"/>
                <w:lang w:val="en-US" w:eastAsia="zh-CN"/>
              </w:rPr>
            </w:pPr>
            <w:r>
              <w:rPr>
                <w:rFonts w:hint="eastAsia" w:ascii="仿宋" w:hAnsi="仿宋" w:eastAsia="仿宋" w:cs="仿宋"/>
                <w:b w:val="0"/>
                <w:bCs w:val="0"/>
                <w:color w:val="auto"/>
                <w:sz w:val="24"/>
                <w:szCs w:val="24"/>
                <w:lang w:val="en-US" w:eastAsia="zh-CN"/>
              </w:rPr>
              <w:t>具备大专及以上学历，具备5年以上数据服务项目工作经验</w:t>
            </w:r>
          </w:p>
        </w:tc>
        <w:tc>
          <w:tcPr>
            <w:tcW w:w="1206" w:type="dxa"/>
          </w:tcPr>
          <w:p w14:paraId="1DFDF832">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不驻场</w:t>
            </w:r>
          </w:p>
        </w:tc>
      </w:tr>
      <w:tr w14:paraId="624A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066194C">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算力支撑服务人员</w:t>
            </w:r>
          </w:p>
        </w:tc>
        <w:tc>
          <w:tcPr>
            <w:tcW w:w="1963" w:type="dxa"/>
          </w:tcPr>
          <w:p w14:paraId="2B2F1F5F">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负责项目相关的算力支撑服务</w:t>
            </w:r>
          </w:p>
        </w:tc>
        <w:tc>
          <w:tcPr>
            <w:tcW w:w="775" w:type="dxa"/>
          </w:tcPr>
          <w:p w14:paraId="70A275EE">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3062" w:type="dxa"/>
          </w:tcPr>
          <w:p w14:paraId="76431AAD">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具备硕士及以上学历，具备3年以上数据服务项目算力支持工作经验</w:t>
            </w:r>
          </w:p>
        </w:tc>
        <w:tc>
          <w:tcPr>
            <w:tcW w:w="1206" w:type="dxa"/>
          </w:tcPr>
          <w:p w14:paraId="15C5FDA0">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不驻场</w:t>
            </w:r>
          </w:p>
        </w:tc>
      </w:tr>
      <w:tr w14:paraId="0603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F22A0A1">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UI设计服务人员</w:t>
            </w:r>
          </w:p>
        </w:tc>
        <w:tc>
          <w:tcPr>
            <w:tcW w:w="1963" w:type="dxa"/>
          </w:tcPr>
          <w:p w14:paraId="04F1C0D2">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提供整体视觉效果设计服务</w:t>
            </w:r>
          </w:p>
        </w:tc>
        <w:tc>
          <w:tcPr>
            <w:tcW w:w="775" w:type="dxa"/>
          </w:tcPr>
          <w:p w14:paraId="092BB132">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3062" w:type="dxa"/>
          </w:tcPr>
          <w:p w14:paraId="0664B659">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具备大专及以上学历，具备5年以上数据服务项目UI设计工作经验</w:t>
            </w:r>
          </w:p>
        </w:tc>
        <w:tc>
          <w:tcPr>
            <w:tcW w:w="1206" w:type="dxa"/>
          </w:tcPr>
          <w:p w14:paraId="724B41CC">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不驻场</w:t>
            </w:r>
          </w:p>
        </w:tc>
      </w:tr>
      <w:tr w14:paraId="10E1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F9D4E3B">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技术服务人员</w:t>
            </w:r>
          </w:p>
        </w:tc>
        <w:tc>
          <w:tcPr>
            <w:tcW w:w="1963" w:type="dxa"/>
          </w:tcPr>
          <w:p w14:paraId="6AD864B1">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提供技术支持服务，包括前后端技术开发</w:t>
            </w:r>
          </w:p>
        </w:tc>
        <w:tc>
          <w:tcPr>
            <w:tcW w:w="775" w:type="dxa"/>
          </w:tcPr>
          <w:p w14:paraId="0CB6CCC3">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3062" w:type="dxa"/>
          </w:tcPr>
          <w:p w14:paraId="23F17CC1">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具备大专及以上学历，具备5年以上数据服务项目技术开发工作经验</w:t>
            </w:r>
          </w:p>
        </w:tc>
        <w:tc>
          <w:tcPr>
            <w:tcW w:w="1206" w:type="dxa"/>
          </w:tcPr>
          <w:p w14:paraId="216DCEDF">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不驻场</w:t>
            </w:r>
          </w:p>
        </w:tc>
      </w:tr>
      <w:tr w14:paraId="3758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056024E">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基础设施支撑人员</w:t>
            </w:r>
          </w:p>
        </w:tc>
        <w:tc>
          <w:tcPr>
            <w:tcW w:w="1963" w:type="dxa"/>
          </w:tcPr>
          <w:p w14:paraId="7EE9AE2C">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提供整体网络架构、信息存储、安全防护的各项管理服务</w:t>
            </w:r>
          </w:p>
        </w:tc>
        <w:tc>
          <w:tcPr>
            <w:tcW w:w="775" w:type="dxa"/>
          </w:tcPr>
          <w:p w14:paraId="5AFCFF72">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3062" w:type="dxa"/>
          </w:tcPr>
          <w:p w14:paraId="57D4E445">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具备本科及以上学历，具有注册信息安全专业人员（CISP）证书，具备10年以上基础设施管理经验</w:t>
            </w:r>
          </w:p>
        </w:tc>
        <w:tc>
          <w:tcPr>
            <w:tcW w:w="1206" w:type="dxa"/>
          </w:tcPr>
          <w:p w14:paraId="20722898">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不驻场</w:t>
            </w:r>
          </w:p>
        </w:tc>
      </w:tr>
      <w:tr w14:paraId="6022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9105000">
            <w:pP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数据运营服务人员</w:t>
            </w:r>
          </w:p>
        </w:tc>
        <w:tc>
          <w:tcPr>
            <w:tcW w:w="1963" w:type="dxa"/>
          </w:tcPr>
          <w:p w14:paraId="71CAD30B">
            <w:pP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0"/>
              </w:rPr>
              <w:t>对数据采集汇聚、质量检查、资源编目、数据标注、数据应用等情况进行定期评估和监控</w:t>
            </w:r>
          </w:p>
        </w:tc>
        <w:tc>
          <w:tcPr>
            <w:tcW w:w="775" w:type="dxa"/>
          </w:tcPr>
          <w:p w14:paraId="790D5592">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3062" w:type="dxa"/>
          </w:tcPr>
          <w:p w14:paraId="24398C12">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具备大专及以上学历，具备5年以上数据服务项目数据运营工作经验</w:t>
            </w:r>
          </w:p>
        </w:tc>
        <w:tc>
          <w:tcPr>
            <w:tcW w:w="1206" w:type="dxa"/>
          </w:tcPr>
          <w:p w14:paraId="5C89FD62">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驻场</w:t>
            </w:r>
          </w:p>
        </w:tc>
      </w:tr>
    </w:tbl>
    <w:p w14:paraId="1B69F320">
      <w:pPr>
        <w:numPr>
          <w:ilvl w:val="-1"/>
          <w:numId w:val="0"/>
        </w:numPr>
        <w:ind w:left="480" w:leftChars="200" w:firstLine="0" w:firstLineChars="0"/>
        <w:rPr>
          <w:rFonts w:hint="eastAsia" w:ascii="仿宋" w:hAnsi="仿宋" w:eastAsia="仿宋" w:cs="仿宋"/>
          <w:color w:val="auto"/>
          <w:sz w:val="28"/>
          <w:szCs w:val="28"/>
          <w:lang w:eastAsia="zh-CN"/>
        </w:rPr>
      </w:pPr>
    </w:p>
    <w:p w14:paraId="62375C12">
      <w:pPr>
        <w:numPr>
          <w:ilvl w:val="-1"/>
          <w:numId w:val="0"/>
        </w:numPr>
        <w:ind w:left="480" w:leftChars="200" w:firstLine="0" w:firstLineChars="0"/>
        <w:rPr>
          <w:rFonts w:hint="eastAsia" w:ascii="仿宋" w:hAnsi="仿宋" w:eastAsia="仿宋" w:cs="仿宋"/>
          <w:color w:val="auto"/>
          <w:sz w:val="28"/>
          <w:szCs w:val="28"/>
          <w:lang w:eastAsia="zh-CN"/>
        </w:rPr>
      </w:pPr>
    </w:p>
    <w:p w14:paraId="01AA4CA2">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bookmarkStart w:id="22" w:name="_Toc52110058"/>
      <w:bookmarkStart w:id="23" w:name="_Toc19084"/>
      <w:r>
        <w:rPr>
          <w:rFonts w:hint="eastAsia" w:ascii="仿宋" w:hAnsi="仿宋" w:eastAsia="仿宋" w:cs="仿宋"/>
          <w:color w:val="auto"/>
          <w:sz w:val="28"/>
          <w:szCs w:val="28"/>
        </w:rPr>
        <w:t>实施要求</w:t>
      </w:r>
      <w:bookmarkEnd w:id="22"/>
      <w:bookmarkEnd w:id="23"/>
    </w:p>
    <w:p w14:paraId="7D4DD9A3">
      <w:pPr>
        <w:numPr>
          <w:ilvl w:val="0"/>
          <w:numId w:val="12"/>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在项目正式实施前，成交供应商应会同采购人及具体使用部门明确相关实施方案和进度安排和应急处置方案等内容，确保相关业务的正常有序运行。</w:t>
      </w:r>
    </w:p>
    <w:p w14:paraId="6A46D9A4">
      <w:pPr>
        <w:numPr>
          <w:ilvl w:val="0"/>
          <w:numId w:val="12"/>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成交供应商需负责协调解决本项目实施过程中出现的各类问题，对进度、质量负总责，并牵头负责与既有软件供应商、设备供应商的沟通协调以及配合项目的建设实施。</w:t>
      </w:r>
    </w:p>
    <w:p w14:paraId="5117B27B">
      <w:pPr>
        <w:numPr>
          <w:ilvl w:val="0"/>
          <w:numId w:val="12"/>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成交供应商应成立项目管理小组，严格遵守相关的业务管控、架构管控、项目管控的要求。</w:t>
      </w:r>
    </w:p>
    <w:p w14:paraId="57DB712C">
      <w:pPr>
        <w:numPr>
          <w:ilvl w:val="0"/>
          <w:numId w:val="12"/>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成交供应商应提供合理的技术力量配置。</w:t>
      </w:r>
    </w:p>
    <w:p w14:paraId="3BAEE7E4">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bookmarkStart w:id="24" w:name="_Toc14198"/>
      <w:bookmarkStart w:id="25" w:name="_Toc52110062"/>
      <w:r>
        <w:rPr>
          <w:rFonts w:hint="eastAsia" w:ascii="仿宋" w:hAnsi="仿宋" w:eastAsia="仿宋" w:cs="仿宋"/>
          <w:color w:val="auto"/>
          <w:sz w:val="28"/>
          <w:szCs w:val="28"/>
        </w:rPr>
        <w:t>质量保证要求</w:t>
      </w:r>
      <w:bookmarkEnd w:id="24"/>
      <w:bookmarkEnd w:id="25"/>
    </w:p>
    <w:p w14:paraId="20586E7F">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交供货商需采用国际通用的信息化项目实施和项目管理方法，提供完整的质量保证体系，对项目实施的全过程进行监控和管理，对项目进度和工程实施进度进行控制；所有的技术文件应是中文，并且本项目所有文档应该按照所使用的质量管理体系要求编写。供应商应提出对所投产品质量的承诺。</w:t>
      </w:r>
    </w:p>
    <w:p w14:paraId="2AC090F1">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bookmarkStart w:id="26" w:name="_Toc52110063"/>
      <w:bookmarkStart w:id="27" w:name="_Toc12821"/>
      <w:r>
        <w:rPr>
          <w:rFonts w:hint="eastAsia" w:ascii="仿宋" w:hAnsi="仿宋" w:eastAsia="仿宋" w:cs="仿宋"/>
          <w:color w:val="auto"/>
          <w:sz w:val="28"/>
          <w:szCs w:val="28"/>
        </w:rPr>
        <w:t>技术文档要求</w:t>
      </w:r>
      <w:bookmarkEnd w:id="26"/>
      <w:bookmarkEnd w:id="27"/>
    </w:p>
    <w:p w14:paraId="6D9D10AC">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项目实施团队应按照相关要求及时提交项目实施计划、进度汇报表、培训计划、例会记录以及采购人认为必要的其他文档。</w:t>
      </w:r>
    </w:p>
    <w:p w14:paraId="51DAAB3C">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所有的技术文件应用中文书写或有完整的中文注释，并符合有关归档要求。项目最终验收后全部移交采购人进行归档。</w:t>
      </w:r>
    </w:p>
    <w:p w14:paraId="7ACB8F06">
      <w:pPr>
        <w:pStyle w:val="3"/>
        <w:keepNext w:val="0"/>
        <w:keepLines w:val="0"/>
        <w:numPr>
          <w:ilvl w:val="1"/>
          <w:numId w:val="2"/>
        </w:numPr>
        <w:spacing w:before="0" w:after="0" w:line="360" w:lineRule="auto"/>
        <w:ind w:left="0" w:firstLine="0"/>
        <w:rPr>
          <w:rFonts w:ascii="仿宋" w:hAnsi="仿宋" w:eastAsia="仿宋" w:cs="仿宋"/>
          <w:color w:val="auto"/>
          <w:sz w:val="28"/>
          <w:szCs w:val="28"/>
        </w:rPr>
      </w:pPr>
      <w:bookmarkStart w:id="28" w:name="_Toc22990"/>
      <w:bookmarkStart w:id="29" w:name="_Toc52110064"/>
      <w:r>
        <w:rPr>
          <w:rFonts w:hint="eastAsia" w:ascii="仿宋" w:hAnsi="仿宋" w:eastAsia="仿宋" w:cs="仿宋"/>
          <w:color w:val="auto"/>
          <w:sz w:val="28"/>
          <w:szCs w:val="28"/>
        </w:rPr>
        <w:t>测试与验收要求</w:t>
      </w:r>
      <w:bookmarkEnd w:id="28"/>
      <w:bookmarkEnd w:id="29"/>
    </w:p>
    <w:p w14:paraId="5E2B12ED">
      <w:pPr>
        <w:numPr>
          <w:ilvl w:val="0"/>
          <w:numId w:val="13"/>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供应商应按采购需求清单所列服务要求提供相关服务。</w:t>
      </w:r>
    </w:p>
    <w:p w14:paraId="1EA1A6F1">
      <w:pPr>
        <w:numPr>
          <w:ilvl w:val="0"/>
          <w:numId w:val="13"/>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供应商提供的平台服务确保在服务期内通过第三方专业测评机构的</w:t>
      </w:r>
      <w:r>
        <w:rPr>
          <w:rFonts w:hint="eastAsia" w:ascii="仿宋" w:hAnsi="仿宋" w:eastAsia="仿宋" w:cs="仿宋"/>
          <w:b/>
          <w:bCs/>
          <w:color w:val="auto"/>
          <w:sz w:val="28"/>
          <w:szCs w:val="28"/>
        </w:rPr>
        <w:t>三级等保测评</w:t>
      </w:r>
      <w:r>
        <w:rPr>
          <w:rFonts w:hint="eastAsia" w:ascii="仿宋" w:hAnsi="仿宋" w:eastAsia="仿宋" w:cs="仿宋"/>
          <w:color w:val="auto"/>
          <w:sz w:val="28"/>
          <w:szCs w:val="28"/>
        </w:rPr>
        <w:t>。</w:t>
      </w:r>
    </w:p>
    <w:p w14:paraId="7B9674D1">
      <w:pPr>
        <w:numPr>
          <w:ilvl w:val="0"/>
          <w:numId w:val="13"/>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供应商提供的服务内容，</w:t>
      </w:r>
      <w:r>
        <w:rPr>
          <w:rFonts w:hint="eastAsia" w:ascii="仿宋" w:hAnsi="仿宋" w:eastAsia="仿宋" w:cs="仿宋"/>
          <w:color w:val="auto"/>
          <w:sz w:val="28"/>
          <w:szCs w:val="28"/>
          <w:lang w:eastAsia="zh-CN"/>
        </w:rPr>
        <w:t>需</w:t>
      </w:r>
      <w:r>
        <w:rPr>
          <w:rFonts w:hint="eastAsia" w:ascii="仿宋" w:hAnsi="仿宋" w:eastAsia="仿宋" w:cs="仿宋"/>
          <w:color w:val="auto"/>
          <w:sz w:val="28"/>
          <w:szCs w:val="28"/>
        </w:rPr>
        <w:t>通过采购人组织的验收。</w:t>
      </w:r>
    </w:p>
    <w:p w14:paraId="62347D3E">
      <w:pPr>
        <w:pStyle w:val="2"/>
        <w:keepNext w:val="0"/>
        <w:keepLines w:val="0"/>
        <w:numPr>
          <w:ilvl w:val="0"/>
          <w:numId w:val="2"/>
        </w:numPr>
        <w:spacing w:line="360" w:lineRule="auto"/>
        <w:ind w:left="0" w:firstLine="0"/>
        <w:rPr>
          <w:rFonts w:ascii="仿宋" w:hAnsi="仿宋" w:eastAsia="仿宋" w:cs="仿宋"/>
          <w:color w:val="auto"/>
          <w:sz w:val="28"/>
          <w:szCs w:val="28"/>
        </w:rPr>
      </w:pPr>
      <w:bookmarkStart w:id="30" w:name="_Toc52110066"/>
      <w:bookmarkStart w:id="31" w:name="_Toc26212"/>
      <w:bookmarkStart w:id="32" w:name="_Toc23635"/>
      <w:bookmarkStart w:id="33" w:name="_Toc52110065"/>
      <w:r>
        <w:rPr>
          <w:rFonts w:hint="eastAsia" w:ascii="仿宋" w:hAnsi="仿宋" w:eastAsia="仿宋" w:cs="仿宋"/>
          <w:color w:val="auto"/>
          <w:sz w:val="28"/>
          <w:szCs w:val="28"/>
        </w:rPr>
        <w:t>培训要求</w:t>
      </w:r>
      <w:bookmarkEnd w:id="30"/>
      <w:bookmarkEnd w:id="31"/>
    </w:p>
    <w:p w14:paraId="0469E334">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成交供应商应提供本项目相关的软件产品及相关技术培训，以确保采购人指定的运维管理人员能够完全掌握本项目所建内容的整体架构和部署情况、日常管理、操作使用为最终目标。</w:t>
      </w:r>
    </w:p>
    <w:p w14:paraId="419F54AC">
      <w:pPr>
        <w:pStyle w:val="2"/>
        <w:keepNext w:val="0"/>
        <w:keepLines w:val="0"/>
        <w:numPr>
          <w:ilvl w:val="0"/>
          <w:numId w:val="2"/>
        </w:numPr>
        <w:spacing w:line="360" w:lineRule="auto"/>
        <w:ind w:left="0" w:firstLine="0"/>
        <w:rPr>
          <w:rFonts w:ascii="仿宋" w:hAnsi="仿宋" w:eastAsia="仿宋" w:cs="仿宋"/>
          <w:color w:val="auto"/>
          <w:sz w:val="28"/>
          <w:szCs w:val="28"/>
        </w:rPr>
      </w:pPr>
      <w:r>
        <w:rPr>
          <w:rFonts w:hint="eastAsia" w:ascii="仿宋" w:hAnsi="仿宋" w:eastAsia="仿宋" w:cs="仿宋"/>
          <w:color w:val="auto"/>
          <w:sz w:val="28"/>
          <w:szCs w:val="28"/>
        </w:rPr>
        <w:t>运维服务</w:t>
      </w:r>
      <w:bookmarkEnd w:id="32"/>
      <w:bookmarkEnd w:id="33"/>
    </w:p>
    <w:p w14:paraId="1367A7AB">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交供应商应具有良好的技术服务体系和专业技术服务团队，提供技术及相关服务响应工作。对关键的业务系统，提供5*8小时的服务，同时为用户提供技术支持与响应。能够提供7*24小时对平台的运维和运营提供全方位的支持，保障技术服务平台正常运行。</w:t>
      </w:r>
    </w:p>
    <w:p w14:paraId="7C5A4F81">
      <w:pPr>
        <w:pStyle w:val="2"/>
        <w:keepNext w:val="0"/>
        <w:keepLines w:val="0"/>
        <w:numPr>
          <w:ilvl w:val="0"/>
          <w:numId w:val="2"/>
        </w:numPr>
        <w:spacing w:line="360" w:lineRule="auto"/>
        <w:ind w:left="0" w:firstLine="0"/>
        <w:rPr>
          <w:rFonts w:ascii="仿宋" w:hAnsi="仿宋" w:eastAsia="仿宋" w:cs="仿宋"/>
          <w:color w:val="auto"/>
          <w:sz w:val="28"/>
          <w:szCs w:val="28"/>
        </w:rPr>
      </w:pPr>
      <w:bookmarkStart w:id="34" w:name="_Toc52110067"/>
      <w:r>
        <w:rPr>
          <w:rFonts w:hint="eastAsia" w:ascii="仿宋" w:hAnsi="仿宋" w:eastAsia="仿宋" w:cs="仿宋"/>
          <w:color w:val="auto"/>
          <w:sz w:val="28"/>
          <w:szCs w:val="28"/>
        </w:rPr>
        <w:t>其他要求</w:t>
      </w:r>
      <w:bookmarkEnd w:id="34"/>
    </w:p>
    <w:p w14:paraId="63304ECD">
      <w:pPr>
        <w:numPr>
          <w:ilvl w:val="0"/>
          <w:numId w:val="1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交供应商及参与项目的所有人员应严格遵守采购人的保密要求签订保密协议，参与人员由成交供应商担保，保密期限不受本项目期限的限制，在本项目履行完毕后，保密信息接受方仍应按照国家有关规定承担保密义务。</w:t>
      </w:r>
    </w:p>
    <w:p w14:paraId="3C435A8E">
      <w:pPr>
        <w:numPr>
          <w:ilvl w:val="0"/>
          <w:numId w:val="1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成交供应商自行配备必要的硬件设备和软件工具，如计算机、工具软件等。</w:t>
      </w:r>
    </w:p>
    <w:p w14:paraId="40055932">
      <w:pPr>
        <w:numPr>
          <w:ilvl w:val="0"/>
          <w:numId w:val="14"/>
        </w:numPr>
        <w:ind w:left="0" w:firstLine="560" w:firstLineChars="200"/>
        <w:rPr>
          <w:rFonts w:ascii="仿宋" w:hAnsi="仿宋" w:eastAsia="仿宋" w:cs="仿宋"/>
          <w:color w:val="auto"/>
          <w:sz w:val="28"/>
          <w:szCs w:val="28"/>
        </w:rPr>
      </w:pPr>
      <w:r>
        <w:rPr>
          <w:rFonts w:hint="eastAsia" w:ascii="仿宋" w:hAnsi="仿宋" w:eastAsia="仿宋" w:cs="仿宋"/>
          <w:color w:val="auto"/>
          <w:sz w:val="28"/>
          <w:szCs w:val="28"/>
        </w:rPr>
        <w:t>成交供应商应协助用户制定本项目所建设系统相关运行、维护、管理规范，并提供相关咨询、建议服务。</w:t>
      </w:r>
    </w:p>
    <w:p w14:paraId="49DE58FE">
      <w:pPr>
        <w:numPr>
          <w:ilvl w:val="0"/>
          <w:numId w:val="14"/>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成交供应商在合同约定的时间内提供本项目中规定的全部内容，承诺与本项目的相关单位，进行积极主动的合作。</w:t>
      </w:r>
      <w:bookmarkEnd w:id="2"/>
      <w:bookmarkEnd w:id="3"/>
    </w:p>
    <w:p w14:paraId="490CE07C">
      <w:pPr>
        <w:numPr>
          <w:ilvl w:val="0"/>
          <w:numId w:val="14"/>
        </w:numPr>
        <w:ind w:left="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供应商具有ISO27001信息安全体系管理认证、ISO20000信息技术服务管理体系认证、ISO9001质量管理体系认证、ITSS信息技术服务标准证书、软件企业证书的</w:t>
      </w:r>
      <w:r>
        <w:rPr>
          <w:rFonts w:hint="eastAsia" w:ascii="仿宋" w:hAnsi="仿宋" w:eastAsia="仿宋" w:cs="仿宋"/>
          <w:color w:val="auto"/>
          <w:sz w:val="28"/>
          <w:szCs w:val="28"/>
          <w:lang w:eastAsia="zh-CN"/>
        </w:rPr>
        <w:t>优先考虑。</w:t>
      </w:r>
    </w:p>
    <w:p w14:paraId="4C3AC929">
      <w:pPr>
        <w:rPr>
          <w:rFonts w:ascii="仿宋" w:hAnsi="仿宋" w:eastAsia="仿宋" w:cs="仿宋"/>
          <w:color w:val="auto"/>
          <w:sz w:val="28"/>
          <w:szCs w:val="28"/>
        </w:rPr>
      </w:pPr>
    </w:p>
    <w:sectPr>
      <w:footerReference r:id="rId3" w:type="default"/>
      <w:pgSz w:w="11906" w:h="16838"/>
      <w:pgMar w:top="1440" w:right="1800" w:bottom="1440" w:left="1800" w:header="851" w:footer="907" w:gutter="0"/>
      <w:pgNumType w:fmt="numberInDash"/>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华文细黑">
    <w:altName w:val="汉仪中等线简"/>
    <w:panose1 w:val="02010600040101010101"/>
    <w:charset w:val="86"/>
    <w:family w:val="auto"/>
    <w:pitch w:val="default"/>
    <w:sig w:usb0="00000000" w:usb1="00000000" w:usb2="00000010" w:usb3="00000000" w:csb0="0004009F" w:csb1="00000000"/>
  </w:font>
  <w:font w:name="汉仪中等线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Arial Unicode MS">
    <w:altName w:val="DejaVu Sans"/>
    <w:panose1 w:val="020B0604020202020204"/>
    <w:charset w:val="86"/>
    <w:family w:val="swiss"/>
    <w:pitch w:val="default"/>
    <w:sig w:usb0="00000000" w:usb1="00000000" w:usb2="0000003F" w:usb3="00000000" w:csb0="003F01FF"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ˎ̥">
    <w:altName w:val="仿宋_GB2312"/>
    <w:panose1 w:val="00000000000000000000"/>
    <w:charset w:val="00"/>
    <w:family w:val="roman"/>
    <w:pitch w:val="default"/>
    <w:sig w:usb0="00000000" w:usb1="00000000" w:usb2="00000000" w:usb3="00000000" w:csb0="00000000" w:csb1="00000000"/>
  </w:font>
  <w:font w:name="???">
    <w:altName w:val="仿宋_GB2312"/>
    <w:panose1 w:val="00000000000000000000"/>
    <w:charset w:val="00"/>
    <w:family w:val="auto"/>
    <w:pitch w:val="default"/>
    <w:sig w:usb0="00000000" w:usb1="00000000" w:usb2="00000000" w:usb3="00000000" w:csb0="00000000" w:csb1="00000000"/>
  </w:font>
  <w:font w:name="Arial Bold">
    <w:altName w:val="DejaVu Sans"/>
    <w:panose1 w:val="020B0704020202020204"/>
    <w:charset w:val="00"/>
    <w:family w:val="auto"/>
    <w:pitch w:val="default"/>
    <w:sig w:usb0="00000000" w:usb1="00000000" w:usb2="00000000" w:usb3="00000000" w:csb0="00000001" w:csb1="00000000"/>
  </w:font>
  <w:font w:name="仿宋">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61773">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624A63">
                          <w:pPr>
                            <w:pStyle w:val="28"/>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- 6 -</w:t>
                          </w:r>
                          <w:r>
                            <w:rPr>
                              <w:sz w:val="22"/>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2624A63">
                    <w:pPr>
                      <w:pStyle w:val="28"/>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- 6 -</w:t>
                    </w:r>
                    <w:r>
                      <w:rPr>
                        <w:sz w:val="22"/>
                        <w:szCs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49D66"/>
    <w:multiLevelType w:val="singleLevel"/>
    <w:tmpl w:val="9B449D66"/>
    <w:lvl w:ilvl="0" w:tentative="0">
      <w:start w:val="1"/>
      <w:numFmt w:val="decimal"/>
      <w:suff w:val="space"/>
      <w:lvlText w:val="%1)"/>
      <w:lvlJc w:val="left"/>
      <w:pPr>
        <w:ind w:left="845" w:hanging="425"/>
      </w:pPr>
      <w:rPr>
        <w:rFonts w:hint="default"/>
      </w:rPr>
    </w:lvl>
  </w:abstractNum>
  <w:abstractNum w:abstractNumId="1">
    <w:nsid w:val="A4C8D535"/>
    <w:multiLevelType w:val="singleLevel"/>
    <w:tmpl w:val="A4C8D535"/>
    <w:lvl w:ilvl="0" w:tentative="0">
      <w:start w:val="1"/>
      <w:numFmt w:val="decimal"/>
      <w:suff w:val="space"/>
      <w:lvlText w:val="%1)"/>
      <w:lvlJc w:val="left"/>
      <w:pPr>
        <w:ind w:left="845" w:hanging="425"/>
      </w:pPr>
      <w:rPr>
        <w:rFonts w:hint="default"/>
      </w:rPr>
    </w:lvl>
  </w:abstractNum>
  <w:abstractNum w:abstractNumId="2">
    <w:nsid w:val="B0D68935"/>
    <w:multiLevelType w:val="singleLevel"/>
    <w:tmpl w:val="B0D68935"/>
    <w:lvl w:ilvl="0" w:tentative="0">
      <w:start w:val="1"/>
      <w:numFmt w:val="decimal"/>
      <w:suff w:val="space"/>
      <w:lvlText w:val="%1)"/>
      <w:lvlJc w:val="left"/>
      <w:pPr>
        <w:ind w:left="845" w:hanging="425"/>
      </w:pPr>
      <w:rPr>
        <w:rFonts w:hint="default"/>
      </w:rPr>
    </w:lvl>
  </w:abstractNum>
  <w:abstractNum w:abstractNumId="3">
    <w:nsid w:val="C2F6AAEC"/>
    <w:multiLevelType w:val="singleLevel"/>
    <w:tmpl w:val="C2F6AAEC"/>
    <w:lvl w:ilvl="0" w:tentative="0">
      <w:start w:val="1"/>
      <w:numFmt w:val="decimal"/>
      <w:suff w:val="space"/>
      <w:lvlText w:val="%1)"/>
      <w:lvlJc w:val="left"/>
      <w:pPr>
        <w:ind w:left="845" w:hanging="425"/>
      </w:pPr>
      <w:rPr>
        <w:rFonts w:hint="default"/>
      </w:rPr>
    </w:lvl>
  </w:abstractNum>
  <w:abstractNum w:abstractNumId="4">
    <w:nsid w:val="F32DA6C2"/>
    <w:multiLevelType w:val="singleLevel"/>
    <w:tmpl w:val="F32DA6C2"/>
    <w:lvl w:ilvl="0" w:tentative="0">
      <w:start w:val="1"/>
      <w:numFmt w:val="decimal"/>
      <w:suff w:val="space"/>
      <w:lvlText w:val="%1)"/>
      <w:lvlJc w:val="left"/>
      <w:pPr>
        <w:ind w:left="845" w:hanging="425"/>
      </w:pPr>
      <w:rPr>
        <w:rFonts w:hint="default"/>
      </w:rPr>
    </w:lvl>
  </w:abstractNum>
  <w:abstractNum w:abstractNumId="5">
    <w:nsid w:val="FF667BEA"/>
    <w:multiLevelType w:val="singleLevel"/>
    <w:tmpl w:val="FF667BEA"/>
    <w:lvl w:ilvl="0" w:tentative="0">
      <w:start w:val="1"/>
      <w:numFmt w:val="decimal"/>
      <w:suff w:val="space"/>
      <w:lvlText w:val="%1)"/>
      <w:lvlJc w:val="left"/>
      <w:pPr>
        <w:ind w:left="845" w:hanging="425"/>
      </w:pPr>
      <w:rPr>
        <w:rFonts w:hint="default"/>
      </w:rPr>
    </w:lvl>
  </w:abstractNum>
  <w:abstractNum w:abstractNumId="6">
    <w:nsid w:val="16D852A2"/>
    <w:multiLevelType w:val="singleLevel"/>
    <w:tmpl w:val="16D852A2"/>
    <w:lvl w:ilvl="0" w:tentative="0">
      <w:start w:val="1"/>
      <w:numFmt w:val="decimal"/>
      <w:suff w:val="space"/>
      <w:lvlText w:val="%1)"/>
      <w:lvlJc w:val="left"/>
      <w:pPr>
        <w:ind w:left="845" w:hanging="425"/>
      </w:pPr>
      <w:rPr>
        <w:rFonts w:hint="default"/>
      </w:rPr>
    </w:lvl>
  </w:abstractNum>
  <w:abstractNum w:abstractNumId="7">
    <w:nsid w:val="1EB5E426"/>
    <w:multiLevelType w:val="singleLevel"/>
    <w:tmpl w:val="1EB5E426"/>
    <w:lvl w:ilvl="0" w:tentative="0">
      <w:start w:val="1"/>
      <w:numFmt w:val="chineseCounting"/>
      <w:suff w:val="nothing"/>
      <w:lvlText w:val="（%1）"/>
      <w:lvlJc w:val="left"/>
      <w:rPr>
        <w:rFonts w:hint="eastAsia"/>
      </w:rPr>
    </w:lvl>
  </w:abstractNum>
  <w:abstractNum w:abstractNumId="8">
    <w:nsid w:val="24CFDA2B"/>
    <w:multiLevelType w:val="singleLevel"/>
    <w:tmpl w:val="24CFDA2B"/>
    <w:lvl w:ilvl="0" w:tentative="0">
      <w:start w:val="1"/>
      <w:numFmt w:val="decimal"/>
      <w:suff w:val="space"/>
      <w:lvlText w:val="%1)"/>
      <w:lvlJc w:val="left"/>
      <w:pPr>
        <w:ind w:left="845" w:hanging="425"/>
      </w:pPr>
      <w:rPr>
        <w:rFonts w:hint="default"/>
      </w:rPr>
    </w:lvl>
  </w:abstractNum>
  <w:abstractNum w:abstractNumId="9">
    <w:nsid w:val="24E81517"/>
    <w:multiLevelType w:val="singleLevel"/>
    <w:tmpl w:val="24E81517"/>
    <w:lvl w:ilvl="0" w:tentative="0">
      <w:start w:val="1"/>
      <w:numFmt w:val="decimal"/>
      <w:suff w:val="space"/>
      <w:lvlText w:val="%1)"/>
      <w:lvlJc w:val="left"/>
      <w:pPr>
        <w:ind w:left="845" w:hanging="425"/>
      </w:pPr>
      <w:rPr>
        <w:rFonts w:hint="default"/>
      </w:rPr>
    </w:lvl>
  </w:abstractNum>
  <w:abstractNum w:abstractNumId="10">
    <w:nsid w:val="3891401A"/>
    <w:multiLevelType w:val="multilevel"/>
    <w:tmpl w:val="3891401A"/>
    <w:lvl w:ilvl="0" w:tentative="0">
      <w:start w:val="1"/>
      <w:numFmt w:val="decimal"/>
      <w:pStyle w:val="216"/>
      <w:isLgl/>
      <w:lvlText w:val="%1."/>
      <w:lvlJc w:val="left"/>
      <w:pPr>
        <w:tabs>
          <w:tab w:val="left" w:pos="653"/>
        </w:tabs>
        <w:ind w:left="653" w:hanging="425"/>
      </w:pPr>
      <w:rPr>
        <w:rFonts w:hint="eastAsia"/>
      </w:rPr>
    </w:lvl>
    <w:lvl w:ilvl="1" w:tentative="0">
      <w:start w:val="1"/>
      <w:numFmt w:val="decimal"/>
      <w:isLgl/>
      <w:lvlText w:val="%1.%2."/>
      <w:lvlJc w:val="left"/>
      <w:pPr>
        <w:tabs>
          <w:tab w:val="left" w:pos="567"/>
        </w:tabs>
        <w:ind w:left="567" w:hanging="567"/>
      </w:pPr>
      <w:rPr>
        <w:rFonts w:hint="eastAsia"/>
        <w:color w:val="000000"/>
      </w:rPr>
    </w:lvl>
    <w:lvl w:ilvl="2" w:tentative="0">
      <w:start w:val="1"/>
      <w:numFmt w:val="decimal"/>
      <w:isLgl/>
      <w:lvlText w:val="%1.%2.%3."/>
      <w:lvlJc w:val="left"/>
      <w:pPr>
        <w:tabs>
          <w:tab w:val="left" w:pos="851"/>
        </w:tabs>
        <w:ind w:left="851" w:hanging="709"/>
      </w:pPr>
      <w:rPr>
        <w:rFonts w:hint="eastAsia" w:ascii="宋体" w:hAnsi="宋体" w:eastAsia="宋体"/>
        <w:color w:val="000000"/>
      </w:rPr>
    </w:lvl>
    <w:lvl w:ilvl="3" w:tentative="0">
      <w:start w:val="1"/>
      <w:numFmt w:val="decimal"/>
      <w:lvlText w:val="（%4）"/>
      <w:lvlJc w:val="left"/>
      <w:pPr>
        <w:ind w:left="948" w:hanging="720"/>
      </w:pPr>
      <w:rPr>
        <w:rFonts w:hint="default"/>
      </w:rPr>
    </w:lvl>
    <w:lvl w:ilvl="4" w:tentative="0">
      <w:start w:val="1"/>
      <w:numFmt w:val="decimal"/>
      <w:lvlText w:val="%5．"/>
      <w:lvlJc w:val="left"/>
      <w:pPr>
        <w:ind w:left="588" w:hanging="360"/>
      </w:pPr>
      <w:rPr>
        <w:rFonts w:hint="default"/>
      </w:rPr>
    </w:lvl>
    <w:lvl w:ilvl="5" w:tentative="0">
      <w:start w:val="5"/>
      <w:numFmt w:val="decimal"/>
      <w:lvlText w:val="%6."/>
      <w:lvlJc w:val="left"/>
      <w:pPr>
        <w:ind w:left="588" w:hanging="360"/>
      </w:pPr>
      <w:rPr>
        <w:rFonts w:hint="default"/>
      </w:rPr>
    </w:lvl>
    <w:lvl w:ilvl="6" w:tentative="0">
      <w:start w:val="1"/>
      <w:numFmt w:val="decimal"/>
      <w:lvlText w:val="%1.%2.%3.%4.%5.%6.%7."/>
      <w:lvlJc w:val="left"/>
      <w:pPr>
        <w:tabs>
          <w:tab w:val="left" w:pos="1504"/>
        </w:tabs>
        <w:ind w:left="1504" w:hanging="1276"/>
      </w:pPr>
      <w:rPr>
        <w:rFonts w:hint="eastAsia"/>
      </w:rPr>
    </w:lvl>
    <w:lvl w:ilvl="7" w:tentative="0">
      <w:start w:val="1"/>
      <w:numFmt w:val="decimal"/>
      <w:lvlText w:val="%1.%2.%3.%4.%5.%6.%7.%8."/>
      <w:lvlJc w:val="left"/>
      <w:pPr>
        <w:tabs>
          <w:tab w:val="left" w:pos="1646"/>
        </w:tabs>
        <w:ind w:left="1646" w:hanging="1418"/>
      </w:pPr>
      <w:rPr>
        <w:rFonts w:hint="eastAsia"/>
      </w:rPr>
    </w:lvl>
    <w:lvl w:ilvl="8" w:tentative="0">
      <w:start w:val="1"/>
      <w:numFmt w:val="decimal"/>
      <w:lvlText w:val="%1.%2.%3.%4.%5.%6.%7.%8.%9."/>
      <w:lvlJc w:val="left"/>
      <w:pPr>
        <w:tabs>
          <w:tab w:val="left" w:pos="1787"/>
        </w:tabs>
        <w:ind w:left="1787" w:hanging="1559"/>
      </w:pPr>
      <w:rPr>
        <w:rFonts w:hint="eastAsia"/>
      </w:rPr>
    </w:lvl>
  </w:abstractNum>
  <w:abstractNum w:abstractNumId="11">
    <w:nsid w:val="3E3127AF"/>
    <w:multiLevelType w:val="multilevel"/>
    <w:tmpl w:val="3E3127AF"/>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850" w:hanging="453"/>
      </w:pPr>
      <w:rPr>
        <w:rFonts w:hint="default"/>
      </w:rPr>
    </w:lvl>
    <w:lvl w:ilvl="2" w:tentative="0">
      <w:start w:val="1"/>
      <w:numFmt w:val="decimal"/>
      <w:suff w:val="space"/>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2">
    <w:nsid w:val="43BE0095"/>
    <w:multiLevelType w:val="singleLevel"/>
    <w:tmpl w:val="43BE0095"/>
    <w:lvl w:ilvl="0" w:tentative="0">
      <w:start w:val="1"/>
      <w:numFmt w:val="decimal"/>
      <w:suff w:val="space"/>
      <w:lvlText w:val="%1)"/>
      <w:lvlJc w:val="left"/>
      <w:pPr>
        <w:ind w:left="845" w:hanging="425"/>
      </w:pPr>
      <w:rPr>
        <w:rFonts w:hint="default"/>
      </w:rPr>
    </w:lvl>
  </w:abstractNum>
  <w:abstractNum w:abstractNumId="13">
    <w:nsid w:val="495CF4BF"/>
    <w:multiLevelType w:val="singleLevel"/>
    <w:tmpl w:val="495CF4BF"/>
    <w:lvl w:ilvl="0" w:tentative="0">
      <w:start w:val="1"/>
      <w:numFmt w:val="decimal"/>
      <w:suff w:val="space"/>
      <w:lvlText w:val="%1)"/>
      <w:lvlJc w:val="left"/>
      <w:pPr>
        <w:ind w:left="845" w:hanging="425"/>
      </w:pPr>
      <w:rPr>
        <w:rFonts w:hint="default"/>
      </w:rPr>
    </w:lvl>
  </w:abstractNum>
  <w:num w:numId="1">
    <w:abstractNumId w:val="10"/>
  </w:num>
  <w:num w:numId="2">
    <w:abstractNumId w:val="11"/>
  </w:num>
  <w:num w:numId="3">
    <w:abstractNumId w:val="7"/>
  </w:num>
  <w:num w:numId="4">
    <w:abstractNumId w:val="8"/>
  </w:num>
  <w:num w:numId="5">
    <w:abstractNumId w:val="5"/>
  </w:num>
  <w:num w:numId="6">
    <w:abstractNumId w:val="1"/>
  </w:num>
  <w:num w:numId="7">
    <w:abstractNumId w:val="13"/>
  </w:num>
  <w:num w:numId="8">
    <w:abstractNumId w:val="0"/>
  </w:num>
  <w:num w:numId="9">
    <w:abstractNumId w:val="12"/>
  </w:num>
  <w:num w:numId="10">
    <w:abstractNumId w:val="6"/>
  </w:num>
  <w:num w:numId="11">
    <w:abstractNumId w:val="9"/>
  </w:num>
  <w:num w:numId="12">
    <w:abstractNumId w:val="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YmEzMTNhMjdkYThkNDYyOTNhN2M4MTNhMDJiODcifQ=="/>
  </w:docVars>
  <w:rsids>
    <w:rsidRoot w:val="00867FA9"/>
    <w:rsid w:val="000017C3"/>
    <w:rsid w:val="000031B5"/>
    <w:rsid w:val="00004771"/>
    <w:rsid w:val="00006661"/>
    <w:rsid w:val="000120F5"/>
    <w:rsid w:val="00012D1D"/>
    <w:rsid w:val="00024BC8"/>
    <w:rsid w:val="00025FF5"/>
    <w:rsid w:val="0002690F"/>
    <w:rsid w:val="000322B7"/>
    <w:rsid w:val="00037A06"/>
    <w:rsid w:val="00040985"/>
    <w:rsid w:val="000510AA"/>
    <w:rsid w:val="00057577"/>
    <w:rsid w:val="00064C03"/>
    <w:rsid w:val="000656A0"/>
    <w:rsid w:val="00067961"/>
    <w:rsid w:val="000708F9"/>
    <w:rsid w:val="000742E4"/>
    <w:rsid w:val="00084144"/>
    <w:rsid w:val="000868E9"/>
    <w:rsid w:val="00093568"/>
    <w:rsid w:val="00096720"/>
    <w:rsid w:val="000A25DB"/>
    <w:rsid w:val="000A5D61"/>
    <w:rsid w:val="000B45E5"/>
    <w:rsid w:val="000B48F6"/>
    <w:rsid w:val="000D0A68"/>
    <w:rsid w:val="000D45AF"/>
    <w:rsid w:val="000D7CCC"/>
    <w:rsid w:val="000F7B7A"/>
    <w:rsid w:val="0010195D"/>
    <w:rsid w:val="00102BC5"/>
    <w:rsid w:val="00106F31"/>
    <w:rsid w:val="001100ED"/>
    <w:rsid w:val="001204DF"/>
    <w:rsid w:val="00124D9E"/>
    <w:rsid w:val="00126639"/>
    <w:rsid w:val="00130ACC"/>
    <w:rsid w:val="0013600C"/>
    <w:rsid w:val="00136A79"/>
    <w:rsid w:val="00142D24"/>
    <w:rsid w:val="00151804"/>
    <w:rsid w:val="00152421"/>
    <w:rsid w:val="00154EB3"/>
    <w:rsid w:val="001626EB"/>
    <w:rsid w:val="0016371B"/>
    <w:rsid w:val="001651B1"/>
    <w:rsid w:val="00166F45"/>
    <w:rsid w:val="00174628"/>
    <w:rsid w:val="001756B1"/>
    <w:rsid w:val="00177699"/>
    <w:rsid w:val="00181B39"/>
    <w:rsid w:val="00186800"/>
    <w:rsid w:val="00186D38"/>
    <w:rsid w:val="00191587"/>
    <w:rsid w:val="00196C28"/>
    <w:rsid w:val="00197949"/>
    <w:rsid w:val="001A69DD"/>
    <w:rsid w:val="001B4AA2"/>
    <w:rsid w:val="001B687A"/>
    <w:rsid w:val="001C2297"/>
    <w:rsid w:val="001C2B5A"/>
    <w:rsid w:val="001C4D58"/>
    <w:rsid w:val="001D368D"/>
    <w:rsid w:val="001D5193"/>
    <w:rsid w:val="001D6A2B"/>
    <w:rsid w:val="001F0D4F"/>
    <w:rsid w:val="001F2B00"/>
    <w:rsid w:val="001F60B1"/>
    <w:rsid w:val="00203BDA"/>
    <w:rsid w:val="00203BDF"/>
    <w:rsid w:val="0020772C"/>
    <w:rsid w:val="002143FD"/>
    <w:rsid w:val="00220CA2"/>
    <w:rsid w:val="002237CB"/>
    <w:rsid w:val="00224E4D"/>
    <w:rsid w:val="00225D9F"/>
    <w:rsid w:val="00230A62"/>
    <w:rsid w:val="00232816"/>
    <w:rsid w:val="00240466"/>
    <w:rsid w:val="002412C1"/>
    <w:rsid w:val="00252352"/>
    <w:rsid w:val="0025381C"/>
    <w:rsid w:val="002646E4"/>
    <w:rsid w:val="002654B7"/>
    <w:rsid w:val="002657B9"/>
    <w:rsid w:val="00271D9C"/>
    <w:rsid w:val="00272CC6"/>
    <w:rsid w:val="00280AB8"/>
    <w:rsid w:val="00283CDD"/>
    <w:rsid w:val="00285F67"/>
    <w:rsid w:val="0029603D"/>
    <w:rsid w:val="002A10E4"/>
    <w:rsid w:val="002A174E"/>
    <w:rsid w:val="002A3CFF"/>
    <w:rsid w:val="002A4828"/>
    <w:rsid w:val="002A4A41"/>
    <w:rsid w:val="002A59C4"/>
    <w:rsid w:val="002A6B2E"/>
    <w:rsid w:val="002B0AA5"/>
    <w:rsid w:val="002B1E54"/>
    <w:rsid w:val="002B4F0E"/>
    <w:rsid w:val="002C68E7"/>
    <w:rsid w:val="002D3F61"/>
    <w:rsid w:val="002E09D2"/>
    <w:rsid w:val="002E2B28"/>
    <w:rsid w:val="002E7907"/>
    <w:rsid w:val="002E7A66"/>
    <w:rsid w:val="002F1272"/>
    <w:rsid w:val="002F1B0C"/>
    <w:rsid w:val="00303AEB"/>
    <w:rsid w:val="00306065"/>
    <w:rsid w:val="00317301"/>
    <w:rsid w:val="0031778E"/>
    <w:rsid w:val="003224A2"/>
    <w:rsid w:val="0033560D"/>
    <w:rsid w:val="003379D6"/>
    <w:rsid w:val="00342A6E"/>
    <w:rsid w:val="00344D41"/>
    <w:rsid w:val="003453B0"/>
    <w:rsid w:val="00351648"/>
    <w:rsid w:val="003665E8"/>
    <w:rsid w:val="003703C7"/>
    <w:rsid w:val="0037549C"/>
    <w:rsid w:val="00377FAF"/>
    <w:rsid w:val="00380BED"/>
    <w:rsid w:val="00381182"/>
    <w:rsid w:val="003856B8"/>
    <w:rsid w:val="003859FD"/>
    <w:rsid w:val="003905BC"/>
    <w:rsid w:val="00392B4E"/>
    <w:rsid w:val="00395EFD"/>
    <w:rsid w:val="003972DE"/>
    <w:rsid w:val="003A2E14"/>
    <w:rsid w:val="003A4387"/>
    <w:rsid w:val="003B1496"/>
    <w:rsid w:val="003B3C70"/>
    <w:rsid w:val="003B4E67"/>
    <w:rsid w:val="003B5426"/>
    <w:rsid w:val="003B5E43"/>
    <w:rsid w:val="003B75C6"/>
    <w:rsid w:val="003C12E4"/>
    <w:rsid w:val="003C2695"/>
    <w:rsid w:val="003C3235"/>
    <w:rsid w:val="003D4FB0"/>
    <w:rsid w:val="003E3F35"/>
    <w:rsid w:val="003E66D8"/>
    <w:rsid w:val="003F081C"/>
    <w:rsid w:val="003F20FA"/>
    <w:rsid w:val="003F596C"/>
    <w:rsid w:val="003F612C"/>
    <w:rsid w:val="00404A39"/>
    <w:rsid w:val="004053E8"/>
    <w:rsid w:val="00416860"/>
    <w:rsid w:val="00424828"/>
    <w:rsid w:val="004262C1"/>
    <w:rsid w:val="004367A5"/>
    <w:rsid w:val="00441338"/>
    <w:rsid w:val="0044252A"/>
    <w:rsid w:val="0044327E"/>
    <w:rsid w:val="00443C04"/>
    <w:rsid w:val="00446893"/>
    <w:rsid w:val="00446E02"/>
    <w:rsid w:val="00452BE5"/>
    <w:rsid w:val="00455A1A"/>
    <w:rsid w:val="00472BE1"/>
    <w:rsid w:val="00476C39"/>
    <w:rsid w:val="00482860"/>
    <w:rsid w:val="004830A6"/>
    <w:rsid w:val="004845FF"/>
    <w:rsid w:val="00486AF4"/>
    <w:rsid w:val="00496AB0"/>
    <w:rsid w:val="00496FCD"/>
    <w:rsid w:val="004A4B7C"/>
    <w:rsid w:val="004A72E8"/>
    <w:rsid w:val="004B02FF"/>
    <w:rsid w:val="004B0A09"/>
    <w:rsid w:val="004C2330"/>
    <w:rsid w:val="004C65B4"/>
    <w:rsid w:val="004C6E52"/>
    <w:rsid w:val="004C7AA8"/>
    <w:rsid w:val="004D22A5"/>
    <w:rsid w:val="004D4F65"/>
    <w:rsid w:val="004E530F"/>
    <w:rsid w:val="004E5A22"/>
    <w:rsid w:val="004E5E68"/>
    <w:rsid w:val="004E77F4"/>
    <w:rsid w:val="004F0709"/>
    <w:rsid w:val="0050058F"/>
    <w:rsid w:val="00503B23"/>
    <w:rsid w:val="005074E0"/>
    <w:rsid w:val="0051042B"/>
    <w:rsid w:val="00510BE3"/>
    <w:rsid w:val="0051171B"/>
    <w:rsid w:val="00512C93"/>
    <w:rsid w:val="005206CE"/>
    <w:rsid w:val="00524EA9"/>
    <w:rsid w:val="00530AC8"/>
    <w:rsid w:val="00537B97"/>
    <w:rsid w:val="0055212D"/>
    <w:rsid w:val="00552D14"/>
    <w:rsid w:val="00561EE2"/>
    <w:rsid w:val="00562337"/>
    <w:rsid w:val="00562735"/>
    <w:rsid w:val="00565AC8"/>
    <w:rsid w:val="00566408"/>
    <w:rsid w:val="00566B1C"/>
    <w:rsid w:val="00576420"/>
    <w:rsid w:val="00576DC8"/>
    <w:rsid w:val="00585157"/>
    <w:rsid w:val="00590F3B"/>
    <w:rsid w:val="005A1184"/>
    <w:rsid w:val="005A4FCD"/>
    <w:rsid w:val="005B2EFB"/>
    <w:rsid w:val="005B583B"/>
    <w:rsid w:val="005C101C"/>
    <w:rsid w:val="005C13FB"/>
    <w:rsid w:val="005C7611"/>
    <w:rsid w:val="005C7BA2"/>
    <w:rsid w:val="005D7FCE"/>
    <w:rsid w:val="005E3F36"/>
    <w:rsid w:val="005E43B6"/>
    <w:rsid w:val="005E5715"/>
    <w:rsid w:val="005F2C88"/>
    <w:rsid w:val="005F566F"/>
    <w:rsid w:val="005F6B7F"/>
    <w:rsid w:val="005F73F5"/>
    <w:rsid w:val="006120E6"/>
    <w:rsid w:val="006123E9"/>
    <w:rsid w:val="00614548"/>
    <w:rsid w:val="0061491D"/>
    <w:rsid w:val="006241A3"/>
    <w:rsid w:val="00631B9B"/>
    <w:rsid w:val="006344E4"/>
    <w:rsid w:val="00635131"/>
    <w:rsid w:val="006351FC"/>
    <w:rsid w:val="00645FE2"/>
    <w:rsid w:val="00646A30"/>
    <w:rsid w:val="00651BA3"/>
    <w:rsid w:val="00656A1E"/>
    <w:rsid w:val="006656E8"/>
    <w:rsid w:val="006715A2"/>
    <w:rsid w:val="00673BD5"/>
    <w:rsid w:val="00682315"/>
    <w:rsid w:val="00683C32"/>
    <w:rsid w:val="00683C3D"/>
    <w:rsid w:val="0068535D"/>
    <w:rsid w:val="006901F1"/>
    <w:rsid w:val="006A25AD"/>
    <w:rsid w:val="006A50D0"/>
    <w:rsid w:val="006A7E8C"/>
    <w:rsid w:val="006B1C8C"/>
    <w:rsid w:val="006B45A6"/>
    <w:rsid w:val="006C0CE9"/>
    <w:rsid w:val="006C62BF"/>
    <w:rsid w:val="006D5FF3"/>
    <w:rsid w:val="006E149F"/>
    <w:rsid w:val="006E536B"/>
    <w:rsid w:val="006F2C05"/>
    <w:rsid w:val="006F2E40"/>
    <w:rsid w:val="006F5D65"/>
    <w:rsid w:val="00706989"/>
    <w:rsid w:val="00713634"/>
    <w:rsid w:val="00721896"/>
    <w:rsid w:val="00721E2F"/>
    <w:rsid w:val="007256BE"/>
    <w:rsid w:val="007259F4"/>
    <w:rsid w:val="007339BC"/>
    <w:rsid w:val="00733D97"/>
    <w:rsid w:val="00734D25"/>
    <w:rsid w:val="0073608A"/>
    <w:rsid w:val="00736C69"/>
    <w:rsid w:val="00742EA8"/>
    <w:rsid w:val="00746970"/>
    <w:rsid w:val="0076299D"/>
    <w:rsid w:val="00772976"/>
    <w:rsid w:val="00776F48"/>
    <w:rsid w:val="00780877"/>
    <w:rsid w:val="00780F47"/>
    <w:rsid w:val="00785F43"/>
    <w:rsid w:val="007875A1"/>
    <w:rsid w:val="0079087F"/>
    <w:rsid w:val="007951A9"/>
    <w:rsid w:val="007A4735"/>
    <w:rsid w:val="007A642A"/>
    <w:rsid w:val="007A707B"/>
    <w:rsid w:val="007B4C3B"/>
    <w:rsid w:val="007C52EF"/>
    <w:rsid w:val="007E180E"/>
    <w:rsid w:val="007E1E67"/>
    <w:rsid w:val="007E3698"/>
    <w:rsid w:val="007E38F6"/>
    <w:rsid w:val="007F1615"/>
    <w:rsid w:val="007F5A53"/>
    <w:rsid w:val="007F5E0A"/>
    <w:rsid w:val="0080354B"/>
    <w:rsid w:val="008050C9"/>
    <w:rsid w:val="008060FD"/>
    <w:rsid w:val="00812AF1"/>
    <w:rsid w:val="00813793"/>
    <w:rsid w:val="0081502F"/>
    <w:rsid w:val="0082644A"/>
    <w:rsid w:val="00835525"/>
    <w:rsid w:val="00835988"/>
    <w:rsid w:val="00841F04"/>
    <w:rsid w:val="008468C8"/>
    <w:rsid w:val="00847FBE"/>
    <w:rsid w:val="00867FA9"/>
    <w:rsid w:val="0087551A"/>
    <w:rsid w:val="00887FEF"/>
    <w:rsid w:val="008905DE"/>
    <w:rsid w:val="00892598"/>
    <w:rsid w:val="008976CA"/>
    <w:rsid w:val="0089797E"/>
    <w:rsid w:val="008A0518"/>
    <w:rsid w:val="008A66AF"/>
    <w:rsid w:val="008B21A7"/>
    <w:rsid w:val="008B45F5"/>
    <w:rsid w:val="008D1E11"/>
    <w:rsid w:val="008D1E1C"/>
    <w:rsid w:val="008D1E3A"/>
    <w:rsid w:val="008D361A"/>
    <w:rsid w:val="008D57A9"/>
    <w:rsid w:val="008D66FF"/>
    <w:rsid w:val="008D6FDC"/>
    <w:rsid w:val="008E0FF8"/>
    <w:rsid w:val="008E7E98"/>
    <w:rsid w:val="008F2FF7"/>
    <w:rsid w:val="009000EB"/>
    <w:rsid w:val="00904BBB"/>
    <w:rsid w:val="00905E96"/>
    <w:rsid w:val="009068B7"/>
    <w:rsid w:val="00913543"/>
    <w:rsid w:val="00917EFD"/>
    <w:rsid w:val="00932F84"/>
    <w:rsid w:val="0093354A"/>
    <w:rsid w:val="009337B6"/>
    <w:rsid w:val="00944606"/>
    <w:rsid w:val="0094494B"/>
    <w:rsid w:val="009466CD"/>
    <w:rsid w:val="00947ABB"/>
    <w:rsid w:val="00950AEA"/>
    <w:rsid w:val="009525F9"/>
    <w:rsid w:val="009554D5"/>
    <w:rsid w:val="00961B11"/>
    <w:rsid w:val="00963562"/>
    <w:rsid w:val="0096648A"/>
    <w:rsid w:val="00972E66"/>
    <w:rsid w:val="009842FD"/>
    <w:rsid w:val="00986536"/>
    <w:rsid w:val="00991EA7"/>
    <w:rsid w:val="00993DCB"/>
    <w:rsid w:val="009A042E"/>
    <w:rsid w:val="009A12A9"/>
    <w:rsid w:val="009A170B"/>
    <w:rsid w:val="009A374C"/>
    <w:rsid w:val="009B43A4"/>
    <w:rsid w:val="009C0FBD"/>
    <w:rsid w:val="009D2A69"/>
    <w:rsid w:val="009E04CD"/>
    <w:rsid w:val="009E0C43"/>
    <w:rsid w:val="009E4B4B"/>
    <w:rsid w:val="009F0102"/>
    <w:rsid w:val="009F0891"/>
    <w:rsid w:val="009F7B12"/>
    <w:rsid w:val="00A17CE1"/>
    <w:rsid w:val="00A208E1"/>
    <w:rsid w:val="00A232EB"/>
    <w:rsid w:val="00A27A62"/>
    <w:rsid w:val="00A318D1"/>
    <w:rsid w:val="00A3470B"/>
    <w:rsid w:val="00A34D1A"/>
    <w:rsid w:val="00A41CD2"/>
    <w:rsid w:val="00A446B5"/>
    <w:rsid w:val="00A46DB4"/>
    <w:rsid w:val="00A57AEA"/>
    <w:rsid w:val="00A61293"/>
    <w:rsid w:val="00A61BE6"/>
    <w:rsid w:val="00A71537"/>
    <w:rsid w:val="00A72389"/>
    <w:rsid w:val="00A77881"/>
    <w:rsid w:val="00A81EE0"/>
    <w:rsid w:val="00A82FE9"/>
    <w:rsid w:val="00A85A52"/>
    <w:rsid w:val="00A85BFF"/>
    <w:rsid w:val="00A86ED8"/>
    <w:rsid w:val="00A92510"/>
    <w:rsid w:val="00A93F75"/>
    <w:rsid w:val="00A942B1"/>
    <w:rsid w:val="00A9573C"/>
    <w:rsid w:val="00A97BFA"/>
    <w:rsid w:val="00AA0E1D"/>
    <w:rsid w:val="00AB16C1"/>
    <w:rsid w:val="00AB276C"/>
    <w:rsid w:val="00AB3677"/>
    <w:rsid w:val="00AB5D0E"/>
    <w:rsid w:val="00AB760C"/>
    <w:rsid w:val="00AC3646"/>
    <w:rsid w:val="00AD0A29"/>
    <w:rsid w:val="00AD7707"/>
    <w:rsid w:val="00AD7B59"/>
    <w:rsid w:val="00AD7FD9"/>
    <w:rsid w:val="00AE0DC7"/>
    <w:rsid w:val="00AF01C9"/>
    <w:rsid w:val="00AF0373"/>
    <w:rsid w:val="00AF05E1"/>
    <w:rsid w:val="00AF35C8"/>
    <w:rsid w:val="00AF4E0D"/>
    <w:rsid w:val="00B17CD0"/>
    <w:rsid w:val="00B21706"/>
    <w:rsid w:val="00B249CF"/>
    <w:rsid w:val="00B40064"/>
    <w:rsid w:val="00B4028B"/>
    <w:rsid w:val="00B442C0"/>
    <w:rsid w:val="00B4480A"/>
    <w:rsid w:val="00B519E0"/>
    <w:rsid w:val="00B526FE"/>
    <w:rsid w:val="00B54854"/>
    <w:rsid w:val="00B6355E"/>
    <w:rsid w:val="00B639C0"/>
    <w:rsid w:val="00B64554"/>
    <w:rsid w:val="00B654DA"/>
    <w:rsid w:val="00B665FE"/>
    <w:rsid w:val="00B67D35"/>
    <w:rsid w:val="00B741A9"/>
    <w:rsid w:val="00B76B33"/>
    <w:rsid w:val="00B85D1A"/>
    <w:rsid w:val="00B96030"/>
    <w:rsid w:val="00BC068E"/>
    <w:rsid w:val="00BC7F5E"/>
    <w:rsid w:val="00BE2170"/>
    <w:rsid w:val="00BF1198"/>
    <w:rsid w:val="00BF2CBC"/>
    <w:rsid w:val="00BF2EA9"/>
    <w:rsid w:val="00BF5BFD"/>
    <w:rsid w:val="00C01D09"/>
    <w:rsid w:val="00C06EDE"/>
    <w:rsid w:val="00C11C47"/>
    <w:rsid w:val="00C13E2A"/>
    <w:rsid w:val="00C25601"/>
    <w:rsid w:val="00C313F6"/>
    <w:rsid w:val="00C32259"/>
    <w:rsid w:val="00C3288A"/>
    <w:rsid w:val="00C3375A"/>
    <w:rsid w:val="00C40A74"/>
    <w:rsid w:val="00C50E16"/>
    <w:rsid w:val="00C51AEC"/>
    <w:rsid w:val="00C70773"/>
    <w:rsid w:val="00C730AF"/>
    <w:rsid w:val="00C7491D"/>
    <w:rsid w:val="00C83B95"/>
    <w:rsid w:val="00C8532A"/>
    <w:rsid w:val="00C86956"/>
    <w:rsid w:val="00C9314B"/>
    <w:rsid w:val="00C958E7"/>
    <w:rsid w:val="00C973BE"/>
    <w:rsid w:val="00CB4E1A"/>
    <w:rsid w:val="00CB686F"/>
    <w:rsid w:val="00CC0394"/>
    <w:rsid w:val="00CC03B3"/>
    <w:rsid w:val="00CD3512"/>
    <w:rsid w:val="00CD3AAA"/>
    <w:rsid w:val="00CE204C"/>
    <w:rsid w:val="00CE3443"/>
    <w:rsid w:val="00CE3E6B"/>
    <w:rsid w:val="00CE4B71"/>
    <w:rsid w:val="00CF08AE"/>
    <w:rsid w:val="00CF48F5"/>
    <w:rsid w:val="00CF69F1"/>
    <w:rsid w:val="00CF79DB"/>
    <w:rsid w:val="00D11327"/>
    <w:rsid w:val="00D143E4"/>
    <w:rsid w:val="00D165DE"/>
    <w:rsid w:val="00D16A17"/>
    <w:rsid w:val="00D20F77"/>
    <w:rsid w:val="00D26458"/>
    <w:rsid w:val="00D335EF"/>
    <w:rsid w:val="00D37772"/>
    <w:rsid w:val="00D42FB8"/>
    <w:rsid w:val="00D52308"/>
    <w:rsid w:val="00D56CB0"/>
    <w:rsid w:val="00D60DC4"/>
    <w:rsid w:val="00D60F22"/>
    <w:rsid w:val="00D65451"/>
    <w:rsid w:val="00D7157F"/>
    <w:rsid w:val="00D76B9E"/>
    <w:rsid w:val="00D8716C"/>
    <w:rsid w:val="00D87DC9"/>
    <w:rsid w:val="00D91255"/>
    <w:rsid w:val="00DA4F10"/>
    <w:rsid w:val="00DB125F"/>
    <w:rsid w:val="00DB4F95"/>
    <w:rsid w:val="00DC04CC"/>
    <w:rsid w:val="00DC084C"/>
    <w:rsid w:val="00DD00F9"/>
    <w:rsid w:val="00DD0DE6"/>
    <w:rsid w:val="00DD173A"/>
    <w:rsid w:val="00DD22AB"/>
    <w:rsid w:val="00DE1DAB"/>
    <w:rsid w:val="00DE30F7"/>
    <w:rsid w:val="00DE3145"/>
    <w:rsid w:val="00DF4CAF"/>
    <w:rsid w:val="00E0264C"/>
    <w:rsid w:val="00E13CEC"/>
    <w:rsid w:val="00E14524"/>
    <w:rsid w:val="00E17811"/>
    <w:rsid w:val="00E213C3"/>
    <w:rsid w:val="00E216BE"/>
    <w:rsid w:val="00E24CDC"/>
    <w:rsid w:val="00E31544"/>
    <w:rsid w:val="00E36925"/>
    <w:rsid w:val="00E4143D"/>
    <w:rsid w:val="00E50699"/>
    <w:rsid w:val="00E50A67"/>
    <w:rsid w:val="00E55499"/>
    <w:rsid w:val="00E60BA3"/>
    <w:rsid w:val="00E6308D"/>
    <w:rsid w:val="00E638E3"/>
    <w:rsid w:val="00E667AD"/>
    <w:rsid w:val="00E8027C"/>
    <w:rsid w:val="00E8108D"/>
    <w:rsid w:val="00E82D96"/>
    <w:rsid w:val="00E87368"/>
    <w:rsid w:val="00E929CF"/>
    <w:rsid w:val="00E93C84"/>
    <w:rsid w:val="00E95430"/>
    <w:rsid w:val="00E978CC"/>
    <w:rsid w:val="00EA2EB2"/>
    <w:rsid w:val="00EA4897"/>
    <w:rsid w:val="00EA7DCE"/>
    <w:rsid w:val="00EB1732"/>
    <w:rsid w:val="00EB2BD1"/>
    <w:rsid w:val="00EB4FCE"/>
    <w:rsid w:val="00EC17F8"/>
    <w:rsid w:val="00EC33BF"/>
    <w:rsid w:val="00EC4DD2"/>
    <w:rsid w:val="00EC73BC"/>
    <w:rsid w:val="00ED2776"/>
    <w:rsid w:val="00ED4CC9"/>
    <w:rsid w:val="00ED4F60"/>
    <w:rsid w:val="00EE0B6D"/>
    <w:rsid w:val="00EE0F7C"/>
    <w:rsid w:val="00EF17E6"/>
    <w:rsid w:val="00F0442F"/>
    <w:rsid w:val="00F10575"/>
    <w:rsid w:val="00F125E3"/>
    <w:rsid w:val="00F15137"/>
    <w:rsid w:val="00F16DD8"/>
    <w:rsid w:val="00F2042F"/>
    <w:rsid w:val="00F21F04"/>
    <w:rsid w:val="00F22D36"/>
    <w:rsid w:val="00F23519"/>
    <w:rsid w:val="00F26346"/>
    <w:rsid w:val="00F33DAF"/>
    <w:rsid w:val="00F44A6B"/>
    <w:rsid w:val="00F52387"/>
    <w:rsid w:val="00F63F5C"/>
    <w:rsid w:val="00F676A6"/>
    <w:rsid w:val="00F73011"/>
    <w:rsid w:val="00F77B56"/>
    <w:rsid w:val="00F8300B"/>
    <w:rsid w:val="00FA5656"/>
    <w:rsid w:val="00FB2938"/>
    <w:rsid w:val="00FB4313"/>
    <w:rsid w:val="00FB777F"/>
    <w:rsid w:val="00FC1450"/>
    <w:rsid w:val="00FC44FD"/>
    <w:rsid w:val="00FC4B52"/>
    <w:rsid w:val="00FC5CFA"/>
    <w:rsid w:val="00FD2CFE"/>
    <w:rsid w:val="00FD2D13"/>
    <w:rsid w:val="00FD5FB9"/>
    <w:rsid w:val="00FE1838"/>
    <w:rsid w:val="00FE3F9A"/>
    <w:rsid w:val="00FF4A57"/>
    <w:rsid w:val="00FF4EAB"/>
    <w:rsid w:val="00FF5317"/>
    <w:rsid w:val="00FF58E7"/>
    <w:rsid w:val="00FF7C2A"/>
    <w:rsid w:val="010A49B6"/>
    <w:rsid w:val="01802C9E"/>
    <w:rsid w:val="01CF7782"/>
    <w:rsid w:val="0370464D"/>
    <w:rsid w:val="04245B63"/>
    <w:rsid w:val="059240F1"/>
    <w:rsid w:val="05EA06E6"/>
    <w:rsid w:val="06721621"/>
    <w:rsid w:val="06775313"/>
    <w:rsid w:val="06D16F5C"/>
    <w:rsid w:val="06DD649D"/>
    <w:rsid w:val="08140B6E"/>
    <w:rsid w:val="0878647D"/>
    <w:rsid w:val="08C513E0"/>
    <w:rsid w:val="090076D0"/>
    <w:rsid w:val="0A947E48"/>
    <w:rsid w:val="0B770C6E"/>
    <w:rsid w:val="0BFD26F0"/>
    <w:rsid w:val="0CFE2CC9"/>
    <w:rsid w:val="0D631E83"/>
    <w:rsid w:val="0D906017"/>
    <w:rsid w:val="0E2B3F92"/>
    <w:rsid w:val="0E6A6868"/>
    <w:rsid w:val="0E6B25E0"/>
    <w:rsid w:val="0E745939"/>
    <w:rsid w:val="0EA979D0"/>
    <w:rsid w:val="0ED83AA9"/>
    <w:rsid w:val="0F140170"/>
    <w:rsid w:val="0F44355D"/>
    <w:rsid w:val="101F5D84"/>
    <w:rsid w:val="10466E61"/>
    <w:rsid w:val="10856228"/>
    <w:rsid w:val="10875260"/>
    <w:rsid w:val="11592BC4"/>
    <w:rsid w:val="11C66690"/>
    <w:rsid w:val="11FF376C"/>
    <w:rsid w:val="12503FF7"/>
    <w:rsid w:val="126F6B43"/>
    <w:rsid w:val="12767ED2"/>
    <w:rsid w:val="12DE7825"/>
    <w:rsid w:val="130C4791"/>
    <w:rsid w:val="140E6EB1"/>
    <w:rsid w:val="142E33BE"/>
    <w:rsid w:val="14EA3EDE"/>
    <w:rsid w:val="15581B10"/>
    <w:rsid w:val="158A09C0"/>
    <w:rsid w:val="16322361"/>
    <w:rsid w:val="16A310E1"/>
    <w:rsid w:val="18C75FF2"/>
    <w:rsid w:val="196F04B5"/>
    <w:rsid w:val="198F1879"/>
    <w:rsid w:val="1A4A57A0"/>
    <w:rsid w:val="1B0911B7"/>
    <w:rsid w:val="1B6815F9"/>
    <w:rsid w:val="1BEA0FE8"/>
    <w:rsid w:val="1C725348"/>
    <w:rsid w:val="1C7D00AF"/>
    <w:rsid w:val="1CFE11EF"/>
    <w:rsid w:val="1D400F14"/>
    <w:rsid w:val="1D882867"/>
    <w:rsid w:val="1E3315FA"/>
    <w:rsid w:val="1EB14A4D"/>
    <w:rsid w:val="1FB43DE7"/>
    <w:rsid w:val="202D1085"/>
    <w:rsid w:val="2131302B"/>
    <w:rsid w:val="217A2E0F"/>
    <w:rsid w:val="21AE24D6"/>
    <w:rsid w:val="21BB1A73"/>
    <w:rsid w:val="220859C0"/>
    <w:rsid w:val="226B475F"/>
    <w:rsid w:val="22F42369"/>
    <w:rsid w:val="230A1F70"/>
    <w:rsid w:val="234E4553"/>
    <w:rsid w:val="24B403E6"/>
    <w:rsid w:val="24DE1906"/>
    <w:rsid w:val="25620D2E"/>
    <w:rsid w:val="263F0183"/>
    <w:rsid w:val="266A339C"/>
    <w:rsid w:val="268D6686"/>
    <w:rsid w:val="29127DD1"/>
    <w:rsid w:val="2B3E30FF"/>
    <w:rsid w:val="2B487BAD"/>
    <w:rsid w:val="2C0960E1"/>
    <w:rsid w:val="2DC773DC"/>
    <w:rsid w:val="2DE25FC3"/>
    <w:rsid w:val="2E0028ED"/>
    <w:rsid w:val="2E240862"/>
    <w:rsid w:val="2F863759"/>
    <w:rsid w:val="2FC57655"/>
    <w:rsid w:val="304E612D"/>
    <w:rsid w:val="30B31668"/>
    <w:rsid w:val="30FD3114"/>
    <w:rsid w:val="325C242E"/>
    <w:rsid w:val="33F246BA"/>
    <w:rsid w:val="35A44785"/>
    <w:rsid w:val="35A51601"/>
    <w:rsid w:val="35BA15D4"/>
    <w:rsid w:val="36985DB9"/>
    <w:rsid w:val="370731F9"/>
    <w:rsid w:val="376B702A"/>
    <w:rsid w:val="37712166"/>
    <w:rsid w:val="37987AA4"/>
    <w:rsid w:val="38270896"/>
    <w:rsid w:val="38C154C5"/>
    <w:rsid w:val="394C2E8B"/>
    <w:rsid w:val="39965EB4"/>
    <w:rsid w:val="39BD1693"/>
    <w:rsid w:val="39E41315"/>
    <w:rsid w:val="3A490C1A"/>
    <w:rsid w:val="3AB94550"/>
    <w:rsid w:val="3AEB3607"/>
    <w:rsid w:val="3AFD268F"/>
    <w:rsid w:val="3B714240"/>
    <w:rsid w:val="3B842468"/>
    <w:rsid w:val="3B9C3C56"/>
    <w:rsid w:val="3CB50CFF"/>
    <w:rsid w:val="3D1857E2"/>
    <w:rsid w:val="3E271BBE"/>
    <w:rsid w:val="3E927775"/>
    <w:rsid w:val="3F55244A"/>
    <w:rsid w:val="3F8B16EA"/>
    <w:rsid w:val="3FAB4824"/>
    <w:rsid w:val="41B65345"/>
    <w:rsid w:val="42262E1E"/>
    <w:rsid w:val="4250579A"/>
    <w:rsid w:val="43AC2E40"/>
    <w:rsid w:val="43B546B1"/>
    <w:rsid w:val="43B85A4D"/>
    <w:rsid w:val="448D4A83"/>
    <w:rsid w:val="4530363D"/>
    <w:rsid w:val="453A5418"/>
    <w:rsid w:val="458E4A51"/>
    <w:rsid w:val="47AE1B90"/>
    <w:rsid w:val="480A0199"/>
    <w:rsid w:val="48271D84"/>
    <w:rsid w:val="48594C7C"/>
    <w:rsid w:val="490B241B"/>
    <w:rsid w:val="496675BA"/>
    <w:rsid w:val="4BCE1CA6"/>
    <w:rsid w:val="4BE66A8D"/>
    <w:rsid w:val="4BEB6533"/>
    <w:rsid w:val="4C107D48"/>
    <w:rsid w:val="4C1F1209"/>
    <w:rsid w:val="4CC10800"/>
    <w:rsid w:val="4CC900D1"/>
    <w:rsid w:val="4CF42CAA"/>
    <w:rsid w:val="4D3D2DBF"/>
    <w:rsid w:val="4D510618"/>
    <w:rsid w:val="4DE45D18"/>
    <w:rsid w:val="4DE80716"/>
    <w:rsid w:val="4E013DEC"/>
    <w:rsid w:val="4E143B1F"/>
    <w:rsid w:val="4F9E4320"/>
    <w:rsid w:val="5016460B"/>
    <w:rsid w:val="50E31ED8"/>
    <w:rsid w:val="518E1E3B"/>
    <w:rsid w:val="51B83F3D"/>
    <w:rsid w:val="52AF02BB"/>
    <w:rsid w:val="531B76FE"/>
    <w:rsid w:val="535B23B4"/>
    <w:rsid w:val="550E11EB"/>
    <w:rsid w:val="55436A98"/>
    <w:rsid w:val="557430F6"/>
    <w:rsid w:val="55857D72"/>
    <w:rsid w:val="56C65BD3"/>
    <w:rsid w:val="57A75A04"/>
    <w:rsid w:val="58BE4BB4"/>
    <w:rsid w:val="58C838B7"/>
    <w:rsid w:val="58D8399B"/>
    <w:rsid w:val="59EA6552"/>
    <w:rsid w:val="5AF32D0E"/>
    <w:rsid w:val="5AFE3B8D"/>
    <w:rsid w:val="5B733E94"/>
    <w:rsid w:val="5B982FBB"/>
    <w:rsid w:val="5C180C7F"/>
    <w:rsid w:val="5CD86B67"/>
    <w:rsid w:val="5D6D6DA8"/>
    <w:rsid w:val="5D9205BD"/>
    <w:rsid w:val="5DFE3EA4"/>
    <w:rsid w:val="5E0B0DD2"/>
    <w:rsid w:val="5EB84053"/>
    <w:rsid w:val="5ECA3D86"/>
    <w:rsid w:val="5FF53C64"/>
    <w:rsid w:val="6001000E"/>
    <w:rsid w:val="60874625"/>
    <w:rsid w:val="60C82547"/>
    <w:rsid w:val="60DA29A7"/>
    <w:rsid w:val="633F2D2F"/>
    <w:rsid w:val="64155AA4"/>
    <w:rsid w:val="641A4311"/>
    <w:rsid w:val="644648BF"/>
    <w:rsid w:val="6551749A"/>
    <w:rsid w:val="659E2FB2"/>
    <w:rsid w:val="65CB2E66"/>
    <w:rsid w:val="660D2ED6"/>
    <w:rsid w:val="66BE0674"/>
    <w:rsid w:val="67204B0E"/>
    <w:rsid w:val="673973D8"/>
    <w:rsid w:val="673B1F89"/>
    <w:rsid w:val="675661EF"/>
    <w:rsid w:val="67E50E81"/>
    <w:rsid w:val="68182006"/>
    <w:rsid w:val="68E2113A"/>
    <w:rsid w:val="68EF4B15"/>
    <w:rsid w:val="690C1B6B"/>
    <w:rsid w:val="6963167B"/>
    <w:rsid w:val="6AF46BCF"/>
    <w:rsid w:val="6B15282D"/>
    <w:rsid w:val="6B2A1318"/>
    <w:rsid w:val="6B43383E"/>
    <w:rsid w:val="6B785296"/>
    <w:rsid w:val="6BAF67DE"/>
    <w:rsid w:val="6BF0165A"/>
    <w:rsid w:val="6CE57BEE"/>
    <w:rsid w:val="6D6C5DEC"/>
    <w:rsid w:val="6DA829C1"/>
    <w:rsid w:val="6E105C5A"/>
    <w:rsid w:val="6E301259"/>
    <w:rsid w:val="7069007B"/>
    <w:rsid w:val="708515FD"/>
    <w:rsid w:val="713A707F"/>
    <w:rsid w:val="718946C2"/>
    <w:rsid w:val="719E2F30"/>
    <w:rsid w:val="72231CD3"/>
    <w:rsid w:val="72857837"/>
    <w:rsid w:val="734142EB"/>
    <w:rsid w:val="73A15EBA"/>
    <w:rsid w:val="744C6E43"/>
    <w:rsid w:val="745E2575"/>
    <w:rsid w:val="749B3E5E"/>
    <w:rsid w:val="74E724EC"/>
    <w:rsid w:val="77FF37AB"/>
    <w:rsid w:val="784D3606"/>
    <w:rsid w:val="78AC47D1"/>
    <w:rsid w:val="78DD74C6"/>
    <w:rsid w:val="795E2CD5"/>
    <w:rsid w:val="79EB1329"/>
    <w:rsid w:val="7A122D59"/>
    <w:rsid w:val="7BE95D3C"/>
    <w:rsid w:val="7C5407BD"/>
    <w:rsid w:val="7D052701"/>
    <w:rsid w:val="7D7B0C16"/>
    <w:rsid w:val="7DD65E4C"/>
    <w:rsid w:val="7DF8A651"/>
    <w:rsid w:val="7E2117BD"/>
    <w:rsid w:val="7E503E50"/>
    <w:rsid w:val="7EBA751C"/>
    <w:rsid w:val="7ED92098"/>
    <w:rsid w:val="7EFAB53E"/>
    <w:rsid w:val="7F6C1119"/>
    <w:rsid w:val="7F954211"/>
    <w:rsid w:val="7FA2692E"/>
    <w:rsid w:val="7FE049C1"/>
    <w:rsid w:val="7FE21D5C"/>
    <w:rsid w:val="7FE5681A"/>
    <w:rsid w:val="7FF7FCAF"/>
    <w:rsid w:val="B8A5B1D7"/>
    <w:rsid w:val="F5774EE3"/>
    <w:rsid w:val="F9BE3724"/>
    <w:rsid w:val="FFAB2F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qFormat="1" w:uiPriority="99"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168"/>
    <w:qFormat/>
    <w:uiPriority w:val="9"/>
    <w:pPr>
      <w:keepNext/>
      <w:keepLines/>
      <w:outlineLvl w:val="0"/>
    </w:pPr>
    <w:rPr>
      <w:b/>
      <w:bCs/>
      <w:kern w:val="44"/>
      <w:sz w:val="44"/>
      <w:szCs w:val="44"/>
    </w:rPr>
  </w:style>
  <w:style w:type="paragraph" w:styleId="3">
    <w:name w:val="heading 2"/>
    <w:basedOn w:val="1"/>
    <w:next w:val="1"/>
    <w:link w:val="17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7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5"/>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76"/>
    <w:qFormat/>
    <w:uiPriority w:val="9"/>
    <w:pPr>
      <w:keepNext/>
      <w:keepLines/>
      <w:spacing w:before="280" w:after="290" w:line="376" w:lineRule="auto"/>
      <w:outlineLvl w:val="4"/>
    </w:pPr>
    <w:rPr>
      <w:rFonts w:eastAsia="宋体"/>
      <w:b/>
      <w:bCs/>
      <w:sz w:val="28"/>
      <w:szCs w:val="28"/>
    </w:rPr>
  </w:style>
  <w:style w:type="paragraph" w:styleId="7">
    <w:name w:val="heading 6"/>
    <w:basedOn w:val="1"/>
    <w:next w:val="1"/>
    <w:link w:val="177"/>
    <w:unhideWhenUsed/>
    <w:qFormat/>
    <w:uiPriority w:val="9"/>
    <w:pPr>
      <w:keepNext/>
      <w:keepLines/>
      <w:spacing w:before="240" w:after="64" w:line="320" w:lineRule="auto"/>
      <w:outlineLvl w:val="5"/>
    </w:pPr>
    <w:rPr>
      <w:rFonts w:ascii="Cambria" w:hAnsi="Cambria" w:eastAsia="宋体"/>
      <w:b/>
      <w:bCs/>
    </w:rPr>
  </w:style>
  <w:style w:type="paragraph" w:styleId="8">
    <w:name w:val="heading 7"/>
    <w:basedOn w:val="1"/>
    <w:next w:val="1"/>
    <w:link w:val="191"/>
    <w:qFormat/>
    <w:uiPriority w:val="0"/>
    <w:pPr>
      <w:keepNext/>
      <w:keepLines/>
      <w:widowControl/>
      <w:tabs>
        <w:tab w:val="left" w:pos="2520"/>
      </w:tabs>
      <w:spacing w:before="240" w:after="64" w:line="320" w:lineRule="auto"/>
      <w:ind w:left="1296" w:hanging="1296"/>
      <w:jc w:val="left"/>
      <w:outlineLvl w:val="6"/>
    </w:pPr>
    <w:rPr>
      <w:b/>
      <w:bCs/>
      <w:kern w:val="0"/>
    </w:rPr>
  </w:style>
  <w:style w:type="paragraph" w:styleId="9">
    <w:name w:val="heading 8"/>
    <w:basedOn w:val="1"/>
    <w:next w:val="1"/>
    <w:link w:val="192"/>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rPr>
  </w:style>
  <w:style w:type="paragraph" w:styleId="10">
    <w:name w:val="heading 9"/>
    <w:basedOn w:val="1"/>
    <w:next w:val="1"/>
    <w:link w:val="193"/>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440"/>
      <w:jc w:val="left"/>
    </w:pPr>
    <w:rPr>
      <w:rFonts w:ascii="Calibri" w:hAnsi="Calibri" w:cs="Calibri"/>
      <w:sz w:val="18"/>
      <w:szCs w:val="18"/>
    </w:rPr>
  </w:style>
  <w:style w:type="paragraph" w:styleId="12">
    <w:name w:val="Normal Indent"/>
    <w:basedOn w:val="1"/>
    <w:link w:val="167"/>
    <w:qFormat/>
    <w:uiPriority w:val="0"/>
    <w:pPr>
      <w:ind w:firstLine="420" w:firstLineChars="200"/>
    </w:pPr>
  </w:style>
  <w:style w:type="paragraph" w:styleId="13">
    <w:name w:val="caption"/>
    <w:basedOn w:val="1"/>
    <w:next w:val="1"/>
    <w:qFormat/>
    <w:uiPriority w:val="35"/>
    <w:pPr>
      <w:spacing w:beforeLines="50" w:afterLines="50" w:line="312" w:lineRule="auto"/>
      <w:jc w:val="center"/>
    </w:pPr>
    <w:rPr>
      <w:rFonts w:ascii="Arial" w:hAnsi="Arial" w:eastAsia="黑体" w:cs="Arial"/>
      <w:sz w:val="20"/>
      <w:szCs w:val="20"/>
    </w:rPr>
  </w:style>
  <w:style w:type="paragraph" w:styleId="14">
    <w:name w:val="Document Map"/>
    <w:basedOn w:val="1"/>
    <w:link w:val="180"/>
    <w:qFormat/>
    <w:uiPriority w:val="0"/>
    <w:pPr>
      <w:shd w:val="clear" w:color="auto" w:fill="000080"/>
    </w:pPr>
    <w:rPr>
      <w:rFonts w:eastAsia="宋体"/>
      <w:sz w:val="32"/>
    </w:rPr>
  </w:style>
  <w:style w:type="paragraph" w:styleId="15">
    <w:name w:val="annotation text"/>
    <w:basedOn w:val="1"/>
    <w:link w:val="198"/>
    <w:qFormat/>
    <w:uiPriority w:val="0"/>
    <w:pPr>
      <w:jc w:val="left"/>
    </w:pPr>
  </w:style>
  <w:style w:type="paragraph" w:styleId="16">
    <w:name w:val="Body Text 3"/>
    <w:basedOn w:val="1"/>
    <w:link w:val="194"/>
    <w:qFormat/>
    <w:uiPriority w:val="0"/>
    <w:rPr>
      <w:rFonts w:ascii="宋体"/>
      <w:szCs w:val="20"/>
    </w:rPr>
  </w:style>
  <w:style w:type="paragraph" w:styleId="17">
    <w:name w:val="Body Text"/>
    <w:basedOn w:val="1"/>
    <w:link w:val="179"/>
    <w:qFormat/>
    <w:uiPriority w:val="99"/>
    <w:pPr>
      <w:spacing w:line="360" w:lineRule="auto"/>
    </w:pPr>
    <w:rPr>
      <w:rFonts w:eastAsia="宋体"/>
      <w:szCs w:val="20"/>
    </w:rPr>
  </w:style>
  <w:style w:type="paragraph" w:styleId="18">
    <w:name w:val="Body Text Indent"/>
    <w:basedOn w:val="1"/>
    <w:link w:val="181"/>
    <w:qFormat/>
    <w:uiPriority w:val="0"/>
    <w:pPr>
      <w:spacing w:after="120"/>
      <w:ind w:left="420" w:leftChars="200"/>
    </w:pPr>
    <w:rPr>
      <w:rFonts w:eastAsia="宋体"/>
      <w:sz w:val="32"/>
    </w:rPr>
  </w:style>
  <w:style w:type="paragraph" w:styleId="19">
    <w:name w:val="List 2"/>
    <w:basedOn w:val="1"/>
    <w:qFormat/>
    <w:uiPriority w:val="0"/>
    <w:pPr>
      <w:ind w:left="100" w:leftChars="200" w:hanging="200" w:hangingChars="200"/>
    </w:pPr>
    <w:rPr>
      <w:rFonts w:eastAsia="宋体"/>
      <w:sz w:val="28"/>
    </w:rPr>
  </w:style>
  <w:style w:type="paragraph" w:styleId="20">
    <w:name w:val="List Bullet 2"/>
    <w:basedOn w:val="1"/>
    <w:unhideWhenUsed/>
    <w:qFormat/>
    <w:uiPriority w:val="99"/>
    <w:pPr>
      <w:spacing w:line="360" w:lineRule="auto"/>
    </w:pPr>
    <w:rPr>
      <w:rFonts w:ascii="仿宋_GB2312"/>
      <w:bCs/>
      <w:sz w:val="28"/>
      <w:szCs w:val="28"/>
    </w:rPr>
  </w:style>
  <w:style w:type="paragraph" w:styleId="21">
    <w:name w:val="toc 5"/>
    <w:basedOn w:val="1"/>
    <w:next w:val="1"/>
    <w:qFormat/>
    <w:uiPriority w:val="39"/>
    <w:pPr>
      <w:ind w:left="960"/>
      <w:jc w:val="left"/>
    </w:pPr>
    <w:rPr>
      <w:rFonts w:ascii="Calibri" w:hAnsi="Calibri" w:cs="Calibri"/>
      <w:sz w:val="18"/>
      <w:szCs w:val="18"/>
    </w:rPr>
  </w:style>
  <w:style w:type="paragraph" w:styleId="22">
    <w:name w:val="toc 3"/>
    <w:basedOn w:val="1"/>
    <w:next w:val="1"/>
    <w:qFormat/>
    <w:uiPriority w:val="39"/>
    <w:pPr>
      <w:ind w:left="480"/>
      <w:jc w:val="left"/>
    </w:pPr>
    <w:rPr>
      <w:rFonts w:ascii="Calibri" w:hAnsi="Calibri" w:cs="Calibri"/>
      <w:i/>
      <w:iCs/>
      <w:sz w:val="20"/>
      <w:szCs w:val="20"/>
    </w:rPr>
  </w:style>
  <w:style w:type="paragraph" w:styleId="23">
    <w:name w:val="Plain Text"/>
    <w:basedOn w:val="1"/>
    <w:link w:val="170"/>
    <w:qFormat/>
    <w:uiPriority w:val="0"/>
    <w:rPr>
      <w:rFonts w:ascii="宋体" w:hAnsi="Courier New" w:eastAsia="宋体"/>
      <w:sz w:val="21"/>
      <w:szCs w:val="20"/>
    </w:rPr>
  </w:style>
  <w:style w:type="paragraph" w:styleId="24">
    <w:name w:val="toc 8"/>
    <w:basedOn w:val="1"/>
    <w:next w:val="1"/>
    <w:qFormat/>
    <w:uiPriority w:val="39"/>
    <w:pPr>
      <w:ind w:left="1680"/>
      <w:jc w:val="left"/>
    </w:pPr>
    <w:rPr>
      <w:rFonts w:ascii="Calibri" w:hAnsi="Calibri" w:cs="Calibri"/>
      <w:sz w:val="18"/>
      <w:szCs w:val="18"/>
    </w:rPr>
  </w:style>
  <w:style w:type="paragraph" w:styleId="25">
    <w:name w:val="Date"/>
    <w:basedOn w:val="1"/>
    <w:next w:val="1"/>
    <w:link w:val="178"/>
    <w:qFormat/>
    <w:uiPriority w:val="0"/>
    <w:rPr>
      <w:rFonts w:eastAsia="宋体"/>
      <w:sz w:val="32"/>
      <w:szCs w:val="20"/>
    </w:rPr>
  </w:style>
  <w:style w:type="paragraph" w:styleId="26">
    <w:name w:val="Body Text Indent 2"/>
    <w:basedOn w:val="1"/>
    <w:link w:val="207"/>
    <w:qFormat/>
    <w:uiPriority w:val="0"/>
    <w:pPr>
      <w:spacing w:after="120" w:line="480" w:lineRule="auto"/>
      <w:ind w:left="420" w:leftChars="200"/>
    </w:pPr>
    <w:rPr>
      <w:rFonts w:eastAsia="宋体"/>
      <w:sz w:val="21"/>
    </w:rPr>
  </w:style>
  <w:style w:type="paragraph" w:styleId="27">
    <w:name w:val="Balloon Text"/>
    <w:basedOn w:val="1"/>
    <w:link w:val="171"/>
    <w:unhideWhenUsed/>
    <w:qFormat/>
    <w:uiPriority w:val="0"/>
    <w:rPr>
      <w:sz w:val="18"/>
      <w:szCs w:val="18"/>
    </w:rPr>
  </w:style>
  <w:style w:type="paragraph" w:styleId="28">
    <w:name w:val="footer"/>
    <w:basedOn w:val="1"/>
    <w:link w:val="166"/>
    <w:unhideWhenUsed/>
    <w:qFormat/>
    <w:uiPriority w:val="99"/>
    <w:pPr>
      <w:tabs>
        <w:tab w:val="center" w:pos="4153"/>
        <w:tab w:val="right" w:pos="8306"/>
      </w:tabs>
      <w:snapToGrid w:val="0"/>
      <w:jc w:val="left"/>
    </w:pPr>
    <w:rPr>
      <w:sz w:val="18"/>
      <w:szCs w:val="18"/>
    </w:rPr>
  </w:style>
  <w:style w:type="paragraph" w:styleId="29">
    <w:name w:val="header"/>
    <w:basedOn w:val="1"/>
    <w:link w:val="165"/>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toc 4"/>
    <w:basedOn w:val="1"/>
    <w:next w:val="1"/>
    <w:qFormat/>
    <w:uiPriority w:val="39"/>
    <w:pPr>
      <w:ind w:left="720"/>
      <w:jc w:val="left"/>
    </w:pPr>
    <w:rPr>
      <w:rFonts w:ascii="Calibri" w:hAnsi="Calibri" w:cs="Calibri"/>
      <w:sz w:val="18"/>
      <w:szCs w:val="18"/>
    </w:rPr>
  </w:style>
  <w:style w:type="paragraph" w:styleId="32">
    <w:name w:val="List"/>
    <w:basedOn w:val="1"/>
    <w:qFormat/>
    <w:uiPriority w:val="0"/>
    <w:pPr>
      <w:ind w:left="200" w:hanging="200" w:hangingChars="200"/>
    </w:pPr>
    <w:rPr>
      <w:rFonts w:eastAsia="宋体"/>
      <w:sz w:val="21"/>
    </w:rPr>
  </w:style>
  <w:style w:type="paragraph" w:styleId="33">
    <w:name w:val="toc 6"/>
    <w:basedOn w:val="1"/>
    <w:next w:val="1"/>
    <w:qFormat/>
    <w:uiPriority w:val="39"/>
    <w:pPr>
      <w:ind w:left="1200"/>
      <w:jc w:val="left"/>
    </w:pPr>
    <w:rPr>
      <w:rFonts w:ascii="Calibri" w:hAnsi="Calibri" w:cs="Calibri"/>
      <w:sz w:val="18"/>
      <w:szCs w:val="18"/>
    </w:rPr>
  </w:style>
  <w:style w:type="paragraph" w:styleId="34">
    <w:name w:val="Body Text Indent 3"/>
    <w:basedOn w:val="1"/>
    <w:link w:val="195"/>
    <w:qFormat/>
    <w:uiPriority w:val="0"/>
    <w:pPr>
      <w:spacing w:after="120"/>
      <w:ind w:left="420" w:leftChars="200"/>
    </w:pPr>
    <w:rPr>
      <w:sz w:val="16"/>
      <w:szCs w:val="16"/>
    </w:rPr>
  </w:style>
  <w:style w:type="paragraph" w:styleId="35">
    <w:name w:val="toc 2"/>
    <w:basedOn w:val="1"/>
    <w:next w:val="1"/>
    <w:qFormat/>
    <w:uiPriority w:val="39"/>
    <w:pPr>
      <w:ind w:left="240"/>
      <w:jc w:val="left"/>
    </w:pPr>
    <w:rPr>
      <w:rFonts w:ascii="Calibri" w:hAnsi="Calibri" w:cs="Calibri"/>
      <w:smallCaps/>
      <w:sz w:val="20"/>
      <w:szCs w:val="20"/>
    </w:rPr>
  </w:style>
  <w:style w:type="paragraph" w:styleId="36">
    <w:name w:val="toc 9"/>
    <w:basedOn w:val="1"/>
    <w:next w:val="1"/>
    <w:qFormat/>
    <w:uiPriority w:val="39"/>
    <w:pPr>
      <w:ind w:left="1920"/>
      <w:jc w:val="left"/>
    </w:pPr>
    <w:rPr>
      <w:rFonts w:ascii="Calibri" w:hAnsi="Calibri" w:cs="Calibri"/>
      <w:sz w:val="18"/>
      <w:szCs w:val="18"/>
    </w:r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kern w:val="0"/>
      <w:sz w:val="21"/>
      <w:szCs w:val="21"/>
    </w:rPr>
  </w:style>
  <w:style w:type="paragraph" w:styleId="38">
    <w:name w:val="Normal (Web)"/>
    <w:basedOn w:val="1"/>
    <w:qFormat/>
    <w:uiPriority w:val="0"/>
    <w:pPr>
      <w:widowControl/>
      <w:spacing w:before="100" w:beforeAutospacing="1" w:after="100" w:afterAutospacing="1"/>
      <w:jc w:val="left"/>
    </w:pPr>
    <w:rPr>
      <w:rFonts w:ascii="宋体" w:hAnsi="宋体" w:eastAsia="宋体"/>
      <w:color w:val="000000"/>
      <w:kern w:val="0"/>
    </w:rPr>
  </w:style>
  <w:style w:type="paragraph" w:styleId="39">
    <w:name w:val="Title"/>
    <w:basedOn w:val="1"/>
    <w:link w:val="190"/>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5"/>
    <w:next w:val="15"/>
    <w:link w:val="199"/>
    <w:qFormat/>
    <w:uiPriority w:val="0"/>
    <w:rPr>
      <w:b/>
      <w:bCs/>
    </w:rPr>
  </w:style>
  <w:style w:type="paragraph" w:styleId="41">
    <w:name w:val="Body Text First Indent"/>
    <w:basedOn w:val="17"/>
    <w:link w:val="200"/>
    <w:qFormat/>
    <w:uiPriority w:val="0"/>
    <w:pPr>
      <w:spacing w:after="120" w:line="240" w:lineRule="auto"/>
      <w:ind w:firstLine="420" w:firstLineChars="100"/>
    </w:pPr>
    <w:rPr>
      <w:rFonts w:eastAsia="仿宋_GB2312"/>
      <w:szCs w:val="24"/>
    </w:rPr>
  </w:style>
  <w:style w:type="paragraph" w:styleId="42">
    <w:name w:val="Body Text First Indent 2"/>
    <w:basedOn w:val="18"/>
    <w:link w:val="182"/>
    <w:qFormat/>
    <w:uiPriority w:val="0"/>
    <w:pPr>
      <w:ind w:firstLine="420" w:firstLineChars="200"/>
    </w:pPr>
  </w:style>
  <w:style w:type="table" w:styleId="44">
    <w:name w:val="Table Grid"/>
    <w:basedOn w:val="43"/>
    <w:qFormat/>
    <w:uiPriority w:val="3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unhideWhenUsed/>
    <w:qFormat/>
    <w:uiPriority w:val="0"/>
    <w:rPr>
      <w:color w:val="800080"/>
      <w:u w:val="single"/>
    </w:rPr>
  </w:style>
  <w:style w:type="character" w:styleId="49">
    <w:name w:val="Emphasis"/>
    <w:qFormat/>
    <w:uiPriority w:val="0"/>
    <w:rPr>
      <w:color w:val="CC0033"/>
    </w:rPr>
  </w:style>
  <w:style w:type="character" w:styleId="50">
    <w:name w:val="HTML Typewriter"/>
    <w:qFormat/>
    <w:uiPriority w:val="0"/>
    <w:rPr>
      <w:rFonts w:ascii="宋体" w:hAnsi="宋体" w:eastAsia="宋体" w:cs="宋体"/>
      <w:sz w:val="24"/>
      <w:szCs w:val="24"/>
    </w:rPr>
  </w:style>
  <w:style w:type="character" w:styleId="51">
    <w:name w:val="Hyperlink"/>
    <w:unhideWhenUsed/>
    <w:qFormat/>
    <w:uiPriority w:val="99"/>
    <w:rPr>
      <w:color w:val="0000FF"/>
      <w:u w:val="single"/>
    </w:rPr>
  </w:style>
  <w:style w:type="character" w:styleId="52">
    <w:name w:val="annotation reference"/>
    <w:qFormat/>
    <w:uiPriority w:val="99"/>
    <w:rPr>
      <w:sz w:val="21"/>
      <w:szCs w:val="21"/>
    </w:rPr>
  </w:style>
  <w:style w:type="paragraph" w:customStyle="1" w:styleId="53">
    <w:name w:val="TOC 标题1"/>
    <w:basedOn w:val="2"/>
    <w:next w:val="1"/>
    <w:unhideWhenUsed/>
    <w:qFormat/>
    <w:uiPriority w:val="39"/>
    <w:pPr>
      <w:widowControl/>
      <w:spacing w:before="480" w:line="276" w:lineRule="auto"/>
      <w:jc w:val="left"/>
      <w:outlineLvl w:val="9"/>
    </w:pPr>
    <w:rPr>
      <w:rFonts w:ascii="Cambria" w:hAnsi="Cambria" w:eastAsia="宋体" w:cs="黑体"/>
      <w:color w:val="365F90"/>
      <w:kern w:val="0"/>
      <w:sz w:val="28"/>
      <w:szCs w:val="28"/>
    </w:rPr>
  </w:style>
  <w:style w:type="paragraph" w:customStyle="1" w:styleId="54">
    <w:name w:val="列表段落1"/>
    <w:basedOn w:val="1"/>
    <w:link w:val="188"/>
    <w:qFormat/>
    <w:uiPriority w:val="34"/>
    <w:pPr>
      <w:ind w:firstLine="420" w:firstLineChars="200"/>
    </w:pPr>
  </w:style>
  <w:style w:type="paragraph" w:customStyle="1" w:styleId="55">
    <w:name w:val="Char Char1 Char Char Char Char Char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56">
    <w:name w:val="1"/>
    <w:basedOn w:val="1"/>
    <w:qFormat/>
    <w:uiPriority w:val="0"/>
    <w:pPr>
      <w:spacing w:afterLines="50" w:line="360" w:lineRule="auto"/>
      <w:ind w:firstLine="3243" w:firstLineChars="1080"/>
    </w:pPr>
    <w:rPr>
      <w:rFonts w:ascii="宋体" w:hAnsi="宋体" w:eastAsia="宋体"/>
      <w:b/>
      <w:sz w:val="30"/>
      <w:szCs w:val="21"/>
    </w:rPr>
  </w:style>
  <w:style w:type="paragraph" w:customStyle="1" w:styleId="57">
    <w:name w:val="Char Char Char Char Char Char Char Char Char Char"/>
    <w:basedOn w:val="14"/>
    <w:qFormat/>
    <w:uiPriority w:val="0"/>
    <w:rPr>
      <w:rFonts w:ascii="Tahoma" w:hAnsi="Tahoma" w:cs="Tahoma"/>
      <w:sz w:val="24"/>
    </w:rPr>
  </w:style>
  <w:style w:type="paragraph" w:customStyle="1" w:styleId="58">
    <w:name w:val="Char"/>
    <w:basedOn w:val="6"/>
    <w:qFormat/>
    <w:uiPriority w:val="0"/>
    <w:pPr>
      <w:widowControl/>
      <w:tabs>
        <w:tab w:val="left" w:pos="1724"/>
      </w:tabs>
      <w:spacing w:after="160" w:line="240" w:lineRule="exact"/>
      <w:ind w:left="1292" w:hanging="1008"/>
      <w:jc w:val="left"/>
    </w:pPr>
    <w:rPr>
      <w:rFonts w:ascii="Verdana" w:hAnsi="Verdana"/>
      <w:kern w:val="0"/>
      <w:sz w:val="20"/>
      <w:szCs w:val="20"/>
      <w:lang w:eastAsia="en-US"/>
    </w:rPr>
  </w:style>
  <w:style w:type="paragraph" w:customStyle="1" w:styleId="59">
    <w:name w:val="段正文缩进"/>
    <w:basedOn w:val="1"/>
    <w:qFormat/>
    <w:uiPriority w:val="0"/>
    <w:pPr>
      <w:adjustRightInd w:val="0"/>
      <w:snapToGrid w:val="0"/>
      <w:spacing w:beforeLines="50" w:line="360" w:lineRule="auto"/>
      <w:ind w:firstLine="200" w:firstLineChars="200"/>
    </w:pPr>
    <w:rPr>
      <w:rFonts w:cs="宋体"/>
      <w:sz w:val="30"/>
      <w:szCs w:val="20"/>
    </w:rPr>
  </w:style>
  <w:style w:type="paragraph" w:customStyle="1" w:styleId="60">
    <w:name w:val="p0"/>
    <w:basedOn w:val="1"/>
    <w:qFormat/>
    <w:uiPriority w:val="0"/>
    <w:pPr>
      <w:widowControl/>
      <w:spacing w:line="360" w:lineRule="auto"/>
    </w:pPr>
    <w:rPr>
      <w:rFonts w:ascii="宋体" w:hAnsi="宋体" w:eastAsia="宋体" w:cs="宋体"/>
      <w:kern w:val="0"/>
    </w:rPr>
  </w:style>
  <w:style w:type="paragraph" w:customStyle="1" w:styleId="61">
    <w:name w:val="font5"/>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62">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5">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6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7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7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7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7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75">
    <w:name w:val="列出段落1"/>
    <w:basedOn w:val="1"/>
    <w:qFormat/>
    <w:uiPriority w:val="0"/>
    <w:pPr>
      <w:ind w:firstLine="420" w:firstLineChars="200"/>
    </w:pPr>
    <w:rPr>
      <w:rFonts w:ascii="Calibri" w:hAnsi="Calibri" w:eastAsia="宋体"/>
      <w:sz w:val="32"/>
      <w:szCs w:val="22"/>
    </w:rPr>
  </w:style>
  <w:style w:type="paragraph" w:customStyle="1" w:styleId="76">
    <w:name w:val="列出段落2"/>
    <w:basedOn w:val="1"/>
    <w:qFormat/>
    <w:uiPriority w:val="0"/>
    <w:pPr>
      <w:ind w:firstLine="420" w:firstLineChars="200"/>
    </w:pPr>
    <w:rPr>
      <w:rFonts w:eastAsia="宋体"/>
      <w:sz w:val="21"/>
    </w:rPr>
  </w:style>
  <w:style w:type="paragraph" w:customStyle="1" w:styleId="77">
    <w:name w:val="列出段落3"/>
    <w:basedOn w:val="1"/>
    <w:link w:val="186"/>
    <w:qFormat/>
    <w:uiPriority w:val="0"/>
    <w:pPr>
      <w:ind w:firstLine="420" w:firstLineChars="200"/>
    </w:pPr>
    <w:rPr>
      <w:rFonts w:ascii="Cambria" w:hAnsi="Cambria" w:eastAsia="宋体" w:cs="黑体"/>
      <w:kern w:val="44"/>
      <w:sz w:val="21"/>
      <w:szCs w:val="44"/>
    </w:rPr>
  </w:style>
  <w:style w:type="paragraph" w:customStyle="1" w:styleId="78">
    <w:name w:val="正文缩进1"/>
    <w:basedOn w:val="1"/>
    <w:link w:val="187"/>
    <w:qFormat/>
    <w:uiPriority w:val="0"/>
    <w:pPr>
      <w:spacing w:line="360" w:lineRule="auto"/>
      <w:ind w:firstLine="420"/>
    </w:pPr>
    <w:rPr>
      <w:rFonts w:ascii="Calibri" w:hAnsi="Calibri" w:eastAsia="宋体" w:cs="黑体"/>
    </w:rPr>
  </w:style>
  <w:style w:type="paragraph" w:customStyle="1" w:styleId="7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8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8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3">
    <w:name w:val="表格"/>
    <w:basedOn w:val="1"/>
    <w:qFormat/>
    <w:uiPriority w:val="0"/>
    <w:pPr>
      <w:jc w:val="center"/>
      <w:textAlignment w:val="center"/>
    </w:pPr>
    <w:rPr>
      <w:rFonts w:ascii="华文细黑" w:hAnsi="华文细黑"/>
      <w:kern w:val="0"/>
      <w:szCs w:val="20"/>
    </w:rPr>
  </w:style>
  <w:style w:type="paragraph" w:customStyle="1" w:styleId="84">
    <w:name w:val="表格文字"/>
    <w:basedOn w:val="1"/>
    <w:link w:val="221"/>
    <w:qFormat/>
    <w:uiPriority w:val="0"/>
    <w:pPr>
      <w:adjustRightInd w:val="0"/>
      <w:spacing w:line="420" w:lineRule="atLeast"/>
      <w:jc w:val="left"/>
      <w:textAlignment w:val="baseline"/>
    </w:pPr>
    <w:rPr>
      <w:kern w:val="0"/>
      <w:szCs w:val="20"/>
    </w:rPr>
  </w:style>
  <w:style w:type="paragraph" w:customStyle="1" w:styleId="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86">
    <w:name w:val="xl4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87">
    <w:name w:val="封面右边"/>
    <w:basedOn w:val="1"/>
    <w:qFormat/>
    <w:uiPriority w:val="0"/>
    <w:pPr>
      <w:spacing w:line="264" w:lineRule="auto"/>
      <w:jc w:val="right"/>
    </w:pPr>
    <w:rPr>
      <w:rFonts w:ascii="Arial" w:hAnsi="Arial" w:eastAsia="宋体"/>
      <w:b/>
      <w:sz w:val="32"/>
      <w:szCs w:val="20"/>
    </w:rPr>
  </w:style>
  <w:style w:type="paragraph" w:customStyle="1" w:styleId="88">
    <w:name w:val="方案正文"/>
    <w:basedOn w:val="1"/>
    <w:qFormat/>
    <w:uiPriority w:val="0"/>
    <w:pPr>
      <w:widowControl/>
      <w:spacing w:line="360" w:lineRule="auto"/>
      <w:jc w:val="left"/>
    </w:pPr>
    <w:rPr>
      <w:rFonts w:ascii="Calibri" w:hAnsi="Calibri"/>
      <w:kern w:val="0"/>
      <w:szCs w:val="22"/>
      <w:lang w:eastAsia="en-US" w:bidi="en-US"/>
    </w:rPr>
  </w:style>
  <w:style w:type="paragraph" w:customStyle="1" w:styleId="89">
    <w:name w:val="项目编号A"/>
    <w:basedOn w:val="1"/>
    <w:link w:val="201"/>
    <w:qFormat/>
    <w:uiPriority w:val="0"/>
    <w:pPr>
      <w:spacing w:line="360" w:lineRule="auto"/>
    </w:pPr>
    <w:rPr>
      <w:rFonts w:ascii="宋体" w:hAnsi="宋体" w:eastAsia="宋体"/>
      <w:color w:val="FF0000"/>
    </w:rPr>
  </w:style>
  <w:style w:type="paragraph" w:customStyle="1" w:styleId="90">
    <w:name w:val="项目编号B"/>
    <w:basedOn w:val="1"/>
    <w:link w:val="202"/>
    <w:qFormat/>
    <w:uiPriority w:val="0"/>
    <w:pPr>
      <w:spacing w:line="360" w:lineRule="auto"/>
      <w:ind w:left="964"/>
    </w:pPr>
    <w:rPr>
      <w:rFonts w:ascii="楷体_GB2312" w:hAnsi="Arial" w:eastAsia="楷体_GB2312"/>
      <w:color w:val="000000"/>
      <w:lang w:val="zh-CN"/>
    </w:rPr>
  </w:style>
  <w:style w:type="paragraph" w:customStyle="1" w:styleId="91">
    <w:name w:val="方案文档"/>
    <w:basedOn w:val="1"/>
    <w:link w:val="203"/>
    <w:qFormat/>
    <w:uiPriority w:val="0"/>
    <w:pPr>
      <w:tabs>
        <w:tab w:val="left" w:pos="840"/>
      </w:tabs>
      <w:spacing w:before="120" w:after="120" w:line="360" w:lineRule="auto"/>
      <w:ind w:left="840" w:hanging="360"/>
    </w:pPr>
    <w:rPr>
      <w:rFonts w:ascii="楷体_GB2312" w:hAnsi="Arial" w:eastAsia="楷体_GB2312"/>
      <w:color w:val="000000"/>
      <w:lang w:val="zh-CN"/>
    </w:rPr>
  </w:style>
  <w:style w:type="paragraph" w:customStyle="1" w:styleId="92">
    <w:name w:val="样式 正文缩进 + 仿宋_GB2312 首行缩进:  2 字符 行距: 1.5 倍行距"/>
    <w:basedOn w:val="12"/>
    <w:qFormat/>
    <w:uiPriority w:val="0"/>
    <w:pPr>
      <w:spacing w:line="360" w:lineRule="auto"/>
      <w:ind w:firstLine="488"/>
    </w:pPr>
    <w:rPr>
      <w:rFonts w:ascii="宋体" w:hAnsi="宋体" w:eastAsia="宋体" w:cs="宋体"/>
      <w:spacing w:val="2"/>
      <w:kern w:val="0"/>
    </w:rPr>
  </w:style>
  <w:style w:type="paragraph" w:customStyle="1" w:styleId="93">
    <w:name w:val="样式 正文缩进 + 仿宋_GB2312 加粗 首行缩进:  2 字符 行距: 1.5 倍行距"/>
    <w:basedOn w:val="12"/>
    <w:qFormat/>
    <w:uiPriority w:val="0"/>
    <w:pPr>
      <w:spacing w:line="360" w:lineRule="auto"/>
      <w:ind w:firstLine="490"/>
    </w:pPr>
    <w:rPr>
      <w:rFonts w:ascii="宋体" w:hAnsi="宋体" w:eastAsia="宋体" w:cs="宋体"/>
      <w:b/>
      <w:bCs/>
      <w:spacing w:val="2"/>
      <w:kern w:val="0"/>
    </w:rPr>
  </w:style>
  <w:style w:type="paragraph" w:customStyle="1" w:styleId="94">
    <w:name w:val="样式 正文缩进 + 仿宋_GB2312 行距: 1.5 倍行距"/>
    <w:basedOn w:val="12"/>
    <w:qFormat/>
    <w:uiPriority w:val="0"/>
    <w:pPr>
      <w:spacing w:line="360" w:lineRule="auto"/>
      <w:ind w:firstLine="200"/>
    </w:pPr>
    <w:rPr>
      <w:rFonts w:ascii="宋体" w:hAnsi="宋体" w:eastAsia="宋体" w:cs="宋体"/>
      <w:spacing w:val="2"/>
      <w:kern w:val="0"/>
    </w:rPr>
  </w:style>
  <w:style w:type="paragraph" w:customStyle="1" w:styleId="95">
    <w:name w:val="Char Char Char"/>
    <w:basedOn w:val="1"/>
    <w:qFormat/>
    <w:uiPriority w:val="0"/>
    <w:pPr>
      <w:widowControl/>
      <w:spacing w:beforeLines="100" w:after="160" w:line="240" w:lineRule="exact"/>
      <w:jc w:val="left"/>
    </w:pPr>
    <w:rPr>
      <w:rFonts w:ascii="Verdana" w:hAnsi="Verdana" w:eastAsia="宋体"/>
      <w:kern w:val="0"/>
      <w:sz w:val="20"/>
      <w:szCs w:val="20"/>
      <w:lang w:eastAsia="en-US"/>
    </w:rPr>
  </w:style>
  <w:style w:type="paragraph" w:customStyle="1" w:styleId="96">
    <w:name w:val="默认段落字体 Para Char Char Char Char Char Char Char Char Char Char Char Char Char Char Char1 Char"/>
    <w:basedOn w:val="14"/>
    <w:qFormat/>
    <w:uiPriority w:val="0"/>
    <w:rPr>
      <w:rFonts w:ascii="Verdana" w:hAnsi="Verdana"/>
      <w:b/>
      <w:bCs/>
      <w:kern w:val="0"/>
      <w:sz w:val="20"/>
      <w:szCs w:val="20"/>
      <w:lang w:eastAsia="en-US"/>
    </w:rPr>
  </w:style>
  <w:style w:type="paragraph" w:customStyle="1" w:styleId="97">
    <w:name w:val="一级条标题"/>
    <w:basedOn w:val="1"/>
    <w:next w:val="1"/>
    <w:qFormat/>
    <w:uiPriority w:val="0"/>
    <w:pPr>
      <w:widowControl/>
      <w:tabs>
        <w:tab w:val="left" w:pos="1260"/>
      </w:tabs>
      <w:ind w:left="1260" w:hanging="420"/>
      <w:outlineLvl w:val="2"/>
    </w:pPr>
    <w:rPr>
      <w:rFonts w:ascii="黑体" w:eastAsia="黑体"/>
      <w:kern w:val="0"/>
      <w:szCs w:val="20"/>
    </w:rPr>
  </w:style>
  <w:style w:type="paragraph" w:customStyle="1" w:styleId="98">
    <w:name w:val="二级条标题"/>
    <w:basedOn w:val="97"/>
    <w:next w:val="1"/>
    <w:qFormat/>
    <w:uiPriority w:val="0"/>
    <w:pPr>
      <w:tabs>
        <w:tab w:val="left" w:pos="1290"/>
      </w:tabs>
      <w:ind w:left="1290" w:hanging="720"/>
      <w:outlineLvl w:val="3"/>
    </w:pPr>
  </w:style>
  <w:style w:type="paragraph" w:customStyle="1" w:styleId="99">
    <w:name w:val="样式 宋体 小四 首行缩进:  1.11 厘米 行距: 1.5 倍行距"/>
    <w:basedOn w:val="1"/>
    <w:qFormat/>
    <w:uiPriority w:val="0"/>
    <w:pPr>
      <w:spacing w:line="360" w:lineRule="auto"/>
      <w:ind w:left="708" w:leftChars="337" w:firstLine="1"/>
    </w:pPr>
    <w:rPr>
      <w:rFonts w:ascii="宋体" w:eastAsia="宋体"/>
      <w:szCs w:val="20"/>
    </w:rPr>
  </w:style>
  <w:style w:type="paragraph" w:customStyle="1" w:styleId="100">
    <w:name w:val="样式 标题 2 + 小二 段前: 0.5 行 段后: 0.5 行"/>
    <w:basedOn w:val="3"/>
    <w:qFormat/>
    <w:uiPriority w:val="0"/>
    <w:pPr>
      <w:spacing w:beforeLines="50" w:afterLines="50" w:line="360" w:lineRule="auto"/>
    </w:pPr>
    <w:rPr>
      <w:rFonts w:ascii="宋体" w:hAnsi="Times New Roman" w:eastAsia="宋体"/>
      <w:sz w:val="30"/>
      <w:szCs w:val="30"/>
    </w:rPr>
  </w:style>
  <w:style w:type="paragraph" w:customStyle="1" w:styleId="101">
    <w:name w:val="样式 标题 4 + 左侧:  0 厘米 悬挂缩进: 8.64 字符 行距: 最小值 18.8 磅"/>
    <w:basedOn w:val="5"/>
    <w:qFormat/>
    <w:uiPriority w:val="0"/>
    <w:pPr>
      <w:spacing w:before="120" w:after="120" w:line="360" w:lineRule="auto"/>
      <w:ind w:left="862" w:hanging="862"/>
    </w:pPr>
    <w:rPr>
      <w:rFonts w:eastAsia="宋体"/>
      <w:sz w:val="24"/>
      <w:szCs w:val="24"/>
    </w:rPr>
  </w:style>
  <w:style w:type="paragraph" w:customStyle="1" w:styleId="102">
    <w:name w:val="规范正文 Char Char Char"/>
    <w:basedOn w:val="1"/>
    <w:qFormat/>
    <w:uiPriority w:val="0"/>
    <w:pPr>
      <w:adjustRightInd w:val="0"/>
      <w:spacing w:line="360" w:lineRule="auto"/>
      <w:ind w:left="227" w:firstLine="454"/>
      <w:textAlignment w:val="baseline"/>
    </w:pPr>
    <w:rPr>
      <w:rFonts w:eastAsia="宋体"/>
    </w:rPr>
  </w:style>
  <w:style w:type="paragraph" w:customStyle="1" w:styleId="103">
    <w:name w:val="样式 首行缩进:  2 字符"/>
    <w:basedOn w:val="1"/>
    <w:qFormat/>
    <w:uiPriority w:val="0"/>
    <w:pPr>
      <w:spacing w:line="360" w:lineRule="auto"/>
      <w:ind w:firstLine="200" w:firstLineChars="200"/>
    </w:pPr>
    <w:rPr>
      <w:rFonts w:eastAsia="宋体"/>
    </w:rPr>
  </w:style>
  <w:style w:type="paragraph" w:customStyle="1" w:styleId="104">
    <w:name w:val="规范正文 Char Char"/>
    <w:basedOn w:val="1"/>
    <w:qFormat/>
    <w:uiPriority w:val="0"/>
    <w:pPr>
      <w:adjustRightInd w:val="0"/>
      <w:spacing w:line="360" w:lineRule="auto"/>
      <w:ind w:left="227" w:firstLine="454"/>
      <w:textAlignment w:val="baseline"/>
    </w:pPr>
    <w:rPr>
      <w:rFonts w:eastAsia="宋体"/>
      <w:kern w:val="0"/>
      <w:szCs w:val="20"/>
    </w:rPr>
  </w:style>
  <w:style w:type="paragraph" w:customStyle="1" w:styleId="105">
    <w:name w:val="样式 标题 2 + 左侧:  0 厘米 首行缩进:  0 厘米 右侧:  2 字符"/>
    <w:basedOn w:val="3"/>
    <w:qFormat/>
    <w:uiPriority w:val="0"/>
    <w:pPr>
      <w:spacing w:before="120" w:after="120" w:line="360" w:lineRule="auto"/>
      <w:ind w:right="420" w:rightChars="200"/>
    </w:pPr>
    <w:rPr>
      <w:sz w:val="24"/>
      <w:szCs w:val="28"/>
    </w:rPr>
  </w:style>
  <w:style w:type="paragraph" w:customStyle="1" w:styleId="106">
    <w:name w:val="Default Text"/>
    <w:basedOn w:val="1"/>
    <w:qFormat/>
    <w:uiPriority w:val="0"/>
    <w:pPr>
      <w:widowControl/>
      <w:overflowPunct w:val="0"/>
      <w:autoSpaceDE w:val="0"/>
      <w:autoSpaceDN w:val="0"/>
      <w:adjustRightInd w:val="0"/>
      <w:jc w:val="left"/>
      <w:textAlignment w:val="baseline"/>
    </w:pPr>
    <w:rPr>
      <w:kern w:val="0"/>
      <w:szCs w:val="20"/>
    </w:rPr>
  </w:style>
  <w:style w:type="paragraph" w:customStyle="1" w:styleId="107">
    <w:name w:val="缺省文本"/>
    <w:basedOn w:val="1"/>
    <w:qFormat/>
    <w:uiPriority w:val="0"/>
    <w:pPr>
      <w:widowControl/>
      <w:overflowPunct w:val="0"/>
      <w:autoSpaceDE w:val="0"/>
      <w:autoSpaceDN w:val="0"/>
      <w:adjustRightInd w:val="0"/>
      <w:spacing w:line="360" w:lineRule="auto"/>
      <w:ind w:firstLine="720"/>
      <w:textAlignment w:val="baseline"/>
    </w:pPr>
    <w:rPr>
      <w:rFonts w:ascii="宋体"/>
      <w:kern w:val="0"/>
      <w:sz w:val="28"/>
      <w:szCs w:val="20"/>
    </w:rPr>
  </w:style>
  <w:style w:type="paragraph" w:customStyle="1" w:styleId="108">
    <w:name w:val="font9"/>
    <w:basedOn w:val="1"/>
    <w:qFormat/>
    <w:uiPriority w:val="0"/>
    <w:pPr>
      <w:widowControl/>
      <w:spacing w:before="100" w:beforeAutospacing="1" w:after="100" w:afterAutospacing="1"/>
      <w:jc w:val="left"/>
    </w:pPr>
    <w:rPr>
      <w:rFonts w:eastAsia="宋体"/>
      <w:b/>
      <w:bCs/>
      <w:kern w:val="0"/>
      <w:sz w:val="20"/>
      <w:szCs w:val="20"/>
    </w:rPr>
  </w:style>
  <w:style w:type="paragraph" w:customStyle="1" w:styleId="109">
    <w:name w:val="font10"/>
    <w:basedOn w:val="1"/>
    <w:qFormat/>
    <w:uiPriority w:val="0"/>
    <w:pPr>
      <w:widowControl/>
      <w:spacing w:before="100" w:beforeAutospacing="1" w:after="100" w:afterAutospacing="1"/>
      <w:jc w:val="left"/>
    </w:pPr>
    <w:rPr>
      <w:rFonts w:ascii="Arial Narrow" w:hAnsi="Arial Narrow" w:eastAsia="宋体"/>
      <w:kern w:val="0"/>
      <w:sz w:val="20"/>
      <w:szCs w:val="20"/>
    </w:rPr>
  </w:style>
  <w:style w:type="paragraph" w:customStyle="1" w:styleId="110">
    <w:name w:val="font11"/>
    <w:basedOn w:val="1"/>
    <w:qFormat/>
    <w:uiPriority w:val="0"/>
    <w:pPr>
      <w:widowControl/>
      <w:spacing w:before="100" w:beforeAutospacing="1" w:after="100" w:afterAutospacing="1"/>
      <w:jc w:val="left"/>
    </w:pPr>
    <w:rPr>
      <w:rFonts w:hint="eastAsia" w:ascii="宋体" w:hAnsi="宋体" w:eastAsia="宋体"/>
      <w:kern w:val="0"/>
      <w:sz w:val="20"/>
      <w:szCs w:val="20"/>
    </w:rPr>
  </w:style>
  <w:style w:type="paragraph" w:customStyle="1" w:styleId="111">
    <w:name w:val="font12"/>
    <w:basedOn w:val="1"/>
    <w:qFormat/>
    <w:uiPriority w:val="0"/>
    <w:pPr>
      <w:widowControl/>
      <w:spacing w:before="100" w:beforeAutospacing="1" w:after="100" w:afterAutospacing="1"/>
      <w:jc w:val="left"/>
    </w:pPr>
    <w:rPr>
      <w:rFonts w:eastAsia="宋体"/>
      <w:kern w:val="0"/>
      <w:sz w:val="20"/>
      <w:szCs w:val="20"/>
    </w:rPr>
  </w:style>
  <w:style w:type="paragraph" w:customStyle="1" w:styleId="1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b/>
      <w:bCs/>
      <w:kern w:val="0"/>
      <w:sz w:val="20"/>
      <w:szCs w:val="20"/>
    </w:rPr>
  </w:style>
  <w:style w:type="paragraph" w:customStyle="1" w:styleId="11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11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kern w:val="0"/>
      <w:sz w:val="20"/>
      <w:szCs w:val="20"/>
    </w:rPr>
  </w:style>
  <w:style w:type="paragraph" w:customStyle="1" w:styleId="11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1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kern w:val="0"/>
      <w:sz w:val="20"/>
      <w:szCs w:val="20"/>
    </w:rPr>
  </w:style>
  <w:style w:type="paragraph" w:customStyle="1" w:styleId="11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宋体"/>
      <w:kern w:val="0"/>
      <w:sz w:val="20"/>
      <w:szCs w:val="20"/>
    </w:rPr>
  </w:style>
  <w:style w:type="paragraph" w:customStyle="1" w:styleId="12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2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宋体"/>
      <w:kern w:val="0"/>
      <w:sz w:val="20"/>
      <w:szCs w:val="20"/>
    </w:rPr>
  </w:style>
  <w:style w:type="paragraph" w:customStyle="1" w:styleId="12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2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12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12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kern w:val="0"/>
      <w:sz w:val="20"/>
      <w:szCs w:val="20"/>
    </w:rPr>
  </w:style>
  <w:style w:type="paragraph" w:customStyle="1" w:styleId="12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kern w:val="0"/>
      <w:sz w:val="20"/>
      <w:szCs w:val="20"/>
    </w:rPr>
  </w:style>
  <w:style w:type="paragraph" w:customStyle="1" w:styleId="12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129">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130">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eastAsia="宋体"/>
      <w:kern w:val="0"/>
      <w:sz w:val="20"/>
      <w:szCs w:val="20"/>
    </w:rPr>
  </w:style>
  <w:style w:type="paragraph" w:customStyle="1" w:styleId="131">
    <w:name w:val="xl4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132">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133">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kern w:val="0"/>
      <w:sz w:val="20"/>
      <w:szCs w:val="20"/>
    </w:rPr>
  </w:style>
  <w:style w:type="paragraph" w:customStyle="1" w:styleId="134">
    <w:name w:val="xl4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135">
    <w:name w:val="xl4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137">
    <w:name w:val="xl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38">
    <w:name w:val="xl5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eastAsia="宋体"/>
      <w:kern w:val="0"/>
      <w:sz w:val="20"/>
      <w:szCs w:val="20"/>
    </w:rPr>
  </w:style>
  <w:style w:type="paragraph" w:customStyle="1" w:styleId="139">
    <w:name w:val="xl5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140">
    <w:name w:val="xl54"/>
    <w:basedOn w:val="1"/>
    <w:qFormat/>
    <w:uiPriority w:val="0"/>
    <w:pPr>
      <w:widowControl/>
      <w:spacing w:before="100" w:beforeAutospacing="1" w:after="100" w:afterAutospacing="1"/>
      <w:jc w:val="left"/>
      <w:textAlignment w:val="center"/>
    </w:pPr>
    <w:rPr>
      <w:rFonts w:ascii="宋体" w:hAnsi="宋体" w:eastAsia="宋体"/>
      <w:kern w:val="0"/>
      <w:sz w:val="20"/>
      <w:szCs w:val="20"/>
    </w:rPr>
  </w:style>
  <w:style w:type="paragraph" w:customStyle="1" w:styleId="141">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142">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eastAsia="宋体"/>
      <w:kern w:val="0"/>
      <w:sz w:val="20"/>
      <w:szCs w:val="20"/>
    </w:rPr>
  </w:style>
  <w:style w:type="paragraph" w:customStyle="1" w:styleId="143">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144">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45">
    <w:name w:val="xl5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46">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kern w:val="0"/>
      <w:sz w:val="20"/>
      <w:szCs w:val="20"/>
    </w:rPr>
  </w:style>
  <w:style w:type="paragraph" w:customStyle="1" w:styleId="147">
    <w:name w:val="xl6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kern w:val="0"/>
      <w:sz w:val="20"/>
      <w:szCs w:val="20"/>
    </w:rPr>
  </w:style>
  <w:style w:type="paragraph" w:customStyle="1" w:styleId="148">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eastAsia="宋体"/>
      <w:kern w:val="0"/>
      <w:sz w:val="20"/>
      <w:szCs w:val="20"/>
    </w:rPr>
  </w:style>
  <w:style w:type="paragraph" w:customStyle="1" w:styleId="14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宋体"/>
      <w:kern w:val="0"/>
      <w:sz w:val="20"/>
      <w:szCs w:val="20"/>
    </w:rPr>
  </w:style>
  <w:style w:type="paragraph" w:customStyle="1" w:styleId="15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0"/>
      <w:szCs w:val="20"/>
    </w:rPr>
  </w:style>
  <w:style w:type="paragraph" w:customStyle="1" w:styleId="15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宋体"/>
      <w:kern w:val="0"/>
      <w:sz w:val="20"/>
      <w:szCs w:val="20"/>
    </w:rPr>
  </w:style>
  <w:style w:type="paragraph" w:customStyle="1" w:styleId="15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宋体"/>
      <w:kern w:val="0"/>
      <w:sz w:val="20"/>
      <w:szCs w:val="20"/>
    </w:rPr>
  </w:style>
  <w:style w:type="paragraph" w:customStyle="1" w:styleId="153">
    <w:name w:val="IBM 正文"/>
    <w:basedOn w:val="1"/>
    <w:qFormat/>
    <w:uiPriority w:val="0"/>
    <w:pPr>
      <w:spacing w:line="400" w:lineRule="exact"/>
    </w:pPr>
    <w:rPr>
      <w:rFonts w:eastAsia="宋体"/>
      <w:spacing w:val="20"/>
    </w:rPr>
  </w:style>
  <w:style w:type="paragraph" w:customStyle="1" w:styleId="154">
    <w:name w:val="默认段落字体 Para Char Char Char Char Char Char Char Char Char1 Char Char Char Char"/>
    <w:basedOn w:val="1"/>
    <w:qFormat/>
    <w:uiPriority w:val="0"/>
    <w:rPr>
      <w:rFonts w:ascii="Tahoma" w:hAnsi="Tahoma" w:eastAsia="宋体"/>
      <w:szCs w:val="20"/>
    </w:rPr>
  </w:style>
  <w:style w:type="paragraph" w:customStyle="1" w:styleId="155">
    <w:name w:val="Char Char1 Char Char Char Char Char1 Char Char Char Char"/>
    <w:basedOn w:val="14"/>
    <w:qFormat/>
    <w:uiPriority w:val="0"/>
    <w:rPr>
      <w:rFonts w:ascii="Tahoma" w:hAnsi="Tahoma" w:eastAsia="仿宋_GB2312"/>
      <w:sz w:val="30"/>
      <w:szCs w:val="30"/>
    </w:rPr>
  </w:style>
  <w:style w:type="paragraph" w:customStyle="1" w:styleId="156">
    <w:name w:val="点标题"/>
    <w:basedOn w:val="1"/>
    <w:qFormat/>
    <w:uiPriority w:val="0"/>
    <w:pPr>
      <w:tabs>
        <w:tab w:val="left" w:pos="1135"/>
      </w:tabs>
      <w:spacing w:line="360" w:lineRule="auto"/>
      <w:ind w:left="851" w:right="210" w:rightChars="100" w:hanging="284"/>
    </w:pPr>
    <w:rPr>
      <w:rFonts w:eastAsia="宋体"/>
    </w:rPr>
  </w:style>
  <w:style w:type="paragraph" w:customStyle="1" w:styleId="157">
    <w:name w:val="reader-word-layer"/>
    <w:basedOn w:val="1"/>
    <w:qFormat/>
    <w:uiPriority w:val="0"/>
    <w:pPr>
      <w:widowControl/>
      <w:spacing w:before="100" w:beforeAutospacing="1" w:after="100" w:afterAutospacing="1"/>
      <w:jc w:val="left"/>
    </w:pPr>
    <w:rPr>
      <w:rFonts w:ascii="宋体" w:hAnsi="宋体" w:eastAsia="宋体" w:cs="宋体"/>
      <w:kern w:val="0"/>
    </w:rPr>
  </w:style>
  <w:style w:type="paragraph" w:customStyle="1" w:styleId="158">
    <w:name w:val="正文1"/>
    <w:qFormat/>
    <w:uiPriority w:val="99"/>
    <w:rPr>
      <w:rFonts w:ascii="Arial Unicode MS" w:hAnsi="Arial Unicode MS" w:eastAsia="宋体" w:cs="Arial Unicode MS"/>
      <w:color w:val="000000"/>
      <w:sz w:val="22"/>
      <w:u w:color="000000"/>
      <w:lang w:val="zh-TW" w:eastAsia="zh-TW" w:bidi="ar-SA"/>
    </w:rPr>
  </w:style>
  <w:style w:type="paragraph" w:customStyle="1" w:styleId="159">
    <w:name w:val="题目"/>
    <w:next w:val="158"/>
    <w:qFormat/>
    <w:uiPriority w:val="99"/>
    <w:pPr>
      <w:outlineLvl w:val="3"/>
    </w:pPr>
    <w:rPr>
      <w:rFonts w:ascii="Helvetica" w:hAnsi="Helvetica" w:eastAsia="宋体" w:cs="Helvetica"/>
      <w:b/>
      <w:bCs/>
      <w:color w:val="000000"/>
      <w:sz w:val="36"/>
      <w:szCs w:val="36"/>
      <w:u w:color="000000"/>
      <w:lang w:val="en-US" w:eastAsia="zh-CN" w:bidi="ar-SA"/>
    </w:rPr>
  </w:style>
  <w:style w:type="paragraph" w:customStyle="1" w:styleId="160">
    <w:name w:val="reader-word-layer reader-word-s4-9"/>
    <w:basedOn w:val="1"/>
    <w:qFormat/>
    <w:uiPriority w:val="99"/>
    <w:pPr>
      <w:widowControl/>
      <w:spacing w:before="100" w:beforeAutospacing="1" w:after="100" w:afterAutospacing="1"/>
      <w:jc w:val="left"/>
    </w:pPr>
    <w:rPr>
      <w:rFonts w:ascii="宋体" w:hAnsi="宋体" w:eastAsia="宋体" w:cs="宋体"/>
      <w:kern w:val="0"/>
    </w:rPr>
  </w:style>
  <w:style w:type="paragraph" w:customStyle="1" w:styleId="161">
    <w:name w:val="内容说明"/>
    <w:basedOn w:val="1"/>
    <w:qFormat/>
    <w:uiPriority w:val="0"/>
    <w:pPr>
      <w:spacing w:beforeLines="50"/>
      <w:ind w:firstLine="200" w:firstLineChars="200"/>
    </w:pPr>
    <w:rPr>
      <w:rFonts w:ascii="Calibri" w:hAnsi="Calibri" w:eastAsia="宋体"/>
      <w:i/>
      <w:color w:val="0000FF"/>
      <w:szCs w:val="22"/>
    </w:rPr>
  </w:style>
  <w:style w:type="paragraph" w:customStyle="1" w:styleId="162">
    <w:name w:val="Char Char1 Char Char Char Char Char Char Char Char1"/>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163">
    <w:name w:val="Char1"/>
    <w:basedOn w:val="6"/>
    <w:qFormat/>
    <w:uiPriority w:val="0"/>
    <w:pPr>
      <w:widowControl/>
      <w:tabs>
        <w:tab w:val="left" w:pos="1724"/>
      </w:tabs>
      <w:spacing w:after="160" w:line="240" w:lineRule="exact"/>
      <w:ind w:left="1292" w:hanging="1008"/>
      <w:jc w:val="left"/>
    </w:pPr>
    <w:rPr>
      <w:rFonts w:ascii="Verdana" w:hAnsi="Verdana"/>
      <w:kern w:val="0"/>
      <w:sz w:val="20"/>
      <w:szCs w:val="20"/>
      <w:lang w:eastAsia="en-US"/>
    </w:rPr>
  </w:style>
  <w:style w:type="paragraph" w:customStyle="1" w:styleId="164">
    <w:name w:val="列出段落4"/>
    <w:basedOn w:val="1"/>
    <w:qFormat/>
    <w:uiPriority w:val="0"/>
    <w:pPr>
      <w:ind w:firstLine="420" w:firstLineChars="200"/>
    </w:pPr>
    <w:rPr>
      <w:rFonts w:ascii="Calibri" w:hAnsi="Calibri" w:eastAsia="宋体"/>
      <w:sz w:val="32"/>
      <w:szCs w:val="22"/>
    </w:rPr>
  </w:style>
  <w:style w:type="character" w:customStyle="1" w:styleId="165">
    <w:name w:val="页眉 Char"/>
    <w:link w:val="29"/>
    <w:qFormat/>
    <w:uiPriority w:val="99"/>
    <w:rPr>
      <w:sz w:val="18"/>
      <w:szCs w:val="18"/>
    </w:rPr>
  </w:style>
  <w:style w:type="character" w:customStyle="1" w:styleId="166">
    <w:name w:val="页脚 Char"/>
    <w:link w:val="28"/>
    <w:qFormat/>
    <w:uiPriority w:val="99"/>
    <w:rPr>
      <w:sz w:val="18"/>
      <w:szCs w:val="18"/>
    </w:rPr>
  </w:style>
  <w:style w:type="character" w:customStyle="1" w:styleId="167">
    <w:name w:val="正文缩进 Char"/>
    <w:link w:val="12"/>
    <w:qFormat/>
    <w:uiPriority w:val="0"/>
    <w:rPr>
      <w:rFonts w:ascii="Times New Roman" w:hAnsi="Times New Roman" w:eastAsia="仿宋_GB2312" w:cs="Times New Roman"/>
      <w:sz w:val="24"/>
      <w:szCs w:val="24"/>
    </w:rPr>
  </w:style>
  <w:style w:type="character" w:customStyle="1" w:styleId="168">
    <w:name w:val="标题 1 Char"/>
    <w:link w:val="2"/>
    <w:qFormat/>
    <w:uiPriority w:val="9"/>
    <w:rPr>
      <w:rFonts w:ascii="Times New Roman" w:hAnsi="Times New Roman" w:eastAsia="仿宋_GB2312" w:cs="Times New Roman"/>
      <w:b/>
      <w:bCs/>
      <w:kern w:val="44"/>
      <w:sz w:val="44"/>
      <w:szCs w:val="44"/>
    </w:rPr>
  </w:style>
  <w:style w:type="character" w:customStyle="1" w:styleId="169">
    <w:name w:val="纯文本 Char"/>
    <w:semiHidden/>
    <w:qFormat/>
    <w:uiPriority w:val="99"/>
    <w:rPr>
      <w:rFonts w:ascii="宋体" w:hAnsi="Courier New" w:eastAsia="宋体" w:cs="Courier New"/>
      <w:szCs w:val="21"/>
    </w:rPr>
  </w:style>
  <w:style w:type="character" w:customStyle="1" w:styleId="170">
    <w:name w:val="纯文本 Char1"/>
    <w:link w:val="23"/>
    <w:qFormat/>
    <w:uiPriority w:val="0"/>
    <w:rPr>
      <w:rFonts w:ascii="宋体" w:hAnsi="Courier New" w:eastAsia="宋体" w:cs="Times New Roman"/>
      <w:szCs w:val="20"/>
    </w:rPr>
  </w:style>
  <w:style w:type="character" w:customStyle="1" w:styleId="171">
    <w:name w:val="批注框文本 Char"/>
    <w:link w:val="27"/>
    <w:qFormat/>
    <w:uiPriority w:val="0"/>
    <w:rPr>
      <w:rFonts w:ascii="Times New Roman" w:hAnsi="Times New Roman" w:eastAsia="仿宋_GB2312" w:cs="Times New Roman"/>
      <w:sz w:val="18"/>
      <w:szCs w:val="18"/>
    </w:rPr>
  </w:style>
  <w:style w:type="character" w:customStyle="1" w:styleId="172">
    <w:name w:val="black1"/>
    <w:qFormat/>
    <w:uiPriority w:val="0"/>
    <w:rPr>
      <w:rFonts w:hint="default" w:ascii="ˎ̥" w:hAnsi="ˎ̥"/>
      <w:color w:val="333333"/>
      <w:sz w:val="18"/>
      <w:szCs w:val="18"/>
      <w:u w:val="none"/>
    </w:rPr>
  </w:style>
  <w:style w:type="character" w:customStyle="1" w:styleId="173">
    <w:name w:val="标题 3 Char"/>
    <w:link w:val="4"/>
    <w:qFormat/>
    <w:uiPriority w:val="9"/>
    <w:rPr>
      <w:rFonts w:ascii="Times New Roman" w:hAnsi="Times New Roman" w:eastAsia="仿宋_GB2312" w:cs="Times New Roman"/>
      <w:b/>
      <w:bCs/>
      <w:sz w:val="32"/>
      <w:szCs w:val="32"/>
    </w:rPr>
  </w:style>
  <w:style w:type="character" w:customStyle="1" w:styleId="174">
    <w:name w:val="标题 2 Char"/>
    <w:link w:val="3"/>
    <w:qFormat/>
    <w:uiPriority w:val="9"/>
    <w:rPr>
      <w:rFonts w:ascii="Arial" w:hAnsi="Arial" w:eastAsia="黑体" w:cs="Times New Roman"/>
      <w:b/>
      <w:bCs/>
      <w:sz w:val="32"/>
      <w:szCs w:val="32"/>
    </w:rPr>
  </w:style>
  <w:style w:type="character" w:customStyle="1" w:styleId="175">
    <w:name w:val="标题 4 Char"/>
    <w:link w:val="5"/>
    <w:qFormat/>
    <w:uiPriority w:val="9"/>
    <w:rPr>
      <w:rFonts w:ascii="Arial" w:hAnsi="Arial" w:eastAsia="黑体" w:cs="Times New Roman"/>
      <w:b/>
      <w:bCs/>
      <w:sz w:val="28"/>
      <w:szCs w:val="28"/>
    </w:rPr>
  </w:style>
  <w:style w:type="character" w:customStyle="1" w:styleId="176">
    <w:name w:val="标题 5 Char"/>
    <w:link w:val="6"/>
    <w:qFormat/>
    <w:uiPriority w:val="9"/>
    <w:rPr>
      <w:rFonts w:ascii="Times New Roman" w:hAnsi="Times New Roman" w:eastAsia="宋体" w:cs="Times New Roman"/>
      <w:b/>
      <w:bCs/>
      <w:sz w:val="28"/>
      <w:szCs w:val="28"/>
    </w:rPr>
  </w:style>
  <w:style w:type="character" w:customStyle="1" w:styleId="177">
    <w:name w:val="标题 6 Char"/>
    <w:link w:val="7"/>
    <w:qFormat/>
    <w:uiPriority w:val="9"/>
    <w:rPr>
      <w:rFonts w:ascii="Cambria" w:hAnsi="Cambria" w:eastAsia="宋体" w:cs="Times New Roman"/>
      <w:b/>
      <w:bCs/>
      <w:sz w:val="24"/>
      <w:szCs w:val="24"/>
    </w:rPr>
  </w:style>
  <w:style w:type="character" w:customStyle="1" w:styleId="178">
    <w:name w:val="日期 Char"/>
    <w:link w:val="25"/>
    <w:qFormat/>
    <w:uiPriority w:val="0"/>
    <w:rPr>
      <w:rFonts w:ascii="Times New Roman" w:hAnsi="Times New Roman" w:eastAsia="宋体" w:cs="Times New Roman"/>
      <w:sz w:val="32"/>
      <w:szCs w:val="20"/>
    </w:rPr>
  </w:style>
  <w:style w:type="character" w:customStyle="1" w:styleId="179">
    <w:name w:val="正文文本 Char"/>
    <w:link w:val="17"/>
    <w:qFormat/>
    <w:uiPriority w:val="99"/>
    <w:rPr>
      <w:rFonts w:ascii="Times New Roman" w:hAnsi="Times New Roman" w:eastAsia="宋体" w:cs="Times New Roman"/>
      <w:sz w:val="24"/>
      <w:szCs w:val="20"/>
    </w:rPr>
  </w:style>
  <w:style w:type="character" w:customStyle="1" w:styleId="180">
    <w:name w:val="文档结构图 Char"/>
    <w:link w:val="14"/>
    <w:qFormat/>
    <w:uiPriority w:val="0"/>
    <w:rPr>
      <w:rFonts w:ascii="Times New Roman" w:hAnsi="Times New Roman" w:eastAsia="宋体" w:cs="Times New Roman"/>
      <w:sz w:val="32"/>
      <w:szCs w:val="24"/>
      <w:shd w:val="clear" w:color="auto" w:fill="000080"/>
    </w:rPr>
  </w:style>
  <w:style w:type="character" w:customStyle="1" w:styleId="181">
    <w:name w:val="正文文本缩进 Char"/>
    <w:link w:val="18"/>
    <w:qFormat/>
    <w:uiPriority w:val="0"/>
    <w:rPr>
      <w:rFonts w:ascii="Times New Roman" w:hAnsi="Times New Roman" w:eastAsia="宋体" w:cs="Times New Roman"/>
      <w:sz w:val="32"/>
      <w:szCs w:val="24"/>
    </w:rPr>
  </w:style>
  <w:style w:type="character" w:customStyle="1" w:styleId="182">
    <w:name w:val="正文首行缩进 2 Char"/>
    <w:link w:val="42"/>
    <w:qFormat/>
    <w:uiPriority w:val="0"/>
    <w:rPr>
      <w:rFonts w:ascii="Times New Roman" w:hAnsi="Times New Roman" w:eastAsia="宋体" w:cs="Times New Roman"/>
      <w:sz w:val="32"/>
      <w:szCs w:val="24"/>
    </w:rPr>
  </w:style>
  <w:style w:type="character" w:customStyle="1" w:styleId="183">
    <w:name w:val="16"/>
    <w:qFormat/>
    <w:uiPriority w:val="0"/>
    <w:rPr>
      <w:rFonts w:hint="default" w:ascii="???" w:hAnsi="???"/>
      <w:color w:val="333333"/>
      <w:sz w:val="18"/>
      <w:szCs w:val="18"/>
      <w:u w:val="none"/>
    </w:rPr>
  </w:style>
  <w:style w:type="character" w:customStyle="1" w:styleId="184">
    <w:name w:val="bct1"/>
    <w:qFormat/>
    <w:uiPriority w:val="0"/>
    <w:rPr>
      <w:rFonts w:hint="default" w:ascii="Arial" w:hAnsi="Arial" w:cs="Arial"/>
      <w:color w:val="000000"/>
      <w:spacing w:val="360"/>
      <w:sz w:val="18"/>
      <w:szCs w:val="18"/>
    </w:rPr>
  </w:style>
  <w:style w:type="character" w:customStyle="1" w:styleId="185">
    <w:name w:val="apple-style-span"/>
    <w:qFormat/>
    <w:uiPriority w:val="0"/>
  </w:style>
  <w:style w:type="character" w:customStyle="1" w:styleId="186">
    <w:name w:val="列出段落 Char"/>
    <w:link w:val="77"/>
    <w:qFormat/>
    <w:uiPriority w:val="34"/>
    <w:rPr>
      <w:rFonts w:ascii="Cambria" w:hAnsi="Cambria"/>
      <w:kern w:val="44"/>
      <w:szCs w:val="44"/>
    </w:rPr>
  </w:style>
  <w:style w:type="character" w:customStyle="1" w:styleId="187">
    <w:name w:val="中文正文 Char"/>
    <w:link w:val="78"/>
    <w:qFormat/>
    <w:uiPriority w:val="0"/>
    <w:rPr>
      <w:sz w:val="24"/>
      <w:szCs w:val="24"/>
    </w:rPr>
  </w:style>
  <w:style w:type="character" w:customStyle="1" w:styleId="188">
    <w:name w:val="列表段落 字符"/>
    <w:link w:val="54"/>
    <w:qFormat/>
    <w:locked/>
    <w:uiPriority w:val="34"/>
    <w:rPr>
      <w:rFonts w:ascii="Times New Roman" w:hAnsi="Times New Roman" w:eastAsia="仿宋_GB2312" w:cs="Times New Roman"/>
      <w:sz w:val="24"/>
      <w:szCs w:val="24"/>
    </w:rPr>
  </w:style>
  <w:style w:type="character" w:customStyle="1" w:styleId="189">
    <w:name w:val="标题 字符"/>
    <w:qFormat/>
    <w:uiPriority w:val="0"/>
    <w:rPr>
      <w:rFonts w:ascii="Cambria" w:hAnsi="Cambria" w:eastAsia="宋体" w:cs="黑体"/>
      <w:b/>
      <w:bCs/>
      <w:sz w:val="32"/>
      <w:szCs w:val="32"/>
    </w:rPr>
  </w:style>
  <w:style w:type="character" w:customStyle="1" w:styleId="190">
    <w:name w:val="标题 Char"/>
    <w:link w:val="39"/>
    <w:qFormat/>
    <w:locked/>
    <w:uiPriority w:val="0"/>
    <w:rPr>
      <w:rFonts w:ascii="Arial" w:hAnsi="Arial" w:eastAsia="隶书" w:cs="Arial"/>
      <w:b/>
      <w:bCs/>
      <w:sz w:val="32"/>
      <w:szCs w:val="32"/>
    </w:rPr>
  </w:style>
  <w:style w:type="character" w:customStyle="1" w:styleId="191">
    <w:name w:val="标题 7 Char"/>
    <w:link w:val="8"/>
    <w:qFormat/>
    <w:uiPriority w:val="0"/>
    <w:rPr>
      <w:rFonts w:ascii="Times New Roman" w:hAnsi="Times New Roman" w:eastAsia="仿宋_GB2312" w:cs="Times New Roman"/>
      <w:b/>
      <w:bCs/>
      <w:kern w:val="0"/>
      <w:sz w:val="24"/>
      <w:szCs w:val="24"/>
    </w:rPr>
  </w:style>
  <w:style w:type="character" w:customStyle="1" w:styleId="192">
    <w:name w:val="标题 8 Char"/>
    <w:link w:val="9"/>
    <w:qFormat/>
    <w:uiPriority w:val="0"/>
    <w:rPr>
      <w:rFonts w:ascii="Arial" w:hAnsi="Arial" w:eastAsia="黑体" w:cs="Times New Roman"/>
      <w:kern w:val="0"/>
      <w:sz w:val="24"/>
      <w:szCs w:val="24"/>
    </w:rPr>
  </w:style>
  <w:style w:type="character" w:customStyle="1" w:styleId="193">
    <w:name w:val="标题 9 Char"/>
    <w:link w:val="10"/>
    <w:qFormat/>
    <w:uiPriority w:val="0"/>
    <w:rPr>
      <w:rFonts w:ascii="Arial" w:hAnsi="Arial" w:eastAsia="黑体" w:cs="Times New Roman"/>
      <w:kern w:val="0"/>
      <w:sz w:val="24"/>
      <w:szCs w:val="21"/>
    </w:rPr>
  </w:style>
  <w:style w:type="character" w:customStyle="1" w:styleId="194">
    <w:name w:val="正文文本 3 Char"/>
    <w:link w:val="16"/>
    <w:qFormat/>
    <w:uiPriority w:val="0"/>
    <w:rPr>
      <w:rFonts w:ascii="宋体" w:hAnsi="Times New Roman" w:eastAsia="仿宋_GB2312" w:cs="Times New Roman"/>
      <w:sz w:val="24"/>
      <w:szCs w:val="20"/>
    </w:rPr>
  </w:style>
  <w:style w:type="character" w:customStyle="1" w:styleId="195">
    <w:name w:val="正文文本缩进 3 Char"/>
    <w:link w:val="34"/>
    <w:qFormat/>
    <w:uiPriority w:val="0"/>
    <w:rPr>
      <w:rFonts w:ascii="Times New Roman" w:hAnsi="Times New Roman" w:eastAsia="仿宋_GB2312" w:cs="Times New Roman"/>
      <w:sz w:val="16"/>
      <w:szCs w:val="16"/>
    </w:rPr>
  </w:style>
  <w:style w:type="character" w:customStyle="1" w:styleId="196">
    <w:name w:val="font161"/>
    <w:qFormat/>
    <w:uiPriority w:val="0"/>
    <w:rPr>
      <w:b/>
      <w:bCs/>
      <w:sz w:val="32"/>
      <w:szCs w:val="32"/>
    </w:rPr>
  </w:style>
  <w:style w:type="character" w:customStyle="1" w:styleId="197">
    <w:name w:val="msoins"/>
    <w:basedOn w:val="45"/>
    <w:qFormat/>
    <w:uiPriority w:val="0"/>
  </w:style>
  <w:style w:type="character" w:customStyle="1" w:styleId="198">
    <w:name w:val="批注文字 Char"/>
    <w:link w:val="15"/>
    <w:qFormat/>
    <w:uiPriority w:val="0"/>
    <w:rPr>
      <w:rFonts w:ascii="Times New Roman" w:hAnsi="Times New Roman" w:eastAsia="仿宋_GB2312" w:cs="Times New Roman"/>
      <w:sz w:val="24"/>
      <w:szCs w:val="24"/>
    </w:rPr>
  </w:style>
  <w:style w:type="character" w:customStyle="1" w:styleId="199">
    <w:name w:val="批注主题 Char"/>
    <w:link w:val="40"/>
    <w:qFormat/>
    <w:uiPriority w:val="0"/>
    <w:rPr>
      <w:rFonts w:ascii="Times New Roman" w:hAnsi="Times New Roman" w:eastAsia="仿宋_GB2312" w:cs="Times New Roman"/>
      <w:b/>
      <w:bCs/>
      <w:sz w:val="24"/>
      <w:szCs w:val="24"/>
    </w:rPr>
  </w:style>
  <w:style w:type="character" w:customStyle="1" w:styleId="200">
    <w:name w:val="正文首行缩进 Char"/>
    <w:link w:val="41"/>
    <w:qFormat/>
    <w:uiPriority w:val="0"/>
    <w:rPr>
      <w:rFonts w:ascii="Times New Roman" w:hAnsi="Times New Roman" w:eastAsia="仿宋_GB2312" w:cs="Times New Roman"/>
      <w:sz w:val="24"/>
      <w:szCs w:val="24"/>
    </w:rPr>
  </w:style>
  <w:style w:type="character" w:customStyle="1" w:styleId="201">
    <w:name w:val="项目编号A Char"/>
    <w:link w:val="89"/>
    <w:qFormat/>
    <w:uiPriority w:val="0"/>
    <w:rPr>
      <w:rFonts w:ascii="宋体" w:hAnsi="宋体" w:eastAsia="宋体" w:cs="Times New Roman"/>
      <w:color w:val="FF0000"/>
      <w:sz w:val="24"/>
      <w:szCs w:val="24"/>
    </w:rPr>
  </w:style>
  <w:style w:type="character" w:customStyle="1" w:styleId="202">
    <w:name w:val="项目编号B Char"/>
    <w:link w:val="90"/>
    <w:qFormat/>
    <w:uiPriority w:val="0"/>
    <w:rPr>
      <w:rFonts w:ascii="楷体_GB2312" w:hAnsi="Arial" w:eastAsia="楷体_GB2312" w:cs="Times New Roman"/>
      <w:color w:val="000000"/>
      <w:sz w:val="24"/>
      <w:szCs w:val="24"/>
      <w:lang w:val="zh-CN"/>
    </w:rPr>
  </w:style>
  <w:style w:type="character" w:customStyle="1" w:styleId="203">
    <w:name w:val="方案文档 Char"/>
    <w:link w:val="91"/>
    <w:qFormat/>
    <w:uiPriority w:val="0"/>
    <w:rPr>
      <w:rFonts w:ascii="楷体_GB2312" w:hAnsi="Arial" w:eastAsia="楷体_GB2312" w:cs="Times New Roman"/>
      <w:color w:val="000000"/>
      <w:sz w:val="24"/>
      <w:szCs w:val="24"/>
      <w:lang w:val="zh-CN"/>
    </w:rPr>
  </w:style>
  <w:style w:type="character" w:customStyle="1" w:styleId="204">
    <w:name w:val="gold"/>
    <w:basedOn w:val="45"/>
    <w:qFormat/>
    <w:uiPriority w:val="0"/>
  </w:style>
  <w:style w:type="character" w:customStyle="1" w:styleId="205">
    <w:name w:val="规范正文 Char Char Char Char"/>
    <w:qFormat/>
    <w:uiPriority w:val="0"/>
    <w:rPr>
      <w:rFonts w:eastAsia="宋体"/>
      <w:kern w:val="2"/>
      <w:sz w:val="24"/>
      <w:szCs w:val="24"/>
      <w:lang w:val="en-US" w:eastAsia="zh-CN" w:bidi="ar-SA"/>
    </w:rPr>
  </w:style>
  <w:style w:type="character" w:customStyle="1" w:styleId="206">
    <w:name w:val="HTML 预设格式 Char"/>
    <w:link w:val="37"/>
    <w:qFormat/>
    <w:uiPriority w:val="0"/>
    <w:rPr>
      <w:rFonts w:ascii="Arial" w:hAnsi="Arial" w:eastAsia="宋体" w:cs="Times New Roman"/>
      <w:kern w:val="0"/>
      <w:szCs w:val="21"/>
    </w:rPr>
  </w:style>
  <w:style w:type="character" w:customStyle="1" w:styleId="207">
    <w:name w:val="正文文本缩进 2 Char"/>
    <w:link w:val="26"/>
    <w:qFormat/>
    <w:uiPriority w:val="0"/>
    <w:rPr>
      <w:rFonts w:ascii="Times New Roman" w:hAnsi="Times New Roman" w:eastAsia="宋体" w:cs="Times New Roman"/>
      <w:szCs w:val="24"/>
    </w:rPr>
  </w:style>
  <w:style w:type="character" w:customStyle="1" w:styleId="208">
    <w:name w:val="纯文本 字符"/>
    <w:qFormat/>
    <w:uiPriority w:val="0"/>
    <w:rPr>
      <w:rFonts w:ascii="宋体" w:hAnsi="宋体" w:eastAsia="宋体"/>
      <w:color w:val="000000"/>
      <w:sz w:val="24"/>
      <w:lang w:val="en-US" w:eastAsia="zh-CN" w:bidi="ar-SA"/>
    </w:rPr>
  </w:style>
  <w:style w:type="paragraph" w:customStyle="1" w:styleId="209">
    <w:name w:val="_Style 1"/>
    <w:basedOn w:val="1"/>
    <w:qFormat/>
    <w:uiPriority w:val="0"/>
    <w:pPr>
      <w:widowControl/>
      <w:spacing w:after="160" w:line="240" w:lineRule="exact"/>
      <w:jc w:val="left"/>
    </w:pPr>
    <w:rPr>
      <w:rFonts w:eastAsia="宋体"/>
      <w:sz w:val="21"/>
      <w:szCs w:val="21"/>
    </w:rPr>
  </w:style>
  <w:style w:type="paragraph" w:styleId="210">
    <w:name w:val="List Paragraph"/>
    <w:basedOn w:val="1"/>
    <w:link w:val="213"/>
    <w:qFormat/>
    <w:uiPriority w:val="34"/>
    <w:pPr>
      <w:widowControl/>
      <w:ind w:firstLine="420"/>
    </w:pPr>
    <w:rPr>
      <w:rFonts w:eastAsia="宋体"/>
      <w:kern w:val="0"/>
    </w:rPr>
  </w:style>
  <w:style w:type="character" w:customStyle="1" w:styleId="211">
    <w:name w:val="control-label4"/>
    <w:basedOn w:val="45"/>
    <w:qFormat/>
    <w:uiPriority w:val="0"/>
  </w:style>
  <w:style w:type="character" w:customStyle="1" w:styleId="212">
    <w:name w:val="apple-converted-space"/>
    <w:basedOn w:val="45"/>
    <w:qFormat/>
    <w:uiPriority w:val="0"/>
  </w:style>
  <w:style w:type="character" w:customStyle="1" w:styleId="213">
    <w:name w:val="列出段落 Char1"/>
    <w:link w:val="210"/>
    <w:qFormat/>
    <w:locked/>
    <w:uiPriority w:val="34"/>
    <w:rPr>
      <w:sz w:val="24"/>
      <w:szCs w:val="24"/>
    </w:rPr>
  </w:style>
  <w:style w:type="paragraph" w:customStyle="1" w:styleId="214">
    <w:name w:val="列表段落2"/>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215">
    <w:name w:val="Cap_正文"/>
    <w:link w:val="227"/>
    <w:qFormat/>
    <w:uiPriority w:val="0"/>
    <w:pPr>
      <w:spacing w:after="160"/>
      <w:ind w:firstLine="200" w:firstLineChars="200"/>
    </w:pPr>
    <w:rPr>
      <w:rFonts w:ascii="Times New Roman" w:hAnsi="Times New Roman" w:eastAsia="宋体" w:cs="Times New Roman"/>
      <w:sz w:val="22"/>
      <w:szCs w:val="24"/>
      <w:lang w:val="en-US" w:eastAsia="zh-CN" w:bidi="ar-SA"/>
    </w:rPr>
  </w:style>
  <w:style w:type="paragraph" w:customStyle="1" w:styleId="216">
    <w:name w:val="Cap_标题_1"/>
    <w:next w:val="215"/>
    <w:qFormat/>
    <w:uiPriority w:val="0"/>
    <w:pPr>
      <w:keepNext/>
      <w:pageBreakBefore/>
      <w:numPr>
        <w:ilvl w:val="0"/>
        <w:numId w:val="1"/>
      </w:numPr>
      <w:spacing w:before="180" w:after="120"/>
      <w:outlineLvl w:val="0"/>
    </w:pPr>
    <w:rPr>
      <w:rFonts w:ascii="Arial Bold" w:hAnsi="Arial Bold" w:eastAsia="宋体" w:cs="Arial"/>
      <w:b/>
      <w:bCs/>
      <w:smallCaps/>
      <w:color w:val="086A74"/>
      <w:kern w:val="32"/>
      <w:sz w:val="36"/>
      <w:szCs w:val="36"/>
      <w:lang w:val="en-US" w:eastAsia="zh-CN" w:bidi="ar-SA"/>
    </w:rPr>
  </w:style>
  <w:style w:type="paragraph" w:customStyle="1" w:styleId="217">
    <w:name w:val="大标题"/>
    <w:basedOn w:val="1"/>
    <w:link w:val="218"/>
    <w:qFormat/>
    <w:uiPriority w:val="0"/>
    <w:pPr>
      <w:jc w:val="center"/>
    </w:pPr>
    <w:rPr>
      <w:rFonts w:ascii="仿宋" w:hAnsi="仿宋" w:eastAsia="仿宋" w:cstheme="minorBidi"/>
      <w:b/>
      <w:sz w:val="52"/>
      <w:szCs w:val="52"/>
    </w:rPr>
  </w:style>
  <w:style w:type="character" w:customStyle="1" w:styleId="218">
    <w:name w:val="大标题 Char"/>
    <w:basedOn w:val="45"/>
    <w:link w:val="217"/>
    <w:qFormat/>
    <w:uiPriority w:val="0"/>
    <w:rPr>
      <w:rFonts w:ascii="仿宋" w:hAnsi="仿宋" w:eastAsia="仿宋" w:cstheme="minorBidi"/>
      <w:b/>
      <w:kern w:val="2"/>
      <w:sz w:val="52"/>
      <w:szCs w:val="52"/>
    </w:rPr>
  </w:style>
  <w:style w:type="paragraph" w:customStyle="1" w:styleId="219">
    <w:name w:val="正文样式"/>
    <w:basedOn w:val="1"/>
    <w:link w:val="220"/>
    <w:qFormat/>
    <w:uiPriority w:val="0"/>
    <w:pPr>
      <w:spacing w:line="360" w:lineRule="auto"/>
      <w:ind w:firstLine="560" w:firstLineChars="200"/>
      <w:jc w:val="left"/>
    </w:pPr>
    <w:rPr>
      <w:rFonts w:ascii="仿宋" w:hAnsi="仿宋" w:eastAsia="仿宋" w:cstheme="minorBidi"/>
      <w:sz w:val="28"/>
    </w:rPr>
  </w:style>
  <w:style w:type="character" w:customStyle="1" w:styleId="220">
    <w:name w:val="正文样式 Char"/>
    <w:basedOn w:val="45"/>
    <w:link w:val="219"/>
    <w:qFormat/>
    <w:uiPriority w:val="0"/>
    <w:rPr>
      <w:rFonts w:ascii="仿宋" w:hAnsi="仿宋" w:eastAsia="仿宋" w:cstheme="minorBidi"/>
      <w:kern w:val="2"/>
      <w:sz w:val="28"/>
      <w:szCs w:val="24"/>
    </w:rPr>
  </w:style>
  <w:style w:type="character" w:customStyle="1" w:styleId="221">
    <w:name w:val="表格文字 Char"/>
    <w:basedOn w:val="45"/>
    <w:link w:val="84"/>
    <w:qFormat/>
    <w:uiPriority w:val="0"/>
    <w:rPr>
      <w:rFonts w:eastAsia="仿宋_GB2312"/>
      <w:sz w:val="24"/>
    </w:rPr>
  </w:style>
  <w:style w:type="paragraph" w:styleId="2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3">
    <w:name w:val="无缩进正文"/>
    <w:basedOn w:val="219"/>
    <w:link w:val="224"/>
    <w:qFormat/>
    <w:uiPriority w:val="0"/>
    <w:pPr>
      <w:ind w:firstLine="0" w:firstLineChars="0"/>
    </w:pPr>
  </w:style>
  <w:style w:type="character" w:customStyle="1" w:styleId="224">
    <w:name w:val="无缩进正文 Char"/>
    <w:basedOn w:val="220"/>
    <w:link w:val="223"/>
    <w:qFormat/>
    <w:uiPriority w:val="0"/>
    <w:rPr>
      <w:rFonts w:ascii="仿宋" w:hAnsi="仿宋" w:eastAsia="仿宋" w:cstheme="minorBidi"/>
      <w:kern w:val="2"/>
      <w:sz w:val="28"/>
      <w:szCs w:val="24"/>
    </w:rPr>
  </w:style>
  <w:style w:type="paragraph" w:customStyle="1" w:styleId="225">
    <w:name w:val="Cap_标题_2"/>
    <w:next w:val="215"/>
    <w:qFormat/>
    <w:uiPriority w:val="0"/>
    <w:pPr>
      <w:keepNext/>
      <w:tabs>
        <w:tab w:val="left" w:pos="567"/>
        <w:tab w:val="left" w:pos="653"/>
      </w:tabs>
      <w:spacing w:before="180" w:after="120"/>
      <w:ind w:left="567" w:hanging="567"/>
      <w:outlineLvl w:val="1"/>
    </w:pPr>
    <w:rPr>
      <w:rFonts w:ascii="Arial Bold" w:hAnsi="Arial Bold" w:eastAsia="宋体" w:cs="Times New Roman"/>
      <w:b/>
      <w:color w:val="7E6D59"/>
      <w:sz w:val="32"/>
      <w:szCs w:val="24"/>
      <w:lang w:val="en-US" w:eastAsia="zh-CN" w:bidi="ar-SA"/>
    </w:rPr>
  </w:style>
  <w:style w:type="paragraph" w:customStyle="1" w:styleId="226">
    <w:name w:val="Cap_标题_3"/>
    <w:next w:val="215"/>
    <w:qFormat/>
    <w:uiPriority w:val="0"/>
    <w:pPr>
      <w:keepNext/>
      <w:tabs>
        <w:tab w:val="left" w:pos="653"/>
        <w:tab w:val="left" w:pos="851"/>
      </w:tabs>
      <w:spacing w:before="180" w:after="120"/>
      <w:ind w:left="851" w:hanging="709"/>
      <w:outlineLvl w:val="2"/>
    </w:pPr>
    <w:rPr>
      <w:rFonts w:ascii="Arial Bold" w:hAnsi="Arial Bold" w:eastAsia="宋体" w:cs="Arial"/>
      <w:b/>
      <w:bCs/>
      <w:color w:val="81BEC3"/>
      <w:sz w:val="28"/>
      <w:szCs w:val="26"/>
      <w:lang w:val="en-US" w:eastAsia="zh-CN" w:bidi="ar-SA"/>
    </w:rPr>
  </w:style>
  <w:style w:type="character" w:customStyle="1" w:styleId="227">
    <w:name w:val="Cap_正文 Char Char"/>
    <w:link w:val="215"/>
    <w:qFormat/>
    <w:uiPriority w:val="0"/>
    <w:rPr>
      <w:sz w:val="22"/>
      <w:szCs w:val="24"/>
    </w:rPr>
  </w:style>
  <w:style w:type="paragraph" w:customStyle="1" w:styleId="228">
    <w:name w:val="正文内容"/>
    <w:basedOn w:val="1"/>
    <w:qFormat/>
    <w:uiPriority w:val="0"/>
    <w:pPr>
      <w:spacing w:line="360" w:lineRule="auto"/>
      <w:ind w:firstLine="200" w:firstLineChars="200"/>
    </w:pPr>
    <w:rPr>
      <w:rFonts w:eastAsia="宋体"/>
    </w:rPr>
  </w:style>
  <w:style w:type="paragraph" w:customStyle="1" w:styleId="229">
    <w:name w:val="修订1"/>
    <w:hidden/>
    <w:semiHidden/>
    <w:qFormat/>
    <w:uiPriority w:val="99"/>
    <w:rPr>
      <w:rFonts w:ascii="Times New Roman" w:hAnsi="Times New Roman" w:eastAsia="仿宋_GB2312" w:cs="Times New Roman"/>
      <w:kern w:val="2"/>
      <w:sz w:val="24"/>
      <w:szCs w:val="24"/>
      <w:lang w:val="en-US" w:eastAsia="zh-CN" w:bidi="ar-SA"/>
    </w:rPr>
  </w:style>
  <w:style w:type="paragraph" w:customStyle="1" w:styleId="230">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CF7ECC-F825-4CEB-AA5F-4978383B37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1675</Words>
  <Characters>1681</Characters>
  <Lines>97</Lines>
  <Paragraphs>27</Paragraphs>
  <TotalTime>151</TotalTime>
  <ScaleCrop>false</ScaleCrop>
  <LinksUpToDate>false</LinksUpToDate>
  <CharactersWithSpaces>1681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2022-08-12T11:58:00Z</dcterms:created>
  <dc:creator>sitic</dc:creator>
  <cp:lastModifiedBy>user</cp:lastModifiedBy>
  <cp:lastPrinted>2022-07-16T16:03:00Z</cp:lastPrinted>
  <dcterms:modified xsi:type="dcterms:W3CDTF">2025-06-03T14:08:08Z</dcterms:modified>
  <dc:title>信息系统安全防护项目</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B3FC48DC584DECE71DF4376874B51BF1_43</vt:lpwstr>
  </property>
  <property fmtid="{D5CDD505-2E9C-101B-9397-08002B2CF9AE}" pid="4" name="KSOTemplateDocerSaveRecord">
    <vt:lpwstr>eyJoZGlkIjoiZTA4NzIyN2MxYTlmMzQ1NGE2MjU5NWRkMjhlOGMxYTAiLCJ1c2VySWQiOiI1OTQ1ODA4MjIifQ==</vt:lpwstr>
  </property>
</Properties>
</file>