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44"/>
          <w:szCs w:val="44"/>
        </w:rPr>
      </w:pPr>
      <w:bookmarkStart w:id="0" w:name="_Toc174017384"/>
      <w:r>
        <w:rPr>
          <w:rFonts w:hint="eastAsia"/>
          <w:b/>
          <w:bCs/>
          <w:sz w:val="44"/>
          <w:szCs w:val="44"/>
        </w:rPr>
        <w:t>检察全流程可信子系统</w:t>
      </w:r>
      <w:r>
        <w:rPr>
          <w:rFonts w:hint="eastAsia"/>
          <w:b/>
          <w:bCs/>
          <w:sz w:val="44"/>
          <w:szCs w:val="44"/>
          <w:lang w:eastAsia="zh-CN"/>
        </w:rPr>
        <w:t>采购需求</w:t>
      </w:r>
    </w:p>
    <w:bookmarkEnd w:id="0"/>
    <w:p>
      <w:pPr>
        <w:pStyle w:val="2"/>
        <w:rPr>
          <w:rFonts w:hint="eastAsia" w:ascii="黑体" w:hAnsi="黑体" w:eastAsia="黑体" w:cs="黑体"/>
          <w:sz w:val="36"/>
          <w:szCs w:val="36"/>
        </w:rPr>
      </w:pPr>
      <w:r>
        <w:rPr>
          <w:rFonts w:hint="eastAsia" w:ascii="黑体" w:hAnsi="黑体" w:eastAsia="黑体" w:cs="黑体"/>
          <w:sz w:val="36"/>
          <w:szCs w:val="36"/>
          <w:lang w:eastAsia="zh-CN"/>
        </w:rPr>
        <w:t>项目概况</w:t>
      </w:r>
    </w:p>
    <w:p>
      <w:pPr>
        <w:pStyle w:val="5"/>
        <w:ind w:firstLine="560"/>
        <w:rPr>
          <w:rFonts w:hint="eastAsia"/>
        </w:rPr>
      </w:pPr>
      <w:r>
        <w:rPr>
          <w:rFonts w:hint="eastAsia"/>
        </w:rPr>
        <w:t>2017年6月，最高检印发了《检察大数据行动指南（2017－2020年）》，提出要顺应信息化发展趋势，贯彻落实国家大数据战略，深化刑事案件的改革创新举措，积极探索完善轻微刑事案件和解工作机制等新时代检察院的重点工作。</w:t>
      </w:r>
    </w:p>
    <w:p>
      <w:pPr>
        <w:pStyle w:val="5"/>
        <w:ind w:firstLine="560"/>
        <w:rPr>
          <w:rFonts w:hint="eastAsia"/>
        </w:rPr>
      </w:pPr>
      <w:r>
        <w:rPr>
          <w:rFonts w:hint="eastAsia"/>
        </w:rPr>
        <w:t>2019年10月，中共中央政治局就区块链技术发展现状和趋势进行第十八次集体学习时强调“区块链技术的集成应用在新的技术革新和产业变革中起着重要作用，要把区块链作为核心技术和自主创新的重要突破口，明确主攻方向，加大投入力度，着力攻克一批关键核心技术，加快推动区块链技术和产业创新发展”，本次会议将区块链技术上升为国家战略。</w:t>
      </w:r>
    </w:p>
    <w:p>
      <w:pPr>
        <w:pStyle w:val="5"/>
        <w:ind w:firstLine="560"/>
        <w:rPr>
          <w:rFonts w:hint="eastAsia"/>
        </w:rPr>
      </w:pPr>
      <w:r>
        <w:rPr>
          <w:rFonts w:hint="eastAsia"/>
        </w:rPr>
        <w:t>2021年1月，中国中央印发《法治中国建设规划（2020－2025年）》，规划提出要全面建设“智慧法治”，推进法治中国建设的数据化、网络化、智能化，优化整合法治领域各类信息、数据、网络平台，推进全国法治信息化工程建设。</w:t>
      </w:r>
    </w:p>
    <w:p>
      <w:pPr>
        <w:pStyle w:val="5"/>
        <w:ind w:firstLine="560"/>
        <w:rPr>
          <w:rFonts w:hint="eastAsia"/>
        </w:rPr>
      </w:pPr>
      <w:r>
        <w:rPr>
          <w:rFonts w:hint="eastAsia"/>
        </w:rPr>
        <w:t>2021年4月，最高人民检察院制定下发《“十四五”时期检察工作发展规划》，对未来五年检察工作进行谋篇布局。</w:t>
      </w:r>
      <w:r>
        <w:rPr>
          <w:rFonts w:hint="eastAsia"/>
          <w:b/>
          <w:bCs/>
        </w:rPr>
        <w:t>《发展规划》要求，推进智慧检务工程建设，加强大数据、人工智能、区块链等新技术应用。</w:t>
      </w:r>
      <w:r>
        <w:rPr>
          <w:rFonts w:hint="eastAsia"/>
        </w:rPr>
        <w:t>全面应用统一业务应用系统2.0，持续优化流程办案、辅助办案、数据应用和知识服务功能。加快推进智慧检务创新平台、视频云平台、融媒体平台等建设，提升检察工作智能化水平。</w:t>
      </w:r>
    </w:p>
    <w:p>
      <w:pPr>
        <w:pStyle w:val="5"/>
        <w:ind w:firstLine="562"/>
        <w:rPr>
          <w:rFonts w:hint="eastAsia"/>
          <w:b/>
          <w:bCs/>
        </w:rPr>
      </w:pPr>
      <w:r>
        <w:rPr>
          <w:rFonts w:hint="eastAsia"/>
          <w:b/>
          <w:bCs/>
        </w:rPr>
        <w:t>2021年12月由最高人民检察院、最高人民法院、司法部以及上海、江苏、江西三地法检司单位共同参与的科技部司法区块链关键技术及典型应用示范研究课题正式启动，为区块链技术在检察领域横、纵向的创新应用奠定了前沿的技术基础。</w:t>
      </w:r>
    </w:p>
    <w:p>
      <w:pPr>
        <w:pStyle w:val="5"/>
        <w:ind w:firstLine="560"/>
        <w:rPr>
          <w:rFonts w:hint="eastAsia"/>
        </w:rPr>
      </w:pPr>
      <w:r>
        <w:rPr>
          <w:rFonts w:hint="eastAsia"/>
        </w:rPr>
        <w:t>2022年6月全国检察机关数字检察工作会议召开，最高人民检察院张军检察长，在会上提出要加快数字检察建设，以“数字革命”驱动新时代法律监督提质增效，推进“数字赋能监督，监督促进治理”的法律监督模式变革。</w:t>
      </w:r>
    </w:p>
    <w:p>
      <w:pPr>
        <w:pStyle w:val="5"/>
        <w:ind w:firstLine="560"/>
        <w:rPr>
          <w:rFonts w:hint="eastAsia"/>
        </w:rPr>
      </w:pPr>
      <w:r>
        <w:rPr>
          <w:rFonts w:hint="eastAsia"/>
        </w:rPr>
        <w:t>2023年4月，最高人民检察院印发《关于加强新时代检察机关网络法治工作的意见》，提出要注重发挥新技术对检察履职赋能作用。积极推动网络司法规则制定，探索具有中国特色的网络检察工作模式和路径，不断推进网络时代检察理论创新、实践创新和制度创新。</w:t>
      </w:r>
    </w:p>
    <w:p>
      <w:pPr>
        <w:pStyle w:val="5"/>
        <w:ind w:firstLine="560"/>
        <w:rPr>
          <w:rFonts w:hint="eastAsia"/>
        </w:rPr>
      </w:pPr>
      <w:r>
        <w:rPr>
          <w:rFonts w:hint="eastAsia"/>
        </w:rPr>
        <w:t>2024年1月，国家区块链创新应用试点总结交流会召开，会议强调，要加强跟踪研判，准确把握区块链技术应用发展新趋势新挑战，要把握工作重点，坚持创新驱动、系统谋划、需求导向、协同联动、规范发展，</w:t>
      </w:r>
      <w:r>
        <w:rPr>
          <w:rFonts w:hint="eastAsia"/>
          <w:b/>
          <w:bCs/>
        </w:rPr>
        <w:t>扎实推进区块链创新发展再上新台阶</w:t>
      </w:r>
      <w:r>
        <w:rPr>
          <w:rFonts w:hint="eastAsia"/>
        </w:rPr>
        <w:t>。会议通报了国家区块链创新应用试点终期评估情况，发布了《中国区块链创新应用发展报告（2023）》，</w:t>
      </w:r>
      <w:r>
        <w:rPr>
          <w:rFonts w:hint="eastAsia"/>
          <w:b/>
          <w:bCs/>
        </w:rPr>
        <w:t>其中上海市人民检察院作为“区块链+检察”应用领域优秀试点单位，向大会做了“区块链赋能数字检察 打造上海检察全流程全息在线办案体系”的专题汇报。</w:t>
      </w:r>
    </w:p>
    <w:p>
      <w:pPr>
        <w:pStyle w:val="5"/>
        <w:ind w:firstLine="560"/>
        <w:rPr>
          <w:rFonts w:hint="eastAsia"/>
        </w:rPr>
      </w:pPr>
      <w:r>
        <w:rPr>
          <w:rFonts w:hint="eastAsia"/>
        </w:rPr>
        <w:t>区块链技术，作为数字经济、数字社会的底座，其自带的分布式账本、共识算法、数据防篡改、零知识证明、智能合约可信计算等核心技术能力，可以为法治工作提供最重要的“可信数据”及“可信计算”技术保障。通过区块链+检察特色领域试点应用，在数字检察体系内，市检察院构建了一种新的数据信任与安全保障体系，在推进数据共享与跨部门协同、优化司法服务流程与提升司法公信等方面可以发挥巨大的作用，对于推进法治国家、法治政府、法治社会一体建设，具有十分重要的推动作用</w:t>
      </w:r>
      <w:r>
        <w:t>。</w:t>
      </w:r>
    </w:p>
    <w:p>
      <w:pPr>
        <w:widowControl/>
        <w:jc w:val="left"/>
        <w:rPr>
          <w:rFonts w:hint="eastAsia" w:ascii="仿宋" w:hAnsi="仿宋" w:eastAsia="仿宋"/>
          <w:sz w:val="28"/>
          <w:szCs w:val="28"/>
        </w:rPr>
      </w:pPr>
      <w:r>
        <w:rPr>
          <w:rFonts w:hint="eastAsia"/>
        </w:rPr>
        <w:br w:type="page"/>
      </w:r>
    </w:p>
    <w:p>
      <w:pPr>
        <w:pStyle w:val="2"/>
        <w:rPr>
          <w:rFonts w:hint="eastAsia" w:ascii="黑体" w:hAnsi="黑体" w:eastAsia="黑体" w:cs="黑体"/>
          <w:sz w:val="36"/>
          <w:szCs w:val="36"/>
        </w:rPr>
      </w:pPr>
      <w:bookmarkStart w:id="1" w:name="_Toc174017387"/>
      <w:r>
        <w:rPr>
          <w:rFonts w:hint="eastAsia" w:ascii="黑体" w:hAnsi="黑体" w:eastAsia="黑体" w:cs="黑体"/>
          <w:sz w:val="36"/>
          <w:szCs w:val="36"/>
        </w:rPr>
        <w:t>建设目标</w:t>
      </w:r>
      <w:bookmarkEnd w:id="1"/>
    </w:p>
    <w:p>
      <w:pPr>
        <w:pStyle w:val="5"/>
        <w:ind w:firstLine="560"/>
        <w:rPr>
          <w:rFonts w:hint="eastAsia"/>
        </w:rPr>
      </w:pPr>
      <w:r>
        <w:rPr>
          <w:rFonts w:hint="eastAsia"/>
        </w:rPr>
        <w:t>贯彻落实党中央，市委，市政府对区块链领域创新发展工作的决策部署和最高人民检察院关于加强区块链应用意见的要求，上海检察院积极运用区块链技术大力推进数字检察的建设。</w:t>
      </w:r>
    </w:p>
    <w:p>
      <w:pPr>
        <w:pStyle w:val="5"/>
        <w:ind w:firstLine="560"/>
        <w:rPr>
          <w:rFonts w:hint="eastAsia"/>
        </w:rPr>
      </w:pPr>
      <w:r>
        <w:rPr>
          <w:rFonts w:hint="eastAsia"/>
        </w:rPr>
        <w:t>平台依托于最高检区块链，借助区块链可信计算的特点，为区块链可信应用提供上链存证、固证、核验、智能合约等基础服务。</w:t>
      </w:r>
    </w:p>
    <w:p>
      <w:pPr>
        <w:pStyle w:val="5"/>
        <w:ind w:firstLine="560"/>
        <w:rPr>
          <w:rFonts w:hint="eastAsia"/>
        </w:rPr>
      </w:pPr>
      <w:r>
        <w:rPr>
          <w:rFonts w:hint="eastAsia"/>
        </w:rPr>
        <w:t>构建跨链协同平台，实现异构/同构区块链间业务互通。</w:t>
      </w:r>
    </w:p>
    <w:p>
      <w:pPr>
        <w:pStyle w:val="5"/>
        <w:ind w:firstLine="560"/>
        <w:rPr>
          <w:rFonts w:hint="eastAsia"/>
        </w:rPr>
      </w:pPr>
      <w:r>
        <w:rPr>
          <w:rFonts w:hint="eastAsia"/>
        </w:rPr>
        <w:t>通过构建电子文书全生命周期可信管理系统，实现电子文书管理的全面数字化转型。</w:t>
      </w:r>
    </w:p>
    <w:p>
      <w:pPr>
        <w:pStyle w:val="5"/>
        <w:ind w:firstLine="560"/>
        <w:rPr>
          <w:rFonts w:hint="eastAsia"/>
        </w:rPr>
      </w:pPr>
      <w:r>
        <w:rPr>
          <w:rFonts w:hint="eastAsia"/>
        </w:rPr>
        <w:t>建设电子档案全流程可信应用模块，加强电子档案形成全过程流转中安全可信和链上可视化监管，促进全流程网上办案规范化。</w:t>
      </w:r>
    </w:p>
    <w:p>
      <w:pPr>
        <w:widowControl/>
        <w:jc w:val="left"/>
        <w:rPr>
          <w:rFonts w:hint="eastAsia" w:ascii="仿宋" w:hAnsi="仿宋" w:eastAsia="仿宋"/>
          <w:sz w:val="28"/>
          <w:szCs w:val="28"/>
        </w:rPr>
      </w:pPr>
      <w:r>
        <w:rPr>
          <w:rFonts w:hint="eastAsia"/>
        </w:rPr>
        <w:br w:type="page"/>
      </w:r>
    </w:p>
    <w:p>
      <w:pPr>
        <w:pStyle w:val="2"/>
        <w:rPr>
          <w:rFonts w:hint="eastAsia" w:ascii="黑体" w:hAnsi="黑体" w:eastAsia="黑体" w:cs="黑体"/>
          <w:sz w:val="36"/>
          <w:szCs w:val="36"/>
        </w:rPr>
      </w:pPr>
      <w:bookmarkStart w:id="2" w:name="_Toc174017388"/>
      <w:r>
        <w:rPr>
          <w:rFonts w:hint="eastAsia" w:ascii="黑体" w:hAnsi="黑体" w:eastAsia="黑体" w:cs="黑体"/>
          <w:sz w:val="36"/>
          <w:szCs w:val="36"/>
          <w:lang w:eastAsia="zh-CN"/>
        </w:rPr>
        <w:t>项目</w:t>
      </w:r>
      <w:r>
        <w:rPr>
          <w:rFonts w:hint="eastAsia" w:ascii="黑体" w:hAnsi="黑体" w:eastAsia="黑体" w:cs="黑体"/>
          <w:sz w:val="36"/>
          <w:szCs w:val="36"/>
        </w:rPr>
        <w:t>建设内容</w:t>
      </w:r>
      <w:bookmarkEnd w:id="2"/>
    </w:p>
    <w:p>
      <w:pPr>
        <w:pStyle w:val="5"/>
        <w:ind w:firstLine="560"/>
        <w:rPr>
          <w:rFonts w:hint="eastAsia"/>
        </w:rPr>
      </w:pPr>
      <w:bookmarkStart w:id="3" w:name="_Hlk173411746"/>
      <w:r>
        <w:rPr>
          <w:rFonts w:hint="eastAsia"/>
        </w:rPr>
        <w:t>本项目通过区块链+检察特色领域试点应用，在数字检察体系内，市检察院构建了一种新的数据信任与安全保障体系，在推进数据共享与跨部门协同、优化司法服务流程与提升司法公信等方面可以发挥巨大的作用，具体建设内容如下：</w:t>
      </w:r>
    </w:p>
    <w:p>
      <w:pPr>
        <w:pStyle w:val="5"/>
        <w:numPr>
          <w:ilvl w:val="0"/>
          <w:numId w:val="6"/>
        </w:numPr>
        <w:ind w:firstLineChars="0"/>
        <w:rPr>
          <w:rFonts w:hint="eastAsia"/>
          <w:b/>
          <w:bCs/>
        </w:rPr>
      </w:pPr>
      <w:r>
        <w:rPr>
          <w:rFonts w:hint="eastAsia"/>
          <w:b/>
          <w:bCs/>
        </w:rPr>
        <w:t>检务可信应用管理</w:t>
      </w:r>
    </w:p>
    <w:p>
      <w:pPr>
        <w:pStyle w:val="5"/>
        <w:ind w:firstLine="560"/>
        <w:rPr>
          <w:rFonts w:hint="eastAsia"/>
        </w:rPr>
      </w:pPr>
      <w:r>
        <w:rPr>
          <w:rFonts w:hint="eastAsia"/>
        </w:rPr>
        <w:t>在检察工作网和互联网分别建设检务可信应用管理平台，包含区块链业务系统管理、区块链应用管理、统一接口管理、智能合约管理、运行监测管理、应用数据管理等模块。</w:t>
      </w:r>
    </w:p>
    <w:p>
      <w:pPr>
        <w:pStyle w:val="5"/>
        <w:numPr>
          <w:ilvl w:val="0"/>
          <w:numId w:val="6"/>
        </w:numPr>
        <w:ind w:firstLineChars="0"/>
        <w:rPr>
          <w:rFonts w:hint="eastAsia"/>
          <w:b/>
          <w:bCs/>
        </w:rPr>
      </w:pPr>
      <w:r>
        <w:rPr>
          <w:rFonts w:hint="eastAsia"/>
          <w:b/>
          <w:bCs/>
        </w:rPr>
        <w:t>跨链协同平台</w:t>
      </w:r>
    </w:p>
    <w:p>
      <w:pPr>
        <w:pStyle w:val="5"/>
        <w:ind w:firstLine="560"/>
        <w:rPr>
          <w:rFonts w:hint="eastAsia"/>
        </w:rPr>
      </w:pPr>
      <w:r>
        <w:rPr>
          <w:rFonts w:hint="eastAsia"/>
        </w:rPr>
        <w:t>建设跨链协同平台，包含接入管理、跨链协同事务管理、跨链协同业务流程管理、跨链网关、跨域网关、运行预警管理、工单管理、消息中心、平台管理、协同管理信息同步等模块。</w:t>
      </w:r>
    </w:p>
    <w:p>
      <w:pPr>
        <w:pStyle w:val="5"/>
        <w:numPr>
          <w:ilvl w:val="0"/>
          <w:numId w:val="6"/>
        </w:numPr>
        <w:ind w:firstLineChars="0"/>
        <w:rPr>
          <w:rFonts w:hint="eastAsia"/>
          <w:b/>
          <w:bCs/>
        </w:rPr>
      </w:pPr>
      <w:r>
        <w:rPr>
          <w:rFonts w:hint="eastAsia"/>
          <w:b/>
          <w:bCs/>
        </w:rPr>
        <w:t>电子文书全流程可信应用</w:t>
      </w:r>
    </w:p>
    <w:p>
      <w:pPr>
        <w:pStyle w:val="5"/>
        <w:ind w:firstLine="560"/>
        <w:rPr>
          <w:rFonts w:hint="eastAsia"/>
        </w:rPr>
      </w:pPr>
      <w:r>
        <w:rPr>
          <w:rFonts w:hint="eastAsia"/>
        </w:rPr>
        <w:t>建设电子文书全流程可信应用，包含电子文书可信存证、电子文书可信协同、电子文书可信流转、电子文书核验及溯源助手等模块。</w:t>
      </w:r>
    </w:p>
    <w:p>
      <w:pPr>
        <w:pStyle w:val="5"/>
        <w:numPr>
          <w:ilvl w:val="0"/>
          <w:numId w:val="6"/>
        </w:numPr>
        <w:ind w:firstLineChars="0"/>
        <w:rPr>
          <w:rFonts w:hint="eastAsia"/>
          <w:b/>
          <w:bCs/>
        </w:rPr>
      </w:pPr>
      <w:r>
        <w:rPr>
          <w:rFonts w:hint="eastAsia"/>
          <w:b/>
          <w:bCs/>
        </w:rPr>
        <w:t>电子档案全流程可信应用</w:t>
      </w:r>
    </w:p>
    <w:p>
      <w:pPr>
        <w:pStyle w:val="5"/>
        <w:ind w:firstLine="560"/>
        <w:rPr>
          <w:rFonts w:hint="eastAsia"/>
        </w:rPr>
      </w:pPr>
      <w:r>
        <w:rPr>
          <w:rFonts w:hint="eastAsia"/>
        </w:rPr>
        <w:t>建设电子档案全流程可信应用，包含电子档案可信收集、电子档案可信检测、电子档案可信利用等模块。</w:t>
      </w:r>
    </w:p>
    <w:bookmarkEnd w:id="3"/>
    <w:p>
      <w:pPr>
        <w:pStyle w:val="3"/>
        <w:rPr>
          <w:rFonts w:hint="eastAsia"/>
        </w:rPr>
      </w:pPr>
      <w:bookmarkStart w:id="4" w:name="_Toc174017430"/>
      <w:bookmarkStart w:id="5" w:name="_Toc174017428"/>
      <w:r>
        <w:rPr>
          <w:rFonts w:hint="eastAsia"/>
        </w:rPr>
        <w:t>（一）、检务可信应用管理</w:t>
      </w:r>
      <w:bookmarkEnd w:id="4"/>
    </w:p>
    <w:p>
      <w:pPr>
        <w:pStyle w:val="4"/>
        <w:rPr>
          <w:rFonts w:hint="eastAsia"/>
        </w:rPr>
      </w:pPr>
      <w:r>
        <w:rPr>
          <w:rFonts w:hint="eastAsia"/>
        </w:rPr>
        <w:t>1、区块链业务系统管理</w:t>
      </w:r>
    </w:p>
    <w:p>
      <w:pPr>
        <w:pStyle w:val="5"/>
        <w:ind w:firstLine="560"/>
        <w:rPr>
          <w:rFonts w:hint="eastAsia"/>
        </w:rPr>
      </w:pPr>
      <w:r>
        <w:rPr>
          <w:rFonts w:hint="eastAsia"/>
        </w:rPr>
        <w:t>区块链应用场景繁多，需灵活支持不同的业务条线，涉及对接的业务系统复杂、繁多，为强化管理，应构建统一的区块链业务系统管理模块，实现对涉链系统的统一管理。</w:t>
      </w:r>
    </w:p>
    <w:p>
      <w:pPr>
        <w:pStyle w:val="6"/>
        <w:rPr>
          <w:rFonts w:hint="eastAsia"/>
        </w:rPr>
      </w:pPr>
      <w:r>
        <w:rPr>
          <w:rFonts w:hint="eastAsia"/>
        </w:rPr>
        <w:t>（1）注册及接入</w:t>
      </w:r>
    </w:p>
    <w:p>
      <w:pPr>
        <w:pStyle w:val="5"/>
        <w:ind w:firstLine="560"/>
        <w:rPr>
          <w:rFonts w:hint="eastAsia"/>
        </w:rPr>
      </w:pPr>
      <w:r>
        <w:rPr>
          <w:rFonts w:hint="eastAsia"/>
        </w:rPr>
        <w:t>对申请接入可信应用管理的申请者进行身份管理，申请者以业务系统为身份进行注册管理，注册时需明确技术支持单位，并留下联系方式。注册字段包括接入系统名称、密码、技术支持单位、联系方式、网络类型、接入说明。</w:t>
      </w:r>
    </w:p>
    <w:p>
      <w:pPr>
        <w:pStyle w:val="6"/>
        <w:rPr>
          <w:rFonts w:hint="eastAsia"/>
        </w:rPr>
      </w:pPr>
      <w:r>
        <w:rPr>
          <w:rFonts w:hint="eastAsia"/>
        </w:rPr>
        <w:t>（2）审批与授权</w:t>
      </w:r>
    </w:p>
    <w:p>
      <w:pPr>
        <w:pStyle w:val="5"/>
        <w:ind w:firstLine="560"/>
        <w:rPr>
          <w:rFonts w:hint="eastAsia"/>
        </w:rPr>
      </w:pPr>
      <w:r>
        <w:rPr>
          <w:rFonts w:hint="eastAsia"/>
        </w:rPr>
        <w:t>检察院管理员可对申请接入可信应用管理的业务系统进行审批与授权。通过待申请列表查看注册申请，查看接入系统名称、技术支持单位、接入说明来决定是否允许该系统接入可信应用管理。</w:t>
      </w:r>
    </w:p>
    <w:p>
      <w:pPr>
        <w:pStyle w:val="6"/>
        <w:rPr>
          <w:rFonts w:hint="eastAsia"/>
        </w:rPr>
      </w:pPr>
      <w:r>
        <w:rPr>
          <w:rFonts w:hint="eastAsia"/>
        </w:rPr>
        <w:t>（3）禁用与冻结</w:t>
      </w:r>
    </w:p>
    <w:p>
      <w:pPr>
        <w:pStyle w:val="5"/>
        <w:ind w:firstLine="560"/>
        <w:rPr>
          <w:rFonts w:hint="eastAsia"/>
        </w:rPr>
      </w:pPr>
      <w:r>
        <w:rPr>
          <w:rFonts w:hint="eastAsia"/>
        </w:rPr>
        <w:t>通过接入系统列表管理已接入的系统，可以查看接入系统名称、技术支持单位、接入说明、接入时间、有权接口等信息，也可以控制禁用与冻结该系统的接入权限。</w:t>
      </w:r>
    </w:p>
    <w:p>
      <w:pPr>
        <w:pStyle w:val="6"/>
        <w:rPr>
          <w:rFonts w:hint="eastAsia"/>
        </w:rPr>
      </w:pPr>
      <w:r>
        <w:rPr>
          <w:rFonts w:hint="eastAsia"/>
        </w:rPr>
        <w:t>（4）接入凭证</w:t>
      </w:r>
    </w:p>
    <w:p>
      <w:pPr>
        <w:pStyle w:val="5"/>
        <w:ind w:firstLine="560"/>
        <w:rPr>
          <w:rFonts w:hint="eastAsia"/>
        </w:rPr>
      </w:pPr>
      <w:r>
        <w:rPr>
          <w:rFonts w:hint="eastAsia"/>
        </w:rPr>
        <w:t>经检察院审批通过后，业务系统可使用系统名称和密码登陆分平台。登陆后可查看个人信息以及申请接口。个人信息中除展示系统名称、支持单位等注册信息外，还会展示acesskey信息，acesskey是系统在调用接口时的凭证，调用接口时需提供。</w:t>
      </w:r>
    </w:p>
    <w:p>
      <w:pPr>
        <w:pStyle w:val="4"/>
        <w:rPr>
          <w:rFonts w:hint="eastAsia"/>
        </w:rPr>
      </w:pPr>
      <w:r>
        <w:rPr>
          <w:rFonts w:hint="eastAsia"/>
        </w:rPr>
        <w:t>2、区块链应用管理</w:t>
      </w:r>
    </w:p>
    <w:p>
      <w:pPr>
        <w:pStyle w:val="5"/>
        <w:ind w:firstLine="560"/>
        <w:rPr>
          <w:rFonts w:hint="eastAsia"/>
        </w:rPr>
      </w:pPr>
      <w:r>
        <w:rPr>
          <w:rFonts w:hint="eastAsia"/>
        </w:rPr>
        <w:t>构建统一的区块链应用管理模块，对所有接入的区块链的应用进行统一登记，并以应用为管理域，进行应用内数据、智能合约、跨链协同的统一管理。</w:t>
      </w:r>
    </w:p>
    <w:p>
      <w:pPr>
        <w:pStyle w:val="6"/>
        <w:rPr>
          <w:rFonts w:hint="eastAsia"/>
        </w:rPr>
      </w:pPr>
      <w:r>
        <w:rPr>
          <w:rFonts w:hint="eastAsia"/>
        </w:rPr>
        <w:t>（1）区块链应用创建</w:t>
      </w:r>
    </w:p>
    <w:p>
      <w:pPr>
        <w:pStyle w:val="5"/>
        <w:ind w:firstLine="560"/>
        <w:rPr>
          <w:rFonts w:hint="eastAsia"/>
        </w:rPr>
      </w:pPr>
      <w:r>
        <w:rPr>
          <w:rFonts w:hint="eastAsia"/>
        </w:rPr>
        <w:t>支持接入的业务系统自行建立区块链应用，并基于区块链应用实现存验证、智能合约等区块链能力的调用。</w:t>
      </w:r>
    </w:p>
    <w:p>
      <w:pPr>
        <w:pStyle w:val="6"/>
        <w:rPr>
          <w:rFonts w:hint="eastAsia"/>
        </w:rPr>
      </w:pPr>
      <w:r>
        <w:rPr>
          <w:rFonts w:hint="eastAsia"/>
        </w:rPr>
        <w:t>（2）应用信息管理</w:t>
      </w:r>
    </w:p>
    <w:p>
      <w:pPr>
        <w:pStyle w:val="5"/>
        <w:ind w:firstLine="560"/>
        <w:rPr>
          <w:rFonts w:hint="eastAsia"/>
        </w:rPr>
      </w:pPr>
      <w:r>
        <w:rPr>
          <w:rFonts w:hint="eastAsia"/>
        </w:rPr>
        <w:t>对区块链应用信息进行维护，包括应用名称、建设日期、描述、创建业务系统、涉及业务系统、对接区块链、应用分类、业务分类、建设主体、使用主体、用户对象、行业领域等。</w:t>
      </w:r>
    </w:p>
    <w:p>
      <w:pPr>
        <w:pStyle w:val="6"/>
        <w:rPr>
          <w:rFonts w:hint="eastAsia"/>
        </w:rPr>
      </w:pPr>
      <w:r>
        <w:rPr>
          <w:rFonts w:hint="eastAsia"/>
        </w:rPr>
        <w:t>（3）区块链应用冻结</w:t>
      </w:r>
    </w:p>
    <w:p>
      <w:pPr>
        <w:pStyle w:val="5"/>
        <w:ind w:firstLine="560"/>
        <w:rPr>
          <w:rFonts w:hint="eastAsia"/>
        </w:rPr>
      </w:pPr>
      <w:r>
        <w:rPr>
          <w:rFonts w:hint="eastAsia"/>
        </w:rPr>
        <w:t>将已失效的区块链应用进行冻结，冻结后无法使用。</w:t>
      </w:r>
    </w:p>
    <w:p>
      <w:pPr>
        <w:pStyle w:val="6"/>
        <w:rPr>
          <w:rFonts w:hint="eastAsia"/>
        </w:rPr>
      </w:pPr>
      <w:r>
        <w:rPr>
          <w:rFonts w:hint="eastAsia"/>
        </w:rPr>
        <w:t>（4）统一接口管理</w:t>
      </w:r>
    </w:p>
    <w:p>
      <w:pPr>
        <w:pStyle w:val="5"/>
        <w:ind w:firstLine="560"/>
        <w:rPr>
          <w:rFonts w:hint="eastAsia"/>
        </w:rPr>
      </w:pPr>
      <w:r>
        <w:rPr>
          <w:rFonts w:hint="eastAsia"/>
        </w:rPr>
        <w:t>在区块链应用内可查看当前应用全量的接口、智能合约信息和源码信息，支持对接口信息的新增、查询、冻结等操作。</w:t>
      </w:r>
    </w:p>
    <w:p>
      <w:pPr>
        <w:pStyle w:val="4"/>
        <w:rPr>
          <w:rFonts w:hint="eastAsia"/>
        </w:rPr>
      </w:pPr>
      <w:r>
        <w:rPr>
          <w:rFonts w:hint="eastAsia"/>
        </w:rPr>
        <w:t>3、统一接口管理</w:t>
      </w:r>
    </w:p>
    <w:p>
      <w:pPr>
        <w:pStyle w:val="5"/>
        <w:ind w:firstLine="560"/>
        <w:rPr>
          <w:rFonts w:hint="eastAsia"/>
        </w:rPr>
      </w:pPr>
      <w:r>
        <w:rPr>
          <w:rFonts w:hint="eastAsia"/>
        </w:rPr>
        <w:t>应支持统一的对外服务接口管理，结合业务需求产生的数据存验证接口、定制的合约调用、跨链协同调用等接口均应纳入统一管理范围。支持接口权限控制、异常使用监测与自动熔断机制。</w:t>
      </w:r>
    </w:p>
    <w:p>
      <w:pPr>
        <w:pStyle w:val="6"/>
        <w:rPr>
          <w:rFonts w:hint="eastAsia"/>
        </w:rPr>
      </w:pPr>
      <w:r>
        <w:rPr>
          <w:rFonts w:hint="eastAsia"/>
        </w:rPr>
        <w:t>（1）接口配置</w:t>
      </w:r>
    </w:p>
    <w:p>
      <w:pPr>
        <w:pStyle w:val="5"/>
        <w:ind w:firstLine="560"/>
        <w:rPr>
          <w:rFonts w:hint="eastAsia"/>
        </w:rPr>
      </w:pPr>
      <w:r>
        <w:rPr>
          <w:rFonts w:hint="eastAsia"/>
        </w:rPr>
        <w:t>由系统管理员根据检察院业务部门的要求对接口进行预先创建，供获得授权的接入系统选择调用。</w:t>
      </w:r>
    </w:p>
    <w:p>
      <w:pPr>
        <w:pStyle w:val="6"/>
        <w:rPr>
          <w:rFonts w:hint="eastAsia"/>
        </w:rPr>
      </w:pPr>
      <w:r>
        <w:rPr>
          <w:rFonts w:hint="eastAsia"/>
        </w:rPr>
        <w:t>（2）接口参数配置</w:t>
      </w:r>
    </w:p>
    <w:p>
      <w:pPr>
        <w:pStyle w:val="5"/>
        <w:ind w:firstLine="560"/>
        <w:rPr>
          <w:rFonts w:hint="eastAsia"/>
        </w:rPr>
      </w:pPr>
      <w:r>
        <w:rPr>
          <w:rFonts w:hint="eastAsia"/>
        </w:rPr>
        <w:t>接口参数包括入参、返回值，入参字段需设置字段名称、是否必填、最大长度、是否为索引字段、是否需单独验证等。验证接口会随存证接口配置完成一并完成，可使用索引字段对存证字段进行整体或独立验证。</w:t>
      </w:r>
    </w:p>
    <w:p>
      <w:pPr>
        <w:pStyle w:val="5"/>
        <w:ind w:firstLine="560"/>
        <w:rPr>
          <w:rFonts w:hint="eastAsia"/>
        </w:rPr>
      </w:pPr>
      <w:r>
        <w:rPr>
          <w:rFonts w:hint="eastAsia"/>
        </w:rPr>
        <w:t>1）主数据结构配置</w:t>
      </w:r>
    </w:p>
    <w:p>
      <w:pPr>
        <w:pStyle w:val="5"/>
        <w:ind w:firstLine="560"/>
        <w:rPr>
          <w:rFonts w:hint="eastAsia"/>
        </w:rPr>
      </w:pPr>
      <w:r>
        <w:rPr>
          <w:rFonts w:hint="eastAsia"/>
        </w:rPr>
        <w:t>针对结构化类数据存证，可配置每个字段的字段名、类型、是否必填、是否引用等</w:t>
      </w:r>
    </w:p>
    <w:p>
      <w:pPr>
        <w:pStyle w:val="5"/>
        <w:ind w:firstLine="560"/>
        <w:rPr>
          <w:rFonts w:hint="eastAsia"/>
        </w:rPr>
      </w:pPr>
      <w:r>
        <w:rPr>
          <w:rFonts w:hint="eastAsia"/>
        </w:rPr>
        <w:t>涉及到子数据的字段，可在子数据结构配置中设置每个字数据的字段名、类型、是否必填、是否引用等</w:t>
      </w:r>
    </w:p>
    <w:p>
      <w:pPr>
        <w:pStyle w:val="5"/>
        <w:ind w:firstLine="560"/>
        <w:rPr>
          <w:rFonts w:hint="eastAsia"/>
        </w:rPr>
      </w:pPr>
      <w:r>
        <w:rPr>
          <w:rFonts w:hint="eastAsia"/>
        </w:rPr>
        <w:t>2）hash存证</w:t>
      </w:r>
    </w:p>
    <w:p>
      <w:pPr>
        <w:pStyle w:val="5"/>
        <w:ind w:firstLine="560"/>
        <w:rPr>
          <w:rFonts w:hint="eastAsia"/>
        </w:rPr>
      </w:pPr>
      <w:r>
        <w:rPr>
          <w:rFonts w:hint="eastAsia"/>
        </w:rPr>
        <w:t>针对只上传hash的文件或数据，系统支持hash类数据存证非结构数据存证。针对需要上传文件本体的场景，系统支持非结构化数据配置</w:t>
      </w:r>
    </w:p>
    <w:p>
      <w:pPr>
        <w:pStyle w:val="6"/>
        <w:rPr>
          <w:rFonts w:hint="eastAsia"/>
        </w:rPr>
      </w:pPr>
      <w:r>
        <w:rPr>
          <w:rFonts w:hint="eastAsia"/>
        </w:rPr>
        <w:t>（3）接口生成</w:t>
      </w:r>
    </w:p>
    <w:p>
      <w:pPr>
        <w:pStyle w:val="5"/>
        <w:ind w:firstLine="560"/>
        <w:rPr>
          <w:rFonts w:hint="eastAsia"/>
        </w:rPr>
      </w:pPr>
      <w:r>
        <w:rPr>
          <w:rFonts w:hint="eastAsia"/>
        </w:rPr>
        <w:t>根据已配置好的接口参数，系统可自动生成相应的接口，包含存证、核验、查询等。</w:t>
      </w:r>
    </w:p>
    <w:p>
      <w:pPr>
        <w:pStyle w:val="6"/>
        <w:rPr>
          <w:rFonts w:hint="eastAsia"/>
        </w:rPr>
      </w:pPr>
      <w:r>
        <w:rPr>
          <w:rFonts w:hint="eastAsia"/>
        </w:rPr>
        <w:t>（4）接口文档获取</w:t>
      </w:r>
    </w:p>
    <w:p>
      <w:pPr>
        <w:pStyle w:val="5"/>
        <w:ind w:firstLine="560"/>
        <w:rPr>
          <w:rFonts w:hint="eastAsia"/>
        </w:rPr>
      </w:pPr>
      <w:r>
        <w:rPr>
          <w:rFonts w:hint="eastAsia"/>
        </w:rPr>
        <w:t>业务人员可选择相应的接口，并输入相应的url即可获取完整的接口文档。</w:t>
      </w:r>
    </w:p>
    <w:p>
      <w:pPr>
        <w:pStyle w:val="6"/>
        <w:rPr>
          <w:rFonts w:hint="eastAsia"/>
        </w:rPr>
      </w:pPr>
      <w:r>
        <w:rPr>
          <w:rFonts w:hint="eastAsia"/>
        </w:rPr>
        <w:t>（5）接口列表概览</w:t>
      </w:r>
    </w:p>
    <w:p>
      <w:pPr>
        <w:pStyle w:val="5"/>
        <w:ind w:firstLine="560"/>
        <w:rPr>
          <w:rFonts w:hint="eastAsia"/>
        </w:rPr>
      </w:pPr>
      <w:r>
        <w:rPr>
          <w:rFonts w:hint="eastAsia"/>
        </w:rPr>
        <w:t>系统支持展示全量接口信息，展示内容包含接口名称、地址、描述、所属目录、所属应用等信息。</w:t>
      </w:r>
    </w:p>
    <w:p>
      <w:pPr>
        <w:pStyle w:val="6"/>
        <w:rPr>
          <w:rFonts w:hint="eastAsia"/>
        </w:rPr>
      </w:pPr>
      <w:r>
        <w:rPr>
          <w:rFonts w:hint="eastAsia"/>
        </w:rPr>
        <w:t>（6）接口详情</w:t>
      </w:r>
    </w:p>
    <w:p>
      <w:pPr>
        <w:pStyle w:val="5"/>
        <w:ind w:firstLine="560"/>
        <w:rPr>
          <w:rFonts w:hint="eastAsia"/>
        </w:rPr>
      </w:pPr>
      <w:r>
        <w:rPr>
          <w:rFonts w:hint="eastAsia"/>
        </w:rPr>
        <w:t>点击接口信息即可查看当前接口全量信息，包含接口基本信息、入参信息、返回信息等。</w:t>
      </w:r>
    </w:p>
    <w:p>
      <w:pPr>
        <w:pStyle w:val="6"/>
        <w:rPr>
          <w:rFonts w:hint="eastAsia"/>
        </w:rPr>
      </w:pPr>
      <w:r>
        <w:rPr>
          <w:rFonts w:hint="eastAsia"/>
        </w:rPr>
        <w:t>（7）接口查询</w:t>
      </w:r>
    </w:p>
    <w:p>
      <w:pPr>
        <w:pStyle w:val="5"/>
        <w:ind w:firstLine="560"/>
        <w:rPr>
          <w:rFonts w:hint="eastAsia"/>
        </w:rPr>
      </w:pPr>
      <w:r>
        <w:rPr>
          <w:rFonts w:hint="eastAsia"/>
        </w:rPr>
        <w:t>支持按照多维度接口查询，包含名称、所属目录、状态、调用系统等。</w:t>
      </w:r>
    </w:p>
    <w:p>
      <w:pPr>
        <w:pStyle w:val="6"/>
        <w:rPr>
          <w:rFonts w:hint="eastAsia"/>
        </w:rPr>
      </w:pPr>
      <w:r>
        <w:rPr>
          <w:rFonts w:hint="eastAsia"/>
        </w:rPr>
        <w:t>（8）接口申请</w:t>
      </w:r>
    </w:p>
    <w:p>
      <w:pPr>
        <w:pStyle w:val="5"/>
        <w:ind w:firstLine="560"/>
        <w:rPr>
          <w:rFonts w:hint="eastAsia"/>
        </w:rPr>
      </w:pPr>
      <w:r>
        <w:rPr>
          <w:rFonts w:hint="eastAsia"/>
        </w:rPr>
        <w:t>接入可信应用管理的业务系统，可申请接口服务；点击“新增申请”，查看可使用接口清单，接口清单支持根据接口类型、业务方向进行快捷筛选。</w:t>
      </w:r>
    </w:p>
    <w:p>
      <w:pPr>
        <w:pStyle w:val="4"/>
        <w:rPr>
          <w:rFonts w:hint="eastAsia"/>
        </w:rPr>
      </w:pPr>
      <w:r>
        <w:rPr>
          <w:rFonts w:hint="eastAsia"/>
        </w:rPr>
        <w:t>4、智能合约管理</w:t>
      </w:r>
    </w:p>
    <w:p>
      <w:pPr>
        <w:pStyle w:val="5"/>
        <w:ind w:firstLine="560"/>
        <w:rPr>
          <w:rFonts w:hint="eastAsia"/>
        </w:rPr>
      </w:pPr>
      <w:r>
        <w:rPr>
          <w:rFonts w:hint="eastAsia"/>
        </w:rPr>
        <w:t>面向区块链应用，应支持统一的智能合约管理功能。包括合约登记、审批、发布、合约凭证管理、业务系统绑定与认证、用户授权、调用、反馈等行为记录审计等功能。</w:t>
      </w:r>
    </w:p>
    <w:p>
      <w:pPr>
        <w:pStyle w:val="6"/>
        <w:rPr>
          <w:rFonts w:hint="eastAsia"/>
        </w:rPr>
      </w:pPr>
      <w:r>
        <w:rPr>
          <w:rFonts w:hint="eastAsia"/>
        </w:rPr>
        <w:t>（1）智能合约编辑器</w:t>
      </w:r>
    </w:p>
    <w:p>
      <w:pPr>
        <w:pStyle w:val="5"/>
        <w:ind w:firstLine="560"/>
        <w:rPr>
          <w:rFonts w:hint="eastAsia"/>
        </w:rPr>
      </w:pPr>
      <w:r>
        <w:rPr>
          <w:rFonts w:hint="eastAsia"/>
        </w:rPr>
        <w:t>合约编辑器是开发者开发智能合约的窗口，提供了编辑工作空间、代码编写、代码提示等功能。开发者可在工作空间中管理、添加、移动、删除文件夹或代码文件。其中文件管理支持新建打开本地文件、链接本体主机获取文件。合约代码编写完成后，可进行编译。</w:t>
      </w:r>
    </w:p>
    <w:p>
      <w:pPr>
        <w:pStyle w:val="6"/>
        <w:rPr>
          <w:rFonts w:hint="eastAsia"/>
        </w:rPr>
      </w:pPr>
      <w:r>
        <w:rPr>
          <w:rFonts w:hint="eastAsia"/>
        </w:rPr>
        <w:t>（2）智能合约编译器</w:t>
      </w:r>
    </w:p>
    <w:p>
      <w:pPr>
        <w:pStyle w:val="5"/>
        <w:ind w:firstLine="560"/>
        <w:rPr>
          <w:rFonts w:hint="eastAsia"/>
        </w:rPr>
      </w:pPr>
      <w:r>
        <w:rPr>
          <w:rFonts w:hint="eastAsia"/>
        </w:rPr>
        <w:t>合约编译器可对已经编写完成的智能合约进行编译，支持自动编译、隐藏警告、包含每日构造版本等编译过程可选设置，可对编译的脚本直接执行。支持根据URL添加自定义编译器。</w:t>
      </w:r>
    </w:p>
    <w:p>
      <w:pPr>
        <w:pStyle w:val="6"/>
        <w:rPr>
          <w:rFonts w:hint="eastAsia"/>
        </w:rPr>
      </w:pPr>
      <w:r>
        <w:rPr>
          <w:rFonts w:hint="eastAsia"/>
        </w:rPr>
        <w:t>（3）智能合约调试器</w:t>
      </w:r>
    </w:p>
    <w:p>
      <w:pPr>
        <w:pStyle w:val="5"/>
        <w:ind w:firstLine="560"/>
        <w:rPr>
          <w:rFonts w:hint="eastAsia"/>
        </w:rPr>
      </w:pPr>
      <w:r>
        <w:rPr>
          <w:rFonts w:hint="eastAsia"/>
        </w:rPr>
        <w:t>智能合约调试器，可对预发布的智能合约进行调试，其中Solidity合约支持使用生成的源进行调试，调试过程日志可在IDE下方窗口输出。调试时可选择监听所有链上事务，能够按交易哈希或地址进行检索。</w:t>
      </w:r>
    </w:p>
    <w:p>
      <w:pPr>
        <w:pStyle w:val="6"/>
        <w:rPr>
          <w:rFonts w:hint="eastAsia"/>
        </w:rPr>
      </w:pPr>
      <w:r>
        <w:rPr>
          <w:rFonts w:hint="eastAsia"/>
        </w:rPr>
        <w:t>（4）智能合约源码管理</w:t>
      </w:r>
    </w:p>
    <w:p>
      <w:pPr>
        <w:pStyle w:val="5"/>
        <w:ind w:firstLine="560"/>
        <w:rPr>
          <w:rFonts w:hint="eastAsia"/>
        </w:rPr>
      </w:pPr>
      <w:r>
        <w:rPr>
          <w:rFonts w:hint="eastAsia"/>
        </w:rPr>
        <w:t>应支持智能合约源代码登记、审计、核验等功能，应当记录合约信息、源码版本号、合约编程语言、合约技术类型等信息，由于合约发布后不可删除，只能更新或冻结，为确保编译后的合约与源码一致，应提供合约源码核验服务，可对当前登记的合约字节码与源码一致性进行核验，确保源码编译后的字节码与登记的一致。</w:t>
      </w:r>
    </w:p>
    <w:p>
      <w:pPr>
        <w:pStyle w:val="6"/>
        <w:rPr>
          <w:rFonts w:hint="eastAsia"/>
        </w:rPr>
      </w:pPr>
      <w:r>
        <w:rPr>
          <w:rFonts w:hint="eastAsia"/>
        </w:rPr>
        <w:t>（5）智能合约登记</w:t>
      </w:r>
    </w:p>
    <w:p>
      <w:pPr>
        <w:pStyle w:val="5"/>
        <w:ind w:firstLine="560"/>
        <w:rPr>
          <w:rFonts w:hint="eastAsia"/>
        </w:rPr>
      </w:pPr>
      <w:r>
        <w:rPr>
          <w:rFonts w:hint="eastAsia"/>
        </w:rPr>
        <w:t>智能合约的登记，应支持合约基本信息、合约初始管理状态信息、合约调用初始权限信息、合约管理权限信息的录入保存。</w:t>
      </w:r>
    </w:p>
    <w:p>
      <w:pPr>
        <w:pStyle w:val="6"/>
        <w:rPr>
          <w:rFonts w:hint="eastAsia"/>
        </w:rPr>
      </w:pPr>
      <w:r>
        <w:rPr>
          <w:rFonts w:hint="eastAsia"/>
        </w:rPr>
        <w:t>（6）智能合约审批</w:t>
      </w:r>
    </w:p>
    <w:p>
      <w:pPr>
        <w:pStyle w:val="5"/>
        <w:ind w:firstLine="560"/>
        <w:rPr>
          <w:rFonts w:hint="eastAsia"/>
        </w:rPr>
      </w:pPr>
      <w:r>
        <w:rPr>
          <w:rFonts w:hint="eastAsia"/>
        </w:rPr>
        <w:t>支持自定义的审批控制，支持相关管理员对登记的区块链智能合约进行审批，只有审批通过的智能合约才能发布。</w:t>
      </w:r>
    </w:p>
    <w:p>
      <w:pPr>
        <w:pStyle w:val="6"/>
        <w:rPr>
          <w:rFonts w:hint="eastAsia"/>
        </w:rPr>
      </w:pPr>
      <w:r>
        <w:rPr>
          <w:rFonts w:hint="eastAsia"/>
        </w:rPr>
        <w:t>（7）智能合约发布</w:t>
      </w:r>
    </w:p>
    <w:p>
      <w:pPr>
        <w:pStyle w:val="5"/>
        <w:ind w:firstLine="560"/>
        <w:rPr>
          <w:rFonts w:hint="eastAsia"/>
        </w:rPr>
      </w:pPr>
      <w:r>
        <w:rPr>
          <w:rFonts w:hint="eastAsia"/>
        </w:rPr>
        <w:t>支持自定义的发布控制，支持相关管理员对审批通过的区块链智能合约进行发布操作，发布的智能合约将固化在区块链中，根据预设的权限进行调用控制。</w:t>
      </w:r>
    </w:p>
    <w:p>
      <w:pPr>
        <w:pStyle w:val="6"/>
        <w:rPr>
          <w:rFonts w:hint="eastAsia"/>
        </w:rPr>
      </w:pPr>
      <w:r>
        <w:rPr>
          <w:rFonts w:hint="eastAsia"/>
        </w:rPr>
        <w:t>（8）合约列表概览</w:t>
      </w:r>
    </w:p>
    <w:p>
      <w:pPr>
        <w:pStyle w:val="5"/>
        <w:ind w:firstLine="560"/>
        <w:rPr>
          <w:rFonts w:hint="eastAsia"/>
        </w:rPr>
      </w:pPr>
      <w:r>
        <w:rPr>
          <w:rFonts w:hint="eastAsia"/>
        </w:rPr>
        <w:t>系统支持展示全量合约信息，展示内容包含合约名称、地址、登记编号、梨树区块链、所属应用等信息</w:t>
      </w:r>
    </w:p>
    <w:p>
      <w:pPr>
        <w:pStyle w:val="5"/>
        <w:ind w:firstLine="560"/>
        <w:rPr>
          <w:rFonts w:hint="eastAsia"/>
        </w:rPr>
      </w:pPr>
      <w:r>
        <w:rPr>
          <w:rFonts w:hint="eastAsia"/>
        </w:rPr>
        <w:t>点击合约信息即可查看当前合约全量信息，包含基本信息、合约状态、合约接口信息等。</w:t>
      </w:r>
    </w:p>
    <w:p>
      <w:pPr>
        <w:pStyle w:val="5"/>
        <w:ind w:firstLine="560"/>
        <w:rPr>
          <w:rFonts w:hint="eastAsia"/>
        </w:rPr>
      </w:pPr>
      <w:r>
        <w:rPr>
          <w:rFonts w:hint="eastAsia"/>
        </w:rPr>
        <w:t>支持按照多维度合约查询，包含名称、地址、梨树区块链、状态、合约技术等。</w:t>
      </w:r>
    </w:p>
    <w:p>
      <w:pPr>
        <w:pStyle w:val="6"/>
        <w:rPr>
          <w:rFonts w:hint="eastAsia"/>
        </w:rPr>
      </w:pPr>
      <w:r>
        <w:rPr>
          <w:rFonts w:hint="eastAsia"/>
        </w:rPr>
        <w:t>（9）合约禁用</w:t>
      </w:r>
    </w:p>
    <w:p>
      <w:pPr>
        <w:pStyle w:val="5"/>
        <w:ind w:firstLine="560"/>
        <w:rPr>
          <w:rFonts w:hint="eastAsia"/>
        </w:rPr>
      </w:pPr>
      <w:r>
        <w:rPr>
          <w:rFonts w:hint="eastAsia"/>
        </w:rPr>
        <w:t>针对已失效的合约，系统支持禁用功能，禁用后，当前合约失效</w:t>
      </w:r>
    </w:p>
    <w:p>
      <w:pPr>
        <w:pStyle w:val="6"/>
        <w:rPr>
          <w:rFonts w:hint="eastAsia"/>
        </w:rPr>
      </w:pPr>
      <w:r>
        <w:rPr>
          <w:rFonts w:hint="eastAsia"/>
        </w:rPr>
        <w:t>（10）智能合约部署和发布中心</w:t>
      </w:r>
    </w:p>
    <w:p>
      <w:pPr>
        <w:pStyle w:val="5"/>
        <w:ind w:firstLine="560"/>
        <w:rPr>
          <w:rFonts w:hint="eastAsia"/>
        </w:rPr>
      </w:pPr>
      <w:r>
        <w:rPr>
          <w:rFonts w:hint="eastAsia"/>
        </w:rPr>
        <w:t>对于测试确认无误的智能合约，支持统一部署发布，部署发布时，需指明发布环境、发布账户并设置与该合约相关合约的地址信息。应记录当前已部署的合约列表。</w:t>
      </w:r>
    </w:p>
    <w:p>
      <w:pPr>
        <w:pStyle w:val="4"/>
        <w:rPr>
          <w:rFonts w:hint="eastAsia"/>
        </w:rPr>
      </w:pPr>
      <w:r>
        <w:rPr>
          <w:rFonts w:hint="eastAsia"/>
        </w:rPr>
        <w:t>5、运行检测管理</w:t>
      </w:r>
    </w:p>
    <w:p>
      <w:pPr>
        <w:pStyle w:val="6"/>
        <w:rPr>
          <w:rFonts w:hint="eastAsia"/>
        </w:rPr>
      </w:pPr>
      <w:r>
        <w:rPr>
          <w:rFonts w:hint="eastAsia"/>
        </w:rPr>
        <w:t>（1）应用运行管理</w:t>
      </w:r>
    </w:p>
    <w:p>
      <w:pPr>
        <w:pStyle w:val="5"/>
        <w:ind w:firstLine="560"/>
        <w:rPr>
          <w:rFonts w:hint="eastAsia"/>
        </w:rPr>
      </w:pPr>
      <w:r>
        <w:rPr>
          <w:rFonts w:hint="eastAsia"/>
        </w:rPr>
        <w:t>为管理员展示应用运行情况，包括应用名称、对接系统、服务状态、响应时间等信息。</w:t>
      </w:r>
    </w:p>
    <w:p>
      <w:pPr>
        <w:pStyle w:val="6"/>
        <w:rPr>
          <w:rFonts w:hint="eastAsia"/>
        </w:rPr>
      </w:pPr>
      <w:r>
        <w:rPr>
          <w:rFonts w:hint="eastAsia"/>
        </w:rPr>
        <w:t>（2）异常数据检测</w:t>
      </w:r>
    </w:p>
    <w:p>
      <w:pPr>
        <w:pStyle w:val="5"/>
        <w:ind w:firstLine="560"/>
        <w:rPr>
          <w:rFonts w:hint="eastAsia"/>
        </w:rPr>
      </w:pPr>
      <w:r>
        <w:rPr>
          <w:rFonts w:hint="eastAsia"/>
        </w:rPr>
        <w:t>在办案过程中各个节点办理记录的结构化数据存证、验证过程一旦发现调用异常的，对异常数据提供预警提示功能，提醒业务人员。</w:t>
      </w:r>
    </w:p>
    <w:p>
      <w:pPr>
        <w:pStyle w:val="6"/>
        <w:rPr>
          <w:rFonts w:hint="eastAsia"/>
        </w:rPr>
      </w:pPr>
      <w:r>
        <w:rPr>
          <w:rFonts w:hint="eastAsia"/>
        </w:rPr>
        <w:t>（3）异常数据分析</w:t>
      </w:r>
    </w:p>
    <w:p>
      <w:pPr>
        <w:pStyle w:val="5"/>
        <w:ind w:firstLine="560"/>
        <w:rPr>
          <w:rFonts w:hint="eastAsia"/>
        </w:rPr>
      </w:pPr>
      <w:r>
        <w:rPr>
          <w:rFonts w:hint="eastAsia"/>
        </w:rPr>
        <w:t>提供异常数据的分析功能，包含存证异常、数据验证不通过、合约调用异常情况分析。</w:t>
      </w:r>
    </w:p>
    <w:p>
      <w:pPr>
        <w:pStyle w:val="6"/>
        <w:rPr>
          <w:rFonts w:hint="eastAsia"/>
        </w:rPr>
      </w:pPr>
      <w:r>
        <w:rPr>
          <w:rFonts w:hint="eastAsia"/>
        </w:rPr>
        <w:t>（4）风险预警管理</w:t>
      </w:r>
    </w:p>
    <w:p>
      <w:pPr>
        <w:pStyle w:val="5"/>
        <w:ind w:firstLine="560"/>
        <w:rPr>
          <w:rFonts w:hint="eastAsia"/>
        </w:rPr>
      </w:pPr>
      <w:r>
        <w:rPr>
          <w:rFonts w:hint="eastAsia"/>
        </w:rPr>
        <w:t>提供区块链服务异常预警监测功能，并对异常情况进行预警。预警内容包含节点磁盘水位预警和接口调用异常监控。</w:t>
      </w:r>
    </w:p>
    <w:p>
      <w:pPr>
        <w:pStyle w:val="6"/>
        <w:rPr>
          <w:rFonts w:hint="eastAsia"/>
        </w:rPr>
      </w:pPr>
      <w:r>
        <w:rPr>
          <w:rFonts w:hint="eastAsia"/>
        </w:rPr>
        <w:t>（5）日志审计</w:t>
      </w:r>
    </w:p>
    <w:p>
      <w:pPr>
        <w:pStyle w:val="5"/>
        <w:ind w:firstLine="560"/>
        <w:rPr>
          <w:rFonts w:hint="eastAsia"/>
        </w:rPr>
      </w:pPr>
      <w:r>
        <w:rPr>
          <w:rFonts w:hint="eastAsia"/>
        </w:rPr>
        <w:t>提供日志数据的全生命周期管理，统一汇聚日志数据，基于异常日志实时告警帮助运维人员快速发现问题、分析问题。</w:t>
      </w:r>
    </w:p>
    <w:p>
      <w:pPr>
        <w:pStyle w:val="4"/>
        <w:rPr>
          <w:rFonts w:hint="eastAsia"/>
        </w:rPr>
      </w:pPr>
      <w:r>
        <w:rPr>
          <w:rFonts w:hint="eastAsia"/>
        </w:rPr>
        <w:t>6、应用数据管理</w:t>
      </w:r>
    </w:p>
    <w:p>
      <w:pPr>
        <w:pStyle w:val="6"/>
        <w:rPr>
          <w:rFonts w:hint="eastAsia"/>
        </w:rPr>
      </w:pPr>
      <w:r>
        <w:rPr>
          <w:rFonts w:hint="eastAsia"/>
        </w:rPr>
        <w:t>（1）区块链应用数据概括统计</w:t>
      </w:r>
    </w:p>
    <w:p>
      <w:pPr>
        <w:pStyle w:val="5"/>
        <w:ind w:firstLine="560"/>
        <w:rPr>
          <w:rFonts w:hint="eastAsia"/>
        </w:rPr>
      </w:pPr>
      <w:r>
        <w:rPr>
          <w:rFonts w:hint="eastAsia"/>
        </w:rPr>
        <w:t>1）区块链应用分类统计</w:t>
      </w:r>
    </w:p>
    <w:p>
      <w:pPr>
        <w:pStyle w:val="5"/>
        <w:ind w:firstLine="560"/>
        <w:rPr>
          <w:rFonts w:hint="eastAsia"/>
        </w:rPr>
      </w:pPr>
      <w:r>
        <w:rPr>
          <w:rFonts w:hint="eastAsia"/>
        </w:rPr>
        <w:t>将存验证应用数量、调用数量，合约应用数量、合约调用数量，根据网络环境、业务分类等维度进行统计。可通过变更统计时间查看不同时间段的数量。点击业务分类的统计数据跳转至业务应用列表。</w:t>
      </w:r>
    </w:p>
    <w:p>
      <w:pPr>
        <w:pStyle w:val="5"/>
        <w:ind w:firstLine="560"/>
        <w:rPr>
          <w:rFonts w:hint="eastAsia"/>
        </w:rPr>
      </w:pPr>
      <w:r>
        <w:rPr>
          <w:rFonts w:hint="eastAsia"/>
        </w:rPr>
        <w:t>2）业务应用列表</w:t>
      </w:r>
    </w:p>
    <w:p>
      <w:pPr>
        <w:pStyle w:val="5"/>
        <w:ind w:firstLine="560"/>
        <w:rPr>
          <w:rFonts w:hint="eastAsia"/>
        </w:rPr>
      </w:pPr>
      <w:r>
        <w:rPr>
          <w:rFonts w:hint="eastAsia"/>
        </w:rPr>
        <w:t>展示全部应用的基本信息及数据，包括应用名称、调用次数等。提供统计时间、业务分类、接口类型、调用系统等筛选条件。变更筛选条件后，应用的统计数据也会改变。点击应用卡片可进入应用详情页。</w:t>
      </w:r>
    </w:p>
    <w:p>
      <w:pPr>
        <w:pStyle w:val="5"/>
        <w:ind w:firstLine="560"/>
        <w:rPr>
          <w:rFonts w:hint="eastAsia"/>
        </w:rPr>
      </w:pPr>
      <w:r>
        <w:rPr>
          <w:rFonts w:hint="eastAsia"/>
        </w:rPr>
        <w:t>3）应用详情</w:t>
      </w:r>
    </w:p>
    <w:p>
      <w:pPr>
        <w:pStyle w:val="5"/>
        <w:ind w:firstLine="560"/>
        <w:rPr>
          <w:rFonts w:hint="eastAsia"/>
        </w:rPr>
      </w:pPr>
      <w:r>
        <w:rPr>
          <w:rFonts w:hint="eastAsia"/>
        </w:rPr>
        <w:t>应用详情页可查看当前应用的基本信息，包括应用基本信息、接口目录、智能合约目录等。并可查看调用记录明细</w:t>
      </w:r>
    </w:p>
    <w:p>
      <w:pPr>
        <w:pStyle w:val="5"/>
        <w:ind w:firstLine="560"/>
        <w:rPr>
          <w:rFonts w:hint="eastAsia"/>
        </w:rPr>
      </w:pPr>
      <w:r>
        <w:rPr>
          <w:rFonts w:hint="eastAsia"/>
        </w:rPr>
        <w:t>调用记录列表展示每一条调用记录，包括调用人、调用时间、存证内容/验证结果/合约判断结果、交易哈希。</w:t>
      </w:r>
    </w:p>
    <w:p>
      <w:pPr>
        <w:pStyle w:val="5"/>
        <w:ind w:firstLine="560"/>
        <w:rPr>
          <w:rFonts w:hint="eastAsia"/>
        </w:rPr>
      </w:pPr>
      <w:r>
        <w:rPr>
          <w:rFonts w:hint="eastAsia"/>
        </w:rPr>
        <w:t>点击调用记录列表中的信息可跳转至案件记录明细，展示每个调用记录的详细入参信息。</w:t>
      </w:r>
    </w:p>
    <w:p>
      <w:pPr>
        <w:pStyle w:val="5"/>
        <w:ind w:firstLine="560"/>
        <w:rPr>
          <w:rFonts w:hint="eastAsia"/>
        </w:rPr>
      </w:pPr>
      <w:r>
        <w:rPr>
          <w:rFonts w:hint="eastAsia"/>
        </w:rPr>
        <w:t>4）接口调用分析</w:t>
      </w:r>
    </w:p>
    <w:p>
      <w:pPr>
        <w:pStyle w:val="5"/>
        <w:ind w:firstLine="560"/>
        <w:rPr>
          <w:rFonts w:hint="eastAsia"/>
        </w:rPr>
      </w:pPr>
      <w:r>
        <w:rPr>
          <w:rFonts w:hint="eastAsia"/>
        </w:rPr>
        <w:t>存验证接口管理列表中提供接口调用分析功能。统计全部接口数量的增长情况，各业务类型分布情况。还统计接口调用数量的增长情况，及各业务类型分布情况。</w:t>
      </w:r>
    </w:p>
    <w:p>
      <w:pPr>
        <w:pStyle w:val="5"/>
        <w:ind w:firstLine="560"/>
        <w:rPr>
          <w:rFonts w:hint="eastAsia"/>
        </w:rPr>
      </w:pPr>
      <w:r>
        <w:rPr>
          <w:rFonts w:hint="eastAsia"/>
        </w:rPr>
        <w:t>5）合约调用分析</w:t>
      </w:r>
    </w:p>
    <w:p>
      <w:pPr>
        <w:pStyle w:val="5"/>
        <w:ind w:firstLine="560"/>
        <w:rPr>
          <w:rFonts w:hint="eastAsia"/>
        </w:rPr>
      </w:pPr>
      <w:r>
        <w:rPr>
          <w:rFonts w:hint="eastAsia"/>
        </w:rPr>
        <w:t>提供合约调用分析功能，包含合约数量的增长情况，各业务类型分布情况、合约调用数量的增长情况、各业务类型分布情况等。</w:t>
      </w:r>
    </w:p>
    <w:p>
      <w:pPr>
        <w:pStyle w:val="6"/>
        <w:rPr>
          <w:rFonts w:hint="eastAsia"/>
        </w:rPr>
      </w:pPr>
      <w:r>
        <w:rPr>
          <w:rFonts w:hint="eastAsia"/>
        </w:rPr>
        <w:t>（2）电子档案全流程可信应用分析</w:t>
      </w:r>
    </w:p>
    <w:p>
      <w:pPr>
        <w:pStyle w:val="5"/>
        <w:ind w:firstLine="560"/>
        <w:rPr>
          <w:rFonts w:hint="eastAsia"/>
        </w:rPr>
      </w:pPr>
      <w:r>
        <w:rPr>
          <w:rFonts w:hint="eastAsia"/>
        </w:rPr>
        <w:t>1）电子档案存证分析</w:t>
      </w:r>
    </w:p>
    <w:p>
      <w:pPr>
        <w:pStyle w:val="5"/>
        <w:ind w:firstLine="560"/>
        <w:rPr>
          <w:rFonts w:hint="eastAsia"/>
        </w:rPr>
      </w:pPr>
      <w:r>
        <w:rPr>
          <w:rFonts w:hint="eastAsia"/>
        </w:rPr>
        <w:t>提供电子档案全流程各业务环节的存证分析，包括数据统计、存证列表、详情。数据统计包括存证态势分析、操作行为分布分析。存证列表展示操作人、存证时间、文件名称、文件哈希等核心信息。详情展示具体业务信息。</w:t>
      </w:r>
    </w:p>
    <w:p>
      <w:pPr>
        <w:pStyle w:val="5"/>
        <w:ind w:firstLine="560"/>
        <w:rPr>
          <w:rFonts w:hint="eastAsia"/>
        </w:rPr>
      </w:pPr>
      <w:r>
        <w:rPr>
          <w:rFonts w:hint="eastAsia"/>
        </w:rPr>
        <w:t>2）电子档案异常分析</w:t>
      </w:r>
    </w:p>
    <w:p>
      <w:pPr>
        <w:pStyle w:val="5"/>
        <w:ind w:firstLine="560"/>
        <w:rPr>
          <w:rFonts w:hint="eastAsia"/>
        </w:rPr>
      </w:pPr>
      <w:r>
        <w:rPr>
          <w:rFonts w:hint="eastAsia"/>
        </w:rPr>
        <w:t>提供电子档案全流程各业务环节异常数据分析，包括异常状态发生时间点、异常状态、异常业务流程点等</w:t>
      </w:r>
    </w:p>
    <w:p>
      <w:pPr>
        <w:pStyle w:val="5"/>
        <w:ind w:firstLine="560"/>
        <w:rPr>
          <w:rFonts w:hint="eastAsia"/>
        </w:rPr>
      </w:pPr>
      <w:r>
        <w:rPr>
          <w:rFonts w:hint="eastAsia"/>
        </w:rPr>
        <w:t>3）电子档案智能合约应用分析</w:t>
      </w:r>
    </w:p>
    <w:p>
      <w:pPr>
        <w:pStyle w:val="5"/>
        <w:ind w:firstLine="560"/>
        <w:rPr>
          <w:rFonts w:hint="eastAsia"/>
        </w:rPr>
      </w:pPr>
      <w:r>
        <w:rPr>
          <w:rFonts w:hint="eastAsia"/>
        </w:rPr>
        <w:t>提供电子档案全流程各业务环节的合约调用分析，包括合约调用统计、调用列表、详情。包括合约态势分析、调用结果分布。列表展示操作人、调用时间、调用结果等核心信息。详情展示具体合约信息。</w:t>
      </w:r>
    </w:p>
    <w:p>
      <w:pPr>
        <w:pStyle w:val="3"/>
        <w:rPr>
          <w:rFonts w:hint="eastAsia"/>
        </w:rPr>
      </w:pPr>
      <w:bookmarkStart w:id="6" w:name="_Toc174017431"/>
      <w:r>
        <w:rPr>
          <w:rFonts w:hint="eastAsia"/>
        </w:rPr>
        <w:t>（二）、跨链协同平台</w:t>
      </w:r>
      <w:bookmarkEnd w:id="6"/>
    </w:p>
    <w:p>
      <w:pPr>
        <w:pStyle w:val="4"/>
        <w:rPr>
          <w:rFonts w:hint="eastAsia"/>
        </w:rPr>
      </w:pPr>
      <w:r>
        <w:rPr>
          <w:rFonts w:hint="eastAsia"/>
        </w:rPr>
        <w:t>1、接入管理</w:t>
      </w:r>
    </w:p>
    <w:p>
      <w:pPr>
        <w:pStyle w:val="5"/>
        <w:ind w:firstLine="560"/>
        <w:rPr>
          <w:rFonts w:hint="eastAsia"/>
        </w:rPr>
      </w:pPr>
      <w:r>
        <w:rPr>
          <w:rFonts w:hint="eastAsia"/>
        </w:rPr>
        <w:t>接入管理负责跨链协同参与要素，如区块链、跨链网关、业务系统、组织机构等信息登记、身份真实性验证，以及正确开展跨链协同所必需的能力评估测试认证信息管理。</w:t>
      </w:r>
    </w:p>
    <w:p>
      <w:pPr>
        <w:pStyle w:val="6"/>
        <w:rPr>
          <w:rFonts w:hint="eastAsia"/>
        </w:rPr>
      </w:pPr>
      <w:r>
        <w:rPr>
          <w:rFonts w:hint="eastAsia"/>
        </w:rPr>
        <w:t>（1）区块链接入管理</w:t>
      </w:r>
    </w:p>
    <w:p>
      <w:pPr>
        <w:pStyle w:val="5"/>
        <w:ind w:firstLine="560"/>
        <w:rPr>
          <w:rFonts w:hint="eastAsia"/>
        </w:rPr>
      </w:pPr>
      <w:r>
        <w:rPr>
          <w:rFonts w:hint="eastAsia"/>
        </w:rPr>
        <w:t>包含区块链登记认证、区块链接口完备度评测、区块链调度合约功能评测、区块链接入审批、已登记区块链列表概览、已登记区块链查询、已登记区块链详情查看、已登记区块链信息修改等</w:t>
      </w:r>
    </w:p>
    <w:p>
      <w:pPr>
        <w:pStyle w:val="6"/>
        <w:rPr>
          <w:rFonts w:hint="eastAsia"/>
        </w:rPr>
      </w:pPr>
      <w:r>
        <w:rPr>
          <w:rFonts w:hint="eastAsia"/>
        </w:rPr>
        <w:t>（2）跨链网关接入管理</w:t>
      </w:r>
    </w:p>
    <w:p>
      <w:pPr>
        <w:pStyle w:val="5"/>
        <w:ind w:firstLine="560"/>
        <w:rPr>
          <w:rFonts w:hint="eastAsia"/>
        </w:rPr>
      </w:pPr>
      <w:r>
        <w:rPr>
          <w:rFonts w:hint="eastAsia"/>
        </w:rPr>
        <w:t>包含新建跨链网关登记认证、跨链网关接口完备度评测、跨链网关接入审批、已登记跨链网关列表概览、已登记跨链网关查询、已登记跨链网关详情查看、已登记跨链网关信息修改等</w:t>
      </w:r>
    </w:p>
    <w:p>
      <w:pPr>
        <w:pStyle w:val="4"/>
        <w:rPr>
          <w:rFonts w:hint="eastAsia"/>
        </w:rPr>
      </w:pPr>
      <w:r>
        <w:rPr>
          <w:rFonts w:hint="eastAsia"/>
        </w:rPr>
        <w:t>2、跨链协同事务管理</w:t>
      </w:r>
    </w:p>
    <w:p>
      <w:pPr>
        <w:pStyle w:val="5"/>
        <w:ind w:firstLine="560"/>
        <w:rPr>
          <w:rFonts w:hint="eastAsia"/>
        </w:rPr>
      </w:pPr>
      <w:r>
        <w:rPr>
          <w:rFonts w:hint="eastAsia"/>
        </w:rPr>
        <w:t>跨链协同事务管理负责跨链协同事务的创建、运行监控、质效分析、开通许可授权等管理工作。</w:t>
      </w:r>
    </w:p>
    <w:p>
      <w:pPr>
        <w:pStyle w:val="6"/>
        <w:rPr>
          <w:rFonts w:hint="eastAsia"/>
        </w:rPr>
      </w:pPr>
      <w:r>
        <w:rPr>
          <w:rFonts w:hint="eastAsia"/>
        </w:rPr>
        <w:t>（1）跨链协同事务维护</w:t>
      </w:r>
    </w:p>
    <w:p>
      <w:pPr>
        <w:pStyle w:val="5"/>
        <w:ind w:firstLine="560"/>
        <w:rPr>
          <w:rFonts w:hint="eastAsia"/>
        </w:rPr>
      </w:pPr>
      <w:r>
        <w:rPr>
          <w:rFonts w:hint="eastAsia"/>
        </w:rPr>
        <w:t>包含跨链协同事务创建、跨链协同事务应答、跨链协同事务列表概览、跨链协同事务查询、跨链协同事务详情查看、跨链协同事务运行状态控制等。</w:t>
      </w:r>
    </w:p>
    <w:p>
      <w:pPr>
        <w:pStyle w:val="6"/>
        <w:rPr>
          <w:rFonts w:hint="eastAsia"/>
        </w:rPr>
      </w:pPr>
      <w:r>
        <w:rPr>
          <w:rFonts w:hint="eastAsia"/>
        </w:rPr>
        <w:t>（2）跨链协同事务实例管理</w:t>
      </w:r>
    </w:p>
    <w:p>
      <w:pPr>
        <w:pStyle w:val="5"/>
        <w:ind w:firstLine="560"/>
        <w:rPr>
          <w:rFonts w:hint="eastAsia"/>
        </w:rPr>
      </w:pPr>
      <w:r>
        <w:rPr>
          <w:rFonts w:hint="eastAsia"/>
        </w:rPr>
        <w:t>包含跨链协同事务实例列表概览、跨链协同事务实例查询、跨链协同事务实例详情查看。</w:t>
      </w:r>
    </w:p>
    <w:p>
      <w:pPr>
        <w:pStyle w:val="6"/>
        <w:rPr>
          <w:rFonts w:hint="eastAsia"/>
        </w:rPr>
      </w:pPr>
      <w:r>
        <w:rPr>
          <w:rFonts w:hint="eastAsia"/>
        </w:rPr>
        <w:t>（3）跨链协同事务质效分析</w:t>
      </w:r>
    </w:p>
    <w:p>
      <w:pPr>
        <w:pStyle w:val="5"/>
        <w:ind w:firstLine="560"/>
        <w:rPr>
          <w:rFonts w:hint="eastAsia"/>
        </w:rPr>
      </w:pPr>
      <w:r>
        <w:rPr>
          <w:rFonts w:hint="eastAsia"/>
        </w:rPr>
        <w:t>包含跨链协同事务数量统计分析、跨链协同事务链路性能分析、跨链协同事务发起网关参与情况统计、跨链协同事务接收网关参与情况统计、跨链协同事务途径网关参与情况统计</w:t>
      </w:r>
    </w:p>
    <w:p>
      <w:pPr>
        <w:pStyle w:val="6"/>
        <w:rPr>
          <w:rFonts w:hint="eastAsia"/>
        </w:rPr>
      </w:pPr>
      <w:r>
        <w:rPr>
          <w:rFonts w:hint="eastAsia"/>
        </w:rPr>
        <w:t>（4）跨链协同事务运行监控</w:t>
      </w:r>
    </w:p>
    <w:p>
      <w:pPr>
        <w:pStyle w:val="5"/>
        <w:ind w:firstLine="560"/>
        <w:rPr>
          <w:rFonts w:hint="eastAsia"/>
        </w:rPr>
      </w:pPr>
      <w:r>
        <w:rPr>
          <w:rFonts w:hint="eastAsia"/>
        </w:rPr>
        <w:t>包含跨链协同事务运行链路状态分析、协同事务区块链运行趋势分析、协同事务跨链网关运行趋势分析等。</w:t>
      </w:r>
    </w:p>
    <w:p>
      <w:pPr>
        <w:pStyle w:val="4"/>
        <w:rPr>
          <w:rFonts w:hint="eastAsia"/>
        </w:rPr>
      </w:pPr>
      <w:r>
        <w:rPr>
          <w:rFonts w:hint="eastAsia"/>
        </w:rPr>
        <w:t>3、跨链网关</w:t>
      </w:r>
    </w:p>
    <w:p>
      <w:pPr>
        <w:pStyle w:val="5"/>
        <w:ind w:firstLine="560"/>
        <w:rPr>
          <w:rFonts w:hint="eastAsia"/>
        </w:rPr>
      </w:pPr>
      <w:r>
        <w:rPr>
          <w:rFonts w:hint="eastAsia"/>
        </w:rPr>
        <w:t>建设检察区块链协同服务平台跨链网关，具备实现异构跨链过程中的交易捕获、信息传输以及身份验证等能力，提供跨部门同构、异构区块链平台的跨链交互底层能力支撑，实现对跨链可信协同过程中的跨链数字身份认证、跨链任务监听、数据跨链发送、数据跨链接收、跨链合约调用、跨链协同回执等服务，满足本期项目建设过程中对电子换押场景的支持。</w:t>
      </w:r>
    </w:p>
    <w:p>
      <w:pPr>
        <w:pStyle w:val="5"/>
        <w:ind w:firstLine="560"/>
        <w:rPr>
          <w:rFonts w:hint="eastAsia"/>
        </w:rPr>
      </w:pPr>
      <w:r>
        <w:rPr>
          <w:rFonts w:hint="eastAsia"/>
        </w:rPr>
        <w:t>跨链网关通过接口适配，支持对接各种区块链底层平台，跨链网关在协同平台上完成登记及认证，获取跨链授权凭证，实现与外单位（如法院）的区块链跨链协同。</w:t>
      </w:r>
    </w:p>
    <w:p>
      <w:pPr>
        <w:pStyle w:val="4"/>
        <w:rPr>
          <w:rFonts w:hint="eastAsia"/>
        </w:rPr>
      </w:pPr>
      <w:r>
        <w:rPr>
          <w:rFonts w:hint="eastAsia"/>
        </w:rPr>
        <w:t>4、跨域网关</w:t>
      </w:r>
    </w:p>
    <w:p>
      <w:pPr>
        <w:pStyle w:val="5"/>
        <w:ind w:firstLine="560"/>
        <w:rPr>
          <w:rFonts w:hint="eastAsia"/>
        </w:rPr>
      </w:pPr>
      <w:r>
        <w:rPr>
          <w:rFonts w:hint="eastAsia"/>
        </w:rPr>
        <w:t>建设检察区块链协同服务平台跨域网关，主要用于支撑检察区块链在3个网域之间的数据流转应用，跨域网关对跨域数据进行封装，并通过不同网域间安全边界进行数据跨域安全传输，实现网域间区块链跨链协同，满足不同网域可信协同过程中跨域数字身份认证、跨域任务监听、数据跨域发送、数据跨域接收、跨域合约调用、跨域协同回执等服务。</w:t>
      </w:r>
    </w:p>
    <w:p>
      <w:pPr>
        <w:pStyle w:val="4"/>
        <w:rPr>
          <w:rFonts w:hint="eastAsia"/>
        </w:rPr>
      </w:pPr>
      <w:r>
        <w:rPr>
          <w:rFonts w:hint="eastAsia"/>
        </w:rPr>
        <w:t>5、运行预警管理</w:t>
      </w:r>
    </w:p>
    <w:p>
      <w:pPr>
        <w:pStyle w:val="5"/>
        <w:ind w:firstLine="560"/>
        <w:rPr>
          <w:rFonts w:hint="eastAsia"/>
        </w:rPr>
      </w:pPr>
      <w:r>
        <w:rPr>
          <w:rFonts w:hint="eastAsia"/>
        </w:rPr>
        <w:t>运行预警管理模块负责创建和管理协同管理平台中的各类预警规则，支持对预警规则进行设置、预警监查、通知订阅、提供预警信息。</w:t>
      </w:r>
    </w:p>
    <w:p>
      <w:pPr>
        <w:pStyle w:val="6"/>
        <w:rPr>
          <w:rFonts w:hint="eastAsia"/>
        </w:rPr>
      </w:pPr>
      <w:r>
        <w:rPr>
          <w:rFonts w:hint="eastAsia"/>
        </w:rPr>
        <w:t>（1）预警设置</w:t>
      </w:r>
    </w:p>
    <w:p>
      <w:pPr>
        <w:pStyle w:val="5"/>
        <w:ind w:firstLine="560"/>
        <w:rPr>
          <w:rFonts w:hint="eastAsia"/>
        </w:rPr>
      </w:pPr>
      <w:r>
        <w:rPr>
          <w:rFonts w:hint="eastAsia"/>
        </w:rPr>
        <w:t>预警设置为协同管理平台运营人员提供交互界面，对各种可监控预警的点依据自身的预警策略设置预警阈值。</w:t>
      </w:r>
    </w:p>
    <w:p>
      <w:pPr>
        <w:pStyle w:val="6"/>
        <w:rPr>
          <w:rFonts w:hint="eastAsia"/>
        </w:rPr>
      </w:pPr>
      <w:r>
        <w:rPr>
          <w:rFonts w:hint="eastAsia"/>
        </w:rPr>
        <w:t>（2）预警监查</w:t>
      </w:r>
    </w:p>
    <w:p>
      <w:pPr>
        <w:pStyle w:val="5"/>
        <w:ind w:firstLine="560"/>
        <w:rPr>
          <w:rFonts w:hint="eastAsia"/>
        </w:rPr>
      </w:pPr>
      <w:r>
        <w:rPr>
          <w:rFonts w:hint="eastAsia"/>
        </w:rPr>
        <w:t>平台对参与协同的各类要素进行监测，并根据预设规则进行预警提示。</w:t>
      </w:r>
    </w:p>
    <w:p>
      <w:pPr>
        <w:pStyle w:val="6"/>
        <w:rPr>
          <w:rFonts w:hint="eastAsia"/>
        </w:rPr>
      </w:pPr>
      <w:r>
        <w:rPr>
          <w:rFonts w:hint="eastAsia"/>
        </w:rPr>
        <w:t>（3）通知订阅</w:t>
      </w:r>
    </w:p>
    <w:p>
      <w:pPr>
        <w:pStyle w:val="5"/>
        <w:ind w:firstLine="560"/>
        <w:rPr>
          <w:rFonts w:hint="eastAsia"/>
        </w:rPr>
      </w:pPr>
      <w:r>
        <w:rPr>
          <w:rFonts w:hint="eastAsia"/>
        </w:rPr>
        <w:t>通知订阅模块负责将预警通知信息向设定的预警通知通道中进行发送，如短信、邮件、管理平台界面等。</w:t>
      </w:r>
    </w:p>
    <w:p>
      <w:pPr>
        <w:pStyle w:val="6"/>
        <w:rPr>
          <w:rFonts w:hint="eastAsia"/>
        </w:rPr>
      </w:pPr>
      <w:r>
        <w:rPr>
          <w:rFonts w:hint="eastAsia"/>
        </w:rPr>
        <w:t>（4）预警信息</w:t>
      </w:r>
    </w:p>
    <w:p>
      <w:pPr>
        <w:pStyle w:val="5"/>
        <w:ind w:firstLine="560"/>
        <w:rPr>
          <w:rFonts w:hint="eastAsia"/>
        </w:rPr>
      </w:pPr>
      <w:r>
        <w:rPr>
          <w:rFonts w:hint="eastAsia"/>
        </w:rPr>
        <w:t>提供预警通知查阅功能，便于协同管理平台运营人员了解预警的具体信息。</w:t>
      </w:r>
    </w:p>
    <w:p>
      <w:pPr>
        <w:pStyle w:val="4"/>
        <w:rPr>
          <w:rFonts w:hint="eastAsia"/>
        </w:rPr>
      </w:pPr>
      <w:r>
        <w:rPr>
          <w:rFonts w:hint="eastAsia"/>
        </w:rPr>
        <w:t>6、工单管理</w:t>
      </w:r>
    </w:p>
    <w:p>
      <w:pPr>
        <w:pStyle w:val="5"/>
        <w:ind w:firstLine="560"/>
        <w:rPr>
          <w:rFonts w:hint="eastAsia"/>
        </w:rPr>
      </w:pPr>
      <w:r>
        <w:rPr>
          <w:rFonts w:hint="eastAsia"/>
        </w:rPr>
        <w:t>工单管理负责为协同管理平台运营人员提供工单管理功能，如工单发起、工单应答。</w:t>
      </w:r>
    </w:p>
    <w:p>
      <w:pPr>
        <w:pStyle w:val="6"/>
        <w:rPr>
          <w:rFonts w:hint="eastAsia"/>
        </w:rPr>
      </w:pPr>
      <w:r>
        <w:rPr>
          <w:rFonts w:hint="eastAsia"/>
        </w:rPr>
        <w:t>（1）工单创建</w:t>
      </w:r>
    </w:p>
    <w:p>
      <w:pPr>
        <w:pStyle w:val="5"/>
        <w:ind w:firstLine="560"/>
        <w:rPr>
          <w:rFonts w:hint="eastAsia"/>
        </w:rPr>
      </w:pPr>
      <w:r>
        <w:rPr>
          <w:rFonts w:hint="eastAsia"/>
        </w:rPr>
        <w:t>工单创建是在出现需要运维人员干预的异常事项时，运营人员可通过此界面创建运维工单，与其他协同单位一同排查修复异常。</w:t>
      </w:r>
    </w:p>
    <w:p>
      <w:pPr>
        <w:pStyle w:val="6"/>
        <w:rPr>
          <w:rFonts w:hint="eastAsia"/>
        </w:rPr>
      </w:pPr>
      <w:r>
        <w:rPr>
          <w:rFonts w:hint="eastAsia"/>
        </w:rPr>
        <w:t>（2）工单级别定义</w:t>
      </w:r>
    </w:p>
    <w:p>
      <w:pPr>
        <w:pStyle w:val="5"/>
        <w:ind w:firstLine="560"/>
        <w:rPr>
          <w:rFonts w:hint="eastAsia"/>
        </w:rPr>
      </w:pPr>
      <w:r>
        <w:rPr>
          <w:rFonts w:hint="eastAsia"/>
        </w:rPr>
        <w:t>运维人员在创建工单时，可以根据实际异常情况，维工单定义不同的优先级别，主要包括：“紧急、重要、一般、次要”四个级别。</w:t>
      </w:r>
    </w:p>
    <w:p>
      <w:pPr>
        <w:pStyle w:val="6"/>
        <w:rPr>
          <w:rFonts w:hint="eastAsia"/>
        </w:rPr>
      </w:pPr>
      <w:r>
        <w:rPr>
          <w:rFonts w:hint="eastAsia"/>
        </w:rPr>
        <w:t>（3）工单应答</w:t>
      </w:r>
    </w:p>
    <w:p>
      <w:pPr>
        <w:pStyle w:val="5"/>
        <w:ind w:firstLine="560"/>
        <w:rPr>
          <w:rFonts w:hint="eastAsia"/>
        </w:rPr>
      </w:pPr>
      <w:r>
        <w:rPr>
          <w:rFonts w:hint="eastAsia"/>
        </w:rPr>
        <w:t>协同管理平台在收到运维工单后，通过多种通知手段告知工单指定的应答方，以便其及时进行后续的运维处理工作。工单应答负责展示特定运维人员需要处理的运维申请，并通过运维工单中的信息清晰了解运维工作相关的详细信息，并及时将运维处理结果反馈给运维申请人员。</w:t>
      </w:r>
    </w:p>
    <w:p>
      <w:pPr>
        <w:pStyle w:val="6"/>
        <w:rPr>
          <w:rFonts w:hint="eastAsia"/>
        </w:rPr>
      </w:pPr>
      <w:r>
        <w:rPr>
          <w:rFonts w:hint="eastAsia"/>
        </w:rPr>
        <w:t>（4）工单列表概览</w:t>
      </w:r>
    </w:p>
    <w:p>
      <w:pPr>
        <w:pStyle w:val="5"/>
        <w:ind w:firstLine="560"/>
        <w:rPr>
          <w:rFonts w:hint="eastAsia"/>
        </w:rPr>
      </w:pPr>
      <w:r>
        <w:rPr>
          <w:rFonts w:hint="eastAsia"/>
        </w:rPr>
        <w:t>协同平台呈现当前已经接收的所有工单信息列表，包括工单编号、工单类型、优先级、标题、状态、状态变更时间、受理方组织名称等信息。</w:t>
      </w:r>
    </w:p>
    <w:p>
      <w:pPr>
        <w:pStyle w:val="5"/>
        <w:ind w:firstLine="560"/>
        <w:rPr>
          <w:rFonts w:hint="eastAsia"/>
        </w:rPr>
      </w:pPr>
      <w:r>
        <w:rPr>
          <w:rFonts w:hint="eastAsia"/>
        </w:rPr>
        <w:t>平台支持对工单进行查询检索，可通过工单编号、工单类型、工单状态、优先级等内容进行查询。</w:t>
      </w:r>
    </w:p>
    <w:p>
      <w:pPr>
        <w:pStyle w:val="5"/>
        <w:ind w:firstLine="560"/>
        <w:rPr>
          <w:rFonts w:hint="eastAsia"/>
        </w:rPr>
      </w:pPr>
      <w:r>
        <w:rPr>
          <w:rFonts w:hint="eastAsia"/>
        </w:rPr>
        <w:t>平台可查看协同工单具体信息内容，以辅助运维人员进行分析排查，内容包括所含附件内容。</w:t>
      </w:r>
    </w:p>
    <w:p>
      <w:pPr>
        <w:pStyle w:val="4"/>
        <w:rPr>
          <w:rFonts w:hint="eastAsia"/>
        </w:rPr>
      </w:pPr>
      <w:r>
        <w:rPr>
          <w:rFonts w:hint="eastAsia"/>
        </w:rPr>
        <w:t>7、消息中心</w:t>
      </w:r>
    </w:p>
    <w:p>
      <w:pPr>
        <w:pStyle w:val="5"/>
        <w:ind w:firstLine="560"/>
        <w:rPr>
          <w:rFonts w:hint="eastAsia"/>
        </w:rPr>
      </w:pPr>
      <w:r>
        <w:rPr>
          <w:rFonts w:hint="eastAsia"/>
        </w:rPr>
        <w:t>消息中心模块负责管理协同管理平台支持的事件通知手段，以及协同管理平台中所有通知信息。支持查看系统通知、工单处理通知、接入处理通知、监控预警通知、通知查询、通知详情查看等</w:t>
      </w:r>
    </w:p>
    <w:p>
      <w:pPr>
        <w:pStyle w:val="4"/>
        <w:rPr>
          <w:rFonts w:hint="eastAsia"/>
        </w:rPr>
      </w:pPr>
      <w:r>
        <w:rPr>
          <w:rFonts w:hint="eastAsia"/>
        </w:rPr>
        <w:t>8、平台管理</w:t>
      </w:r>
    </w:p>
    <w:p>
      <w:pPr>
        <w:pStyle w:val="5"/>
        <w:ind w:firstLine="560"/>
        <w:rPr>
          <w:rFonts w:hint="eastAsia"/>
        </w:rPr>
      </w:pPr>
      <w:r>
        <w:rPr>
          <w:rFonts w:hint="eastAsia"/>
        </w:rPr>
        <w:t>平台管理模块负责管理协同管理平台自身的相关配置信息和平台管理员账户管理。包括平台信息维护、平台管理员信息维护。</w:t>
      </w:r>
    </w:p>
    <w:p>
      <w:pPr>
        <w:pStyle w:val="4"/>
        <w:rPr>
          <w:rFonts w:hint="eastAsia"/>
        </w:rPr>
      </w:pPr>
      <w:r>
        <w:rPr>
          <w:rFonts w:hint="eastAsia"/>
        </w:rPr>
        <w:t>9、协同管理信息同步</w:t>
      </w:r>
    </w:p>
    <w:p>
      <w:pPr>
        <w:pStyle w:val="5"/>
        <w:ind w:firstLine="560"/>
        <w:rPr>
          <w:rFonts w:hint="eastAsia"/>
        </w:rPr>
      </w:pPr>
      <w:r>
        <w:rPr>
          <w:rFonts w:hint="eastAsia"/>
        </w:rPr>
        <w:t>协同管理信息同步管理负责在不同的协同集成管理平台间建立信息交换通道，将跨链协同管理信息准确、安全、可靠的传递给特定的区块链协同集成管理平台，最终实现区块链协同集成管理业务联动。为此需保证各个协同平台之间有高效稳定的数据同步。</w:t>
      </w:r>
    </w:p>
    <w:p>
      <w:pPr>
        <w:pStyle w:val="6"/>
        <w:rPr>
          <w:rFonts w:hint="eastAsia"/>
        </w:rPr>
      </w:pPr>
      <w:r>
        <w:rPr>
          <w:rFonts w:hint="eastAsia"/>
        </w:rPr>
        <w:t>（1）协同管理平台信息同步</w:t>
      </w:r>
    </w:p>
    <w:p>
      <w:pPr>
        <w:pStyle w:val="5"/>
        <w:ind w:firstLine="560"/>
        <w:rPr>
          <w:rFonts w:hint="eastAsia"/>
        </w:rPr>
      </w:pPr>
      <w:r>
        <w:rPr>
          <w:rFonts w:hint="eastAsia"/>
        </w:rPr>
        <w:t>协同管理平台是一套分布式协同平台，单个分平台部署后或信息更新后，需将本平台的基本情况与其他分平台进行同步，确保各个协同平台保持信息一致。</w:t>
      </w:r>
    </w:p>
    <w:p>
      <w:pPr>
        <w:pStyle w:val="6"/>
        <w:rPr>
          <w:rFonts w:hint="eastAsia"/>
        </w:rPr>
      </w:pPr>
      <w:r>
        <w:rPr>
          <w:rFonts w:hint="eastAsia"/>
        </w:rPr>
        <w:t>（2）区块链信息同步</w:t>
      </w:r>
    </w:p>
    <w:p>
      <w:pPr>
        <w:pStyle w:val="5"/>
        <w:ind w:firstLine="560"/>
        <w:rPr>
          <w:rFonts w:hint="eastAsia"/>
        </w:rPr>
      </w:pPr>
      <w:r>
        <w:rPr>
          <w:rFonts w:hint="eastAsia"/>
        </w:rPr>
        <w:t>平台通过底层接口将当前本协同管理平台认证接入的区块链信息同步给跨链协同的另一方协同管理平台以及其他协同平台，并获取其他协同平台登记认证的区块链信息，从而减少接入登记信息的重复登记和认证。</w:t>
      </w:r>
    </w:p>
    <w:p>
      <w:pPr>
        <w:pStyle w:val="6"/>
        <w:rPr>
          <w:rFonts w:hint="eastAsia"/>
        </w:rPr>
      </w:pPr>
      <w:r>
        <w:rPr>
          <w:rFonts w:hint="eastAsia"/>
        </w:rPr>
        <w:t>（3）跨链网关信息同步</w:t>
      </w:r>
    </w:p>
    <w:p>
      <w:pPr>
        <w:pStyle w:val="5"/>
        <w:ind w:firstLine="560"/>
        <w:rPr>
          <w:rFonts w:hint="eastAsia"/>
        </w:rPr>
      </w:pPr>
      <w:r>
        <w:rPr>
          <w:rFonts w:hint="eastAsia"/>
        </w:rPr>
        <w:t>平台通过底层接口将当前本协同管理平台认证接入的跨链网关信息同步给跨链协同的另一方协同管理平台以及其他协同平台，并获取其他协同平台登记认证的跨链网关信息，从而减少接入登记信息的重复登记和认证。</w:t>
      </w:r>
    </w:p>
    <w:p>
      <w:pPr>
        <w:pStyle w:val="6"/>
        <w:rPr>
          <w:rFonts w:hint="eastAsia"/>
        </w:rPr>
      </w:pPr>
      <w:r>
        <w:rPr>
          <w:rFonts w:hint="eastAsia"/>
        </w:rPr>
        <w:t>（4）业务系统信息同步</w:t>
      </w:r>
    </w:p>
    <w:p>
      <w:pPr>
        <w:pStyle w:val="5"/>
        <w:ind w:firstLine="560"/>
        <w:rPr>
          <w:rFonts w:hint="eastAsia"/>
        </w:rPr>
      </w:pPr>
      <w:r>
        <w:rPr>
          <w:rFonts w:hint="eastAsia"/>
        </w:rPr>
        <w:t>平台通过底层接口将当前本协同管理平台认证接入的业务系统信息同步给跨链协同的另一方协同管理平台以及其他协同平台，并获取其他协同平台登记认证的业务系统信息，从而减少接入登记信息的重复登记和认证。</w:t>
      </w:r>
    </w:p>
    <w:p>
      <w:pPr>
        <w:pStyle w:val="4"/>
        <w:rPr>
          <w:rFonts w:hint="eastAsia"/>
        </w:rPr>
      </w:pPr>
      <w:r>
        <w:rPr>
          <w:rFonts w:hint="eastAsia"/>
        </w:rPr>
        <w:t>10、跨链协同应用</w:t>
      </w:r>
    </w:p>
    <w:p>
      <w:pPr>
        <w:pStyle w:val="5"/>
        <w:ind w:firstLine="560"/>
        <w:rPr>
          <w:rFonts w:hint="eastAsia"/>
        </w:rPr>
      </w:pPr>
      <w:r>
        <w:rPr>
          <w:rFonts w:hint="eastAsia"/>
        </w:rPr>
        <w:t>打通与数据局区块链平台，实现可信业务交互，提供跨链可信数据共享、跨部门智能合约调用等服务。</w:t>
      </w:r>
    </w:p>
    <w:p>
      <w:pPr>
        <w:pStyle w:val="6"/>
        <w:rPr>
          <w:rFonts w:hint="eastAsia"/>
        </w:rPr>
      </w:pPr>
      <w:r>
        <w:rPr>
          <w:rFonts w:hint="eastAsia"/>
        </w:rPr>
        <w:t>（1）检察院案件信息协同</w:t>
      </w:r>
    </w:p>
    <w:p>
      <w:pPr>
        <w:pStyle w:val="5"/>
        <w:ind w:firstLine="560"/>
        <w:rPr>
          <w:rFonts w:hint="eastAsia"/>
        </w:rPr>
      </w:pPr>
      <w:bookmarkStart w:id="7" w:name="_Hlk172991992"/>
      <w:r>
        <w:rPr>
          <w:rFonts w:hint="eastAsia"/>
        </w:rPr>
        <w:t>将人民检察院依法要求，需要向社会发布的案件信息，通过跨链模式推送到数据局区块链平台中，借助数据局存证中心向社会公众展示。</w:t>
      </w:r>
      <w:bookmarkEnd w:id="7"/>
    </w:p>
    <w:p>
      <w:pPr>
        <w:pStyle w:val="6"/>
        <w:rPr>
          <w:rFonts w:hint="eastAsia"/>
        </w:rPr>
      </w:pPr>
      <w:r>
        <w:rPr>
          <w:rFonts w:hint="eastAsia"/>
        </w:rPr>
        <w:t>（2）公益诉讼协同</w:t>
      </w:r>
    </w:p>
    <w:p>
      <w:pPr>
        <w:pStyle w:val="5"/>
        <w:ind w:firstLine="560"/>
        <w:rPr>
          <w:rFonts w:hint="eastAsia"/>
        </w:rPr>
      </w:pPr>
      <w:r>
        <w:rPr>
          <w:rFonts w:hint="eastAsia"/>
        </w:rPr>
        <w:t>获取在数据局存证的公益诉讼线索信息和证据信息跨链到检察办案系统中，并支持进行跨链核验，确保原始数据的真实性。为检察官提起公益诉讼提供数据支撑。</w:t>
      </w:r>
    </w:p>
    <w:p>
      <w:pPr>
        <w:pStyle w:val="6"/>
        <w:rPr>
          <w:rFonts w:hint="eastAsia"/>
        </w:rPr>
      </w:pPr>
      <w:r>
        <w:rPr>
          <w:rFonts w:hint="eastAsia"/>
        </w:rPr>
        <w:t>（3）法律援助协同</w:t>
      </w:r>
    </w:p>
    <w:p>
      <w:pPr>
        <w:pStyle w:val="5"/>
        <w:ind w:firstLine="560"/>
        <w:rPr>
          <w:rFonts w:hint="eastAsia"/>
        </w:rPr>
      </w:pPr>
      <w:r>
        <w:rPr>
          <w:rFonts w:hint="eastAsia"/>
        </w:rPr>
        <w:t>基于区块链实现法律援助办案数据、电子材料的源头上链存证以及和司法行政机关的协作信息存证。利用可信验证全程可信监管，保障案件在办理过程安全可信和防篡改，保障办案材料效力。加强法律援助案件办理过程中人民检察院、司法行政机关的可信协作配合。</w:t>
      </w:r>
    </w:p>
    <w:p>
      <w:pPr>
        <w:pStyle w:val="3"/>
        <w:rPr>
          <w:rFonts w:hint="eastAsia"/>
        </w:rPr>
      </w:pPr>
      <w:bookmarkStart w:id="8" w:name="_Toc174017432"/>
      <w:r>
        <w:rPr>
          <w:rFonts w:hint="eastAsia"/>
        </w:rPr>
        <w:t>（三）、电子文书全流程可信应用</w:t>
      </w:r>
      <w:bookmarkEnd w:id="8"/>
    </w:p>
    <w:p>
      <w:pPr>
        <w:pStyle w:val="5"/>
        <w:ind w:firstLine="560"/>
        <w:rPr>
          <w:rFonts w:hint="eastAsia"/>
        </w:rPr>
      </w:pPr>
      <w:r>
        <w:rPr>
          <w:rFonts w:hint="eastAsia"/>
        </w:rPr>
        <w:t>通过构建电子文书全生命周期可信管理系统，实现电子文书管理的全面数字化转型。该系统包括电子文书及信息存证、电子文书溯源助手等内容。</w:t>
      </w:r>
    </w:p>
    <w:p>
      <w:pPr>
        <w:pStyle w:val="4"/>
        <w:rPr>
          <w:rFonts w:hint="eastAsia"/>
        </w:rPr>
      </w:pPr>
      <w:r>
        <w:rPr>
          <w:rFonts w:hint="eastAsia"/>
        </w:rPr>
        <w:t>1、电子文书可信存证</w:t>
      </w:r>
    </w:p>
    <w:p>
      <w:pPr>
        <w:pStyle w:val="5"/>
        <w:ind w:firstLine="560"/>
        <w:rPr>
          <w:rFonts w:hint="eastAsia"/>
        </w:rPr>
      </w:pPr>
      <w:r>
        <w:rPr>
          <w:rFonts w:hint="eastAsia"/>
        </w:rPr>
        <w:t>针对文书本体存证、结构化存证进行统一管理，便于快速检索至任意一条存证记录。</w:t>
      </w:r>
    </w:p>
    <w:p>
      <w:pPr>
        <w:pStyle w:val="6"/>
        <w:rPr>
          <w:rFonts w:hint="eastAsia"/>
        </w:rPr>
      </w:pPr>
      <w:r>
        <w:rPr>
          <w:rFonts w:hint="eastAsia"/>
        </w:rPr>
        <w:t>（1）电子文书本体存证</w:t>
      </w:r>
    </w:p>
    <w:p>
      <w:pPr>
        <w:pStyle w:val="5"/>
        <w:ind w:firstLine="560"/>
        <w:rPr>
          <w:rFonts w:hint="eastAsia"/>
        </w:rPr>
      </w:pPr>
      <w:r>
        <w:rPr>
          <w:rFonts w:hint="eastAsia"/>
        </w:rPr>
        <w:t>将检察院生成的电子文书进行固化和存证，通过智能合约上链保存，从而保证文书的原始性和真实性。这一过程不仅能增强文书的可信度，也为后续的法律程序提供了坚实的数据基础。</w:t>
      </w:r>
    </w:p>
    <w:p>
      <w:pPr>
        <w:pStyle w:val="6"/>
        <w:rPr>
          <w:rFonts w:hint="eastAsia"/>
        </w:rPr>
      </w:pPr>
      <w:r>
        <w:rPr>
          <w:rFonts w:hint="eastAsia"/>
        </w:rPr>
        <w:t>（2）电子文书结构化数据存证</w:t>
      </w:r>
    </w:p>
    <w:p>
      <w:pPr>
        <w:pStyle w:val="5"/>
        <w:ind w:firstLine="560"/>
        <w:rPr>
          <w:rFonts w:hint="eastAsia"/>
        </w:rPr>
      </w:pPr>
      <w:r>
        <w:rPr>
          <w:rFonts w:hint="eastAsia"/>
        </w:rPr>
        <w:t>对电子文书内的结构化数据进行固化和存证，为后期智能合约调用提供数据支撑</w:t>
      </w:r>
    </w:p>
    <w:p>
      <w:pPr>
        <w:pStyle w:val="5"/>
        <w:ind w:firstLine="560"/>
        <w:rPr>
          <w:rFonts w:hint="eastAsia"/>
        </w:rPr>
      </w:pPr>
      <w:r>
        <w:rPr>
          <w:rFonts w:hint="eastAsia"/>
        </w:rPr>
        <w:t>对电子文书进行的处理操作信息进行存证，按时间顺序逐一记录上链存证。包括但不限于内容编辑、格式转换、重新排版等操作。</w:t>
      </w:r>
    </w:p>
    <w:p>
      <w:pPr>
        <w:pStyle w:val="4"/>
        <w:rPr>
          <w:rFonts w:hint="eastAsia"/>
        </w:rPr>
      </w:pPr>
      <w:r>
        <w:rPr>
          <w:rFonts w:hint="eastAsia"/>
        </w:rPr>
        <w:t>2、电子文书可信协同</w:t>
      </w:r>
    </w:p>
    <w:p>
      <w:pPr>
        <w:pStyle w:val="5"/>
        <w:ind w:firstLine="560"/>
        <w:rPr>
          <w:rFonts w:hint="eastAsia"/>
        </w:rPr>
      </w:pPr>
      <w:r>
        <w:rPr>
          <w:rFonts w:hint="eastAsia"/>
        </w:rPr>
        <w:t>与大数据中心存证中心进行对接，将送达类电子文书进行存证</w:t>
      </w:r>
    </w:p>
    <w:p>
      <w:pPr>
        <w:pStyle w:val="4"/>
        <w:rPr>
          <w:rFonts w:hint="eastAsia"/>
        </w:rPr>
      </w:pPr>
      <w:r>
        <w:rPr>
          <w:rFonts w:hint="eastAsia"/>
        </w:rPr>
        <w:t>3、电子文书可信流转</w:t>
      </w:r>
    </w:p>
    <w:p>
      <w:pPr>
        <w:pStyle w:val="5"/>
        <w:ind w:firstLine="560"/>
        <w:rPr>
          <w:rFonts w:hint="eastAsia"/>
        </w:rPr>
      </w:pPr>
      <w:r>
        <w:rPr>
          <w:rFonts w:hint="eastAsia"/>
        </w:rPr>
        <w:t>记录电子文书在检察院内部流转的全过程，包括流转过程中的操作信息，如文书接收时间、操作人员身份、操作类型等。通过自动记录并上链保存这些信息，确保文书流转的透明性和可追溯性，为文书的管理和审计提供有力支持。</w:t>
      </w:r>
    </w:p>
    <w:p>
      <w:pPr>
        <w:pStyle w:val="6"/>
        <w:rPr>
          <w:rFonts w:hint="eastAsia"/>
        </w:rPr>
      </w:pPr>
      <w:r>
        <w:rPr>
          <w:rFonts w:hint="eastAsia"/>
        </w:rPr>
        <w:t>（1）电子文书内部流转过程信息存证</w:t>
      </w:r>
    </w:p>
    <w:p>
      <w:pPr>
        <w:pStyle w:val="5"/>
        <w:ind w:firstLine="560"/>
        <w:rPr>
          <w:rFonts w:hint="eastAsia"/>
        </w:rPr>
      </w:pPr>
      <w:r>
        <w:rPr>
          <w:rFonts w:hint="eastAsia"/>
        </w:rPr>
        <w:t>对电子文书在检察院内部的各个流程节点进行全面记录和追溯，自动记录电子文书在各个流程节点的操作信息，包括文书接收时间、操作人员身份、操作类型（如审批、修改、传递）、操作时间等。</w:t>
      </w:r>
    </w:p>
    <w:p>
      <w:pPr>
        <w:pStyle w:val="4"/>
        <w:rPr>
          <w:rFonts w:hint="eastAsia"/>
        </w:rPr>
      </w:pPr>
      <w:r>
        <w:rPr>
          <w:rFonts w:hint="eastAsia"/>
        </w:rPr>
        <w:t>4、电子文书核验及溯源助手</w:t>
      </w:r>
    </w:p>
    <w:p>
      <w:pPr>
        <w:pStyle w:val="5"/>
        <w:ind w:firstLine="560"/>
        <w:rPr>
          <w:rFonts w:hint="eastAsia"/>
        </w:rPr>
      </w:pPr>
      <w:r>
        <w:rPr>
          <w:rFonts w:hint="eastAsia"/>
        </w:rPr>
        <w:t>为电子文书全生命周期提供详细记录和跟踪，完整记录文书的生命周期各个环节和具体操作，同时提供流转轨迹、一致性、关联性、完整性证明。这不仅可以提升文书管理的透明度和准确性，还可以帮助工作人员全面掌握每个电子文书的历史和状态，从而提高工作效率和决策质量。</w:t>
      </w:r>
    </w:p>
    <w:p>
      <w:pPr>
        <w:pStyle w:val="6"/>
        <w:rPr>
          <w:rFonts w:hint="eastAsia"/>
        </w:rPr>
      </w:pPr>
      <w:r>
        <w:rPr>
          <w:rFonts w:hint="eastAsia"/>
        </w:rPr>
        <w:t>（1）电子文书全生命周期溯源证明智能合约</w:t>
      </w:r>
    </w:p>
    <w:p>
      <w:pPr>
        <w:pStyle w:val="5"/>
        <w:ind w:firstLine="560"/>
        <w:rPr>
          <w:rFonts w:hint="eastAsia"/>
        </w:rPr>
      </w:pPr>
      <w:r>
        <w:rPr>
          <w:rFonts w:hint="eastAsia"/>
        </w:rPr>
        <w:t>对每个电子文书从生成到归档的全过程进行详细记录和跟踪，对文书在不同阶段的处理、流转、处理、归档等操作进行全面汇总，并在用户界面以综合仪表盘和交互式图表形式展示文书的生命周期各个环节和具体操作，帮助工作人员全面掌握每个电子文书的历史和状态，提升文书管理的透明度和准确性。</w:t>
      </w:r>
    </w:p>
    <w:p>
      <w:pPr>
        <w:pStyle w:val="6"/>
        <w:rPr>
          <w:rFonts w:hint="eastAsia"/>
        </w:rPr>
      </w:pPr>
      <w:r>
        <w:rPr>
          <w:rFonts w:hint="eastAsia"/>
        </w:rPr>
        <w:t>（2）电子文书一致性核验智能合约</w:t>
      </w:r>
    </w:p>
    <w:p>
      <w:pPr>
        <w:pStyle w:val="5"/>
        <w:ind w:firstLine="560"/>
        <w:rPr>
          <w:rFonts w:hint="eastAsia"/>
        </w:rPr>
      </w:pPr>
      <w:r>
        <w:rPr>
          <w:rFonts w:hint="eastAsia"/>
        </w:rPr>
        <w:t>在文书的全生命周期各个环节，对电子文书进行一致性的核验。</w:t>
      </w:r>
    </w:p>
    <w:p>
      <w:pPr>
        <w:pStyle w:val="5"/>
        <w:ind w:firstLine="560"/>
        <w:rPr>
          <w:rFonts w:hint="eastAsia"/>
        </w:rPr>
      </w:pPr>
      <w:r>
        <w:rPr>
          <w:rFonts w:hint="eastAsia"/>
        </w:rPr>
        <w:t>基于电子文书副本数字指纹，系统基于存证数据自动生成电子文书副本与原件血缘关系证明。</w:t>
      </w:r>
    </w:p>
    <w:p>
      <w:pPr>
        <w:pStyle w:val="3"/>
        <w:rPr>
          <w:rFonts w:hint="eastAsia"/>
        </w:rPr>
      </w:pPr>
      <w:bookmarkStart w:id="9" w:name="_Toc174017433"/>
      <w:r>
        <w:rPr>
          <w:rFonts w:hint="eastAsia"/>
        </w:rPr>
        <w:t>（四）、电子档案全流程可信应用</w:t>
      </w:r>
      <w:bookmarkEnd w:id="9"/>
    </w:p>
    <w:p>
      <w:pPr>
        <w:pStyle w:val="5"/>
        <w:ind w:firstLine="560"/>
        <w:rPr>
          <w:rFonts w:hint="eastAsia"/>
        </w:rPr>
      </w:pPr>
      <w:r>
        <w:rPr>
          <w:rFonts w:hint="eastAsia"/>
        </w:rPr>
        <w:t>整个应用平台共建设3个子系统，其中包含数字档案可信收集系统、数字档案可信检测系统及数字档案可信利用系统。</w:t>
      </w:r>
    </w:p>
    <w:p>
      <w:pPr>
        <w:pStyle w:val="4"/>
        <w:rPr>
          <w:rFonts w:hint="eastAsia"/>
        </w:rPr>
      </w:pPr>
      <w:r>
        <w:rPr>
          <w:rFonts w:hint="eastAsia"/>
        </w:rPr>
        <w:t>1、电子档案室可信收集系统</w:t>
      </w:r>
    </w:p>
    <w:p>
      <w:pPr>
        <w:pStyle w:val="5"/>
        <w:ind w:firstLine="560"/>
        <w:rPr>
          <w:rFonts w:hint="eastAsia"/>
        </w:rPr>
      </w:pPr>
      <w:r>
        <w:rPr>
          <w:rFonts w:hint="eastAsia"/>
        </w:rPr>
        <w:t>为解决电子档案形成和收集环节，如何保证形成者、形成活动、形成时间能够可信追溯的痛点，数字档案可信收集系统主要包含针对文书类、照片类、录音类、录像类等八类电子文件提供文件哈希存证、文件元数据存证及文件关键操作行为存证服务及管理等功能。</w:t>
      </w:r>
    </w:p>
    <w:p>
      <w:pPr>
        <w:pStyle w:val="6"/>
        <w:rPr>
          <w:rFonts w:hint="eastAsia"/>
        </w:rPr>
      </w:pPr>
      <w:r>
        <w:rPr>
          <w:rFonts w:hint="eastAsia"/>
        </w:rPr>
        <w:t>（1）文件哈希存证</w:t>
      </w:r>
    </w:p>
    <w:p>
      <w:pPr>
        <w:pStyle w:val="5"/>
        <w:ind w:firstLine="560"/>
        <w:rPr>
          <w:rFonts w:hint="eastAsia"/>
        </w:rPr>
      </w:pPr>
      <w:r>
        <w:rPr>
          <w:rFonts w:hint="eastAsia"/>
        </w:rPr>
        <w:t>通过哈希算法对文件进行散列处理，将结果作为文件的唯一标识进行上链存证，便于以后进行验证和追溯。</w:t>
      </w:r>
    </w:p>
    <w:p>
      <w:pPr>
        <w:pStyle w:val="6"/>
        <w:rPr>
          <w:rFonts w:hint="eastAsia"/>
        </w:rPr>
      </w:pPr>
      <w:r>
        <w:rPr>
          <w:rFonts w:hint="eastAsia"/>
        </w:rPr>
        <w:t>（2）文件可信管理</w:t>
      </w:r>
    </w:p>
    <w:p>
      <w:pPr>
        <w:pStyle w:val="5"/>
        <w:ind w:firstLine="560"/>
        <w:rPr>
          <w:rFonts w:hint="eastAsia"/>
        </w:rPr>
      </w:pPr>
      <w:r>
        <w:rPr>
          <w:rFonts w:hint="eastAsia"/>
        </w:rPr>
        <w:t>针对文件哈希存证、元数据存证、关键操作行为存证进行统一管理，便于快速检索至任意一条存证记录。</w:t>
      </w:r>
    </w:p>
    <w:p>
      <w:pPr>
        <w:pStyle w:val="4"/>
        <w:rPr>
          <w:rFonts w:hint="eastAsia"/>
        </w:rPr>
      </w:pPr>
      <w:r>
        <w:rPr>
          <w:rFonts w:hint="eastAsia"/>
        </w:rPr>
        <w:t>2、电子档案可信检测系统</w:t>
      </w:r>
    </w:p>
    <w:p>
      <w:pPr>
        <w:pStyle w:val="5"/>
        <w:ind w:firstLine="560"/>
        <w:rPr>
          <w:rFonts w:hint="eastAsia"/>
        </w:rPr>
      </w:pPr>
      <w:r>
        <w:rPr>
          <w:rFonts w:hint="eastAsia"/>
        </w:rPr>
        <w:t>为解决整理和归档环节，如何有效进行真实性、完整性、可用性、安全性检测的痛点，数字档案可信检测系统通过区块链智能合约，可以实现真实性、完整性检测，准确快速检查档案真实性、是否被篡改、是否完整，有效保证档案工作符合程序规范，要素合规要求。具体包含文件真实审查合约、来源真实审查合约、文件真实审查报告、来源真实审查报告及可信检测管理功能。</w:t>
      </w:r>
    </w:p>
    <w:p>
      <w:pPr>
        <w:pStyle w:val="6"/>
        <w:rPr>
          <w:rFonts w:hint="eastAsia"/>
        </w:rPr>
      </w:pPr>
      <w:r>
        <w:rPr>
          <w:rFonts w:hint="eastAsia"/>
        </w:rPr>
        <w:t>（1）文件真实性核验合约</w:t>
      </w:r>
    </w:p>
    <w:p>
      <w:pPr>
        <w:pStyle w:val="5"/>
        <w:ind w:firstLine="560"/>
        <w:rPr>
          <w:rFonts w:hint="eastAsia"/>
        </w:rPr>
      </w:pPr>
      <w:r>
        <w:rPr>
          <w:rFonts w:hint="eastAsia"/>
        </w:rPr>
        <w:t>可以判断该电子文件是否存证，有效防止文件归档错误，提升归档准确性；</w:t>
      </w:r>
    </w:p>
    <w:p>
      <w:pPr>
        <w:pStyle w:val="6"/>
        <w:rPr>
          <w:rFonts w:hint="eastAsia"/>
        </w:rPr>
      </w:pPr>
      <w:r>
        <w:rPr>
          <w:rFonts w:hint="eastAsia"/>
        </w:rPr>
        <w:t>（2）来源真实审查合约</w:t>
      </w:r>
    </w:p>
    <w:p>
      <w:pPr>
        <w:pStyle w:val="5"/>
        <w:ind w:firstLine="560"/>
        <w:rPr>
          <w:rFonts w:hint="eastAsia"/>
        </w:rPr>
      </w:pPr>
      <w:r>
        <w:rPr>
          <w:rFonts w:hint="eastAsia"/>
        </w:rPr>
        <w:t>可以通过链上合约获取该文件的所有操作行为，有效溯源电子文件的形成者、形成活动及形成时间。</w:t>
      </w:r>
    </w:p>
    <w:p>
      <w:pPr>
        <w:pStyle w:val="5"/>
        <w:ind w:firstLine="560"/>
        <w:rPr>
          <w:rFonts w:hint="eastAsia"/>
        </w:rPr>
      </w:pPr>
      <w:r>
        <w:rPr>
          <w:rFonts w:hint="eastAsia"/>
        </w:rPr>
        <w:t>通过审查合约的执行，可生成来源真实性审查报告，详细说明文件来源检查的结果和过程。</w:t>
      </w:r>
    </w:p>
    <w:p>
      <w:pPr>
        <w:pStyle w:val="6"/>
        <w:rPr>
          <w:rFonts w:hint="eastAsia"/>
        </w:rPr>
      </w:pPr>
      <w:r>
        <w:rPr>
          <w:rFonts w:hint="eastAsia"/>
        </w:rPr>
        <w:t>（3）可信检测管理</w:t>
      </w:r>
    </w:p>
    <w:p>
      <w:pPr>
        <w:pStyle w:val="5"/>
        <w:ind w:firstLine="560"/>
        <w:rPr>
          <w:rFonts w:hint="eastAsia"/>
        </w:rPr>
      </w:pPr>
      <w:r>
        <w:rPr>
          <w:rFonts w:hint="eastAsia"/>
        </w:rPr>
        <w:t>针对文件真实性、完整性等合约运行进行统一管理，便于快速检索至任意一条合约运行记录。</w:t>
      </w:r>
    </w:p>
    <w:p>
      <w:pPr>
        <w:pStyle w:val="4"/>
        <w:rPr>
          <w:rFonts w:hint="eastAsia"/>
        </w:rPr>
      </w:pPr>
      <w:r>
        <w:rPr>
          <w:rFonts w:hint="eastAsia"/>
        </w:rPr>
        <w:t>3、电子档案可信利用系统</w:t>
      </w:r>
    </w:p>
    <w:p>
      <w:pPr>
        <w:pStyle w:val="5"/>
        <w:ind w:firstLine="560"/>
        <w:rPr>
          <w:rFonts w:hint="eastAsia"/>
        </w:rPr>
      </w:pPr>
      <w:r>
        <w:rPr>
          <w:rFonts w:hint="eastAsia"/>
        </w:rPr>
        <w:t>为确保电子档案充分利用同时兼顾好电子档案安全的问题，数字档案可信利用系统运用档案副本防伪双层水印技术、文件碎密安全存储等技实现档案利用可信安全管理，对档案借阅流转全过程进行追踪、留痕。可以满足档案借阅、跨部门流转、律师网上阅卷等各类场景下，档案副本的追踪、溯源、核验等核心需求。具体包含防伪双层水印、副本上链存证、碎密可信存储、超期删除合约等功能。</w:t>
      </w:r>
    </w:p>
    <w:p>
      <w:pPr>
        <w:pStyle w:val="6"/>
        <w:rPr>
          <w:rFonts w:hint="eastAsia"/>
        </w:rPr>
      </w:pPr>
      <w:r>
        <w:rPr>
          <w:rFonts w:hint="eastAsia"/>
        </w:rPr>
        <w:t>（1）</w:t>
      </w:r>
      <w:r>
        <w:rPr>
          <w:rFonts w:hint="eastAsia"/>
        </w:rPr>
        <w:tab/>
      </w:r>
      <w:r>
        <w:rPr>
          <w:rFonts w:hint="eastAsia"/>
        </w:rPr>
        <w:t>防伪双层水印</w:t>
      </w:r>
    </w:p>
    <w:p>
      <w:pPr>
        <w:pStyle w:val="5"/>
        <w:ind w:firstLine="560"/>
        <w:rPr>
          <w:rFonts w:hint="eastAsia"/>
        </w:rPr>
      </w:pPr>
      <w:r>
        <w:rPr>
          <w:rFonts w:hint="eastAsia"/>
        </w:rPr>
        <w:t>应用双层水印技术为电子文档添加独特的标识，以防止文件被篡改或伪造。</w:t>
      </w:r>
    </w:p>
    <w:p>
      <w:pPr>
        <w:pStyle w:val="6"/>
        <w:rPr>
          <w:rFonts w:hint="eastAsia"/>
        </w:rPr>
      </w:pPr>
      <w:r>
        <w:rPr>
          <w:rFonts w:hint="eastAsia"/>
        </w:rPr>
        <w:t>（2）副本上链存证</w:t>
      </w:r>
    </w:p>
    <w:p>
      <w:pPr>
        <w:pStyle w:val="5"/>
        <w:ind w:firstLine="560"/>
        <w:rPr>
          <w:rFonts w:hint="eastAsia"/>
        </w:rPr>
      </w:pPr>
      <w:r>
        <w:rPr>
          <w:rFonts w:hint="eastAsia"/>
        </w:rPr>
        <w:t>将电子档案副本的元信息上链，形成不能篡改的存证记录，从而实现档案的追踪与溯源。</w:t>
      </w:r>
    </w:p>
    <w:p>
      <w:pPr>
        <w:pStyle w:val="6"/>
        <w:rPr>
          <w:rFonts w:hint="eastAsia"/>
        </w:rPr>
      </w:pPr>
      <w:r>
        <w:rPr>
          <w:rFonts w:hint="eastAsia"/>
        </w:rPr>
        <w:t>（3）碎片化加密存储</w:t>
      </w:r>
    </w:p>
    <w:p>
      <w:pPr>
        <w:pStyle w:val="5"/>
        <w:ind w:firstLine="560"/>
        <w:rPr>
          <w:rFonts w:hint="eastAsia"/>
        </w:rPr>
      </w:pPr>
      <w:r>
        <w:rPr>
          <w:rFonts w:hint="eastAsia"/>
        </w:rPr>
        <w:t>采用碎片化加密存储技术，将电子档案切分为多个碎片进行加密存储，有效防止未授权访问和数据泄露。</w:t>
      </w:r>
      <w:bookmarkStart w:id="27" w:name="_GoBack"/>
      <w:bookmarkEnd w:id="27"/>
    </w:p>
    <w:p>
      <w:pPr>
        <w:pStyle w:val="6"/>
        <w:rPr>
          <w:rFonts w:hint="eastAsia"/>
        </w:rPr>
      </w:pPr>
      <w:r>
        <w:rPr>
          <w:rFonts w:hint="eastAsia"/>
        </w:rPr>
        <w:t>（4）超期删除合约</w:t>
      </w:r>
    </w:p>
    <w:p>
      <w:pPr>
        <w:pStyle w:val="5"/>
        <w:ind w:firstLine="560"/>
        <w:rPr>
          <w:rFonts w:hint="eastAsia"/>
        </w:rPr>
      </w:pPr>
      <w:r>
        <w:rPr>
          <w:rFonts w:hint="eastAsia"/>
        </w:rPr>
        <w:t>通过智能合约设置借阅档案副本的生命周期，超期后自动删除，防止借阅档案副本长期露在风险之中。</w:t>
      </w:r>
    </w:p>
    <w:p>
      <w:pPr>
        <w:pStyle w:val="6"/>
        <w:rPr>
          <w:rFonts w:hint="eastAsia"/>
        </w:rPr>
      </w:pPr>
      <w:r>
        <w:rPr>
          <w:rFonts w:hint="eastAsia"/>
        </w:rPr>
        <w:t>（5）</w:t>
      </w:r>
      <w:r>
        <w:rPr>
          <w:rFonts w:hint="eastAsia"/>
        </w:rPr>
        <w:tab/>
      </w:r>
      <w:r>
        <w:rPr>
          <w:rFonts w:hint="eastAsia"/>
        </w:rPr>
        <w:t>文件追踪管理</w:t>
      </w:r>
    </w:p>
    <w:p>
      <w:pPr>
        <w:pStyle w:val="5"/>
        <w:ind w:firstLine="560"/>
        <w:rPr>
          <w:rFonts w:hint="eastAsia"/>
        </w:rPr>
      </w:pPr>
      <w:r>
        <w:rPr>
          <w:rFonts w:hint="eastAsia"/>
        </w:rPr>
        <w:t>系统能够对档案的借阅、流转、阅读等操作进行实时监控和记录，确保档案利用的合规性。</w:t>
      </w:r>
      <w:bookmarkEnd w:id="5"/>
    </w:p>
    <w:p>
      <w:pPr>
        <w:pStyle w:val="5"/>
        <w:ind w:firstLine="560"/>
        <w:rPr>
          <w:rFonts w:hint="eastAsia"/>
        </w:rPr>
      </w:pPr>
    </w:p>
    <w:p>
      <w:pPr>
        <w:pStyle w:val="2"/>
      </w:pPr>
      <w:bookmarkStart w:id="10" w:name="_Toc63785502"/>
      <w:r>
        <w:rPr>
          <w:rFonts w:hint="eastAsia"/>
        </w:rPr>
        <w:t>电子政务云资源需求</w:t>
      </w:r>
      <w:bookmarkEnd w:id="10"/>
    </w:p>
    <w:p>
      <w:pPr>
        <w:ind w:firstLine="482"/>
        <w:rPr>
          <w:rFonts w:hint="eastAsia" w:ascii="仿宋" w:hAnsi="仿宋" w:eastAsia="仿宋" w:cstheme="minorBidi"/>
          <w:kern w:val="2"/>
          <w:sz w:val="28"/>
          <w:szCs w:val="28"/>
          <w:lang w:val="en-US" w:eastAsia="zh-CN" w:bidi="ar-SA"/>
        </w:rPr>
      </w:pPr>
      <w:r>
        <w:rPr>
          <w:rFonts w:hint="eastAsia" w:ascii="仿宋" w:hAnsi="仿宋" w:eastAsia="仿宋" w:cstheme="minorBidi"/>
          <w:kern w:val="2"/>
          <w:sz w:val="28"/>
          <w:szCs w:val="28"/>
          <w:lang w:val="en-US" w:eastAsia="zh-CN" w:bidi="ar-SA"/>
        </w:rPr>
        <w:t>根据批复内容和实际情况，描述拟申请的云资源量。</w:t>
      </w:r>
    </w:p>
    <w:p>
      <w:pPr>
        <w:ind w:firstLine="482"/>
        <w:rPr>
          <w:rFonts w:hint="eastAsia" w:ascii="仿宋" w:hAnsi="仿宋" w:eastAsia="仿宋" w:cstheme="minorBidi"/>
          <w:kern w:val="2"/>
          <w:sz w:val="28"/>
          <w:szCs w:val="28"/>
          <w:lang w:val="en-US" w:eastAsia="zh-CN" w:bidi="ar-SA"/>
        </w:rPr>
      </w:pPr>
      <w:r>
        <w:rPr>
          <w:rFonts w:hint="eastAsia" w:ascii="仿宋" w:hAnsi="仿宋" w:eastAsia="仿宋" w:cstheme="minorBidi"/>
          <w:kern w:val="2"/>
          <w:sz w:val="28"/>
          <w:szCs w:val="28"/>
          <w:lang w:val="en-US" w:eastAsia="zh-CN" w:bidi="ar-SA"/>
        </w:rPr>
        <w:t>参考如下：</w:t>
      </w:r>
    </w:p>
    <w:p>
      <w:pPr>
        <w:rPr>
          <w:rFonts w:hint="eastAsia" w:ascii="仿宋" w:hAnsi="仿宋" w:eastAsia="仿宋" w:cstheme="minorBidi"/>
          <w:kern w:val="2"/>
          <w:sz w:val="28"/>
          <w:szCs w:val="28"/>
          <w:lang w:val="en-US" w:eastAsia="zh-CN" w:bidi="ar-SA"/>
        </w:rPr>
      </w:pPr>
      <w:r>
        <w:rPr>
          <w:rFonts w:hint="eastAsia" w:ascii="仿宋" w:hAnsi="仿宋" w:eastAsia="仿宋" w:cstheme="minorBidi"/>
          <w:kern w:val="2"/>
          <w:sz w:val="28"/>
          <w:szCs w:val="28"/>
          <w:lang w:val="en-US" w:eastAsia="zh-CN" w:bidi="ar-SA"/>
        </w:rPr>
        <w:t>根据项目前期资源现状，本次建设根据估算拟向电子政务云申请40台服务器资源CPU184核 、内存432G、存储14.7TB，其中虚拟机40台，物理机0台。</w:t>
      </w:r>
    </w:p>
    <w:p>
      <w:pPr>
        <w:pStyle w:val="2"/>
      </w:pPr>
      <w:bookmarkStart w:id="11" w:name="_Toc63785503"/>
      <w:r>
        <w:rPr>
          <w:rFonts w:hint="eastAsia"/>
        </w:rPr>
        <w:t>其他工作要求</w:t>
      </w:r>
      <w:bookmarkEnd w:id="11"/>
    </w:p>
    <w:p>
      <w:pPr>
        <w:spacing w:line="360" w:lineRule="auto"/>
        <w:rPr>
          <w:rFonts w:hint="eastAsia" w:cs="宋体"/>
          <w:sz w:val="24"/>
          <w:lang w:val="en-US" w:eastAsia="zh-CN"/>
        </w:rPr>
      </w:pPr>
    </w:p>
    <w:p>
      <w:pPr>
        <w:keepNext/>
        <w:keepLines/>
        <w:numPr>
          <w:ilvl w:val="1"/>
          <w:numId w:val="7"/>
        </w:numPr>
        <w:tabs>
          <w:tab w:val="left" w:pos="360"/>
        </w:tabs>
        <w:spacing w:before="120" w:line="240" w:lineRule="auto"/>
        <w:ind w:left="0" w:firstLine="0" w:firstLineChars="0"/>
        <w:outlineLvl w:val="1"/>
        <w:rPr>
          <w:rFonts w:ascii="仿宋" w:hAnsi="仿宋" w:eastAsia="仿宋"/>
          <w:b/>
          <w:vanish/>
          <w:color w:val="000000"/>
          <w:sz w:val="28"/>
          <w:szCs w:val="20"/>
        </w:rPr>
      </w:pPr>
      <w:bookmarkStart w:id="12" w:name="_Toc63585480"/>
      <w:bookmarkEnd w:id="12"/>
      <w:bookmarkStart w:id="13" w:name="_Toc63785439"/>
      <w:bookmarkEnd w:id="13"/>
      <w:bookmarkStart w:id="14" w:name="_Toc63762370"/>
      <w:bookmarkEnd w:id="14"/>
      <w:bookmarkStart w:id="15" w:name="_Toc61968111"/>
      <w:bookmarkEnd w:id="15"/>
      <w:bookmarkStart w:id="16" w:name="_Toc62209488"/>
      <w:bookmarkEnd w:id="16"/>
      <w:bookmarkStart w:id="17" w:name="_Toc63151871"/>
      <w:bookmarkEnd w:id="17"/>
      <w:bookmarkStart w:id="18" w:name="_Toc62219358"/>
      <w:bookmarkEnd w:id="18"/>
      <w:bookmarkStart w:id="19" w:name="_Toc63785504"/>
      <w:bookmarkEnd w:id="19"/>
    </w:p>
    <w:p>
      <w:pPr>
        <w:pStyle w:val="3"/>
        <w:ind w:firstLine="420" w:firstLineChars="0"/>
      </w:pPr>
      <w:bookmarkStart w:id="20" w:name="_Toc63785505"/>
      <w:r>
        <w:rPr>
          <w:rFonts w:hint="eastAsia"/>
        </w:rPr>
        <w:t>售后服务要求</w:t>
      </w:r>
      <w:bookmarkEnd w:id="20"/>
    </w:p>
    <w:p>
      <w:pPr>
        <w:spacing w:line="360" w:lineRule="auto"/>
        <w:ind w:firstLine="480" w:firstLineChars="200"/>
        <w:rPr>
          <w:rFonts w:ascii="宋体" w:hAnsi="宋体" w:cs="宋体"/>
          <w:sz w:val="24"/>
        </w:rPr>
      </w:pPr>
      <w:r>
        <w:rPr>
          <w:rFonts w:hint="eastAsia" w:ascii="宋体" w:hAnsi="宋体" w:cs="宋体"/>
          <w:sz w:val="24"/>
        </w:rPr>
        <w:t>项目验收通过后，提供</w:t>
      </w:r>
      <w:r>
        <w:rPr>
          <w:rFonts w:hint="eastAsia" w:cs="宋体"/>
          <w:sz w:val="24"/>
          <w:lang w:val="en-US" w:eastAsia="zh-CN"/>
        </w:rPr>
        <w:t>1</w:t>
      </w:r>
      <w:r>
        <w:rPr>
          <w:rFonts w:hint="eastAsia" w:ascii="宋体" w:hAnsi="宋体" w:cs="宋体"/>
          <w:sz w:val="24"/>
        </w:rPr>
        <w:t>年的免费质量保证服务，承诺为系统提供终身技术</w:t>
      </w:r>
      <w:r>
        <w:rPr>
          <w:rFonts w:hint="eastAsia" w:cs="宋体"/>
          <w:sz w:val="24"/>
          <w:lang w:eastAsia="zh-CN"/>
        </w:rPr>
        <w:t>支持</w:t>
      </w:r>
      <w:r>
        <w:rPr>
          <w:rFonts w:hint="eastAsia" w:ascii="宋体" w:hAnsi="宋体" w:cs="宋体"/>
          <w:sz w:val="24"/>
        </w:rPr>
        <w:t>服务。服务对象为全市检察机关与项目相关的单位、部门和用户。为确保系统的正常运行，及时解决发生的各类问题，需结合项目实际，制定有效的运维保障方案和安全应急措施。并按约定，提供以下方式服务：</w:t>
      </w:r>
    </w:p>
    <w:p>
      <w:pPr>
        <w:spacing w:line="360" w:lineRule="auto"/>
        <w:ind w:firstLine="480" w:firstLineChars="200"/>
        <w:rPr>
          <w:rFonts w:ascii="宋体" w:hAnsi="宋体" w:cs="宋体"/>
          <w:sz w:val="24"/>
        </w:rPr>
      </w:pPr>
      <w:r>
        <w:rPr>
          <w:rFonts w:hint="eastAsia" w:cs="宋体"/>
          <w:sz w:val="24"/>
          <w:lang w:val="en-US" w:eastAsia="zh-CN"/>
        </w:rPr>
        <w:t>1</w:t>
      </w:r>
      <w:r>
        <w:rPr>
          <w:rFonts w:hint="eastAsia" w:ascii="宋体" w:hAnsi="宋体" w:cs="宋体"/>
          <w:sz w:val="24"/>
        </w:rPr>
        <w:t>.重大活动伴随服务</w:t>
      </w:r>
    </w:p>
    <w:p>
      <w:pPr>
        <w:spacing w:line="360" w:lineRule="auto"/>
        <w:ind w:firstLine="480" w:firstLineChars="200"/>
        <w:rPr>
          <w:rFonts w:ascii="宋体" w:hAnsi="宋体" w:cs="宋体"/>
          <w:sz w:val="24"/>
        </w:rPr>
      </w:pPr>
      <w:r>
        <w:rPr>
          <w:rFonts w:hint="eastAsia" w:ascii="宋体" w:hAnsi="宋体" w:cs="宋体"/>
          <w:sz w:val="24"/>
        </w:rPr>
        <w:t>用户若有跟系统相关的重大活动，项目组需提供活动所需专人进行事前调试和始终伴随服务，以确保系统的正常运行，最终实现用户活动的顺利完成。</w:t>
      </w:r>
    </w:p>
    <w:p>
      <w:pPr>
        <w:spacing w:line="360" w:lineRule="auto"/>
        <w:ind w:firstLine="480" w:firstLineChars="200"/>
        <w:rPr>
          <w:rFonts w:ascii="宋体" w:hAnsi="宋体" w:cs="宋体"/>
          <w:sz w:val="24"/>
        </w:rPr>
      </w:pPr>
      <w:r>
        <w:rPr>
          <w:rFonts w:hint="eastAsia" w:cs="宋体"/>
          <w:sz w:val="24"/>
          <w:lang w:val="en-US" w:eastAsia="zh-CN"/>
        </w:rPr>
        <w:t>2</w:t>
      </w:r>
      <w:r>
        <w:rPr>
          <w:rFonts w:hint="eastAsia" w:ascii="宋体" w:hAnsi="宋体" w:cs="宋体"/>
          <w:sz w:val="24"/>
        </w:rPr>
        <w:t>.巡检服务</w:t>
      </w:r>
    </w:p>
    <w:p>
      <w:pPr>
        <w:spacing w:line="360" w:lineRule="auto"/>
        <w:ind w:firstLine="480" w:firstLineChars="200"/>
        <w:rPr>
          <w:rFonts w:ascii="宋体" w:hAnsi="宋体" w:cs="宋体"/>
          <w:sz w:val="24"/>
        </w:rPr>
      </w:pPr>
      <w:r>
        <w:rPr>
          <w:rFonts w:hint="eastAsia" w:ascii="宋体" w:hAnsi="宋体" w:cs="宋体"/>
          <w:sz w:val="24"/>
        </w:rPr>
        <w:t>每月进行一次巡检服务，由专业的技术支持人员上门通过专业的方式对系统运行状况进行全面检查测试，及时发现和排除隐患，确保数据备份的可靠性，保证系统可持续正常运行。并向市院信息中心提交巡检报告。</w:t>
      </w:r>
    </w:p>
    <w:p>
      <w:pPr>
        <w:spacing w:line="360" w:lineRule="auto"/>
        <w:ind w:firstLine="480" w:firstLineChars="200"/>
        <w:rPr>
          <w:rFonts w:ascii="宋体" w:hAnsi="宋体" w:cs="宋体"/>
          <w:sz w:val="24"/>
        </w:rPr>
      </w:pPr>
      <w:r>
        <w:rPr>
          <w:rFonts w:hint="eastAsia" w:cs="宋体"/>
          <w:sz w:val="24"/>
          <w:lang w:val="en-US" w:eastAsia="zh-CN"/>
        </w:rPr>
        <w:t>3</w:t>
      </w:r>
      <w:r>
        <w:rPr>
          <w:rFonts w:hint="eastAsia" w:ascii="宋体" w:hAnsi="宋体" w:cs="宋体"/>
          <w:sz w:val="24"/>
        </w:rPr>
        <w:t>.远程支持服务</w:t>
      </w:r>
    </w:p>
    <w:p>
      <w:pPr>
        <w:spacing w:line="360" w:lineRule="auto"/>
        <w:ind w:firstLine="480" w:firstLineChars="200"/>
        <w:rPr>
          <w:rFonts w:ascii="宋体" w:hAnsi="宋体" w:cs="宋体"/>
          <w:sz w:val="24"/>
        </w:rPr>
      </w:pPr>
      <w:r>
        <w:rPr>
          <w:rFonts w:hint="eastAsia" w:ascii="宋体" w:hAnsi="宋体" w:cs="宋体"/>
          <w:sz w:val="24"/>
        </w:rPr>
        <w:t>热线电话服务</w:t>
      </w:r>
    </w:p>
    <w:p>
      <w:pPr>
        <w:spacing w:line="360" w:lineRule="auto"/>
        <w:ind w:firstLine="480" w:firstLineChars="200"/>
        <w:rPr>
          <w:rFonts w:ascii="宋体" w:hAnsi="宋体" w:cs="宋体"/>
          <w:sz w:val="24"/>
        </w:rPr>
      </w:pPr>
      <w:r>
        <w:rPr>
          <w:rFonts w:hint="eastAsia" w:ascii="宋体" w:hAnsi="宋体" w:cs="宋体"/>
          <w:sz w:val="24"/>
        </w:rPr>
        <w:t>提供项目组技术人员的7*24小时服务热线；针对检察院提出的问题，通过电话解答咨询、指导应用和故障排除。对于无法解决的问题，及时受理登记，安排运维任务。</w:t>
      </w:r>
    </w:p>
    <w:p>
      <w:pPr>
        <w:spacing w:line="360" w:lineRule="auto"/>
        <w:ind w:firstLine="480" w:firstLineChars="200"/>
        <w:rPr>
          <w:rFonts w:ascii="宋体" w:hAnsi="宋体" w:cs="宋体"/>
          <w:sz w:val="24"/>
        </w:rPr>
      </w:pPr>
      <w:r>
        <w:rPr>
          <w:rFonts w:hint="eastAsia" w:ascii="宋体" w:hAnsi="宋体" w:cs="宋体"/>
          <w:sz w:val="24"/>
        </w:rPr>
        <w:t>电子邮件服务</w:t>
      </w:r>
    </w:p>
    <w:p>
      <w:pPr>
        <w:spacing w:line="360" w:lineRule="auto"/>
        <w:ind w:firstLine="480" w:firstLineChars="200"/>
        <w:rPr>
          <w:rFonts w:ascii="宋体" w:hAnsi="宋体" w:cs="宋体"/>
          <w:sz w:val="24"/>
        </w:rPr>
      </w:pPr>
      <w:r>
        <w:rPr>
          <w:rFonts w:hint="eastAsia" w:ascii="宋体" w:hAnsi="宋体" w:cs="宋体"/>
          <w:sz w:val="24"/>
        </w:rPr>
        <w:t>提供项目组负责人邮箱地址，若遇到疑难的问题，用户可将问题通过E-mail的方式发给项目组相关负责人，项目组每天至少接收一次邮件，并在2个工作日内及时予以回复。</w:t>
      </w:r>
    </w:p>
    <w:p>
      <w:pPr>
        <w:spacing w:line="360" w:lineRule="auto"/>
        <w:ind w:firstLine="480" w:firstLineChars="200"/>
        <w:rPr>
          <w:rFonts w:ascii="宋体" w:hAnsi="宋体" w:cs="宋体"/>
          <w:sz w:val="24"/>
        </w:rPr>
      </w:pPr>
      <w:r>
        <w:rPr>
          <w:rFonts w:hint="eastAsia" w:ascii="宋体" w:hAnsi="宋体" w:cs="宋体"/>
          <w:sz w:val="24"/>
        </w:rPr>
        <w:t>其它</w:t>
      </w:r>
    </w:p>
    <w:p>
      <w:pPr>
        <w:spacing w:line="360" w:lineRule="auto"/>
        <w:ind w:firstLine="480" w:firstLineChars="200"/>
        <w:rPr>
          <w:rFonts w:ascii="宋体" w:hAnsi="宋体"/>
          <w:sz w:val="24"/>
          <w:szCs w:val="24"/>
        </w:rPr>
      </w:pPr>
      <w:r>
        <w:rPr>
          <w:rFonts w:hint="eastAsia" w:ascii="宋体" w:hAnsi="宋体" w:cs="宋体"/>
          <w:sz w:val="24"/>
        </w:rPr>
        <w:t>将各项运维服务纳入上海检察机关统一运维平台，实现问题统一受理、解决、反馈和汇总，所有运维工作均应在运维管理平台中全程详细记录，并不断丰富应用系统常见问题知识库。</w:t>
      </w:r>
    </w:p>
    <w:p>
      <w:pPr>
        <w:pStyle w:val="3"/>
      </w:pPr>
      <w:bookmarkStart w:id="21" w:name="_Toc63785506"/>
      <w:r>
        <w:rPr>
          <w:rFonts w:hint="eastAsia"/>
        </w:rPr>
        <w:t>应急响应要求</w:t>
      </w:r>
      <w:bookmarkEnd w:id="21"/>
    </w:p>
    <w:p>
      <w:pPr>
        <w:pStyle w:val="90"/>
        <w:snapToGrid w:val="0"/>
        <w:spacing w:line="360" w:lineRule="auto"/>
        <w:ind w:firstLine="480"/>
        <w:rPr>
          <w:rFonts w:ascii="宋体" w:hAnsi="宋体"/>
          <w:sz w:val="24"/>
          <w:szCs w:val="24"/>
        </w:rPr>
      </w:pPr>
      <w:r>
        <w:rPr>
          <w:rFonts w:hint="eastAsia" w:ascii="宋体" w:hAnsi="宋体"/>
          <w:sz w:val="24"/>
          <w:szCs w:val="24"/>
        </w:rPr>
        <w:t>供应商对系统故障应能够实时响应，若系统发生故障，接到通知后</w:t>
      </w:r>
      <w:r>
        <w:rPr>
          <w:rFonts w:ascii="宋体" w:hAnsi="宋体"/>
          <w:sz w:val="24"/>
          <w:szCs w:val="24"/>
        </w:rPr>
        <w:t>30分钟之内响应，专业工程师2小时内到达现场</w:t>
      </w:r>
      <w:r>
        <w:rPr>
          <w:rFonts w:hint="eastAsia" w:ascii="宋体" w:hAnsi="宋体"/>
          <w:sz w:val="24"/>
          <w:szCs w:val="24"/>
        </w:rPr>
        <w:t>。特殊故障与客户沟通协商后，按照协商的方式制定解决方案并进行处理。</w:t>
      </w:r>
    </w:p>
    <w:p>
      <w:pPr>
        <w:pStyle w:val="90"/>
        <w:snapToGrid w:val="0"/>
        <w:spacing w:line="360" w:lineRule="auto"/>
        <w:ind w:firstLine="480"/>
        <w:rPr>
          <w:rFonts w:ascii="宋体" w:hAnsi="宋体"/>
          <w:sz w:val="24"/>
          <w:szCs w:val="24"/>
        </w:rPr>
      </w:pPr>
      <w:r>
        <w:rPr>
          <w:rFonts w:hint="eastAsia" w:ascii="宋体" w:hAnsi="宋体"/>
          <w:sz w:val="24"/>
          <w:szCs w:val="24"/>
        </w:rPr>
        <w:t>具体故障级别及对应的应急响应要求如下：</w:t>
      </w:r>
    </w:p>
    <w:p>
      <w:pPr>
        <w:pStyle w:val="90"/>
        <w:snapToGrid w:val="0"/>
        <w:spacing w:line="360" w:lineRule="auto"/>
        <w:ind w:firstLine="480"/>
        <w:rPr>
          <w:rFonts w:ascii="宋体" w:hAnsi="宋体"/>
          <w:sz w:val="24"/>
          <w:szCs w:val="24"/>
        </w:rPr>
      </w:pPr>
      <w:r>
        <w:rPr>
          <w:rFonts w:hint="eastAsia" w:ascii="宋体" w:hAnsi="宋体"/>
          <w:sz w:val="24"/>
          <w:szCs w:val="24"/>
        </w:rPr>
        <w:t>一级故障：在</w:t>
      </w:r>
      <w:r>
        <w:rPr>
          <w:rFonts w:ascii="宋体" w:hAnsi="宋体"/>
          <w:sz w:val="24"/>
          <w:szCs w:val="24"/>
        </w:rPr>
        <w:t>1小时内确诊，总故障解决时间不超过4小时。</w:t>
      </w:r>
    </w:p>
    <w:p>
      <w:pPr>
        <w:pStyle w:val="90"/>
        <w:snapToGrid w:val="0"/>
        <w:spacing w:line="360" w:lineRule="auto"/>
        <w:ind w:firstLine="480"/>
        <w:rPr>
          <w:rFonts w:ascii="宋体" w:hAnsi="宋体"/>
          <w:sz w:val="24"/>
          <w:szCs w:val="24"/>
        </w:rPr>
      </w:pPr>
      <w:r>
        <w:rPr>
          <w:rFonts w:hint="eastAsia" w:ascii="宋体" w:hAnsi="宋体"/>
          <w:sz w:val="24"/>
          <w:szCs w:val="24"/>
        </w:rPr>
        <w:t>二级故障：在</w:t>
      </w:r>
      <w:r>
        <w:rPr>
          <w:rFonts w:ascii="宋体" w:hAnsi="宋体"/>
          <w:sz w:val="24"/>
          <w:szCs w:val="24"/>
        </w:rPr>
        <w:t>2小时内确诊，并在4小时内由专家到达现场确诊并解决，总故障解决时间不超过8小时；</w:t>
      </w:r>
    </w:p>
    <w:p>
      <w:pPr>
        <w:pStyle w:val="90"/>
        <w:snapToGrid w:val="0"/>
        <w:spacing w:line="360" w:lineRule="auto"/>
        <w:ind w:firstLine="480"/>
        <w:rPr>
          <w:rFonts w:ascii="宋体" w:hAnsi="宋体"/>
          <w:sz w:val="24"/>
          <w:szCs w:val="24"/>
        </w:rPr>
      </w:pPr>
      <w:r>
        <w:rPr>
          <w:rFonts w:hint="eastAsia" w:ascii="宋体" w:hAnsi="宋体"/>
          <w:sz w:val="24"/>
          <w:szCs w:val="24"/>
        </w:rPr>
        <w:t>三、四级故障：在</w:t>
      </w:r>
      <w:r>
        <w:rPr>
          <w:rFonts w:ascii="宋体" w:hAnsi="宋体"/>
          <w:sz w:val="24"/>
          <w:szCs w:val="24"/>
        </w:rPr>
        <w:t>4小时内确诊故障，总故障解决时间不超过16小时。</w:t>
      </w:r>
    </w:p>
    <w:p>
      <w:pPr>
        <w:pStyle w:val="3"/>
        <w:ind w:firstLine="420" w:firstLineChars="0"/>
      </w:pPr>
      <w:bookmarkStart w:id="22" w:name="_Toc63785507"/>
      <w:r>
        <w:rPr>
          <w:rFonts w:hint="eastAsia"/>
        </w:rPr>
        <w:t>培训要求</w:t>
      </w:r>
      <w:bookmarkEnd w:id="22"/>
    </w:p>
    <w:p>
      <w:pPr>
        <w:pStyle w:val="90"/>
        <w:snapToGrid w:val="0"/>
        <w:spacing w:line="360" w:lineRule="auto"/>
        <w:ind w:firstLine="480"/>
        <w:rPr>
          <w:rFonts w:hint="eastAsia" w:ascii="宋体" w:hAnsi="宋体"/>
          <w:sz w:val="24"/>
          <w:szCs w:val="24"/>
        </w:rPr>
      </w:pPr>
      <w:r>
        <w:rPr>
          <w:rFonts w:hint="eastAsia" w:ascii="宋体" w:hAnsi="宋体"/>
          <w:sz w:val="24"/>
          <w:szCs w:val="24"/>
        </w:rPr>
        <w:t>对系统使用单位提供业务操作培训，应提供详细培训方案。</w:t>
      </w:r>
    </w:p>
    <w:p>
      <w:pPr>
        <w:pStyle w:val="90"/>
        <w:snapToGrid w:val="0"/>
        <w:spacing w:line="360" w:lineRule="auto"/>
        <w:ind w:firstLine="480"/>
        <w:rPr>
          <w:rFonts w:hint="eastAsia" w:ascii="宋体" w:hAnsi="宋体"/>
          <w:sz w:val="24"/>
          <w:szCs w:val="24"/>
        </w:rPr>
      </w:pPr>
      <w:r>
        <w:rPr>
          <w:rFonts w:hint="eastAsia" w:ascii="宋体" w:hAnsi="宋体"/>
          <w:sz w:val="24"/>
          <w:szCs w:val="24"/>
        </w:rPr>
        <w:t>(1)在12个月的质量保证期内，提供2次与项目相关的必要培训。</w:t>
      </w:r>
    </w:p>
    <w:p>
      <w:pPr>
        <w:pStyle w:val="90"/>
        <w:snapToGrid w:val="0"/>
        <w:spacing w:line="360" w:lineRule="auto"/>
        <w:ind w:firstLine="480"/>
        <w:rPr>
          <w:rFonts w:hint="eastAsia" w:ascii="宋体" w:hAnsi="宋体"/>
          <w:sz w:val="24"/>
          <w:szCs w:val="24"/>
        </w:rPr>
      </w:pPr>
      <w:r>
        <w:rPr>
          <w:rFonts w:hint="eastAsia" w:ascii="宋体" w:hAnsi="宋体"/>
          <w:sz w:val="24"/>
          <w:szCs w:val="24"/>
        </w:rPr>
        <w:t>(2)供应商需要开展分层次的人员培训工作，每次培训后应对参加培训人员进行测试，评估培训成果。培训应具有培训教材、培训环境和高水平的培训讲师。</w:t>
      </w:r>
    </w:p>
    <w:p>
      <w:pPr>
        <w:pStyle w:val="90"/>
        <w:snapToGrid w:val="0"/>
        <w:spacing w:line="360" w:lineRule="auto"/>
        <w:ind w:firstLine="480"/>
        <w:rPr>
          <w:rFonts w:hint="eastAsia" w:ascii="宋体" w:hAnsi="宋体"/>
          <w:sz w:val="24"/>
          <w:szCs w:val="24"/>
        </w:rPr>
      </w:pPr>
      <w:r>
        <w:rPr>
          <w:rFonts w:hint="eastAsia" w:ascii="宋体" w:hAnsi="宋体"/>
          <w:sz w:val="24"/>
          <w:szCs w:val="24"/>
        </w:rPr>
        <w:t>(3)供应商应提供一般用户的基础操作培训和部门信息管理员的日常应用维护的培训，确保用户对象能够掌握对应的操作技能。</w:t>
      </w:r>
    </w:p>
    <w:p>
      <w:pPr>
        <w:pStyle w:val="3"/>
        <w:ind w:firstLine="420" w:firstLineChars="0"/>
      </w:pPr>
      <w:bookmarkStart w:id="23" w:name="_Toc63785509"/>
      <w:r>
        <w:rPr>
          <w:rFonts w:hint="eastAsia"/>
        </w:rPr>
        <w:t>进度要求</w:t>
      </w:r>
      <w:bookmarkEnd w:id="23"/>
    </w:p>
    <w:p>
      <w:pPr>
        <w:pStyle w:val="90"/>
        <w:snapToGrid w:val="0"/>
        <w:spacing w:line="360" w:lineRule="auto"/>
        <w:ind w:firstLine="480"/>
        <w:rPr>
          <w:rFonts w:hint="eastAsia" w:ascii="宋体" w:hAnsi="宋体"/>
          <w:sz w:val="24"/>
          <w:szCs w:val="24"/>
        </w:rPr>
      </w:pPr>
      <w:r>
        <w:rPr>
          <w:rFonts w:hint="eastAsia" w:ascii="宋体" w:hAnsi="宋体"/>
          <w:sz w:val="24"/>
          <w:szCs w:val="24"/>
          <w:lang w:eastAsia="zh-CN"/>
        </w:rPr>
        <w:t>供应商</w:t>
      </w:r>
      <w:r>
        <w:rPr>
          <w:rFonts w:hint="eastAsia" w:ascii="宋体" w:hAnsi="宋体"/>
          <w:sz w:val="24"/>
          <w:szCs w:val="24"/>
        </w:rPr>
        <w:t>应根据建设内容，分阶段制定合理的时间进度，并且应根据</w:t>
      </w:r>
      <w:r>
        <w:rPr>
          <w:rFonts w:hint="eastAsia" w:ascii="宋体" w:hAnsi="宋体"/>
          <w:sz w:val="24"/>
          <w:szCs w:val="24"/>
          <w:lang w:eastAsia="zh-CN"/>
        </w:rPr>
        <w:t>采购人</w:t>
      </w:r>
      <w:r>
        <w:rPr>
          <w:rFonts w:hint="eastAsia" w:ascii="宋体" w:hAnsi="宋体"/>
          <w:sz w:val="24"/>
          <w:szCs w:val="24"/>
        </w:rPr>
        <w:t>要求进行调整和细化。</w:t>
      </w:r>
    </w:p>
    <w:p>
      <w:pPr>
        <w:pStyle w:val="90"/>
        <w:snapToGrid w:val="0"/>
        <w:spacing w:line="360" w:lineRule="auto"/>
        <w:ind w:firstLine="480"/>
        <w:rPr>
          <w:rFonts w:hint="eastAsia" w:ascii="宋体" w:hAnsi="宋体"/>
          <w:sz w:val="24"/>
          <w:szCs w:val="24"/>
        </w:rPr>
      </w:pPr>
      <w:r>
        <w:rPr>
          <w:rFonts w:hint="eastAsia" w:ascii="宋体" w:hAnsi="宋体"/>
          <w:sz w:val="24"/>
          <w:szCs w:val="24"/>
          <w:lang w:val="en-US" w:eastAsia="zh-CN"/>
        </w:rPr>
        <w:t>2025年10月底前</w:t>
      </w:r>
      <w:r>
        <w:rPr>
          <w:rFonts w:hint="eastAsia" w:ascii="宋体" w:hAnsi="宋体"/>
          <w:sz w:val="24"/>
          <w:szCs w:val="24"/>
        </w:rPr>
        <w:t>，完成</w:t>
      </w:r>
      <w:r>
        <w:rPr>
          <w:rFonts w:hint="eastAsia" w:ascii="宋体" w:hAnsi="宋体"/>
          <w:sz w:val="24"/>
          <w:szCs w:val="24"/>
          <w:lang w:eastAsia="zh-CN"/>
        </w:rPr>
        <w:t>项目整体内容的建设</w:t>
      </w:r>
      <w:r>
        <w:rPr>
          <w:rFonts w:hint="eastAsia" w:ascii="宋体" w:hAnsi="宋体"/>
          <w:sz w:val="24"/>
          <w:szCs w:val="24"/>
        </w:rPr>
        <w:t>。</w:t>
      </w:r>
    </w:p>
    <w:p>
      <w:pPr>
        <w:pStyle w:val="3"/>
        <w:snapToGrid w:val="0"/>
        <w:spacing w:line="360" w:lineRule="auto"/>
        <w:ind w:firstLine="723" w:firstLineChars="200"/>
        <w:rPr>
          <w:rFonts w:hint="eastAsia" w:ascii="黑体" w:hAnsi="黑体"/>
          <w:sz w:val="36"/>
          <w:szCs w:val="36"/>
          <w:lang w:eastAsia="zh-CN"/>
        </w:rPr>
      </w:pPr>
      <w:r>
        <w:rPr>
          <w:rFonts w:hint="eastAsia" w:ascii="黑体" w:hAnsi="黑体"/>
          <w:sz w:val="36"/>
          <w:szCs w:val="36"/>
          <w:lang w:eastAsia="zh-CN"/>
        </w:rPr>
        <w:t>企业综合能力要求</w:t>
      </w:r>
    </w:p>
    <w:p>
      <w:pPr>
        <w:pStyle w:val="90"/>
        <w:snapToGrid w:val="0"/>
        <w:spacing w:line="360" w:lineRule="auto"/>
        <w:ind w:firstLine="480"/>
        <w:rPr>
          <w:rFonts w:hint="default" w:ascii="宋体" w:hAnsi="宋体" w:eastAsiaTheme="minorEastAsia"/>
          <w:sz w:val="24"/>
          <w:szCs w:val="24"/>
          <w:lang w:eastAsia="zh-CN"/>
        </w:rPr>
      </w:pPr>
      <w:r>
        <w:rPr>
          <w:rFonts w:hint="eastAsia" w:ascii="宋体" w:hAnsi="宋体" w:eastAsiaTheme="minorEastAsia"/>
          <w:sz w:val="24"/>
          <w:szCs w:val="24"/>
          <w:lang w:eastAsia="zh-CN"/>
        </w:rPr>
        <w:t>供应商具有ISO9001质量管理体系认证证书、ISO20000信息技术服务管理体系认证证书、拥有ISO27001信息安全管理体系认证证书的</w:t>
      </w:r>
      <w:r>
        <w:rPr>
          <w:rFonts w:hint="eastAsia" w:ascii="宋体" w:hAnsi="宋体"/>
          <w:sz w:val="24"/>
          <w:szCs w:val="24"/>
          <w:lang w:eastAsia="zh-CN"/>
        </w:rPr>
        <w:t>优先考虑。</w:t>
      </w:r>
    </w:p>
    <w:p>
      <w:pPr>
        <w:pStyle w:val="3"/>
        <w:ind w:firstLine="723" w:firstLineChars="200"/>
      </w:pPr>
      <w:bookmarkStart w:id="24" w:name="_Toc63785510"/>
      <w:r>
        <w:rPr>
          <w:rFonts w:hint="eastAsia"/>
        </w:rPr>
        <w:t>项目团队及驻场人员要求</w:t>
      </w:r>
      <w:bookmarkEnd w:id="24"/>
    </w:p>
    <w:p>
      <w:pPr>
        <w:spacing w:line="360" w:lineRule="auto"/>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1）</w:t>
      </w:r>
      <w:r>
        <w:rPr>
          <w:rFonts w:hint="eastAsia" w:ascii="宋体" w:hAnsi="宋体" w:cstheme="minorBidi"/>
          <w:kern w:val="2"/>
          <w:sz w:val="24"/>
          <w:szCs w:val="24"/>
          <w:lang w:val="en-US" w:eastAsia="zh-CN" w:bidi="ar-SA"/>
        </w:rPr>
        <w:t>供应商</w:t>
      </w:r>
      <w:r>
        <w:rPr>
          <w:rFonts w:hint="eastAsia" w:ascii="宋体" w:hAnsi="宋体" w:eastAsiaTheme="minorEastAsia" w:cstheme="minorBidi"/>
          <w:kern w:val="2"/>
          <w:sz w:val="24"/>
          <w:szCs w:val="24"/>
          <w:lang w:val="en-US" w:eastAsia="zh-CN" w:bidi="ar-SA"/>
        </w:rPr>
        <w:t>须具有稳定的在职技术保障力量，能够提供及时的技术支援或服务，应针对本项目提供不少于</w:t>
      </w:r>
      <w:r>
        <w:rPr>
          <w:rFonts w:hint="eastAsia" w:ascii="宋体" w:hAnsi="宋体" w:cstheme="minorBidi"/>
          <w:kern w:val="2"/>
          <w:sz w:val="24"/>
          <w:szCs w:val="24"/>
          <w:lang w:val="en-US" w:eastAsia="zh-CN" w:bidi="ar-SA"/>
        </w:rPr>
        <w:t>13</w:t>
      </w:r>
      <w:r>
        <w:rPr>
          <w:rFonts w:hint="eastAsia" w:ascii="宋体" w:hAnsi="宋体" w:eastAsiaTheme="minorEastAsia" w:cstheme="minorBidi"/>
          <w:kern w:val="2"/>
          <w:sz w:val="24"/>
          <w:szCs w:val="24"/>
          <w:lang w:val="en-US" w:eastAsia="zh-CN" w:bidi="ar-SA"/>
        </w:rPr>
        <w:t>人的项目服务团队（包括项目经理、产品</w:t>
      </w:r>
      <w:r>
        <w:rPr>
          <w:rFonts w:hint="eastAsia" w:ascii="宋体" w:hAnsi="宋体" w:cstheme="minorBidi"/>
          <w:kern w:val="2"/>
          <w:sz w:val="24"/>
          <w:szCs w:val="24"/>
          <w:lang w:val="en-US" w:eastAsia="zh-CN" w:bidi="ar-SA"/>
        </w:rPr>
        <w:t>负责人</w:t>
      </w:r>
      <w:r>
        <w:rPr>
          <w:rFonts w:hint="eastAsia" w:ascii="宋体" w:hAnsi="宋体" w:eastAsiaTheme="minorEastAsia" w:cstheme="minorBidi"/>
          <w:kern w:val="2"/>
          <w:sz w:val="24"/>
          <w:szCs w:val="24"/>
          <w:lang w:val="en-US" w:eastAsia="zh-CN" w:bidi="ar-SA"/>
        </w:rPr>
        <w:t>、技术负责人、研发等），</w:t>
      </w:r>
      <w:r>
        <w:rPr>
          <w:rFonts w:hint="eastAsia" w:ascii="宋体" w:hAnsi="宋体" w:cstheme="minorBidi"/>
          <w:kern w:val="2"/>
          <w:sz w:val="24"/>
          <w:szCs w:val="24"/>
          <w:lang w:val="en-US" w:eastAsia="zh-CN" w:bidi="ar-SA"/>
        </w:rPr>
        <w:t>供应商</w:t>
      </w:r>
      <w:r>
        <w:rPr>
          <w:rFonts w:hint="eastAsia" w:ascii="宋体" w:hAnsi="宋体" w:eastAsiaTheme="minorEastAsia" w:cstheme="minorBidi"/>
          <w:kern w:val="2"/>
          <w:sz w:val="24"/>
          <w:szCs w:val="24"/>
          <w:lang w:val="en-US" w:eastAsia="zh-CN" w:bidi="ar-SA"/>
        </w:rPr>
        <w:t>的相关服务人员需具备相应的服务能力，需提供相关证明。</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3156"/>
        <w:gridCol w:w="1060"/>
        <w:gridCol w:w="2518"/>
        <w:gridCol w:w="1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widowControl/>
              <w:spacing w:line="240" w:lineRule="auto"/>
              <w:ind w:firstLine="0" w:firstLineChars="0"/>
              <w:jc w:val="center"/>
              <w:rPr>
                <w:b/>
              </w:rPr>
            </w:pPr>
            <w:r>
              <w:rPr>
                <w:rFonts w:hint="eastAsia"/>
                <w:b/>
              </w:rPr>
              <w:t>角色</w:t>
            </w:r>
          </w:p>
        </w:tc>
        <w:tc>
          <w:tcPr>
            <w:tcW w:w="0" w:type="auto"/>
            <w:shd w:val="clear" w:color="auto" w:fill="auto"/>
            <w:noWrap/>
            <w:vAlign w:val="center"/>
          </w:tcPr>
          <w:p>
            <w:pPr>
              <w:widowControl/>
              <w:spacing w:line="240" w:lineRule="auto"/>
              <w:ind w:firstLine="0" w:firstLineChars="0"/>
              <w:jc w:val="center"/>
              <w:rPr>
                <w:b/>
              </w:rPr>
            </w:pPr>
            <w:r>
              <w:rPr>
                <w:rFonts w:hint="eastAsia"/>
                <w:b/>
              </w:rPr>
              <w:t>主要职责</w:t>
            </w:r>
          </w:p>
        </w:tc>
        <w:tc>
          <w:tcPr>
            <w:tcW w:w="0" w:type="auto"/>
            <w:shd w:val="clear" w:color="auto" w:fill="auto"/>
            <w:noWrap/>
            <w:vAlign w:val="center"/>
          </w:tcPr>
          <w:p>
            <w:pPr>
              <w:widowControl/>
              <w:spacing w:line="240" w:lineRule="auto"/>
              <w:ind w:firstLine="0" w:firstLineChars="0"/>
              <w:jc w:val="center"/>
              <w:rPr>
                <w:b/>
              </w:rPr>
            </w:pPr>
            <w:r>
              <w:rPr>
                <w:rFonts w:hint="eastAsia"/>
                <w:b/>
              </w:rPr>
              <w:t>人员数量</w:t>
            </w:r>
          </w:p>
        </w:tc>
        <w:tc>
          <w:tcPr>
            <w:tcW w:w="0" w:type="auto"/>
            <w:vAlign w:val="center"/>
          </w:tcPr>
          <w:p>
            <w:pPr>
              <w:widowControl/>
              <w:spacing w:line="240" w:lineRule="auto"/>
              <w:ind w:firstLine="0" w:firstLineChars="0"/>
              <w:jc w:val="center"/>
              <w:rPr>
                <w:b/>
              </w:rPr>
            </w:pPr>
            <w:r>
              <w:rPr>
                <w:rFonts w:hint="eastAsia"/>
                <w:b/>
              </w:rPr>
              <w:t>人员要求</w:t>
            </w:r>
          </w:p>
        </w:tc>
        <w:tc>
          <w:tcPr>
            <w:tcW w:w="0" w:type="auto"/>
            <w:shd w:val="clear" w:color="auto" w:fill="auto"/>
            <w:noWrap/>
            <w:vAlign w:val="center"/>
          </w:tcPr>
          <w:p>
            <w:pPr>
              <w:widowControl/>
              <w:spacing w:line="240" w:lineRule="auto"/>
              <w:ind w:firstLine="0" w:firstLineChars="0"/>
              <w:jc w:val="center"/>
              <w:rPr>
                <w:b/>
              </w:rPr>
            </w:pPr>
            <w:r>
              <w:rPr>
                <w:rFonts w:hint="eastAsia"/>
                <w:b/>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widowControl/>
              <w:spacing w:line="240" w:lineRule="auto"/>
              <w:ind w:firstLine="0" w:firstLineChars="0"/>
              <w:jc w:val="center"/>
              <w:rPr>
                <w:rFonts w:hint="eastAsia" w:eastAsiaTheme="minorEastAsia"/>
                <w:lang w:eastAsia="zh-CN"/>
              </w:rPr>
            </w:pPr>
            <w:r>
              <w:rPr>
                <w:rFonts w:hint="eastAsia"/>
              </w:rPr>
              <w:t>项目</w:t>
            </w:r>
            <w:r>
              <w:rPr>
                <w:rFonts w:hint="eastAsia"/>
                <w:lang w:eastAsia="zh-CN"/>
              </w:rPr>
              <w:t>负责人</w:t>
            </w:r>
          </w:p>
        </w:tc>
        <w:tc>
          <w:tcPr>
            <w:tcW w:w="0" w:type="auto"/>
            <w:shd w:val="clear" w:color="auto" w:fill="auto"/>
            <w:vAlign w:val="center"/>
          </w:tcPr>
          <w:p>
            <w:pPr>
              <w:widowControl/>
              <w:spacing w:line="240" w:lineRule="auto"/>
              <w:ind w:firstLine="0" w:firstLineChars="0"/>
              <w:jc w:val="center"/>
            </w:pPr>
            <w:r>
              <w:rPr>
                <w:rFonts w:hint="eastAsia"/>
              </w:rPr>
              <w:t>负责项目质量和进度控制</w:t>
            </w:r>
          </w:p>
        </w:tc>
        <w:tc>
          <w:tcPr>
            <w:tcW w:w="0" w:type="auto"/>
            <w:shd w:val="clear" w:color="auto" w:fill="auto"/>
            <w:noWrap/>
            <w:vAlign w:val="center"/>
          </w:tcPr>
          <w:p>
            <w:pPr>
              <w:widowControl/>
              <w:spacing w:line="240" w:lineRule="auto"/>
              <w:ind w:firstLine="0" w:firstLineChars="0"/>
              <w:jc w:val="center"/>
            </w:pPr>
            <w:r>
              <w:rPr>
                <w:rFonts w:hint="eastAsia"/>
                <w:lang w:val="en-US" w:eastAsia="zh-CN"/>
              </w:rPr>
              <w:t>1</w:t>
            </w:r>
            <w:r>
              <w:rPr>
                <w:rFonts w:hint="eastAsia"/>
              </w:rPr>
              <w:t>人</w:t>
            </w:r>
          </w:p>
        </w:tc>
        <w:tc>
          <w:tcPr>
            <w:tcW w:w="0" w:type="auto"/>
            <w:vAlign w:val="center"/>
          </w:tcPr>
          <w:p>
            <w:pPr>
              <w:widowControl/>
              <w:spacing w:line="240" w:lineRule="auto"/>
              <w:ind w:firstLine="0" w:firstLineChars="0"/>
              <w:jc w:val="center"/>
            </w:pPr>
            <w:r>
              <w:rPr>
                <w:rFonts w:hint="eastAsia"/>
              </w:rPr>
              <w:t>信息系统项目管理师证书</w:t>
            </w:r>
            <w:r>
              <w:rPr>
                <w:rFonts w:hint="eastAsia"/>
                <w:lang w:eastAsia="zh-CN"/>
              </w:rPr>
              <w:t>，具有与本项目类似的工作业绩</w:t>
            </w:r>
          </w:p>
        </w:tc>
        <w:tc>
          <w:tcPr>
            <w:tcW w:w="0" w:type="auto"/>
            <w:shd w:val="clear" w:color="auto" w:fill="auto"/>
            <w:noWrap/>
            <w:vAlign w:val="center"/>
          </w:tcPr>
          <w:p>
            <w:pPr>
              <w:widowControl/>
              <w:spacing w:line="240" w:lineRule="auto"/>
              <w:ind w:firstLine="0" w:firstLineChars="0"/>
              <w:jc w:val="center"/>
              <w:rPr>
                <w:rFonts w:hint="eastAsia" w:eastAsia="宋体"/>
                <w:lang w:eastAsia="zh-CN"/>
              </w:rPr>
            </w:pPr>
            <w:r>
              <w:rPr>
                <w:rFonts w:hint="eastAsia"/>
                <w:lang w:eastAsia="zh-CN"/>
              </w:rPr>
              <w:t>不做要求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widowControl/>
              <w:spacing w:line="240" w:lineRule="auto"/>
              <w:ind w:firstLine="0" w:firstLineChars="0"/>
              <w:jc w:val="center"/>
            </w:pPr>
            <w:r>
              <w:rPr>
                <w:rFonts w:hint="eastAsia"/>
              </w:rPr>
              <w:t>产品经理</w:t>
            </w:r>
          </w:p>
        </w:tc>
        <w:tc>
          <w:tcPr>
            <w:tcW w:w="0" w:type="auto"/>
            <w:shd w:val="clear" w:color="auto" w:fill="auto"/>
            <w:vAlign w:val="center"/>
          </w:tcPr>
          <w:p>
            <w:pPr>
              <w:widowControl/>
              <w:spacing w:line="240" w:lineRule="auto"/>
              <w:ind w:firstLine="0" w:firstLineChars="0"/>
              <w:jc w:val="center"/>
            </w:pPr>
            <w:r>
              <w:rPr>
                <w:rFonts w:hint="eastAsia"/>
              </w:rPr>
              <w:t>负责项目需求评估与产品设计</w:t>
            </w:r>
          </w:p>
        </w:tc>
        <w:tc>
          <w:tcPr>
            <w:tcW w:w="0" w:type="auto"/>
            <w:shd w:val="clear" w:color="auto" w:fill="auto"/>
            <w:noWrap/>
            <w:vAlign w:val="center"/>
          </w:tcPr>
          <w:p>
            <w:pPr>
              <w:widowControl/>
              <w:spacing w:line="240" w:lineRule="auto"/>
              <w:ind w:firstLine="0" w:firstLineChars="0"/>
              <w:jc w:val="center"/>
            </w:pPr>
            <w:r>
              <w:rPr>
                <w:rFonts w:hint="eastAsia"/>
                <w:lang w:val="en-US" w:eastAsia="zh-CN"/>
              </w:rPr>
              <w:t>1</w:t>
            </w:r>
            <w:r>
              <w:rPr>
                <w:rFonts w:hint="eastAsia"/>
              </w:rPr>
              <w:t>人</w:t>
            </w:r>
          </w:p>
        </w:tc>
        <w:tc>
          <w:tcPr>
            <w:tcW w:w="0" w:type="auto"/>
            <w:vAlign w:val="center"/>
          </w:tcPr>
          <w:p>
            <w:pPr>
              <w:widowControl/>
              <w:spacing w:line="240" w:lineRule="auto"/>
              <w:ind w:firstLine="0" w:firstLineChars="0"/>
              <w:jc w:val="center"/>
            </w:pPr>
          </w:p>
        </w:tc>
        <w:tc>
          <w:tcPr>
            <w:tcW w:w="0" w:type="auto"/>
            <w:shd w:val="clear" w:color="auto" w:fill="auto"/>
            <w:noWrap/>
            <w:vAlign w:val="center"/>
          </w:tcPr>
          <w:p>
            <w:pPr>
              <w:widowControl/>
              <w:spacing w:line="240" w:lineRule="auto"/>
              <w:ind w:firstLine="0" w:firstLineChars="0"/>
              <w:jc w:val="center"/>
            </w:pPr>
            <w:r>
              <w:rPr>
                <w:rFonts w:hint="eastAsia"/>
                <w:lang w:eastAsia="zh-CN"/>
              </w:rPr>
              <w:t>不做要求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widowControl/>
              <w:spacing w:line="240" w:lineRule="auto"/>
              <w:ind w:firstLine="0" w:firstLineChars="0"/>
              <w:jc w:val="center"/>
              <w:rPr>
                <w:rFonts w:hint="eastAsia" w:eastAsia="宋体"/>
                <w:lang w:eastAsia="zh-CN"/>
              </w:rPr>
            </w:pPr>
            <w:r>
              <w:rPr>
                <w:rFonts w:hint="eastAsia"/>
              </w:rPr>
              <w:t>研发</w:t>
            </w:r>
            <w:r>
              <w:rPr>
                <w:rFonts w:hint="eastAsia"/>
                <w:lang w:eastAsia="zh-CN"/>
              </w:rPr>
              <w:t>经理</w:t>
            </w:r>
          </w:p>
        </w:tc>
        <w:tc>
          <w:tcPr>
            <w:tcW w:w="0" w:type="auto"/>
            <w:shd w:val="clear" w:color="auto" w:fill="auto"/>
            <w:noWrap/>
            <w:vAlign w:val="center"/>
          </w:tcPr>
          <w:p>
            <w:pPr>
              <w:widowControl/>
              <w:spacing w:line="240" w:lineRule="auto"/>
              <w:ind w:firstLine="0" w:firstLineChars="0"/>
              <w:jc w:val="center"/>
              <w:rPr>
                <w:rFonts w:hint="eastAsia" w:eastAsia="宋体"/>
                <w:lang w:eastAsia="zh-CN"/>
              </w:rPr>
            </w:pPr>
            <w:r>
              <w:rPr>
                <w:rFonts w:hint="eastAsia"/>
              </w:rPr>
              <w:t>负责项目具体开发与实施</w:t>
            </w:r>
            <w:r>
              <w:rPr>
                <w:rFonts w:hint="eastAsia"/>
                <w:lang w:eastAsia="zh-CN"/>
              </w:rPr>
              <w:t>的管理</w:t>
            </w:r>
          </w:p>
        </w:tc>
        <w:tc>
          <w:tcPr>
            <w:tcW w:w="0" w:type="auto"/>
            <w:shd w:val="clear" w:color="auto" w:fill="auto"/>
            <w:noWrap/>
            <w:vAlign w:val="center"/>
          </w:tcPr>
          <w:p>
            <w:pPr>
              <w:widowControl/>
              <w:spacing w:line="240" w:lineRule="auto"/>
              <w:ind w:firstLine="0" w:firstLineChars="0"/>
              <w:jc w:val="center"/>
            </w:pPr>
            <w:r>
              <w:rPr>
                <w:rFonts w:hint="eastAsia"/>
                <w:lang w:val="en-US" w:eastAsia="zh-CN"/>
              </w:rPr>
              <w:t>1</w:t>
            </w:r>
            <w:r>
              <w:rPr>
                <w:rFonts w:hint="eastAsia"/>
              </w:rPr>
              <w:t>人</w:t>
            </w:r>
          </w:p>
        </w:tc>
        <w:tc>
          <w:tcPr>
            <w:tcW w:w="0" w:type="auto"/>
            <w:vAlign w:val="center"/>
          </w:tcPr>
          <w:p>
            <w:pPr>
              <w:widowControl/>
              <w:spacing w:line="240" w:lineRule="auto"/>
              <w:ind w:firstLine="0" w:firstLineChars="0"/>
              <w:jc w:val="center"/>
            </w:pPr>
          </w:p>
        </w:tc>
        <w:tc>
          <w:tcPr>
            <w:tcW w:w="0" w:type="auto"/>
            <w:shd w:val="clear" w:color="auto" w:fill="auto"/>
            <w:noWrap/>
            <w:vAlign w:val="center"/>
          </w:tcPr>
          <w:p>
            <w:pPr>
              <w:widowControl/>
              <w:spacing w:line="240" w:lineRule="auto"/>
              <w:ind w:firstLine="0" w:firstLineChars="0"/>
              <w:jc w:val="center"/>
            </w:pPr>
            <w:r>
              <w:rPr>
                <w:rFonts w:hint="eastAsia"/>
                <w:lang w:eastAsia="zh-CN"/>
              </w:rPr>
              <w:t>不做要求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widowControl/>
              <w:spacing w:line="240" w:lineRule="auto"/>
              <w:ind w:firstLine="0" w:firstLineChars="0"/>
              <w:jc w:val="center"/>
              <w:rPr>
                <w:rFonts w:hint="eastAsia" w:eastAsia="宋体"/>
                <w:lang w:eastAsia="zh-CN"/>
              </w:rPr>
            </w:pPr>
            <w:r>
              <w:rPr>
                <w:rFonts w:hint="eastAsia"/>
                <w:lang w:eastAsia="zh-CN"/>
              </w:rPr>
              <w:t>技术工程师</w:t>
            </w:r>
          </w:p>
        </w:tc>
        <w:tc>
          <w:tcPr>
            <w:tcW w:w="0" w:type="auto"/>
            <w:shd w:val="clear" w:color="auto" w:fill="auto"/>
            <w:noWrap/>
            <w:vAlign w:val="center"/>
          </w:tcPr>
          <w:p>
            <w:pPr>
              <w:widowControl/>
              <w:spacing w:line="240" w:lineRule="auto"/>
              <w:ind w:firstLine="0" w:firstLineChars="0"/>
              <w:jc w:val="center"/>
              <w:rPr>
                <w:rFonts w:hint="eastAsia"/>
              </w:rPr>
            </w:pPr>
            <w:r>
              <w:rPr>
                <w:rFonts w:hint="eastAsia"/>
              </w:rPr>
              <w:t>负责项目具体开发与实施</w:t>
            </w:r>
          </w:p>
        </w:tc>
        <w:tc>
          <w:tcPr>
            <w:tcW w:w="0" w:type="auto"/>
            <w:shd w:val="clear" w:color="auto" w:fill="auto"/>
            <w:noWrap/>
            <w:vAlign w:val="center"/>
          </w:tcPr>
          <w:p>
            <w:pPr>
              <w:widowControl/>
              <w:spacing w:line="240" w:lineRule="auto"/>
              <w:ind w:firstLine="0" w:firstLineChars="0"/>
              <w:jc w:val="center"/>
              <w:rPr>
                <w:rFonts w:hint="default" w:eastAsia="宋体"/>
                <w:lang w:val="en-US" w:eastAsia="zh-CN"/>
              </w:rPr>
            </w:pPr>
            <w:r>
              <w:rPr>
                <w:rFonts w:hint="eastAsia"/>
                <w:lang w:val="en-US" w:eastAsia="zh-CN"/>
              </w:rPr>
              <w:t>10人</w:t>
            </w:r>
          </w:p>
        </w:tc>
        <w:tc>
          <w:tcPr>
            <w:tcW w:w="0" w:type="auto"/>
            <w:vAlign w:val="center"/>
          </w:tcPr>
          <w:p>
            <w:pPr>
              <w:widowControl/>
              <w:spacing w:line="240" w:lineRule="auto"/>
              <w:ind w:firstLine="0" w:firstLineChars="0"/>
              <w:jc w:val="center"/>
            </w:pPr>
          </w:p>
        </w:tc>
        <w:tc>
          <w:tcPr>
            <w:tcW w:w="0" w:type="auto"/>
            <w:shd w:val="clear" w:color="auto" w:fill="auto"/>
            <w:noWrap/>
            <w:vAlign w:val="center"/>
          </w:tcPr>
          <w:p>
            <w:pPr>
              <w:widowControl/>
              <w:spacing w:line="240" w:lineRule="auto"/>
              <w:ind w:firstLine="0" w:firstLineChars="0"/>
              <w:jc w:val="center"/>
              <w:rPr>
                <w:rFonts w:hint="eastAsia"/>
                <w:lang w:eastAsia="zh-CN"/>
              </w:rPr>
            </w:pPr>
            <w:r>
              <w:rPr>
                <w:rFonts w:hint="eastAsia"/>
                <w:lang w:eastAsia="zh-CN"/>
              </w:rPr>
              <w:t>不做要求</w:t>
            </w:r>
          </w:p>
        </w:tc>
      </w:tr>
    </w:tbl>
    <w:p>
      <w:pPr>
        <w:spacing w:line="360" w:lineRule="auto"/>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2）</w:t>
      </w:r>
      <w:r>
        <w:rPr>
          <w:rFonts w:hint="eastAsia" w:ascii="宋体" w:hAnsi="宋体" w:cstheme="minorBidi"/>
          <w:kern w:val="2"/>
          <w:sz w:val="24"/>
          <w:szCs w:val="24"/>
          <w:lang w:val="en-US" w:eastAsia="zh-CN" w:bidi="ar-SA"/>
        </w:rPr>
        <w:t>供应商</w:t>
      </w:r>
      <w:r>
        <w:rPr>
          <w:rFonts w:hint="eastAsia" w:ascii="宋体" w:hAnsi="宋体" w:eastAsiaTheme="minorEastAsia" w:cstheme="minorBidi"/>
          <w:kern w:val="2"/>
          <w:sz w:val="24"/>
          <w:szCs w:val="24"/>
          <w:lang w:val="en-US" w:eastAsia="zh-CN" w:bidi="ar-SA"/>
        </w:rPr>
        <w:t>应针对本项目提供不少于</w:t>
      </w:r>
      <w:r>
        <w:rPr>
          <w:rFonts w:hint="eastAsia" w:ascii="宋体" w:hAnsi="宋体" w:cstheme="minorBidi"/>
          <w:kern w:val="2"/>
          <w:sz w:val="24"/>
          <w:szCs w:val="24"/>
          <w:lang w:val="en-US" w:eastAsia="zh-CN" w:bidi="ar-SA"/>
        </w:rPr>
        <w:t>3</w:t>
      </w:r>
      <w:r>
        <w:rPr>
          <w:rFonts w:hint="eastAsia" w:ascii="宋体" w:hAnsi="宋体" w:eastAsiaTheme="minorEastAsia" w:cstheme="minorBidi"/>
          <w:kern w:val="2"/>
          <w:sz w:val="24"/>
          <w:szCs w:val="24"/>
          <w:lang w:val="en-US" w:eastAsia="zh-CN" w:bidi="ar-SA"/>
        </w:rPr>
        <w:t>人的质保期间支撑团队（其中技术经理</w:t>
      </w:r>
      <w:r>
        <w:rPr>
          <w:rFonts w:hint="eastAsia" w:ascii="宋体" w:hAnsi="宋体" w:cstheme="minorBidi"/>
          <w:kern w:val="2"/>
          <w:sz w:val="24"/>
          <w:szCs w:val="24"/>
          <w:lang w:val="en-US" w:eastAsia="zh-CN" w:bidi="ar-SA"/>
        </w:rPr>
        <w:t>1</w:t>
      </w:r>
      <w:r>
        <w:rPr>
          <w:rFonts w:hint="eastAsia" w:ascii="宋体" w:hAnsi="宋体" w:eastAsiaTheme="minorEastAsia" w:cstheme="minorBidi"/>
          <w:kern w:val="2"/>
          <w:sz w:val="24"/>
          <w:szCs w:val="24"/>
          <w:lang w:val="en-US" w:eastAsia="zh-CN" w:bidi="ar-SA"/>
        </w:rPr>
        <w:t>人，产品经理</w:t>
      </w:r>
      <w:r>
        <w:rPr>
          <w:rFonts w:hint="eastAsia" w:ascii="宋体" w:hAnsi="宋体" w:cstheme="minorBidi"/>
          <w:kern w:val="2"/>
          <w:sz w:val="24"/>
          <w:szCs w:val="24"/>
          <w:lang w:val="en-US" w:eastAsia="zh-CN" w:bidi="ar-SA"/>
        </w:rPr>
        <w:t>1</w:t>
      </w:r>
      <w:r>
        <w:rPr>
          <w:rFonts w:hint="eastAsia" w:ascii="宋体" w:hAnsi="宋体" w:eastAsiaTheme="minorEastAsia" w:cstheme="minorBidi"/>
          <w:kern w:val="2"/>
          <w:sz w:val="24"/>
          <w:szCs w:val="24"/>
          <w:lang w:val="en-US" w:eastAsia="zh-CN" w:bidi="ar-SA"/>
        </w:rPr>
        <w:t>人，技术工程师不少于</w:t>
      </w:r>
      <w:r>
        <w:rPr>
          <w:rFonts w:hint="eastAsia" w:ascii="宋体" w:hAnsi="宋体" w:cstheme="minorBidi"/>
          <w:kern w:val="2"/>
          <w:sz w:val="24"/>
          <w:szCs w:val="24"/>
          <w:lang w:val="en-US" w:eastAsia="zh-CN" w:bidi="ar-SA"/>
        </w:rPr>
        <w:t>1</w:t>
      </w:r>
      <w:r>
        <w:rPr>
          <w:rFonts w:hint="eastAsia" w:ascii="宋体" w:hAnsi="宋体" w:eastAsiaTheme="minorEastAsia" w:cstheme="minorBidi"/>
          <w:kern w:val="2"/>
          <w:sz w:val="24"/>
          <w:szCs w:val="24"/>
          <w:lang w:val="en-US" w:eastAsia="zh-CN" w:bidi="ar-SA"/>
        </w:rPr>
        <w:t>人）；</w:t>
      </w:r>
      <w:r>
        <w:rPr>
          <w:rFonts w:hint="eastAsia" w:ascii="宋体" w:hAnsi="宋体" w:cstheme="minorBidi"/>
          <w:kern w:val="2"/>
          <w:sz w:val="24"/>
          <w:szCs w:val="24"/>
          <w:lang w:val="en-US" w:eastAsia="zh-CN" w:bidi="ar-SA"/>
        </w:rPr>
        <w:t>供应商</w:t>
      </w:r>
      <w:r>
        <w:rPr>
          <w:rFonts w:hint="eastAsia" w:ascii="宋体" w:hAnsi="宋体" w:eastAsiaTheme="minorEastAsia" w:cstheme="minorBidi"/>
          <w:kern w:val="2"/>
          <w:sz w:val="24"/>
          <w:szCs w:val="24"/>
          <w:lang w:val="en-US" w:eastAsia="zh-CN" w:bidi="ar-SA"/>
        </w:rPr>
        <w:t>的相关服务人员需具备相应的服务能力，需提供相关证明（最近一个季度依法缴纳社保费的证明）。</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6"/>
        <w:gridCol w:w="2946"/>
        <w:gridCol w:w="1060"/>
        <w:gridCol w:w="2526"/>
        <w:gridCol w:w="1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widowControl/>
              <w:spacing w:line="240" w:lineRule="auto"/>
              <w:ind w:firstLine="0" w:firstLineChars="0"/>
              <w:jc w:val="center"/>
              <w:rPr>
                <w:b/>
              </w:rPr>
            </w:pPr>
            <w:r>
              <w:rPr>
                <w:rFonts w:hint="eastAsia"/>
                <w:b/>
              </w:rPr>
              <w:t>角色</w:t>
            </w:r>
          </w:p>
        </w:tc>
        <w:tc>
          <w:tcPr>
            <w:tcW w:w="0" w:type="auto"/>
            <w:shd w:val="clear" w:color="auto" w:fill="auto"/>
            <w:noWrap/>
            <w:vAlign w:val="center"/>
          </w:tcPr>
          <w:p>
            <w:pPr>
              <w:widowControl/>
              <w:spacing w:line="240" w:lineRule="auto"/>
              <w:ind w:firstLine="0" w:firstLineChars="0"/>
              <w:jc w:val="center"/>
              <w:rPr>
                <w:b/>
              </w:rPr>
            </w:pPr>
            <w:r>
              <w:rPr>
                <w:rFonts w:hint="eastAsia"/>
                <w:b/>
              </w:rPr>
              <w:t>主要职责</w:t>
            </w:r>
          </w:p>
        </w:tc>
        <w:tc>
          <w:tcPr>
            <w:tcW w:w="0" w:type="auto"/>
            <w:shd w:val="clear" w:color="auto" w:fill="auto"/>
            <w:noWrap/>
            <w:vAlign w:val="center"/>
          </w:tcPr>
          <w:p>
            <w:pPr>
              <w:widowControl/>
              <w:spacing w:line="240" w:lineRule="auto"/>
              <w:ind w:firstLine="0" w:firstLineChars="0"/>
              <w:jc w:val="center"/>
              <w:rPr>
                <w:b/>
              </w:rPr>
            </w:pPr>
            <w:r>
              <w:rPr>
                <w:rFonts w:hint="eastAsia"/>
                <w:b/>
              </w:rPr>
              <w:t>人员数量</w:t>
            </w:r>
          </w:p>
        </w:tc>
        <w:tc>
          <w:tcPr>
            <w:tcW w:w="0" w:type="auto"/>
            <w:vAlign w:val="center"/>
          </w:tcPr>
          <w:p>
            <w:pPr>
              <w:widowControl/>
              <w:spacing w:line="240" w:lineRule="auto"/>
              <w:ind w:firstLine="0" w:firstLineChars="0"/>
              <w:jc w:val="center"/>
              <w:rPr>
                <w:b/>
              </w:rPr>
            </w:pPr>
            <w:r>
              <w:rPr>
                <w:rFonts w:hint="eastAsia"/>
                <w:b/>
              </w:rPr>
              <w:t>人员要求</w:t>
            </w:r>
          </w:p>
        </w:tc>
        <w:tc>
          <w:tcPr>
            <w:tcW w:w="0" w:type="auto"/>
            <w:shd w:val="clear" w:color="auto" w:fill="auto"/>
            <w:noWrap/>
            <w:vAlign w:val="center"/>
          </w:tcPr>
          <w:p>
            <w:pPr>
              <w:widowControl/>
              <w:spacing w:line="240" w:lineRule="auto"/>
              <w:ind w:firstLine="0" w:firstLineChars="0"/>
              <w:jc w:val="center"/>
              <w:rPr>
                <w:b/>
              </w:rPr>
            </w:pPr>
            <w:r>
              <w:rPr>
                <w:rFonts w:hint="eastAsia"/>
                <w:b/>
              </w:rPr>
              <w:t>驻场要求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widowControl/>
              <w:spacing w:line="240" w:lineRule="auto"/>
              <w:ind w:firstLine="0" w:firstLineChars="0"/>
              <w:jc w:val="center"/>
            </w:pPr>
            <w:r>
              <w:rPr>
                <w:rFonts w:hint="eastAsia"/>
              </w:rPr>
              <w:t>项目经理</w:t>
            </w:r>
          </w:p>
        </w:tc>
        <w:tc>
          <w:tcPr>
            <w:tcW w:w="0" w:type="auto"/>
            <w:shd w:val="clear" w:color="auto" w:fill="auto"/>
            <w:vAlign w:val="center"/>
          </w:tcPr>
          <w:p>
            <w:pPr>
              <w:widowControl/>
              <w:spacing w:line="240" w:lineRule="auto"/>
              <w:ind w:firstLine="0" w:firstLineChars="0"/>
              <w:jc w:val="center"/>
            </w:pPr>
            <w:r>
              <w:rPr>
                <w:rFonts w:hint="eastAsia"/>
              </w:rPr>
              <w:t>负责项目质量和进度控制</w:t>
            </w:r>
          </w:p>
        </w:tc>
        <w:tc>
          <w:tcPr>
            <w:tcW w:w="0" w:type="auto"/>
            <w:shd w:val="clear" w:color="auto" w:fill="auto"/>
            <w:noWrap/>
            <w:vAlign w:val="center"/>
          </w:tcPr>
          <w:p>
            <w:pPr>
              <w:widowControl/>
              <w:spacing w:line="240" w:lineRule="auto"/>
              <w:ind w:firstLine="0" w:firstLineChars="0"/>
              <w:jc w:val="center"/>
            </w:pPr>
            <w:r>
              <w:rPr>
                <w:rFonts w:hint="eastAsia"/>
                <w:lang w:val="en-US" w:eastAsia="zh-CN"/>
              </w:rPr>
              <w:t>1</w:t>
            </w:r>
            <w:r>
              <w:rPr>
                <w:rFonts w:hint="eastAsia"/>
              </w:rPr>
              <w:t>人</w:t>
            </w:r>
          </w:p>
        </w:tc>
        <w:tc>
          <w:tcPr>
            <w:tcW w:w="0" w:type="auto"/>
            <w:vAlign w:val="center"/>
          </w:tcPr>
          <w:p>
            <w:pPr>
              <w:widowControl/>
              <w:spacing w:line="240" w:lineRule="auto"/>
              <w:ind w:firstLine="0" w:firstLineChars="0"/>
              <w:jc w:val="center"/>
            </w:pPr>
            <w:r>
              <w:rPr>
                <w:rFonts w:hint="eastAsia"/>
              </w:rPr>
              <w:t>信息系统项目管理师证书</w:t>
            </w:r>
          </w:p>
        </w:tc>
        <w:tc>
          <w:tcPr>
            <w:tcW w:w="0" w:type="auto"/>
            <w:shd w:val="clear" w:color="auto" w:fill="auto"/>
            <w:noWrap/>
            <w:vAlign w:val="center"/>
          </w:tcPr>
          <w:p>
            <w:pPr>
              <w:widowControl/>
              <w:spacing w:line="240" w:lineRule="auto"/>
              <w:ind w:firstLine="0" w:firstLineChars="0"/>
              <w:jc w:val="center"/>
            </w:pPr>
            <w:r>
              <w:rPr>
                <w:rFonts w:hint="eastAsia"/>
                <w:lang w:eastAsia="zh-CN"/>
              </w:rPr>
              <w:t>不做要求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widowControl/>
              <w:spacing w:line="240" w:lineRule="auto"/>
              <w:ind w:firstLine="0" w:firstLineChars="0"/>
              <w:jc w:val="center"/>
            </w:pPr>
            <w:r>
              <w:rPr>
                <w:rFonts w:hint="eastAsia"/>
              </w:rPr>
              <w:t>产品经理</w:t>
            </w:r>
          </w:p>
        </w:tc>
        <w:tc>
          <w:tcPr>
            <w:tcW w:w="0" w:type="auto"/>
            <w:shd w:val="clear" w:color="auto" w:fill="auto"/>
            <w:vAlign w:val="center"/>
          </w:tcPr>
          <w:p>
            <w:pPr>
              <w:widowControl/>
              <w:spacing w:line="240" w:lineRule="auto"/>
              <w:ind w:firstLine="0" w:firstLineChars="0"/>
              <w:jc w:val="center"/>
            </w:pPr>
            <w:r>
              <w:rPr>
                <w:rFonts w:hint="eastAsia"/>
              </w:rPr>
              <w:t>负责项目需求评估与产品设计</w:t>
            </w:r>
          </w:p>
        </w:tc>
        <w:tc>
          <w:tcPr>
            <w:tcW w:w="0" w:type="auto"/>
            <w:shd w:val="clear" w:color="auto" w:fill="auto"/>
            <w:noWrap/>
            <w:vAlign w:val="center"/>
          </w:tcPr>
          <w:p>
            <w:pPr>
              <w:widowControl/>
              <w:spacing w:line="240" w:lineRule="auto"/>
              <w:ind w:firstLine="0" w:firstLineChars="0"/>
              <w:jc w:val="center"/>
            </w:pPr>
            <w:r>
              <w:rPr>
                <w:rFonts w:hint="eastAsia"/>
                <w:lang w:val="en-US" w:eastAsia="zh-CN"/>
              </w:rPr>
              <w:t>1</w:t>
            </w:r>
            <w:r>
              <w:rPr>
                <w:rFonts w:hint="eastAsia"/>
              </w:rPr>
              <w:t>人</w:t>
            </w:r>
          </w:p>
        </w:tc>
        <w:tc>
          <w:tcPr>
            <w:tcW w:w="0" w:type="auto"/>
            <w:vAlign w:val="center"/>
          </w:tcPr>
          <w:p>
            <w:pPr>
              <w:widowControl/>
              <w:spacing w:line="240" w:lineRule="auto"/>
              <w:ind w:firstLine="0" w:firstLineChars="0"/>
              <w:jc w:val="center"/>
            </w:pPr>
          </w:p>
        </w:tc>
        <w:tc>
          <w:tcPr>
            <w:tcW w:w="0" w:type="auto"/>
            <w:shd w:val="clear" w:color="auto" w:fill="auto"/>
            <w:noWrap/>
            <w:vAlign w:val="center"/>
          </w:tcPr>
          <w:p>
            <w:pPr>
              <w:widowControl/>
              <w:spacing w:line="240" w:lineRule="auto"/>
              <w:ind w:firstLine="0" w:firstLineChars="0"/>
              <w:jc w:val="center"/>
            </w:pPr>
            <w:r>
              <w:rPr>
                <w:rFonts w:hint="eastAsia"/>
                <w:lang w:eastAsia="zh-CN"/>
              </w:rPr>
              <w:t>不做要求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pPr>
              <w:widowControl/>
              <w:spacing w:line="240" w:lineRule="auto"/>
              <w:ind w:firstLine="0" w:firstLineChars="0"/>
              <w:jc w:val="center"/>
            </w:pPr>
            <w:r>
              <w:rPr>
                <w:rFonts w:hint="eastAsia"/>
              </w:rPr>
              <w:t>技术工程师</w:t>
            </w:r>
          </w:p>
        </w:tc>
        <w:tc>
          <w:tcPr>
            <w:tcW w:w="0" w:type="auto"/>
            <w:shd w:val="clear" w:color="auto" w:fill="auto"/>
            <w:noWrap/>
            <w:vAlign w:val="center"/>
          </w:tcPr>
          <w:p>
            <w:pPr>
              <w:widowControl/>
              <w:spacing w:line="240" w:lineRule="auto"/>
              <w:ind w:firstLine="0" w:firstLineChars="0"/>
              <w:jc w:val="center"/>
            </w:pPr>
            <w:r>
              <w:rPr>
                <w:rFonts w:hint="eastAsia"/>
              </w:rPr>
              <w:t>负责项目运行维护</w:t>
            </w:r>
          </w:p>
        </w:tc>
        <w:tc>
          <w:tcPr>
            <w:tcW w:w="0" w:type="auto"/>
            <w:shd w:val="clear" w:color="auto" w:fill="auto"/>
            <w:noWrap/>
            <w:vAlign w:val="center"/>
          </w:tcPr>
          <w:p>
            <w:pPr>
              <w:widowControl/>
              <w:spacing w:line="240" w:lineRule="auto"/>
              <w:ind w:firstLine="0" w:firstLineChars="0"/>
              <w:jc w:val="center"/>
            </w:pPr>
            <w:r>
              <w:rPr>
                <w:rFonts w:hint="eastAsia"/>
                <w:lang w:val="en-US" w:eastAsia="zh-CN"/>
              </w:rPr>
              <w:t>1</w:t>
            </w:r>
            <w:r>
              <w:rPr>
                <w:rFonts w:hint="eastAsia"/>
              </w:rPr>
              <w:t>人</w:t>
            </w:r>
          </w:p>
        </w:tc>
        <w:tc>
          <w:tcPr>
            <w:tcW w:w="0" w:type="auto"/>
            <w:vAlign w:val="center"/>
          </w:tcPr>
          <w:p>
            <w:pPr>
              <w:widowControl/>
              <w:spacing w:line="240" w:lineRule="auto"/>
              <w:ind w:firstLine="0" w:firstLineChars="0"/>
              <w:jc w:val="center"/>
            </w:pPr>
          </w:p>
        </w:tc>
        <w:tc>
          <w:tcPr>
            <w:tcW w:w="0" w:type="auto"/>
            <w:shd w:val="clear" w:color="auto" w:fill="auto"/>
            <w:noWrap/>
            <w:vAlign w:val="center"/>
          </w:tcPr>
          <w:p>
            <w:pPr>
              <w:widowControl/>
              <w:spacing w:line="240" w:lineRule="auto"/>
              <w:ind w:firstLine="0" w:firstLineChars="0"/>
              <w:jc w:val="center"/>
            </w:pPr>
            <w:r>
              <w:rPr>
                <w:rFonts w:hint="eastAsia"/>
                <w:lang w:eastAsia="zh-CN"/>
              </w:rPr>
              <w:t>不做要求</w:t>
            </w:r>
          </w:p>
        </w:tc>
      </w:tr>
    </w:tbl>
    <w:p>
      <w:pPr>
        <w:pStyle w:val="3"/>
        <w:ind w:firstLine="723" w:firstLineChars="200"/>
      </w:pPr>
      <w:bookmarkStart w:id="25" w:name="_Toc63785511"/>
      <w:r>
        <w:t>等级保护要求</w:t>
      </w:r>
      <w:bookmarkEnd w:id="25"/>
    </w:p>
    <w:p>
      <w:pPr>
        <w:spacing w:line="360" w:lineRule="auto"/>
        <w:ind w:firstLine="420" w:firstLineChars="0"/>
        <w:rPr>
          <w:rFonts w:hint="eastAsia" w:ascii="宋体" w:hAnsi="宋体" w:eastAsiaTheme="minorEastAsia" w:cstheme="minorBidi"/>
          <w:kern w:val="2"/>
          <w:sz w:val="24"/>
          <w:szCs w:val="24"/>
          <w:lang w:val="en-US" w:eastAsia="zh-CN" w:bidi="ar-SA"/>
        </w:rPr>
      </w:pPr>
      <w:r>
        <w:rPr>
          <w:rFonts w:hint="eastAsia" w:ascii="宋体" w:hAnsi="宋体" w:eastAsiaTheme="minorEastAsia" w:cstheme="minorBidi"/>
          <w:kern w:val="2"/>
          <w:sz w:val="24"/>
          <w:szCs w:val="24"/>
          <w:lang w:val="en-US" w:eastAsia="zh-CN" w:bidi="ar-SA"/>
        </w:rPr>
        <w:t>本项目等级保护要求： 三级等保。</w:t>
      </w:r>
    </w:p>
    <w:p>
      <w:pPr>
        <w:pStyle w:val="3"/>
        <w:ind w:firstLine="723" w:firstLineChars="200"/>
      </w:pPr>
      <w:r>
        <w:rPr>
          <w:rFonts w:hint="eastAsia"/>
        </w:rPr>
        <w:t>商业密码应用需求</w:t>
      </w:r>
    </w:p>
    <w:p>
      <w:pPr>
        <w:spacing w:line="360" w:lineRule="auto"/>
        <w:ind w:firstLine="420" w:firstLineChars="0"/>
        <w:rPr>
          <w:rFonts w:hint="eastAsia" w:ascii="宋体" w:hAnsi="宋体" w:eastAsiaTheme="minorEastAsia" w:cstheme="minorBidi"/>
          <w:kern w:val="2"/>
          <w:sz w:val="24"/>
          <w:szCs w:val="24"/>
          <w:lang w:val="en-US" w:eastAsia="zh-CN" w:bidi="ar-SA"/>
        </w:rPr>
      </w:pPr>
      <w:r>
        <w:rPr>
          <w:rFonts w:hint="eastAsia" w:ascii="宋体" w:hAnsi="宋体" w:cstheme="minorBidi"/>
          <w:kern w:val="2"/>
          <w:sz w:val="24"/>
          <w:szCs w:val="24"/>
          <w:lang w:val="en-US" w:eastAsia="zh-CN" w:bidi="ar-SA"/>
        </w:rPr>
        <w:t>本项目完成后需通过第三方密码应用测评</w:t>
      </w:r>
      <w:r>
        <w:rPr>
          <w:rFonts w:hint="eastAsia" w:ascii="宋体" w:hAnsi="宋体" w:eastAsiaTheme="minorEastAsia" w:cstheme="minorBidi"/>
          <w:kern w:val="2"/>
          <w:sz w:val="24"/>
          <w:szCs w:val="24"/>
          <w:lang w:val="en-US" w:eastAsia="zh-CN" w:bidi="ar-SA"/>
        </w:rPr>
        <w:t>。</w:t>
      </w:r>
    </w:p>
    <w:p>
      <w:pPr>
        <w:pStyle w:val="91"/>
        <w:ind w:firstLine="420"/>
      </w:pPr>
    </w:p>
    <w:p>
      <w:pPr>
        <w:pStyle w:val="2"/>
      </w:pPr>
      <w:bookmarkStart w:id="26" w:name="_Toc68798863"/>
      <w:r>
        <w:rPr>
          <w:rFonts w:hint="eastAsia"/>
        </w:rPr>
        <w:t>附录</w:t>
      </w:r>
      <w:bookmarkEnd w:id="26"/>
    </w:p>
    <w:p>
      <w:pPr>
        <w:ind w:firstLine="0" w:firstLineChars="0"/>
      </w:pPr>
      <w:r>
        <w:rPr>
          <w:rFonts w:hint="eastAsia"/>
        </w:rPr>
        <w:t>1、</w:t>
      </w:r>
      <w:r>
        <w:t>《政务网络安全监测平台总体技术要求》</w:t>
      </w:r>
    </w:p>
    <w:p>
      <w:pPr>
        <w:ind w:firstLine="0" w:firstLineChars="0"/>
      </w:pPr>
      <w:r>
        <w:object>
          <v:shape id="_x0000_i1025" o:spt="75" type="#_x0000_t75" style="height:54.7pt;width:76.6pt;" o:ole="t" filled="f" o:preferrelative="t" stroked="f" coordsize="21600,21600">
            <v:path/>
            <v:fill on="f" focussize="0,0"/>
            <v:stroke on="f" joinstyle="miter"/>
            <v:imagedata r:id="rId6" o:title=""/>
            <o:lock v:ext="edit" aspectratio="t"/>
            <w10:wrap type="none"/>
            <w10:anchorlock/>
          </v:shape>
          <o:OLEObject Type="Embed" ProgID="Package" ShapeID="_x0000_i1025" DrawAspect="Icon" ObjectID="_1468075725" r:id="rId5">
            <o:LockedField>false</o:LockedField>
          </o:OLEObject>
        </w:object>
      </w:r>
    </w:p>
    <w:p>
      <w:pPr>
        <w:ind w:firstLine="0" w:firstLineChars="0"/>
      </w:pPr>
    </w:p>
    <w:p>
      <w:pPr>
        <w:ind w:firstLine="0" w:firstLineChars="0"/>
        <w:jc w:val="left"/>
      </w:pPr>
      <w:r>
        <w:rPr>
          <w:rFonts w:hint="eastAsia"/>
        </w:rPr>
        <w:t>2、《上海市电子政务外网建设和运行管理指南（试行）》</w:t>
      </w:r>
    </w:p>
    <w:p>
      <w:pPr>
        <w:ind w:firstLine="0" w:firstLineChars="0"/>
        <w:jc w:val="left"/>
      </w:pPr>
      <w:r>
        <w:object>
          <v:shape id="_x0000_i1026" o:spt="75" type="#_x0000_t75" style="height:54.7pt;width:76.6pt;" o:ole="t" filled="f" o:preferrelative="t" stroked="f" coordsize="21600,21600">
            <v:path/>
            <v:fill on="f" focussize="0,0"/>
            <v:stroke on="f" joinstyle="miter"/>
            <v:imagedata r:id="rId8" o:title=""/>
            <o:lock v:ext="edit" aspectratio="t"/>
            <w10:wrap type="none"/>
            <w10:anchorlock/>
          </v:shape>
          <o:OLEObject Type="Embed" ProgID="Package" ShapeID="_x0000_i1026" DrawAspect="Icon" ObjectID="_1468075726" r:id="rId7">
            <o:LockedField>false</o:LockedField>
          </o:OLEObject>
        </w:object>
      </w:r>
    </w:p>
    <w:p>
      <w:pPr>
        <w:ind w:firstLine="0" w:firstLineChars="0"/>
        <w:jc w:val="left"/>
        <w:rPr>
          <w:b/>
          <w:bCs/>
        </w:rPr>
      </w:pPr>
      <w:r>
        <w:rPr>
          <w:rFonts w:hint="eastAsia"/>
        </w:rPr>
        <w:t>3、其他标准</w:t>
      </w:r>
    </w:p>
    <w:p>
      <w:pPr>
        <w:widowControl/>
        <w:jc w:val="left"/>
      </w:pPr>
    </w:p>
    <w:sectPr>
      <w:footerReference r:id="rId3" w:type="default"/>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仿宋_GBK">
    <w:panose1 w:val="02000000000000000000"/>
    <w:charset w:val="86"/>
    <w:family w:val="auto"/>
    <w:pitch w:val="default"/>
    <w:sig w:usb0="00000001" w:usb1="08000000" w:usb2="00000000" w:usb3="00000000" w:csb0="00040000" w:csb1="00000000"/>
  </w:font>
  <w:font w:name="Calibri Light">
    <w:altName w:val="DejaVu Sans"/>
    <w:panose1 w:val="020F0302020204030204"/>
    <w:charset w:val="00"/>
    <w:family w:val="swiss"/>
    <w:pitch w:val="default"/>
    <w:sig w:usb0="00000000" w:usb1="00000000" w:usb2="00000009" w:usb3="00000000" w:csb0="000001FF" w:csb1="00000000"/>
  </w:font>
  <w:font w:name="MiSans">
    <w:altName w:val="华文中宋"/>
    <w:panose1 w:val="00000000000000000000"/>
    <w:charset w:val="86"/>
    <w:family w:val="auto"/>
    <w:pitch w:val="default"/>
    <w:sig w:usb0="00000000" w:usb1="00000000"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微软雅黑">
    <w:altName w:val="方正黑体_GBK"/>
    <w:panose1 w:val="020B0503020204020204"/>
    <w:charset w:val="86"/>
    <w:family w:val="swiss"/>
    <w:pitch w:val="default"/>
    <w:sig w:usb0="00000000" w:usb1="00000000" w:usb2="00000016" w:usb3="00000000" w:csb0="0004001F" w:csb1="00000000"/>
  </w:font>
  <w:font w:name="Liberation Serif">
    <w:panose1 w:val="02020603050405020304"/>
    <w:charset w:val="00"/>
    <w:family w:val="auto"/>
    <w:pitch w:val="default"/>
    <w:sig w:usb0="A00002AF" w:usb1="500078FB" w:usb2="00000000" w:usb3="00000000" w:csb0="6000009F" w:csb1="DFD70000"/>
  </w:font>
  <w:font w:name="Arial">
    <w:altName w:val="DejaVu San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1907091"/>
    </w:sdtPr>
    <w:sdtContent>
      <w:p>
        <w:pPr>
          <w:pStyle w:val="21"/>
          <w:jc w:val="center"/>
        </w:pPr>
        <w:r>
          <w:fldChar w:fldCharType="begin"/>
        </w:r>
        <w:r>
          <w:instrText xml:space="preserve">PAGE   \* MERGEFORMAT</w:instrText>
        </w:r>
        <w:r>
          <w:fldChar w:fldCharType="separate"/>
        </w:r>
        <w:r>
          <w:rPr>
            <w:lang w:val="zh-CN"/>
          </w:rPr>
          <w:t>2</w:t>
        </w:r>
        <w:r>
          <w:fldChar w:fldCharType="end"/>
        </w:r>
      </w:p>
    </w:sdtContent>
  </w:sdt>
  <w:p>
    <w:pPr>
      <w:spacing w:line="183" w:lineRule="auto"/>
      <w:rPr>
        <w:sz w:val="16"/>
        <w:szCs w:val="16"/>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BCC7CA"/>
    <w:multiLevelType w:val="singleLevel"/>
    <w:tmpl w:val="8ABCC7CA"/>
    <w:lvl w:ilvl="0" w:tentative="0">
      <w:start w:val="1"/>
      <w:numFmt w:val="decimal"/>
      <w:lvlText w:val="%1)"/>
      <w:lvlJc w:val="left"/>
      <w:pPr>
        <w:ind w:left="425" w:hanging="425"/>
      </w:pPr>
      <w:rPr>
        <w:rFonts w:hint="default"/>
      </w:rPr>
    </w:lvl>
  </w:abstractNum>
  <w:abstractNum w:abstractNumId="1">
    <w:nsid w:val="968A3480"/>
    <w:multiLevelType w:val="multilevel"/>
    <w:tmpl w:val="968A3480"/>
    <w:lvl w:ilvl="0" w:tentative="0">
      <w:start w:val="1"/>
      <w:numFmt w:val="decimal"/>
      <w:pStyle w:val="65"/>
      <w:suff w:val="nothing"/>
      <w:lvlText w:val="表%1："/>
      <w:lvlJc w:val="center"/>
      <w:pPr>
        <w:ind w:left="3964" w:hanging="420"/>
      </w:pPr>
      <w:rPr>
        <w:rFonts w:hint="default" w:cs="Times New Roman"/>
        <w:b w:val="0"/>
        <w:bCs w:val="0"/>
        <w:i w:val="0"/>
        <w:iCs w:val="0"/>
        <w:caps w:val="0"/>
        <w:smallCaps w:val="0"/>
        <w:strike w:val="0"/>
        <w:dstrike w:val="0"/>
        <w:outline w:val="0"/>
        <w:shadow w:val="0"/>
        <w:emboss w:val="0"/>
        <w:imprint w:val="0"/>
        <w:vanish w:val="0"/>
        <w:spacing w:val="0"/>
        <w:position w:val="0"/>
        <w:u w:val="none"/>
        <w:vertAlign w:val="baseline"/>
      </w:rPr>
    </w:lvl>
    <w:lvl w:ilvl="1" w:tentative="0">
      <w:start w:val="1"/>
      <w:numFmt w:val="lowerLetter"/>
      <w:lvlText w:val="%2)"/>
      <w:lvlJc w:val="left"/>
      <w:pPr>
        <w:ind w:left="-1003" w:hanging="420"/>
      </w:pPr>
      <w:rPr>
        <w:rFonts w:hint="eastAsia"/>
      </w:rPr>
    </w:lvl>
    <w:lvl w:ilvl="2" w:tentative="0">
      <w:start w:val="1"/>
      <w:numFmt w:val="lowerRoman"/>
      <w:lvlText w:val="%3."/>
      <w:lvlJc w:val="right"/>
      <w:pPr>
        <w:ind w:left="-583" w:hanging="420"/>
      </w:pPr>
      <w:rPr>
        <w:rFonts w:hint="eastAsia"/>
      </w:rPr>
    </w:lvl>
    <w:lvl w:ilvl="3" w:tentative="0">
      <w:start w:val="1"/>
      <w:numFmt w:val="decimal"/>
      <w:lvlText w:val="%4."/>
      <w:lvlJc w:val="left"/>
      <w:pPr>
        <w:ind w:left="-163" w:hanging="420"/>
      </w:pPr>
      <w:rPr>
        <w:rFonts w:hint="eastAsia"/>
      </w:rPr>
    </w:lvl>
    <w:lvl w:ilvl="4" w:tentative="0">
      <w:start w:val="1"/>
      <w:numFmt w:val="lowerLetter"/>
      <w:lvlText w:val="%5)"/>
      <w:lvlJc w:val="left"/>
      <w:pPr>
        <w:ind w:left="257" w:hanging="420"/>
      </w:pPr>
      <w:rPr>
        <w:rFonts w:hint="eastAsia"/>
      </w:rPr>
    </w:lvl>
    <w:lvl w:ilvl="5" w:tentative="0">
      <w:start w:val="1"/>
      <w:numFmt w:val="lowerRoman"/>
      <w:lvlText w:val="%6."/>
      <w:lvlJc w:val="right"/>
      <w:pPr>
        <w:ind w:left="677" w:hanging="420"/>
      </w:pPr>
      <w:rPr>
        <w:rFonts w:hint="eastAsia"/>
      </w:rPr>
    </w:lvl>
    <w:lvl w:ilvl="6" w:tentative="0">
      <w:start w:val="1"/>
      <w:numFmt w:val="decimal"/>
      <w:lvlText w:val="%7."/>
      <w:lvlJc w:val="left"/>
      <w:pPr>
        <w:ind w:left="1097" w:hanging="420"/>
      </w:pPr>
      <w:rPr>
        <w:rFonts w:hint="eastAsia"/>
      </w:rPr>
    </w:lvl>
    <w:lvl w:ilvl="7" w:tentative="0">
      <w:start w:val="1"/>
      <w:numFmt w:val="lowerLetter"/>
      <w:lvlText w:val="%8)"/>
      <w:lvlJc w:val="left"/>
      <w:pPr>
        <w:ind w:left="1517" w:hanging="420"/>
      </w:pPr>
      <w:rPr>
        <w:rFonts w:hint="eastAsia"/>
      </w:rPr>
    </w:lvl>
    <w:lvl w:ilvl="8" w:tentative="0">
      <w:start w:val="1"/>
      <w:numFmt w:val="lowerRoman"/>
      <w:lvlText w:val="%9."/>
      <w:lvlJc w:val="right"/>
      <w:pPr>
        <w:ind w:left="1937" w:hanging="420"/>
      </w:pPr>
      <w:rPr>
        <w:rFonts w:hint="eastAsia"/>
      </w:rPr>
    </w:lvl>
  </w:abstractNum>
  <w:abstractNum w:abstractNumId="2">
    <w:nsid w:val="FFFFFF7F"/>
    <w:multiLevelType w:val="singleLevel"/>
    <w:tmpl w:val="FFFFFF7F"/>
    <w:lvl w:ilvl="0" w:tentative="0">
      <w:start w:val="1"/>
      <w:numFmt w:val="decimal"/>
      <w:pStyle w:val="13"/>
      <w:lvlText w:val="%1."/>
      <w:lvlJc w:val="left"/>
      <w:pPr>
        <w:tabs>
          <w:tab w:val="left" w:pos="780"/>
        </w:tabs>
        <w:ind w:left="780" w:leftChars="200" w:hanging="360" w:hangingChars="200"/>
      </w:pPr>
    </w:lvl>
  </w:abstractNum>
  <w:abstractNum w:abstractNumId="3">
    <w:nsid w:val="1C5818EB"/>
    <w:multiLevelType w:val="multilevel"/>
    <w:tmpl w:val="1C5818EB"/>
    <w:lvl w:ilvl="0" w:tentative="0">
      <w:start w:val="1"/>
      <w:numFmt w:val="bullet"/>
      <w:pStyle w:val="54"/>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4">
    <w:nsid w:val="3C31CEA3"/>
    <w:multiLevelType w:val="multilevel"/>
    <w:tmpl w:val="3C31CEA3"/>
    <w:lvl w:ilvl="0" w:tentative="0">
      <w:start w:val="1"/>
      <w:numFmt w:val="decimal"/>
      <w:pStyle w:val="14"/>
      <w:lvlText w:val="%1."/>
      <w:lvlJc w:val="left"/>
      <w:pPr>
        <w:tabs>
          <w:tab w:val="left" w:pos="360"/>
        </w:tabs>
        <w:ind w:left="36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5">
    <w:nsid w:val="61CB74B7"/>
    <w:multiLevelType w:val="multilevel"/>
    <w:tmpl w:val="61CB74B7"/>
    <w:lvl w:ilvl="0" w:tentative="0">
      <w:start w:val="1"/>
      <w:numFmt w:val="chineseCountingThousand"/>
      <w:lvlText w:val="(%1)"/>
      <w:lvlJc w:val="left"/>
      <w:pPr>
        <w:ind w:left="1000" w:hanging="440"/>
      </w:pPr>
    </w:lvl>
    <w:lvl w:ilvl="1" w:tentative="0">
      <w:start w:val="1"/>
      <w:numFmt w:val="lowerLetter"/>
      <w:lvlText w:val="%2)"/>
      <w:lvlJc w:val="left"/>
      <w:pPr>
        <w:ind w:left="1440" w:hanging="440"/>
      </w:pPr>
    </w:lvl>
    <w:lvl w:ilvl="2" w:tentative="0">
      <w:start w:val="1"/>
      <w:numFmt w:val="lowerRoman"/>
      <w:lvlText w:val="%3."/>
      <w:lvlJc w:val="right"/>
      <w:pPr>
        <w:ind w:left="1880" w:hanging="440"/>
      </w:pPr>
    </w:lvl>
    <w:lvl w:ilvl="3" w:tentative="0">
      <w:start w:val="1"/>
      <w:numFmt w:val="decimal"/>
      <w:lvlText w:val="%4."/>
      <w:lvlJc w:val="left"/>
      <w:pPr>
        <w:ind w:left="2320" w:hanging="440"/>
      </w:pPr>
    </w:lvl>
    <w:lvl w:ilvl="4" w:tentative="0">
      <w:start w:val="1"/>
      <w:numFmt w:val="lowerLetter"/>
      <w:lvlText w:val="%5)"/>
      <w:lvlJc w:val="left"/>
      <w:pPr>
        <w:ind w:left="2760" w:hanging="440"/>
      </w:pPr>
    </w:lvl>
    <w:lvl w:ilvl="5" w:tentative="0">
      <w:start w:val="1"/>
      <w:numFmt w:val="lowerRoman"/>
      <w:lvlText w:val="%6."/>
      <w:lvlJc w:val="right"/>
      <w:pPr>
        <w:ind w:left="3200" w:hanging="440"/>
      </w:pPr>
    </w:lvl>
    <w:lvl w:ilvl="6" w:tentative="0">
      <w:start w:val="1"/>
      <w:numFmt w:val="decimal"/>
      <w:lvlText w:val="%7."/>
      <w:lvlJc w:val="left"/>
      <w:pPr>
        <w:ind w:left="3640" w:hanging="440"/>
      </w:pPr>
    </w:lvl>
    <w:lvl w:ilvl="7" w:tentative="0">
      <w:start w:val="1"/>
      <w:numFmt w:val="lowerLetter"/>
      <w:lvlText w:val="%8)"/>
      <w:lvlJc w:val="left"/>
      <w:pPr>
        <w:ind w:left="4080" w:hanging="440"/>
      </w:pPr>
    </w:lvl>
    <w:lvl w:ilvl="8" w:tentative="0">
      <w:start w:val="1"/>
      <w:numFmt w:val="lowerRoman"/>
      <w:lvlText w:val="%9."/>
      <w:lvlJc w:val="right"/>
      <w:pPr>
        <w:ind w:left="4520" w:hanging="440"/>
      </w:pPr>
    </w:lvl>
  </w:abstractNum>
  <w:abstractNum w:abstractNumId="6">
    <w:nsid w:val="6A25564D"/>
    <w:multiLevelType w:val="multilevel"/>
    <w:tmpl w:val="6A25564D"/>
    <w:lvl w:ilvl="0" w:tentative="0">
      <w:start w:val="1"/>
      <w:numFmt w:val="taiwaneseCountingThousand"/>
      <w:pStyle w:val="2"/>
      <w:suff w:val="space"/>
      <w:lvlText w:val="%1、"/>
      <w:lvlJc w:val="left"/>
      <w:pPr>
        <w:ind w:left="0" w:firstLine="0"/>
      </w:pPr>
      <w:rPr>
        <w:rFonts w:hint="eastAsia"/>
      </w:rPr>
    </w:lvl>
    <w:lvl w:ilvl="1" w:tentative="0">
      <w:start w:val="1"/>
      <w:numFmt w:val="none"/>
      <w:isLgl/>
      <w:suff w:val="space"/>
      <w:lvlText w:val="（一）"/>
      <w:lvlJc w:val="left"/>
      <w:pPr>
        <w:ind w:left="0" w:firstLine="0"/>
      </w:pPr>
      <w:rPr>
        <w:rFonts w:hint="eastAsia"/>
      </w:rPr>
    </w:lvl>
    <w:lvl w:ilvl="2" w:tentative="0">
      <w:start w:val="1"/>
      <w:numFmt w:val="decimal"/>
      <w:isLgl/>
      <w:suff w:val="space"/>
      <w:lvlText w:val="%3%1"/>
      <w:lvlJc w:val="left"/>
      <w:pPr>
        <w:ind w:left="0" w:firstLine="0"/>
      </w:pPr>
      <w:rPr>
        <w:rFonts w:hint="eastAsia"/>
      </w:rPr>
    </w:lvl>
    <w:lvl w:ilvl="3" w:tentative="0">
      <w:start w:val="1"/>
      <w:numFmt w:val="none"/>
      <w:isLgl/>
      <w:suff w:val="space"/>
      <w:lvlText w:val="（1）"/>
      <w:lvlJc w:val="left"/>
      <w:pPr>
        <w:ind w:left="0" w:firstLine="0"/>
      </w:pPr>
      <w:rPr>
        <w:rFonts w:hint="eastAsia"/>
      </w:rPr>
    </w:lvl>
    <w:lvl w:ilvl="4" w:tentative="0">
      <w:start w:val="1"/>
      <w:numFmt w:val="decimal"/>
      <w:pStyle w:val="7"/>
      <w:isLgl/>
      <w:suff w:val="space"/>
      <w:lvlText w:val="%1.%2.%3.%4.%5"/>
      <w:lvlJc w:val="left"/>
      <w:pPr>
        <w:ind w:left="0" w:firstLine="0"/>
      </w:pPr>
      <w:rPr>
        <w:rFonts w:hint="eastAsia"/>
      </w:rPr>
    </w:lvl>
    <w:lvl w:ilvl="5" w:tentative="0">
      <w:start w:val="1"/>
      <w:numFmt w:val="none"/>
      <w:pStyle w:val="8"/>
      <w:isLgl/>
      <w:suff w:val="nothing"/>
      <w:lvlText w:val=""/>
      <w:lvlJc w:val="left"/>
      <w:pPr>
        <w:ind w:left="0" w:firstLine="0"/>
      </w:pPr>
      <w:rPr>
        <w:rFonts w:hint="eastAsia"/>
      </w:rPr>
    </w:lvl>
    <w:lvl w:ilvl="6" w:tentative="0">
      <w:start w:val="1"/>
      <w:numFmt w:val="none"/>
      <w:pStyle w:val="9"/>
      <w:suff w:val="nothing"/>
      <w:lvlText w:val=""/>
      <w:lvlJc w:val="left"/>
      <w:pPr>
        <w:ind w:left="0" w:firstLine="0"/>
      </w:pPr>
      <w:rPr>
        <w:rFonts w:hint="eastAsia"/>
      </w:rPr>
    </w:lvl>
    <w:lvl w:ilvl="7" w:tentative="0">
      <w:start w:val="1"/>
      <w:numFmt w:val="none"/>
      <w:pStyle w:val="10"/>
      <w:suff w:val="nothing"/>
      <w:lvlText w:val=""/>
      <w:lvlJc w:val="left"/>
      <w:pPr>
        <w:ind w:left="0" w:firstLine="0"/>
      </w:pPr>
      <w:rPr>
        <w:rFonts w:hint="eastAsia"/>
      </w:rPr>
    </w:lvl>
    <w:lvl w:ilvl="8" w:tentative="0">
      <w:start w:val="1"/>
      <w:numFmt w:val="none"/>
      <w:pStyle w:val="11"/>
      <w:suff w:val="nothing"/>
      <w:lvlText w:val=""/>
      <w:lvlJc w:val="left"/>
      <w:pPr>
        <w:ind w:left="0" w:firstLine="0"/>
      </w:pPr>
      <w:rPr>
        <w:rFonts w:hint="eastAsia"/>
      </w:rPr>
    </w:lvl>
  </w:abstractNum>
  <w:num w:numId="1">
    <w:abstractNumId w:val="6"/>
  </w:num>
  <w:num w:numId="2">
    <w:abstractNumId w:val="2"/>
  </w:num>
  <w:num w:numId="3">
    <w:abstractNumId w:val="4"/>
  </w:num>
  <w:num w:numId="4">
    <w:abstractNumId w:val="3"/>
  </w:num>
  <w:num w:numId="5">
    <w:abstractNumId w:val="1"/>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BE1"/>
    <w:rsid w:val="0001574D"/>
    <w:rsid w:val="000216C0"/>
    <w:rsid w:val="0002401A"/>
    <w:rsid w:val="00027040"/>
    <w:rsid w:val="000337AF"/>
    <w:rsid w:val="00041130"/>
    <w:rsid w:val="00047E49"/>
    <w:rsid w:val="000509FF"/>
    <w:rsid w:val="00053D9E"/>
    <w:rsid w:val="0005409D"/>
    <w:rsid w:val="00066FE9"/>
    <w:rsid w:val="0006744C"/>
    <w:rsid w:val="00077D9F"/>
    <w:rsid w:val="000809CD"/>
    <w:rsid w:val="00080F6F"/>
    <w:rsid w:val="0008213B"/>
    <w:rsid w:val="00085237"/>
    <w:rsid w:val="00091C11"/>
    <w:rsid w:val="00097976"/>
    <w:rsid w:val="000A2E45"/>
    <w:rsid w:val="000A3DC9"/>
    <w:rsid w:val="000A3F6E"/>
    <w:rsid w:val="000A5FCF"/>
    <w:rsid w:val="000B1C96"/>
    <w:rsid w:val="000C3B2D"/>
    <w:rsid w:val="000C51C6"/>
    <w:rsid w:val="000D0B8C"/>
    <w:rsid w:val="000D1A66"/>
    <w:rsid w:val="000D2687"/>
    <w:rsid w:val="000D2D4F"/>
    <w:rsid w:val="000D695D"/>
    <w:rsid w:val="000E25E1"/>
    <w:rsid w:val="000E344E"/>
    <w:rsid w:val="000F1F8B"/>
    <w:rsid w:val="000F32BB"/>
    <w:rsid w:val="000F359C"/>
    <w:rsid w:val="000F503A"/>
    <w:rsid w:val="000F57FE"/>
    <w:rsid w:val="000F584B"/>
    <w:rsid w:val="00104CDA"/>
    <w:rsid w:val="0011038B"/>
    <w:rsid w:val="00124BE1"/>
    <w:rsid w:val="00130F3A"/>
    <w:rsid w:val="00141C77"/>
    <w:rsid w:val="00142571"/>
    <w:rsid w:val="00143768"/>
    <w:rsid w:val="00151335"/>
    <w:rsid w:val="00155CB8"/>
    <w:rsid w:val="00181305"/>
    <w:rsid w:val="00182F1A"/>
    <w:rsid w:val="00184072"/>
    <w:rsid w:val="001A7A83"/>
    <w:rsid w:val="001B1C44"/>
    <w:rsid w:val="001B3626"/>
    <w:rsid w:val="001B44B1"/>
    <w:rsid w:val="001B55D0"/>
    <w:rsid w:val="001C11F4"/>
    <w:rsid w:val="001C6105"/>
    <w:rsid w:val="001C7121"/>
    <w:rsid w:val="001D0EB5"/>
    <w:rsid w:val="001D4D67"/>
    <w:rsid w:val="001F18CF"/>
    <w:rsid w:val="001F615C"/>
    <w:rsid w:val="00202E84"/>
    <w:rsid w:val="002030C6"/>
    <w:rsid w:val="00207D4B"/>
    <w:rsid w:val="002117E1"/>
    <w:rsid w:val="002120D5"/>
    <w:rsid w:val="0021317F"/>
    <w:rsid w:val="002242C5"/>
    <w:rsid w:val="002268A5"/>
    <w:rsid w:val="00227FD6"/>
    <w:rsid w:val="00230FF7"/>
    <w:rsid w:val="00241160"/>
    <w:rsid w:val="00242686"/>
    <w:rsid w:val="0025101E"/>
    <w:rsid w:val="002545B2"/>
    <w:rsid w:val="002671A8"/>
    <w:rsid w:val="00273652"/>
    <w:rsid w:val="00284680"/>
    <w:rsid w:val="002861FB"/>
    <w:rsid w:val="002A456C"/>
    <w:rsid w:val="002B0FC2"/>
    <w:rsid w:val="002B278F"/>
    <w:rsid w:val="002B474E"/>
    <w:rsid w:val="002C40ED"/>
    <w:rsid w:val="002C7654"/>
    <w:rsid w:val="002E3EF1"/>
    <w:rsid w:val="002E46F4"/>
    <w:rsid w:val="002F7A21"/>
    <w:rsid w:val="00304FC2"/>
    <w:rsid w:val="00306566"/>
    <w:rsid w:val="003218B7"/>
    <w:rsid w:val="00326DB6"/>
    <w:rsid w:val="003328B2"/>
    <w:rsid w:val="00355055"/>
    <w:rsid w:val="00355205"/>
    <w:rsid w:val="00367E66"/>
    <w:rsid w:val="003709FF"/>
    <w:rsid w:val="003851E1"/>
    <w:rsid w:val="00396B70"/>
    <w:rsid w:val="003A3B4B"/>
    <w:rsid w:val="003A65A0"/>
    <w:rsid w:val="003B028E"/>
    <w:rsid w:val="003C0B0E"/>
    <w:rsid w:val="003C6B7C"/>
    <w:rsid w:val="003F3E2F"/>
    <w:rsid w:val="003F3FA6"/>
    <w:rsid w:val="00401526"/>
    <w:rsid w:val="004035D6"/>
    <w:rsid w:val="004101D6"/>
    <w:rsid w:val="0042118E"/>
    <w:rsid w:val="00436BB8"/>
    <w:rsid w:val="0044035E"/>
    <w:rsid w:val="00445A3C"/>
    <w:rsid w:val="00450A0B"/>
    <w:rsid w:val="00453641"/>
    <w:rsid w:val="00454B9C"/>
    <w:rsid w:val="00482A07"/>
    <w:rsid w:val="004A4062"/>
    <w:rsid w:val="004A4D05"/>
    <w:rsid w:val="004A6711"/>
    <w:rsid w:val="004B1F81"/>
    <w:rsid w:val="004B5107"/>
    <w:rsid w:val="004B551F"/>
    <w:rsid w:val="004C373A"/>
    <w:rsid w:val="004C7664"/>
    <w:rsid w:val="004E68F4"/>
    <w:rsid w:val="004F59C2"/>
    <w:rsid w:val="004F5C14"/>
    <w:rsid w:val="004F7D7E"/>
    <w:rsid w:val="00502E65"/>
    <w:rsid w:val="00520A39"/>
    <w:rsid w:val="00520AEB"/>
    <w:rsid w:val="005256D7"/>
    <w:rsid w:val="005259B1"/>
    <w:rsid w:val="005270FF"/>
    <w:rsid w:val="00545EC0"/>
    <w:rsid w:val="005603F4"/>
    <w:rsid w:val="00565ACD"/>
    <w:rsid w:val="0057086B"/>
    <w:rsid w:val="00574F07"/>
    <w:rsid w:val="005809AF"/>
    <w:rsid w:val="00581290"/>
    <w:rsid w:val="005829F0"/>
    <w:rsid w:val="005910C7"/>
    <w:rsid w:val="00594A50"/>
    <w:rsid w:val="005A09B0"/>
    <w:rsid w:val="005A28F8"/>
    <w:rsid w:val="005B3B64"/>
    <w:rsid w:val="005B46A2"/>
    <w:rsid w:val="005B4798"/>
    <w:rsid w:val="005B4D3D"/>
    <w:rsid w:val="005B6026"/>
    <w:rsid w:val="005B6409"/>
    <w:rsid w:val="005C5FC8"/>
    <w:rsid w:val="005D1936"/>
    <w:rsid w:val="005E4402"/>
    <w:rsid w:val="005E5B21"/>
    <w:rsid w:val="005F6B10"/>
    <w:rsid w:val="006020DF"/>
    <w:rsid w:val="00603702"/>
    <w:rsid w:val="00604279"/>
    <w:rsid w:val="006233E6"/>
    <w:rsid w:val="00623A0C"/>
    <w:rsid w:val="006336F2"/>
    <w:rsid w:val="006356FF"/>
    <w:rsid w:val="00635DFC"/>
    <w:rsid w:val="006427BB"/>
    <w:rsid w:val="00644C93"/>
    <w:rsid w:val="00644E58"/>
    <w:rsid w:val="00651D7C"/>
    <w:rsid w:val="00655652"/>
    <w:rsid w:val="00666844"/>
    <w:rsid w:val="00667FCA"/>
    <w:rsid w:val="00671DA2"/>
    <w:rsid w:val="00676FDE"/>
    <w:rsid w:val="0068485D"/>
    <w:rsid w:val="0069358F"/>
    <w:rsid w:val="0069589A"/>
    <w:rsid w:val="0069768C"/>
    <w:rsid w:val="00697D7A"/>
    <w:rsid w:val="006C75AA"/>
    <w:rsid w:val="006D77DF"/>
    <w:rsid w:val="006E454A"/>
    <w:rsid w:val="00701280"/>
    <w:rsid w:val="00706E54"/>
    <w:rsid w:val="007175A9"/>
    <w:rsid w:val="00725932"/>
    <w:rsid w:val="00727589"/>
    <w:rsid w:val="007503E8"/>
    <w:rsid w:val="00756820"/>
    <w:rsid w:val="0076291E"/>
    <w:rsid w:val="0076636B"/>
    <w:rsid w:val="0076755B"/>
    <w:rsid w:val="007702EB"/>
    <w:rsid w:val="00780FAF"/>
    <w:rsid w:val="00783505"/>
    <w:rsid w:val="00787495"/>
    <w:rsid w:val="00790770"/>
    <w:rsid w:val="007966DA"/>
    <w:rsid w:val="00797D07"/>
    <w:rsid w:val="007A697F"/>
    <w:rsid w:val="007B559C"/>
    <w:rsid w:val="007C01C4"/>
    <w:rsid w:val="007C0B46"/>
    <w:rsid w:val="007C53C0"/>
    <w:rsid w:val="007D27D0"/>
    <w:rsid w:val="007D7D11"/>
    <w:rsid w:val="007E658B"/>
    <w:rsid w:val="007F5A94"/>
    <w:rsid w:val="0080124F"/>
    <w:rsid w:val="008015B3"/>
    <w:rsid w:val="0080250A"/>
    <w:rsid w:val="00804470"/>
    <w:rsid w:val="00807028"/>
    <w:rsid w:val="00807D7F"/>
    <w:rsid w:val="00820918"/>
    <w:rsid w:val="00822150"/>
    <w:rsid w:val="008339B5"/>
    <w:rsid w:val="0083425F"/>
    <w:rsid w:val="00835589"/>
    <w:rsid w:val="00835889"/>
    <w:rsid w:val="00844399"/>
    <w:rsid w:val="00844978"/>
    <w:rsid w:val="00851451"/>
    <w:rsid w:val="008531A5"/>
    <w:rsid w:val="0085789E"/>
    <w:rsid w:val="00867059"/>
    <w:rsid w:val="00877F5D"/>
    <w:rsid w:val="00883F3F"/>
    <w:rsid w:val="00886460"/>
    <w:rsid w:val="00886F4B"/>
    <w:rsid w:val="008B0B69"/>
    <w:rsid w:val="008B107B"/>
    <w:rsid w:val="008B3EAC"/>
    <w:rsid w:val="008B6F3B"/>
    <w:rsid w:val="008C0031"/>
    <w:rsid w:val="008C081E"/>
    <w:rsid w:val="008C3E50"/>
    <w:rsid w:val="008D1601"/>
    <w:rsid w:val="008D4DA3"/>
    <w:rsid w:val="00915F3B"/>
    <w:rsid w:val="00922B78"/>
    <w:rsid w:val="00933839"/>
    <w:rsid w:val="00940BFC"/>
    <w:rsid w:val="00940D21"/>
    <w:rsid w:val="0094450A"/>
    <w:rsid w:val="0094687B"/>
    <w:rsid w:val="009578EB"/>
    <w:rsid w:val="00964F98"/>
    <w:rsid w:val="00966DF8"/>
    <w:rsid w:val="00967A6E"/>
    <w:rsid w:val="00976D7A"/>
    <w:rsid w:val="009774A5"/>
    <w:rsid w:val="00977BBD"/>
    <w:rsid w:val="00983BD6"/>
    <w:rsid w:val="00985C89"/>
    <w:rsid w:val="00986EF0"/>
    <w:rsid w:val="00987595"/>
    <w:rsid w:val="009B6EBB"/>
    <w:rsid w:val="009C2212"/>
    <w:rsid w:val="009C38AD"/>
    <w:rsid w:val="009C3B61"/>
    <w:rsid w:val="009C49C3"/>
    <w:rsid w:val="009D3733"/>
    <w:rsid w:val="009E1899"/>
    <w:rsid w:val="009F0789"/>
    <w:rsid w:val="009F209D"/>
    <w:rsid w:val="00A06D2D"/>
    <w:rsid w:val="00A10C54"/>
    <w:rsid w:val="00A15537"/>
    <w:rsid w:val="00A43B37"/>
    <w:rsid w:val="00A52DF3"/>
    <w:rsid w:val="00A52F67"/>
    <w:rsid w:val="00A624E1"/>
    <w:rsid w:val="00A6506A"/>
    <w:rsid w:val="00A65C3C"/>
    <w:rsid w:val="00A66AE6"/>
    <w:rsid w:val="00A70C73"/>
    <w:rsid w:val="00A74AEE"/>
    <w:rsid w:val="00A936B3"/>
    <w:rsid w:val="00A94BC9"/>
    <w:rsid w:val="00A96BFC"/>
    <w:rsid w:val="00AC4003"/>
    <w:rsid w:val="00AC6985"/>
    <w:rsid w:val="00AD3D91"/>
    <w:rsid w:val="00AE67C7"/>
    <w:rsid w:val="00AE7EB1"/>
    <w:rsid w:val="00AF1009"/>
    <w:rsid w:val="00AF7FA2"/>
    <w:rsid w:val="00B02BE5"/>
    <w:rsid w:val="00B07272"/>
    <w:rsid w:val="00B22CA0"/>
    <w:rsid w:val="00B2347D"/>
    <w:rsid w:val="00B3318A"/>
    <w:rsid w:val="00B354DE"/>
    <w:rsid w:val="00B37594"/>
    <w:rsid w:val="00B37CE9"/>
    <w:rsid w:val="00B53609"/>
    <w:rsid w:val="00B57157"/>
    <w:rsid w:val="00B645FE"/>
    <w:rsid w:val="00B67B26"/>
    <w:rsid w:val="00B7017C"/>
    <w:rsid w:val="00B74AF9"/>
    <w:rsid w:val="00B75754"/>
    <w:rsid w:val="00B85C7D"/>
    <w:rsid w:val="00BA2349"/>
    <w:rsid w:val="00BB1949"/>
    <w:rsid w:val="00BB2CFD"/>
    <w:rsid w:val="00BC0730"/>
    <w:rsid w:val="00BC526B"/>
    <w:rsid w:val="00BC7A85"/>
    <w:rsid w:val="00BD4285"/>
    <w:rsid w:val="00BE47D7"/>
    <w:rsid w:val="00BF29BE"/>
    <w:rsid w:val="00BF5AEA"/>
    <w:rsid w:val="00BF6B7D"/>
    <w:rsid w:val="00C0291F"/>
    <w:rsid w:val="00C03D55"/>
    <w:rsid w:val="00C12FF6"/>
    <w:rsid w:val="00C17BC9"/>
    <w:rsid w:val="00C2001F"/>
    <w:rsid w:val="00C20DAE"/>
    <w:rsid w:val="00C26253"/>
    <w:rsid w:val="00C308DD"/>
    <w:rsid w:val="00C44146"/>
    <w:rsid w:val="00C462BB"/>
    <w:rsid w:val="00C50AFA"/>
    <w:rsid w:val="00C643E6"/>
    <w:rsid w:val="00C71807"/>
    <w:rsid w:val="00C80887"/>
    <w:rsid w:val="00C84E43"/>
    <w:rsid w:val="00C90936"/>
    <w:rsid w:val="00C938F8"/>
    <w:rsid w:val="00C96674"/>
    <w:rsid w:val="00CA0292"/>
    <w:rsid w:val="00CA5377"/>
    <w:rsid w:val="00CB3BCE"/>
    <w:rsid w:val="00CC3224"/>
    <w:rsid w:val="00CE2CBB"/>
    <w:rsid w:val="00CE558A"/>
    <w:rsid w:val="00CF08F9"/>
    <w:rsid w:val="00CF1423"/>
    <w:rsid w:val="00D0003D"/>
    <w:rsid w:val="00D05E09"/>
    <w:rsid w:val="00D112D4"/>
    <w:rsid w:val="00D12D3F"/>
    <w:rsid w:val="00D20F74"/>
    <w:rsid w:val="00D252D9"/>
    <w:rsid w:val="00D30BE2"/>
    <w:rsid w:val="00D321E7"/>
    <w:rsid w:val="00D3581B"/>
    <w:rsid w:val="00D4093F"/>
    <w:rsid w:val="00D42542"/>
    <w:rsid w:val="00D46838"/>
    <w:rsid w:val="00D52082"/>
    <w:rsid w:val="00D54EBD"/>
    <w:rsid w:val="00D6211C"/>
    <w:rsid w:val="00D62B02"/>
    <w:rsid w:val="00D67962"/>
    <w:rsid w:val="00D74364"/>
    <w:rsid w:val="00D83D4D"/>
    <w:rsid w:val="00D8783A"/>
    <w:rsid w:val="00DA3CB7"/>
    <w:rsid w:val="00DA4CEF"/>
    <w:rsid w:val="00DB0B7B"/>
    <w:rsid w:val="00DB2C1E"/>
    <w:rsid w:val="00DB5574"/>
    <w:rsid w:val="00DB74BA"/>
    <w:rsid w:val="00DC1E60"/>
    <w:rsid w:val="00DC606D"/>
    <w:rsid w:val="00DC6513"/>
    <w:rsid w:val="00DC7A46"/>
    <w:rsid w:val="00DD3911"/>
    <w:rsid w:val="00DE0081"/>
    <w:rsid w:val="00DE66E5"/>
    <w:rsid w:val="00DF0C6B"/>
    <w:rsid w:val="00DF25E3"/>
    <w:rsid w:val="00DF6DBD"/>
    <w:rsid w:val="00E044E6"/>
    <w:rsid w:val="00E06158"/>
    <w:rsid w:val="00E2422E"/>
    <w:rsid w:val="00E3075B"/>
    <w:rsid w:val="00E4527B"/>
    <w:rsid w:val="00E4713F"/>
    <w:rsid w:val="00E50A7A"/>
    <w:rsid w:val="00E647BB"/>
    <w:rsid w:val="00E808BF"/>
    <w:rsid w:val="00E82E21"/>
    <w:rsid w:val="00E84F02"/>
    <w:rsid w:val="00E8614A"/>
    <w:rsid w:val="00E8672C"/>
    <w:rsid w:val="00E924A1"/>
    <w:rsid w:val="00EA4588"/>
    <w:rsid w:val="00EB1E22"/>
    <w:rsid w:val="00ED07B4"/>
    <w:rsid w:val="00EE3EBF"/>
    <w:rsid w:val="00EE7938"/>
    <w:rsid w:val="00EF4EF8"/>
    <w:rsid w:val="00EF5196"/>
    <w:rsid w:val="00F10DA9"/>
    <w:rsid w:val="00F11DE0"/>
    <w:rsid w:val="00F14A26"/>
    <w:rsid w:val="00F17E40"/>
    <w:rsid w:val="00F2049E"/>
    <w:rsid w:val="00F244AD"/>
    <w:rsid w:val="00F273F2"/>
    <w:rsid w:val="00F34259"/>
    <w:rsid w:val="00F357E6"/>
    <w:rsid w:val="00F361BE"/>
    <w:rsid w:val="00F40097"/>
    <w:rsid w:val="00F42AB4"/>
    <w:rsid w:val="00F42B4E"/>
    <w:rsid w:val="00F62CFF"/>
    <w:rsid w:val="00F63DCB"/>
    <w:rsid w:val="00F80989"/>
    <w:rsid w:val="00F81D6E"/>
    <w:rsid w:val="00F83497"/>
    <w:rsid w:val="00F93840"/>
    <w:rsid w:val="00F9551E"/>
    <w:rsid w:val="00FA3637"/>
    <w:rsid w:val="00FA41FF"/>
    <w:rsid w:val="00FA5F36"/>
    <w:rsid w:val="00FA6A8F"/>
    <w:rsid w:val="00FB5C90"/>
    <w:rsid w:val="00FB6467"/>
    <w:rsid w:val="00FB6E93"/>
    <w:rsid w:val="00FD0462"/>
    <w:rsid w:val="00FD5602"/>
    <w:rsid w:val="00FD7F19"/>
    <w:rsid w:val="00FF3A8C"/>
    <w:rsid w:val="00FF5168"/>
    <w:rsid w:val="1B37B631"/>
    <w:rsid w:val="3EFF48B2"/>
    <w:rsid w:val="49EF8C18"/>
    <w:rsid w:val="576A62EF"/>
    <w:rsid w:val="6D7F24DD"/>
    <w:rsid w:val="6FBFBC2D"/>
    <w:rsid w:val="7BEA5029"/>
    <w:rsid w:val="7FA9CACF"/>
    <w:rsid w:val="9CDB6F53"/>
    <w:rsid w:val="BF7F0399"/>
    <w:rsid w:val="BFF7EFC3"/>
    <w:rsid w:val="D5D72A54"/>
    <w:rsid w:val="DCFFBC84"/>
    <w:rsid w:val="DFFF5E03"/>
    <w:rsid w:val="DFFF7E9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6"/>
    <w:qFormat/>
    <w:uiPriority w:val="0"/>
    <w:pPr>
      <w:keepNext/>
      <w:keepLines/>
      <w:numPr>
        <w:ilvl w:val="0"/>
        <w:numId w:val="1"/>
      </w:numPr>
      <w:spacing w:before="340" w:after="330" w:line="578" w:lineRule="auto"/>
      <w:jc w:val="left"/>
      <w:outlineLvl w:val="0"/>
    </w:pPr>
    <w:rPr>
      <w:b/>
      <w:bCs/>
      <w:kern w:val="44"/>
      <w:sz w:val="44"/>
      <w:szCs w:val="44"/>
    </w:rPr>
  </w:style>
  <w:style w:type="paragraph" w:styleId="3">
    <w:name w:val="heading 2"/>
    <w:basedOn w:val="1"/>
    <w:next w:val="1"/>
    <w:link w:val="38"/>
    <w:unhideWhenUsed/>
    <w:qFormat/>
    <w:uiPriority w:val="0"/>
    <w:pPr>
      <w:keepNext/>
      <w:keepLines/>
      <w:spacing w:before="260" w:after="260" w:line="416" w:lineRule="auto"/>
      <w:outlineLvl w:val="1"/>
    </w:pPr>
    <w:rPr>
      <w:rFonts w:ascii="黑体" w:hAnsi="黑体" w:eastAsia="黑体" w:cstheme="majorBidi"/>
      <w:b/>
      <w:bCs/>
      <w:sz w:val="36"/>
      <w:szCs w:val="36"/>
    </w:rPr>
  </w:style>
  <w:style w:type="paragraph" w:styleId="4">
    <w:name w:val="heading 3"/>
    <w:basedOn w:val="3"/>
    <w:next w:val="5"/>
    <w:link w:val="39"/>
    <w:unhideWhenUsed/>
    <w:qFormat/>
    <w:uiPriority w:val="0"/>
    <w:pPr>
      <w:outlineLvl w:val="2"/>
    </w:pPr>
  </w:style>
  <w:style w:type="paragraph" w:styleId="6">
    <w:name w:val="heading 4"/>
    <w:basedOn w:val="1"/>
    <w:next w:val="5"/>
    <w:link w:val="40"/>
    <w:unhideWhenUsed/>
    <w:qFormat/>
    <w:uiPriority w:val="0"/>
    <w:pPr>
      <w:keepNext/>
      <w:keepLines/>
      <w:spacing w:before="240" w:after="240" w:line="360" w:lineRule="auto"/>
      <w:outlineLvl w:val="3"/>
    </w:pPr>
    <w:rPr>
      <w:rFonts w:ascii="黑体" w:hAnsi="黑体" w:eastAsia="黑体" w:cstheme="majorBidi"/>
      <w:bCs/>
      <w:sz w:val="30"/>
      <w:szCs w:val="30"/>
    </w:rPr>
  </w:style>
  <w:style w:type="paragraph" w:styleId="7">
    <w:name w:val="heading 5"/>
    <w:basedOn w:val="1"/>
    <w:next w:val="5"/>
    <w:link w:val="41"/>
    <w:unhideWhenUsed/>
    <w:qFormat/>
    <w:uiPriority w:val="0"/>
    <w:pPr>
      <w:keepNext/>
      <w:keepLines/>
      <w:numPr>
        <w:ilvl w:val="4"/>
        <w:numId w:val="1"/>
      </w:numPr>
      <w:spacing w:before="156" w:beforeLines="50" w:line="360" w:lineRule="auto"/>
      <w:outlineLvl w:val="4"/>
    </w:pPr>
    <w:rPr>
      <w:rFonts w:ascii="仿宋" w:hAnsi="仿宋" w:eastAsia="仿宋"/>
      <w:b/>
      <w:bCs/>
      <w:sz w:val="28"/>
      <w:szCs w:val="28"/>
    </w:rPr>
  </w:style>
  <w:style w:type="paragraph" w:styleId="8">
    <w:name w:val="heading 6"/>
    <w:basedOn w:val="1"/>
    <w:next w:val="1"/>
    <w:link w:val="42"/>
    <w:unhideWhenUsed/>
    <w:qFormat/>
    <w:uiPriority w:val="0"/>
    <w:pPr>
      <w:keepNext/>
      <w:keepLines/>
      <w:numPr>
        <w:ilvl w:val="5"/>
        <w:numId w:val="1"/>
      </w:numPr>
      <w:spacing w:before="240" w:after="64" w:line="320" w:lineRule="auto"/>
      <w:outlineLvl w:val="5"/>
    </w:pPr>
    <w:rPr>
      <w:rFonts w:asciiTheme="majorHAnsi" w:hAnsiTheme="majorHAnsi" w:eastAsiaTheme="majorEastAsia" w:cstheme="majorBidi"/>
      <w:b/>
      <w:bCs/>
      <w:sz w:val="24"/>
      <w:szCs w:val="24"/>
    </w:rPr>
  </w:style>
  <w:style w:type="paragraph" w:styleId="9">
    <w:name w:val="heading 7"/>
    <w:basedOn w:val="1"/>
    <w:next w:val="1"/>
    <w:link w:val="43"/>
    <w:unhideWhenUsed/>
    <w:qFormat/>
    <w:uiPriority w:val="0"/>
    <w:pPr>
      <w:keepNext/>
      <w:keepLines/>
      <w:numPr>
        <w:ilvl w:val="6"/>
        <w:numId w:val="1"/>
      </w:numPr>
      <w:spacing w:before="240" w:after="64" w:line="320" w:lineRule="auto"/>
      <w:outlineLvl w:val="6"/>
    </w:pPr>
    <w:rPr>
      <w:b/>
      <w:bCs/>
      <w:sz w:val="24"/>
      <w:szCs w:val="24"/>
    </w:rPr>
  </w:style>
  <w:style w:type="paragraph" w:styleId="10">
    <w:name w:val="heading 8"/>
    <w:basedOn w:val="1"/>
    <w:next w:val="1"/>
    <w:link w:val="44"/>
    <w:unhideWhenUsed/>
    <w:qFormat/>
    <w:uiPriority w:val="0"/>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1">
    <w:name w:val="heading 9"/>
    <w:basedOn w:val="1"/>
    <w:next w:val="1"/>
    <w:link w:val="45"/>
    <w:unhideWhenUsed/>
    <w:qFormat/>
    <w:uiPriority w:val="0"/>
    <w:pPr>
      <w:keepNext/>
      <w:keepLines/>
      <w:numPr>
        <w:ilvl w:val="8"/>
        <w:numId w:val="1"/>
      </w:numPr>
      <w:spacing w:before="240" w:after="64" w:line="320" w:lineRule="auto"/>
      <w:outlineLvl w:val="8"/>
    </w:pPr>
    <w:rPr>
      <w:rFonts w:asciiTheme="majorHAnsi" w:hAnsiTheme="majorHAnsi" w:eastAsiaTheme="majorEastAsia" w:cstheme="majorBidi"/>
      <w:szCs w:val="21"/>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5">
    <w:name w:val="可研正文"/>
    <w:basedOn w:val="1"/>
    <w:link w:val="37"/>
    <w:qFormat/>
    <w:uiPriority w:val="0"/>
    <w:pPr>
      <w:spacing w:line="360" w:lineRule="auto"/>
      <w:ind w:firstLine="200" w:firstLineChars="200"/>
    </w:pPr>
    <w:rPr>
      <w:rFonts w:ascii="仿宋" w:hAnsi="仿宋" w:eastAsia="仿宋"/>
      <w:sz w:val="28"/>
      <w:szCs w:val="28"/>
    </w:rPr>
  </w:style>
  <w:style w:type="paragraph" w:styleId="12">
    <w:name w:val="toc 7"/>
    <w:basedOn w:val="1"/>
    <w:next w:val="1"/>
    <w:unhideWhenUsed/>
    <w:qFormat/>
    <w:uiPriority w:val="39"/>
    <w:pPr>
      <w:ind w:left="2520" w:leftChars="1200"/>
    </w:pPr>
  </w:style>
  <w:style w:type="paragraph" w:styleId="13">
    <w:name w:val="List Number 2"/>
    <w:basedOn w:val="1"/>
    <w:semiHidden/>
    <w:unhideWhenUsed/>
    <w:qFormat/>
    <w:uiPriority w:val="99"/>
    <w:pPr>
      <w:numPr>
        <w:ilvl w:val="0"/>
        <w:numId w:val="2"/>
      </w:numPr>
      <w:contextualSpacing/>
    </w:pPr>
  </w:style>
  <w:style w:type="paragraph" w:styleId="14">
    <w:name w:val="List Number"/>
    <w:basedOn w:val="1"/>
    <w:semiHidden/>
    <w:unhideWhenUsed/>
    <w:qFormat/>
    <w:uiPriority w:val="99"/>
    <w:pPr>
      <w:widowControl/>
      <w:numPr>
        <w:ilvl w:val="0"/>
        <w:numId w:val="3"/>
      </w:numPr>
      <w:jc w:val="left"/>
    </w:pPr>
    <w:rPr>
      <w:rFonts w:hint="eastAsia" w:ascii="宋体" w:hAnsi="宋体" w:eastAsia="宋体" w:cs="Times New Roman"/>
      <w:kern w:val="0"/>
      <w:sz w:val="24"/>
      <w:szCs w:val="24"/>
    </w:rPr>
  </w:style>
  <w:style w:type="paragraph" w:styleId="15">
    <w:name w:val="Normal Indent"/>
    <w:basedOn w:val="1"/>
    <w:unhideWhenUsed/>
    <w:qFormat/>
    <w:uiPriority w:val="0"/>
    <w:pPr>
      <w:adjustRightInd w:val="0"/>
      <w:snapToGrid w:val="0"/>
      <w:spacing w:line="288" w:lineRule="auto"/>
      <w:ind w:firstLine="420" w:firstLineChars="200"/>
    </w:pPr>
    <w:rPr>
      <w:rFonts w:ascii="仿宋" w:hAnsi="仿宋" w:eastAsia="仿宋" w:cs="宋体"/>
      <w:kern w:val="0"/>
      <w:sz w:val="20"/>
      <w:szCs w:val="20"/>
    </w:rPr>
  </w:style>
  <w:style w:type="paragraph" w:styleId="16">
    <w:name w:val="caption"/>
    <w:basedOn w:val="1"/>
    <w:next w:val="1"/>
    <w:link w:val="51"/>
    <w:unhideWhenUsed/>
    <w:qFormat/>
    <w:uiPriority w:val="0"/>
    <w:rPr>
      <w:rFonts w:eastAsia="黑体" w:asciiTheme="majorHAnsi" w:hAnsiTheme="majorHAnsi" w:cstheme="majorBidi"/>
      <w:sz w:val="20"/>
      <w:szCs w:val="20"/>
    </w:rPr>
  </w:style>
  <w:style w:type="paragraph" w:styleId="17">
    <w:name w:val="toc 5"/>
    <w:basedOn w:val="1"/>
    <w:next w:val="1"/>
    <w:unhideWhenUsed/>
    <w:qFormat/>
    <w:uiPriority w:val="39"/>
    <w:pPr>
      <w:ind w:left="1680" w:leftChars="800"/>
    </w:pPr>
  </w:style>
  <w:style w:type="paragraph" w:styleId="18">
    <w:name w:val="toc 3"/>
    <w:basedOn w:val="1"/>
    <w:next w:val="1"/>
    <w:unhideWhenUsed/>
    <w:qFormat/>
    <w:uiPriority w:val="39"/>
    <w:pPr>
      <w:spacing w:line="360" w:lineRule="auto"/>
      <w:ind w:left="840" w:leftChars="400"/>
    </w:pPr>
    <w:rPr>
      <w:szCs w:val="21"/>
    </w:rPr>
  </w:style>
  <w:style w:type="paragraph" w:styleId="19">
    <w:name w:val="toc 8"/>
    <w:basedOn w:val="1"/>
    <w:next w:val="1"/>
    <w:unhideWhenUsed/>
    <w:qFormat/>
    <w:uiPriority w:val="39"/>
    <w:pPr>
      <w:ind w:left="2940" w:leftChars="1400"/>
    </w:pPr>
  </w:style>
  <w:style w:type="paragraph" w:styleId="20">
    <w:name w:val="Balloon Text"/>
    <w:basedOn w:val="1"/>
    <w:link w:val="55"/>
    <w:semiHidden/>
    <w:unhideWhenUsed/>
    <w:qFormat/>
    <w:uiPriority w:val="99"/>
    <w:rPr>
      <w:sz w:val="18"/>
      <w:szCs w:val="18"/>
    </w:rPr>
  </w:style>
  <w:style w:type="paragraph" w:styleId="21">
    <w:name w:val="footer"/>
    <w:basedOn w:val="1"/>
    <w:link w:val="50"/>
    <w:unhideWhenUsed/>
    <w:qFormat/>
    <w:uiPriority w:val="99"/>
    <w:pPr>
      <w:tabs>
        <w:tab w:val="center" w:pos="4153"/>
        <w:tab w:val="right" w:pos="8306"/>
      </w:tabs>
      <w:snapToGrid w:val="0"/>
      <w:jc w:val="left"/>
    </w:pPr>
    <w:rPr>
      <w:sz w:val="18"/>
      <w:szCs w:val="18"/>
    </w:rPr>
  </w:style>
  <w:style w:type="paragraph" w:styleId="22">
    <w:name w:val="header"/>
    <w:basedOn w:val="1"/>
    <w:link w:val="49"/>
    <w:unhideWhenUsed/>
    <w:qFormat/>
    <w:uiPriority w:val="99"/>
    <w:pPr>
      <w:pBdr>
        <w:bottom w:val="single" w:color="auto" w:sz="6" w:space="1"/>
      </w:pBdr>
      <w:tabs>
        <w:tab w:val="center" w:pos="4153"/>
        <w:tab w:val="right" w:pos="8306"/>
      </w:tabs>
      <w:snapToGrid w:val="0"/>
      <w:jc w:val="center"/>
    </w:pPr>
    <w:rPr>
      <w:sz w:val="18"/>
      <w:szCs w:val="18"/>
    </w:rPr>
  </w:style>
  <w:style w:type="paragraph" w:styleId="23">
    <w:name w:val="toc 1"/>
    <w:basedOn w:val="1"/>
    <w:next w:val="1"/>
    <w:unhideWhenUsed/>
    <w:qFormat/>
    <w:uiPriority w:val="39"/>
    <w:pPr>
      <w:spacing w:line="360" w:lineRule="auto"/>
    </w:pPr>
    <w:rPr>
      <w:szCs w:val="21"/>
    </w:rPr>
  </w:style>
  <w:style w:type="paragraph" w:styleId="24">
    <w:name w:val="toc 4"/>
    <w:basedOn w:val="1"/>
    <w:next w:val="1"/>
    <w:unhideWhenUsed/>
    <w:qFormat/>
    <w:uiPriority w:val="39"/>
    <w:pPr>
      <w:ind w:left="1260" w:leftChars="600"/>
    </w:pPr>
  </w:style>
  <w:style w:type="paragraph" w:styleId="25">
    <w:name w:val="toc 6"/>
    <w:basedOn w:val="1"/>
    <w:next w:val="1"/>
    <w:unhideWhenUsed/>
    <w:qFormat/>
    <w:uiPriority w:val="39"/>
    <w:pPr>
      <w:ind w:left="2100" w:leftChars="1000"/>
    </w:pPr>
  </w:style>
  <w:style w:type="paragraph" w:styleId="26">
    <w:name w:val="toc 2"/>
    <w:basedOn w:val="1"/>
    <w:next w:val="1"/>
    <w:unhideWhenUsed/>
    <w:qFormat/>
    <w:uiPriority w:val="39"/>
    <w:pPr>
      <w:spacing w:line="360" w:lineRule="auto"/>
      <w:ind w:left="420" w:leftChars="200"/>
    </w:pPr>
    <w:rPr>
      <w:szCs w:val="21"/>
    </w:rPr>
  </w:style>
  <w:style w:type="paragraph" w:styleId="27">
    <w:name w:val="toc 9"/>
    <w:basedOn w:val="1"/>
    <w:next w:val="1"/>
    <w:unhideWhenUsed/>
    <w:qFormat/>
    <w:uiPriority w:val="39"/>
    <w:pPr>
      <w:ind w:left="3360" w:leftChars="1600"/>
    </w:pPr>
  </w:style>
  <w:style w:type="paragraph" w:styleId="28">
    <w:name w:val="Normal (Web)"/>
    <w:basedOn w:val="1"/>
    <w:link w:val="62"/>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9">
    <w:name w:val="Title"/>
    <w:basedOn w:val="1"/>
    <w:next w:val="1"/>
    <w:link w:val="47"/>
    <w:qFormat/>
    <w:uiPriority w:val="10"/>
    <w:pPr>
      <w:spacing w:before="240" w:after="60"/>
      <w:jc w:val="center"/>
      <w:outlineLvl w:val="0"/>
    </w:pPr>
    <w:rPr>
      <w:rFonts w:eastAsia="宋体" w:asciiTheme="majorHAnsi" w:hAnsiTheme="majorHAnsi" w:cstheme="majorBidi"/>
      <w:b/>
      <w:bCs/>
      <w:sz w:val="32"/>
      <w:szCs w:val="32"/>
    </w:rPr>
  </w:style>
  <w:style w:type="table" w:styleId="31">
    <w:name w:val="Table Grid"/>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FollowedHyperlink"/>
    <w:basedOn w:val="32"/>
    <w:semiHidden/>
    <w:unhideWhenUsed/>
    <w:qFormat/>
    <w:uiPriority w:val="99"/>
    <w:rPr>
      <w:color w:val="800080"/>
      <w:u w:val="single"/>
    </w:rPr>
  </w:style>
  <w:style w:type="character" w:styleId="34">
    <w:name w:val="Hyperlink"/>
    <w:basedOn w:val="32"/>
    <w:unhideWhenUsed/>
    <w:qFormat/>
    <w:uiPriority w:val="99"/>
    <w:rPr>
      <w:color w:val="0563C1" w:themeColor="hyperlink"/>
      <w:sz w:val="24"/>
      <w:u w:val="single"/>
      <w14:textFill>
        <w14:solidFill>
          <w14:schemeClr w14:val="hlink"/>
        </w14:solidFill>
      </w14:textFill>
    </w:rPr>
  </w:style>
  <w:style w:type="character" w:styleId="35">
    <w:name w:val="annotation reference"/>
    <w:basedOn w:val="32"/>
    <w:qFormat/>
    <w:uiPriority w:val="0"/>
    <w:rPr>
      <w:rFonts w:ascii="MiSans" w:hAnsi="MiSans" w:eastAsia="MiSans"/>
      <w:sz w:val="21"/>
      <w:szCs w:val="21"/>
    </w:rPr>
  </w:style>
  <w:style w:type="character" w:customStyle="1" w:styleId="36">
    <w:name w:val="标题 1 字符"/>
    <w:basedOn w:val="32"/>
    <w:link w:val="2"/>
    <w:qFormat/>
    <w:uiPriority w:val="0"/>
    <w:rPr>
      <w:b/>
      <w:bCs/>
      <w:kern w:val="44"/>
      <w:sz w:val="44"/>
      <w:szCs w:val="44"/>
    </w:rPr>
  </w:style>
  <w:style w:type="character" w:customStyle="1" w:styleId="37">
    <w:name w:val="可研正文 Char"/>
    <w:link w:val="5"/>
    <w:qFormat/>
    <w:uiPriority w:val="0"/>
    <w:rPr>
      <w:rFonts w:ascii="仿宋" w:hAnsi="仿宋" w:eastAsia="仿宋"/>
      <w:sz w:val="28"/>
      <w:szCs w:val="28"/>
    </w:rPr>
  </w:style>
  <w:style w:type="character" w:customStyle="1" w:styleId="38">
    <w:name w:val="标题 2 字符"/>
    <w:basedOn w:val="32"/>
    <w:link w:val="3"/>
    <w:qFormat/>
    <w:uiPriority w:val="0"/>
    <w:rPr>
      <w:rFonts w:ascii="黑体" w:hAnsi="黑体" w:eastAsia="黑体" w:cstheme="majorBidi"/>
      <w:b/>
      <w:bCs/>
      <w:kern w:val="2"/>
      <w:sz w:val="36"/>
      <w:szCs w:val="36"/>
    </w:rPr>
  </w:style>
  <w:style w:type="character" w:customStyle="1" w:styleId="39">
    <w:name w:val="标题 3 字符"/>
    <w:basedOn w:val="32"/>
    <w:link w:val="4"/>
    <w:qFormat/>
    <w:uiPriority w:val="0"/>
    <w:rPr>
      <w:rFonts w:ascii="黑体" w:hAnsi="黑体" w:eastAsia="黑体" w:cstheme="majorBidi"/>
      <w:b/>
      <w:bCs/>
      <w:kern w:val="2"/>
      <w:sz w:val="36"/>
      <w:szCs w:val="36"/>
    </w:rPr>
  </w:style>
  <w:style w:type="character" w:customStyle="1" w:styleId="40">
    <w:name w:val="标题 4 字符"/>
    <w:basedOn w:val="32"/>
    <w:link w:val="6"/>
    <w:qFormat/>
    <w:uiPriority w:val="0"/>
    <w:rPr>
      <w:rFonts w:ascii="黑体" w:hAnsi="黑体" w:eastAsia="黑体" w:cstheme="majorBidi"/>
      <w:bCs/>
      <w:kern w:val="2"/>
      <w:sz w:val="30"/>
      <w:szCs w:val="30"/>
    </w:rPr>
  </w:style>
  <w:style w:type="character" w:customStyle="1" w:styleId="41">
    <w:name w:val="标题 5 字符"/>
    <w:basedOn w:val="32"/>
    <w:link w:val="7"/>
    <w:qFormat/>
    <w:uiPriority w:val="9"/>
    <w:rPr>
      <w:rFonts w:ascii="仿宋" w:hAnsi="仿宋" w:eastAsia="仿宋"/>
      <w:b/>
      <w:bCs/>
      <w:sz w:val="28"/>
      <w:szCs w:val="28"/>
    </w:rPr>
  </w:style>
  <w:style w:type="character" w:customStyle="1" w:styleId="42">
    <w:name w:val="标题 6 字符"/>
    <w:basedOn w:val="32"/>
    <w:link w:val="8"/>
    <w:qFormat/>
    <w:uiPriority w:val="9"/>
    <w:rPr>
      <w:rFonts w:asciiTheme="majorHAnsi" w:hAnsiTheme="majorHAnsi" w:eastAsiaTheme="majorEastAsia" w:cstheme="majorBidi"/>
      <w:b/>
      <w:bCs/>
      <w:sz w:val="24"/>
      <w:szCs w:val="24"/>
    </w:rPr>
  </w:style>
  <w:style w:type="character" w:customStyle="1" w:styleId="43">
    <w:name w:val="标题 7 字符"/>
    <w:basedOn w:val="32"/>
    <w:link w:val="9"/>
    <w:qFormat/>
    <w:uiPriority w:val="9"/>
    <w:rPr>
      <w:b/>
      <w:bCs/>
      <w:sz w:val="24"/>
      <w:szCs w:val="24"/>
    </w:rPr>
  </w:style>
  <w:style w:type="character" w:customStyle="1" w:styleId="44">
    <w:name w:val="标题 8 字符"/>
    <w:basedOn w:val="32"/>
    <w:link w:val="10"/>
    <w:qFormat/>
    <w:uiPriority w:val="9"/>
    <w:rPr>
      <w:rFonts w:asciiTheme="majorHAnsi" w:hAnsiTheme="majorHAnsi" w:eastAsiaTheme="majorEastAsia" w:cstheme="majorBidi"/>
      <w:sz w:val="24"/>
      <w:szCs w:val="24"/>
    </w:rPr>
  </w:style>
  <w:style w:type="character" w:customStyle="1" w:styleId="45">
    <w:name w:val="标题 9 字符"/>
    <w:basedOn w:val="32"/>
    <w:link w:val="11"/>
    <w:qFormat/>
    <w:uiPriority w:val="9"/>
    <w:rPr>
      <w:rFonts w:asciiTheme="majorHAnsi" w:hAnsiTheme="majorHAnsi" w:eastAsiaTheme="majorEastAsia" w:cstheme="majorBidi"/>
      <w:szCs w:val="21"/>
    </w:rPr>
  </w:style>
  <w:style w:type="paragraph" w:customStyle="1" w:styleId="46">
    <w:name w:val="可研标题"/>
    <w:basedOn w:val="29"/>
    <w:link w:val="48"/>
    <w:qFormat/>
    <w:uiPriority w:val="0"/>
    <w:pPr>
      <w:spacing w:line="360" w:lineRule="auto"/>
    </w:pPr>
    <w:rPr>
      <w:rFonts w:ascii="微软雅黑" w:hAnsi="微软雅黑" w:eastAsia="微软雅黑"/>
      <w:b w:val="0"/>
      <w:sz w:val="52"/>
      <w:szCs w:val="52"/>
    </w:rPr>
  </w:style>
  <w:style w:type="character" w:customStyle="1" w:styleId="47">
    <w:name w:val="标题 字符"/>
    <w:basedOn w:val="32"/>
    <w:link w:val="29"/>
    <w:qFormat/>
    <w:uiPriority w:val="10"/>
    <w:rPr>
      <w:rFonts w:eastAsia="宋体" w:asciiTheme="majorHAnsi" w:hAnsiTheme="majorHAnsi" w:cstheme="majorBidi"/>
      <w:b/>
      <w:bCs/>
      <w:sz w:val="32"/>
      <w:szCs w:val="32"/>
    </w:rPr>
  </w:style>
  <w:style w:type="character" w:customStyle="1" w:styleId="48">
    <w:name w:val="可研标题 Char"/>
    <w:basedOn w:val="47"/>
    <w:link w:val="46"/>
    <w:qFormat/>
    <w:uiPriority w:val="0"/>
    <w:rPr>
      <w:rFonts w:ascii="微软雅黑" w:hAnsi="微软雅黑" w:eastAsia="微软雅黑" w:cstheme="majorBidi"/>
      <w:b w:val="0"/>
      <w:sz w:val="52"/>
      <w:szCs w:val="52"/>
    </w:rPr>
  </w:style>
  <w:style w:type="character" w:customStyle="1" w:styleId="49">
    <w:name w:val="页眉 字符"/>
    <w:basedOn w:val="32"/>
    <w:link w:val="22"/>
    <w:qFormat/>
    <w:uiPriority w:val="99"/>
    <w:rPr>
      <w:sz w:val="18"/>
      <w:szCs w:val="18"/>
    </w:rPr>
  </w:style>
  <w:style w:type="character" w:customStyle="1" w:styleId="50">
    <w:name w:val="页脚 字符"/>
    <w:basedOn w:val="32"/>
    <w:link w:val="21"/>
    <w:qFormat/>
    <w:uiPriority w:val="99"/>
    <w:rPr>
      <w:sz w:val="18"/>
      <w:szCs w:val="18"/>
    </w:rPr>
  </w:style>
  <w:style w:type="character" w:customStyle="1" w:styleId="51">
    <w:name w:val="题注 字符"/>
    <w:link w:val="16"/>
    <w:qFormat/>
    <w:uiPriority w:val="0"/>
    <w:rPr>
      <w:rFonts w:eastAsia="黑体" w:asciiTheme="majorHAnsi" w:hAnsiTheme="majorHAnsi" w:cstheme="majorBidi"/>
      <w:sz w:val="20"/>
      <w:szCs w:val="20"/>
    </w:rPr>
  </w:style>
  <w:style w:type="paragraph" w:customStyle="1" w:styleId="52">
    <w:name w:val="TOC 标题1"/>
    <w:basedOn w:val="2"/>
    <w:next w:val="1"/>
    <w:unhideWhenUsed/>
    <w:qFormat/>
    <w:uiPriority w:val="39"/>
    <w:pPr>
      <w:widowControl/>
      <w:numPr>
        <w:numId w:val="0"/>
      </w:numPr>
      <w:spacing w:before="240" w:after="0" w:line="259" w:lineRule="auto"/>
      <w:outlineLvl w:val="9"/>
    </w:pPr>
    <w:rPr>
      <w:rFonts w:asciiTheme="majorHAnsi" w:hAnsiTheme="majorHAnsi" w:eastAsiaTheme="majorEastAsia" w:cstheme="majorBidi"/>
      <w:b w:val="0"/>
      <w:bCs w:val="0"/>
      <w:color w:val="2E75B6" w:themeColor="accent1" w:themeShade="BF"/>
      <w:kern w:val="0"/>
      <w:sz w:val="32"/>
      <w:szCs w:val="32"/>
      <w:lang w:val="zh-CN"/>
    </w:rPr>
  </w:style>
  <w:style w:type="paragraph" w:customStyle="1" w:styleId="53">
    <w:name w:val="图表题注"/>
    <w:basedOn w:val="16"/>
    <w:next w:val="1"/>
    <w:qFormat/>
    <w:uiPriority w:val="0"/>
    <w:pPr>
      <w:jc w:val="center"/>
    </w:pPr>
    <w:rPr>
      <w:rFonts w:ascii="仿宋" w:hAnsi="仿宋" w:eastAsia="仿宋"/>
      <w:sz w:val="28"/>
      <w:szCs w:val="28"/>
    </w:rPr>
  </w:style>
  <w:style w:type="paragraph" w:customStyle="1" w:styleId="54">
    <w:name w:val="N-4"/>
    <w:basedOn w:val="6"/>
    <w:qFormat/>
    <w:uiPriority w:val="0"/>
    <w:pPr>
      <w:numPr>
        <w:ilvl w:val="0"/>
        <w:numId w:val="4"/>
      </w:numPr>
      <w:spacing w:before="160" w:after="160" w:line="240" w:lineRule="auto"/>
    </w:pPr>
    <w:rPr>
      <w:rFonts w:ascii="Arial" w:hAnsi="Arial" w:cs="Times New Roman"/>
      <w:sz w:val="21"/>
      <w:szCs w:val="20"/>
    </w:rPr>
  </w:style>
  <w:style w:type="character" w:customStyle="1" w:styleId="55">
    <w:name w:val="批注框文本 字符"/>
    <w:basedOn w:val="32"/>
    <w:link w:val="20"/>
    <w:semiHidden/>
    <w:qFormat/>
    <w:uiPriority w:val="99"/>
    <w:rPr>
      <w:sz w:val="18"/>
      <w:szCs w:val="18"/>
    </w:rPr>
  </w:style>
  <w:style w:type="paragraph" w:styleId="56">
    <w:name w:val="List Paragraph"/>
    <w:basedOn w:val="1"/>
    <w:link w:val="57"/>
    <w:qFormat/>
    <w:uiPriority w:val="99"/>
    <w:pPr>
      <w:ind w:firstLine="420" w:firstLineChars="200"/>
    </w:pPr>
    <w:rPr>
      <w:rFonts w:ascii="Times New Roman" w:hAnsi="Times New Roman" w:eastAsia="宋体" w:cs="Times New Roman"/>
      <w:szCs w:val="24"/>
    </w:rPr>
  </w:style>
  <w:style w:type="character" w:customStyle="1" w:styleId="57">
    <w:name w:val="列表段落 字符"/>
    <w:link w:val="56"/>
    <w:qFormat/>
    <w:uiPriority w:val="34"/>
    <w:rPr>
      <w:rFonts w:ascii="Times New Roman" w:hAnsi="Times New Roman" w:eastAsia="宋体" w:cs="Times New Roman"/>
      <w:szCs w:val="24"/>
    </w:rPr>
  </w:style>
  <w:style w:type="character" w:customStyle="1" w:styleId="58">
    <w:name w:val="未处理的提及1"/>
    <w:basedOn w:val="32"/>
    <w:semiHidden/>
    <w:unhideWhenUsed/>
    <w:qFormat/>
    <w:uiPriority w:val="99"/>
    <w:rPr>
      <w:color w:val="605E5C"/>
      <w:shd w:val="clear" w:color="auto" w:fill="E1DFDD"/>
    </w:rPr>
  </w:style>
  <w:style w:type="character" w:customStyle="1" w:styleId="59">
    <w:name w:val="样式2 Char"/>
    <w:link w:val="60"/>
    <w:qFormat/>
    <w:uiPriority w:val="0"/>
    <w:rPr>
      <w:rFonts w:ascii="宋体" w:hAnsi="宋体" w:eastAsia="宋体" w:cs="Times New Roman"/>
      <w:kern w:val="0"/>
      <w:sz w:val="24"/>
      <w:szCs w:val="24"/>
      <w:lang w:eastAsia="en-US"/>
    </w:rPr>
  </w:style>
  <w:style w:type="paragraph" w:customStyle="1" w:styleId="60">
    <w:name w:val="样式2"/>
    <w:basedOn w:val="1"/>
    <w:link w:val="59"/>
    <w:qFormat/>
    <w:uiPriority w:val="0"/>
    <w:pPr>
      <w:widowControl/>
      <w:adjustRightInd w:val="0"/>
      <w:spacing w:line="360" w:lineRule="auto"/>
      <w:ind w:firstLine="480" w:firstLineChars="200"/>
    </w:pPr>
    <w:rPr>
      <w:rFonts w:ascii="宋体" w:hAnsi="宋体" w:eastAsia="宋体" w:cs="Times New Roman"/>
      <w:kern w:val="0"/>
      <w:sz w:val="24"/>
      <w:szCs w:val="24"/>
      <w:lang w:eastAsia="en-US"/>
    </w:rPr>
  </w:style>
  <w:style w:type="paragraph" w:customStyle="1" w:styleId="61">
    <w:name w:val="!正文"/>
    <w:basedOn w:val="1"/>
    <w:qFormat/>
    <w:uiPriority w:val="0"/>
    <w:pPr>
      <w:spacing w:before="60"/>
      <w:ind w:firstLine="200" w:firstLineChars="200"/>
      <w:jc w:val="left"/>
    </w:pPr>
    <w:rPr>
      <w:rFonts w:ascii="宋体" w:hAnsi="宋体"/>
      <w:kern w:val="0"/>
      <w:szCs w:val="20"/>
    </w:rPr>
  </w:style>
  <w:style w:type="character" w:customStyle="1" w:styleId="62">
    <w:name w:val="普通(网站) 字符"/>
    <w:basedOn w:val="32"/>
    <w:link w:val="28"/>
    <w:qFormat/>
    <w:uiPriority w:val="99"/>
    <w:rPr>
      <w:rFonts w:ascii="宋体" w:hAnsi="宋体" w:eastAsia="宋体" w:cs="宋体"/>
      <w:kern w:val="0"/>
      <w:sz w:val="24"/>
      <w:szCs w:val="24"/>
    </w:rPr>
  </w:style>
  <w:style w:type="character" w:customStyle="1" w:styleId="63">
    <w:name w:val="页脚 字符1"/>
    <w:basedOn w:val="32"/>
    <w:qFormat/>
    <w:uiPriority w:val="0"/>
    <w:rPr>
      <w:rFonts w:hint="default" w:ascii="Calibri" w:hAnsi="Calibri" w:eastAsia="宋体" w:cs="Times New Roman"/>
      <w:kern w:val="2"/>
      <w:sz w:val="18"/>
      <w:szCs w:val="18"/>
    </w:rPr>
  </w:style>
  <w:style w:type="paragraph" w:customStyle="1" w:styleId="64">
    <w:name w:val="B-表正文"/>
    <w:qFormat/>
    <w:uiPriority w:val="0"/>
    <w:rPr>
      <w:rFonts w:ascii="Times New Roman" w:hAnsi="Times New Roman" w:eastAsia="仿宋" w:cstheme="minorBidi"/>
      <w:kern w:val="2"/>
      <w:sz w:val="21"/>
      <w:szCs w:val="24"/>
      <w:lang w:val="en-US" w:eastAsia="zh-CN" w:bidi="ar-SA"/>
    </w:rPr>
  </w:style>
  <w:style w:type="paragraph" w:customStyle="1" w:styleId="65">
    <w:name w:val="B-表题注"/>
    <w:next w:val="1"/>
    <w:link w:val="66"/>
    <w:qFormat/>
    <w:uiPriority w:val="0"/>
    <w:pPr>
      <w:numPr>
        <w:ilvl w:val="0"/>
        <w:numId w:val="5"/>
      </w:numPr>
      <w:spacing w:line="240" w:lineRule="atLeast"/>
      <w:jc w:val="center"/>
    </w:pPr>
    <w:rPr>
      <w:rFonts w:ascii="Times New Roman" w:hAnsi="Times New Roman" w:eastAsia="仿宋" w:cs="Times New Roman"/>
      <w:b/>
      <w:kern w:val="2"/>
      <w:sz w:val="21"/>
      <w:szCs w:val="44"/>
      <w:lang w:val="en-US" w:eastAsia="zh-CN" w:bidi="ar-SA"/>
    </w:rPr>
  </w:style>
  <w:style w:type="character" w:customStyle="1" w:styleId="66">
    <w:name w:val="B-表题注 字符"/>
    <w:basedOn w:val="32"/>
    <w:link w:val="65"/>
    <w:qFormat/>
    <w:uiPriority w:val="0"/>
    <w:rPr>
      <w:rFonts w:ascii="Times New Roman" w:hAnsi="Times New Roman" w:eastAsia="仿宋" w:cs="Times New Roman"/>
      <w:b/>
      <w:szCs w:val="44"/>
    </w:rPr>
  </w:style>
  <w:style w:type="paragraph" w:customStyle="1" w:styleId="67">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8">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69">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CC99"/>
      <w:spacing w:before="100" w:beforeAutospacing="1" w:after="100" w:afterAutospacing="1"/>
      <w:jc w:val="center"/>
    </w:pPr>
    <w:rPr>
      <w:rFonts w:ascii="宋体" w:hAnsi="宋体" w:eastAsia="宋体" w:cs="宋体"/>
      <w:b/>
      <w:bCs/>
      <w:kern w:val="0"/>
      <w:sz w:val="18"/>
      <w:szCs w:val="18"/>
    </w:rPr>
  </w:style>
  <w:style w:type="paragraph" w:customStyle="1" w:styleId="70">
    <w:name w:val="xl68"/>
    <w:basedOn w:val="1"/>
    <w:qFormat/>
    <w:uiPriority w:val="0"/>
    <w:pPr>
      <w:widowControl/>
      <w:pBdr>
        <w:top w:val="single" w:color="auto" w:sz="4" w:space="0"/>
        <w:left w:val="single" w:color="auto" w:sz="4" w:space="0"/>
        <w:bottom w:val="single" w:color="auto" w:sz="4" w:space="0"/>
        <w:right w:val="single" w:color="auto" w:sz="4" w:space="0"/>
      </w:pBdr>
      <w:shd w:val="clear" w:color="000000" w:fill="FFCC99"/>
      <w:spacing w:before="100" w:beforeAutospacing="1" w:after="100" w:afterAutospacing="1"/>
      <w:jc w:val="center"/>
    </w:pPr>
    <w:rPr>
      <w:rFonts w:ascii="宋体" w:hAnsi="宋体" w:eastAsia="宋体" w:cs="宋体"/>
      <w:b/>
      <w:bCs/>
      <w:kern w:val="0"/>
      <w:sz w:val="18"/>
      <w:szCs w:val="18"/>
    </w:rPr>
  </w:style>
  <w:style w:type="paragraph" w:customStyle="1" w:styleId="71">
    <w:name w:val="xl69"/>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72">
    <w:name w:val="xl70"/>
    <w:basedOn w:val="1"/>
    <w:qFormat/>
    <w:uiPriority w:val="0"/>
    <w:pPr>
      <w:widowControl/>
      <w:spacing w:before="100" w:beforeAutospacing="1" w:after="100" w:afterAutospacing="1"/>
      <w:jc w:val="center"/>
    </w:pPr>
    <w:rPr>
      <w:rFonts w:ascii="宋体" w:hAnsi="宋体" w:eastAsia="宋体" w:cs="宋体"/>
      <w:kern w:val="0"/>
      <w:sz w:val="18"/>
      <w:szCs w:val="18"/>
    </w:rPr>
  </w:style>
  <w:style w:type="paragraph" w:customStyle="1" w:styleId="73">
    <w:name w:val="xl71"/>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74">
    <w:name w:val="xl72"/>
    <w:basedOn w:val="1"/>
    <w:qFormat/>
    <w:uiPriority w:val="0"/>
    <w:pPr>
      <w:widowControl/>
      <w:spacing w:before="100" w:beforeAutospacing="1" w:after="100" w:afterAutospacing="1"/>
      <w:jc w:val="center"/>
    </w:pPr>
    <w:rPr>
      <w:rFonts w:ascii="宋体" w:hAnsi="宋体" w:eastAsia="宋体" w:cs="宋体"/>
      <w:kern w:val="0"/>
      <w:sz w:val="18"/>
      <w:szCs w:val="18"/>
    </w:rPr>
  </w:style>
  <w:style w:type="paragraph" w:customStyle="1" w:styleId="75">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18"/>
      <w:szCs w:val="18"/>
    </w:rPr>
  </w:style>
  <w:style w:type="paragraph" w:customStyle="1" w:styleId="76">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FFCC99"/>
      <w:spacing w:before="100" w:beforeAutospacing="1" w:after="100" w:afterAutospacing="1"/>
      <w:jc w:val="center"/>
    </w:pPr>
    <w:rPr>
      <w:rFonts w:ascii="宋体" w:hAnsi="宋体" w:eastAsia="宋体" w:cs="宋体"/>
      <w:b/>
      <w:bCs/>
      <w:kern w:val="0"/>
      <w:sz w:val="18"/>
      <w:szCs w:val="18"/>
    </w:rPr>
  </w:style>
  <w:style w:type="paragraph" w:customStyle="1" w:styleId="77">
    <w:name w:val="xl75"/>
    <w:basedOn w:val="1"/>
    <w:qFormat/>
    <w:uiPriority w:val="0"/>
    <w:pPr>
      <w:widowControl/>
      <w:spacing w:before="100" w:beforeAutospacing="1" w:after="100" w:afterAutospacing="1"/>
      <w:jc w:val="right"/>
    </w:pPr>
    <w:rPr>
      <w:rFonts w:ascii="宋体" w:hAnsi="宋体" w:eastAsia="宋体" w:cs="宋体"/>
      <w:kern w:val="0"/>
      <w:sz w:val="18"/>
      <w:szCs w:val="18"/>
    </w:rPr>
  </w:style>
  <w:style w:type="paragraph" w:customStyle="1" w:styleId="78">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18"/>
      <w:szCs w:val="18"/>
    </w:rPr>
  </w:style>
  <w:style w:type="paragraph" w:customStyle="1" w:styleId="79">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eastAsia="宋体" w:cs="宋体"/>
      <w:color w:val="000000"/>
      <w:kern w:val="0"/>
      <w:sz w:val="18"/>
      <w:szCs w:val="18"/>
    </w:rPr>
  </w:style>
  <w:style w:type="paragraph" w:customStyle="1" w:styleId="80">
    <w:name w:val="xl78"/>
    <w:basedOn w:val="1"/>
    <w:qFormat/>
    <w:uiPriority w:val="0"/>
    <w:pPr>
      <w:widowControl/>
      <w:spacing w:before="100" w:beforeAutospacing="1" w:after="100" w:afterAutospacing="1"/>
      <w:jc w:val="left"/>
    </w:pPr>
    <w:rPr>
      <w:rFonts w:ascii="宋体" w:hAnsi="宋体" w:eastAsia="宋体" w:cs="宋体"/>
      <w:kern w:val="0"/>
      <w:sz w:val="20"/>
      <w:szCs w:val="20"/>
    </w:rPr>
  </w:style>
  <w:style w:type="paragraph" w:customStyle="1" w:styleId="81">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eastAsia="宋体" w:cs="宋体"/>
      <w:color w:val="000000"/>
      <w:kern w:val="0"/>
      <w:sz w:val="18"/>
      <w:szCs w:val="18"/>
    </w:rPr>
  </w:style>
  <w:style w:type="paragraph" w:customStyle="1" w:styleId="82">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kern w:val="0"/>
      <w:sz w:val="18"/>
      <w:szCs w:val="18"/>
    </w:rPr>
  </w:style>
  <w:style w:type="paragraph" w:customStyle="1" w:styleId="83">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bottom"/>
    </w:pPr>
    <w:rPr>
      <w:rFonts w:ascii="宋体" w:hAnsi="宋体" w:eastAsia="宋体" w:cs="宋体"/>
      <w:kern w:val="0"/>
      <w:sz w:val="18"/>
      <w:szCs w:val="18"/>
    </w:rPr>
  </w:style>
  <w:style w:type="paragraph" w:customStyle="1" w:styleId="84">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宋体" w:hAnsi="宋体" w:eastAsia="宋体" w:cs="宋体"/>
      <w:color w:val="000000"/>
      <w:kern w:val="0"/>
      <w:sz w:val="18"/>
      <w:szCs w:val="18"/>
    </w:rPr>
  </w:style>
  <w:style w:type="paragraph" w:customStyle="1" w:styleId="85">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color w:val="000000"/>
      <w:kern w:val="0"/>
      <w:sz w:val="18"/>
      <w:szCs w:val="18"/>
    </w:rPr>
  </w:style>
  <w:style w:type="paragraph" w:customStyle="1" w:styleId="86">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eastAsia="宋体" w:cs="宋体"/>
      <w:color w:val="000000"/>
      <w:kern w:val="0"/>
      <w:sz w:val="18"/>
      <w:szCs w:val="18"/>
    </w:rPr>
  </w:style>
  <w:style w:type="paragraph" w:customStyle="1" w:styleId="87">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18"/>
      <w:szCs w:val="18"/>
    </w:rPr>
  </w:style>
  <w:style w:type="paragraph" w:customStyle="1" w:styleId="88">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18"/>
      <w:szCs w:val="18"/>
    </w:rPr>
  </w:style>
  <w:style w:type="character" w:customStyle="1" w:styleId="89">
    <w:name w:val="Unresolved Mention"/>
    <w:basedOn w:val="32"/>
    <w:semiHidden/>
    <w:unhideWhenUsed/>
    <w:qFormat/>
    <w:uiPriority w:val="99"/>
    <w:rPr>
      <w:color w:val="605E5C"/>
      <w:shd w:val="clear" w:color="auto" w:fill="E1DFDD"/>
    </w:rPr>
  </w:style>
  <w:style w:type="paragraph" w:customStyle="1" w:styleId="90">
    <w:name w:val="正文缩进1"/>
    <w:basedOn w:val="1"/>
    <w:qFormat/>
    <w:uiPriority w:val="0"/>
    <w:pPr>
      <w:spacing w:line="240" w:lineRule="auto"/>
      <w:ind w:firstLine="420"/>
    </w:pPr>
    <w:rPr>
      <w:rFonts w:ascii="Times New Roman" w:hAnsi="Times New Roman"/>
      <w:sz w:val="21"/>
      <w:szCs w:val="20"/>
    </w:rPr>
  </w:style>
  <w:style w:type="paragraph" w:customStyle="1" w:styleId="91">
    <w:name w:val="正文正文2"/>
    <w:basedOn w:val="1"/>
    <w:qFormat/>
    <w:uiPriority w:val="0"/>
    <w:pPr>
      <w:ind w:firstLine="460"/>
    </w:pPr>
    <w:rPr>
      <w:sz w:val="21"/>
      <w:szCs w:val="21"/>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PY</Company>
  <Pages>33</Pages>
  <Words>1765</Words>
  <Characters>10064</Characters>
  <Lines>83</Lines>
  <Paragraphs>23</Paragraphs>
  <TotalTime>203</TotalTime>
  <ScaleCrop>false</ScaleCrop>
  <LinksUpToDate>false</LinksUpToDate>
  <CharactersWithSpaces>11806</CharactersWithSpaces>
  <Application>WPS Office_12.8.2.1113_F1E327BC-269C-435d-A152-05C5408002CA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2024-08-09T14:14:00Z</dcterms:created>
  <dc:creator>PY301</dc:creator>
  <cp:lastModifiedBy>user</cp:lastModifiedBy>
  <dcterms:modified xsi:type="dcterms:W3CDTF">2025-03-18T14:11:02Z</dcterms:modified>
  <dc:title>检察全流程可信子系统建设项目项目可行性研究报告</dc:title>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2052-12.8.2.1113</vt:lpwstr>
  </property>
  <property fmtid="{D5CDD505-2E9C-101B-9397-08002B2CF9AE}" pid="3" name="ICV">
    <vt:lpwstr>64672F69D3A25998E686BD67AD497394</vt:lpwstr>
  </property>
</Properties>
</file>