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16591">
      <w:pPr>
        <w:ind w:firstLine="0" w:firstLineChars="0"/>
        <w:jc w:val="center"/>
        <w:rPr>
          <w:rFonts w:hint="eastAsia" w:ascii="黑体" w:hAnsi="黑体" w:eastAsia="黑体"/>
          <w:sz w:val="48"/>
          <w:szCs w:val="48"/>
        </w:rPr>
      </w:pPr>
    </w:p>
    <w:p w14:paraId="39F2419F">
      <w:pPr>
        <w:ind w:firstLine="0" w:firstLineChars="0"/>
        <w:jc w:val="center"/>
        <w:rPr>
          <w:rFonts w:hint="eastAsia" w:ascii="黑体" w:hAnsi="黑体" w:eastAsia="黑体"/>
          <w:sz w:val="48"/>
          <w:szCs w:val="48"/>
        </w:rPr>
      </w:pPr>
    </w:p>
    <w:p w14:paraId="1DCC315A">
      <w:pPr>
        <w:ind w:firstLine="0" w:firstLineChars="0"/>
        <w:jc w:val="center"/>
        <w:rPr>
          <w:rFonts w:hint="eastAsia" w:ascii="黑体" w:hAnsi="黑体" w:eastAsia="黑体"/>
          <w:sz w:val="48"/>
          <w:szCs w:val="48"/>
        </w:rPr>
      </w:pPr>
    </w:p>
    <w:p w14:paraId="3D8E1333">
      <w:pPr>
        <w:ind w:firstLine="0" w:firstLineChars="0"/>
        <w:jc w:val="center"/>
        <w:rPr>
          <w:rFonts w:hint="eastAsia" w:ascii="黑体" w:hAnsi="黑体" w:eastAsia="黑体"/>
          <w:sz w:val="48"/>
          <w:szCs w:val="48"/>
        </w:rPr>
      </w:pPr>
      <w:r>
        <w:rPr>
          <w:rFonts w:hint="eastAsia" w:ascii="黑体" w:hAnsi="黑体" w:eastAsia="黑体"/>
          <w:sz w:val="48"/>
          <w:szCs w:val="48"/>
        </w:rPr>
        <w:t>上海市人防政务服务大系统 (含“一网通办”和“一网统管”)(2025年升级改造)项目</w:t>
      </w:r>
      <w:bookmarkStart w:id="45" w:name="_GoBack"/>
      <w:bookmarkEnd w:id="45"/>
    </w:p>
    <w:p w14:paraId="0E836CA3">
      <w:pPr>
        <w:ind w:firstLine="0" w:firstLineChars="0"/>
        <w:jc w:val="center"/>
        <w:rPr>
          <w:rFonts w:hint="eastAsia" w:ascii="黑体" w:hAnsi="黑体" w:eastAsia="黑体"/>
          <w:sz w:val="48"/>
          <w:szCs w:val="48"/>
        </w:rPr>
      </w:pPr>
      <w:r>
        <w:rPr>
          <w:rFonts w:hint="eastAsia" w:ascii="黑体" w:hAnsi="黑体" w:eastAsia="黑体"/>
          <w:sz w:val="48"/>
          <w:szCs w:val="48"/>
        </w:rPr>
        <w:t>采购需求</w:t>
      </w:r>
    </w:p>
    <w:p w14:paraId="62EB6C46">
      <w:pPr>
        <w:ind w:firstLine="0" w:firstLineChars="0"/>
        <w:jc w:val="center"/>
        <w:rPr>
          <w:rFonts w:hint="eastAsia" w:ascii="黑体" w:hAnsi="黑体" w:eastAsia="黑体"/>
          <w:sz w:val="72"/>
          <w:szCs w:val="72"/>
        </w:rPr>
      </w:pPr>
    </w:p>
    <w:p w14:paraId="7CA5A912">
      <w:pPr>
        <w:ind w:firstLine="0" w:firstLineChars="0"/>
        <w:jc w:val="center"/>
        <w:rPr>
          <w:rFonts w:hint="eastAsia" w:ascii="黑体" w:hAnsi="黑体" w:eastAsia="黑体"/>
          <w:sz w:val="48"/>
          <w:szCs w:val="48"/>
        </w:rPr>
      </w:pPr>
    </w:p>
    <w:p w14:paraId="7A540A1A">
      <w:pPr>
        <w:ind w:firstLine="0" w:firstLineChars="0"/>
        <w:jc w:val="center"/>
        <w:rPr>
          <w:rFonts w:hint="eastAsia" w:ascii="黑体" w:hAnsi="黑体" w:eastAsia="黑体"/>
          <w:sz w:val="52"/>
          <w:szCs w:val="52"/>
        </w:rPr>
      </w:pPr>
    </w:p>
    <w:p w14:paraId="05147D50">
      <w:pPr>
        <w:ind w:firstLine="1040"/>
        <w:rPr>
          <w:rFonts w:hint="eastAsia" w:ascii="黑体" w:hAnsi="黑体" w:eastAsia="黑体"/>
          <w:sz w:val="52"/>
          <w:szCs w:val="52"/>
        </w:rPr>
      </w:pPr>
    </w:p>
    <w:p w14:paraId="7E180EE5">
      <w:pPr>
        <w:rPr>
          <w:rFonts w:hint="eastAsia"/>
        </w:rPr>
      </w:pPr>
    </w:p>
    <w:p w14:paraId="7C00672A">
      <w:pPr>
        <w:rPr>
          <w:rFonts w:hint="eastAsia"/>
        </w:rPr>
      </w:pPr>
    </w:p>
    <w:p w14:paraId="3682BFC1">
      <w:pPr>
        <w:rPr>
          <w:rFonts w:hint="eastAsia"/>
        </w:rPr>
      </w:pPr>
    </w:p>
    <w:p w14:paraId="51030E94">
      <w:pPr>
        <w:rPr>
          <w:rFonts w:hint="eastAsia"/>
        </w:rPr>
      </w:pPr>
    </w:p>
    <w:p w14:paraId="7D5317D5">
      <w:pPr>
        <w:rPr>
          <w:rFonts w:hint="eastAsia"/>
        </w:rPr>
      </w:pPr>
    </w:p>
    <w:p w14:paraId="77C63EEF">
      <w:pPr>
        <w:rPr>
          <w:rFonts w:hint="eastAsia"/>
        </w:rPr>
      </w:pPr>
    </w:p>
    <w:p w14:paraId="0B696112">
      <w:pPr>
        <w:rPr>
          <w:rFonts w:hint="eastAsia"/>
        </w:rPr>
      </w:pPr>
    </w:p>
    <w:p w14:paraId="10E726B6">
      <w:pPr>
        <w:ind w:firstLine="960"/>
        <w:jc w:val="center"/>
        <w:rPr>
          <w:rFonts w:hint="eastAsia"/>
          <w:sz w:val="22"/>
          <w:szCs w:val="22"/>
        </w:rP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pPr>
    </w:p>
    <w:p w14:paraId="5AE15997">
      <w:pPr>
        <w:pStyle w:val="2"/>
        <w:rPr>
          <w:rFonts w:hint="eastAsia"/>
        </w:rPr>
      </w:pPr>
      <w:bookmarkStart w:id="0" w:name="_Toc63785461"/>
      <w:r>
        <w:rPr>
          <w:rFonts w:hint="eastAsia"/>
        </w:rPr>
        <w:t>项目概况</w:t>
      </w:r>
      <w:bookmarkEnd w:id="0"/>
    </w:p>
    <w:p w14:paraId="1236CBCD">
      <w:pPr>
        <w:spacing w:line="560" w:lineRule="exact"/>
        <w:rPr>
          <w:rFonts w:hint="eastAsia"/>
        </w:rPr>
      </w:pPr>
      <w:r>
        <w:rPr>
          <w:rFonts w:hint="eastAsia"/>
        </w:rPr>
        <w:t>项目背景&amp;现状：本项目是对原有“人防政务服务”业务大系统相关子系统进行升级改造，主要包括2</w:t>
      </w:r>
      <w:r>
        <w:t>个部分内容，</w:t>
      </w:r>
      <w:r>
        <w:rPr>
          <w:rFonts w:hint="eastAsia"/>
        </w:rPr>
        <w:t>分别是“一网通办”政务服务升级改造以及“一网统管”行业监管升级改造。</w:t>
      </w:r>
    </w:p>
    <w:p w14:paraId="5B35380F">
      <w:pPr>
        <w:spacing w:line="560" w:lineRule="exact"/>
        <w:rPr>
          <w:rFonts w:hint="eastAsia"/>
        </w:rPr>
      </w:pPr>
      <w:r>
        <w:rPr>
          <w:rFonts w:hint="eastAsia"/>
        </w:rPr>
        <w:t>建设期限：自合同签订日起至2</w:t>
      </w:r>
      <w:r>
        <w:t>02</w:t>
      </w:r>
      <w:r>
        <w:rPr>
          <w:rFonts w:hint="eastAsia"/>
        </w:rPr>
        <w:t>5年11月</w:t>
      </w:r>
    </w:p>
    <w:p w14:paraId="23B48752">
      <w:pPr>
        <w:spacing w:line="560" w:lineRule="exact"/>
        <w:rPr>
          <w:rFonts w:hint="eastAsia"/>
        </w:rPr>
      </w:pPr>
      <w:r>
        <w:rPr>
          <w:rFonts w:hint="eastAsia"/>
        </w:rPr>
        <w:t>建设地点：上海市民防大厦（</w:t>
      </w:r>
      <w:r>
        <w:t>上海市黄浦区复兴中路593号</w:t>
      </w:r>
      <w:r>
        <w:rPr>
          <w:rFonts w:hint="eastAsia"/>
        </w:rPr>
        <w:t>）</w:t>
      </w:r>
    </w:p>
    <w:p w14:paraId="5FB80F88">
      <w:pPr>
        <w:spacing w:line="560" w:lineRule="exact"/>
        <w:rPr>
          <w:rFonts w:hint="eastAsia"/>
        </w:rPr>
      </w:pPr>
      <w:r>
        <w:rPr>
          <w:rFonts w:hint="eastAsia"/>
        </w:rPr>
        <w:t>预算金额：3050000元</w:t>
      </w:r>
    </w:p>
    <w:p w14:paraId="3338BDD5">
      <w:pPr>
        <w:spacing w:line="560" w:lineRule="exact"/>
        <w:rPr>
          <w:rFonts w:hint="eastAsia"/>
        </w:rPr>
      </w:pPr>
      <w:r>
        <w:rPr>
          <w:rFonts w:hint="eastAsia"/>
        </w:rPr>
        <w:t>采购金额（最高限价）：3050000元</w:t>
      </w:r>
    </w:p>
    <w:p w14:paraId="22D75DA9">
      <w:pPr>
        <w:rPr>
          <w:rFonts w:hint="eastAsia"/>
        </w:rPr>
      </w:pPr>
      <w:r>
        <w:rPr>
          <w:rFonts w:hint="eastAsia"/>
        </w:rPr>
        <w:t>组织形式：集中采购</w:t>
      </w:r>
    </w:p>
    <w:p w14:paraId="3B30E899">
      <w:pPr>
        <w:rPr>
          <w:rFonts w:hint="eastAsia"/>
        </w:rPr>
      </w:pPr>
      <w:r>
        <w:rPr>
          <w:rFonts w:hint="eastAsia"/>
        </w:rPr>
        <w:t>采购方式：竞争性磋商</w:t>
      </w:r>
    </w:p>
    <w:p w14:paraId="5E580501">
      <w:pPr>
        <w:rPr>
          <w:rFonts w:hint="eastAsia"/>
        </w:rPr>
      </w:pPr>
      <w:r>
        <w:rPr>
          <w:rFonts w:hint="eastAsia"/>
        </w:rPr>
        <w:t>是否接受联合体投标：否</w:t>
      </w:r>
    </w:p>
    <w:p w14:paraId="71C4E5E1">
      <w:pPr>
        <w:rPr>
          <w:rFonts w:hint="eastAsia"/>
        </w:rPr>
      </w:pPr>
      <w:r>
        <w:t>是否按信创要求建设：是</w:t>
      </w:r>
    </w:p>
    <w:p w14:paraId="29B3E5DF">
      <w:pPr>
        <w:rPr>
          <w:rFonts w:hint="eastAsia"/>
        </w:rPr>
      </w:pPr>
      <w:r>
        <w:rPr>
          <w:rFonts w:hint="eastAsia"/>
        </w:rPr>
        <w:t>运维后所属大系统：上海市人防政务服务大系统(“一网通办”+“一网统管”)</w:t>
      </w:r>
    </w:p>
    <w:p w14:paraId="75865CAC">
      <w:pPr>
        <w:pStyle w:val="2"/>
        <w:rPr>
          <w:rFonts w:hint="eastAsia"/>
        </w:rPr>
      </w:pPr>
      <w:bookmarkStart w:id="1" w:name="_Toc47532891"/>
      <w:bookmarkEnd w:id="1"/>
      <w:bookmarkStart w:id="2" w:name="_Toc47536644"/>
      <w:bookmarkEnd w:id="2"/>
      <w:bookmarkStart w:id="3" w:name="_Toc47539070"/>
      <w:bookmarkEnd w:id="3"/>
      <w:bookmarkStart w:id="4" w:name="_Toc47531634"/>
      <w:bookmarkEnd w:id="4"/>
      <w:bookmarkStart w:id="5" w:name="_Toc47533256"/>
      <w:bookmarkEnd w:id="5"/>
      <w:bookmarkStart w:id="6" w:name="_Toc47537134"/>
      <w:bookmarkEnd w:id="6"/>
      <w:bookmarkStart w:id="7" w:name="_Toc47536272"/>
      <w:bookmarkEnd w:id="7"/>
      <w:bookmarkStart w:id="8" w:name="_Toc47532255"/>
      <w:bookmarkEnd w:id="8"/>
      <w:bookmarkStart w:id="9" w:name="_Toc63785463"/>
      <w:bookmarkStart w:id="10" w:name="_Toc48223882"/>
      <w:r>
        <w:rPr>
          <w:rFonts w:hint="eastAsia"/>
        </w:rPr>
        <w:t>建设目标</w:t>
      </w:r>
      <w:bookmarkEnd w:id="9"/>
      <w:bookmarkEnd w:id="10"/>
    </w:p>
    <w:p w14:paraId="3E9E2952">
      <w:pPr>
        <w:spacing w:line="560" w:lineRule="exact"/>
        <w:rPr>
          <w:rFonts w:hint="eastAsia"/>
        </w:rPr>
      </w:pPr>
      <w:r>
        <w:rPr>
          <w:rFonts w:hint="eastAsia"/>
        </w:rPr>
        <w:t>结合人防在实际审批工作中的难点、痛点、堵点问题，打造基于市“一网协同”统一受理平台的集成开放能力，对市国动办“一网通办”政务服务事项进行升级改造，通过对新建民用建筑防空地下室同步建设审批、建设骨干民防工程资金补贴（终审）等不同受理模式的服务审批事项进行申请重构，审批汇总，流程再造，移动端适配，有效改善用户体验、提升服务质量，实现“一网通办”事项审批效能的整体跃迁，满足市国动办优化规范审批服务、提升网办效能、深化“免审即享”、提升“一件事”改革成效等工作任务要求，整体推进市国动办的高质量数字化转型发展。同时，进一步提升“一网通办”支撑能力，针对“一网通办”业务办理过程中国动业务办理和业务流转中的不足进行效能提升，优化行政协助办件内部审批系统，对人防工程档案进行升级改造，对网站进行无障碍改造，实现人防工程“一网通办”的效能提升。</w:t>
      </w:r>
    </w:p>
    <w:p w14:paraId="54A40BED">
      <w:pPr>
        <w:spacing w:line="560" w:lineRule="exact"/>
        <w:rPr>
          <w:rFonts w:hint="eastAsia"/>
        </w:rPr>
      </w:pPr>
      <w:r>
        <w:rPr>
          <w:rFonts w:hint="eastAsia"/>
        </w:rPr>
        <w:t>为提升国动“一网统管”行业数字化监管能力，依据《2024年度上海市国防动员办公室推进城市运行“一网统管”任务清单》，重点加强人防工程的智能监控及数据中心支撑。项目将升级大屏可视化系统，实现对人防码、市直属工程及防汛防台的可视化监管，并增强自定义配置能力，以支持多场景高效服务。同时，依据国动办的指导意见，建立全市统一的物联感知监管平台，确保数据统一接入、管理与预警分析，提升物联设备的管控能力。此外，打造市直属人防工程的“一张图”应用，提供全面的可视化地图监管，支持层面切换、图层筛选及场景模拟。针对防汛防台，建设专项应用，自动匹配协调各相关单位的值班人员，落实应急响应规范。最后，建立应建未建专项排查应用，摸清人防工程底数，推动整改并加强对未整改项目的管理。</w:t>
      </w:r>
    </w:p>
    <w:p w14:paraId="1EAF6A1A">
      <w:pPr>
        <w:pStyle w:val="3"/>
        <w:ind w:left="0"/>
        <w:rPr>
          <w:rFonts w:hint="eastAsia"/>
          <w:lang w:val="en-US" w:eastAsia="zh-CN"/>
        </w:rPr>
      </w:pPr>
      <w:bookmarkStart w:id="11" w:name="_Toc23421"/>
      <w:bookmarkStart w:id="12" w:name="_Toc1234"/>
      <w:bookmarkStart w:id="13" w:name="_Toc972"/>
      <w:bookmarkStart w:id="14" w:name="_Toc24656"/>
      <w:bookmarkStart w:id="15" w:name="_Toc9398"/>
      <w:r>
        <w:rPr>
          <w:rFonts w:hint="eastAsia"/>
          <w:lang w:val="en-US" w:eastAsia="zh-CN"/>
        </w:rPr>
        <w:t>业务绩效考核目标</w:t>
      </w:r>
      <w:bookmarkEnd w:id="11"/>
      <w:bookmarkEnd w:id="12"/>
      <w:bookmarkEnd w:id="13"/>
      <w:bookmarkEnd w:id="14"/>
      <w:bookmarkEnd w:id="15"/>
    </w:p>
    <w:tbl>
      <w:tblPr>
        <w:tblStyle w:val="35"/>
        <w:tblW w:w="5000" w:type="pct"/>
        <w:tblInd w:w="0" w:type="dxa"/>
        <w:tblLayout w:type="autofit"/>
        <w:tblCellMar>
          <w:top w:w="0" w:type="dxa"/>
          <w:left w:w="108" w:type="dxa"/>
          <w:bottom w:w="0" w:type="dxa"/>
          <w:right w:w="108" w:type="dxa"/>
        </w:tblCellMar>
      </w:tblPr>
      <w:tblGrid>
        <w:gridCol w:w="723"/>
        <w:gridCol w:w="1298"/>
        <w:gridCol w:w="1412"/>
        <w:gridCol w:w="1808"/>
        <w:gridCol w:w="1905"/>
        <w:gridCol w:w="1382"/>
      </w:tblGrid>
      <w:tr w14:paraId="4ECE06A4">
        <w:tblPrEx>
          <w:tblCellMar>
            <w:top w:w="0" w:type="dxa"/>
            <w:left w:w="108" w:type="dxa"/>
            <w:bottom w:w="0" w:type="dxa"/>
            <w:right w:w="108" w:type="dxa"/>
          </w:tblCellMar>
        </w:tblPrEx>
        <w:trPr>
          <w:trHeight w:val="398" w:hRule="atLeast"/>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4A862928">
            <w:pPr>
              <w:widowControl/>
              <w:spacing w:line="240" w:lineRule="auto"/>
              <w:ind w:firstLine="0" w:firstLineChars="0"/>
              <w:jc w:val="center"/>
              <w:rPr>
                <w:rFonts w:hint="eastAsia" w:ascii="宋体" w:hAnsi="宋体" w:eastAsia="宋体" w:cs="宋体"/>
                <w:color w:val="000000"/>
                <w:kern w:val="0"/>
                <w:sz w:val="24"/>
                <w:szCs w:val="24"/>
              </w:rPr>
            </w:pPr>
            <w:bookmarkStart w:id="16" w:name="_Toc11969"/>
            <w:bookmarkStart w:id="17" w:name="_Toc24424"/>
            <w:r>
              <w:rPr>
                <w:rFonts w:hint="eastAsia" w:ascii="宋体" w:hAnsi="宋体" w:eastAsia="宋体" w:cs="宋体"/>
                <w:b/>
                <w:bCs/>
                <w:kern w:val="0"/>
                <w:sz w:val="24"/>
                <w:szCs w:val="24"/>
              </w:rPr>
              <w:t>序号</w:t>
            </w:r>
          </w:p>
        </w:tc>
        <w:tc>
          <w:tcPr>
            <w:tcW w:w="761" w:type="pct"/>
            <w:tcBorders>
              <w:top w:val="single" w:color="auto" w:sz="4" w:space="0"/>
              <w:left w:val="nil"/>
              <w:bottom w:val="single" w:color="auto" w:sz="4" w:space="0"/>
              <w:right w:val="single" w:color="auto" w:sz="4" w:space="0"/>
            </w:tcBorders>
            <w:shd w:val="clear" w:color="auto" w:fill="auto"/>
            <w:vAlign w:val="center"/>
          </w:tcPr>
          <w:p w14:paraId="17E5C8D6">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b/>
                <w:bCs/>
                <w:kern w:val="0"/>
                <w:sz w:val="24"/>
                <w:szCs w:val="24"/>
              </w:rPr>
              <w:t>一级指标</w:t>
            </w:r>
          </w:p>
        </w:tc>
        <w:tc>
          <w:tcPr>
            <w:tcW w:w="828" w:type="pct"/>
            <w:tcBorders>
              <w:top w:val="single" w:color="auto" w:sz="4" w:space="0"/>
              <w:left w:val="nil"/>
              <w:bottom w:val="single" w:color="auto" w:sz="4" w:space="0"/>
              <w:right w:val="single" w:color="auto" w:sz="4" w:space="0"/>
            </w:tcBorders>
            <w:shd w:val="clear" w:color="auto" w:fill="auto"/>
            <w:vAlign w:val="center"/>
          </w:tcPr>
          <w:p w14:paraId="65568365">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b/>
                <w:bCs/>
                <w:kern w:val="0"/>
                <w:sz w:val="24"/>
                <w:szCs w:val="24"/>
              </w:rPr>
              <w:t>二级指标</w:t>
            </w:r>
          </w:p>
        </w:tc>
        <w:tc>
          <w:tcPr>
            <w:tcW w:w="1060" w:type="pct"/>
            <w:tcBorders>
              <w:top w:val="single" w:color="auto" w:sz="4" w:space="0"/>
              <w:left w:val="nil"/>
              <w:bottom w:val="single" w:color="auto" w:sz="4" w:space="0"/>
              <w:right w:val="single" w:color="auto" w:sz="4" w:space="0"/>
            </w:tcBorders>
            <w:shd w:val="clear" w:color="auto" w:fill="auto"/>
            <w:vAlign w:val="center"/>
          </w:tcPr>
          <w:p w14:paraId="42FBA8BC">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b/>
                <w:bCs/>
                <w:kern w:val="0"/>
                <w:sz w:val="24"/>
                <w:szCs w:val="24"/>
              </w:rPr>
              <w:t>三级指标</w:t>
            </w:r>
          </w:p>
        </w:tc>
        <w:tc>
          <w:tcPr>
            <w:tcW w:w="1117" w:type="pct"/>
            <w:tcBorders>
              <w:top w:val="single" w:color="auto" w:sz="4" w:space="0"/>
              <w:left w:val="nil"/>
              <w:bottom w:val="single" w:color="auto" w:sz="4" w:space="0"/>
              <w:right w:val="single" w:color="auto" w:sz="4" w:space="0"/>
            </w:tcBorders>
            <w:shd w:val="clear" w:color="auto" w:fill="auto"/>
            <w:vAlign w:val="center"/>
          </w:tcPr>
          <w:p w14:paraId="4B85157A">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b/>
                <w:bCs/>
                <w:kern w:val="0"/>
                <w:sz w:val="24"/>
                <w:szCs w:val="24"/>
              </w:rPr>
              <w:t>四级指标</w:t>
            </w:r>
          </w:p>
        </w:tc>
        <w:tc>
          <w:tcPr>
            <w:tcW w:w="810" w:type="pct"/>
            <w:tcBorders>
              <w:top w:val="single" w:color="auto" w:sz="4" w:space="0"/>
              <w:left w:val="nil"/>
              <w:bottom w:val="single" w:color="auto" w:sz="4" w:space="0"/>
              <w:right w:val="single" w:color="auto" w:sz="4" w:space="0"/>
            </w:tcBorders>
            <w:shd w:val="clear" w:color="auto" w:fill="auto"/>
            <w:vAlign w:val="center"/>
          </w:tcPr>
          <w:p w14:paraId="4B95D9B6">
            <w:pPr>
              <w:widowControl/>
              <w:spacing w:line="240" w:lineRule="auto"/>
              <w:ind w:firstLine="0" w:firstLineChars="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指标值</w:t>
            </w:r>
          </w:p>
        </w:tc>
      </w:tr>
      <w:tr w14:paraId="0FCA70F1">
        <w:tblPrEx>
          <w:tblCellMar>
            <w:top w:w="0" w:type="dxa"/>
            <w:left w:w="108" w:type="dxa"/>
            <w:bottom w:w="0" w:type="dxa"/>
            <w:right w:w="108" w:type="dxa"/>
          </w:tblCellMar>
        </w:tblPrEx>
        <w:trPr>
          <w:trHeight w:val="778" w:hRule="atLeast"/>
        </w:trPr>
        <w:tc>
          <w:tcPr>
            <w:tcW w:w="424" w:type="pct"/>
            <w:tcBorders>
              <w:top w:val="nil"/>
              <w:left w:val="single" w:color="auto" w:sz="4" w:space="0"/>
              <w:bottom w:val="single" w:color="auto" w:sz="4" w:space="0"/>
              <w:right w:val="single" w:color="auto" w:sz="4" w:space="0"/>
            </w:tcBorders>
            <w:shd w:val="clear" w:color="auto" w:fill="auto"/>
            <w:vAlign w:val="center"/>
          </w:tcPr>
          <w:p w14:paraId="50E18E27">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61" w:type="pct"/>
            <w:vMerge w:val="restart"/>
            <w:tcBorders>
              <w:top w:val="nil"/>
              <w:left w:val="single" w:color="auto" w:sz="4" w:space="0"/>
              <w:bottom w:val="single" w:color="auto" w:sz="4" w:space="0"/>
              <w:right w:val="single" w:color="auto" w:sz="4" w:space="0"/>
            </w:tcBorders>
            <w:shd w:val="clear" w:color="auto" w:fill="auto"/>
            <w:vAlign w:val="center"/>
          </w:tcPr>
          <w:p w14:paraId="7817606E">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通用指标</w:t>
            </w:r>
          </w:p>
        </w:tc>
        <w:tc>
          <w:tcPr>
            <w:tcW w:w="828" w:type="pct"/>
            <w:tcBorders>
              <w:top w:val="nil"/>
              <w:left w:val="nil"/>
              <w:bottom w:val="single" w:color="auto" w:sz="4" w:space="0"/>
              <w:right w:val="single" w:color="auto" w:sz="4" w:space="0"/>
            </w:tcBorders>
            <w:shd w:val="clear" w:color="auto" w:fill="auto"/>
            <w:vAlign w:val="center"/>
          </w:tcPr>
          <w:p w14:paraId="33DB5C3D">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产出指标</w:t>
            </w:r>
          </w:p>
        </w:tc>
        <w:tc>
          <w:tcPr>
            <w:tcW w:w="1060" w:type="pct"/>
            <w:tcBorders>
              <w:top w:val="nil"/>
              <w:left w:val="nil"/>
              <w:bottom w:val="single" w:color="auto" w:sz="4" w:space="0"/>
              <w:right w:val="single" w:color="auto" w:sz="4" w:space="0"/>
            </w:tcBorders>
            <w:shd w:val="clear" w:color="auto" w:fill="auto"/>
            <w:vAlign w:val="center"/>
          </w:tcPr>
          <w:p w14:paraId="016E68CE">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产出质量</w:t>
            </w:r>
          </w:p>
        </w:tc>
        <w:tc>
          <w:tcPr>
            <w:tcW w:w="1117" w:type="pct"/>
            <w:tcBorders>
              <w:top w:val="nil"/>
              <w:left w:val="nil"/>
              <w:bottom w:val="single" w:color="auto" w:sz="4" w:space="0"/>
              <w:right w:val="single" w:color="auto" w:sz="4" w:space="0"/>
            </w:tcBorders>
            <w:shd w:val="clear" w:color="auto" w:fill="auto"/>
            <w:vAlign w:val="center"/>
          </w:tcPr>
          <w:p w14:paraId="03B755BF">
            <w:pPr>
              <w:widowControl/>
              <w:spacing w:line="240" w:lineRule="auto"/>
              <w:ind w:firstLine="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一次性验收合</w:t>
            </w:r>
          </w:p>
          <w:p w14:paraId="2B6128A0">
            <w:pPr>
              <w:widowControl/>
              <w:spacing w:line="240" w:lineRule="auto"/>
              <w:ind w:firstLine="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格率</w:t>
            </w:r>
          </w:p>
        </w:tc>
        <w:tc>
          <w:tcPr>
            <w:tcW w:w="810" w:type="pct"/>
            <w:tcBorders>
              <w:top w:val="nil"/>
              <w:left w:val="nil"/>
              <w:bottom w:val="single" w:color="auto" w:sz="4" w:space="0"/>
              <w:right w:val="single" w:color="auto" w:sz="4" w:space="0"/>
            </w:tcBorders>
            <w:shd w:val="clear" w:color="auto" w:fill="auto"/>
            <w:vAlign w:val="center"/>
          </w:tcPr>
          <w:p w14:paraId="496055DA">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w:t>
            </w:r>
          </w:p>
        </w:tc>
      </w:tr>
      <w:tr w14:paraId="70E4DA13">
        <w:tblPrEx>
          <w:tblCellMar>
            <w:top w:w="0" w:type="dxa"/>
            <w:left w:w="108" w:type="dxa"/>
            <w:bottom w:w="0" w:type="dxa"/>
            <w:right w:w="108" w:type="dxa"/>
          </w:tblCellMar>
        </w:tblPrEx>
        <w:trPr>
          <w:trHeight w:val="773" w:hRule="atLeast"/>
        </w:trPr>
        <w:tc>
          <w:tcPr>
            <w:tcW w:w="424" w:type="pct"/>
            <w:tcBorders>
              <w:top w:val="nil"/>
              <w:left w:val="single" w:color="auto" w:sz="4" w:space="0"/>
              <w:bottom w:val="single" w:color="auto" w:sz="4" w:space="0"/>
              <w:right w:val="single" w:color="auto" w:sz="4" w:space="0"/>
            </w:tcBorders>
            <w:shd w:val="clear" w:color="auto" w:fill="auto"/>
            <w:vAlign w:val="center"/>
          </w:tcPr>
          <w:p w14:paraId="645B7629">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761" w:type="pct"/>
            <w:vMerge w:val="continue"/>
            <w:tcBorders>
              <w:top w:val="nil"/>
              <w:left w:val="single" w:color="auto" w:sz="4" w:space="0"/>
              <w:bottom w:val="single" w:color="auto" w:sz="4" w:space="0"/>
              <w:right w:val="single" w:color="auto" w:sz="4" w:space="0"/>
            </w:tcBorders>
            <w:vAlign w:val="center"/>
          </w:tcPr>
          <w:p w14:paraId="23D0EDF8">
            <w:pPr>
              <w:widowControl/>
              <w:spacing w:line="240" w:lineRule="auto"/>
              <w:ind w:firstLine="0" w:firstLineChars="0"/>
              <w:jc w:val="left"/>
              <w:rPr>
                <w:rFonts w:hint="eastAsia" w:ascii="宋体" w:hAnsi="宋体" w:eastAsia="宋体" w:cs="宋体"/>
                <w:color w:val="000000"/>
                <w:kern w:val="0"/>
                <w:sz w:val="24"/>
                <w:szCs w:val="24"/>
              </w:rPr>
            </w:pPr>
          </w:p>
        </w:tc>
        <w:tc>
          <w:tcPr>
            <w:tcW w:w="828" w:type="pct"/>
            <w:tcBorders>
              <w:top w:val="nil"/>
              <w:left w:val="nil"/>
              <w:bottom w:val="single" w:color="auto" w:sz="4" w:space="0"/>
              <w:right w:val="single" w:color="auto" w:sz="4" w:space="0"/>
            </w:tcBorders>
            <w:shd w:val="clear" w:color="auto" w:fill="auto"/>
            <w:vAlign w:val="center"/>
          </w:tcPr>
          <w:p w14:paraId="21460C3A">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产出指标</w:t>
            </w:r>
          </w:p>
        </w:tc>
        <w:tc>
          <w:tcPr>
            <w:tcW w:w="1060" w:type="pct"/>
            <w:tcBorders>
              <w:top w:val="nil"/>
              <w:left w:val="nil"/>
              <w:bottom w:val="single" w:color="auto" w:sz="4" w:space="0"/>
              <w:right w:val="single" w:color="auto" w:sz="4" w:space="0"/>
            </w:tcBorders>
            <w:shd w:val="clear" w:color="auto" w:fill="auto"/>
            <w:vAlign w:val="center"/>
          </w:tcPr>
          <w:p w14:paraId="174FCB57">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产出质量</w:t>
            </w:r>
          </w:p>
        </w:tc>
        <w:tc>
          <w:tcPr>
            <w:tcW w:w="1117" w:type="pct"/>
            <w:tcBorders>
              <w:top w:val="nil"/>
              <w:left w:val="nil"/>
              <w:bottom w:val="single" w:color="auto" w:sz="4" w:space="0"/>
              <w:right w:val="single" w:color="auto" w:sz="4" w:space="0"/>
            </w:tcBorders>
            <w:shd w:val="clear" w:color="auto" w:fill="auto"/>
            <w:vAlign w:val="center"/>
          </w:tcPr>
          <w:p w14:paraId="6B3879E8">
            <w:pPr>
              <w:widowControl/>
              <w:spacing w:line="240" w:lineRule="auto"/>
              <w:ind w:firstLine="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数据安全事件</w:t>
            </w:r>
          </w:p>
          <w:p w14:paraId="70A9A70C">
            <w:pPr>
              <w:widowControl/>
              <w:spacing w:line="240" w:lineRule="auto"/>
              <w:ind w:firstLine="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发生次数</w:t>
            </w:r>
          </w:p>
        </w:tc>
        <w:tc>
          <w:tcPr>
            <w:tcW w:w="810" w:type="pct"/>
            <w:tcBorders>
              <w:top w:val="nil"/>
              <w:left w:val="nil"/>
              <w:bottom w:val="single" w:color="auto" w:sz="4" w:space="0"/>
              <w:right w:val="single" w:color="auto" w:sz="4" w:space="0"/>
            </w:tcBorders>
            <w:shd w:val="clear" w:color="auto" w:fill="auto"/>
            <w:vAlign w:val="center"/>
          </w:tcPr>
          <w:p w14:paraId="377A7B9C">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w:t>
            </w:r>
          </w:p>
        </w:tc>
      </w:tr>
      <w:tr w14:paraId="16A99BFF">
        <w:tblPrEx>
          <w:tblCellMar>
            <w:top w:w="0" w:type="dxa"/>
            <w:left w:w="108" w:type="dxa"/>
            <w:bottom w:w="0" w:type="dxa"/>
            <w:right w:w="108" w:type="dxa"/>
          </w:tblCellMar>
        </w:tblPrEx>
        <w:trPr>
          <w:trHeight w:val="390" w:hRule="atLeast"/>
        </w:trPr>
        <w:tc>
          <w:tcPr>
            <w:tcW w:w="424" w:type="pct"/>
            <w:tcBorders>
              <w:top w:val="nil"/>
              <w:left w:val="single" w:color="auto" w:sz="4" w:space="0"/>
              <w:bottom w:val="single" w:color="auto" w:sz="4" w:space="0"/>
              <w:right w:val="single" w:color="auto" w:sz="4" w:space="0"/>
            </w:tcBorders>
            <w:shd w:val="clear" w:color="auto" w:fill="auto"/>
            <w:vAlign w:val="center"/>
          </w:tcPr>
          <w:p w14:paraId="168EF2E8">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761" w:type="pct"/>
            <w:vMerge w:val="continue"/>
            <w:tcBorders>
              <w:top w:val="nil"/>
              <w:left w:val="single" w:color="auto" w:sz="4" w:space="0"/>
              <w:bottom w:val="single" w:color="auto" w:sz="4" w:space="0"/>
              <w:right w:val="single" w:color="auto" w:sz="4" w:space="0"/>
            </w:tcBorders>
            <w:vAlign w:val="center"/>
          </w:tcPr>
          <w:p w14:paraId="05096642">
            <w:pPr>
              <w:widowControl/>
              <w:spacing w:line="240" w:lineRule="auto"/>
              <w:ind w:firstLine="0" w:firstLineChars="0"/>
              <w:jc w:val="left"/>
              <w:rPr>
                <w:rFonts w:hint="eastAsia" w:ascii="宋体" w:hAnsi="宋体" w:eastAsia="宋体" w:cs="宋体"/>
                <w:color w:val="000000"/>
                <w:kern w:val="0"/>
                <w:sz w:val="24"/>
                <w:szCs w:val="24"/>
              </w:rPr>
            </w:pPr>
          </w:p>
        </w:tc>
        <w:tc>
          <w:tcPr>
            <w:tcW w:w="828" w:type="pct"/>
            <w:tcBorders>
              <w:top w:val="nil"/>
              <w:left w:val="nil"/>
              <w:bottom w:val="single" w:color="auto" w:sz="4" w:space="0"/>
              <w:right w:val="single" w:color="auto" w:sz="4" w:space="0"/>
            </w:tcBorders>
            <w:shd w:val="clear" w:color="auto" w:fill="auto"/>
            <w:vAlign w:val="center"/>
          </w:tcPr>
          <w:p w14:paraId="54A49963">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产出指标</w:t>
            </w:r>
          </w:p>
        </w:tc>
        <w:tc>
          <w:tcPr>
            <w:tcW w:w="1060" w:type="pct"/>
            <w:tcBorders>
              <w:top w:val="nil"/>
              <w:left w:val="nil"/>
              <w:bottom w:val="single" w:color="auto" w:sz="4" w:space="0"/>
              <w:right w:val="single" w:color="auto" w:sz="4" w:space="0"/>
            </w:tcBorders>
            <w:shd w:val="clear" w:color="auto" w:fill="auto"/>
            <w:vAlign w:val="center"/>
          </w:tcPr>
          <w:p w14:paraId="499D59A2">
            <w:pPr>
              <w:jc w:val="center"/>
              <w:rPr>
                <w:rFonts w:hint="eastAsia" w:ascii="宋体" w:hAnsi="宋体" w:eastAsia="宋体" w:cs="宋体"/>
                <w:bCs w:val="0"/>
                <w:color w:val="000000"/>
                <w:kern w:val="0"/>
                <w:sz w:val="24"/>
                <w:szCs w:val="24"/>
                <w:lang w:val="en-US" w:eastAsia="zh-CN" w:bidi="ar-SA"/>
              </w:rPr>
            </w:pPr>
            <w:r>
              <w:rPr>
                <w:rFonts w:hint="eastAsia" w:ascii="宋体" w:hAnsi="宋体" w:eastAsia="宋体" w:cs="宋体"/>
                <w:bCs w:val="0"/>
                <w:kern w:val="0"/>
                <w:sz w:val="24"/>
                <w:szCs w:val="24"/>
                <w:lang w:val="en-US" w:eastAsia="zh-CN" w:bidi="ar-SA"/>
              </w:rPr>
              <w:t>产出时效</w:t>
            </w:r>
          </w:p>
        </w:tc>
        <w:tc>
          <w:tcPr>
            <w:tcW w:w="1117" w:type="pct"/>
            <w:tcBorders>
              <w:top w:val="nil"/>
              <w:left w:val="nil"/>
              <w:bottom w:val="single" w:color="auto" w:sz="4" w:space="0"/>
              <w:right w:val="single" w:color="auto" w:sz="4" w:space="0"/>
            </w:tcBorders>
            <w:shd w:val="clear" w:color="auto" w:fill="auto"/>
            <w:vAlign w:val="center"/>
          </w:tcPr>
          <w:p w14:paraId="3484808E">
            <w:pPr>
              <w:widowControl/>
              <w:spacing w:line="240" w:lineRule="auto"/>
              <w:ind w:firstLine="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项目建设周期</w:t>
            </w:r>
          </w:p>
        </w:tc>
        <w:tc>
          <w:tcPr>
            <w:tcW w:w="810" w:type="pct"/>
            <w:tcBorders>
              <w:top w:val="nil"/>
              <w:left w:val="nil"/>
              <w:bottom w:val="single" w:color="auto" w:sz="4" w:space="0"/>
              <w:right w:val="single" w:color="auto" w:sz="4" w:space="0"/>
            </w:tcBorders>
            <w:shd w:val="clear" w:color="auto" w:fill="auto"/>
            <w:vAlign w:val="center"/>
          </w:tcPr>
          <w:p w14:paraId="5A44A638">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12个月</w:t>
            </w:r>
          </w:p>
        </w:tc>
      </w:tr>
      <w:tr w14:paraId="3C78C369">
        <w:tblPrEx>
          <w:tblCellMar>
            <w:top w:w="0" w:type="dxa"/>
            <w:left w:w="108" w:type="dxa"/>
            <w:bottom w:w="0" w:type="dxa"/>
            <w:right w:w="108" w:type="dxa"/>
          </w:tblCellMar>
        </w:tblPrEx>
        <w:trPr>
          <w:trHeight w:val="1153" w:hRule="atLeast"/>
        </w:trPr>
        <w:tc>
          <w:tcPr>
            <w:tcW w:w="424" w:type="pct"/>
            <w:tcBorders>
              <w:top w:val="nil"/>
              <w:left w:val="single" w:color="auto" w:sz="4" w:space="0"/>
              <w:bottom w:val="single" w:color="auto" w:sz="4" w:space="0"/>
              <w:right w:val="single" w:color="auto" w:sz="4" w:space="0"/>
            </w:tcBorders>
            <w:shd w:val="clear" w:color="auto" w:fill="auto"/>
            <w:vAlign w:val="center"/>
          </w:tcPr>
          <w:p w14:paraId="03D23D76">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761" w:type="pct"/>
            <w:vMerge w:val="continue"/>
            <w:tcBorders>
              <w:top w:val="nil"/>
              <w:left w:val="single" w:color="auto" w:sz="4" w:space="0"/>
              <w:bottom w:val="single" w:color="auto" w:sz="4" w:space="0"/>
              <w:right w:val="single" w:color="auto" w:sz="4" w:space="0"/>
            </w:tcBorders>
            <w:vAlign w:val="center"/>
          </w:tcPr>
          <w:p w14:paraId="338C97B5">
            <w:pPr>
              <w:widowControl/>
              <w:spacing w:line="240" w:lineRule="auto"/>
              <w:ind w:firstLine="0" w:firstLineChars="0"/>
              <w:jc w:val="left"/>
              <w:rPr>
                <w:rFonts w:hint="eastAsia" w:ascii="宋体" w:hAnsi="宋体" w:eastAsia="宋体" w:cs="宋体"/>
                <w:color w:val="000000"/>
                <w:kern w:val="0"/>
                <w:sz w:val="24"/>
                <w:szCs w:val="24"/>
              </w:rPr>
            </w:pPr>
          </w:p>
        </w:tc>
        <w:tc>
          <w:tcPr>
            <w:tcW w:w="828" w:type="pct"/>
            <w:tcBorders>
              <w:top w:val="nil"/>
              <w:left w:val="nil"/>
              <w:bottom w:val="single" w:color="auto" w:sz="4" w:space="0"/>
              <w:right w:val="single" w:color="auto" w:sz="4" w:space="0"/>
            </w:tcBorders>
            <w:shd w:val="clear" w:color="auto" w:fill="auto"/>
            <w:vAlign w:val="center"/>
          </w:tcPr>
          <w:p w14:paraId="33A4CB4E">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支撑系统</w:t>
            </w:r>
          </w:p>
          <w:p w14:paraId="54182CED">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/数据库/</w:t>
            </w:r>
          </w:p>
          <w:p w14:paraId="3E8065C7">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中间件</w:t>
            </w:r>
          </w:p>
        </w:tc>
        <w:tc>
          <w:tcPr>
            <w:tcW w:w="1060" w:type="pct"/>
            <w:tcBorders>
              <w:top w:val="nil"/>
              <w:left w:val="nil"/>
              <w:bottom w:val="single" w:color="auto" w:sz="4" w:space="0"/>
              <w:right w:val="single" w:color="auto" w:sz="4" w:space="0"/>
            </w:tcBorders>
            <w:shd w:val="clear" w:color="auto" w:fill="auto"/>
            <w:vAlign w:val="center"/>
          </w:tcPr>
          <w:p w14:paraId="5ECD496D">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数字底座支撑</w:t>
            </w:r>
          </w:p>
          <w:p w14:paraId="0486B50A">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能力</w:t>
            </w:r>
          </w:p>
        </w:tc>
        <w:tc>
          <w:tcPr>
            <w:tcW w:w="1117" w:type="pct"/>
            <w:tcBorders>
              <w:top w:val="nil"/>
              <w:left w:val="nil"/>
              <w:bottom w:val="single" w:color="auto" w:sz="4" w:space="0"/>
              <w:right w:val="single" w:color="auto" w:sz="4" w:space="0"/>
            </w:tcBorders>
            <w:shd w:val="clear" w:color="auto" w:fill="auto"/>
            <w:vAlign w:val="center"/>
          </w:tcPr>
          <w:p w14:paraId="3EDBFD53">
            <w:pPr>
              <w:widowControl/>
              <w:spacing w:line="240" w:lineRule="auto"/>
              <w:ind w:firstLine="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支撑业务数量</w:t>
            </w:r>
          </w:p>
        </w:tc>
        <w:tc>
          <w:tcPr>
            <w:tcW w:w="810" w:type="pct"/>
            <w:tcBorders>
              <w:top w:val="nil"/>
              <w:left w:val="nil"/>
              <w:bottom w:val="single" w:color="auto" w:sz="4" w:space="0"/>
              <w:right w:val="single" w:color="auto" w:sz="4" w:space="0"/>
            </w:tcBorders>
            <w:shd w:val="clear" w:color="auto" w:fill="auto"/>
            <w:vAlign w:val="center"/>
          </w:tcPr>
          <w:p w14:paraId="189237F0">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r>
      <w:tr w14:paraId="0E861391">
        <w:tblPrEx>
          <w:tblCellMar>
            <w:top w:w="0" w:type="dxa"/>
            <w:left w:w="108" w:type="dxa"/>
            <w:bottom w:w="0" w:type="dxa"/>
            <w:right w:w="108" w:type="dxa"/>
          </w:tblCellMar>
        </w:tblPrEx>
        <w:trPr>
          <w:trHeight w:val="390" w:hRule="atLeast"/>
        </w:trPr>
        <w:tc>
          <w:tcPr>
            <w:tcW w:w="424" w:type="pct"/>
            <w:tcBorders>
              <w:top w:val="nil"/>
              <w:left w:val="single" w:color="auto" w:sz="4" w:space="0"/>
              <w:bottom w:val="single" w:color="auto" w:sz="4" w:space="0"/>
              <w:right w:val="single" w:color="auto" w:sz="4" w:space="0"/>
            </w:tcBorders>
            <w:shd w:val="clear" w:color="auto" w:fill="auto"/>
            <w:vAlign w:val="center"/>
          </w:tcPr>
          <w:p w14:paraId="7FED6915">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761" w:type="pct"/>
            <w:vMerge w:val="continue"/>
            <w:tcBorders>
              <w:top w:val="nil"/>
              <w:left w:val="single" w:color="auto" w:sz="4" w:space="0"/>
              <w:bottom w:val="single" w:color="auto" w:sz="4" w:space="0"/>
              <w:right w:val="single" w:color="auto" w:sz="4" w:space="0"/>
            </w:tcBorders>
            <w:vAlign w:val="center"/>
          </w:tcPr>
          <w:p w14:paraId="51E557F1">
            <w:pPr>
              <w:widowControl/>
              <w:spacing w:line="240" w:lineRule="auto"/>
              <w:ind w:firstLine="0" w:firstLineChars="0"/>
              <w:jc w:val="left"/>
              <w:rPr>
                <w:rFonts w:hint="eastAsia" w:ascii="宋体" w:hAnsi="宋体" w:eastAsia="宋体" w:cs="宋体"/>
                <w:color w:val="000000"/>
                <w:kern w:val="0"/>
                <w:sz w:val="24"/>
                <w:szCs w:val="24"/>
              </w:rPr>
            </w:pPr>
          </w:p>
        </w:tc>
        <w:tc>
          <w:tcPr>
            <w:tcW w:w="828" w:type="pct"/>
            <w:tcBorders>
              <w:top w:val="nil"/>
              <w:left w:val="nil"/>
              <w:bottom w:val="single" w:color="auto" w:sz="4" w:space="0"/>
              <w:right w:val="single" w:color="auto" w:sz="4" w:space="0"/>
            </w:tcBorders>
            <w:shd w:val="clear" w:color="auto" w:fill="auto"/>
            <w:vAlign w:val="center"/>
          </w:tcPr>
          <w:p w14:paraId="666BA891">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应用系统</w:t>
            </w:r>
          </w:p>
        </w:tc>
        <w:tc>
          <w:tcPr>
            <w:tcW w:w="1060" w:type="pct"/>
            <w:tcBorders>
              <w:top w:val="nil"/>
              <w:left w:val="nil"/>
              <w:bottom w:val="single" w:color="auto" w:sz="4" w:space="0"/>
              <w:right w:val="single" w:color="auto" w:sz="4" w:space="0"/>
            </w:tcBorders>
            <w:shd w:val="clear" w:color="auto" w:fill="auto"/>
            <w:vAlign w:val="center"/>
          </w:tcPr>
          <w:p w14:paraId="4B2EB1B8">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用户使用情况</w:t>
            </w:r>
          </w:p>
        </w:tc>
        <w:tc>
          <w:tcPr>
            <w:tcW w:w="1117" w:type="pct"/>
            <w:tcBorders>
              <w:top w:val="nil"/>
              <w:left w:val="nil"/>
              <w:bottom w:val="single" w:color="auto" w:sz="4" w:space="0"/>
              <w:right w:val="single" w:color="auto" w:sz="4" w:space="0"/>
            </w:tcBorders>
            <w:shd w:val="clear" w:color="auto" w:fill="auto"/>
            <w:vAlign w:val="center"/>
          </w:tcPr>
          <w:p w14:paraId="5964C106">
            <w:pPr>
              <w:widowControl/>
              <w:spacing w:line="240" w:lineRule="auto"/>
              <w:ind w:firstLine="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系统用户量</w:t>
            </w:r>
          </w:p>
        </w:tc>
        <w:tc>
          <w:tcPr>
            <w:tcW w:w="810" w:type="pct"/>
            <w:tcBorders>
              <w:top w:val="nil"/>
              <w:left w:val="nil"/>
              <w:bottom w:val="single" w:color="auto" w:sz="4" w:space="0"/>
              <w:right w:val="single" w:color="auto" w:sz="4" w:space="0"/>
            </w:tcBorders>
            <w:shd w:val="clear" w:color="auto" w:fill="auto"/>
            <w:vAlign w:val="center"/>
          </w:tcPr>
          <w:p w14:paraId="094DF393">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600</w:t>
            </w:r>
          </w:p>
        </w:tc>
      </w:tr>
      <w:tr w14:paraId="7FBC979A">
        <w:tblPrEx>
          <w:tblCellMar>
            <w:top w:w="0" w:type="dxa"/>
            <w:left w:w="108" w:type="dxa"/>
            <w:bottom w:w="0" w:type="dxa"/>
            <w:right w:w="108" w:type="dxa"/>
          </w:tblCellMar>
        </w:tblPrEx>
        <w:trPr>
          <w:trHeight w:val="773" w:hRule="atLeast"/>
        </w:trPr>
        <w:tc>
          <w:tcPr>
            <w:tcW w:w="424" w:type="pct"/>
            <w:tcBorders>
              <w:top w:val="nil"/>
              <w:left w:val="single" w:color="auto" w:sz="4" w:space="0"/>
              <w:bottom w:val="single" w:color="auto" w:sz="4" w:space="0"/>
              <w:right w:val="single" w:color="auto" w:sz="4" w:space="0"/>
            </w:tcBorders>
            <w:shd w:val="clear" w:color="auto" w:fill="auto"/>
            <w:vAlign w:val="center"/>
          </w:tcPr>
          <w:p w14:paraId="48A947E4">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761" w:type="pct"/>
            <w:vMerge w:val="restart"/>
            <w:tcBorders>
              <w:top w:val="nil"/>
              <w:left w:val="single" w:color="auto" w:sz="4" w:space="0"/>
              <w:right w:val="single" w:color="auto" w:sz="4" w:space="0"/>
            </w:tcBorders>
            <w:shd w:val="clear" w:color="auto" w:fill="auto"/>
            <w:vAlign w:val="center"/>
          </w:tcPr>
          <w:p w14:paraId="2137C1BC">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行业指标</w:t>
            </w:r>
          </w:p>
        </w:tc>
        <w:tc>
          <w:tcPr>
            <w:tcW w:w="828" w:type="pct"/>
            <w:tcBorders>
              <w:top w:val="nil"/>
              <w:left w:val="nil"/>
              <w:bottom w:val="single" w:color="auto" w:sz="4" w:space="0"/>
              <w:right w:val="single" w:color="auto" w:sz="4" w:space="0"/>
            </w:tcBorders>
            <w:shd w:val="clear" w:color="auto" w:fill="auto"/>
            <w:vAlign w:val="center"/>
          </w:tcPr>
          <w:p w14:paraId="730FFCD8">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国动领域</w:t>
            </w:r>
          </w:p>
        </w:tc>
        <w:tc>
          <w:tcPr>
            <w:tcW w:w="1060" w:type="pct"/>
            <w:tcBorders>
              <w:top w:val="nil"/>
              <w:left w:val="nil"/>
              <w:bottom w:val="single" w:color="auto" w:sz="4" w:space="0"/>
              <w:right w:val="single" w:color="auto" w:sz="4" w:space="0"/>
            </w:tcBorders>
            <w:shd w:val="clear" w:color="auto" w:fill="auto"/>
            <w:vAlign w:val="center"/>
          </w:tcPr>
          <w:p w14:paraId="4763E979">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“一网通办”政务服务</w:t>
            </w:r>
          </w:p>
        </w:tc>
        <w:tc>
          <w:tcPr>
            <w:tcW w:w="1117" w:type="pct"/>
            <w:tcBorders>
              <w:top w:val="nil"/>
              <w:left w:val="nil"/>
              <w:bottom w:val="single" w:color="auto" w:sz="4" w:space="0"/>
              <w:right w:val="single" w:color="auto" w:sz="4" w:space="0"/>
            </w:tcBorders>
            <w:shd w:val="clear" w:color="auto" w:fill="auto"/>
            <w:vAlign w:val="center"/>
          </w:tcPr>
          <w:p w14:paraId="5F009C4C">
            <w:pPr>
              <w:widowControl/>
              <w:spacing w:line="240" w:lineRule="auto"/>
              <w:ind w:firstLine="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国动办办事事项覆盖率</w:t>
            </w:r>
          </w:p>
        </w:tc>
        <w:tc>
          <w:tcPr>
            <w:tcW w:w="810" w:type="pct"/>
            <w:tcBorders>
              <w:top w:val="nil"/>
              <w:left w:val="nil"/>
              <w:bottom w:val="single" w:color="auto" w:sz="4" w:space="0"/>
              <w:right w:val="single" w:color="auto" w:sz="4" w:space="0"/>
            </w:tcBorders>
            <w:shd w:val="clear" w:color="auto" w:fill="auto"/>
            <w:vAlign w:val="center"/>
          </w:tcPr>
          <w:p w14:paraId="35790B8B">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w:t>
            </w:r>
          </w:p>
        </w:tc>
      </w:tr>
      <w:tr w14:paraId="2A1A5B66">
        <w:tblPrEx>
          <w:tblCellMar>
            <w:top w:w="0" w:type="dxa"/>
            <w:left w:w="108" w:type="dxa"/>
            <w:bottom w:w="0" w:type="dxa"/>
            <w:right w:w="108" w:type="dxa"/>
          </w:tblCellMar>
        </w:tblPrEx>
        <w:trPr>
          <w:trHeight w:val="773" w:hRule="atLeast"/>
        </w:trPr>
        <w:tc>
          <w:tcPr>
            <w:tcW w:w="424" w:type="pct"/>
            <w:tcBorders>
              <w:top w:val="nil"/>
              <w:left w:val="single" w:color="auto" w:sz="4" w:space="0"/>
              <w:bottom w:val="single" w:color="auto" w:sz="4" w:space="0"/>
              <w:right w:val="single" w:color="auto" w:sz="4" w:space="0"/>
            </w:tcBorders>
            <w:shd w:val="clear" w:color="auto" w:fill="auto"/>
            <w:vAlign w:val="center"/>
          </w:tcPr>
          <w:p w14:paraId="0110F36C">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761" w:type="pct"/>
            <w:vMerge w:val="continue"/>
            <w:tcBorders>
              <w:left w:val="single" w:color="auto" w:sz="4" w:space="0"/>
              <w:right w:val="single" w:color="auto" w:sz="4" w:space="0"/>
            </w:tcBorders>
            <w:vAlign w:val="center"/>
          </w:tcPr>
          <w:p w14:paraId="02572F1C">
            <w:pPr>
              <w:widowControl/>
              <w:spacing w:line="240" w:lineRule="auto"/>
              <w:ind w:firstLine="0" w:firstLineChars="0"/>
              <w:jc w:val="left"/>
              <w:rPr>
                <w:rFonts w:hint="eastAsia" w:ascii="宋体" w:hAnsi="宋体" w:eastAsia="宋体" w:cs="宋体"/>
                <w:color w:val="000000"/>
                <w:kern w:val="0"/>
                <w:sz w:val="24"/>
                <w:szCs w:val="24"/>
              </w:rPr>
            </w:pPr>
          </w:p>
        </w:tc>
        <w:tc>
          <w:tcPr>
            <w:tcW w:w="828" w:type="pct"/>
            <w:tcBorders>
              <w:top w:val="nil"/>
              <w:left w:val="nil"/>
              <w:bottom w:val="single" w:color="auto" w:sz="4" w:space="0"/>
              <w:right w:val="single" w:color="auto" w:sz="4" w:space="0"/>
            </w:tcBorders>
            <w:shd w:val="clear" w:color="auto" w:fill="auto"/>
            <w:vAlign w:val="center"/>
          </w:tcPr>
          <w:p w14:paraId="65B6F37A">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国动领域</w:t>
            </w:r>
          </w:p>
        </w:tc>
        <w:tc>
          <w:tcPr>
            <w:tcW w:w="1060" w:type="pct"/>
            <w:tcBorders>
              <w:top w:val="nil"/>
              <w:left w:val="nil"/>
              <w:bottom w:val="single" w:color="auto" w:sz="4" w:space="0"/>
              <w:right w:val="single" w:color="auto" w:sz="4" w:space="0"/>
            </w:tcBorders>
            <w:shd w:val="clear" w:color="auto" w:fill="auto"/>
            <w:vAlign w:val="center"/>
          </w:tcPr>
          <w:p w14:paraId="36A77E66">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“一网通办”政务服务</w:t>
            </w:r>
          </w:p>
        </w:tc>
        <w:tc>
          <w:tcPr>
            <w:tcW w:w="1117" w:type="pct"/>
            <w:tcBorders>
              <w:top w:val="nil"/>
              <w:left w:val="nil"/>
              <w:bottom w:val="single" w:color="auto" w:sz="4" w:space="0"/>
              <w:right w:val="single" w:color="auto" w:sz="4" w:space="0"/>
            </w:tcBorders>
            <w:shd w:val="clear" w:color="auto" w:fill="auto"/>
            <w:vAlign w:val="center"/>
          </w:tcPr>
          <w:p w14:paraId="52A8EFF0">
            <w:pPr>
              <w:widowControl/>
              <w:spacing w:line="240" w:lineRule="auto"/>
              <w:ind w:firstLine="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用户使用满意度</w:t>
            </w:r>
          </w:p>
        </w:tc>
        <w:tc>
          <w:tcPr>
            <w:tcW w:w="810" w:type="pct"/>
            <w:tcBorders>
              <w:top w:val="nil"/>
              <w:left w:val="nil"/>
              <w:bottom w:val="single" w:color="auto" w:sz="4" w:space="0"/>
              <w:right w:val="single" w:color="auto" w:sz="4" w:space="0"/>
            </w:tcBorders>
            <w:shd w:val="clear" w:color="auto" w:fill="auto"/>
            <w:vAlign w:val="center"/>
          </w:tcPr>
          <w:p w14:paraId="36099EB5">
            <w:pPr>
              <w:widowControl/>
              <w:spacing w:line="240" w:lineRule="auto"/>
              <w:ind w:firstLine="0" w:firstLineChars="0"/>
              <w:jc w:val="center"/>
              <w:rPr>
                <w:rFonts w:hint="eastAsia" w:ascii="宋体" w:hAnsi="宋体" w:eastAsia="宋体" w:cs="宋体"/>
                <w:color w:val="000000"/>
                <w:kern w:val="0"/>
                <w:sz w:val="24"/>
                <w:szCs w:val="24"/>
              </w:rPr>
            </w:pPr>
            <w:r>
              <w:rPr>
                <w:rFonts w:hint="eastAsia" w:cs="宋体"/>
                <w:color w:val="000000"/>
                <w:kern w:val="0"/>
                <w:sz w:val="24"/>
                <w:szCs w:val="24"/>
                <w:lang w:val="en-US" w:eastAsia="zh-CN"/>
              </w:rPr>
              <w:t>95</w:t>
            </w:r>
            <w:r>
              <w:rPr>
                <w:rFonts w:hint="eastAsia" w:ascii="宋体" w:hAnsi="宋体" w:eastAsia="宋体" w:cs="宋体"/>
                <w:color w:val="000000"/>
                <w:kern w:val="0"/>
                <w:sz w:val="24"/>
                <w:szCs w:val="24"/>
              </w:rPr>
              <w:t>%</w:t>
            </w:r>
          </w:p>
        </w:tc>
      </w:tr>
      <w:tr w14:paraId="18728339">
        <w:tblPrEx>
          <w:tblCellMar>
            <w:top w:w="0" w:type="dxa"/>
            <w:left w:w="108" w:type="dxa"/>
            <w:bottom w:w="0" w:type="dxa"/>
            <w:right w:w="108" w:type="dxa"/>
          </w:tblCellMar>
        </w:tblPrEx>
        <w:trPr>
          <w:trHeight w:val="398" w:hRule="atLeast"/>
        </w:trPr>
        <w:tc>
          <w:tcPr>
            <w:tcW w:w="424" w:type="pct"/>
            <w:tcBorders>
              <w:top w:val="nil"/>
              <w:left w:val="single" w:color="auto" w:sz="4" w:space="0"/>
              <w:bottom w:val="single" w:color="auto" w:sz="4" w:space="0"/>
              <w:right w:val="single" w:color="auto" w:sz="4" w:space="0"/>
            </w:tcBorders>
            <w:shd w:val="clear" w:color="auto" w:fill="auto"/>
            <w:vAlign w:val="center"/>
          </w:tcPr>
          <w:p w14:paraId="50312322">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761" w:type="pct"/>
            <w:vMerge w:val="continue"/>
            <w:tcBorders>
              <w:left w:val="single" w:color="auto" w:sz="4" w:space="0"/>
              <w:right w:val="single" w:color="auto" w:sz="4" w:space="0"/>
            </w:tcBorders>
            <w:vAlign w:val="center"/>
          </w:tcPr>
          <w:p w14:paraId="081DA958">
            <w:pPr>
              <w:widowControl/>
              <w:spacing w:line="240" w:lineRule="auto"/>
              <w:ind w:firstLine="0" w:firstLineChars="0"/>
              <w:jc w:val="left"/>
              <w:rPr>
                <w:rFonts w:hint="eastAsia" w:ascii="宋体" w:hAnsi="宋体" w:eastAsia="宋体" w:cs="宋体"/>
                <w:color w:val="000000"/>
                <w:kern w:val="0"/>
                <w:sz w:val="24"/>
                <w:szCs w:val="24"/>
              </w:rPr>
            </w:pPr>
          </w:p>
        </w:tc>
        <w:tc>
          <w:tcPr>
            <w:tcW w:w="828" w:type="pct"/>
            <w:tcBorders>
              <w:top w:val="nil"/>
              <w:left w:val="nil"/>
              <w:bottom w:val="single" w:color="auto" w:sz="4" w:space="0"/>
              <w:right w:val="single" w:color="auto" w:sz="4" w:space="0"/>
            </w:tcBorders>
            <w:shd w:val="clear" w:color="auto" w:fill="auto"/>
            <w:vAlign w:val="center"/>
          </w:tcPr>
          <w:p w14:paraId="74F64E36">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国动领域</w:t>
            </w:r>
          </w:p>
        </w:tc>
        <w:tc>
          <w:tcPr>
            <w:tcW w:w="1060" w:type="pct"/>
            <w:tcBorders>
              <w:top w:val="nil"/>
              <w:left w:val="nil"/>
              <w:bottom w:val="single" w:color="auto" w:sz="4" w:space="0"/>
              <w:right w:val="single" w:color="auto" w:sz="4" w:space="0"/>
            </w:tcBorders>
            <w:shd w:val="clear" w:color="auto" w:fill="auto"/>
            <w:vAlign w:val="center"/>
          </w:tcPr>
          <w:p w14:paraId="28236521">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“一网通办”政务服务</w:t>
            </w:r>
          </w:p>
        </w:tc>
        <w:tc>
          <w:tcPr>
            <w:tcW w:w="1117" w:type="pct"/>
            <w:tcBorders>
              <w:top w:val="nil"/>
              <w:left w:val="nil"/>
              <w:bottom w:val="single" w:color="auto" w:sz="4" w:space="0"/>
              <w:right w:val="single" w:color="auto" w:sz="4" w:space="0"/>
            </w:tcBorders>
            <w:shd w:val="clear" w:color="auto" w:fill="auto"/>
            <w:vAlign w:val="center"/>
          </w:tcPr>
          <w:p w14:paraId="70EB7209">
            <w:pPr>
              <w:widowControl/>
              <w:spacing w:line="240" w:lineRule="auto"/>
              <w:ind w:firstLine="0" w:firstLineChars="0"/>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一网通办电子档案率</w:t>
            </w:r>
          </w:p>
        </w:tc>
        <w:tc>
          <w:tcPr>
            <w:tcW w:w="810" w:type="pct"/>
            <w:tcBorders>
              <w:top w:val="nil"/>
              <w:left w:val="nil"/>
              <w:bottom w:val="single" w:color="auto" w:sz="4" w:space="0"/>
              <w:right w:val="single" w:color="auto" w:sz="4" w:space="0"/>
            </w:tcBorders>
            <w:shd w:val="clear" w:color="auto" w:fill="auto"/>
            <w:vAlign w:val="center"/>
          </w:tcPr>
          <w:p w14:paraId="1382B550">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98%</w:t>
            </w:r>
          </w:p>
        </w:tc>
      </w:tr>
      <w:tr w14:paraId="44715519">
        <w:tblPrEx>
          <w:tblCellMar>
            <w:top w:w="0" w:type="dxa"/>
            <w:left w:w="108" w:type="dxa"/>
            <w:bottom w:w="0" w:type="dxa"/>
            <w:right w:w="108" w:type="dxa"/>
          </w:tblCellMar>
        </w:tblPrEx>
        <w:trPr>
          <w:trHeight w:val="773" w:hRule="atLeast"/>
        </w:trPr>
        <w:tc>
          <w:tcPr>
            <w:tcW w:w="424" w:type="pct"/>
            <w:tcBorders>
              <w:top w:val="nil"/>
              <w:left w:val="single" w:color="auto" w:sz="4" w:space="0"/>
              <w:bottom w:val="single" w:color="auto" w:sz="4" w:space="0"/>
              <w:right w:val="single" w:color="auto" w:sz="4" w:space="0"/>
            </w:tcBorders>
            <w:shd w:val="clear" w:color="auto" w:fill="auto"/>
            <w:vAlign w:val="center"/>
          </w:tcPr>
          <w:p w14:paraId="7C20EE48">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761" w:type="pct"/>
            <w:vMerge w:val="continue"/>
            <w:tcBorders>
              <w:left w:val="single" w:color="auto" w:sz="4" w:space="0"/>
              <w:right w:val="single" w:color="auto" w:sz="4" w:space="0"/>
            </w:tcBorders>
            <w:vAlign w:val="center"/>
          </w:tcPr>
          <w:p w14:paraId="1662326D">
            <w:pPr>
              <w:widowControl/>
              <w:spacing w:line="240" w:lineRule="auto"/>
              <w:ind w:firstLine="0" w:firstLineChars="0"/>
              <w:jc w:val="left"/>
              <w:rPr>
                <w:rFonts w:hint="eastAsia" w:ascii="宋体" w:hAnsi="宋体" w:eastAsia="宋体" w:cs="宋体"/>
                <w:color w:val="000000"/>
                <w:kern w:val="0"/>
                <w:sz w:val="24"/>
                <w:szCs w:val="24"/>
              </w:rPr>
            </w:pPr>
          </w:p>
        </w:tc>
        <w:tc>
          <w:tcPr>
            <w:tcW w:w="828" w:type="pct"/>
            <w:tcBorders>
              <w:top w:val="nil"/>
              <w:left w:val="nil"/>
              <w:bottom w:val="single" w:color="auto" w:sz="4" w:space="0"/>
              <w:right w:val="single" w:color="auto" w:sz="4" w:space="0"/>
            </w:tcBorders>
            <w:shd w:val="clear" w:color="auto" w:fill="auto"/>
            <w:vAlign w:val="center"/>
          </w:tcPr>
          <w:p w14:paraId="50353339">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国动领域</w:t>
            </w:r>
          </w:p>
        </w:tc>
        <w:tc>
          <w:tcPr>
            <w:tcW w:w="1060" w:type="pct"/>
            <w:tcBorders>
              <w:top w:val="nil"/>
              <w:left w:val="nil"/>
              <w:bottom w:val="single" w:color="auto" w:sz="4" w:space="0"/>
              <w:right w:val="single" w:color="auto" w:sz="4" w:space="0"/>
            </w:tcBorders>
            <w:shd w:val="clear" w:color="auto" w:fill="auto"/>
            <w:vAlign w:val="center"/>
          </w:tcPr>
          <w:p w14:paraId="23FAF151">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“一网通办”政务服务</w:t>
            </w:r>
          </w:p>
        </w:tc>
        <w:tc>
          <w:tcPr>
            <w:tcW w:w="1117" w:type="pct"/>
            <w:tcBorders>
              <w:top w:val="nil"/>
              <w:left w:val="nil"/>
              <w:bottom w:val="single" w:color="auto" w:sz="4" w:space="0"/>
              <w:right w:val="single" w:color="auto" w:sz="4" w:space="0"/>
            </w:tcBorders>
            <w:shd w:val="clear" w:color="auto" w:fill="auto"/>
            <w:vAlign w:val="center"/>
          </w:tcPr>
          <w:p w14:paraId="6D088192">
            <w:pPr>
              <w:widowControl/>
              <w:spacing w:line="240" w:lineRule="auto"/>
              <w:ind w:firstLine="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业务数据产生预警和风险提示模型准确性</w:t>
            </w:r>
          </w:p>
        </w:tc>
        <w:tc>
          <w:tcPr>
            <w:tcW w:w="810" w:type="pct"/>
            <w:tcBorders>
              <w:top w:val="nil"/>
              <w:left w:val="nil"/>
              <w:bottom w:val="single" w:color="auto" w:sz="4" w:space="0"/>
              <w:right w:val="single" w:color="auto" w:sz="4" w:space="0"/>
            </w:tcBorders>
            <w:shd w:val="clear" w:color="auto" w:fill="auto"/>
            <w:vAlign w:val="center"/>
          </w:tcPr>
          <w:p w14:paraId="7A5FB360">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95%</w:t>
            </w:r>
          </w:p>
        </w:tc>
      </w:tr>
      <w:tr w14:paraId="16E9AABC">
        <w:tblPrEx>
          <w:tblCellMar>
            <w:top w:w="0" w:type="dxa"/>
            <w:left w:w="108" w:type="dxa"/>
            <w:bottom w:w="0" w:type="dxa"/>
            <w:right w:w="108" w:type="dxa"/>
          </w:tblCellMar>
        </w:tblPrEx>
        <w:trPr>
          <w:trHeight w:val="1153" w:hRule="atLeast"/>
        </w:trPr>
        <w:tc>
          <w:tcPr>
            <w:tcW w:w="424" w:type="pct"/>
            <w:tcBorders>
              <w:top w:val="nil"/>
              <w:left w:val="single" w:color="auto" w:sz="4" w:space="0"/>
              <w:bottom w:val="single" w:color="auto" w:sz="4" w:space="0"/>
              <w:right w:val="single" w:color="auto" w:sz="4" w:space="0"/>
            </w:tcBorders>
            <w:shd w:val="clear" w:color="auto" w:fill="auto"/>
            <w:vAlign w:val="center"/>
          </w:tcPr>
          <w:p w14:paraId="4ADA7739">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761" w:type="pct"/>
            <w:vMerge w:val="continue"/>
            <w:tcBorders>
              <w:left w:val="single" w:color="auto" w:sz="4" w:space="0"/>
              <w:right w:val="single" w:color="auto" w:sz="4" w:space="0"/>
            </w:tcBorders>
            <w:vAlign w:val="center"/>
          </w:tcPr>
          <w:p w14:paraId="3A1CA910">
            <w:pPr>
              <w:widowControl/>
              <w:spacing w:line="240" w:lineRule="auto"/>
              <w:ind w:firstLine="0" w:firstLineChars="0"/>
              <w:jc w:val="left"/>
              <w:rPr>
                <w:rFonts w:hint="eastAsia" w:ascii="宋体" w:hAnsi="宋体" w:eastAsia="宋体" w:cs="宋体"/>
                <w:color w:val="000000"/>
                <w:kern w:val="0"/>
                <w:sz w:val="24"/>
                <w:szCs w:val="24"/>
              </w:rPr>
            </w:pPr>
          </w:p>
        </w:tc>
        <w:tc>
          <w:tcPr>
            <w:tcW w:w="828" w:type="pct"/>
            <w:tcBorders>
              <w:top w:val="nil"/>
              <w:left w:val="nil"/>
              <w:bottom w:val="single" w:color="auto" w:sz="4" w:space="0"/>
              <w:right w:val="single" w:color="auto" w:sz="4" w:space="0"/>
            </w:tcBorders>
            <w:shd w:val="clear" w:color="auto" w:fill="auto"/>
            <w:vAlign w:val="center"/>
          </w:tcPr>
          <w:p w14:paraId="788E9F1B">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国动领域</w:t>
            </w:r>
          </w:p>
        </w:tc>
        <w:tc>
          <w:tcPr>
            <w:tcW w:w="1060" w:type="pct"/>
            <w:tcBorders>
              <w:top w:val="nil"/>
              <w:left w:val="nil"/>
              <w:bottom w:val="single" w:color="auto" w:sz="4" w:space="0"/>
              <w:right w:val="single" w:color="auto" w:sz="4" w:space="0"/>
            </w:tcBorders>
            <w:shd w:val="clear" w:color="auto" w:fill="auto"/>
            <w:vAlign w:val="center"/>
          </w:tcPr>
          <w:p w14:paraId="127AB5EA">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“一网通办”政务服务</w:t>
            </w:r>
          </w:p>
        </w:tc>
        <w:tc>
          <w:tcPr>
            <w:tcW w:w="1117" w:type="pct"/>
            <w:tcBorders>
              <w:top w:val="nil"/>
              <w:left w:val="nil"/>
              <w:bottom w:val="single" w:color="auto" w:sz="4" w:space="0"/>
              <w:right w:val="single" w:color="auto" w:sz="4" w:space="0"/>
            </w:tcBorders>
            <w:shd w:val="clear" w:color="auto" w:fill="auto"/>
            <w:vAlign w:val="center"/>
          </w:tcPr>
          <w:p w14:paraId="08A18317">
            <w:pPr>
              <w:widowControl/>
              <w:spacing w:line="240" w:lineRule="auto"/>
              <w:ind w:firstLine="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预警响应处置率</w:t>
            </w:r>
          </w:p>
        </w:tc>
        <w:tc>
          <w:tcPr>
            <w:tcW w:w="810" w:type="pct"/>
            <w:tcBorders>
              <w:top w:val="nil"/>
              <w:left w:val="nil"/>
              <w:bottom w:val="single" w:color="auto" w:sz="4" w:space="0"/>
              <w:right w:val="single" w:color="auto" w:sz="4" w:space="0"/>
            </w:tcBorders>
            <w:shd w:val="clear" w:color="auto" w:fill="auto"/>
            <w:vAlign w:val="center"/>
          </w:tcPr>
          <w:p w14:paraId="372EBBDC">
            <w:pPr>
              <w:widowControl/>
              <w:spacing w:line="240" w:lineRule="auto"/>
              <w:ind w:firstLine="0" w:firstLineChars="0"/>
              <w:jc w:val="center"/>
              <w:rPr>
                <w:rFonts w:hint="eastAsia" w:ascii="宋体" w:hAnsi="宋体" w:eastAsia="宋体" w:cs="宋体"/>
                <w:color w:val="000000"/>
                <w:kern w:val="0"/>
                <w:sz w:val="24"/>
                <w:szCs w:val="24"/>
              </w:rPr>
            </w:pPr>
            <w:r>
              <w:rPr>
                <w:rFonts w:hint="eastAsia" w:cs="宋体"/>
                <w:color w:val="000000"/>
                <w:kern w:val="0"/>
                <w:sz w:val="24"/>
                <w:szCs w:val="24"/>
                <w:lang w:val="en-US" w:eastAsia="zh-CN"/>
              </w:rPr>
              <w:t>90</w:t>
            </w:r>
            <w:r>
              <w:rPr>
                <w:rFonts w:hint="eastAsia" w:ascii="宋体" w:hAnsi="宋体" w:eastAsia="宋体" w:cs="宋体"/>
                <w:color w:val="000000"/>
                <w:kern w:val="0"/>
                <w:sz w:val="24"/>
                <w:szCs w:val="24"/>
              </w:rPr>
              <w:t>%</w:t>
            </w:r>
          </w:p>
        </w:tc>
      </w:tr>
      <w:tr w14:paraId="46189302">
        <w:tblPrEx>
          <w:tblCellMar>
            <w:top w:w="0" w:type="dxa"/>
            <w:left w:w="108" w:type="dxa"/>
            <w:bottom w:w="0" w:type="dxa"/>
            <w:right w:w="108" w:type="dxa"/>
          </w:tblCellMar>
        </w:tblPrEx>
        <w:trPr>
          <w:trHeight w:val="773" w:hRule="atLeast"/>
        </w:trPr>
        <w:tc>
          <w:tcPr>
            <w:tcW w:w="424" w:type="pct"/>
            <w:tcBorders>
              <w:top w:val="nil"/>
              <w:left w:val="single" w:color="auto" w:sz="4" w:space="0"/>
              <w:bottom w:val="single" w:color="auto" w:sz="4" w:space="0"/>
              <w:right w:val="single" w:color="auto" w:sz="4" w:space="0"/>
            </w:tcBorders>
            <w:shd w:val="clear" w:color="auto" w:fill="auto"/>
            <w:vAlign w:val="center"/>
          </w:tcPr>
          <w:p w14:paraId="1D47B089">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761" w:type="pct"/>
            <w:vMerge w:val="continue"/>
            <w:tcBorders>
              <w:left w:val="single" w:color="auto" w:sz="4" w:space="0"/>
              <w:right w:val="single" w:color="auto" w:sz="4" w:space="0"/>
            </w:tcBorders>
            <w:vAlign w:val="center"/>
          </w:tcPr>
          <w:p w14:paraId="624C411F">
            <w:pPr>
              <w:widowControl/>
              <w:spacing w:line="240" w:lineRule="auto"/>
              <w:ind w:firstLine="0" w:firstLineChars="0"/>
              <w:jc w:val="left"/>
              <w:rPr>
                <w:rFonts w:hint="eastAsia" w:ascii="宋体" w:hAnsi="宋体" w:eastAsia="宋体" w:cs="宋体"/>
                <w:color w:val="000000"/>
                <w:kern w:val="0"/>
                <w:sz w:val="24"/>
                <w:szCs w:val="24"/>
              </w:rPr>
            </w:pPr>
          </w:p>
        </w:tc>
        <w:tc>
          <w:tcPr>
            <w:tcW w:w="828" w:type="pct"/>
            <w:tcBorders>
              <w:top w:val="nil"/>
              <w:left w:val="nil"/>
              <w:bottom w:val="single" w:color="auto" w:sz="4" w:space="0"/>
              <w:right w:val="single" w:color="auto" w:sz="4" w:space="0"/>
            </w:tcBorders>
            <w:shd w:val="clear" w:color="auto" w:fill="auto"/>
            <w:vAlign w:val="center"/>
          </w:tcPr>
          <w:p w14:paraId="226B3BCC">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国动领域</w:t>
            </w:r>
          </w:p>
        </w:tc>
        <w:tc>
          <w:tcPr>
            <w:tcW w:w="1060" w:type="pct"/>
            <w:tcBorders>
              <w:top w:val="nil"/>
              <w:left w:val="nil"/>
              <w:bottom w:val="single" w:color="auto" w:sz="4" w:space="0"/>
              <w:right w:val="single" w:color="auto" w:sz="4" w:space="0"/>
            </w:tcBorders>
            <w:shd w:val="clear" w:color="auto" w:fill="auto"/>
            <w:vAlign w:val="center"/>
          </w:tcPr>
          <w:p w14:paraId="06E1CC6B">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人防工程物联感知监管子系统</w:t>
            </w:r>
          </w:p>
        </w:tc>
        <w:tc>
          <w:tcPr>
            <w:tcW w:w="1117" w:type="pct"/>
            <w:tcBorders>
              <w:top w:val="nil"/>
              <w:left w:val="nil"/>
              <w:bottom w:val="single" w:color="auto" w:sz="4" w:space="0"/>
              <w:right w:val="single" w:color="auto" w:sz="4" w:space="0"/>
            </w:tcBorders>
            <w:shd w:val="clear" w:color="auto" w:fill="auto"/>
            <w:vAlign w:val="center"/>
          </w:tcPr>
          <w:p w14:paraId="1F6BC70A">
            <w:pPr>
              <w:widowControl/>
              <w:spacing w:line="240" w:lineRule="auto"/>
              <w:ind w:firstLine="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物联预警处置率</w:t>
            </w:r>
          </w:p>
        </w:tc>
        <w:tc>
          <w:tcPr>
            <w:tcW w:w="810" w:type="pct"/>
            <w:tcBorders>
              <w:top w:val="nil"/>
              <w:left w:val="nil"/>
              <w:bottom w:val="single" w:color="auto" w:sz="4" w:space="0"/>
              <w:right w:val="single" w:color="auto" w:sz="4" w:space="0"/>
            </w:tcBorders>
            <w:shd w:val="clear" w:color="auto" w:fill="auto"/>
            <w:vAlign w:val="center"/>
          </w:tcPr>
          <w:p w14:paraId="04BF9DE2">
            <w:pPr>
              <w:widowControl/>
              <w:spacing w:line="240" w:lineRule="auto"/>
              <w:ind w:firstLine="0" w:firstLineChars="0"/>
              <w:jc w:val="center"/>
              <w:rPr>
                <w:rFonts w:hint="eastAsia" w:ascii="宋体" w:hAnsi="宋体" w:eastAsia="宋体" w:cs="宋体"/>
                <w:color w:val="000000"/>
                <w:kern w:val="0"/>
                <w:sz w:val="24"/>
                <w:szCs w:val="24"/>
              </w:rPr>
            </w:pPr>
            <w:r>
              <w:rPr>
                <w:rFonts w:hint="eastAsia" w:cs="宋体"/>
                <w:color w:val="000000"/>
                <w:kern w:val="0"/>
                <w:sz w:val="24"/>
                <w:szCs w:val="24"/>
                <w:lang w:val="en-US" w:eastAsia="zh-CN"/>
              </w:rPr>
              <w:t>90</w:t>
            </w:r>
            <w:r>
              <w:rPr>
                <w:rFonts w:hint="eastAsia" w:ascii="宋体" w:hAnsi="宋体" w:eastAsia="宋体" w:cs="宋体"/>
                <w:color w:val="000000"/>
                <w:kern w:val="0"/>
                <w:sz w:val="24"/>
                <w:szCs w:val="24"/>
              </w:rPr>
              <w:t>%</w:t>
            </w:r>
          </w:p>
        </w:tc>
      </w:tr>
      <w:tr w14:paraId="6F062218">
        <w:tblPrEx>
          <w:tblCellMar>
            <w:top w:w="0" w:type="dxa"/>
            <w:left w:w="108" w:type="dxa"/>
            <w:bottom w:w="0" w:type="dxa"/>
            <w:right w:w="108" w:type="dxa"/>
          </w:tblCellMar>
        </w:tblPrEx>
        <w:trPr>
          <w:trHeight w:val="1153" w:hRule="atLeast"/>
        </w:trPr>
        <w:tc>
          <w:tcPr>
            <w:tcW w:w="424" w:type="pct"/>
            <w:tcBorders>
              <w:top w:val="nil"/>
              <w:left w:val="single" w:color="auto" w:sz="4" w:space="0"/>
              <w:bottom w:val="single" w:color="auto" w:sz="4" w:space="0"/>
              <w:right w:val="single" w:color="auto" w:sz="4" w:space="0"/>
            </w:tcBorders>
            <w:shd w:val="clear" w:color="auto" w:fill="auto"/>
            <w:vAlign w:val="center"/>
          </w:tcPr>
          <w:p w14:paraId="37CC9E80">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761" w:type="pct"/>
            <w:vMerge w:val="continue"/>
            <w:tcBorders>
              <w:left w:val="single" w:color="auto" w:sz="4" w:space="0"/>
              <w:right w:val="single" w:color="auto" w:sz="4" w:space="0"/>
            </w:tcBorders>
            <w:vAlign w:val="center"/>
          </w:tcPr>
          <w:p w14:paraId="3FE9681F">
            <w:pPr>
              <w:widowControl/>
              <w:spacing w:line="240" w:lineRule="auto"/>
              <w:ind w:firstLine="0" w:firstLineChars="0"/>
              <w:jc w:val="left"/>
              <w:rPr>
                <w:rFonts w:hint="eastAsia" w:ascii="宋体" w:hAnsi="宋体" w:eastAsia="宋体" w:cs="宋体"/>
                <w:color w:val="000000"/>
                <w:kern w:val="0"/>
                <w:sz w:val="24"/>
                <w:szCs w:val="24"/>
              </w:rPr>
            </w:pPr>
          </w:p>
        </w:tc>
        <w:tc>
          <w:tcPr>
            <w:tcW w:w="828" w:type="pct"/>
            <w:tcBorders>
              <w:top w:val="nil"/>
              <w:left w:val="nil"/>
              <w:bottom w:val="single" w:color="auto" w:sz="4" w:space="0"/>
              <w:right w:val="single" w:color="auto" w:sz="4" w:space="0"/>
            </w:tcBorders>
            <w:shd w:val="clear" w:color="auto" w:fill="auto"/>
            <w:vAlign w:val="center"/>
          </w:tcPr>
          <w:p w14:paraId="784C3C02">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国动领域</w:t>
            </w:r>
          </w:p>
        </w:tc>
        <w:tc>
          <w:tcPr>
            <w:tcW w:w="1060" w:type="pct"/>
            <w:tcBorders>
              <w:top w:val="nil"/>
              <w:left w:val="nil"/>
              <w:bottom w:val="single" w:color="auto" w:sz="4" w:space="0"/>
              <w:right w:val="single" w:color="auto" w:sz="4" w:space="0"/>
            </w:tcBorders>
            <w:shd w:val="clear" w:color="auto" w:fill="auto"/>
            <w:vAlign w:val="center"/>
          </w:tcPr>
          <w:p w14:paraId="1FA71542">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市直属人防工程监管“一张图”应用</w:t>
            </w:r>
          </w:p>
        </w:tc>
        <w:tc>
          <w:tcPr>
            <w:tcW w:w="1117" w:type="pct"/>
            <w:tcBorders>
              <w:top w:val="nil"/>
              <w:left w:val="nil"/>
              <w:bottom w:val="single" w:color="auto" w:sz="4" w:space="0"/>
              <w:right w:val="single" w:color="auto" w:sz="4" w:space="0"/>
            </w:tcBorders>
            <w:shd w:val="clear" w:color="auto" w:fill="auto"/>
            <w:vAlign w:val="center"/>
          </w:tcPr>
          <w:p w14:paraId="67E75A9E">
            <w:pPr>
              <w:widowControl/>
              <w:spacing w:line="240" w:lineRule="auto"/>
              <w:ind w:firstLine="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市直属人防工程层面可视化完成率</w:t>
            </w:r>
          </w:p>
        </w:tc>
        <w:tc>
          <w:tcPr>
            <w:tcW w:w="810" w:type="pct"/>
            <w:tcBorders>
              <w:top w:val="nil"/>
              <w:left w:val="nil"/>
              <w:bottom w:val="single" w:color="auto" w:sz="4" w:space="0"/>
              <w:right w:val="single" w:color="auto" w:sz="4" w:space="0"/>
            </w:tcBorders>
            <w:shd w:val="clear" w:color="auto" w:fill="auto"/>
            <w:vAlign w:val="center"/>
          </w:tcPr>
          <w:p w14:paraId="318C50D7">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100%</w:t>
            </w:r>
          </w:p>
        </w:tc>
      </w:tr>
      <w:tr w14:paraId="31A29E83">
        <w:tblPrEx>
          <w:tblCellMar>
            <w:top w:w="0" w:type="dxa"/>
            <w:left w:w="108" w:type="dxa"/>
            <w:bottom w:w="0" w:type="dxa"/>
            <w:right w:w="108" w:type="dxa"/>
          </w:tblCellMar>
        </w:tblPrEx>
        <w:trPr>
          <w:trHeight w:val="1153" w:hRule="atLeast"/>
        </w:trPr>
        <w:tc>
          <w:tcPr>
            <w:tcW w:w="424" w:type="pct"/>
            <w:tcBorders>
              <w:top w:val="nil"/>
              <w:left w:val="single" w:color="auto" w:sz="4" w:space="0"/>
              <w:bottom w:val="single" w:color="auto" w:sz="4" w:space="0"/>
              <w:right w:val="single" w:color="auto" w:sz="4" w:space="0"/>
            </w:tcBorders>
            <w:shd w:val="clear" w:color="auto" w:fill="auto"/>
            <w:vAlign w:val="center"/>
          </w:tcPr>
          <w:p w14:paraId="5956D253">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761" w:type="pct"/>
            <w:vMerge w:val="continue"/>
            <w:tcBorders>
              <w:left w:val="single" w:color="auto" w:sz="4" w:space="0"/>
              <w:right w:val="single" w:color="auto" w:sz="4" w:space="0"/>
            </w:tcBorders>
            <w:vAlign w:val="center"/>
          </w:tcPr>
          <w:p w14:paraId="72CFB1A9">
            <w:pPr>
              <w:widowControl/>
              <w:spacing w:line="240" w:lineRule="auto"/>
              <w:ind w:firstLine="0" w:firstLineChars="0"/>
              <w:jc w:val="left"/>
              <w:rPr>
                <w:rFonts w:hint="eastAsia" w:ascii="宋体" w:hAnsi="宋体" w:eastAsia="宋体" w:cs="宋体"/>
                <w:color w:val="000000"/>
                <w:kern w:val="0"/>
                <w:sz w:val="24"/>
                <w:szCs w:val="24"/>
              </w:rPr>
            </w:pPr>
          </w:p>
        </w:tc>
        <w:tc>
          <w:tcPr>
            <w:tcW w:w="828" w:type="pct"/>
            <w:tcBorders>
              <w:top w:val="nil"/>
              <w:left w:val="nil"/>
              <w:bottom w:val="single" w:color="auto" w:sz="4" w:space="0"/>
              <w:right w:val="single" w:color="auto" w:sz="4" w:space="0"/>
            </w:tcBorders>
            <w:shd w:val="clear" w:color="auto" w:fill="auto"/>
            <w:vAlign w:val="center"/>
          </w:tcPr>
          <w:p w14:paraId="24DF95BC">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国动领域</w:t>
            </w:r>
          </w:p>
        </w:tc>
        <w:tc>
          <w:tcPr>
            <w:tcW w:w="1060" w:type="pct"/>
            <w:tcBorders>
              <w:top w:val="nil"/>
              <w:left w:val="nil"/>
              <w:bottom w:val="single" w:color="auto" w:sz="4" w:space="0"/>
              <w:right w:val="single" w:color="auto" w:sz="4" w:space="0"/>
            </w:tcBorders>
            <w:shd w:val="clear" w:color="auto" w:fill="auto"/>
            <w:vAlign w:val="center"/>
          </w:tcPr>
          <w:p w14:paraId="30801228">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“一网统管”可视化大屏</w:t>
            </w:r>
          </w:p>
        </w:tc>
        <w:tc>
          <w:tcPr>
            <w:tcW w:w="1117" w:type="pct"/>
            <w:tcBorders>
              <w:top w:val="nil"/>
              <w:left w:val="nil"/>
              <w:bottom w:val="single" w:color="auto" w:sz="4" w:space="0"/>
              <w:right w:val="single" w:color="auto" w:sz="4" w:space="0"/>
            </w:tcBorders>
            <w:shd w:val="clear" w:color="auto" w:fill="auto"/>
            <w:vAlign w:val="center"/>
          </w:tcPr>
          <w:p w14:paraId="3C455F99">
            <w:pPr>
              <w:widowControl/>
              <w:spacing w:line="240" w:lineRule="auto"/>
              <w:ind w:firstLine="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指标完成率</w:t>
            </w:r>
          </w:p>
        </w:tc>
        <w:tc>
          <w:tcPr>
            <w:tcW w:w="810" w:type="pct"/>
            <w:tcBorders>
              <w:top w:val="nil"/>
              <w:left w:val="nil"/>
              <w:bottom w:val="single" w:color="auto" w:sz="4" w:space="0"/>
              <w:right w:val="single" w:color="auto" w:sz="4" w:space="0"/>
            </w:tcBorders>
            <w:shd w:val="clear" w:color="auto" w:fill="auto"/>
            <w:vAlign w:val="center"/>
          </w:tcPr>
          <w:p w14:paraId="4C714CF8">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w:t>
            </w:r>
          </w:p>
        </w:tc>
      </w:tr>
      <w:tr w14:paraId="47FB1758">
        <w:tblPrEx>
          <w:tblCellMar>
            <w:top w:w="0" w:type="dxa"/>
            <w:left w:w="108" w:type="dxa"/>
            <w:bottom w:w="0" w:type="dxa"/>
            <w:right w:w="108" w:type="dxa"/>
          </w:tblCellMar>
        </w:tblPrEx>
        <w:trPr>
          <w:trHeight w:val="773" w:hRule="atLeast"/>
        </w:trPr>
        <w:tc>
          <w:tcPr>
            <w:tcW w:w="424" w:type="pct"/>
            <w:tcBorders>
              <w:top w:val="nil"/>
              <w:left w:val="single" w:color="auto" w:sz="4" w:space="0"/>
              <w:bottom w:val="single" w:color="auto" w:sz="4" w:space="0"/>
              <w:right w:val="single" w:color="auto" w:sz="4" w:space="0"/>
            </w:tcBorders>
            <w:shd w:val="clear" w:color="auto" w:fill="auto"/>
            <w:vAlign w:val="center"/>
          </w:tcPr>
          <w:p w14:paraId="46A7C7F4">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761" w:type="pct"/>
            <w:vMerge w:val="continue"/>
            <w:tcBorders>
              <w:left w:val="single" w:color="auto" w:sz="4" w:space="0"/>
              <w:bottom w:val="single" w:color="auto" w:sz="4" w:space="0"/>
              <w:right w:val="single" w:color="auto" w:sz="4" w:space="0"/>
            </w:tcBorders>
            <w:vAlign w:val="center"/>
          </w:tcPr>
          <w:p w14:paraId="2DAEB69B">
            <w:pPr>
              <w:widowControl/>
              <w:spacing w:line="240" w:lineRule="auto"/>
              <w:ind w:firstLine="0" w:firstLineChars="0"/>
              <w:jc w:val="left"/>
              <w:rPr>
                <w:rFonts w:hint="eastAsia" w:ascii="宋体" w:hAnsi="宋体" w:eastAsia="宋体" w:cs="宋体"/>
                <w:color w:val="000000"/>
                <w:kern w:val="0"/>
                <w:sz w:val="24"/>
                <w:szCs w:val="24"/>
              </w:rPr>
            </w:pPr>
          </w:p>
        </w:tc>
        <w:tc>
          <w:tcPr>
            <w:tcW w:w="828" w:type="pct"/>
            <w:tcBorders>
              <w:top w:val="nil"/>
              <w:left w:val="nil"/>
              <w:bottom w:val="single" w:color="auto" w:sz="4" w:space="0"/>
              <w:right w:val="single" w:color="auto" w:sz="4" w:space="0"/>
            </w:tcBorders>
            <w:shd w:val="clear" w:color="auto" w:fill="auto"/>
            <w:vAlign w:val="center"/>
          </w:tcPr>
          <w:p w14:paraId="22A01F6B">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国动领域</w:t>
            </w:r>
          </w:p>
        </w:tc>
        <w:tc>
          <w:tcPr>
            <w:tcW w:w="1060" w:type="pct"/>
            <w:tcBorders>
              <w:top w:val="nil"/>
              <w:left w:val="nil"/>
              <w:bottom w:val="single" w:color="auto" w:sz="4" w:space="0"/>
              <w:right w:val="single" w:color="auto" w:sz="4" w:space="0"/>
            </w:tcBorders>
            <w:shd w:val="clear" w:color="auto" w:fill="auto"/>
            <w:vAlign w:val="center"/>
          </w:tcPr>
          <w:p w14:paraId="73E20DCE">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公用人防工程防汛防台专项应用</w:t>
            </w:r>
          </w:p>
        </w:tc>
        <w:tc>
          <w:tcPr>
            <w:tcW w:w="1117" w:type="pct"/>
            <w:tcBorders>
              <w:top w:val="nil"/>
              <w:left w:val="nil"/>
              <w:bottom w:val="single" w:color="auto" w:sz="4" w:space="0"/>
              <w:right w:val="single" w:color="auto" w:sz="4" w:space="0"/>
            </w:tcBorders>
            <w:shd w:val="clear" w:color="auto" w:fill="auto"/>
            <w:vAlign w:val="center"/>
          </w:tcPr>
          <w:p w14:paraId="4238920B">
            <w:pPr>
              <w:widowControl/>
              <w:spacing w:line="240" w:lineRule="auto"/>
              <w:ind w:firstLine="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人防工程防汛防台预警处置率</w:t>
            </w:r>
          </w:p>
        </w:tc>
        <w:tc>
          <w:tcPr>
            <w:tcW w:w="810" w:type="pct"/>
            <w:tcBorders>
              <w:top w:val="nil"/>
              <w:left w:val="nil"/>
              <w:bottom w:val="single" w:color="auto" w:sz="4" w:space="0"/>
              <w:right w:val="single" w:color="auto" w:sz="4" w:space="0"/>
            </w:tcBorders>
            <w:shd w:val="clear" w:color="auto" w:fill="auto"/>
            <w:vAlign w:val="center"/>
          </w:tcPr>
          <w:p w14:paraId="0F4793BB">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w:t>
            </w:r>
          </w:p>
        </w:tc>
      </w:tr>
      <w:tr w14:paraId="4F13F99F">
        <w:tblPrEx>
          <w:tblCellMar>
            <w:top w:w="0" w:type="dxa"/>
            <w:left w:w="108" w:type="dxa"/>
            <w:bottom w:w="0" w:type="dxa"/>
            <w:right w:w="108" w:type="dxa"/>
          </w:tblCellMar>
        </w:tblPrEx>
        <w:trPr>
          <w:trHeight w:val="773" w:hRule="atLeast"/>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06BB5D78">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761" w:type="pct"/>
            <w:vMerge w:val="continue"/>
            <w:tcBorders>
              <w:top w:val="single" w:color="auto" w:sz="4" w:space="0"/>
              <w:left w:val="single" w:color="auto" w:sz="4" w:space="0"/>
              <w:bottom w:val="single" w:color="auto" w:sz="4" w:space="0"/>
              <w:right w:val="single" w:color="auto" w:sz="4" w:space="0"/>
            </w:tcBorders>
            <w:vAlign w:val="center"/>
          </w:tcPr>
          <w:p w14:paraId="5CFD778B">
            <w:pPr>
              <w:widowControl/>
              <w:spacing w:line="240" w:lineRule="auto"/>
              <w:ind w:firstLine="0" w:firstLineChars="0"/>
              <w:jc w:val="left"/>
              <w:rPr>
                <w:rFonts w:hint="eastAsia" w:ascii="宋体" w:hAnsi="宋体" w:eastAsia="宋体" w:cs="宋体"/>
                <w:color w:val="000000"/>
                <w:kern w:val="0"/>
                <w:sz w:val="24"/>
                <w:szCs w:val="24"/>
              </w:rPr>
            </w:pPr>
          </w:p>
        </w:tc>
        <w:tc>
          <w:tcPr>
            <w:tcW w:w="828" w:type="pct"/>
            <w:tcBorders>
              <w:top w:val="single" w:color="auto" w:sz="4" w:space="0"/>
              <w:left w:val="nil"/>
              <w:bottom w:val="single" w:color="auto" w:sz="4" w:space="0"/>
              <w:right w:val="single" w:color="auto" w:sz="4" w:space="0"/>
            </w:tcBorders>
            <w:shd w:val="clear" w:color="auto" w:fill="auto"/>
            <w:vAlign w:val="center"/>
          </w:tcPr>
          <w:p w14:paraId="02DFFD1F">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国动领域</w:t>
            </w:r>
          </w:p>
        </w:tc>
        <w:tc>
          <w:tcPr>
            <w:tcW w:w="1060" w:type="pct"/>
            <w:tcBorders>
              <w:top w:val="single" w:color="auto" w:sz="4" w:space="0"/>
              <w:left w:val="nil"/>
              <w:bottom w:val="single" w:color="auto" w:sz="4" w:space="0"/>
              <w:right w:val="single" w:color="auto" w:sz="4" w:space="0"/>
            </w:tcBorders>
            <w:shd w:val="clear" w:color="auto" w:fill="auto"/>
            <w:vAlign w:val="center"/>
          </w:tcPr>
          <w:p w14:paraId="65FE37C5">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人防工程应建未建专项排查</w:t>
            </w:r>
          </w:p>
        </w:tc>
        <w:tc>
          <w:tcPr>
            <w:tcW w:w="1117" w:type="pct"/>
            <w:tcBorders>
              <w:top w:val="single" w:color="auto" w:sz="4" w:space="0"/>
              <w:left w:val="nil"/>
              <w:bottom w:val="single" w:color="auto" w:sz="4" w:space="0"/>
              <w:right w:val="single" w:color="auto" w:sz="4" w:space="0"/>
            </w:tcBorders>
            <w:shd w:val="clear" w:color="auto" w:fill="auto"/>
            <w:vAlign w:val="center"/>
          </w:tcPr>
          <w:p w14:paraId="64AE7288">
            <w:pPr>
              <w:widowControl/>
              <w:spacing w:line="240" w:lineRule="auto"/>
              <w:ind w:firstLine="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人防工程应建未建专项排查处置率</w:t>
            </w:r>
          </w:p>
        </w:tc>
        <w:tc>
          <w:tcPr>
            <w:tcW w:w="810" w:type="pct"/>
            <w:tcBorders>
              <w:top w:val="single" w:color="auto" w:sz="4" w:space="0"/>
              <w:left w:val="nil"/>
              <w:bottom w:val="single" w:color="auto" w:sz="4" w:space="0"/>
              <w:right w:val="single" w:color="auto" w:sz="4" w:space="0"/>
            </w:tcBorders>
            <w:shd w:val="clear" w:color="auto" w:fill="auto"/>
            <w:vAlign w:val="center"/>
          </w:tcPr>
          <w:p w14:paraId="136CC6D1">
            <w:pPr>
              <w:widowControl/>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w:t>
            </w:r>
          </w:p>
        </w:tc>
      </w:tr>
    </w:tbl>
    <w:p w14:paraId="4C5C1D5B">
      <w:pPr>
        <w:pStyle w:val="3"/>
        <w:ind w:left="0"/>
        <w:rPr>
          <w:rFonts w:hint="eastAsia"/>
          <w:lang w:val="en-US" w:eastAsia="zh-CN"/>
        </w:rPr>
      </w:pPr>
      <w:bookmarkStart w:id="18" w:name="_Toc29516"/>
      <w:r>
        <w:rPr>
          <w:rFonts w:hint="eastAsia"/>
          <w:lang w:val="en-US" w:eastAsia="zh-CN"/>
        </w:rPr>
        <w:t>技术绩效考核目标</w:t>
      </w:r>
      <w:bookmarkEnd w:id="16"/>
      <w:bookmarkEnd w:id="17"/>
      <w:bookmarkEnd w:id="18"/>
    </w:p>
    <w:tbl>
      <w:tblPr>
        <w:tblStyle w:val="35"/>
        <w:tblW w:w="8318" w:type="dxa"/>
        <w:tblInd w:w="-2" w:type="dxa"/>
        <w:tblLayout w:type="autofit"/>
        <w:tblCellMar>
          <w:top w:w="0" w:type="dxa"/>
          <w:left w:w="108" w:type="dxa"/>
          <w:bottom w:w="0" w:type="dxa"/>
          <w:right w:w="108" w:type="dxa"/>
        </w:tblCellMar>
      </w:tblPr>
      <w:tblGrid>
        <w:gridCol w:w="664"/>
        <w:gridCol w:w="1192"/>
        <w:gridCol w:w="1298"/>
        <w:gridCol w:w="1660"/>
        <w:gridCol w:w="1751"/>
        <w:gridCol w:w="1753"/>
      </w:tblGrid>
      <w:tr w14:paraId="037BE1D5">
        <w:tblPrEx>
          <w:tblCellMar>
            <w:top w:w="0" w:type="dxa"/>
            <w:left w:w="108" w:type="dxa"/>
            <w:bottom w:w="0" w:type="dxa"/>
            <w:right w:w="108" w:type="dxa"/>
          </w:tblCellMar>
        </w:tblPrEx>
        <w:trPr>
          <w:trHeight w:val="573"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08AD">
            <w:pPr>
              <w:widowControl/>
              <w:spacing w:line="240" w:lineRule="auto"/>
              <w:ind w:firstLine="0" w:firstLineChars="0"/>
              <w:jc w:val="center"/>
              <w:rPr>
                <w:rFonts w:hint="eastAsia" w:ascii="宋体" w:hAnsi="宋体" w:eastAsia="宋体" w:cs="宋体"/>
                <w:color w:val="000000"/>
                <w:kern w:val="0"/>
                <w:sz w:val="22"/>
                <w:szCs w:val="22"/>
              </w:rPr>
            </w:pPr>
            <w:r>
              <w:rPr>
                <w:rFonts w:hint="eastAsia" w:ascii="宋体" w:hAnsi="宋体" w:eastAsia="宋体" w:cs="宋体"/>
                <w:b/>
                <w:bCs/>
                <w:kern w:val="0"/>
                <w:sz w:val="22"/>
                <w:szCs w:val="22"/>
              </w:rPr>
              <w:t>序号</w:t>
            </w:r>
          </w:p>
        </w:tc>
        <w:tc>
          <w:tcPr>
            <w:tcW w:w="1192" w:type="dxa"/>
            <w:tcBorders>
              <w:top w:val="single" w:color="000000" w:sz="4" w:space="0"/>
              <w:left w:val="nil"/>
              <w:bottom w:val="nil"/>
              <w:right w:val="single" w:color="000000" w:sz="4" w:space="0"/>
            </w:tcBorders>
            <w:shd w:val="clear" w:color="auto" w:fill="auto"/>
            <w:vAlign w:val="center"/>
          </w:tcPr>
          <w:p w14:paraId="7B5C7570">
            <w:pPr>
              <w:widowControl/>
              <w:spacing w:line="240" w:lineRule="auto"/>
              <w:ind w:firstLine="0" w:firstLineChars="0"/>
              <w:jc w:val="center"/>
              <w:rPr>
                <w:rFonts w:hint="eastAsia" w:ascii="宋体" w:hAnsi="宋体" w:eastAsia="宋体" w:cs="宋体"/>
                <w:color w:val="000000"/>
                <w:kern w:val="0"/>
                <w:sz w:val="22"/>
                <w:szCs w:val="22"/>
              </w:rPr>
            </w:pPr>
            <w:r>
              <w:rPr>
                <w:rFonts w:hint="eastAsia" w:ascii="宋体" w:hAnsi="宋体" w:eastAsia="宋体" w:cs="宋体"/>
                <w:b/>
                <w:bCs/>
                <w:kern w:val="0"/>
                <w:sz w:val="24"/>
                <w:szCs w:val="24"/>
              </w:rPr>
              <w:t>一级指标</w:t>
            </w:r>
          </w:p>
        </w:tc>
        <w:tc>
          <w:tcPr>
            <w:tcW w:w="1298" w:type="dxa"/>
            <w:tcBorders>
              <w:top w:val="single" w:color="000000" w:sz="4" w:space="0"/>
              <w:left w:val="nil"/>
              <w:bottom w:val="single" w:color="000000" w:sz="4" w:space="0"/>
              <w:right w:val="single" w:color="000000" w:sz="4" w:space="0"/>
            </w:tcBorders>
            <w:shd w:val="clear" w:color="auto" w:fill="auto"/>
            <w:vAlign w:val="center"/>
          </w:tcPr>
          <w:p w14:paraId="25124A6B">
            <w:pPr>
              <w:widowControl/>
              <w:spacing w:line="240" w:lineRule="auto"/>
              <w:ind w:firstLine="0" w:firstLineChars="0"/>
              <w:jc w:val="center"/>
              <w:rPr>
                <w:rFonts w:hint="eastAsia" w:ascii="宋体" w:hAnsi="宋体" w:eastAsia="宋体" w:cs="宋体"/>
                <w:color w:val="000000"/>
                <w:kern w:val="0"/>
                <w:sz w:val="22"/>
                <w:szCs w:val="22"/>
              </w:rPr>
            </w:pPr>
            <w:r>
              <w:rPr>
                <w:rFonts w:hint="eastAsia" w:ascii="宋体" w:hAnsi="宋体" w:eastAsia="宋体" w:cs="宋体"/>
                <w:b/>
                <w:bCs/>
                <w:kern w:val="0"/>
                <w:sz w:val="24"/>
                <w:szCs w:val="24"/>
              </w:rPr>
              <w:t>二级指标</w:t>
            </w:r>
          </w:p>
        </w:tc>
        <w:tc>
          <w:tcPr>
            <w:tcW w:w="1660" w:type="dxa"/>
            <w:tcBorders>
              <w:top w:val="single" w:color="000000" w:sz="4" w:space="0"/>
              <w:left w:val="nil"/>
              <w:bottom w:val="single" w:color="000000" w:sz="4" w:space="0"/>
              <w:right w:val="single" w:color="000000" w:sz="4" w:space="0"/>
            </w:tcBorders>
            <w:shd w:val="clear" w:color="auto" w:fill="auto"/>
            <w:vAlign w:val="center"/>
          </w:tcPr>
          <w:p w14:paraId="49BDA0BF">
            <w:pPr>
              <w:widowControl/>
              <w:spacing w:line="240" w:lineRule="auto"/>
              <w:ind w:firstLine="0" w:firstLineChars="0"/>
              <w:jc w:val="center"/>
              <w:rPr>
                <w:rFonts w:hint="eastAsia" w:ascii="宋体" w:hAnsi="宋体" w:eastAsia="宋体" w:cs="宋体"/>
                <w:color w:val="000000"/>
                <w:kern w:val="0"/>
                <w:sz w:val="22"/>
                <w:szCs w:val="22"/>
              </w:rPr>
            </w:pPr>
            <w:r>
              <w:rPr>
                <w:rFonts w:hint="eastAsia" w:ascii="宋体" w:hAnsi="宋体" w:eastAsia="宋体" w:cs="宋体"/>
                <w:b/>
                <w:bCs/>
                <w:kern w:val="0"/>
                <w:sz w:val="24"/>
                <w:szCs w:val="24"/>
              </w:rPr>
              <w:t>三级指标</w:t>
            </w:r>
          </w:p>
        </w:tc>
        <w:tc>
          <w:tcPr>
            <w:tcW w:w="1751" w:type="dxa"/>
            <w:tcBorders>
              <w:top w:val="single" w:color="000000" w:sz="4" w:space="0"/>
              <w:left w:val="nil"/>
              <w:bottom w:val="single" w:color="000000" w:sz="4" w:space="0"/>
              <w:right w:val="single" w:color="000000" w:sz="4" w:space="0"/>
            </w:tcBorders>
            <w:shd w:val="clear" w:color="auto" w:fill="auto"/>
            <w:vAlign w:val="center"/>
          </w:tcPr>
          <w:p w14:paraId="0ACC89DE">
            <w:pPr>
              <w:widowControl/>
              <w:spacing w:line="240" w:lineRule="auto"/>
              <w:ind w:firstLine="0" w:firstLineChars="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四级指标</w:t>
            </w:r>
          </w:p>
        </w:tc>
        <w:tc>
          <w:tcPr>
            <w:tcW w:w="1753" w:type="dxa"/>
            <w:tcBorders>
              <w:top w:val="single" w:color="000000" w:sz="4" w:space="0"/>
              <w:left w:val="nil"/>
              <w:bottom w:val="single" w:color="000000" w:sz="4" w:space="0"/>
              <w:right w:val="single" w:color="000000" w:sz="4" w:space="0"/>
            </w:tcBorders>
            <w:shd w:val="clear" w:color="auto" w:fill="auto"/>
            <w:vAlign w:val="center"/>
          </w:tcPr>
          <w:p w14:paraId="63D1D241">
            <w:pPr>
              <w:widowControl/>
              <w:spacing w:line="240" w:lineRule="auto"/>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指标值</w:t>
            </w:r>
          </w:p>
        </w:tc>
      </w:tr>
      <w:tr w14:paraId="4AC2E7CD">
        <w:tblPrEx>
          <w:tblCellMar>
            <w:top w:w="0" w:type="dxa"/>
            <w:left w:w="108" w:type="dxa"/>
            <w:bottom w:w="0" w:type="dxa"/>
            <w:right w:w="108" w:type="dxa"/>
          </w:tblCellMar>
        </w:tblPrEx>
        <w:trPr>
          <w:trHeight w:val="990" w:hRule="atLeast"/>
        </w:trPr>
        <w:tc>
          <w:tcPr>
            <w:tcW w:w="664" w:type="dxa"/>
            <w:tcBorders>
              <w:top w:val="nil"/>
              <w:left w:val="single" w:color="000000" w:sz="4" w:space="0"/>
              <w:bottom w:val="single" w:color="000000" w:sz="4" w:space="0"/>
              <w:right w:val="nil"/>
            </w:tcBorders>
            <w:shd w:val="clear" w:color="auto" w:fill="auto"/>
            <w:vAlign w:val="center"/>
          </w:tcPr>
          <w:p w14:paraId="4293502A">
            <w:pPr>
              <w:widowControl/>
              <w:spacing w:line="240" w:lineRule="auto"/>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1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774668">
            <w:pPr>
              <w:widowControl/>
              <w:spacing w:line="240" w:lineRule="auto"/>
              <w:ind w:firstLine="0" w:firstLineChars="0"/>
              <w:jc w:val="center"/>
              <w:rPr>
                <w:rFonts w:hint="eastAsia" w:ascii="宋体" w:hAnsi="宋体" w:eastAsia="宋体" w:cs="宋体"/>
                <w:color w:val="000000"/>
                <w:kern w:val="0"/>
                <w:sz w:val="22"/>
                <w:szCs w:val="22"/>
              </w:rPr>
            </w:pPr>
            <w:r>
              <w:rPr>
                <w:rFonts w:hint="eastAsia" w:ascii="宋体" w:hAnsi="宋体" w:eastAsia="宋体" w:cs="宋体"/>
                <w:kern w:val="0"/>
                <w:sz w:val="24"/>
                <w:szCs w:val="24"/>
              </w:rPr>
              <w:t>通用指标</w:t>
            </w:r>
          </w:p>
        </w:tc>
        <w:tc>
          <w:tcPr>
            <w:tcW w:w="1298" w:type="dxa"/>
            <w:tcBorders>
              <w:top w:val="nil"/>
              <w:left w:val="nil"/>
              <w:bottom w:val="single" w:color="000000" w:sz="4" w:space="0"/>
              <w:right w:val="single" w:color="000000" w:sz="4" w:space="0"/>
            </w:tcBorders>
            <w:shd w:val="clear" w:color="auto" w:fill="auto"/>
            <w:vAlign w:val="center"/>
          </w:tcPr>
          <w:p w14:paraId="02D4D3E2">
            <w:pPr>
              <w:widowControl/>
              <w:spacing w:line="240" w:lineRule="auto"/>
              <w:ind w:firstLine="0" w:firstLineChars="0"/>
              <w:jc w:val="center"/>
              <w:rPr>
                <w:rFonts w:hint="eastAsia" w:ascii="宋体" w:hAnsi="宋体" w:eastAsia="宋体" w:cs="宋体"/>
                <w:color w:val="000000"/>
                <w:kern w:val="0"/>
                <w:sz w:val="22"/>
                <w:szCs w:val="22"/>
              </w:rPr>
            </w:pPr>
            <w:r>
              <w:rPr>
                <w:rFonts w:hint="eastAsia" w:ascii="宋体" w:hAnsi="宋体" w:eastAsia="宋体" w:cs="宋体"/>
                <w:kern w:val="0"/>
                <w:sz w:val="24"/>
                <w:szCs w:val="24"/>
              </w:rPr>
              <w:t>产出指标</w:t>
            </w:r>
          </w:p>
        </w:tc>
        <w:tc>
          <w:tcPr>
            <w:tcW w:w="1660" w:type="dxa"/>
            <w:tcBorders>
              <w:top w:val="nil"/>
              <w:left w:val="nil"/>
              <w:bottom w:val="single" w:color="000000" w:sz="4" w:space="0"/>
              <w:right w:val="single" w:color="000000" w:sz="4" w:space="0"/>
            </w:tcBorders>
            <w:shd w:val="clear" w:color="auto" w:fill="auto"/>
            <w:vAlign w:val="center"/>
          </w:tcPr>
          <w:p w14:paraId="39D13F3F">
            <w:pPr>
              <w:widowControl/>
              <w:spacing w:line="240" w:lineRule="auto"/>
              <w:ind w:firstLine="0" w:firstLineChars="0"/>
              <w:jc w:val="center"/>
              <w:rPr>
                <w:rFonts w:hint="eastAsia" w:ascii="宋体" w:hAnsi="宋体" w:eastAsia="宋体" w:cs="宋体"/>
                <w:color w:val="000000"/>
                <w:kern w:val="0"/>
                <w:sz w:val="22"/>
                <w:szCs w:val="22"/>
              </w:rPr>
            </w:pPr>
            <w:r>
              <w:rPr>
                <w:rFonts w:hint="eastAsia" w:ascii="宋体" w:hAnsi="宋体" w:eastAsia="宋体" w:cs="宋体"/>
                <w:kern w:val="0"/>
                <w:sz w:val="24"/>
                <w:szCs w:val="24"/>
              </w:rPr>
              <w:t>产出数量</w:t>
            </w:r>
          </w:p>
        </w:tc>
        <w:tc>
          <w:tcPr>
            <w:tcW w:w="1751" w:type="dxa"/>
            <w:tcBorders>
              <w:top w:val="nil"/>
              <w:left w:val="nil"/>
              <w:bottom w:val="single" w:color="000000" w:sz="4" w:space="0"/>
              <w:right w:val="single" w:color="000000" w:sz="4" w:space="0"/>
            </w:tcBorders>
            <w:shd w:val="clear" w:color="auto" w:fill="auto"/>
            <w:vAlign w:val="center"/>
          </w:tcPr>
          <w:p w14:paraId="2B742BEE">
            <w:pPr>
              <w:widowControl/>
              <w:spacing w:line="240" w:lineRule="auto"/>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软件开发完成</w:t>
            </w:r>
          </w:p>
          <w:p w14:paraId="22C6245A">
            <w:pPr>
              <w:widowControl/>
              <w:spacing w:line="240" w:lineRule="auto"/>
              <w:ind w:firstLine="0" w:firstLineChars="0"/>
              <w:jc w:val="left"/>
              <w:rPr>
                <w:rFonts w:hint="eastAsia" w:ascii="宋体" w:hAnsi="宋体" w:eastAsia="宋体" w:cs="宋体"/>
                <w:color w:val="000000"/>
                <w:kern w:val="0"/>
                <w:sz w:val="22"/>
                <w:szCs w:val="22"/>
              </w:rPr>
            </w:pPr>
            <w:r>
              <w:rPr>
                <w:rFonts w:hint="eastAsia" w:ascii="宋体" w:hAnsi="宋体" w:eastAsia="宋体" w:cs="宋体"/>
                <w:kern w:val="0"/>
                <w:sz w:val="24"/>
                <w:szCs w:val="24"/>
              </w:rPr>
              <w:t>率</w:t>
            </w:r>
          </w:p>
        </w:tc>
        <w:tc>
          <w:tcPr>
            <w:tcW w:w="1753" w:type="dxa"/>
            <w:tcBorders>
              <w:top w:val="nil"/>
              <w:left w:val="nil"/>
              <w:bottom w:val="single" w:color="auto" w:sz="4" w:space="0"/>
              <w:right w:val="single" w:color="auto" w:sz="4" w:space="0"/>
            </w:tcBorders>
            <w:shd w:val="clear" w:color="auto" w:fill="auto"/>
            <w:vAlign w:val="center"/>
          </w:tcPr>
          <w:p w14:paraId="266D50D6">
            <w:pPr>
              <w:widowControl/>
              <w:spacing w:line="24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100%</w:t>
            </w:r>
          </w:p>
        </w:tc>
      </w:tr>
      <w:tr w14:paraId="66ED37BE">
        <w:tblPrEx>
          <w:tblCellMar>
            <w:top w:w="0" w:type="dxa"/>
            <w:left w:w="108" w:type="dxa"/>
            <w:bottom w:w="0" w:type="dxa"/>
            <w:right w:w="108" w:type="dxa"/>
          </w:tblCellMar>
        </w:tblPrEx>
        <w:trPr>
          <w:trHeight w:val="495" w:hRule="atLeast"/>
        </w:trPr>
        <w:tc>
          <w:tcPr>
            <w:tcW w:w="664" w:type="dxa"/>
            <w:tcBorders>
              <w:top w:val="nil"/>
              <w:left w:val="single" w:color="000000" w:sz="4" w:space="0"/>
              <w:bottom w:val="single" w:color="000000" w:sz="4" w:space="0"/>
              <w:right w:val="nil"/>
            </w:tcBorders>
            <w:shd w:val="clear" w:color="auto" w:fill="auto"/>
            <w:vAlign w:val="center"/>
          </w:tcPr>
          <w:p w14:paraId="324376F2">
            <w:pPr>
              <w:widowControl/>
              <w:spacing w:line="240" w:lineRule="auto"/>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192" w:type="dxa"/>
            <w:vMerge w:val="continue"/>
            <w:tcBorders>
              <w:top w:val="single" w:color="auto" w:sz="4" w:space="0"/>
              <w:left w:val="single" w:color="auto" w:sz="4" w:space="0"/>
              <w:bottom w:val="single" w:color="auto" w:sz="4" w:space="0"/>
              <w:right w:val="single" w:color="auto" w:sz="4" w:space="0"/>
            </w:tcBorders>
            <w:vAlign w:val="center"/>
          </w:tcPr>
          <w:p w14:paraId="6136E2BA">
            <w:pPr>
              <w:widowControl/>
              <w:spacing w:line="240" w:lineRule="auto"/>
              <w:ind w:firstLine="0" w:firstLineChars="0"/>
              <w:jc w:val="left"/>
              <w:rPr>
                <w:rFonts w:hint="eastAsia" w:ascii="宋体" w:hAnsi="宋体" w:eastAsia="宋体" w:cs="宋体"/>
                <w:color w:val="000000"/>
                <w:kern w:val="0"/>
                <w:sz w:val="22"/>
                <w:szCs w:val="22"/>
              </w:rPr>
            </w:pPr>
          </w:p>
        </w:tc>
        <w:tc>
          <w:tcPr>
            <w:tcW w:w="1298" w:type="dxa"/>
            <w:tcBorders>
              <w:top w:val="nil"/>
              <w:left w:val="nil"/>
              <w:bottom w:val="single" w:color="000000" w:sz="4" w:space="0"/>
              <w:right w:val="single" w:color="000000" w:sz="4" w:space="0"/>
            </w:tcBorders>
            <w:shd w:val="clear" w:color="auto" w:fill="auto"/>
            <w:vAlign w:val="center"/>
          </w:tcPr>
          <w:p w14:paraId="11A4D7FC">
            <w:pPr>
              <w:widowControl/>
              <w:spacing w:line="240" w:lineRule="auto"/>
              <w:ind w:firstLine="0" w:firstLineChars="0"/>
              <w:jc w:val="center"/>
              <w:rPr>
                <w:rFonts w:hint="eastAsia" w:ascii="宋体" w:hAnsi="宋体" w:eastAsia="宋体" w:cs="宋体"/>
                <w:color w:val="000000"/>
                <w:kern w:val="0"/>
                <w:sz w:val="22"/>
                <w:szCs w:val="22"/>
              </w:rPr>
            </w:pPr>
            <w:r>
              <w:rPr>
                <w:rFonts w:hint="eastAsia" w:ascii="宋体" w:hAnsi="宋体" w:eastAsia="宋体" w:cs="宋体"/>
                <w:kern w:val="0"/>
                <w:sz w:val="24"/>
                <w:szCs w:val="24"/>
              </w:rPr>
              <w:t>产出指标</w:t>
            </w:r>
          </w:p>
        </w:tc>
        <w:tc>
          <w:tcPr>
            <w:tcW w:w="1660" w:type="dxa"/>
            <w:tcBorders>
              <w:top w:val="nil"/>
              <w:left w:val="nil"/>
              <w:bottom w:val="single" w:color="000000" w:sz="4" w:space="0"/>
              <w:right w:val="single" w:color="000000" w:sz="4" w:space="0"/>
            </w:tcBorders>
            <w:shd w:val="clear" w:color="auto" w:fill="auto"/>
            <w:vAlign w:val="center"/>
          </w:tcPr>
          <w:p w14:paraId="7BFE8CED">
            <w:pPr>
              <w:widowControl/>
              <w:spacing w:line="240" w:lineRule="auto"/>
              <w:ind w:firstLine="0" w:firstLineChars="0"/>
              <w:jc w:val="center"/>
              <w:rPr>
                <w:rFonts w:hint="eastAsia" w:ascii="宋体" w:hAnsi="宋体" w:eastAsia="宋体" w:cs="宋体"/>
                <w:color w:val="000000"/>
                <w:kern w:val="0"/>
                <w:sz w:val="22"/>
                <w:szCs w:val="22"/>
              </w:rPr>
            </w:pPr>
            <w:r>
              <w:rPr>
                <w:rFonts w:hint="eastAsia" w:ascii="宋体" w:hAnsi="宋体" w:eastAsia="宋体" w:cs="宋体"/>
                <w:kern w:val="0"/>
                <w:sz w:val="24"/>
                <w:szCs w:val="24"/>
              </w:rPr>
              <w:t>产出质量</w:t>
            </w:r>
          </w:p>
        </w:tc>
        <w:tc>
          <w:tcPr>
            <w:tcW w:w="1751" w:type="dxa"/>
            <w:tcBorders>
              <w:top w:val="nil"/>
              <w:left w:val="nil"/>
              <w:bottom w:val="single" w:color="000000" w:sz="4" w:space="0"/>
              <w:right w:val="single" w:color="000000" w:sz="4" w:space="0"/>
            </w:tcBorders>
            <w:shd w:val="clear" w:color="auto" w:fill="auto"/>
            <w:vAlign w:val="center"/>
          </w:tcPr>
          <w:p w14:paraId="6F714AA5">
            <w:pPr>
              <w:widowControl/>
              <w:spacing w:line="240" w:lineRule="auto"/>
              <w:ind w:firstLine="0" w:firstLineChars="0"/>
              <w:jc w:val="left"/>
              <w:rPr>
                <w:rFonts w:hint="eastAsia" w:ascii="宋体" w:hAnsi="宋体" w:eastAsia="宋体" w:cs="宋体"/>
                <w:color w:val="000000"/>
                <w:kern w:val="0"/>
                <w:sz w:val="22"/>
                <w:szCs w:val="22"/>
              </w:rPr>
            </w:pPr>
            <w:r>
              <w:rPr>
                <w:rFonts w:hint="eastAsia" w:ascii="宋体" w:hAnsi="宋体" w:eastAsia="宋体" w:cs="宋体"/>
                <w:kern w:val="0"/>
                <w:sz w:val="24"/>
                <w:szCs w:val="24"/>
              </w:rPr>
              <w:t>软件测试达标</w:t>
            </w:r>
          </w:p>
        </w:tc>
        <w:tc>
          <w:tcPr>
            <w:tcW w:w="1753" w:type="dxa"/>
            <w:tcBorders>
              <w:top w:val="nil"/>
              <w:left w:val="nil"/>
              <w:bottom w:val="single" w:color="auto" w:sz="4" w:space="0"/>
              <w:right w:val="single" w:color="auto" w:sz="4" w:space="0"/>
            </w:tcBorders>
            <w:shd w:val="clear" w:color="auto" w:fill="auto"/>
            <w:vAlign w:val="center"/>
          </w:tcPr>
          <w:p w14:paraId="6849812B">
            <w:pPr>
              <w:widowControl/>
              <w:spacing w:line="24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100%</w:t>
            </w:r>
          </w:p>
        </w:tc>
      </w:tr>
      <w:tr w14:paraId="6C5EB579">
        <w:tblPrEx>
          <w:tblCellMar>
            <w:top w:w="0" w:type="dxa"/>
            <w:left w:w="108" w:type="dxa"/>
            <w:bottom w:w="0" w:type="dxa"/>
            <w:right w:w="108" w:type="dxa"/>
          </w:tblCellMar>
        </w:tblPrEx>
        <w:trPr>
          <w:trHeight w:val="495" w:hRule="atLeast"/>
        </w:trPr>
        <w:tc>
          <w:tcPr>
            <w:tcW w:w="664" w:type="dxa"/>
            <w:tcBorders>
              <w:top w:val="nil"/>
              <w:left w:val="single" w:color="000000" w:sz="4" w:space="0"/>
              <w:bottom w:val="single" w:color="000000" w:sz="4" w:space="0"/>
              <w:right w:val="nil"/>
            </w:tcBorders>
            <w:shd w:val="clear" w:color="auto" w:fill="auto"/>
            <w:vAlign w:val="center"/>
          </w:tcPr>
          <w:p w14:paraId="35806E28">
            <w:pPr>
              <w:widowControl/>
              <w:spacing w:line="240" w:lineRule="auto"/>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1192" w:type="dxa"/>
            <w:vMerge w:val="continue"/>
            <w:tcBorders>
              <w:top w:val="single" w:color="auto" w:sz="4" w:space="0"/>
              <w:left w:val="single" w:color="auto" w:sz="4" w:space="0"/>
              <w:bottom w:val="single" w:color="auto" w:sz="4" w:space="0"/>
              <w:right w:val="single" w:color="auto" w:sz="4" w:space="0"/>
            </w:tcBorders>
            <w:vAlign w:val="center"/>
          </w:tcPr>
          <w:p w14:paraId="1B0ED138">
            <w:pPr>
              <w:widowControl/>
              <w:spacing w:line="240" w:lineRule="auto"/>
              <w:ind w:firstLine="0" w:firstLineChars="0"/>
              <w:jc w:val="left"/>
              <w:rPr>
                <w:rFonts w:hint="eastAsia" w:ascii="宋体" w:hAnsi="宋体" w:eastAsia="宋体" w:cs="宋体"/>
                <w:color w:val="000000"/>
                <w:kern w:val="0"/>
                <w:sz w:val="22"/>
                <w:szCs w:val="22"/>
              </w:rPr>
            </w:pPr>
          </w:p>
        </w:tc>
        <w:tc>
          <w:tcPr>
            <w:tcW w:w="1298" w:type="dxa"/>
            <w:tcBorders>
              <w:top w:val="nil"/>
              <w:left w:val="nil"/>
              <w:bottom w:val="single" w:color="000000" w:sz="4" w:space="0"/>
              <w:right w:val="single" w:color="000000" w:sz="4" w:space="0"/>
            </w:tcBorders>
            <w:shd w:val="clear" w:color="auto" w:fill="auto"/>
            <w:vAlign w:val="center"/>
          </w:tcPr>
          <w:p w14:paraId="227D1F45">
            <w:pPr>
              <w:widowControl/>
              <w:spacing w:line="240" w:lineRule="auto"/>
              <w:ind w:firstLine="0" w:firstLineChars="0"/>
              <w:jc w:val="center"/>
              <w:rPr>
                <w:rFonts w:hint="eastAsia" w:ascii="宋体" w:hAnsi="宋体" w:eastAsia="宋体" w:cs="宋体"/>
                <w:color w:val="000000"/>
                <w:kern w:val="0"/>
                <w:sz w:val="22"/>
                <w:szCs w:val="22"/>
              </w:rPr>
            </w:pPr>
            <w:r>
              <w:rPr>
                <w:rFonts w:hint="eastAsia" w:ascii="宋体" w:hAnsi="宋体" w:eastAsia="宋体" w:cs="宋体"/>
                <w:kern w:val="0"/>
                <w:sz w:val="24"/>
                <w:szCs w:val="24"/>
              </w:rPr>
              <w:t>产出指标</w:t>
            </w:r>
          </w:p>
        </w:tc>
        <w:tc>
          <w:tcPr>
            <w:tcW w:w="1660" w:type="dxa"/>
            <w:tcBorders>
              <w:top w:val="nil"/>
              <w:left w:val="nil"/>
              <w:bottom w:val="single" w:color="000000" w:sz="4" w:space="0"/>
              <w:right w:val="single" w:color="000000" w:sz="4" w:space="0"/>
            </w:tcBorders>
            <w:shd w:val="clear" w:color="auto" w:fill="auto"/>
            <w:vAlign w:val="center"/>
          </w:tcPr>
          <w:p w14:paraId="3525704F">
            <w:pPr>
              <w:widowControl/>
              <w:spacing w:line="240" w:lineRule="auto"/>
              <w:ind w:firstLine="0" w:firstLineChars="0"/>
              <w:jc w:val="center"/>
              <w:rPr>
                <w:rFonts w:hint="eastAsia" w:ascii="宋体" w:hAnsi="宋体" w:eastAsia="宋体" w:cs="宋体"/>
                <w:color w:val="000000"/>
                <w:kern w:val="0"/>
                <w:sz w:val="22"/>
                <w:szCs w:val="22"/>
              </w:rPr>
            </w:pPr>
            <w:r>
              <w:rPr>
                <w:rFonts w:hint="eastAsia" w:ascii="宋体" w:hAnsi="宋体" w:eastAsia="宋体" w:cs="宋体"/>
                <w:kern w:val="0"/>
                <w:sz w:val="24"/>
                <w:szCs w:val="24"/>
              </w:rPr>
              <w:t>产出质量</w:t>
            </w:r>
          </w:p>
        </w:tc>
        <w:tc>
          <w:tcPr>
            <w:tcW w:w="1751" w:type="dxa"/>
            <w:tcBorders>
              <w:top w:val="nil"/>
              <w:left w:val="nil"/>
              <w:bottom w:val="single" w:color="000000" w:sz="4" w:space="0"/>
              <w:right w:val="single" w:color="000000" w:sz="4" w:space="0"/>
            </w:tcBorders>
            <w:shd w:val="clear" w:color="auto" w:fill="auto"/>
            <w:vAlign w:val="center"/>
          </w:tcPr>
          <w:p w14:paraId="78526328">
            <w:pPr>
              <w:widowControl/>
              <w:spacing w:line="240" w:lineRule="auto"/>
              <w:ind w:firstLine="0" w:firstLineChars="0"/>
              <w:jc w:val="left"/>
              <w:rPr>
                <w:rFonts w:hint="eastAsia" w:ascii="宋体" w:hAnsi="宋体" w:eastAsia="宋体" w:cs="宋体"/>
                <w:color w:val="000000"/>
                <w:kern w:val="0"/>
                <w:sz w:val="22"/>
                <w:szCs w:val="22"/>
              </w:rPr>
            </w:pPr>
            <w:r>
              <w:rPr>
                <w:rFonts w:hint="eastAsia" w:ascii="宋体" w:hAnsi="宋体" w:eastAsia="宋体" w:cs="宋体"/>
                <w:kern w:val="0"/>
                <w:sz w:val="24"/>
                <w:szCs w:val="24"/>
              </w:rPr>
              <w:t>密码测试达标</w:t>
            </w:r>
          </w:p>
        </w:tc>
        <w:tc>
          <w:tcPr>
            <w:tcW w:w="1753" w:type="dxa"/>
            <w:tcBorders>
              <w:top w:val="nil"/>
              <w:left w:val="nil"/>
              <w:bottom w:val="single" w:color="auto" w:sz="4" w:space="0"/>
              <w:right w:val="single" w:color="auto" w:sz="4" w:space="0"/>
            </w:tcBorders>
            <w:shd w:val="clear" w:color="auto" w:fill="auto"/>
            <w:vAlign w:val="center"/>
          </w:tcPr>
          <w:p w14:paraId="0BB2FB48">
            <w:pPr>
              <w:widowControl/>
              <w:spacing w:line="240" w:lineRule="auto"/>
              <w:ind w:firstLine="0" w:firstLineChars="0"/>
              <w:jc w:val="center"/>
              <w:rPr>
                <w:rFonts w:hint="eastAsia" w:ascii="宋体" w:hAnsi="宋体" w:eastAsia="宋体" w:cs="宋体"/>
                <w:kern w:val="0"/>
                <w:sz w:val="22"/>
                <w:szCs w:val="22"/>
              </w:rPr>
            </w:pPr>
            <w:r>
              <w:rPr>
                <w:rFonts w:hint="eastAsia" w:cs="宋体"/>
                <w:kern w:val="0"/>
                <w:sz w:val="22"/>
                <w:szCs w:val="22"/>
                <w:lang w:val="en-US" w:eastAsia="zh-CN"/>
              </w:rPr>
              <w:t>75</w:t>
            </w:r>
            <w:r>
              <w:rPr>
                <w:rFonts w:hint="eastAsia" w:ascii="宋体" w:hAnsi="宋体" w:eastAsia="宋体" w:cs="宋体"/>
                <w:kern w:val="0"/>
                <w:sz w:val="22"/>
                <w:szCs w:val="22"/>
              </w:rPr>
              <w:t>%</w:t>
            </w:r>
          </w:p>
        </w:tc>
      </w:tr>
      <w:tr w14:paraId="5461F273">
        <w:tblPrEx>
          <w:tblCellMar>
            <w:top w:w="0" w:type="dxa"/>
            <w:left w:w="108" w:type="dxa"/>
            <w:bottom w:w="0" w:type="dxa"/>
            <w:right w:w="108" w:type="dxa"/>
          </w:tblCellMar>
        </w:tblPrEx>
        <w:trPr>
          <w:trHeight w:val="990" w:hRule="atLeast"/>
        </w:trPr>
        <w:tc>
          <w:tcPr>
            <w:tcW w:w="664" w:type="dxa"/>
            <w:tcBorders>
              <w:top w:val="nil"/>
              <w:left w:val="single" w:color="000000" w:sz="4" w:space="0"/>
              <w:bottom w:val="single" w:color="000000" w:sz="4" w:space="0"/>
              <w:right w:val="nil"/>
            </w:tcBorders>
            <w:shd w:val="clear" w:color="auto" w:fill="auto"/>
            <w:vAlign w:val="center"/>
          </w:tcPr>
          <w:p w14:paraId="0864C544">
            <w:pPr>
              <w:widowControl/>
              <w:spacing w:line="240" w:lineRule="auto"/>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1192" w:type="dxa"/>
            <w:vMerge w:val="continue"/>
            <w:tcBorders>
              <w:top w:val="single" w:color="auto" w:sz="4" w:space="0"/>
              <w:left w:val="single" w:color="auto" w:sz="4" w:space="0"/>
              <w:bottom w:val="single" w:color="auto" w:sz="4" w:space="0"/>
              <w:right w:val="single" w:color="auto" w:sz="4" w:space="0"/>
            </w:tcBorders>
            <w:vAlign w:val="center"/>
          </w:tcPr>
          <w:p w14:paraId="1CF0812B">
            <w:pPr>
              <w:widowControl/>
              <w:spacing w:line="240" w:lineRule="auto"/>
              <w:ind w:firstLine="0" w:firstLineChars="0"/>
              <w:jc w:val="left"/>
              <w:rPr>
                <w:rFonts w:hint="eastAsia" w:ascii="宋体" w:hAnsi="宋体" w:eastAsia="宋体" w:cs="宋体"/>
                <w:color w:val="000000"/>
                <w:kern w:val="0"/>
                <w:sz w:val="22"/>
                <w:szCs w:val="22"/>
              </w:rPr>
            </w:pPr>
          </w:p>
        </w:tc>
        <w:tc>
          <w:tcPr>
            <w:tcW w:w="1298" w:type="dxa"/>
            <w:tcBorders>
              <w:top w:val="nil"/>
              <w:left w:val="nil"/>
              <w:bottom w:val="single" w:color="000000" w:sz="4" w:space="0"/>
              <w:right w:val="single" w:color="000000" w:sz="4" w:space="0"/>
            </w:tcBorders>
            <w:shd w:val="clear" w:color="auto" w:fill="auto"/>
            <w:vAlign w:val="center"/>
          </w:tcPr>
          <w:p w14:paraId="519822B1">
            <w:pPr>
              <w:widowControl/>
              <w:spacing w:line="240" w:lineRule="auto"/>
              <w:ind w:firstLine="0" w:firstLineChars="0"/>
              <w:jc w:val="center"/>
              <w:rPr>
                <w:rFonts w:hint="eastAsia" w:ascii="宋体" w:hAnsi="宋体" w:eastAsia="宋体" w:cs="宋体"/>
                <w:color w:val="000000"/>
                <w:kern w:val="0"/>
                <w:sz w:val="22"/>
                <w:szCs w:val="22"/>
              </w:rPr>
            </w:pPr>
            <w:r>
              <w:rPr>
                <w:rFonts w:hint="eastAsia" w:ascii="宋体" w:hAnsi="宋体" w:eastAsia="宋体" w:cs="宋体"/>
                <w:kern w:val="0"/>
                <w:sz w:val="24"/>
                <w:szCs w:val="24"/>
              </w:rPr>
              <w:t>产出指标</w:t>
            </w:r>
          </w:p>
        </w:tc>
        <w:tc>
          <w:tcPr>
            <w:tcW w:w="1660" w:type="dxa"/>
            <w:tcBorders>
              <w:top w:val="nil"/>
              <w:left w:val="nil"/>
              <w:bottom w:val="single" w:color="000000" w:sz="4" w:space="0"/>
              <w:right w:val="single" w:color="000000" w:sz="4" w:space="0"/>
            </w:tcBorders>
            <w:shd w:val="clear" w:color="auto" w:fill="auto"/>
            <w:vAlign w:val="center"/>
          </w:tcPr>
          <w:p w14:paraId="5477B27F">
            <w:pPr>
              <w:widowControl/>
              <w:spacing w:line="240" w:lineRule="auto"/>
              <w:ind w:firstLine="0" w:firstLineChars="0"/>
              <w:jc w:val="center"/>
              <w:rPr>
                <w:rFonts w:hint="eastAsia" w:ascii="宋体" w:hAnsi="宋体" w:eastAsia="宋体" w:cs="宋体"/>
                <w:color w:val="000000"/>
                <w:kern w:val="0"/>
                <w:sz w:val="22"/>
                <w:szCs w:val="22"/>
              </w:rPr>
            </w:pPr>
            <w:r>
              <w:rPr>
                <w:rFonts w:hint="eastAsia" w:ascii="宋体" w:hAnsi="宋体" w:eastAsia="宋体" w:cs="宋体"/>
                <w:kern w:val="0"/>
                <w:sz w:val="24"/>
                <w:szCs w:val="24"/>
              </w:rPr>
              <w:t>产出质量</w:t>
            </w:r>
          </w:p>
        </w:tc>
        <w:tc>
          <w:tcPr>
            <w:tcW w:w="1751" w:type="dxa"/>
            <w:tcBorders>
              <w:top w:val="nil"/>
              <w:left w:val="nil"/>
              <w:bottom w:val="single" w:color="000000" w:sz="4" w:space="0"/>
              <w:right w:val="single" w:color="000000" w:sz="4" w:space="0"/>
            </w:tcBorders>
            <w:shd w:val="clear" w:color="auto" w:fill="auto"/>
            <w:vAlign w:val="center"/>
          </w:tcPr>
          <w:p w14:paraId="0F0795F2">
            <w:pPr>
              <w:widowControl/>
              <w:spacing w:line="240" w:lineRule="auto"/>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网络安全等级</w:t>
            </w:r>
          </w:p>
          <w:p w14:paraId="3110164B">
            <w:pPr>
              <w:widowControl/>
              <w:spacing w:line="240" w:lineRule="auto"/>
              <w:ind w:firstLine="0" w:firstLineChars="0"/>
              <w:jc w:val="left"/>
              <w:rPr>
                <w:rFonts w:hint="eastAsia" w:ascii="宋体" w:hAnsi="宋体" w:eastAsia="宋体" w:cs="宋体"/>
                <w:color w:val="000000"/>
                <w:kern w:val="0"/>
                <w:sz w:val="22"/>
                <w:szCs w:val="22"/>
              </w:rPr>
            </w:pPr>
            <w:r>
              <w:rPr>
                <w:rFonts w:hint="eastAsia" w:ascii="宋体" w:hAnsi="宋体" w:eastAsia="宋体" w:cs="宋体"/>
                <w:kern w:val="0"/>
                <w:sz w:val="24"/>
                <w:szCs w:val="24"/>
              </w:rPr>
              <w:t>达标</w:t>
            </w:r>
          </w:p>
        </w:tc>
        <w:tc>
          <w:tcPr>
            <w:tcW w:w="1753" w:type="dxa"/>
            <w:tcBorders>
              <w:top w:val="nil"/>
              <w:left w:val="nil"/>
              <w:bottom w:val="single" w:color="auto" w:sz="4" w:space="0"/>
              <w:right w:val="single" w:color="auto" w:sz="4" w:space="0"/>
            </w:tcBorders>
            <w:shd w:val="clear" w:color="auto" w:fill="auto"/>
            <w:vAlign w:val="center"/>
          </w:tcPr>
          <w:p w14:paraId="5134099F">
            <w:pPr>
              <w:widowControl/>
              <w:spacing w:line="24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合格</w:t>
            </w:r>
          </w:p>
        </w:tc>
      </w:tr>
      <w:tr w14:paraId="60B74031">
        <w:tblPrEx>
          <w:tblCellMar>
            <w:top w:w="0" w:type="dxa"/>
            <w:left w:w="108" w:type="dxa"/>
            <w:bottom w:w="0" w:type="dxa"/>
            <w:right w:w="108" w:type="dxa"/>
          </w:tblCellMar>
        </w:tblPrEx>
        <w:trPr>
          <w:trHeight w:val="495" w:hRule="atLeast"/>
        </w:trPr>
        <w:tc>
          <w:tcPr>
            <w:tcW w:w="664" w:type="dxa"/>
            <w:tcBorders>
              <w:top w:val="nil"/>
              <w:left w:val="single" w:color="000000" w:sz="4" w:space="0"/>
              <w:bottom w:val="single" w:color="000000" w:sz="4" w:space="0"/>
              <w:right w:val="nil"/>
            </w:tcBorders>
            <w:shd w:val="clear" w:color="auto" w:fill="auto"/>
            <w:vAlign w:val="center"/>
          </w:tcPr>
          <w:p w14:paraId="4C9F0FE0">
            <w:pPr>
              <w:widowControl/>
              <w:spacing w:line="240" w:lineRule="auto"/>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1192" w:type="dxa"/>
            <w:vMerge w:val="continue"/>
            <w:tcBorders>
              <w:top w:val="single" w:color="auto" w:sz="4" w:space="0"/>
              <w:left w:val="single" w:color="auto" w:sz="4" w:space="0"/>
              <w:bottom w:val="single" w:color="auto" w:sz="4" w:space="0"/>
              <w:right w:val="single" w:color="auto" w:sz="4" w:space="0"/>
            </w:tcBorders>
            <w:vAlign w:val="center"/>
          </w:tcPr>
          <w:p w14:paraId="0D30E603">
            <w:pPr>
              <w:widowControl/>
              <w:spacing w:line="240" w:lineRule="auto"/>
              <w:ind w:firstLine="0" w:firstLineChars="0"/>
              <w:jc w:val="left"/>
              <w:rPr>
                <w:rFonts w:hint="eastAsia" w:ascii="宋体" w:hAnsi="宋体" w:eastAsia="宋体" w:cs="宋体"/>
                <w:color w:val="000000"/>
                <w:kern w:val="0"/>
                <w:sz w:val="22"/>
                <w:szCs w:val="22"/>
              </w:rPr>
            </w:pPr>
          </w:p>
        </w:tc>
        <w:tc>
          <w:tcPr>
            <w:tcW w:w="1298" w:type="dxa"/>
            <w:tcBorders>
              <w:top w:val="nil"/>
              <w:left w:val="nil"/>
              <w:bottom w:val="single" w:color="000000" w:sz="4" w:space="0"/>
              <w:right w:val="single" w:color="000000" w:sz="4" w:space="0"/>
            </w:tcBorders>
            <w:shd w:val="clear" w:color="auto" w:fill="auto"/>
            <w:vAlign w:val="center"/>
          </w:tcPr>
          <w:p w14:paraId="27F4A834">
            <w:pPr>
              <w:widowControl/>
              <w:spacing w:line="240" w:lineRule="auto"/>
              <w:ind w:firstLine="0" w:firstLineChars="0"/>
              <w:jc w:val="center"/>
              <w:rPr>
                <w:rFonts w:hint="eastAsia" w:ascii="宋体" w:hAnsi="宋体" w:eastAsia="宋体" w:cs="宋体"/>
                <w:color w:val="000000"/>
                <w:kern w:val="0"/>
                <w:sz w:val="22"/>
                <w:szCs w:val="22"/>
              </w:rPr>
            </w:pPr>
            <w:r>
              <w:rPr>
                <w:rFonts w:hint="eastAsia" w:ascii="宋体" w:hAnsi="宋体" w:eastAsia="宋体" w:cs="宋体"/>
                <w:kern w:val="0"/>
                <w:sz w:val="24"/>
                <w:szCs w:val="24"/>
              </w:rPr>
              <w:t>产出指标</w:t>
            </w:r>
          </w:p>
        </w:tc>
        <w:tc>
          <w:tcPr>
            <w:tcW w:w="1660" w:type="dxa"/>
            <w:tcBorders>
              <w:top w:val="nil"/>
              <w:left w:val="nil"/>
              <w:bottom w:val="single" w:color="000000" w:sz="4" w:space="0"/>
              <w:right w:val="single" w:color="000000" w:sz="4" w:space="0"/>
            </w:tcBorders>
            <w:shd w:val="clear" w:color="auto" w:fill="auto"/>
            <w:vAlign w:val="center"/>
          </w:tcPr>
          <w:p w14:paraId="6FE5A5AF">
            <w:pPr>
              <w:widowControl/>
              <w:spacing w:line="240" w:lineRule="auto"/>
              <w:ind w:firstLine="0" w:firstLineChars="0"/>
              <w:jc w:val="center"/>
              <w:rPr>
                <w:rFonts w:hint="eastAsia" w:ascii="宋体" w:hAnsi="宋体" w:eastAsia="宋体" w:cs="宋体"/>
                <w:color w:val="000000"/>
                <w:kern w:val="0"/>
                <w:sz w:val="22"/>
                <w:szCs w:val="22"/>
              </w:rPr>
            </w:pPr>
            <w:r>
              <w:rPr>
                <w:rFonts w:hint="eastAsia" w:ascii="宋体" w:hAnsi="宋体" w:eastAsia="宋体" w:cs="宋体"/>
                <w:kern w:val="0"/>
                <w:sz w:val="24"/>
                <w:szCs w:val="24"/>
              </w:rPr>
              <w:t>产出质量</w:t>
            </w:r>
          </w:p>
        </w:tc>
        <w:tc>
          <w:tcPr>
            <w:tcW w:w="1751" w:type="dxa"/>
            <w:tcBorders>
              <w:top w:val="nil"/>
              <w:left w:val="nil"/>
              <w:bottom w:val="single" w:color="000000" w:sz="4" w:space="0"/>
              <w:right w:val="single" w:color="000000" w:sz="4" w:space="0"/>
            </w:tcBorders>
            <w:shd w:val="clear" w:color="auto" w:fill="auto"/>
            <w:vAlign w:val="center"/>
          </w:tcPr>
          <w:p w14:paraId="58121FC3">
            <w:pPr>
              <w:widowControl/>
              <w:spacing w:line="240" w:lineRule="auto"/>
              <w:ind w:firstLine="0" w:firstLineChars="0"/>
              <w:jc w:val="left"/>
              <w:rPr>
                <w:rFonts w:hint="eastAsia" w:ascii="宋体" w:hAnsi="宋体" w:eastAsia="宋体" w:cs="宋体"/>
                <w:color w:val="000000"/>
                <w:kern w:val="0"/>
                <w:sz w:val="22"/>
                <w:szCs w:val="22"/>
              </w:rPr>
            </w:pPr>
            <w:r>
              <w:rPr>
                <w:rFonts w:hint="eastAsia" w:ascii="宋体" w:hAnsi="宋体" w:eastAsia="宋体" w:cs="宋体"/>
                <w:kern w:val="0"/>
                <w:sz w:val="24"/>
                <w:szCs w:val="24"/>
              </w:rPr>
              <w:t>安全测试达标</w:t>
            </w:r>
          </w:p>
        </w:tc>
        <w:tc>
          <w:tcPr>
            <w:tcW w:w="1753" w:type="dxa"/>
            <w:tcBorders>
              <w:top w:val="nil"/>
              <w:left w:val="nil"/>
              <w:bottom w:val="single" w:color="auto" w:sz="4" w:space="0"/>
              <w:right w:val="single" w:color="auto" w:sz="4" w:space="0"/>
            </w:tcBorders>
            <w:shd w:val="clear" w:color="auto" w:fill="auto"/>
            <w:vAlign w:val="center"/>
          </w:tcPr>
          <w:p w14:paraId="4A5958FA">
            <w:pPr>
              <w:widowControl/>
              <w:spacing w:line="24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合格</w:t>
            </w:r>
          </w:p>
        </w:tc>
      </w:tr>
      <w:tr w14:paraId="5DC0023C">
        <w:tblPrEx>
          <w:tblCellMar>
            <w:top w:w="0" w:type="dxa"/>
            <w:left w:w="108" w:type="dxa"/>
            <w:bottom w:w="0" w:type="dxa"/>
            <w:right w:w="108" w:type="dxa"/>
          </w:tblCellMar>
        </w:tblPrEx>
        <w:trPr>
          <w:trHeight w:val="1486" w:hRule="atLeast"/>
        </w:trPr>
        <w:tc>
          <w:tcPr>
            <w:tcW w:w="664" w:type="dxa"/>
            <w:tcBorders>
              <w:top w:val="nil"/>
              <w:left w:val="single" w:color="000000" w:sz="4" w:space="0"/>
              <w:bottom w:val="single" w:color="000000" w:sz="4" w:space="0"/>
              <w:right w:val="nil"/>
            </w:tcBorders>
            <w:shd w:val="clear" w:color="auto" w:fill="auto"/>
            <w:vAlign w:val="center"/>
          </w:tcPr>
          <w:p w14:paraId="71267BAD">
            <w:pPr>
              <w:widowControl/>
              <w:spacing w:line="240" w:lineRule="auto"/>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w:t>
            </w:r>
          </w:p>
        </w:tc>
        <w:tc>
          <w:tcPr>
            <w:tcW w:w="1192" w:type="dxa"/>
            <w:vMerge w:val="continue"/>
            <w:tcBorders>
              <w:top w:val="single" w:color="auto" w:sz="4" w:space="0"/>
              <w:left w:val="single" w:color="auto" w:sz="4" w:space="0"/>
              <w:bottom w:val="single" w:color="auto" w:sz="4" w:space="0"/>
              <w:right w:val="single" w:color="auto" w:sz="4" w:space="0"/>
            </w:tcBorders>
            <w:vAlign w:val="center"/>
          </w:tcPr>
          <w:p w14:paraId="6C63A0EB">
            <w:pPr>
              <w:widowControl/>
              <w:spacing w:line="240" w:lineRule="auto"/>
              <w:ind w:firstLine="0" w:firstLineChars="0"/>
              <w:jc w:val="left"/>
              <w:rPr>
                <w:rFonts w:hint="eastAsia" w:ascii="宋体" w:hAnsi="宋体" w:eastAsia="宋体" w:cs="宋体"/>
                <w:color w:val="000000"/>
                <w:kern w:val="0"/>
                <w:sz w:val="22"/>
                <w:szCs w:val="22"/>
              </w:rPr>
            </w:pPr>
          </w:p>
        </w:tc>
        <w:tc>
          <w:tcPr>
            <w:tcW w:w="1298" w:type="dxa"/>
            <w:tcBorders>
              <w:top w:val="nil"/>
              <w:left w:val="nil"/>
              <w:bottom w:val="single" w:color="000000" w:sz="4" w:space="0"/>
              <w:right w:val="single" w:color="000000" w:sz="4" w:space="0"/>
            </w:tcBorders>
            <w:shd w:val="clear" w:color="auto" w:fill="auto"/>
            <w:vAlign w:val="center"/>
          </w:tcPr>
          <w:p w14:paraId="452147FD">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支撑系统</w:t>
            </w:r>
          </w:p>
          <w:p w14:paraId="28D38F0D">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/数据库/</w:t>
            </w:r>
          </w:p>
          <w:p w14:paraId="5723ACE7">
            <w:pPr>
              <w:widowControl/>
              <w:spacing w:line="240" w:lineRule="auto"/>
              <w:ind w:firstLine="0" w:firstLineChars="0"/>
              <w:jc w:val="center"/>
              <w:rPr>
                <w:rFonts w:hint="eastAsia" w:ascii="宋体" w:hAnsi="宋体" w:eastAsia="宋体" w:cs="宋体"/>
                <w:color w:val="000000"/>
                <w:kern w:val="0"/>
                <w:sz w:val="22"/>
                <w:szCs w:val="22"/>
              </w:rPr>
            </w:pPr>
            <w:r>
              <w:rPr>
                <w:rFonts w:hint="eastAsia" w:ascii="宋体" w:hAnsi="宋体" w:eastAsia="宋体" w:cs="宋体"/>
                <w:kern w:val="0"/>
                <w:sz w:val="24"/>
                <w:szCs w:val="24"/>
              </w:rPr>
              <w:t>中间件</w:t>
            </w:r>
          </w:p>
        </w:tc>
        <w:tc>
          <w:tcPr>
            <w:tcW w:w="1660" w:type="dxa"/>
            <w:tcBorders>
              <w:top w:val="nil"/>
              <w:left w:val="nil"/>
              <w:bottom w:val="single" w:color="000000" w:sz="4" w:space="0"/>
              <w:right w:val="single" w:color="000000" w:sz="4" w:space="0"/>
            </w:tcBorders>
            <w:shd w:val="clear" w:color="auto" w:fill="auto"/>
            <w:vAlign w:val="center"/>
          </w:tcPr>
          <w:p w14:paraId="0EAD0931">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操作系统或数</w:t>
            </w:r>
          </w:p>
          <w:p w14:paraId="1F46462A">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据库或中间件</w:t>
            </w:r>
          </w:p>
          <w:p w14:paraId="65FE76EC">
            <w:pPr>
              <w:widowControl/>
              <w:spacing w:line="240" w:lineRule="auto"/>
              <w:ind w:firstLine="0" w:firstLineChars="0"/>
              <w:jc w:val="center"/>
              <w:rPr>
                <w:rFonts w:hint="eastAsia" w:ascii="宋体" w:hAnsi="宋体" w:eastAsia="宋体" w:cs="宋体"/>
                <w:color w:val="000000"/>
                <w:kern w:val="0"/>
                <w:sz w:val="22"/>
                <w:szCs w:val="22"/>
              </w:rPr>
            </w:pPr>
            <w:r>
              <w:rPr>
                <w:rFonts w:hint="eastAsia" w:ascii="宋体" w:hAnsi="宋体" w:eastAsia="宋体" w:cs="宋体"/>
                <w:kern w:val="0"/>
                <w:sz w:val="24"/>
                <w:szCs w:val="24"/>
              </w:rPr>
              <w:t>水平</w:t>
            </w:r>
          </w:p>
        </w:tc>
        <w:tc>
          <w:tcPr>
            <w:tcW w:w="1751" w:type="dxa"/>
            <w:tcBorders>
              <w:top w:val="nil"/>
              <w:left w:val="nil"/>
              <w:bottom w:val="single" w:color="000000" w:sz="4" w:space="0"/>
              <w:right w:val="single" w:color="000000" w:sz="4" w:space="0"/>
            </w:tcBorders>
            <w:shd w:val="clear" w:color="auto" w:fill="auto"/>
            <w:vAlign w:val="center"/>
          </w:tcPr>
          <w:p w14:paraId="6E252861">
            <w:pPr>
              <w:widowControl/>
              <w:spacing w:line="240" w:lineRule="auto"/>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系统、数据库</w:t>
            </w:r>
          </w:p>
          <w:p w14:paraId="228AF99E">
            <w:pPr>
              <w:widowControl/>
              <w:spacing w:line="240" w:lineRule="auto"/>
              <w:ind w:firstLine="0" w:firstLineChars="0"/>
              <w:jc w:val="left"/>
              <w:rPr>
                <w:rFonts w:hint="eastAsia" w:ascii="宋体" w:hAnsi="宋体" w:eastAsia="宋体" w:cs="宋体"/>
                <w:color w:val="000000"/>
                <w:kern w:val="0"/>
                <w:sz w:val="22"/>
                <w:szCs w:val="22"/>
              </w:rPr>
            </w:pPr>
            <w:r>
              <w:rPr>
                <w:rFonts w:hint="eastAsia" w:ascii="宋体" w:hAnsi="宋体" w:eastAsia="宋体" w:cs="宋体"/>
                <w:kern w:val="0"/>
                <w:sz w:val="24"/>
                <w:szCs w:val="24"/>
              </w:rPr>
              <w:t>或中间件数量</w:t>
            </w:r>
          </w:p>
        </w:tc>
        <w:tc>
          <w:tcPr>
            <w:tcW w:w="1753" w:type="dxa"/>
            <w:tcBorders>
              <w:top w:val="nil"/>
              <w:left w:val="nil"/>
              <w:bottom w:val="single" w:color="auto" w:sz="4" w:space="0"/>
              <w:right w:val="single" w:color="auto" w:sz="4" w:space="0"/>
            </w:tcBorders>
            <w:shd w:val="clear" w:color="auto" w:fill="auto"/>
            <w:vAlign w:val="center"/>
          </w:tcPr>
          <w:p w14:paraId="4896D6EC">
            <w:pPr>
              <w:widowControl/>
              <w:spacing w:line="24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6</w:t>
            </w:r>
          </w:p>
        </w:tc>
      </w:tr>
    </w:tbl>
    <w:p w14:paraId="589C649A">
      <w:pPr>
        <w:spacing w:line="560" w:lineRule="exact"/>
        <w:rPr>
          <w:rFonts w:hint="eastAsia"/>
        </w:rPr>
      </w:pPr>
    </w:p>
    <w:p w14:paraId="346A5479">
      <w:pPr>
        <w:pStyle w:val="2"/>
        <w:rPr>
          <w:rFonts w:hint="eastAsia"/>
        </w:rPr>
      </w:pPr>
      <w:bookmarkStart w:id="19" w:name="_Toc47533288"/>
      <w:bookmarkEnd w:id="19"/>
      <w:bookmarkStart w:id="20" w:name="_Toc47537166"/>
      <w:bookmarkEnd w:id="20"/>
      <w:bookmarkStart w:id="21" w:name="_Toc47539102"/>
      <w:bookmarkEnd w:id="21"/>
      <w:bookmarkStart w:id="22" w:name="_Toc47536304"/>
      <w:bookmarkEnd w:id="22"/>
      <w:bookmarkStart w:id="23" w:name="_Toc47532923"/>
      <w:bookmarkEnd w:id="23"/>
      <w:bookmarkStart w:id="24" w:name="_Toc47536676"/>
      <w:bookmarkEnd w:id="24"/>
      <w:r>
        <w:rPr>
          <w:rFonts w:hint="eastAsia"/>
        </w:rPr>
        <w:t>项目建设内容</w:t>
      </w:r>
    </w:p>
    <w:p w14:paraId="6E376378">
      <w:pPr>
        <w:widowControl/>
        <w:snapToGrid w:val="0"/>
        <w:spacing w:line="440" w:lineRule="exact"/>
        <w:jc w:val="left"/>
        <w:rPr>
          <w:rFonts w:hint="eastAsia"/>
        </w:rPr>
      </w:pPr>
      <w:r>
        <w:rPr>
          <w:rFonts w:hint="eastAsia"/>
        </w:rPr>
        <w:t>项目</w:t>
      </w:r>
      <w:r>
        <w:t>具体建设内容</w:t>
      </w:r>
      <w:r>
        <w:rPr>
          <w:rFonts w:hint="eastAsia"/>
        </w:rPr>
        <w:t>包含以下两项</w:t>
      </w:r>
      <w:r>
        <w:t>：</w:t>
      </w:r>
    </w:p>
    <w:p w14:paraId="5DEFF7AA">
      <w:pPr>
        <w:widowControl/>
        <w:snapToGrid w:val="0"/>
        <w:spacing w:line="440" w:lineRule="exact"/>
        <w:jc w:val="left"/>
        <w:rPr>
          <w:rFonts w:hint="eastAsia"/>
        </w:rPr>
      </w:pPr>
      <w:r>
        <w:rPr>
          <w:rFonts w:hint="eastAsia"/>
        </w:rPr>
        <w:t>1</w:t>
      </w:r>
      <w:r>
        <w:t>.</w:t>
      </w:r>
      <w:r>
        <w:rPr>
          <w:rFonts w:hint="eastAsia"/>
        </w:rPr>
        <w:t>基于“一网通办”政务服务升级改造</w:t>
      </w:r>
    </w:p>
    <w:p w14:paraId="59FD2560">
      <w:pPr>
        <w:widowControl/>
        <w:snapToGrid w:val="0"/>
        <w:spacing w:line="440" w:lineRule="exact"/>
        <w:jc w:val="left"/>
        <w:rPr>
          <w:rFonts w:hint="eastAsia"/>
        </w:rPr>
      </w:pPr>
      <w:r>
        <w:rPr>
          <w:rFonts w:hint="eastAsia"/>
        </w:rPr>
        <w:t>基于“一网通办”政务服务升级改造的内容包括统一申请模块（互联网端）、统一审批模块（PC端）、统一审批模块（移动端）、联审平台接入、智能化应用、办件效能监管、工程档案系统升级、行政协助办件内部审批系统调整、网站无障碍技术改造（二、三级标准要求）</w:t>
      </w:r>
      <w:r>
        <w:t>等。</w:t>
      </w:r>
    </w:p>
    <w:p w14:paraId="5F8FADF0">
      <w:pPr>
        <w:widowControl/>
        <w:snapToGrid w:val="0"/>
        <w:spacing w:line="440" w:lineRule="exact"/>
        <w:jc w:val="left"/>
        <w:rPr>
          <w:rFonts w:hint="eastAsia"/>
        </w:rPr>
      </w:pPr>
      <w:r>
        <w:rPr>
          <w:rFonts w:hint="eastAsia"/>
        </w:rPr>
        <w:t>2</w:t>
      </w:r>
      <w:r>
        <w:t>.</w:t>
      </w:r>
      <w:r>
        <w:rPr>
          <w:rFonts w:hint="eastAsia"/>
        </w:rPr>
        <w:t>基于“一网统管”行业监管升级改造</w:t>
      </w:r>
    </w:p>
    <w:p w14:paraId="2610B6C4">
      <w:pPr>
        <w:widowControl/>
        <w:snapToGrid w:val="0"/>
        <w:spacing w:line="440" w:lineRule="exact"/>
        <w:jc w:val="left"/>
        <w:rPr>
          <w:rFonts w:hint="eastAsia"/>
        </w:rPr>
      </w:pPr>
      <w:r>
        <w:rPr>
          <w:rFonts w:hint="eastAsia"/>
        </w:rPr>
        <w:t>基于“一网统管”行业监管升级改造的内容包括“一网统管”可视化大屏升级改造、人防工程物联感知监管子系统、市直属人防工程监管“一张图”应用、公用人防工程防汛防台专项应用、人防工程全流程管理子系统升级改造（人防工程规划）、人防工程应建未建专项排查应用等。</w:t>
      </w:r>
    </w:p>
    <w:p w14:paraId="6A404A3A">
      <w:pPr>
        <w:widowControl/>
        <w:snapToGrid w:val="0"/>
        <w:spacing w:line="440" w:lineRule="exact"/>
        <w:ind w:firstLine="482"/>
        <w:jc w:val="left"/>
        <w:rPr>
          <w:rFonts w:hint="eastAsia"/>
          <w:b/>
        </w:rPr>
      </w:pPr>
      <w:r>
        <w:rPr>
          <w:rFonts w:hint="eastAsia"/>
          <w:b/>
        </w:rPr>
        <w:t>具体建设需求如下：</w:t>
      </w:r>
    </w:p>
    <w:tbl>
      <w:tblPr>
        <w:tblStyle w:val="35"/>
        <w:tblW w:w="0" w:type="auto"/>
        <w:tblInd w:w="100" w:type="dxa"/>
        <w:tblLayout w:type="autofit"/>
        <w:tblCellMar>
          <w:top w:w="0" w:type="dxa"/>
          <w:left w:w="108" w:type="dxa"/>
          <w:bottom w:w="0" w:type="dxa"/>
          <w:right w:w="108" w:type="dxa"/>
        </w:tblCellMar>
      </w:tblPr>
      <w:tblGrid>
        <w:gridCol w:w="663"/>
        <w:gridCol w:w="1205"/>
        <w:gridCol w:w="2406"/>
        <w:gridCol w:w="4154"/>
      </w:tblGrid>
      <w:tr w14:paraId="1303ED31">
        <w:tblPrEx>
          <w:tblCellMar>
            <w:top w:w="0" w:type="dxa"/>
            <w:left w:w="108" w:type="dxa"/>
            <w:bottom w:w="0" w:type="dxa"/>
            <w:right w:w="108" w:type="dxa"/>
          </w:tblCellMar>
        </w:tblPrEx>
        <w:trPr>
          <w:trHeight w:val="27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88C8">
            <w:pPr>
              <w:widowControl/>
              <w:ind w:firstLine="0" w:firstLineChars="0"/>
              <w:jc w:val="center"/>
              <w:textAlignment w:val="center"/>
              <w:rPr>
                <w:rFonts w:hint="eastAsia" w:cs="宋体"/>
                <w:b/>
                <w:bCs/>
                <w:color w:val="000000"/>
                <w:sz w:val="20"/>
                <w:szCs w:val="20"/>
              </w:rPr>
            </w:pPr>
            <w:r>
              <w:rPr>
                <w:rFonts w:hint="eastAsia" w:cs="宋体"/>
                <w:b/>
                <w:bCs/>
                <w:color w:val="000000"/>
                <w:kern w:val="0"/>
                <w:sz w:val="20"/>
                <w:szCs w:val="20"/>
                <w:lang w:bidi="ar"/>
              </w:rPr>
              <w:t>序号</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4835">
            <w:pPr>
              <w:widowControl/>
              <w:ind w:firstLine="0" w:firstLineChars="0"/>
              <w:jc w:val="center"/>
              <w:textAlignment w:val="center"/>
              <w:rPr>
                <w:rFonts w:hint="eastAsia" w:cs="宋体"/>
                <w:b/>
                <w:bCs/>
                <w:color w:val="000000"/>
                <w:sz w:val="20"/>
                <w:szCs w:val="20"/>
              </w:rPr>
            </w:pPr>
            <w:r>
              <w:rPr>
                <w:rFonts w:hint="eastAsia" w:cs="宋体"/>
                <w:b/>
                <w:bCs/>
                <w:color w:val="000000"/>
                <w:kern w:val="0"/>
                <w:sz w:val="20"/>
                <w:szCs w:val="20"/>
                <w:lang w:bidi="ar"/>
              </w:rPr>
              <w:t>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86F424">
            <w:pPr>
              <w:widowControl/>
              <w:ind w:firstLine="0" w:firstLineChars="0"/>
              <w:jc w:val="center"/>
              <w:textAlignment w:val="center"/>
              <w:rPr>
                <w:rFonts w:hint="eastAsia" w:cs="宋体"/>
                <w:b/>
                <w:bCs/>
                <w:color w:val="000000"/>
                <w:sz w:val="20"/>
                <w:szCs w:val="20"/>
              </w:rPr>
            </w:pPr>
            <w:r>
              <w:rPr>
                <w:rFonts w:hint="eastAsia" w:cs="宋体"/>
                <w:b/>
                <w:bCs/>
                <w:color w:val="000000"/>
                <w:kern w:val="0"/>
                <w:sz w:val="20"/>
                <w:szCs w:val="20"/>
                <w:lang w:bidi="ar"/>
              </w:rPr>
              <w:t>功能名称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50EF95">
            <w:pPr>
              <w:widowControl/>
              <w:ind w:firstLine="0" w:firstLineChars="0"/>
              <w:jc w:val="center"/>
              <w:textAlignment w:val="center"/>
              <w:rPr>
                <w:rFonts w:hint="eastAsia" w:cs="宋体"/>
                <w:b/>
                <w:bCs/>
                <w:color w:val="000000"/>
                <w:sz w:val="20"/>
                <w:szCs w:val="20"/>
              </w:rPr>
            </w:pPr>
            <w:r>
              <w:rPr>
                <w:rFonts w:hint="eastAsia" w:cs="宋体"/>
                <w:b/>
                <w:bCs/>
                <w:color w:val="000000"/>
                <w:kern w:val="0"/>
                <w:sz w:val="20"/>
                <w:szCs w:val="20"/>
                <w:lang w:bidi="ar"/>
              </w:rPr>
              <w:t>功能描述</w:t>
            </w:r>
          </w:p>
        </w:tc>
      </w:tr>
      <w:tr w14:paraId="5FE1FB4C">
        <w:tblPrEx>
          <w:tblCellMar>
            <w:top w:w="0" w:type="dxa"/>
            <w:left w:w="108" w:type="dxa"/>
            <w:bottom w:w="0" w:type="dxa"/>
            <w:right w:w="108" w:type="dxa"/>
          </w:tblCellMar>
        </w:tblPrEx>
        <w:trPr>
          <w:trHeight w:val="204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1DE9">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w:t>
            </w:r>
          </w:p>
        </w:tc>
        <w:tc>
          <w:tcPr>
            <w:tcW w:w="1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1B3476">
            <w:pPr>
              <w:widowControl/>
              <w:ind w:firstLine="0" w:firstLineChars="0"/>
              <w:textAlignment w:val="center"/>
              <w:rPr>
                <w:rFonts w:hint="eastAsia" w:cs="宋体"/>
                <w:color w:val="000000"/>
                <w:sz w:val="20"/>
                <w:szCs w:val="20"/>
              </w:rPr>
            </w:pPr>
            <w:r>
              <w:rPr>
                <w:rFonts w:hint="eastAsia" w:cs="宋体"/>
                <w:color w:val="000000"/>
                <w:kern w:val="0"/>
                <w:sz w:val="20"/>
                <w:szCs w:val="20"/>
                <w:lang w:bidi="ar"/>
              </w:rPr>
              <w:t>“一网通办”政务服务升级改造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B84AEA">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统一申请模块（互联网端）—互联网信息填报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EC7C0">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建设骨干民防工程资金补贴、民防工程档案接收、城市地下交通干线以及其他地下空间开发利用兼顾人民防空需要审批需要由模式1切换成模式3；同时现有的新建民用建筑防空地下室同步建设审批、新建民用建筑防空地下室易地建设审批、拆除人民防空工程审批、人民防空通信警报设施拆除（迁移）审批、单独修建的民防建设工程竣工验收备案、民防工程使用备案、民防工程和普通地下室使用备案一件事7个审批事项需要由模式2-3切换成模式3。新增上述3个审批事项开发，完成相关事项申请表在互联网端页面上完成对应页面的开发，并提供附件上传功能。</w:t>
            </w:r>
          </w:p>
        </w:tc>
      </w:tr>
      <w:tr w14:paraId="64822ECE">
        <w:tblPrEx>
          <w:tblCellMar>
            <w:top w:w="0" w:type="dxa"/>
            <w:left w:w="108" w:type="dxa"/>
            <w:bottom w:w="0" w:type="dxa"/>
            <w:right w:w="108" w:type="dxa"/>
          </w:tblCellMar>
        </w:tblPrEx>
        <w:trPr>
          <w:trHeight w:val="27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77AF">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2</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6760C">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CBA5C5">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统一申请模块（互联网端）—暂存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A33056">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支撑新增3个审批事项暂存功能和现有7个审批事项暂存功能。</w:t>
            </w:r>
          </w:p>
        </w:tc>
      </w:tr>
      <w:tr w14:paraId="5E99D077">
        <w:tblPrEx>
          <w:tblCellMar>
            <w:top w:w="0" w:type="dxa"/>
            <w:left w:w="108" w:type="dxa"/>
            <w:bottom w:w="0" w:type="dxa"/>
            <w:right w:w="108" w:type="dxa"/>
          </w:tblCellMar>
        </w:tblPrEx>
        <w:trPr>
          <w:trHeight w:val="51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8454">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3</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36F25">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8BB62F">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统一申请模块（互联网端）—申请书管理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D8F773">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支持国动办行政审批管理工作要求，新增3个审批事项和现有7个审批事项支持审批申请书的生成、预览、下载等功能。</w:t>
            </w:r>
          </w:p>
        </w:tc>
      </w:tr>
      <w:tr w14:paraId="3F8D9977">
        <w:tblPrEx>
          <w:tblCellMar>
            <w:top w:w="0" w:type="dxa"/>
            <w:left w:w="108" w:type="dxa"/>
            <w:bottom w:w="0" w:type="dxa"/>
            <w:right w:w="108" w:type="dxa"/>
          </w:tblCellMar>
        </w:tblPrEx>
        <w:trPr>
          <w:trHeight w:val="27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4F54">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4</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32B27">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CB1E48">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统一申请模块（互联网端）—电子签名签章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5582F3">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支持对新增3审批事项和现有的7个审批事项电子签名</w:t>
            </w:r>
          </w:p>
        </w:tc>
      </w:tr>
      <w:tr w14:paraId="2C2923A1">
        <w:tblPrEx>
          <w:tblCellMar>
            <w:top w:w="0" w:type="dxa"/>
            <w:left w:w="108" w:type="dxa"/>
            <w:bottom w:w="0" w:type="dxa"/>
            <w:right w:w="108" w:type="dxa"/>
          </w:tblCellMar>
        </w:tblPrEx>
        <w:trPr>
          <w:trHeight w:val="51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475E">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5</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FB286">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007C33">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统一申请模块（互联网端）—材料补正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A968E1">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支持新增3个审批事项业务办理补正环节；经办人发现申请人提交的申请信息或提交材料存在问题，反馈需要申请人补正的，申请人通过本功能进行补正。</w:t>
            </w:r>
          </w:p>
        </w:tc>
      </w:tr>
      <w:tr w14:paraId="74686674">
        <w:tblPrEx>
          <w:tblCellMar>
            <w:top w:w="0" w:type="dxa"/>
            <w:left w:w="108" w:type="dxa"/>
            <w:bottom w:w="0" w:type="dxa"/>
            <w:right w:w="108" w:type="dxa"/>
          </w:tblCellMar>
        </w:tblPrEx>
        <w:trPr>
          <w:trHeight w:val="127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B18D">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6</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054CD">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52097F">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统一申请模块（互联网端）—文书、批文下载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4342DA">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针对新增建设骨干民防工程资金补贴、民防工程档案接收、城市地下交通干线以及其他地下空间开发利用兼顾人民防空需要审批3个审批事项业务办理环节，相对人申请事项审批通过之后，系统自动生成审批事项的批文，相对人可以通过申请端下载批文；同时根据国动办最新的文书批文模版，对现有7个审批事项文书和批文进行优化，确保国动办所有审批事项的文书和批文风格和下载路径统一。</w:t>
            </w:r>
          </w:p>
        </w:tc>
      </w:tr>
      <w:tr w14:paraId="4415136E">
        <w:tblPrEx>
          <w:tblCellMar>
            <w:top w:w="0" w:type="dxa"/>
            <w:left w:w="108" w:type="dxa"/>
            <w:bottom w:w="0" w:type="dxa"/>
            <w:right w:w="108" w:type="dxa"/>
          </w:tblCellMar>
        </w:tblPrEx>
        <w:trPr>
          <w:trHeight w:val="178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785C">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7</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943F5">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20BC03">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统一申请模块（互联网端）—现有7个审批事项模式转换接口适配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D986CC">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目前现有的新建民用建筑防空地下室同步建设审批、新建民用建筑防空地下室易地建设审批、拆除人民防空工程审批、人民防空通信警报设施拆除（迁移）审批、单独修建的民防建设工程竣工验收备案、民防工程使用备案、民防工程和普通地下室使用备案一件事7个审批事项均采用模式2-3，由大数据中心数据中台负责前后端数据转发；</w:t>
            </w:r>
            <w:r>
              <w:rPr>
                <w:rFonts w:hint="eastAsia" w:cs="宋体"/>
                <w:color w:val="000000"/>
                <w:kern w:val="0"/>
                <w:sz w:val="20"/>
                <w:szCs w:val="20"/>
                <w:lang w:bidi="ar"/>
              </w:rPr>
              <w:br w:type="textWrapping"/>
            </w:r>
            <w:r>
              <w:rPr>
                <w:rFonts w:hint="eastAsia" w:cs="宋体"/>
                <w:color w:val="000000"/>
                <w:kern w:val="0"/>
                <w:sz w:val="20"/>
                <w:szCs w:val="20"/>
                <w:lang w:bidi="ar"/>
              </w:rPr>
              <w:t>本次将上述7个审批事项由模式2-3切换至模式3，需要支持7个审批事项的前后端数据转发接口，支撑审批事项业务办理工作。</w:t>
            </w:r>
          </w:p>
        </w:tc>
      </w:tr>
      <w:tr w14:paraId="7BEC65C2">
        <w:tblPrEx>
          <w:tblCellMar>
            <w:top w:w="0" w:type="dxa"/>
            <w:left w:w="108" w:type="dxa"/>
            <w:bottom w:w="0" w:type="dxa"/>
            <w:right w:w="108" w:type="dxa"/>
          </w:tblCellMar>
        </w:tblPrEx>
        <w:trPr>
          <w:trHeight w:val="76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3C33">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8</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D572D">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3653DB">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统一申请模块（互联网端）—“好差评”接入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3BD1CC">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外网好差评接入，支持新增3个审批事项互联网端好差评接入；同时对现有7个审批事项又模式2-3切换至模式3进行重新对接和接口联调，确保国动办10个审批事项在模式3下均可以进行互联网端好差评评价。</w:t>
            </w:r>
          </w:p>
        </w:tc>
      </w:tr>
      <w:tr w14:paraId="3D8371E9">
        <w:tblPrEx>
          <w:tblCellMar>
            <w:top w:w="0" w:type="dxa"/>
            <w:left w:w="108" w:type="dxa"/>
            <w:bottom w:w="0" w:type="dxa"/>
            <w:right w:w="108" w:type="dxa"/>
          </w:tblCellMar>
        </w:tblPrEx>
        <w:trPr>
          <w:trHeight w:val="102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BDFC">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9</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D45C9">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1B16AC">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统一申请模块（互联网端）—“办不成事”接入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41987B">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根据一网通办6.0的要求，支持在“一网通办”PC端的国动办审批业务系统模块中新增提供“办不成事”提示和采集功能，在10个审批事项办理申报过程中进行页面监测，对于页面停留时间超时（超过10分钟）、页面提交前中途离开等场景，引导用户填写“办不成事”的相关情况。</w:t>
            </w:r>
          </w:p>
        </w:tc>
      </w:tr>
      <w:tr w14:paraId="7A38363B">
        <w:tblPrEx>
          <w:tblCellMar>
            <w:top w:w="0" w:type="dxa"/>
            <w:left w:w="108" w:type="dxa"/>
            <w:bottom w:w="0" w:type="dxa"/>
            <w:right w:w="108" w:type="dxa"/>
          </w:tblCellMar>
        </w:tblPrEx>
        <w:trPr>
          <w:trHeight w:val="178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DF91">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10</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EBB68">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7856D3">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统一审批模块（PC端）—统一工作台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A7D8E3">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提供待办事项、已办理查询；新增3个审批事项的统一工作台功能开发。将现有的新建民用建筑防空地下室同步建设审批、新建民用建筑防空地下室易地建设审批、拆除人民防空工程审批、人民防空通信警报设施拆除（迁移）审批、单独修建的民防建设工程竣工验收备案、民防工程使用备案、民防工程和普通地下室使用备案一件事7个审批事项迁移至统一工作台，并对这7个现有审批事项的待办、已办理进行改造。</w:t>
            </w:r>
          </w:p>
        </w:tc>
      </w:tr>
      <w:tr w14:paraId="558FA768">
        <w:tblPrEx>
          <w:tblCellMar>
            <w:top w:w="0" w:type="dxa"/>
            <w:left w:w="108" w:type="dxa"/>
            <w:bottom w:w="0" w:type="dxa"/>
            <w:right w:w="108" w:type="dxa"/>
          </w:tblCellMar>
        </w:tblPrEx>
        <w:trPr>
          <w:trHeight w:val="229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775C">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11</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0DD0F">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6D8416">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统一审批模块（PC端）—线下窗口受理管理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70E862">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新增3个审批事项线下窗口受理功能；同时需要将现有的新建民用建筑防空地下室同步建设审批、新建民用建筑防空地下室易地建设审批、拆除人民防空工程审批、人民防空通信警报设施拆除（迁移）审批、单独修建的民防建设工程竣工验收备案、民防工程使用备案、民防工程和普通地下室使用备案一件事7个审批事项线下窗口业务根据业务需要对受理页面进行页码风格、业务功能调整，确保纳入系统的10个审批事项的页码风格和操作习惯的统一。</w:t>
            </w:r>
            <w:r>
              <w:rPr>
                <w:rFonts w:hint="eastAsia" w:cs="宋体"/>
                <w:color w:val="000000"/>
                <w:kern w:val="0"/>
                <w:sz w:val="20"/>
                <w:szCs w:val="20"/>
                <w:lang w:bidi="ar"/>
              </w:rPr>
              <w:br w:type="textWrapping"/>
            </w:r>
            <w:r>
              <w:rPr>
                <w:rFonts w:hint="eastAsia" w:cs="宋体"/>
                <w:color w:val="000000"/>
                <w:kern w:val="0"/>
                <w:sz w:val="20"/>
                <w:szCs w:val="20"/>
                <w:lang w:bidi="ar"/>
              </w:rPr>
              <w:t>本次新增骨干民防工程资金补贴等3个事项和现有7个审批事项申请表样式在窗口受理信息采集页面上完成骨干民防工程资金补贴请款申请表等10申请表页面的开发，并提供材料上传、申请书生成功能。</w:t>
            </w:r>
          </w:p>
        </w:tc>
      </w:tr>
      <w:tr w14:paraId="187776EA">
        <w:tblPrEx>
          <w:tblCellMar>
            <w:top w:w="0" w:type="dxa"/>
            <w:left w:w="108" w:type="dxa"/>
            <w:bottom w:w="0" w:type="dxa"/>
            <w:right w:w="108" w:type="dxa"/>
          </w:tblCellMar>
        </w:tblPrEx>
        <w:trPr>
          <w:trHeight w:val="76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1647">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12</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15EF0">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83D910">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统一审批模块（PC端）—材料预审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2AE3F1">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3个审批事项的预审页面的开发和检查，以及现有7审批事项的预审功能调整等，检查主要包括提交的材料是否齐全。检查材料是否符合规定的格式和标准。填写预审意见，优化预审不通过流程，增加不通过意见录入功能。</w:t>
            </w:r>
          </w:p>
        </w:tc>
      </w:tr>
      <w:tr w14:paraId="520F0808">
        <w:tblPrEx>
          <w:tblCellMar>
            <w:top w:w="0" w:type="dxa"/>
            <w:left w:w="108" w:type="dxa"/>
            <w:bottom w:w="0" w:type="dxa"/>
            <w:right w:w="108" w:type="dxa"/>
          </w:tblCellMar>
        </w:tblPrEx>
        <w:trPr>
          <w:trHeight w:val="102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BD4F">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13</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0526C">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E6C117">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统一审批模块（PC端）—线上/线下统一受理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8A709C">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3个事项线上/线下统一受理页面的开发，包括受理意见填写等。对骨干民防工程资金补贴等3个事项的线上和线下发起的申请，根据是否职权范围、当事人提交材料等，经办人决定是否受理，是否需要相对人进行补正。增加受理凭证及批文的上传办件库功能。</w:t>
            </w:r>
          </w:p>
        </w:tc>
      </w:tr>
      <w:tr w14:paraId="5ED03D6B">
        <w:tblPrEx>
          <w:tblCellMar>
            <w:top w:w="0" w:type="dxa"/>
            <w:left w:w="108" w:type="dxa"/>
            <w:bottom w:w="0" w:type="dxa"/>
            <w:right w:w="108" w:type="dxa"/>
          </w:tblCellMar>
        </w:tblPrEx>
        <w:trPr>
          <w:trHeight w:val="51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024F">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14</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95DA8">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1A980D">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统一审批模块（PC端）—转派管理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47F008">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支持骨干民防工程资金补贴、民防工程档案接收、城市地下交通干线以及其他地下空间开发利用兼顾人民防空需要审批增加转派功能，支持市区两级。</w:t>
            </w:r>
          </w:p>
        </w:tc>
      </w:tr>
      <w:tr w14:paraId="41BA83A4">
        <w:tblPrEx>
          <w:tblCellMar>
            <w:top w:w="0" w:type="dxa"/>
            <w:left w:w="108" w:type="dxa"/>
            <w:bottom w:w="0" w:type="dxa"/>
            <w:right w:w="108" w:type="dxa"/>
          </w:tblCellMar>
        </w:tblPrEx>
        <w:trPr>
          <w:trHeight w:val="76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1BE4">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15</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7FADA">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CF754F">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统一审批模块（PC端）—审批管理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D411C4">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骨干民防工程资金补贴等3个审批事项的各级审查页面的开发，包括受理意见、受理环节等内容开发；同时对现有7个审批事项的审批环节进行页面风格、页面排版改造，确保国动办所有审批事项页码风格和操作路径的统一。</w:t>
            </w:r>
          </w:p>
        </w:tc>
      </w:tr>
      <w:tr w14:paraId="6FA2DAE1">
        <w:tblPrEx>
          <w:tblCellMar>
            <w:top w:w="0" w:type="dxa"/>
            <w:left w:w="108" w:type="dxa"/>
            <w:bottom w:w="0" w:type="dxa"/>
            <w:right w:w="108" w:type="dxa"/>
          </w:tblCellMar>
        </w:tblPrEx>
        <w:trPr>
          <w:trHeight w:val="76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09AA">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16</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4857E">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11F83C">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统一审批模块（PC端）—制发证管理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6CD7E2">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对国动办所有审批事项的制发证进行统一管理；本次完成新增3个审批事项的电子制证，同时对现有7个批文的制发证进行改造，确保所有审批事项的制发证的页面风格和操作路径的统一。</w:t>
            </w:r>
          </w:p>
        </w:tc>
      </w:tr>
      <w:tr w14:paraId="552DADF1">
        <w:tblPrEx>
          <w:tblCellMar>
            <w:top w:w="0" w:type="dxa"/>
            <w:left w:w="108" w:type="dxa"/>
            <w:bottom w:w="0" w:type="dxa"/>
            <w:right w:w="108" w:type="dxa"/>
          </w:tblCellMar>
        </w:tblPrEx>
        <w:trPr>
          <w:trHeight w:val="102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EB83">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17</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EF181">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63D7CD">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统一审批模块（PC端）—生成文书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5AA9B6">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新增骨干民防工程资金补贴等3个审批申报业务办理流程中的受理/不予受理通知书、申请文书、准予/不予许可通知书等业务支持文书或对申请人的告知文书生成，并支持打印；同时对现有7个审批事项文书生成进行文书风格等改造，确保所有的审批事项的文书生成风格统一。</w:t>
            </w:r>
          </w:p>
        </w:tc>
      </w:tr>
      <w:tr w14:paraId="796F7C40">
        <w:tblPrEx>
          <w:tblCellMar>
            <w:top w:w="0" w:type="dxa"/>
            <w:left w:w="108" w:type="dxa"/>
            <w:bottom w:w="0" w:type="dxa"/>
            <w:right w:w="108" w:type="dxa"/>
          </w:tblCellMar>
        </w:tblPrEx>
        <w:trPr>
          <w:trHeight w:val="51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D615">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18</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FD42B">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7B6F15">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统一审批模块（PC端）—重新制发证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613D0A">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支持国动办10个审批事项的重新制发证功能；已发证的批文可以根据业务限定条件重新制发证。</w:t>
            </w:r>
          </w:p>
        </w:tc>
      </w:tr>
      <w:tr w14:paraId="1ED0F9D0">
        <w:tblPrEx>
          <w:tblCellMar>
            <w:top w:w="0" w:type="dxa"/>
            <w:left w:w="108" w:type="dxa"/>
            <w:bottom w:w="0" w:type="dxa"/>
            <w:right w:w="108" w:type="dxa"/>
          </w:tblCellMar>
        </w:tblPrEx>
        <w:trPr>
          <w:trHeight w:val="51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985D">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19</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7FE06">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492F00">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统一审批模块（PC端）—作废管理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9D18E5">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支持3个审批事项和现有7个审批事项作废管理功能；同时系统将作废状态推送至办件库和电子证照库。</w:t>
            </w:r>
          </w:p>
        </w:tc>
      </w:tr>
      <w:tr w14:paraId="1C5776F9">
        <w:tblPrEx>
          <w:tblCellMar>
            <w:top w:w="0" w:type="dxa"/>
            <w:left w:w="108" w:type="dxa"/>
            <w:bottom w:w="0" w:type="dxa"/>
            <w:right w:w="108" w:type="dxa"/>
          </w:tblCellMar>
        </w:tblPrEx>
        <w:trPr>
          <w:trHeight w:val="76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5443">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20</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974EB">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D72867">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统一审批模块（PC端）—撤销管理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35A067">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支持10个审批事项办件内部撤销流程，针对尚未办结的办件进行撤销操作；由经办人发起撤销申请，经过责任科室审批完成上述审批事项办件的撤销处理。根据流程配置对应的页面、表单、规则等。</w:t>
            </w:r>
          </w:p>
        </w:tc>
      </w:tr>
      <w:tr w14:paraId="598AB2FC">
        <w:tblPrEx>
          <w:tblCellMar>
            <w:top w:w="0" w:type="dxa"/>
            <w:left w:w="108" w:type="dxa"/>
            <w:bottom w:w="0" w:type="dxa"/>
            <w:right w:w="108" w:type="dxa"/>
          </w:tblCellMar>
        </w:tblPrEx>
        <w:trPr>
          <w:trHeight w:val="178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E2FB">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21</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F9DAF">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112EFE">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统一审批模块（PC端）—不予备案管理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44C01C">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目前只有民防工程使用备案有不予备案功能，新增9个审批事项的不予备案流程，受理后事项可以通过不予备案办结。</w:t>
            </w:r>
            <w:r>
              <w:rPr>
                <w:rFonts w:hint="eastAsia" w:cs="宋体"/>
                <w:color w:val="000000"/>
                <w:kern w:val="0"/>
                <w:sz w:val="20"/>
                <w:szCs w:val="20"/>
                <w:lang w:bidi="ar"/>
              </w:rPr>
              <w:br w:type="textWrapping"/>
            </w:r>
            <w:r>
              <w:rPr>
                <w:rFonts w:hint="eastAsia" w:cs="宋体"/>
                <w:color w:val="000000"/>
                <w:kern w:val="0"/>
                <w:sz w:val="20"/>
                <w:szCs w:val="20"/>
                <w:lang w:bidi="ar"/>
              </w:rPr>
              <w:t>9个审批事项，包括骨干民防工程资金补贴、新建民用建筑防空地下室同步建设审批、新建民用建筑防空地下室易地建设审批、城市地下交通干线以及其他地下空间开发利用兼顾人民防空需要审批新建民用建筑防空地下室同步建设审批、拆除人民防空工程审批、人民防空通信警报设施拆除（迁移）审批、民防工程档案接收、单独修建的民防建设工程竣工验收备案、民防工程和普通地下室使用备案一件事。</w:t>
            </w:r>
          </w:p>
        </w:tc>
      </w:tr>
      <w:tr w14:paraId="284BD408">
        <w:tblPrEx>
          <w:tblCellMar>
            <w:top w:w="0" w:type="dxa"/>
            <w:left w:w="108" w:type="dxa"/>
            <w:bottom w:w="0" w:type="dxa"/>
            <w:right w:w="108" w:type="dxa"/>
          </w:tblCellMar>
        </w:tblPrEx>
        <w:trPr>
          <w:trHeight w:val="178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4BF5">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22</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BCAC0">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2DEBF0">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统一审批模块（PC端）—免申即享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C114E8">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骨干民防工程资金补贴由模式1切换至模式3，需要按照一网通办改革工作要求，新增骨干民防工程资金补贴“免申即享”功能。</w:t>
            </w:r>
            <w:r>
              <w:rPr>
                <w:rFonts w:hint="eastAsia" w:cs="宋体"/>
                <w:color w:val="000000"/>
                <w:kern w:val="0"/>
                <w:sz w:val="20"/>
                <w:szCs w:val="20"/>
                <w:lang w:bidi="ar"/>
              </w:rPr>
              <w:br w:type="textWrapping"/>
            </w:r>
            <w:r>
              <w:rPr>
                <w:rFonts w:hint="eastAsia" w:cs="宋体"/>
                <w:color w:val="000000"/>
                <w:kern w:val="0"/>
                <w:sz w:val="20"/>
                <w:szCs w:val="20"/>
                <w:lang w:bidi="ar"/>
              </w:rPr>
              <w:t>预办件:从一网通办获取免申即享的预办件信息。</w:t>
            </w:r>
            <w:r>
              <w:rPr>
                <w:rFonts w:hint="eastAsia" w:cs="宋体"/>
                <w:color w:val="000000"/>
                <w:kern w:val="0"/>
                <w:sz w:val="20"/>
                <w:szCs w:val="20"/>
                <w:lang w:bidi="ar"/>
              </w:rPr>
              <w:br w:type="textWrapping"/>
            </w:r>
            <w:r>
              <w:rPr>
                <w:rFonts w:hint="eastAsia" w:cs="宋体"/>
                <w:color w:val="000000"/>
                <w:kern w:val="0"/>
                <w:sz w:val="20"/>
                <w:szCs w:val="20"/>
                <w:lang w:bidi="ar"/>
              </w:rPr>
              <w:t>办件状态反馈:将免申即享预审、受理、审批过程、办结的环节状态反馈给一网通办平台。</w:t>
            </w:r>
            <w:r>
              <w:rPr>
                <w:rFonts w:hint="eastAsia" w:cs="宋体"/>
                <w:color w:val="000000"/>
                <w:kern w:val="0"/>
                <w:sz w:val="20"/>
                <w:szCs w:val="20"/>
                <w:lang w:bidi="ar"/>
              </w:rPr>
              <w:br w:type="textWrapping"/>
            </w:r>
            <w:r>
              <w:rPr>
                <w:rFonts w:hint="eastAsia" w:cs="宋体"/>
                <w:color w:val="000000"/>
                <w:kern w:val="0"/>
                <w:sz w:val="20"/>
                <w:szCs w:val="20"/>
                <w:lang w:bidi="ar"/>
              </w:rPr>
              <w:t>兑现: 完成免申即享的补贴申请，系统将兑现信息及凸显状态推送给一网通办平台，用户在一网通办用户端可以查看。</w:t>
            </w:r>
          </w:p>
        </w:tc>
      </w:tr>
      <w:tr w14:paraId="66EA8931">
        <w:tblPrEx>
          <w:tblCellMar>
            <w:top w:w="0" w:type="dxa"/>
            <w:left w:w="108" w:type="dxa"/>
            <w:bottom w:w="0" w:type="dxa"/>
            <w:right w:w="108" w:type="dxa"/>
          </w:tblCellMar>
        </w:tblPrEx>
        <w:trPr>
          <w:trHeight w:val="127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FB3F">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23</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0462D">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F0FF38">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统一审批模块（PC端）—统一物流接入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7BEAC7">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建设骨干民防工程资金补贴、民防工程档案接收、城市地下交通干线以及其他地下空间开发利用兼顾人民防空需要审批、民防工程使用备案、民防工程和普通地下室使用备案一件事5个审批事项统一物流接入，并对现有的5个审批事项的物流功能进行改造，确保国动办10个审批事项物流接入页面风格、页面排版、操作路径一致。</w:t>
            </w:r>
          </w:p>
        </w:tc>
      </w:tr>
      <w:tr w14:paraId="013177EF">
        <w:tblPrEx>
          <w:tblCellMar>
            <w:top w:w="0" w:type="dxa"/>
            <w:left w:w="108" w:type="dxa"/>
            <w:bottom w:w="0" w:type="dxa"/>
            <w:right w:w="108" w:type="dxa"/>
          </w:tblCellMar>
        </w:tblPrEx>
        <w:trPr>
          <w:trHeight w:val="153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FFC8">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24</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A8A7A">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4F3698">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统一审批模块（PC端）—预警管理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EE61FA">
            <w:pPr>
              <w:widowControl/>
              <w:ind w:firstLine="400"/>
              <w:jc w:val="left"/>
              <w:textAlignment w:val="center"/>
              <w:rPr>
                <w:rFonts w:hint="eastAsia" w:cs="宋体"/>
                <w:color w:val="000000"/>
                <w:kern w:val="0"/>
                <w:sz w:val="20"/>
                <w:szCs w:val="20"/>
                <w:lang w:bidi="ar"/>
              </w:rPr>
            </w:pPr>
            <w:r>
              <w:rPr>
                <w:rFonts w:hint="eastAsia" w:cs="宋体"/>
                <w:color w:val="000000"/>
                <w:kern w:val="0"/>
                <w:sz w:val="20"/>
                <w:szCs w:val="20"/>
                <w:lang w:bidi="ar"/>
              </w:rPr>
              <w:t>系统审批办理预警配置功能。管理人员根据民防审批业务办理管理要求，对10个审批事项办理时限等进行配置管理，并进行办理时限控制。</w:t>
            </w:r>
            <w:r>
              <w:rPr>
                <w:rFonts w:hint="eastAsia" w:cs="宋体"/>
                <w:color w:val="000000"/>
                <w:kern w:val="0"/>
                <w:sz w:val="20"/>
                <w:szCs w:val="20"/>
                <w:lang w:bidi="ar"/>
              </w:rPr>
              <w:br w:type="textWrapping"/>
            </w:r>
            <w:r>
              <w:rPr>
                <w:rFonts w:hint="eastAsia" w:cs="宋体"/>
                <w:color w:val="000000"/>
                <w:kern w:val="0"/>
                <w:sz w:val="20"/>
                <w:szCs w:val="20"/>
                <w:lang w:bidi="ar"/>
              </w:rPr>
              <w:t>系统根据上述10个审批事项设定好得到办件期限，通过消息等方式提醒办理人员等。</w:t>
            </w:r>
          </w:p>
        </w:tc>
      </w:tr>
      <w:tr w14:paraId="726294BC">
        <w:tblPrEx>
          <w:tblCellMar>
            <w:top w:w="0" w:type="dxa"/>
            <w:left w:w="108" w:type="dxa"/>
            <w:bottom w:w="0" w:type="dxa"/>
            <w:right w:w="108" w:type="dxa"/>
          </w:tblCellMar>
        </w:tblPrEx>
        <w:trPr>
          <w:trHeight w:val="51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C392">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25</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59746">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A93891">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统一审批模块（PC端）—电子归档数据推送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EBC7F3">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支持建设骨干民防工程资金补贴、民防工程档案接收、城市地下交通干线以及其他地下空间开发利用兼顾人民防空需要审批的档案数据推送至国动办档案系统。</w:t>
            </w:r>
          </w:p>
        </w:tc>
      </w:tr>
      <w:tr w14:paraId="4E9C14B4">
        <w:tblPrEx>
          <w:tblCellMar>
            <w:top w:w="0" w:type="dxa"/>
            <w:left w:w="108" w:type="dxa"/>
            <w:bottom w:w="0" w:type="dxa"/>
            <w:right w:w="108" w:type="dxa"/>
          </w:tblCellMar>
        </w:tblPrEx>
        <w:trPr>
          <w:trHeight w:val="76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DA05">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26</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8D70C">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8EAA0C">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统一审批模块（PC端）—短信管理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1E5B29">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提供短信管理模块，对国动办10个审批事项的短信发送进行统一管，建设内容包括业务流程节点、短信发送内容对应关系管理、短信发送日志记录表、短信发送模版。</w:t>
            </w:r>
          </w:p>
        </w:tc>
      </w:tr>
      <w:tr w14:paraId="1CD90A5A">
        <w:tblPrEx>
          <w:tblCellMar>
            <w:top w:w="0" w:type="dxa"/>
            <w:left w:w="108" w:type="dxa"/>
            <w:bottom w:w="0" w:type="dxa"/>
            <w:right w:w="108" w:type="dxa"/>
          </w:tblCellMar>
        </w:tblPrEx>
        <w:trPr>
          <w:trHeight w:val="153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0AF1">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27</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79951">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A18322">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统一审批模块（PC端）—业务和电子证照数据推送管理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306680">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提供办件数据推送功能：将建设骨干民防工程资金补贴、民防工程档案接收、城市地下交通干线以及其他地下空间开发利用兼顾人民防空需要审批3个审批事项办理办件过程数据推送至大数据中心办件库。</w:t>
            </w:r>
            <w:r>
              <w:rPr>
                <w:rFonts w:hint="eastAsia" w:cs="宋体"/>
                <w:color w:val="000000"/>
                <w:kern w:val="0"/>
                <w:sz w:val="20"/>
                <w:szCs w:val="20"/>
                <w:lang w:bidi="ar"/>
              </w:rPr>
              <w:br w:type="textWrapping"/>
            </w:r>
            <w:r>
              <w:rPr>
                <w:rFonts w:hint="eastAsia" w:cs="宋体"/>
                <w:color w:val="000000"/>
                <w:kern w:val="0"/>
                <w:sz w:val="20"/>
                <w:szCs w:val="20"/>
                <w:lang w:bidi="ar"/>
              </w:rPr>
              <w:t>提供电子证照数据推送功能：将新增建设骨干民防工程资金补贴、民防工程档案接收、城市地下交通干线以及其他地下空间开发利用兼顾人民防空需要审批3个审批事项的电子证照数据推送至市大数据中心电子证照库》。</w:t>
            </w:r>
          </w:p>
        </w:tc>
      </w:tr>
      <w:tr w14:paraId="04F5B699">
        <w:tblPrEx>
          <w:tblCellMar>
            <w:top w:w="0" w:type="dxa"/>
            <w:left w:w="108" w:type="dxa"/>
            <w:bottom w:w="0" w:type="dxa"/>
            <w:right w:w="108" w:type="dxa"/>
          </w:tblCellMar>
        </w:tblPrEx>
        <w:trPr>
          <w:trHeight w:val="102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EDF8">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28</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C23AD">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E182DB">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统一审批模块（PC端）—流程管理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65F1AF">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需建立流程管理模块，以10个审批事项最新的各类型业务、各操作环节（如是否受理、是否准予许可等等）的流程为主要关注点，并按照《“一网通办”平台对接技术规范》6.0版的要求同步节点信息，对10个审批事项流程节点进行配置，实现对国动办所有审批事项的审批流程统一配置管理。</w:t>
            </w:r>
          </w:p>
        </w:tc>
      </w:tr>
      <w:tr w14:paraId="057982D1">
        <w:tblPrEx>
          <w:tblCellMar>
            <w:top w:w="0" w:type="dxa"/>
            <w:left w:w="108" w:type="dxa"/>
            <w:bottom w:w="0" w:type="dxa"/>
            <w:right w:w="108" w:type="dxa"/>
          </w:tblCellMar>
        </w:tblPrEx>
        <w:trPr>
          <w:trHeight w:val="127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ADF9">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29</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1119B">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2D5395">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统一审批模块（PC端）—电子表单及申报材料配置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C40A9">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因模式切换需要新增3个事项（1切换至模式3）业务办理过程中的申请表单、文书模板，以及生成方式（用户上传、自动生成）进行配置，并配置模板中的各项数据来源。同时将现有7个事项的申请表单、文书模版纳入到电子材料配置及上传管理模块进行相应表单、通用业务校验规则、申报材料配置，实现对国动办所有审批事项的表单、通用业务规则、申报材料的集中统一配置管理。</w:t>
            </w:r>
          </w:p>
        </w:tc>
      </w:tr>
      <w:tr w14:paraId="686617E2">
        <w:tblPrEx>
          <w:tblCellMar>
            <w:top w:w="0" w:type="dxa"/>
            <w:left w:w="108" w:type="dxa"/>
            <w:bottom w:w="0" w:type="dxa"/>
            <w:right w:w="108" w:type="dxa"/>
          </w:tblCellMar>
        </w:tblPrEx>
        <w:trPr>
          <w:trHeight w:val="102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433A">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30</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BBD80">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31782B">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统一审批模块（PC端）—电子印章使用配置管理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D1819D">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提供10个审批事项的电子印章使用配置管理功能，可以根据市区两级审批事项电子印章需求进行配置。</w:t>
            </w:r>
          </w:p>
        </w:tc>
      </w:tr>
      <w:tr w14:paraId="25301BB0">
        <w:tblPrEx>
          <w:tblCellMar>
            <w:top w:w="0" w:type="dxa"/>
            <w:left w:w="108" w:type="dxa"/>
            <w:bottom w:w="0" w:type="dxa"/>
            <w:right w:w="108" w:type="dxa"/>
          </w:tblCellMar>
        </w:tblPrEx>
        <w:trPr>
          <w:trHeight w:val="2798"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2D9E">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31</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5CB2E">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009A2C">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统一审批模块（移动端）—移动端审批管理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276A92">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建设国动办移动端审批功能，并通过H5轻应用方式内嵌至随申办政务云；经办人通过移动端可以查看申报内容、材料附件，进行逐级审核，并可以查看某事项当前流程状态等。建设内容</w:t>
            </w:r>
            <w:r>
              <w:rPr>
                <w:rFonts w:hint="eastAsia" w:cs="宋体"/>
                <w:color w:val="000000"/>
                <w:kern w:val="0"/>
                <w:sz w:val="20"/>
                <w:szCs w:val="20"/>
                <w:lang w:val="en-US" w:eastAsia="zh-CN" w:bidi="ar"/>
              </w:rPr>
              <w:t>包括</w:t>
            </w:r>
            <w:r>
              <w:rPr>
                <w:rFonts w:hint="eastAsia" w:cs="宋体"/>
                <w:color w:val="000000"/>
                <w:kern w:val="0"/>
                <w:sz w:val="20"/>
                <w:szCs w:val="20"/>
                <w:lang w:bidi="ar"/>
              </w:rPr>
              <w:t>多级审核</w:t>
            </w:r>
            <w:r>
              <w:rPr>
                <w:rFonts w:hint="eastAsia" w:cs="宋体"/>
                <w:color w:val="000000"/>
                <w:kern w:val="0"/>
                <w:sz w:val="20"/>
                <w:szCs w:val="20"/>
                <w:lang w:eastAsia="zh-CN" w:bidi="ar"/>
              </w:rPr>
              <w:t>、</w:t>
            </w:r>
            <w:r>
              <w:rPr>
                <w:rFonts w:hint="eastAsia" w:cs="宋体"/>
                <w:color w:val="000000"/>
                <w:kern w:val="0"/>
                <w:sz w:val="20"/>
                <w:szCs w:val="20"/>
                <w:lang w:bidi="ar"/>
              </w:rPr>
              <w:t>申报内容管理</w:t>
            </w:r>
            <w:r>
              <w:rPr>
                <w:rFonts w:hint="eastAsia" w:cs="宋体"/>
                <w:color w:val="000000"/>
                <w:kern w:val="0"/>
                <w:sz w:val="20"/>
                <w:szCs w:val="20"/>
                <w:lang w:eastAsia="zh-CN" w:bidi="ar"/>
              </w:rPr>
              <w:t>、</w:t>
            </w:r>
            <w:r>
              <w:rPr>
                <w:rFonts w:hint="eastAsia" w:cs="宋体"/>
                <w:color w:val="000000"/>
                <w:kern w:val="0"/>
                <w:sz w:val="20"/>
                <w:szCs w:val="20"/>
                <w:lang w:bidi="ar"/>
              </w:rPr>
              <w:t>申报材料管理</w:t>
            </w:r>
            <w:r>
              <w:rPr>
                <w:rFonts w:hint="eastAsia" w:cs="宋体"/>
                <w:color w:val="000000"/>
                <w:kern w:val="0"/>
                <w:sz w:val="20"/>
                <w:szCs w:val="20"/>
                <w:lang w:eastAsia="zh-CN" w:bidi="ar"/>
              </w:rPr>
              <w:t>。</w:t>
            </w:r>
          </w:p>
        </w:tc>
      </w:tr>
      <w:tr w14:paraId="70B1C5C0">
        <w:tblPrEx>
          <w:tblCellMar>
            <w:top w:w="0" w:type="dxa"/>
            <w:left w:w="108" w:type="dxa"/>
            <w:bottom w:w="0" w:type="dxa"/>
            <w:right w:w="108" w:type="dxa"/>
          </w:tblCellMar>
        </w:tblPrEx>
        <w:trPr>
          <w:trHeight w:val="178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EEB4">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32</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C38F9">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126A2B">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统一审批模块（移动端）—我的办件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7FD8ED">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提供骨干民防工程资金补贴、新建民用建筑防空地下室同步建设审批、新建民用建筑防空地下室易地建设审批、城市地下交通干线以及其他地下空间开发利用兼顾人民防空需要审批新建民用建筑防空地下室同步建设审批、拆除人民防空工程审批、人民防空通信警报设施拆除（迁移）审批、民防工程档案接收、单独修建的民防建设工程竣工验收备案、民防工程使用备案、民防工程和普通地下室使用备案一件事10个审批事项的移动端办件查询功能，以办件列表形式汇总显示所有办件信息。</w:t>
            </w:r>
          </w:p>
        </w:tc>
      </w:tr>
      <w:tr w14:paraId="02D1DAB4">
        <w:tblPrEx>
          <w:tblCellMar>
            <w:top w:w="0" w:type="dxa"/>
            <w:left w:w="108" w:type="dxa"/>
            <w:bottom w:w="0" w:type="dxa"/>
            <w:right w:w="108" w:type="dxa"/>
          </w:tblCellMar>
        </w:tblPrEx>
        <w:trPr>
          <w:trHeight w:val="51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45CB">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33</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E5E14">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3BFD4E">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统一审批模块（移动端）—适配随申办政务云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718396">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支持通过与随申办政务云用户体系对接适配，确保随申办政务云用户能够使用国动办审批应用。国动办审批应用涵盖国动办10个审批事项。</w:t>
            </w:r>
          </w:p>
        </w:tc>
      </w:tr>
      <w:tr w14:paraId="210E35E7">
        <w:tblPrEx>
          <w:tblCellMar>
            <w:top w:w="0" w:type="dxa"/>
            <w:left w:w="108" w:type="dxa"/>
            <w:bottom w:w="0" w:type="dxa"/>
            <w:right w:w="108" w:type="dxa"/>
          </w:tblCellMar>
        </w:tblPrEx>
        <w:trPr>
          <w:trHeight w:val="127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CA43">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34</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F3FE4">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02C63F">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联审平台接入—联审事项申报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7C5679">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依托上海市工程建设项目审批管理系统，在联审平台中提供民防工程档案接收、单独修建的民防建设工程竣工验收备案、城市地下交通干线以及其他地下空间开发利用兼顾人民防空需要审批、新建民用建筑防空地下室易地建设审批(省级)、新建民用建筑防空地下室同步建设审批(省级)5个审批事项的申报信息填写，并提供对应附件材料上传、申请书生成、电子签名等功能。</w:t>
            </w:r>
          </w:p>
        </w:tc>
      </w:tr>
      <w:tr w14:paraId="49DBAFBB">
        <w:tblPrEx>
          <w:tblCellMar>
            <w:top w:w="0" w:type="dxa"/>
            <w:left w:w="108" w:type="dxa"/>
            <w:bottom w:w="0" w:type="dxa"/>
            <w:right w:w="108" w:type="dxa"/>
          </w:tblCellMar>
        </w:tblPrEx>
        <w:trPr>
          <w:trHeight w:val="382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9F82">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35</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207BA">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3F720B">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联审平台接入—与联审平台业务衔接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06D30F">
            <w:pPr>
              <w:widowControl/>
              <w:ind w:left="0" w:leftChars="0" w:firstLine="0" w:firstLineChars="0"/>
              <w:jc w:val="left"/>
              <w:textAlignment w:val="center"/>
              <w:rPr>
                <w:rFonts w:hint="eastAsia" w:cs="宋体"/>
                <w:color w:val="000000"/>
                <w:sz w:val="20"/>
                <w:szCs w:val="20"/>
              </w:rPr>
            </w:pPr>
            <w:r>
              <w:rPr>
                <w:rFonts w:hint="eastAsia" w:cs="宋体"/>
                <w:color w:val="000000"/>
                <w:kern w:val="0"/>
                <w:sz w:val="20"/>
                <w:szCs w:val="20"/>
                <w:lang w:bidi="ar"/>
              </w:rPr>
              <w:t>获取联办件编号:</w:t>
            </w:r>
            <w:r>
              <w:rPr>
                <w:rFonts w:hint="eastAsia" w:cs="宋体"/>
                <w:color w:val="000000"/>
                <w:kern w:val="0"/>
                <w:sz w:val="20"/>
                <w:szCs w:val="20"/>
                <w:lang w:bidi="ar"/>
              </w:rPr>
              <w:br w:type="textWrapping"/>
            </w:r>
            <w:r>
              <w:rPr>
                <w:rFonts w:hint="eastAsia" w:cs="宋体"/>
                <w:color w:val="000000"/>
                <w:kern w:val="0"/>
                <w:sz w:val="20"/>
                <w:szCs w:val="20"/>
                <w:lang w:bidi="ar"/>
              </w:rPr>
              <w:t>提供获取民防工程档案接收、单独修建的民防建设工程竣工验收备案、城市地下交通干线以及其他地下空间开发利用兼顾人民防空需要审批、新建民用建筑防空地下室易地建设审批(省级)、新建民用建筑防空地下室同步建设审批(省级)的联办件编号。</w:t>
            </w:r>
            <w:r>
              <w:rPr>
                <w:rFonts w:hint="eastAsia" w:cs="宋体"/>
                <w:color w:val="000000"/>
                <w:kern w:val="0"/>
                <w:sz w:val="20"/>
                <w:szCs w:val="20"/>
                <w:lang w:bidi="ar"/>
              </w:rPr>
              <w:br w:type="textWrapping"/>
            </w:r>
            <w:r>
              <w:rPr>
                <w:rFonts w:hint="eastAsia" w:cs="宋体"/>
                <w:color w:val="000000"/>
                <w:kern w:val="0"/>
                <w:sz w:val="20"/>
                <w:szCs w:val="20"/>
                <w:lang w:bidi="ar"/>
              </w:rPr>
              <w:t>事项链接跳转和绑定:</w:t>
            </w:r>
            <w:r>
              <w:rPr>
                <w:rFonts w:hint="eastAsia" w:cs="宋体"/>
                <w:color w:val="000000"/>
                <w:kern w:val="0"/>
                <w:sz w:val="20"/>
                <w:szCs w:val="20"/>
                <w:lang w:bidi="ar"/>
              </w:rPr>
              <w:br w:type="textWrapping"/>
            </w:r>
            <w:r>
              <w:rPr>
                <w:rFonts w:hint="eastAsia" w:cs="宋体"/>
                <w:color w:val="000000"/>
                <w:kern w:val="0"/>
                <w:sz w:val="20"/>
                <w:szCs w:val="20"/>
                <w:lang w:bidi="ar"/>
              </w:rPr>
              <w:t>提供民防工程档案接收、单独修建的民防建设工程竣工验收备案、城市地下交通干线以及其他地下空间开发利用兼顾人民防空需要审批、新建民用建筑防空地下室易地建设审批(省级)、新建民用建筑防空地下室同步建设审批(省级) 5个单事项链接跳转和绑定对接。</w:t>
            </w:r>
            <w:r>
              <w:rPr>
                <w:rFonts w:hint="eastAsia" w:cs="宋体"/>
                <w:color w:val="000000"/>
                <w:kern w:val="0"/>
                <w:sz w:val="20"/>
                <w:szCs w:val="20"/>
                <w:lang w:bidi="ar"/>
              </w:rPr>
              <w:br w:type="textWrapping"/>
            </w:r>
            <w:r>
              <w:rPr>
                <w:rFonts w:hint="eastAsia" w:cs="宋体"/>
                <w:color w:val="000000"/>
                <w:kern w:val="0"/>
                <w:sz w:val="20"/>
                <w:szCs w:val="20"/>
                <w:lang w:bidi="ar"/>
              </w:rPr>
              <w:t>查询办理进度、继续办理:</w:t>
            </w:r>
            <w:r>
              <w:rPr>
                <w:rFonts w:hint="eastAsia" w:cs="宋体"/>
                <w:color w:val="000000"/>
                <w:kern w:val="0"/>
                <w:sz w:val="20"/>
                <w:szCs w:val="20"/>
                <w:lang w:bidi="ar"/>
              </w:rPr>
              <w:br w:type="textWrapping"/>
            </w:r>
            <w:r>
              <w:rPr>
                <w:rFonts w:hint="eastAsia" w:cs="宋体"/>
                <w:color w:val="000000"/>
                <w:kern w:val="0"/>
                <w:sz w:val="20"/>
                <w:szCs w:val="20"/>
                <w:lang w:bidi="ar"/>
              </w:rPr>
              <w:t>提供民防工程档案接收、单独修建的民防建设工程竣工验收备案、城市地下交通干线以及其他地下空间开发利用兼顾人民防空需要审批、新建民用建筑防空地下室易地建设审批(省级)、新建民用建筑防空地下室同步建设审批(省级) 5个审批事项的办理进度查看和继续办理对接。</w:t>
            </w:r>
          </w:p>
        </w:tc>
      </w:tr>
      <w:tr w14:paraId="1B078F31">
        <w:tblPrEx>
          <w:tblCellMar>
            <w:top w:w="0" w:type="dxa"/>
            <w:left w:w="108" w:type="dxa"/>
            <w:bottom w:w="0" w:type="dxa"/>
            <w:right w:w="108" w:type="dxa"/>
          </w:tblCellMar>
        </w:tblPrEx>
        <w:trPr>
          <w:trHeight w:val="76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6524">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36</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1BF24">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CE903D">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 xml:space="preserve"> 智能化应用—“用证”免交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02490">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支持对于上传材料时使用电子证照进行免交的,同步向办件库上传办件材料接口反馈用证唯一标识。本项目实现用证免交的材料包括电子营业执照、身份证、电子许可证等。</w:t>
            </w:r>
          </w:p>
        </w:tc>
      </w:tr>
      <w:tr w14:paraId="79ED5092">
        <w:tblPrEx>
          <w:tblCellMar>
            <w:top w:w="0" w:type="dxa"/>
            <w:left w:w="108" w:type="dxa"/>
            <w:bottom w:w="0" w:type="dxa"/>
            <w:right w:w="108" w:type="dxa"/>
          </w:tblCellMar>
        </w:tblPrEx>
        <w:trPr>
          <w:trHeight w:val="102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0D57">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37</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58178">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04C1A5">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 xml:space="preserve"> 智能化应用—智能预填—基于业务库预填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85A3E5">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提供2个审批事项业务办理环节业务数据预填调用，预填内容如下：</w:t>
            </w:r>
            <w:r>
              <w:rPr>
                <w:rFonts w:hint="eastAsia" w:cs="宋体"/>
                <w:color w:val="000000"/>
                <w:kern w:val="0"/>
                <w:sz w:val="20"/>
                <w:szCs w:val="20"/>
                <w:lang w:bidi="ar"/>
              </w:rPr>
              <w:br w:type="textWrapping"/>
            </w:r>
            <w:r>
              <w:rPr>
                <w:rFonts w:hint="eastAsia" w:cs="宋体"/>
                <w:color w:val="000000"/>
                <w:kern w:val="0"/>
                <w:sz w:val="20"/>
                <w:szCs w:val="20"/>
                <w:lang w:bidi="ar"/>
              </w:rPr>
              <w:t>建设骨干民防工程资金补贴申请表的信息预填、民防工程档案接收申请表的工程信息预填。</w:t>
            </w:r>
          </w:p>
        </w:tc>
      </w:tr>
      <w:tr w14:paraId="59C70169">
        <w:tblPrEx>
          <w:tblCellMar>
            <w:top w:w="0" w:type="dxa"/>
            <w:left w:w="108" w:type="dxa"/>
            <w:bottom w:w="0" w:type="dxa"/>
            <w:right w:w="108" w:type="dxa"/>
          </w:tblCellMar>
        </w:tblPrEx>
        <w:trPr>
          <w:trHeight w:val="51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DCB7">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38</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80CB5">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8C4662">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 xml:space="preserve"> 智能化应用—智能预填—基于申请材料的预填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74F425">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提供建设骨干民防工程资金补贴、民防工程档案接收、城市地下交通干线以及其他地下空间开发利用兼顾人民防空需要审批的线上申报环节申请表预填。</w:t>
            </w:r>
          </w:p>
        </w:tc>
      </w:tr>
      <w:tr w14:paraId="0A6EFB7D">
        <w:tblPrEx>
          <w:tblCellMar>
            <w:top w:w="0" w:type="dxa"/>
            <w:left w:w="108" w:type="dxa"/>
            <w:bottom w:w="0" w:type="dxa"/>
            <w:right w:w="108" w:type="dxa"/>
          </w:tblCellMar>
        </w:tblPrEx>
        <w:trPr>
          <w:trHeight w:val="51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0E68">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39</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B8FE2">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5BC4B7">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 xml:space="preserve"> 智能化应用—智能核验—统一信用代码核验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9684BC">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民防工程使用备案业务办理环节，申报人在填写民防工程和普通地下室使用备案一件事，调用法人库信息进行统一信用代码核验。</w:t>
            </w:r>
          </w:p>
        </w:tc>
      </w:tr>
      <w:tr w14:paraId="03C5EFBA">
        <w:tblPrEx>
          <w:tblCellMar>
            <w:top w:w="0" w:type="dxa"/>
            <w:left w:w="108" w:type="dxa"/>
            <w:bottom w:w="0" w:type="dxa"/>
            <w:right w:w="108" w:type="dxa"/>
          </w:tblCellMar>
        </w:tblPrEx>
        <w:trPr>
          <w:trHeight w:val="51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A00F">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40</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33B64">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FA19EF">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 xml:space="preserve"> 智能化应用—智能核验—面积核验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C1BEEA">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支持城市地下交通干线以及其他地下空间开发利用兼顾人民防空需要审批业务办理环节面积核验。</w:t>
            </w:r>
          </w:p>
        </w:tc>
      </w:tr>
      <w:tr w14:paraId="46FB5E4D">
        <w:tblPrEx>
          <w:tblCellMar>
            <w:top w:w="0" w:type="dxa"/>
            <w:left w:w="108" w:type="dxa"/>
            <w:bottom w:w="0" w:type="dxa"/>
            <w:right w:w="108" w:type="dxa"/>
          </w:tblCellMar>
        </w:tblPrEx>
        <w:trPr>
          <w:trHeight w:val="178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6871">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41</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5A7E4">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96C4CD">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 xml:space="preserve"> 智能化应用—电子证管理—电子证模版管理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08A052">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建设骨干民防工程资金补贴、新建民用建筑防空地下室同步建设审批、新建民用建筑防空地下室易地建设审批、城市地下交通干线以及其他地下空间开发利用兼顾人民防空需要审批新建民用建筑防空地下室同步建设审批、拆除人民防空工程审批、人民防空通信警报设施拆除（迁移）审批、民防工程档案接收、单独修建的民防建设工程竣工验收备案、民防工程使用备案9个审批事项的电子证模版，建立9个审批事项的电子证照模版库，对每个审批事项的模版进行灵活配置，支撑国动办日常制证工作。</w:t>
            </w:r>
          </w:p>
        </w:tc>
      </w:tr>
      <w:tr w14:paraId="2046D7C0">
        <w:tblPrEx>
          <w:tblCellMar>
            <w:top w:w="0" w:type="dxa"/>
            <w:left w:w="108" w:type="dxa"/>
            <w:bottom w:w="0" w:type="dxa"/>
            <w:right w:w="108" w:type="dxa"/>
          </w:tblCellMar>
        </w:tblPrEx>
        <w:trPr>
          <w:trHeight w:val="51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9B1F">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42</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4C45D">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BDDDED">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 xml:space="preserve"> 智能化应用—电子证管理—证号编码规则管理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F7CB81">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提供国动办行政审批证号等的编码规则管理模块，可以对证号等的编码进行灵活配置。</w:t>
            </w:r>
          </w:p>
        </w:tc>
      </w:tr>
      <w:tr w14:paraId="3CE3A135">
        <w:tblPrEx>
          <w:tblCellMar>
            <w:top w:w="0" w:type="dxa"/>
            <w:left w:w="108" w:type="dxa"/>
            <w:bottom w:w="0" w:type="dxa"/>
            <w:right w:w="108" w:type="dxa"/>
          </w:tblCellMar>
        </w:tblPrEx>
        <w:trPr>
          <w:trHeight w:val="76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A9F4">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43</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7E13D">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48B4B4">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 xml:space="preserve"> 智能化应用—资金类数据对帐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494B89">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提供所有涉及资金类事项对账功能，确保出入账统一，对涉及资金类事项，包括新建民用建筑防空地下室易地建设审批、拆除人民防空工程审批、建设骨干民防工程资金补贴。</w:t>
            </w:r>
          </w:p>
        </w:tc>
      </w:tr>
      <w:tr w14:paraId="6F444CAD">
        <w:tblPrEx>
          <w:tblCellMar>
            <w:top w:w="0" w:type="dxa"/>
            <w:left w:w="108" w:type="dxa"/>
            <w:bottom w:w="0" w:type="dxa"/>
            <w:right w:w="108" w:type="dxa"/>
          </w:tblCellMar>
        </w:tblPrEx>
        <w:trPr>
          <w:trHeight w:val="51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5150">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44</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8227D">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0FC045">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 xml:space="preserve"> 智能化应用—智能检索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4FED03">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提供办件查询支持通过事项类型、办件内容、流程节点等维度进行办件的查询，以及对所有的办件数据，实现办件数据的汇总展示。</w:t>
            </w:r>
          </w:p>
        </w:tc>
      </w:tr>
      <w:tr w14:paraId="04FB5714">
        <w:tblPrEx>
          <w:tblCellMar>
            <w:top w:w="0" w:type="dxa"/>
            <w:left w:w="108" w:type="dxa"/>
            <w:bottom w:w="0" w:type="dxa"/>
            <w:right w:w="108" w:type="dxa"/>
          </w:tblCellMar>
        </w:tblPrEx>
        <w:trPr>
          <w:trHeight w:val="76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78B8">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45</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9E5AA">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DC74C9">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办件效能监管—与办件库指标项比对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792E8B">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支持通过业务库与办件库的办件指标项比对，发现业务库与办件库办件指标项不一致问题，确保10个审批事项的办件指标项在办件库办件和系统办件库一致。同时展示不一致数据的详细信息。</w:t>
            </w:r>
          </w:p>
        </w:tc>
      </w:tr>
      <w:tr w14:paraId="1186BE2F">
        <w:tblPrEx>
          <w:tblCellMar>
            <w:top w:w="0" w:type="dxa"/>
            <w:left w:w="108" w:type="dxa"/>
            <w:bottom w:w="0" w:type="dxa"/>
            <w:right w:w="108" w:type="dxa"/>
          </w:tblCellMar>
        </w:tblPrEx>
        <w:trPr>
          <w:trHeight w:val="51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3FCE">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46</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49BC0">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7ED64">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办件效能监管—办件质量监控—数据推送监控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7AEA9A">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根据以往通办6.0要求，需要建设数据推送监控功能，对10个审批事项数据推送进行监控：</w:t>
            </w:r>
          </w:p>
        </w:tc>
      </w:tr>
      <w:tr w14:paraId="68D2F3E9">
        <w:tblPrEx>
          <w:tblCellMar>
            <w:top w:w="0" w:type="dxa"/>
            <w:left w:w="108" w:type="dxa"/>
            <w:bottom w:w="0" w:type="dxa"/>
            <w:right w:w="108" w:type="dxa"/>
          </w:tblCellMar>
        </w:tblPrEx>
        <w:trPr>
          <w:trHeight w:val="51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D94D">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47</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F6312">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788C5F">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办件效能监管—办件质量监控—办件情况监控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ADE264">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支持对10个审批事项的办件情况进行监控，监控统计办件情况，包括地区、本月办件量（件） 累计办件量（件）。</w:t>
            </w:r>
          </w:p>
        </w:tc>
      </w:tr>
      <w:tr w14:paraId="0B803BE6">
        <w:tblPrEx>
          <w:tblCellMar>
            <w:top w:w="0" w:type="dxa"/>
            <w:left w:w="108" w:type="dxa"/>
            <w:bottom w:w="0" w:type="dxa"/>
            <w:right w:w="108" w:type="dxa"/>
          </w:tblCellMar>
        </w:tblPrEx>
        <w:trPr>
          <w:trHeight w:val="51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2CD3">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48</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88C2B">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462EA7">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办件效能监管—办件质量监控—电子证照归集监控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89F34">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支持从业务库调取事项电子证照归集数据，监控各区及事项电子证照归集情况，包括电子证照归集情况、证照目录公开率、实现同步制发证照数等。</w:t>
            </w:r>
          </w:p>
        </w:tc>
      </w:tr>
      <w:tr w14:paraId="5CF34F09">
        <w:tblPrEx>
          <w:tblCellMar>
            <w:top w:w="0" w:type="dxa"/>
            <w:left w:w="108" w:type="dxa"/>
            <w:bottom w:w="0" w:type="dxa"/>
            <w:right w:w="108" w:type="dxa"/>
          </w:tblCellMar>
        </w:tblPrEx>
        <w:trPr>
          <w:trHeight w:val="76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AE43">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49</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81F2A">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304FBF">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办件效能监管—办件质量监控—事项网上办理情况监控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7022CA">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支持从业务库调取事项网上办理数据，监控各区事项全程网办情况统计，并生成国动办事项网上办理情况表，统计内容包括全程网办（项）、总数（项） 比率、本月全程网办、办件量（件）、 本月比率、年度比率。</w:t>
            </w:r>
          </w:p>
        </w:tc>
      </w:tr>
      <w:tr w14:paraId="392EBA3B">
        <w:tblPrEx>
          <w:tblCellMar>
            <w:top w:w="0" w:type="dxa"/>
            <w:left w:w="108" w:type="dxa"/>
            <w:bottom w:w="0" w:type="dxa"/>
            <w:right w:w="108" w:type="dxa"/>
          </w:tblCellMar>
        </w:tblPrEx>
        <w:trPr>
          <w:trHeight w:val="76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FA30">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50</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9EF30">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C9BFB5">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办件效能监管—办件质量监控—“一件事”办件情况监控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CC503C">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支持从业务库调取“一件事”办件数据，监控“一件事”办件情况，并生成国动办“一件事”办件情况统计表，统计内容包括“一件事”办件量（件）、子办件（件）、子办件超时比例。</w:t>
            </w:r>
          </w:p>
        </w:tc>
      </w:tr>
      <w:tr w14:paraId="2A37A8A1">
        <w:tblPrEx>
          <w:tblCellMar>
            <w:top w:w="0" w:type="dxa"/>
            <w:left w:w="108" w:type="dxa"/>
            <w:bottom w:w="0" w:type="dxa"/>
            <w:right w:w="108" w:type="dxa"/>
          </w:tblCellMar>
        </w:tblPrEx>
        <w:trPr>
          <w:trHeight w:val="102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3842">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51</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A2493">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7A0B1E">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办件效能监管—办件质量监控—“免申即享”服务情况监控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09776E">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从业务库调取“免申即享”服务数据，监控各区统计“免申即享”服务情况，并生成国动办“免申即享”服务情况统计表，统计内容包括“免申即享”服务数量、“免申即享”年度累计、个人类“免申即享”办件量、 法人类“免申即享”办件量等。</w:t>
            </w:r>
          </w:p>
        </w:tc>
      </w:tr>
      <w:tr w14:paraId="2F218269">
        <w:tblPrEx>
          <w:tblCellMar>
            <w:top w:w="0" w:type="dxa"/>
            <w:left w:w="108" w:type="dxa"/>
            <w:bottom w:w="0" w:type="dxa"/>
            <w:right w:w="108" w:type="dxa"/>
          </w:tblCellMar>
        </w:tblPrEx>
        <w:trPr>
          <w:trHeight w:val="76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F118">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52</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9FFF0">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6C41FA">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办件效能监管—办件质量监控—使用电子证照免交情况监控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2BD89A">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从业务库调取电子证照免交数据，监控电子证照免交情况，并生成国动办使用电子证照免交情况统计表，区级事项免交情况和窗口受理免交情况统计内容包括具备免交能力办件量、免交用证量、规范用证量、免交比率等。</w:t>
            </w:r>
          </w:p>
        </w:tc>
      </w:tr>
      <w:tr w14:paraId="463CA259">
        <w:tblPrEx>
          <w:tblCellMar>
            <w:top w:w="0" w:type="dxa"/>
            <w:left w:w="108" w:type="dxa"/>
            <w:bottom w:w="0" w:type="dxa"/>
            <w:right w:w="108" w:type="dxa"/>
          </w:tblCellMar>
        </w:tblPrEx>
        <w:trPr>
          <w:trHeight w:val="76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B04A">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53</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BDEEC">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E3EDFC">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办件效能监管—办件质量监控—办件数据质量监控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2DA5C0">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从业务库调取办件数据质量数据，监控10个审批事项及各区办件数据质量，并生成国动办办件数据质量统计表，统计内容包括办件错误率、环节错误率、环节顺序、错误率、业务办理项编、码错误率、及时性等。</w:t>
            </w:r>
          </w:p>
        </w:tc>
      </w:tr>
      <w:tr w14:paraId="01EAA5A1">
        <w:tblPrEx>
          <w:tblCellMar>
            <w:top w:w="0" w:type="dxa"/>
            <w:left w:w="108" w:type="dxa"/>
            <w:bottom w:w="0" w:type="dxa"/>
            <w:right w:w="108" w:type="dxa"/>
          </w:tblCellMar>
        </w:tblPrEx>
        <w:trPr>
          <w:trHeight w:val="76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03E1">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54</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A9686">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D469B">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办件效能监管—办件质量监控—办件效能监控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A7D6C">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支持通过从办件库抽取国动办的办件数据，监控国动办的办件效能，并通过饼状图等图标进行展示，展示内容包括网办率、办结率、用证免交比率、规范用证比率、事项关联度、证照量（合规用证）等。</w:t>
            </w:r>
          </w:p>
        </w:tc>
      </w:tr>
      <w:tr w14:paraId="02FD2808">
        <w:tblPrEx>
          <w:tblCellMar>
            <w:top w:w="0" w:type="dxa"/>
            <w:left w:w="108" w:type="dxa"/>
            <w:bottom w:w="0" w:type="dxa"/>
            <w:right w:w="108" w:type="dxa"/>
          </w:tblCellMar>
        </w:tblPrEx>
        <w:trPr>
          <w:trHeight w:val="51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BBAD">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55</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C9971">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E75A5E">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工程档案系统升级—增加档案盒标签生成功能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82AB93">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支持增加已发布档案的卷内目录、安卷盒封面、备考表的打印功能，已发布档案一次性生成word文件。</w:t>
            </w:r>
          </w:p>
        </w:tc>
      </w:tr>
      <w:tr w14:paraId="4DB628E5">
        <w:tblPrEx>
          <w:tblCellMar>
            <w:top w:w="0" w:type="dxa"/>
            <w:left w:w="108" w:type="dxa"/>
            <w:bottom w:w="0" w:type="dxa"/>
            <w:right w:w="108" w:type="dxa"/>
          </w:tblCellMar>
        </w:tblPrEx>
        <w:trPr>
          <w:trHeight w:val="27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77AC">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56</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CE73E">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3FF343">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工程档案系统升级—优化文件管理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6444F5">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支持档案卷中档案文件的批量上传。</w:t>
            </w:r>
          </w:p>
        </w:tc>
      </w:tr>
      <w:tr w14:paraId="4F78D4DF">
        <w:tblPrEx>
          <w:tblCellMar>
            <w:top w:w="0" w:type="dxa"/>
            <w:left w:w="108" w:type="dxa"/>
            <w:bottom w:w="0" w:type="dxa"/>
            <w:right w:w="108" w:type="dxa"/>
          </w:tblCellMar>
        </w:tblPrEx>
        <w:trPr>
          <w:trHeight w:val="51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B461">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57</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3C940">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5C7830">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工程档案系统升级—基本信息字段优化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7B9E69">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支持按编号规则在工程档案维护时，实现对工程编号的生成，实现在建与在用工程的关联转化。增加决算和投资情况信息，并对单元信息进行调整。</w:t>
            </w:r>
          </w:p>
        </w:tc>
      </w:tr>
      <w:tr w14:paraId="6A2DE023">
        <w:tblPrEx>
          <w:tblCellMar>
            <w:top w:w="0" w:type="dxa"/>
            <w:left w:w="108" w:type="dxa"/>
            <w:bottom w:w="0" w:type="dxa"/>
            <w:right w:w="108" w:type="dxa"/>
          </w:tblCellMar>
        </w:tblPrEx>
        <w:trPr>
          <w:trHeight w:val="27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47B9">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58</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B86CF">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7F7DAE">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工程档案系统升级—增加平战转换信息模块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0544D1">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支持增加平战信息录入功能模块。</w:t>
            </w:r>
          </w:p>
        </w:tc>
      </w:tr>
      <w:tr w14:paraId="7BEC3B4F">
        <w:tblPrEx>
          <w:tblCellMar>
            <w:top w:w="0" w:type="dxa"/>
            <w:left w:w="108" w:type="dxa"/>
            <w:bottom w:w="0" w:type="dxa"/>
            <w:right w:w="108" w:type="dxa"/>
          </w:tblCellMar>
        </w:tblPrEx>
        <w:trPr>
          <w:trHeight w:val="51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933A">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59</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90339">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ED4B97">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行政协助办件内部审批系统—协助平台办件手动拉取功能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79CE4E">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支持手动拉取行政协助办件功能，拉取时间段内的办结及流程中的协助信息。</w:t>
            </w:r>
          </w:p>
        </w:tc>
      </w:tr>
      <w:tr w14:paraId="5B78152D">
        <w:tblPrEx>
          <w:tblCellMar>
            <w:top w:w="0" w:type="dxa"/>
            <w:left w:w="108" w:type="dxa"/>
            <w:bottom w:w="0" w:type="dxa"/>
            <w:right w:w="108" w:type="dxa"/>
          </w:tblCellMar>
        </w:tblPrEx>
        <w:trPr>
          <w:trHeight w:val="51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2FA6">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60</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CC726">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0E075">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行政协助办件内部审批系统—对接全流程子系统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8FD8AC">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支持在办结阶段，为骨干工程提供用户跳转全流程子系统功能，并增加是否已办理完成的验证功能。</w:t>
            </w:r>
          </w:p>
        </w:tc>
      </w:tr>
      <w:tr w14:paraId="78103383">
        <w:tblPrEx>
          <w:tblCellMar>
            <w:top w:w="0" w:type="dxa"/>
            <w:left w:w="108" w:type="dxa"/>
            <w:bottom w:w="0" w:type="dxa"/>
            <w:right w:w="108" w:type="dxa"/>
          </w:tblCellMar>
        </w:tblPrEx>
        <w:trPr>
          <w:trHeight w:val="51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3F42">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61</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48DA1">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6A64B4">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行政协助办件内部审批系统—优化部门副领导环节功能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A63A1E">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支持为部门副领导增加直接提交给分管领导的功能。</w:t>
            </w:r>
          </w:p>
        </w:tc>
      </w:tr>
      <w:tr w14:paraId="314D4422">
        <w:tblPrEx>
          <w:tblCellMar>
            <w:top w:w="0" w:type="dxa"/>
            <w:left w:w="108" w:type="dxa"/>
            <w:bottom w:w="0" w:type="dxa"/>
            <w:right w:w="108" w:type="dxa"/>
          </w:tblCellMar>
        </w:tblPrEx>
        <w:trPr>
          <w:trHeight w:val="51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25A6">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62</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20AED">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F9F3B9">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行政协助办件内部审批系统—生成WORD格式的流转单附件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07E0F1">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支持优化流转单功能，为工程条线和指通条线新增生成word格式流转单功能。</w:t>
            </w:r>
          </w:p>
        </w:tc>
      </w:tr>
      <w:tr w14:paraId="697221A0">
        <w:tblPrEx>
          <w:tblCellMar>
            <w:top w:w="0" w:type="dxa"/>
            <w:left w:w="108" w:type="dxa"/>
            <w:bottom w:w="0" w:type="dxa"/>
            <w:right w:w="108" w:type="dxa"/>
          </w:tblCellMar>
        </w:tblPrEx>
        <w:trPr>
          <w:trHeight w:val="51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AA3C">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63</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EB07E">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C58C72">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行政协助办件内部审批系统—新增总经办环节、经办环节、办结环节附件上传功能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A9AD81">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支持在总经办人补充信息环节及工程经办人经办意见录入环节功能，增加项目相关附件上传的功能。</w:t>
            </w:r>
          </w:p>
        </w:tc>
      </w:tr>
      <w:tr w14:paraId="0423B447">
        <w:tblPrEx>
          <w:tblCellMar>
            <w:top w:w="0" w:type="dxa"/>
            <w:left w:w="108" w:type="dxa"/>
            <w:bottom w:w="0" w:type="dxa"/>
            <w:right w:w="108" w:type="dxa"/>
          </w:tblCellMar>
        </w:tblPrEx>
        <w:trPr>
          <w:trHeight w:val="51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E950">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64</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39B60">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EC6846">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行政协助办件内部审批系统—增加退回、撤回功能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691A53">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支持在工程条线和指通条线中的部门领导和单位领导环节增加退回功能，流程退回到经办人环节。在经办人和部门领导环节增加撤回功能。</w:t>
            </w:r>
          </w:p>
        </w:tc>
      </w:tr>
      <w:tr w14:paraId="13FE9BCB">
        <w:tblPrEx>
          <w:tblCellMar>
            <w:top w:w="0" w:type="dxa"/>
            <w:left w:w="108" w:type="dxa"/>
            <w:bottom w:w="0" w:type="dxa"/>
            <w:right w:w="108" w:type="dxa"/>
          </w:tblCellMar>
        </w:tblPrEx>
        <w:trPr>
          <w:trHeight w:val="51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BE44">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65</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B1290">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6412AD">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行政协助办件内部审批系统—优化经办意见录入及修改功能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2D5410">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支持优化经办意见录入功能，增加相关数据字段及关联验证等，并提供意见的重新生成或编辑已有意见的选择功能。同时增加线性工程独立编号功能。</w:t>
            </w:r>
          </w:p>
        </w:tc>
      </w:tr>
      <w:tr w14:paraId="65E4B075">
        <w:tblPrEx>
          <w:tblCellMar>
            <w:top w:w="0" w:type="dxa"/>
            <w:left w:w="108" w:type="dxa"/>
            <w:bottom w:w="0" w:type="dxa"/>
            <w:right w:w="108" w:type="dxa"/>
          </w:tblCellMar>
        </w:tblPrEx>
        <w:trPr>
          <w:trHeight w:val="27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7425">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66</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3682A">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0FD9FD">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行政协助办件内部审批系统—已办页面功能调整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2AAABC">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支持在已办页面中增加结构化经办意见的展示功能。</w:t>
            </w:r>
          </w:p>
        </w:tc>
      </w:tr>
      <w:tr w14:paraId="41B25AF9">
        <w:tblPrEx>
          <w:tblCellMar>
            <w:top w:w="0" w:type="dxa"/>
            <w:left w:w="108" w:type="dxa"/>
            <w:bottom w:w="0" w:type="dxa"/>
            <w:right w:w="108" w:type="dxa"/>
          </w:tblCellMar>
        </w:tblPrEx>
        <w:trPr>
          <w:trHeight w:val="51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6142">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67</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9D1E8">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A67C36">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行政协助办件内部审批系统—增加用户的数据权限功能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F7EFAC">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支持增加工程条线的不同数据权限流程，按用户的权限生成线性或非线性的办理流程。</w:t>
            </w:r>
          </w:p>
        </w:tc>
      </w:tr>
      <w:tr w14:paraId="47D8BC40">
        <w:tblPrEx>
          <w:tblCellMar>
            <w:top w:w="0" w:type="dxa"/>
            <w:left w:w="108" w:type="dxa"/>
            <w:bottom w:w="0" w:type="dxa"/>
            <w:right w:w="108" w:type="dxa"/>
          </w:tblCellMar>
        </w:tblPrEx>
        <w:trPr>
          <w:trHeight w:val="51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D2DA">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68</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DF193">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498252">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 xml:space="preserve"> 网站无障碍技术改造（二、三级标准要求）—二级标准改造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196F8A">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提供二级标准改造，包括非文本内容、装饰性内容访问、弹出干扰、新窗口、多媒体播放、输入提示、网页标题、正确导航标签、站内搜索和网站地图。</w:t>
            </w:r>
          </w:p>
        </w:tc>
      </w:tr>
      <w:tr w14:paraId="350330C7">
        <w:tblPrEx>
          <w:tblCellMar>
            <w:top w:w="0" w:type="dxa"/>
            <w:left w:w="108" w:type="dxa"/>
            <w:bottom w:w="0" w:type="dxa"/>
            <w:right w:w="108" w:type="dxa"/>
          </w:tblCellMar>
        </w:tblPrEx>
        <w:trPr>
          <w:trHeight w:val="127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C927">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69</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3C3AB">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36638C">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 xml:space="preserve"> 网站无障碍技术改造（二、三级标准要求）—三级标准改造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959F0C">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扩展音频描述、一致的布局和用户位置。在网页和移动应用中,预录视频中前景音频描述不足以传达视频意思时,应通过暂停,把同步媒体里所有预录的视频内容扩展音频描述提供出来。在网页和移动应用中,界面风格应保持一致,在多个界面重复出现的元素应该采用一致的布局。在同一网站中,不同类型的网页均应提供用户在网页中所处位置的信息。</w:t>
            </w:r>
          </w:p>
        </w:tc>
      </w:tr>
      <w:tr w14:paraId="71A500D1">
        <w:tblPrEx>
          <w:tblCellMar>
            <w:top w:w="0" w:type="dxa"/>
            <w:left w:w="108" w:type="dxa"/>
            <w:bottom w:w="0" w:type="dxa"/>
            <w:right w:w="108" w:type="dxa"/>
          </w:tblCellMar>
        </w:tblPrEx>
        <w:trPr>
          <w:trHeight w:val="78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1C95">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70</w:t>
            </w:r>
          </w:p>
        </w:tc>
        <w:tc>
          <w:tcPr>
            <w:tcW w:w="1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C5540">
            <w:pPr>
              <w:widowControl/>
              <w:ind w:firstLine="0" w:firstLineChars="0"/>
              <w:textAlignment w:val="center"/>
              <w:rPr>
                <w:rFonts w:hint="eastAsia" w:cs="宋体"/>
                <w:color w:val="000000"/>
                <w:sz w:val="20"/>
                <w:szCs w:val="20"/>
              </w:rPr>
            </w:pPr>
            <w:r>
              <w:rPr>
                <w:rFonts w:hint="eastAsia" w:cs="宋体"/>
                <w:color w:val="000000"/>
                <w:kern w:val="0"/>
                <w:sz w:val="20"/>
                <w:szCs w:val="20"/>
                <w:lang w:bidi="ar"/>
              </w:rPr>
              <w:t>“一网统管”行业监管升级改造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FF38E9">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“一网统管”大屏可视化升级改造—新增可视化大屏专题分析—人防码综合分析可视化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7397B">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展示包括人防码类型分析、人防码区域分析、人防码张贴量分析、人防码数量趋势分析等。</w:t>
            </w:r>
          </w:p>
        </w:tc>
      </w:tr>
      <w:tr w14:paraId="0C89325A">
        <w:tblPrEx>
          <w:tblCellMar>
            <w:top w:w="0" w:type="dxa"/>
            <w:left w:w="108" w:type="dxa"/>
            <w:bottom w:w="0" w:type="dxa"/>
            <w:right w:w="108" w:type="dxa"/>
          </w:tblCellMar>
        </w:tblPrEx>
        <w:trPr>
          <w:trHeight w:val="78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49A9">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71</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FBC6D">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0C67E1">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“一网统管”大屏可视化升级改造—新增可视化大屏专题分析—市直属人防工程专题应用场景分析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FA0B1D">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实现市直属人防工程监督检查、物联感知、设施设备、智能预警等多维度分析。</w:t>
            </w:r>
          </w:p>
        </w:tc>
      </w:tr>
      <w:tr w14:paraId="551290AA">
        <w:tblPrEx>
          <w:tblCellMar>
            <w:top w:w="0" w:type="dxa"/>
            <w:left w:w="108" w:type="dxa"/>
            <w:bottom w:w="0" w:type="dxa"/>
            <w:right w:w="108" w:type="dxa"/>
          </w:tblCellMar>
        </w:tblPrEx>
        <w:trPr>
          <w:trHeight w:val="78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5FDF">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72</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391D4">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6E451D">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“一网统管”大屏可视化升级改造—新增可视化大屏专题分析—人防工程企业信用数据分析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5E2DDF">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针对人防工程的企业建立信用指标体系，从业企业包括施工承包商、民防设计单位、民防监理单位、防护设备企业、防护检测单位、审图机构、防化企业等。并对在建工程企业依据信用数据实现信用等级监测。</w:t>
            </w:r>
          </w:p>
        </w:tc>
      </w:tr>
      <w:tr w14:paraId="2962304B">
        <w:tblPrEx>
          <w:tblCellMar>
            <w:top w:w="0" w:type="dxa"/>
            <w:left w:w="108" w:type="dxa"/>
            <w:bottom w:w="0" w:type="dxa"/>
            <w:right w:w="108" w:type="dxa"/>
          </w:tblCellMar>
        </w:tblPrEx>
        <w:trPr>
          <w:trHeight w:val="78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9CA1">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73</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9A249">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137D2C">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“一网统管”大屏可视化升级改造—新增可视化大屏专题分析—人防工程防汛防台可视化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B5D2BC">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展示包括防台防汛专刊、值班专刊、处置专刊等。支持按照时间、区域等进行自定义筛选，支持可视化图表配置。</w:t>
            </w:r>
          </w:p>
        </w:tc>
      </w:tr>
      <w:tr w14:paraId="093EC62C">
        <w:tblPrEx>
          <w:tblCellMar>
            <w:top w:w="0" w:type="dxa"/>
            <w:left w:w="108" w:type="dxa"/>
            <w:bottom w:w="0" w:type="dxa"/>
            <w:right w:w="108" w:type="dxa"/>
          </w:tblCellMar>
        </w:tblPrEx>
        <w:trPr>
          <w:trHeight w:val="78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775A">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74</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683D2">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DBFE1C">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“一网统管”大屏可视化升级改造—可视化大屏个性化配置—大屏展示权限配置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B04473">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按照市级人防工程“一网统管”大屏可视化展示指标内容，面向16个区的人防工程“一网统管”大屏可视化展示内容进行个性化权限配置。</w:t>
            </w:r>
          </w:p>
        </w:tc>
      </w:tr>
      <w:tr w14:paraId="2D909E95">
        <w:tblPrEx>
          <w:tblCellMar>
            <w:top w:w="0" w:type="dxa"/>
            <w:left w:w="108" w:type="dxa"/>
            <w:bottom w:w="0" w:type="dxa"/>
            <w:right w:w="108" w:type="dxa"/>
          </w:tblCellMar>
        </w:tblPrEx>
        <w:trPr>
          <w:trHeight w:val="78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4A05">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75</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578F6">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6E325D">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“一网统管”大屏可视化升级改造—可视化大屏个性化配置—预警关联一键跳转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8EC7B8">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针对“一网统管”大屏可视化推送的给预警数据关联业务系统，按照预警来源对接各类预警源端系统，支持大屏一键跳转业务系统进行预警处置，大屏同步跟踪处置状态。</w:t>
            </w:r>
          </w:p>
        </w:tc>
      </w:tr>
      <w:tr w14:paraId="5D5AF85B">
        <w:tblPrEx>
          <w:tblCellMar>
            <w:top w:w="0" w:type="dxa"/>
            <w:left w:w="108" w:type="dxa"/>
            <w:bottom w:w="0" w:type="dxa"/>
            <w:right w:w="108" w:type="dxa"/>
          </w:tblCellMar>
        </w:tblPrEx>
        <w:trPr>
          <w:trHeight w:val="78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9193">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76</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D66E8">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E19618">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“一网统管”大屏可视化升级改造—可视化大屏个性化配置—大屏指标管理—指标分组管理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7D8F5">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支持将创建的指标大屏进行分组归类，实现指标分组创建、统计、编辑、删除和列表预览展示。</w:t>
            </w:r>
          </w:p>
        </w:tc>
      </w:tr>
      <w:tr w14:paraId="4810458E">
        <w:tblPrEx>
          <w:tblCellMar>
            <w:top w:w="0" w:type="dxa"/>
            <w:left w:w="108" w:type="dxa"/>
            <w:bottom w:w="0" w:type="dxa"/>
            <w:right w:w="108" w:type="dxa"/>
          </w:tblCellMar>
        </w:tblPrEx>
        <w:trPr>
          <w:trHeight w:val="78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B499">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77</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AF685">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03B35">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“一网统管”大屏可视化升级改造—可视化大屏个性化配置—大屏指标管理—场景大屏目录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FC59DE">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在已建的国动业务场景可视化分组目录下，分主题、分专题进行业务大屏可视化的创建，并提供国动场景列表展示、单个大屏预览、编辑修改、移动、发布、删除、共享等管理。</w:t>
            </w:r>
          </w:p>
        </w:tc>
      </w:tr>
      <w:tr w14:paraId="087E7615">
        <w:tblPrEx>
          <w:tblCellMar>
            <w:top w:w="0" w:type="dxa"/>
            <w:left w:w="108" w:type="dxa"/>
            <w:bottom w:w="0" w:type="dxa"/>
            <w:right w:w="108" w:type="dxa"/>
          </w:tblCellMar>
        </w:tblPrEx>
        <w:trPr>
          <w:trHeight w:val="78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435C">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78</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9F40B">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418BF">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“一网统管”大屏可视化升级改造—可视化大屏个性化配置—大屏指标管理—大屏指标自定义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362D8F">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提供大屏指标自定义功能，能够根据“一网统管”不同的场景进行大屏可视化指标的搭建。</w:t>
            </w:r>
          </w:p>
        </w:tc>
      </w:tr>
      <w:tr w14:paraId="068C993C">
        <w:tblPrEx>
          <w:tblCellMar>
            <w:top w:w="0" w:type="dxa"/>
            <w:left w:w="108" w:type="dxa"/>
            <w:bottom w:w="0" w:type="dxa"/>
            <w:right w:w="108" w:type="dxa"/>
          </w:tblCellMar>
        </w:tblPrEx>
        <w:trPr>
          <w:trHeight w:val="78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C0C4">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79</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427CC">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79C0C">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“一网统管”大屏可视化升级改造—可视化大屏个性化配置—大屏指标管理—大屏指标隐藏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8A3128">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支持在现有大屏的基础上，可根据展示需求对大屏中展示条目进行下载、隐藏等功能，并可一键将数据展示隐藏内容进行恢复。</w:t>
            </w:r>
          </w:p>
        </w:tc>
      </w:tr>
      <w:tr w14:paraId="6BDE7B1C">
        <w:tblPrEx>
          <w:tblCellMar>
            <w:top w:w="0" w:type="dxa"/>
            <w:left w:w="108" w:type="dxa"/>
            <w:bottom w:w="0" w:type="dxa"/>
            <w:right w:w="108" w:type="dxa"/>
          </w:tblCellMar>
        </w:tblPrEx>
        <w:trPr>
          <w:trHeight w:val="51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5422">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80</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B852D">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20ED9D">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人防工程物联感知监管子系统—物联感知数据接入与管理—物联感知数据存量接入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48407B">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实现市直属工程各类物联感知历史数据的存量接入。</w:t>
            </w:r>
          </w:p>
        </w:tc>
      </w:tr>
      <w:tr w14:paraId="51B0DF7E">
        <w:tblPrEx>
          <w:tblCellMar>
            <w:top w:w="0" w:type="dxa"/>
            <w:left w:w="108" w:type="dxa"/>
            <w:bottom w:w="0" w:type="dxa"/>
            <w:right w:w="108" w:type="dxa"/>
          </w:tblCellMar>
        </w:tblPrEx>
        <w:trPr>
          <w:trHeight w:val="51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DC81">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81</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91A1B">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BB3E1A">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人防工程物联感知监管子系统—物联感知数据接入与管理—物联感知实时数据接入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4A1914">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实现基于消息队列，接入物联感知实时流数据，实现人防工程物联感知状态的实时监测。</w:t>
            </w:r>
          </w:p>
        </w:tc>
      </w:tr>
      <w:tr w14:paraId="7879413E">
        <w:tblPrEx>
          <w:tblCellMar>
            <w:top w:w="0" w:type="dxa"/>
            <w:left w:w="108" w:type="dxa"/>
            <w:bottom w:w="0" w:type="dxa"/>
            <w:right w:w="108" w:type="dxa"/>
          </w:tblCellMar>
        </w:tblPrEx>
        <w:trPr>
          <w:trHeight w:val="51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CCB4">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82</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BC665">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C6E297">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人防工程物联感知监管子系统—物联感知数据接入与管理—物联感知设备数据接入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EF82C9">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实现人防工程各类物联感知设备的基础数据进行接入</w:t>
            </w:r>
          </w:p>
        </w:tc>
      </w:tr>
      <w:tr w14:paraId="27BC691F">
        <w:tblPrEx>
          <w:tblCellMar>
            <w:top w:w="0" w:type="dxa"/>
            <w:left w:w="108" w:type="dxa"/>
            <w:bottom w:w="0" w:type="dxa"/>
            <w:right w:w="108" w:type="dxa"/>
          </w:tblCellMar>
        </w:tblPrEx>
        <w:trPr>
          <w:trHeight w:val="51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DAC3">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83</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D52C4">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D0093">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人防工程物联感知监管子系统—物联感知数据接入与管理—物联感知预警事件接入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BB2EF">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实现物联感知预警事件数据进行统一接入</w:t>
            </w:r>
          </w:p>
        </w:tc>
      </w:tr>
      <w:tr w14:paraId="62EF0024">
        <w:tblPrEx>
          <w:tblCellMar>
            <w:top w:w="0" w:type="dxa"/>
            <w:left w:w="108" w:type="dxa"/>
            <w:bottom w:w="0" w:type="dxa"/>
            <w:right w:w="108" w:type="dxa"/>
          </w:tblCellMar>
        </w:tblPrEx>
        <w:trPr>
          <w:trHeight w:val="76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8C21">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84</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17481">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7F3A48">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人防工程物联感知监管子系统—物联感知数据接入与管理—物联感知数据链路监测-物联感知数据源链路管理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EB963A">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物联感知数据源链路管理针对不同人防工程物联感知设备进行数据接入链路配置管理，支持数据源列表式展现，展现物联感知数据来源的同步状态、最后同步时间、同步类型等，支持对物联感知数据源进行修改和删除操作。</w:t>
            </w:r>
          </w:p>
        </w:tc>
      </w:tr>
      <w:tr w14:paraId="1FD3BCA9">
        <w:tblPrEx>
          <w:tblCellMar>
            <w:top w:w="0" w:type="dxa"/>
            <w:left w:w="108" w:type="dxa"/>
            <w:bottom w:w="0" w:type="dxa"/>
            <w:right w:w="108" w:type="dxa"/>
          </w:tblCellMar>
        </w:tblPrEx>
        <w:trPr>
          <w:trHeight w:val="82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5374">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85</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F2B9B">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F8C86D">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人防工程物联感知监管子系统—物联感知数据接入与管理—物联感知数据链路监测-物联感知数据链路同步配置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2DE5BF">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物联感知链路同步配置，支持全量同步和增量同步，增量同步包括自增ID和日期型字段进行增量判断，支持按照日期和自增ID的最大值开展同步数据的计算，也支持计算在相对时间范围的数据进行局部全量同步。</w:t>
            </w:r>
          </w:p>
        </w:tc>
      </w:tr>
      <w:tr w14:paraId="4BA44734">
        <w:tblPrEx>
          <w:tblCellMar>
            <w:top w:w="0" w:type="dxa"/>
            <w:left w:w="108" w:type="dxa"/>
            <w:bottom w:w="0" w:type="dxa"/>
            <w:right w:w="108" w:type="dxa"/>
          </w:tblCellMar>
        </w:tblPrEx>
        <w:trPr>
          <w:trHeight w:val="82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6501">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86</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4A763">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B65A80">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人防工程物联感知监管子系统—物联感知数据接入与管理—物联感知数据链路监测-物联感知数据链路任务监测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BAE306">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对于各类物联感知数据链路任务，提供可视化任务监测功能，支持任务创建、同步管理、任务调度等。支持任务检索、任务统计、同步记录和异常任务监测。</w:t>
            </w:r>
          </w:p>
        </w:tc>
      </w:tr>
      <w:tr w14:paraId="20A6AF94">
        <w:tblPrEx>
          <w:tblCellMar>
            <w:top w:w="0" w:type="dxa"/>
            <w:left w:w="108" w:type="dxa"/>
            <w:bottom w:w="0" w:type="dxa"/>
            <w:right w:w="108" w:type="dxa"/>
          </w:tblCellMar>
        </w:tblPrEx>
        <w:trPr>
          <w:trHeight w:val="82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70A0">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87</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9A90E">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274C89">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人防工程物联感知监管子系统—物联感知数据接入与管理—物联感知设备管理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B0046D">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为用户提供了全面的传感设备管理功能。通过传感设备列表，用户可以一目了然地了解所有传感设备的状态和信息。</w:t>
            </w:r>
          </w:p>
        </w:tc>
      </w:tr>
      <w:tr w14:paraId="4E7DDA89">
        <w:tblPrEx>
          <w:tblCellMar>
            <w:top w:w="0" w:type="dxa"/>
            <w:left w:w="108" w:type="dxa"/>
            <w:bottom w:w="0" w:type="dxa"/>
            <w:right w:w="108" w:type="dxa"/>
          </w:tblCellMar>
        </w:tblPrEx>
        <w:trPr>
          <w:trHeight w:val="82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7C69">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88</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39219">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B8ADA3">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人防工程物联感知监管子系统—物联感知数据接入与管理—物联感知数据管理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EA16EA">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提供物联感知数据台账功能，能够查看各类物联感知的历史数据和实时数据。物联感知数据包括物联感知数据类型、地点信息、物联感知设备状态、最新预警信息、历史数据等，历史数据支持自定义筛选、支持数据导出。</w:t>
            </w:r>
          </w:p>
        </w:tc>
      </w:tr>
      <w:tr w14:paraId="571DF6C5">
        <w:tblPrEx>
          <w:tblCellMar>
            <w:top w:w="0" w:type="dxa"/>
            <w:left w:w="108" w:type="dxa"/>
            <w:bottom w:w="0" w:type="dxa"/>
            <w:right w:w="108" w:type="dxa"/>
          </w:tblCellMar>
        </w:tblPrEx>
        <w:trPr>
          <w:trHeight w:val="82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9734">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89</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69323">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77791C">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人防工程物联感知监管子系统—物联感知数据接入与管理—物联预警台账管理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6E0761">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支持预警数据管理，包括物联感知预警，支持预警类别分类查看，支持预警标签，支持自定义筛选。</w:t>
            </w:r>
          </w:p>
        </w:tc>
      </w:tr>
      <w:tr w14:paraId="32D65EAB">
        <w:tblPrEx>
          <w:tblCellMar>
            <w:top w:w="0" w:type="dxa"/>
            <w:left w:w="108" w:type="dxa"/>
            <w:bottom w:w="0" w:type="dxa"/>
            <w:right w:w="108" w:type="dxa"/>
          </w:tblCellMar>
        </w:tblPrEx>
        <w:trPr>
          <w:trHeight w:val="82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B7F0">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90</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D39E5">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2D984">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人防工程物联感知监管子系统—物联感知预警监测—预警监测配置—预警规则设置和修改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EF4FD4">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物联感知预警基于各类物联感知设备预警阈值进行预警推送，可以进行预警规则设置和修改。支持对物联感知预警的推送规则进行配置，可设置重复告警的推送频次；支持设置推送的单位，针对频发告警和市级预警监测模型进行任务专项处置推送；针对重大物联感知预警进行应急处置推送，推送至市级处置平台进行应急处置。</w:t>
            </w:r>
          </w:p>
        </w:tc>
      </w:tr>
      <w:tr w14:paraId="794FD05C">
        <w:tblPrEx>
          <w:tblCellMar>
            <w:top w:w="0" w:type="dxa"/>
            <w:left w:w="108" w:type="dxa"/>
            <w:bottom w:w="0" w:type="dxa"/>
            <w:right w:w="108" w:type="dxa"/>
          </w:tblCellMar>
        </w:tblPrEx>
        <w:trPr>
          <w:trHeight w:val="82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9A43">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91</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CFBDD">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575356">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人防工程物联感知监管子系统—物联感知预警监测—预警监测配置—预警处置措施设置和修改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24BC13">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基于预警数据频次等可以进一步设置预警规则，一个预警频次阈值可被用于不同的预警规则。预警规则还可设置适用场景包括：监测时段（每天、工作日、非工作日）、监测时间（结合监测时段精确到分钟区间）、平急状态（平时阶段、平急转换阶段、应急阶段）、去重规则（时间区间去重、告警次数去重）、告警消息文字表达式等。</w:t>
            </w:r>
          </w:p>
        </w:tc>
      </w:tr>
      <w:tr w14:paraId="3E931B3F">
        <w:tblPrEx>
          <w:tblCellMar>
            <w:top w:w="0" w:type="dxa"/>
            <w:left w:w="108" w:type="dxa"/>
            <w:bottom w:w="0" w:type="dxa"/>
            <w:right w:w="108" w:type="dxa"/>
          </w:tblCellMar>
        </w:tblPrEx>
        <w:trPr>
          <w:trHeight w:val="82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40C1">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92</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5D759">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9343C1">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人防工程物联感知监管子系统—物联感知预警监测—预警异常监测—多次重复报警未处置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9B1576">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支持设置多次重复报警未处置阈值，针对不同类型的物联感知预警进行动态监管。</w:t>
            </w:r>
          </w:p>
        </w:tc>
      </w:tr>
      <w:tr w14:paraId="17280CA1">
        <w:tblPrEx>
          <w:tblCellMar>
            <w:top w:w="0" w:type="dxa"/>
            <w:left w:w="108" w:type="dxa"/>
            <w:bottom w:w="0" w:type="dxa"/>
            <w:right w:w="108" w:type="dxa"/>
          </w:tblCellMar>
        </w:tblPrEx>
        <w:trPr>
          <w:trHeight w:val="82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0F63">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93</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01817">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48FD00">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人防工程物联感知监管子系统—物联感知预警监测—预警异常监测—同一设备厂家误报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1ED040">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支持对同一类型的物联设备的各类厂家的误报数据进行比对，针对不同类型同一厂家的误报数据进行比对，综合发现误报较高的厂家进行监管。</w:t>
            </w:r>
          </w:p>
        </w:tc>
      </w:tr>
      <w:tr w14:paraId="56F8F268">
        <w:tblPrEx>
          <w:tblCellMar>
            <w:top w:w="0" w:type="dxa"/>
            <w:left w:w="108" w:type="dxa"/>
            <w:bottom w:w="0" w:type="dxa"/>
            <w:right w:w="108" w:type="dxa"/>
          </w:tblCellMar>
        </w:tblPrEx>
        <w:trPr>
          <w:trHeight w:val="82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4D2F">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94</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2F5F8">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F2E22A">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人防工程物联感知监管子系统—物联感知预警监测—预警异常监测—同一批次设备误报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DB5280">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支持从历史数据中挖掘同一批次的的误报数据，支持从月度、季度、年度等时间维度进行误报比对分析。</w:t>
            </w:r>
          </w:p>
        </w:tc>
      </w:tr>
      <w:tr w14:paraId="3BE946E0">
        <w:tblPrEx>
          <w:tblCellMar>
            <w:top w:w="0" w:type="dxa"/>
            <w:left w:w="108" w:type="dxa"/>
            <w:bottom w:w="0" w:type="dxa"/>
            <w:right w:w="108" w:type="dxa"/>
          </w:tblCellMar>
        </w:tblPrEx>
        <w:trPr>
          <w:trHeight w:val="82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6E01">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95</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0D742">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EECFF9">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人防工程物联感知监管子系统—物联感知预警监测—预警异常监测—同一工程频繁报警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AD6ADB">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支持分析同一工程的误报数据以及同类工程的误报数据，从而对工程物联误报进行数据监管。</w:t>
            </w:r>
          </w:p>
        </w:tc>
      </w:tr>
      <w:tr w14:paraId="5DE46BC6">
        <w:tblPrEx>
          <w:tblCellMar>
            <w:top w:w="0" w:type="dxa"/>
            <w:left w:w="108" w:type="dxa"/>
            <w:bottom w:w="0" w:type="dxa"/>
            <w:right w:w="108" w:type="dxa"/>
          </w:tblCellMar>
        </w:tblPrEx>
        <w:trPr>
          <w:trHeight w:val="82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C7D4">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96</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F02A8">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E5BD93">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人防工程物联感知监管子系统—物联感知预警监测—预警异常监测—同一承建单位误报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A68260">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支持对物联感知预警数据从工厂承建单位维度进行统计分析，挖掘由于工程施工问题导致的误报。</w:t>
            </w:r>
          </w:p>
        </w:tc>
      </w:tr>
      <w:tr w14:paraId="6E21D7D2">
        <w:tblPrEx>
          <w:tblCellMar>
            <w:top w:w="0" w:type="dxa"/>
            <w:left w:w="108" w:type="dxa"/>
            <w:bottom w:w="0" w:type="dxa"/>
            <w:right w:w="108" w:type="dxa"/>
          </w:tblCellMar>
        </w:tblPrEx>
        <w:trPr>
          <w:trHeight w:val="82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6F09">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97</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B7984">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B1C792">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人防工程物联感知监管子系统—物联感知预警监测—预警异常监测—物联设备保养监测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420760">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支持对物联设备的全生命周期建立监测模型，针对物联设备的使用时常和有效时常进行监管。</w:t>
            </w:r>
          </w:p>
        </w:tc>
      </w:tr>
      <w:tr w14:paraId="27DCBE83">
        <w:tblPrEx>
          <w:tblCellMar>
            <w:top w:w="0" w:type="dxa"/>
            <w:left w:w="108" w:type="dxa"/>
            <w:bottom w:w="0" w:type="dxa"/>
            <w:right w:w="108" w:type="dxa"/>
          </w:tblCellMar>
        </w:tblPrEx>
        <w:trPr>
          <w:trHeight w:val="82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8D59">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98</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8651F">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CC55A4">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人防工程物联感知监管子系统—物联感知预警监测—预警异常监测—应急状态监测模型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FE4654">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支持建立应急状态物联感知设备监测模型，针对应急状态新增的物联设备数据进行实时监测。</w:t>
            </w:r>
          </w:p>
        </w:tc>
      </w:tr>
      <w:tr w14:paraId="03359004">
        <w:tblPrEx>
          <w:tblCellMar>
            <w:top w:w="0" w:type="dxa"/>
            <w:left w:w="108" w:type="dxa"/>
            <w:bottom w:w="0" w:type="dxa"/>
            <w:right w:w="108" w:type="dxa"/>
          </w:tblCellMar>
        </w:tblPrEx>
        <w:trPr>
          <w:trHeight w:val="82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71B1">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99</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785CA">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848534">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人防工程物联感知监管子系统—物联感知预警监测—物联预警推送及跟踪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6E82C">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支持对物联感知预警建立分级推送策略，针对市级预警、有条件接入区级物联网预警数据实行监测、跟踪，对接人防码平台，获取物联预警推送处置任务状态。</w:t>
            </w:r>
          </w:p>
        </w:tc>
      </w:tr>
      <w:tr w14:paraId="1A87F7DB">
        <w:tblPrEx>
          <w:tblCellMar>
            <w:top w:w="0" w:type="dxa"/>
            <w:left w:w="108" w:type="dxa"/>
            <w:bottom w:w="0" w:type="dxa"/>
            <w:right w:w="108" w:type="dxa"/>
          </w:tblCellMar>
        </w:tblPrEx>
        <w:trPr>
          <w:trHeight w:val="82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AD7D">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100</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66B8D">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8FA95">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人防工程物联感知监管子系统—物联感知监管应用—市级物联感知专项指标配置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B1F16E">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依托物联监测数据和物联预警数据，重点关注市直属工程物联感知预警指标和处置情况。</w:t>
            </w:r>
          </w:p>
        </w:tc>
      </w:tr>
      <w:tr w14:paraId="40D9BD48">
        <w:tblPrEx>
          <w:tblCellMar>
            <w:top w:w="0" w:type="dxa"/>
            <w:left w:w="108" w:type="dxa"/>
            <w:bottom w:w="0" w:type="dxa"/>
            <w:right w:w="108" w:type="dxa"/>
          </w:tblCellMar>
        </w:tblPrEx>
        <w:trPr>
          <w:trHeight w:val="82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5FCD">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101</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4341C">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FDABC">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人防工程物联感知监管子系统—物联感知监管应用—区级物联感知专项指标配置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37197E">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针对有条件接入的区级物联网数据，支持配置区级物联感知专项指标，按照市级物联感知监管要求，配置各区物联感知监管数据。</w:t>
            </w:r>
          </w:p>
        </w:tc>
      </w:tr>
      <w:tr w14:paraId="7B225E61">
        <w:tblPrEx>
          <w:tblCellMar>
            <w:top w:w="0" w:type="dxa"/>
            <w:left w:w="108" w:type="dxa"/>
            <w:bottom w:w="0" w:type="dxa"/>
            <w:right w:w="108" w:type="dxa"/>
          </w:tblCellMar>
        </w:tblPrEx>
        <w:trPr>
          <w:trHeight w:val="82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4A12">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102</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9895B">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E7226E">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人防工程物联感知监管子系统—物联感知监管应用—物联监管动态检查表单—检查阶段配置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209C8C">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支持指将人防工程的监督检查过程划分为不同的阶段，如设计阶段、施工阶段、竣工验收阶段、维护保养阶段等。支持配置各类检查监督。</w:t>
            </w:r>
          </w:p>
        </w:tc>
      </w:tr>
      <w:tr w14:paraId="06CD4577">
        <w:tblPrEx>
          <w:tblCellMar>
            <w:top w:w="0" w:type="dxa"/>
            <w:left w:w="108" w:type="dxa"/>
            <w:bottom w:w="0" w:type="dxa"/>
            <w:right w:w="108" w:type="dxa"/>
          </w:tblCellMar>
        </w:tblPrEx>
        <w:trPr>
          <w:trHeight w:val="82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9FEE">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103</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34E7E">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671A4E">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人防工程物联感知监管子系统—物联感知监管应用—物联监管动态检查表单—检查方向自定义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68F6B4">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支持在每个检查阶段中，需要重点关注和检查的方向或方面。提供预设的检查方向选项。</w:t>
            </w:r>
          </w:p>
        </w:tc>
      </w:tr>
      <w:tr w14:paraId="266E6D5E">
        <w:tblPrEx>
          <w:tblCellMar>
            <w:top w:w="0" w:type="dxa"/>
            <w:left w:w="108" w:type="dxa"/>
            <w:bottom w:w="0" w:type="dxa"/>
            <w:right w:w="108" w:type="dxa"/>
          </w:tblCellMar>
        </w:tblPrEx>
        <w:trPr>
          <w:trHeight w:val="82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9331">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104</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171AD">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C2E081">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人防工程物联感知监管子系统—物联感知监管应用—物联监管动态检查表单—检查依据自定义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2B6280">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支持用于判断人防工程是否符合相关标准和要求的具体规定或文件。按照人防工程建设依据、立项方案等进行检查依据配置。</w:t>
            </w:r>
          </w:p>
        </w:tc>
      </w:tr>
      <w:tr w14:paraId="0947105A">
        <w:tblPrEx>
          <w:tblCellMar>
            <w:top w:w="0" w:type="dxa"/>
            <w:left w:w="108" w:type="dxa"/>
            <w:bottom w:w="0" w:type="dxa"/>
            <w:right w:w="108" w:type="dxa"/>
          </w:tblCellMar>
        </w:tblPrEx>
        <w:trPr>
          <w:trHeight w:val="82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70B5">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105</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ECD7B">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1DE018">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人防工程物联感知监管子系统—物联感知监管应用—物联监管动态检查表单—检查问题描述自定义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ACEA9">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支持对在监督检查过程中发现的问题进行具体、准确的描述。提供问题描述的模板或框架，包括问题发生的位置、时间、现象、影响等要素。</w:t>
            </w:r>
          </w:p>
        </w:tc>
      </w:tr>
      <w:tr w14:paraId="0729C02F">
        <w:tblPrEx>
          <w:tblCellMar>
            <w:top w:w="0" w:type="dxa"/>
            <w:left w:w="108" w:type="dxa"/>
            <w:bottom w:w="0" w:type="dxa"/>
            <w:right w:w="108" w:type="dxa"/>
          </w:tblCellMar>
        </w:tblPrEx>
        <w:trPr>
          <w:trHeight w:val="82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EFD7">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106</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FC5DA">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B5FF42">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人防工程物联感知监管子系统—物联感知监管应用—物联监管动态检查表单—责任单位自定义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0E5041">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支持对人防工程中出现的问题负有直接责任或管理责任的单位或个人。列出可能涉及的责任单位选项。</w:t>
            </w:r>
          </w:p>
        </w:tc>
      </w:tr>
      <w:tr w14:paraId="353041E4">
        <w:tblPrEx>
          <w:tblCellMar>
            <w:top w:w="0" w:type="dxa"/>
            <w:left w:w="108" w:type="dxa"/>
            <w:bottom w:w="0" w:type="dxa"/>
            <w:right w:w="108" w:type="dxa"/>
          </w:tblCellMar>
        </w:tblPrEx>
        <w:trPr>
          <w:trHeight w:val="82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7435">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107</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D0ABF">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11EDAC">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人防工程物联感知监管子系统—物联感知监管应用—物联监管动态检查表单—检查问题类型自定义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D7A05F">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支持对在监督检查过程中发现的问题进行分类和标识。列出常见的问题类型选项。</w:t>
            </w:r>
          </w:p>
        </w:tc>
      </w:tr>
      <w:tr w14:paraId="5B989DEA">
        <w:tblPrEx>
          <w:tblCellMar>
            <w:top w:w="0" w:type="dxa"/>
            <w:left w:w="108" w:type="dxa"/>
            <w:bottom w:w="0" w:type="dxa"/>
            <w:right w:w="108" w:type="dxa"/>
          </w:tblCellMar>
        </w:tblPrEx>
        <w:trPr>
          <w:trHeight w:val="82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9874">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108</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15EB3">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AADA96">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人防工程物联感知监管子系统—物联感知监管应用—物联监管动态检查表单—问题措施自定义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907300">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支持在监督检查过程中发现的问题所采取的整改或纠正措施。提供问题措施的模板或建议方案。</w:t>
            </w:r>
          </w:p>
        </w:tc>
      </w:tr>
      <w:tr w14:paraId="21548EB3">
        <w:tblPrEx>
          <w:tblCellMar>
            <w:top w:w="0" w:type="dxa"/>
            <w:left w:w="108" w:type="dxa"/>
            <w:bottom w:w="0" w:type="dxa"/>
            <w:right w:w="108" w:type="dxa"/>
          </w:tblCellMar>
        </w:tblPrEx>
        <w:trPr>
          <w:trHeight w:val="82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0ED3">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109</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86EF2">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651FE5">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人防工程物联感知监管子系统—物联感知监管应用—人防工程监管运营报告—运营报告得分分析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854FD5">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支持对全市各区国动办的所有运营报告填报情况进行分析，并进行赋分，从而了解运营报告的总体填报质量，针对性的进行决策。</w:t>
            </w:r>
          </w:p>
        </w:tc>
      </w:tr>
      <w:tr w14:paraId="79A10F0F">
        <w:tblPrEx>
          <w:tblCellMar>
            <w:top w:w="0" w:type="dxa"/>
            <w:left w:w="108" w:type="dxa"/>
            <w:bottom w:w="0" w:type="dxa"/>
            <w:right w:w="108" w:type="dxa"/>
          </w:tblCellMar>
        </w:tblPrEx>
        <w:trPr>
          <w:trHeight w:val="82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3E39">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110</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6D856">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C64DF5">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人防工程物联感知监管子系统—物联感知监管应用—人防工程监管运营报告—分类查询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98D5D">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支持运营报告得分的分类查询。</w:t>
            </w:r>
          </w:p>
        </w:tc>
      </w:tr>
      <w:tr w14:paraId="1A556D2C">
        <w:tblPrEx>
          <w:tblCellMar>
            <w:top w:w="0" w:type="dxa"/>
            <w:left w:w="108" w:type="dxa"/>
            <w:bottom w:w="0" w:type="dxa"/>
            <w:right w:w="108" w:type="dxa"/>
          </w:tblCellMar>
        </w:tblPrEx>
        <w:trPr>
          <w:trHeight w:val="82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B068">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111</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B464B">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049425">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人防工程物联感知监管子系统—物联感知监管应用—人防工程监管运营报告—自动化数据填充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B434AC">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支持自动化数据填充，根据运营报告的统计计算逻辑进行自动的数据计算，并进行运营报告的数据填充。</w:t>
            </w:r>
          </w:p>
        </w:tc>
      </w:tr>
      <w:tr w14:paraId="2BAFA7C1">
        <w:tblPrEx>
          <w:tblCellMar>
            <w:top w:w="0" w:type="dxa"/>
            <w:left w:w="108" w:type="dxa"/>
            <w:bottom w:w="0" w:type="dxa"/>
            <w:right w:w="108" w:type="dxa"/>
          </w:tblCellMar>
        </w:tblPrEx>
        <w:trPr>
          <w:trHeight w:val="82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FDC9">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112</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9E8D3">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85DA92">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人防工程物联感知监管子系统—物联感知监管应用—人防工程监管运营报告—运营报告下发/报告下载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1EC672">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支持运营报告下发，支持对各类运营报告下发到区级，运营报告下发支持附件。</w:t>
            </w:r>
          </w:p>
        </w:tc>
      </w:tr>
      <w:tr w14:paraId="6B9EEAFB">
        <w:tblPrEx>
          <w:tblCellMar>
            <w:top w:w="0" w:type="dxa"/>
            <w:left w:w="108" w:type="dxa"/>
            <w:bottom w:w="0" w:type="dxa"/>
            <w:right w:w="108" w:type="dxa"/>
          </w:tblCellMar>
        </w:tblPrEx>
        <w:trPr>
          <w:trHeight w:val="82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74A1">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113</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DEBFA">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32A518">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人防工程物联感知监管子系统—物联感知监管可视化—人防工程级物联感知类数据展示—平时阶段运行状态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F46A4C">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支持在常态状态下的工程物联数据展示，显示各单元的综合运行情况。</w:t>
            </w:r>
          </w:p>
        </w:tc>
      </w:tr>
      <w:tr w14:paraId="3A77CF51">
        <w:tblPrEx>
          <w:tblCellMar>
            <w:top w:w="0" w:type="dxa"/>
            <w:left w:w="108" w:type="dxa"/>
            <w:bottom w:w="0" w:type="dxa"/>
            <w:right w:w="108" w:type="dxa"/>
          </w:tblCellMar>
        </w:tblPrEx>
        <w:trPr>
          <w:trHeight w:val="82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854F">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114</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C17B7">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D6B687">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人防工程物联感知监管子系统—物联感知监管可视化—人防工程级物联感知类数据展示—应急状态阶段运行状态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2513DD">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支持对应急状态下的工程物联数据展示，显示各单元的综合运行情况。</w:t>
            </w:r>
          </w:p>
        </w:tc>
      </w:tr>
      <w:tr w14:paraId="21AAC03E">
        <w:tblPrEx>
          <w:tblCellMar>
            <w:top w:w="0" w:type="dxa"/>
            <w:left w:w="108" w:type="dxa"/>
            <w:bottom w:w="0" w:type="dxa"/>
            <w:right w:w="108" w:type="dxa"/>
          </w:tblCellMar>
        </w:tblPrEx>
        <w:trPr>
          <w:trHeight w:val="82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1B96">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115</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41611">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4F7C71">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人防工程物联感知监管子系统—物联感知监管可视化—人防工程级物联感知类数据展示-各防护单元数据总览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65D50B">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支持按单元和传感器的维度展示为分界，实时展示每个单元内外的传感器数据和预警信息。</w:t>
            </w:r>
          </w:p>
        </w:tc>
      </w:tr>
      <w:tr w14:paraId="275E72B1">
        <w:tblPrEx>
          <w:tblCellMar>
            <w:top w:w="0" w:type="dxa"/>
            <w:left w:w="108" w:type="dxa"/>
            <w:bottom w:w="0" w:type="dxa"/>
            <w:right w:w="108" w:type="dxa"/>
          </w:tblCellMar>
        </w:tblPrEx>
        <w:trPr>
          <w:trHeight w:val="82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DBAC">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116</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12475">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E08794">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人防工程物联感知监管子系统—物联感知监管可视化—市直属人防工程平时管养工作分析—人防工程运行状态分析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BE01F9">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支撑基于人防工程上报的隐患和预警数据，以及多维度多层级的评估规则</w:t>
            </w:r>
          </w:p>
        </w:tc>
      </w:tr>
      <w:tr w14:paraId="1396066B">
        <w:tblPrEx>
          <w:tblCellMar>
            <w:top w:w="0" w:type="dxa"/>
            <w:left w:w="108" w:type="dxa"/>
            <w:bottom w:w="0" w:type="dxa"/>
            <w:right w:w="108" w:type="dxa"/>
          </w:tblCellMar>
        </w:tblPrEx>
        <w:trPr>
          <w:trHeight w:val="76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C3D8">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117</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0239E">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31878">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人防工程物联感知监管子系统—物联感知监管可视化—市直属人防工程平时管养工作分析-各人防工程专项—通风系统性能分析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AEBD03">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基于人防工程上报的应急状态风机系统平时开启数据、油尘滤网性能数据、滤毒器性能数据和风速风压数据，配合通风性能等级指标。</w:t>
            </w:r>
          </w:p>
        </w:tc>
      </w:tr>
      <w:tr w14:paraId="5BB753A6">
        <w:tblPrEx>
          <w:tblCellMar>
            <w:top w:w="0" w:type="dxa"/>
            <w:left w:w="108" w:type="dxa"/>
            <w:bottom w:w="0" w:type="dxa"/>
            <w:right w:w="108" w:type="dxa"/>
          </w:tblCellMar>
        </w:tblPrEx>
        <w:trPr>
          <w:trHeight w:val="76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E0AD">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118</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85AB0">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FBE5EF">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人防工程物联感知监管子系统—物联感知监管可视化—市直属人防工程平时管养工作分析-各人防工程专项防护设备—防护门专项防护设备性能分析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B0CD0E">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基于人防工程上报的防护门的倾斜角度数据，给各人防工程的防护门的性能进行单扇评分和工程低分防护门数量占比评分。</w:t>
            </w:r>
          </w:p>
        </w:tc>
      </w:tr>
      <w:tr w14:paraId="60163DBA">
        <w:tblPrEx>
          <w:tblCellMar>
            <w:top w:w="0" w:type="dxa"/>
            <w:left w:w="108" w:type="dxa"/>
            <w:bottom w:w="0" w:type="dxa"/>
            <w:right w:w="108" w:type="dxa"/>
          </w:tblCellMar>
        </w:tblPrEx>
        <w:trPr>
          <w:trHeight w:val="76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DEAC">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119</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B3E61">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D4FD88">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人防工程物联感知监管子系统—物联感知监管可视化—市直属人防工程平时管养工作分析—各民防工程除湿工作执行情况分析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0F32A2">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基于人防工程上报的日常湿度数据，以及上海的实际天气情况，对各人防工程的内部平均湿度和人防设备最佳环境温度进行对比和评分。</w:t>
            </w:r>
          </w:p>
        </w:tc>
      </w:tr>
      <w:tr w14:paraId="790BE00D">
        <w:tblPrEx>
          <w:tblCellMar>
            <w:top w:w="0" w:type="dxa"/>
            <w:left w:w="108" w:type="dxa"/>
            <w:bottom w:w="0" w:type="dxa"/>
            <w:right w:w="108" w:type="dxa"/>
          </w:tblCellMar>
        </w:tblPrEx>
        <w:trPr>
          <w:trHeight w:val="76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F058">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120</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34FC3">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47C5FB">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人防工程物联感知监管子系统—物联感知监管可视化—市直属人防工程平时管养工作分析-各民防工程专用房管理工作情况分析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82F55D">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后台定期自动运行分析。基于人防工程上报的人防专用房的人员入侵报警的频次，对各人防工程的专用房管理工作进行评分。</w:t>
            </w:r>
          </w:p>
        </w:tc>
      </w:tr>
      <w:tr w14:paraId="5112CA5F">
        <w:tblPrEx>
          <w:tblCellMar>
            <w:top w:w="0" w:type="dxa"/>
            <w:left w:w="108" w:type="dxa"/>
            <w:bottom w:w="0" w:type="dxa"/>
            <w:right w:w="108" w:type="dxa"/>
          </w:tblCellMar>
        </w:tblPrEx>
        <w:trPr>
          <w:trHeight w:val="76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48CF">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121</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9113B">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D6CAB8">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人防工程物联感知监管子系统—物联感知监管可视化—市直属人防工程安全和防护效能智能监管工作分析—隐患多发性民防工程多维度分析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2BB6DB">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支持按照隐患和预警事件的发生数量进行排名，按行政区划、工程等级、用途、建成时间进行多维度筛选或统计的报表。</w:t>
            </w:r>
          </w:p>
        </w:tc>
      </w:tr>
      <w:tr w14:paraId="2E2CB638">
        <w:tblPrEx>
          <w:tblCellMar>
            <w:top w:w="0" w:type="dxa"/>
            <w:left w:w="108" w:type="dxa"/>
            <w:bottom w:w="0" w:type="dxa"/>
            <w:right w:w="108" w:type="dxa"/>
          </w:tblCellMar>
        </w:tblPrEx>
        <w:trPr>
          <w:trHeight w:val="76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7E0B">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122</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25C8A">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D4ED3B">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人防工程物联感知监管子系统—物联感知监管可视化—市直属人防工程安全和防护效能智能监管工作分析—通风系统性能不佳的民防工程分析统计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9DB4C5">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基于各人防工程专项-通风系统性能研判的结果数据，按照评分从低到高排名，按行政区划、工程等级、用途、建成时间进行多维度筛选或统计的报表。</w:t>
            </w:r>
          </w:p>
        </w:tc>
      </w:tr>
      <w:tr w14:paraId="6EAF3CC0">
        <w:tblPrEx>
          <w:tblCellMar>
            <w:top w:w="0" w:type="dxa"/>
            <w:left w:w="108" w:type="dxa"/>
            <w:bottom w:w="0" w:type="dxa"/>
            <w:right w:w="108" w:type="dxa"/>
          </w:tblCellMar>
        </w:tblPrEx>
        <w:trPr>
          <w:trHeight w:val="76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5538">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123</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CF4C6">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F728F1">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人防工程物联感知监管子系统—物联感知监管可视化—市直属人防工程安全和防护效能智能监管工作分析—防护门性能不佳的民防工程分析统计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EA9DAA">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基于各民防工程专项-防护门性能研判的结果数据，按照评分从低到高排名，按行政区划、工程等级、用途、建成时间进行多维度筛选或统计的报表。</w:t>
            </w:r>
          </w:p>
        </w:tc>
      </w:tr>
      <w:tr w14:paraId="383A479E">
        <w:tblPrEx>
          <w:tblCellMar>
            <w:top w:w="0" w:type="dxa"/>
            <w:left w:w="108" w:type="dxa"/>
            <w:bottom w:w="0" w:type="dxa"/>
            <w:right w:w="108" w:type="dxa"/>
          </w:tblCellMar>
        </w:tblPrEx>
        <w:trPr>
          <w:trHeight w:val="76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8237">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124</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26A8C">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5E4C4A">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人防工程物联感知监管子系统—物联感知监管可视化—市直属人防工程安全和防护效能智能监管工作分析—除湿工作不佳的民防工程分析统计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154AD">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基于各人防工程除湿工作研判的结果数据，按照评分从低到高排名，按行政区划、工程等级、用途、建成时间进行多维度筛选或统计的报表。</w:t>
            </w:r>
          </w:p>
        </w:tc>
      </w:tr>
      <w:tr w14:paraId="156BA2C8">
        <w:tblPrEx>
          <w:tblCellMar>
            <w:top w:w="0" w:type="dxa"/>
            <w:left w:w="108" w:type="dxa"/>
            <w:bottom w:w="0" w:type="dxa"/>
            <w:right w:w="108" w:type="dxa"/>
          </w:tblCellMar>
        </w:tblPrEx>
        <w:trPr>
          <w:trHeight w:val="76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38EA">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125</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62B8C">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8158B9">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人防工程物联感知监管子系统—物联感知监管可视化—市直属人防工程安全和防护效能智能监管工作分析—专用房管理工作不佳的民防工程分析统计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359A42">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基于各人防工程专用房管理研判的结果数据，按照评分从低到高排名，按行政区划、工程等级、用途、建成时间进行多维度筛选或统计的报表。</w:t>
            </w:r>
          </w:p>
        </w:tc>
      </w:tr>
      <w:tr w14:paraId="22BD7B84">
        <w:tblPrEx>
          <w:tblCellMar>
            <w:top w:w="0" w:type="dxa"/>
            <w:left w:w="108" w:type="dxa"/>
            <w:bottom w:w="0" w:type="dxa"/>
            <w:right w:w="108" w:type="dxa"/>
          </w:tblCellMar>
        </w:tblPrEx>
        <w:trPr>
          <w:trHeight w:val="76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8D19">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126</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1EBFE">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076F66">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人防工程物联感知监管子系统—物联感知监管可视化—市直属人防工程安全和防护效能智能监管工作分析—人防工程的隐患和预警事件处置时效分析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498D45">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从隐患和预警种类、处置用时、超时/逾期时长、发生地点、管理单位发生数量进行多维度的钻取和数据汇总分析。</w:t>
            </w:r>
          </w:p>
        </w:tc>
      </w:tr>
      <w:tr w14:paraId="7A0CCBCC">
        <w:tblPrEx>
          <w:tblCellMar>
            <w:top w:w="0" w:type="dxa"/>
            <w:left w:w="108" w:type="dxa"/>
            <w:bottom w:w="0" w:type="dxa"/>
            <w:right w:w="108" w:type="dxa"/>
          </w:tblCellMar>
        </w:tblPrEx>
        <w:trPr>
          <w:trHeight w:val="76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3C8F">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127</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83056">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E32CC8">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人防工程物联感知监管子系统—物联感知监管可视化—市直属人防工程安全和防护效能智能监管工作分析—设施设备抢修工作报表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39D0D2">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从抢修维修的设施设备种类、发生地点、工程建成时间、管理单位、发生数量进行多维度的钻取和数据汇总分析。</w:t>
            </w:r>
          </w:p>
        </w:tc>
      </w:tr>
      <w:tr w14:paraId="1DBDA770">
        <w:tblPrEx>
          <w:tblCellMar>
            <w:top w:w="0" w:type="dxa"/>
            <w:left w:w="108" w:type="dxa"/>
            <w:bottom w:w="0" w:type="dxa"/>
            <w:right w:w="108" w:type="dxa"/>
          </w:tblCellMar>
        </w:tblPrEx>
        <w:trPr>
          <w:trHeight w:val="76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4433">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128</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C325E">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7511D2">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人防工程物联感知监管子系统—物联感知监管可视化—市直属人防工程安全和防护效能智能监管工作分析—人防工程应急状态进排风系统运行时长月报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397EAE">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汇总人防工程每月应急状态进排风系统运行时间的月报表，可以筛选未达到管理要求的。</w:t>
            </w:r>
          </w:p>
        </w:tc>
      </w:tr>
      <w:tr w14:paraId="5F63C18A">
        <w:tblPrEx>
          <w:tblCellMar>
            <w:top w:w="0" w:type="dxa"/>
            <w:left w:w="108" w:type="dxa"/>
            <w:bottom w:w="0" w:type="dxa"/>
            <w:right w:w="108" w:type="dxa"/>
          </w:tblCellMar>
        </w:tblPrEx>
        <w:trPr>
          <w:trHeight w:val="7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3F71">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129</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79E07">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46536D">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市直属人防工程监管“一张图”应用—市直属人防工程二维层面绘制—层面数据接入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FB511E">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实现对采集人防工程层面构图数据接入</w:t>
            </w:r>
          </w:p>
        </w:tc>
      </w:tr>
      <w:tr w14:paraId="7F082E37">
        <w:tblPrEx>
          <w:tblCellMar>
            <w:top w:w="0" w:type="dxa"/>
            <w:left w:w="108" w:type="dxa"/>
            <w:bottom w:w="0" w:type="dxa"/>
            <w:right w:w="108" w:type="dxa"/>
          </w:tblCellMar>
        </w:tblPrEx>
        <w:trPr>
          <w:trHeight w:val="102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BC94">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130</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32D63">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B134F0">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市直属人防工程监管“一张图”应用—市直属人防工程二维层面绘制—层面结构构建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48AC57">
            <w:pPr>
              <w:widowControl/>
              <w:ind w:firstLine="400"/>
              <w:jc w:val="left"/>
              <w:textAlignment w:val="center"/>
              <w:rPr>
                <w:rFonts w:hint="eastAsia" w:cs="宋体"/>
                <w:color w:val="000000"/>
                <w:sz w:val="20"/>
                <w:szCs w:val="20"/>
              </w:rPr>
            </w:pPr>
            <w:r>
              <w:rPr>
                <w:rFonts w:hint="eastAsia" w:cs="宋体"/>
                <w:color w:val="000000"/>
                <w:kern w:val="0"/>
                <w:sz w:val="20"/>
                <w:szCs w:val="20"/>
                <w:lang w:val="en-US" w:eastAsia="zh-CN" w:bidi="ar"/>
              </w:rPr>
              <w:t>针对</w:t>
            </w:r>
            <w:r>
              <w:rPr>
                <w:rFonts w:hint="eastAsia" w:cs="宋体"/>
                <w:color w:val="000000"/>
                <w:kern w:val="0"/>
                <w:sz w:val="20"/>
                <w:szCs w:val="20"/>
                <w:lang w:bidi="ar"/>
              </w:rPr>
              <w:t>对市直属14个人防工程，涉及的约30个层面。层面结构构建主要针对人防工程框架结构、屋面结构等进行建模。</w:t>
            </w:r>
          </w:p>
        </w:tc>
      </w:tr>
      <w:tr w14:paraId="0C0D350A">
        <w:tblPrEx>
          <w:tblCellMar>
            <w:top w:w="0" w:type="dxa"/>
            <w:left w:w="108" w:type="dxa"/>
            <w:bottom w:w="0" w:type="dxa"/>
            <w:right w:w="108" w:type="dxa"/>
          </w:tblCellMar>
        </w:tblPrEx>
        <w:trPr>
          <w:trHeight w:val="7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DF0D">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131</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6F3AE">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2F1AB9">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市直属人防工程监管“一张图”应用—市直属人防工程二维层面绘制—层面布局绘制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21141C">
            <w:pPr>
              <w:widowControl/>
              <w:ind w:firstLine="400"/>
              <w:jc w:val="left"/>
              <w:textAlignment w:val="center"/>
              <w:rPr>
                <w:rFonts w:hint="eastAsia" w:cs="宋体"/>
                <w:color w:val="000000"/>
                <w:sz w:val="20"/>
                <w:szCs w:val="20"/>
              </w:rPr>
            </w:pPr>
            <w:r>
              <w:rPr>
                <w:rFonts w:hint="eastAsia" w:cs="宋体"/>
                <w:color w:val="000000"/>
                <w:kern w:val="0"/>
                <w:sz w:val="20"/>
                <w:szCs w:val="20"/>
                <w:lang w:val="en-US" w:eastAsia="zh-CN" w:bidi="ar"/>
              </w:rPr>
              <w:t>针对</w:t>
            </w:r>
            <w:r>
              <w:rPr>
                <w:rFonts w:hint="eastAsia" w:cs="宋体"/>
                <w:color w:val="000000"/>
                <w:kern w:val="0"/>
                <w:sz w:val="20"/>
                <w:szCs w:val="20"/>
                <w:lang w:bidi="ar"/>
              </w:rPr>
              <w:t>对市直属14个人防工程，涉及的约30个层面。基于层面结构绘制层面布局。</w:t>
            </w:r>
          </w:p>
        </w:tc>
      </w:tr>
      <w:tr w14:paraId="0FF38F5B">
        <w:tblPrEx>
          <w:tblCellMar>
            <w:top w:w="0" w:type="dxa"/>
            <w:left w:w="108" w:type="dxa"/>
            <w:bottom w:w="0" w:type="dxa"/>
            <w:right w:w="108" w:type="dxa"/>
          </w:tblCellMar>
        </w:tblPrEx>
        <w:trPr>
          <w:trHeight w:val="76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8351">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132</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2AD97">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1A5ABC">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市直属人防工程监管“一张图”应用—市直属人防工程二维层面绘制—层面模型渲染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17D92E">
            <w:pPr>
              <w:widowControl/>
              <w:ind w:firstLine="400"/>
              <w:jc w:val="left"/>
              <w:textAlignment w:val="center"/>
              <w:rPr>
                <w:rFonts w:hint="eastAsia" w:cs="宋体"/>
                <w:color w:val="000000"/>
                <w:sz w:val="20"/>
                <w:szCs w:val="20"/>
              </w:rPr>
            </w:pPr>
            <w:r>
              <w:rPr>
                <w:rFonts w:hint="eastAsia" w:cs="宋体"/>
                <w:color w:val="000000"/>
                <w:kern w:val="0"/>
                <w:sz w:val="20"/>
                <w:szCs w:val="20"/>
                <w:lang w:val="en-US" w:eastAsia="zh-CN" w:bidi="ar"/>
              </w:rPr>
              <w:t>针对</w:t>
            </w:r>
            <w:r>
              <w:rPr>
                <w:rFonts w:hint="eastAsia" w:cs="宋体"/>
                <w:color w:val="000000"/>
                <w:kern w:val="0"/>
                <w:sz w:val="20"/>
                <w:szCs w:val="20"/>
                <w:lang w:bidi="ar"/>
              </w:rPr>
              <w:t>对市直属14个人防工程，涉及的约30个层面。基于层面结构构建和布局绘制进行层面图层的渲染。</w:t>
            </w:r>
          </w:p>
        </w:tc>
      </w:tr>
      <w:tr w14:paraId="42AE77DB">
        <w:tblPrEx>
          <w:tblCellMar>
            <w:top w:w="0" w:type="dxa"/>
            <w:left w:w="108" w:type="dxa"/>
            <w:bottom w:w="0" w:type="dxa"/>
            <w:right w:w="108" w:type="dxa"/>
          </w:tblCellMar>
        </w:tblPrEx>
        <w:trPr>
          <w:trHeight w:val="76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6124">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133</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E55B4">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BAB9FF">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市直属人防工程监管“一张图”应用—市直属人防工程二维层面绘制—层面模型轻量化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7E6326">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针对对对市直属14个人防工程，涉及的约30个层面。针对二维层面模型进行轻量化处理，以便各类场景快速调用。</w:t>
            </w:r>
          </w:p>
        </w:tc>
      </w:tr>
      <w:tr w14:paraId="387C713B">
        <w:tblPrEx>
          <w:tblCellMar>
            <w:top w:w="0" w:type="dxa"/>
            <w:left w:w="108" w:type="dxa"/>
            <w:bottom w:w="0" w:type="dxa"/>
            <w:right w:w="108" w:type="dxa"/>
          </w:tblCellMar>
        </w:tblPrEx>
        <w:trPr>
          <w:trHeight w:val="7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D83D">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134</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C612C">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B893A1">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市直属人防工程监管“一张图”应用—市直属人防工程设施设备标注—静态数据标注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043545">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实现对人防工程静态数据进行标注。</w:t>
            </w:r>
          </w:p>
        </w:tc>
      </w:tr>
      <w:tr w14:paraId="544F6EA1">
        <w:tblPrEx>
          <w:tblCellMar>
            <w:top w:w="0" w:type="dxa"/>
            <w:left w:w="108" w:type="dxa"/>
            <w:bottom w:w="0" w:type="dxa"/>
            <w:right w:w="108" w:type="dxa"/>
          </w:tblCellMar>
        </w:tblPrEx>
        <w:trPr>
          <w:trHeight w:val="7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C41F">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135</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08B04">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21E34E">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市直属人防工程监管“一张图”应用—市直属人防工程设施设备标注—动态数据标注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1A12C9">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实现对人防工程动态数据进行标注。</w:t>
            </w:r>
          </w:p>
        </w:tc>
      </w:tr>
      <w:tr w14:paraId="40BF19F0">
        <w:tblPrEx>
          <w:tblCellMar>
            <w:top w:w="0" w:type="dxa"/>
            <w:left w:w="108" w:type="dxa"/>
            <w:bottom w:w="0" w:type="dxa"/>
            <w:right w:w="108" w:type="dxa"/>
          </w:tblCellMar>
        </w:tblPrEx>
        <w:trPr>
          <w:trHeight w:val="7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E684">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136</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F0921">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CE1326">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市直属人防工程监管“一张图”应用—市直属人防工程设施设备标注—实景数据标注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C182AD">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实现对实景数据标注，基于人防工程现场采集照片信息进行标注。</w:t>
            </w:r>
          </w:p>
        </w:tc>
      </w:tr>
      <w:tr w14:paraId="657BBF58">
        <w:tblPrEx>
          <w:tblCellMar>
            <w:top w:w="0" w:type="dxa"/>
            <w:left w:w="108" w:type="dxa"/>
            <w:bottom w:w="0" w:type="dxa"/>
            <w:right w:w="108" w:type="dxa"/>
          </w:tblCellMar>
        </w:tblPrEx>
        <w:trPr>
          <w:trHeight w:val="7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E606">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137</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F6C37">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F75384">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市直属人防工程监管“一张图”应用—人防工程二维地图应用（共性应用）—模型操作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4BF17A">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支持对二维地下空间平面模型进行放大、缩小、位置检索、测距、标记等功能，支持放大后对模型进行拖拽，支持选中模型区域进行查看。</w:t>
            </w:r>
          </w:p>
        </w:tc>
      </w:tr>
      <w:tr w14:paraId="3946851F">
        <w:tblPrEx>
          <w:tblCellMar>
            <w:top w:w="0" w:type="dxa"/>
            <w:left w:w="108" w:type="dxa"/>
            <w:bottom w:w="0" w:type="dxa"/>
            <w:right w:w="108" w:type="dxa"/>
          </w:tblCellMar>
        </w:tblPrEx>
        <w:trPr>
          <w:trHeight w:val="7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6DB5">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138</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59151">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E4C516">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市直属人防工程监管“一张图”应用—人防工程二维地图应用（共性应用）—楼层切换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69D614">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提供二维地下空间平台模型提供地下楼层切换功能，展示所有可查看层面，例如B1、B2、B3等，点击各自楼层进行查看各层层面布局和区域信息等。</w:t>
            </w:r>
          </w:p>
        </w:tc>
      </w:tr>
      <w:tr w14:paraId="6A28F374">
        <w:tblPrEx>
          <w:tblCellMar>
            <w:top w:w="0" w:type="dxa"/>
            <w:left w:w="108" w:type="dxa"/>
            <w:bottom w:w="0" w:type="dxa"/>
            <w:right w:w="108" w:type="dxa"/>
          </w:tblCellMar>
        </w:tblPrEx>
        <w:trPr>
          <w:trHeight w:val="7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D784">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139</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1DA50">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511676">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市直属人防工程监管“一张图”应用—人防工程二维地图应用（共性应用）—设施设备查看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D7A02F">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支持在二维地下空间图层上查看地下工程设施设备信息，设施设备信息包括设施设备的名称、型号、安装日期、最后保养时间等，支持关联监督检查和物联感知事件，可以查看所有事件记录和详情。</w:t>
            </w:r>
          </w:p>
        </w:tc>
      </w:tr>
      <w:tr w14:paraId="20EA7497">
        <w:tblPrEx>
          <w:tblCellMar>
            <w:top w:w="0" w:type="dxa"/>
            <w:left w:w="108" w:type="dxa"/>
            <w:bottom w:w="0" w:type="dxa"/>
            <w:right w:w="108" w:type="dxa"/>
          </w:tblCellMar>
        </w:tblPrEx>
        <w:trPr>
          <w:trHeight w:val="7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94D0">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140</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9CA13">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3A24EC">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市直属人防工程监管“一张图”应用—人防工程二维地图应用（共性应用）—物联预警详情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772C3">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支持基于人防工程二维模型图层查看物联预警信息，物联预警信息精确到楼层和层面位置，可一键跳转到物联设备预警的位置，针对视频事件预警，支持调阅视频图像查看。</w:t>
            </w:r>
          </w:p>
        </w:tc>
      </w:tr>
      <w:tr w14:paraId="6B20F031">
        <w:tblPrEx>
          <w:tblCellMar>
            <w:top w:w="0" w:type="dxa"/>
            <w:left w:w="108" w:type="dxa"/>
            <w:bottom w:w="0" w:type="dxa"/>
            <w:right w:w="108" w:type="dxa"/>
          </w:tblCellMar>
        </w:tblPrEx>
        <w:trPr>
          <w:trHeight w:val="7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7ED9">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141</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A3B4D">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61C51A">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市直属人防工程监管“一张图”应用—人防工程二维地图应用（共性应用）—二维/三维切换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D33EE7">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支持人防工程地下空间的二维和三维的切换，三维主要是人防工程BIM模型，支持在二维地图上一键切换到本人防工程的三维BIM模型。</w:t>
            </w:r>
          </w:p>
        </w:tc>
      </w:tr>
      <w:tr w14:paraId="541C5BBE">
        <w:tblPrEx>
          <w:tblCellMar>
            <w:top w:w="0" w:type="dxa"/>
            <w:left w:w="108" w:type="dxa"/>
            <w:bottom w:w="0" w:type="dxa"/>
            <w:right w:w="108" w:type="dxa"/>
          </w:tblCellMar>
        </w:tblPrEx>
        <w:trPr>
          <w:trHeight w:val="7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848E">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142</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9260E">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05EB90">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市直属人防工程监管“一张图”应用—人防工程二维地图应用（共性应用）—最优路径推荐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2AAC2E">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基于人防工程二维地图，为监督检查提供最优路线推荐，最优路径推荐根据人防工程内部道路。</w:t>
            </w:r>
          </w:p>
        </w:tc>
      </w:tr>
      <w:tr w14:paraId="584C5CF6">
        <w:tblPrEx>
          <w:tblCellMar>
            <w:top w:w="0" w:type="dxa"/>
            <w:left w:w="108" w:type="dxa"/>
            <w:bottom w:w="0" w:type="dxa"/>
            <w:right w:w="108" w:type="dxa"/>
          </w:tblCellMar>
        </w:tblPrEx>
        <w:trPr>
          <w:trHeight w:val="7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6B9A">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143</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4DC24">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BE522F">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市直属人防工程监管“一张图”应用—人防工程二维地图应用（共性应用）—最短路径推荐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638759">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提供工程内容道路导航，以最快的时间达到预警地点。最短路径推荐基于人防工程内部道路，按照行走速度进行最短路径推荐。</w:t>
            </w:r>
          </w:p>
        </w:tc>
      </w:tr>
      <w:tr w14:paraId="14B49A49">
        <w:tblPrEx>
          <w:tblCellMar>
            <w:top w:w="0" w:type="dxa"/>
            <w:left w:w="108" w:type="dxa"/>
            <w:bottom w:w="0" w:type="dxa"/>
            <w:right w:w="108" w:type="dxa"/>
          </w:tblCellMar>
        </w:tblPrEx>
        <w:trPr>
          <w:trHeight w:val="7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3E7C">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144</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4CADA">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6E2B1">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市直属人防工程监管“一张图”应用—人防工程二维地图应用（共性应用）—应急状态模拟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D35D72">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支持人防工程二维层面的应急状态模拟，基于应急预案，在层面布局中显示可使用工程区域、可容纳人员数量等。</w:t>
            </w:r>
          </w:p>
        </w:tc>
      </w:tr>
      <w:tr w14:paraId="4BA9045D">
        <w:tblPrEx>
          <w:tblCellMar>
            <w:top w:w="0" w:type="dxa"/>
            <w:left w:w="108" w:type="dxa"/>
            <w:bottom w:w="0" w:type="dxa"/>
            <w:right w:w="108" w:type="dxa"/>
          </w:tblCellMar>
        </w:tblPrEx>
        <w:trPr>
          <w:trHeight w:val="7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9B03">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145</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AC0A4">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FD4BD7">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市直属人防工程监管“一张图”应用—人防工程二维地图应用（共性应用）—图层筛选查询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533F1D">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支持各类人防工程的各类图层筛选查询，包括基础信息图层、预警事件图层、物联感知图层、应急状态图层等。</w:t>
            </w:r>
          </w:p>
        </w:tc>
      </w:tr>
      <w:tr w14:paraId="4929EB1E">
        <w:tblPrEx>
          <w:tblCellMar>
            <w:top w:w="0" w:type="dxa"/>
            <w:left w:w="108" w:type="dxa"/>
            <w:bottom w:w="0" w:type="dxa"/>
            <w:right w:w="108" w:type="dxa"/>
          </w:tblCellMar>
        </w:tblPrEx>
        <w:trPr>
          <w:trHeight w:val="7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52E8">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146</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E5012">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A28873">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市直属人防工程监管“一张图”应用—人防工程二维地图应用（共性应用）—空气综合质量热力图层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59694F">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支持空气质量热力图层展示，按照空气质量等级进行颜色热力展示。</w:t>
            </w:r>
          </w:p>
        </w:tc>
      </w:tr>
      <w:tr w14:paraId="72BF42D1">
        <w:tblPrEx>
          <w:tblCellMar>
            <w:top w:w="0" w:type="dxa"/>
            <w:left w:w="108" w:type="dxa"/>
            <w:bottom w:w="0" w:type="dxa"/>
            <w:right w:w="108" w:type="dxa"/>
          </w:tblCellMar>
        </w:tblPrEx>
        <w:trPr>
          <w:trHeight w:val="7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BB8F">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147</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138BD">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6A71B2">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市直属人防工程监管“一张图”应用—人防工程二维地图应用（共性应用）—水浸热力图层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9874A3">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支持水浸热力图层展示，基于水浸传感器数据和层面模型，对各类区域的水浸情况进行颜色标注，针对有水浸的区域显示红色，并标注水浸信息。</w:t>
            </w:r>
          </w:p>
        </w:tc>
      </w:tr>
      <w:tr w14:paraId="217E5069">
        <w:tblPrEx>
          <w:tblCellMar>
            <w:top w:w="0" w:type="dxa"/>
            <w:left w:w="108" w:type="dxa"/>
            <w:bottom w:w="0" w:type="dxa"/>
            <w:right w:w="108" w:type="dxa"/>
          </w:tblCellMar>
        </w:tblPrEx>
        <w:trPr>
          <w:trHeight w:val="7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2F35">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148</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6D1A8">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05E5DD">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市直属人防工程监管“一张图”应用—人防工程二维地图应用（共性应用）—微压差等级展示图层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4FFBDF">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支持微压差展示图层，基于微压差传感器数据，结合人防工程层面模型，对每个区域的微压差进行可视化展示。</w:t>
            </w:r>
          </w:p>
        </w:tc>
      </w:tr>
      <w:tr w14:paraId="0FBE8EF4">
        <w:tblPrEx>
          <w:tblCellMar>
            <w:top w:w="0" w:type="dxa"/>
            <w:left w:w="108" w:type="dxa"/>
            <w:bottom w:w="0" w:type="dxa"/>
            <w:right w:w="108" w:type="dxa"/>
          </w:tblCellMar>
        </w:tblPrEx>
        <w:trPr>
          <w:trHeight w:val="7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A10B">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149</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1CEC0">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59EF3">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市直属人防工程监管“一张图”应用—人防工程二维地图应用（共性应用）—温度热力图层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3FAC36">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支持温度热力图层，基于温度传感器数据，结合人防工程层面模型，对人防工程各区域的温度情况进行可视化展示。</w:t>
            </w:r>
          </w:p>
        </w:tc>
      </w:tr>
      <w:tr w14:paraId="5B5FB83D">
        <w:tblPrEx>
          <w:tblCellMar>
            <w:top w:w="0" w:type="dxa"/>
            <w:left w:w="108" w:type="dxa"/>
            <w:bottom w:w="0" w:type="dxa"/>
            <w:right w:w="108" w:type="dxa"/>
          </w:tblCellMar>
        </w:tblPrEx>
        <w:trPr>
          <w:trHeight w:val="7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D985">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150</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B839B">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A4A54E">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市直属人防工程监管“一张图”应用—人防工程二维地图应用（共性应用）—湿度热力图层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666C91">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支持湿度热力图层，基于湿度传感器，结合人防工程层面模型，对人防工程各区域的湿度情况进行可视化展示。</w:t>
            </w:r>
          </w:p>
        </w:tc>
      </w:tr>
      <w:tr w14:paraId="71EEB9D1">
        <w:tblPrEx>
          <w:tblCellMar>
            <w:top w:w="0" w:type="dxa"/>
            <w:left w:w="108" w:type="dxa"/>
            <w:bottom w:w="0" w:type="dxa"/>
            <w:right w:w="108" w:type="dxa"/>
          </w:tblCellMar>
        </w:tblPrEx>
        <w:trPr>
          <w:trHeight w:val="7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D388">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151</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EB3F0">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29EC7C">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市直属人防工程监管“一张图”应用—人防工程二维地图应用（共性应用）—易燃易爆气体浓度图层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6229EA">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支持易燃易爆气体浓度图层，结合人防工程层面模型，对人防工程各区域的易燃易爆气体浓度情况进行可视化展示。</w:t>
            </w:r>
          </w:p>
        </w:tc>
      </w:tr>
      <w:tr w14:paraId="5F69504B">
        <w:tblPrEx>
          <w:tblCellMar>
            <w:top w:w="0" w:type="dxa"/>
            <w:left w:w="108" w:type="dxa"/>
            <w:bottom w:w="0" w:type="dxa"/>
            <w:right w:w="108" w:type="dxa"/>
          </w:tblCellMar>
        </w:tblPrEx>
        <w:trPr>
          <w:trHeight w:val="7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6F86">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152</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25766">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FB74D">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市直属人防工程监管“一张图”应用—人防工程二维地图应用（共性应用）—毒害气体浓度图层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D7D73E">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支持毒害气体浓度图层，结合人防工程层面模型，对人防工程各区域的毒害气体浓度情况进行可视化展示，可设定毒害气体浓度的显示等级。</w:t>
            </w:r>
          </w:p>
        </w:tc>
      </w:tr>
      <w:tr w14:paraId="14D0FB09">
        <w:tblPrEx>
          <w:tblCellMar>
            <w:top w:w="0" w:type="dxa"/>
            <w:left w:w="108" w:type="dxa"/>
            <w:bottom w:w="0" w:type="dxa"/>
            <w:right w:w="108" w:type="dxa"/>
          </w:tblCellMar>
        </w:tblPrEx>
        <w:trPr>
          <w:trHeight w:val="7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473A">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153</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B712E">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C1EE3D">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市直属人防工程监管“一张图”应用—人防工程二维地图应用（共性应用）—应急水箱水位展示图层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DD9605">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支持应急水箱水位可视化展示，针对应急状态设定水箱水位可视化展示图层，切换到应急状态基于水位传感器数据实时监测水箱水位情况。</w:t>
            </w:r>
          </w:p>
        </w:tc>
      </w:tr>
      <w:tr w14:paraId="63EC2504">
        <w:tblPrEx>
          <w:tblCellMar>
            <w:top w:w="0" w:type="dxa"/>
            <w:left w:w="108" w:type="dxa"/>
            <w:bottom w:w="0" w:type="dxa"/>
            <w:right w:w="108" w:type="dxa"/>
          </w:tblCellMar>
        </w:tblPrEx>
        <w:trPr>
          <w:trHeight w:val="7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4B1B">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154</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D258B">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56446E">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市直属人防工程监管“一张图”应用—人防工程图层应用服务—PC端图层服务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8BD80C">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支持通过PC端查询某一市直属人防工程的监管地图详情，能够通过图层切换实现人防工程不同层面的详情查看。</w:t>
            </w:r>
          </w:p>
        </w:tc>
      </w:tr>
      <w:tr w14:paraId="7B2526B4">
        <w:tblPrEx>
          <w:tblCellMar>
            <w:top w:w="0" w:type="dxa"/>
            <w:left w:w="108" w:type="dxa"/>
            <w:bottom w:w="0" w:type="dxa"/>
            <w:right w:w="108" w:type="dxa"/>
          </w:tblCellMar>
        </w:tblPrEx>
        <w:trPr>
          <w:trHeight w:val="7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F06D">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155</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88DF7">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8B2D0D">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市直属人防工程监管“一张图”应用—人防工程图层应用服务—移动端图层服务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4C09EA">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支持通过移动端查询某一市直属人防工程的监管地图详情，可通过图层切换实现人防工程不同层面的详情查看。</w:t>
            </w:r>
          </w:p>
        </w:tc>
      </w:tr>
      <w:tr w14:paraId="4BAEBA50">
        <w:tblPrEx>
          <w:tblCellMar>
            <w:top w:w="0" w:type="dxa"/>
            <w:left w:w="108" w:type="dxa"/>
            <w:bottom w:w="0" w:type="dxa"/>
            <w:right w:w="108" w:type="dxa"/>
          </w:tblCellMar>
        </w:tblPrEx>
        <w:trPr>
          <w:trHeight w:val="7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B948">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156</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2DC97">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C57A1A">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市直属人防工程监管“一张图”应用—人防工程图层应用服务—赋能一张图服务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EA0AD7">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能够将市直属人防工程监管地图封装为接口向一张图进行赋能，一张图将其纳入底层丰富图层支撑引擎，增强一张图的综合能力。</w:t>
            </w:r>
          </w:p>
        </w:tc>
      </w:tr>
      <w:tr w14:paraId="04AE7B18">
        <w:tblPrEx>
          <w:tblCellMar>
            <w:top w:w="0" w:type="dxa"/>
            <w:left w:w="108" w:type="dxa"/>
            <w:bottom w:w="0" w:type="dxa"/>
            <w:right w:w="108" w:type="dxa"/>
          </w:tblCellMar>
        </w:tblPrEx>
        <w:trPr>
          <w:trHeight w:val="7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7199">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157</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8A896">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F87091">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公用人防工程防汛防台专项应用—防汛防台总览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0317A3">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支持按照时间段统计分析防汛防台的通知总数量、各风险等级类型占比、同环比分析、各区预案上传情况、灾情上报数量、各区演练数据汇总。</w:t>
            </w:r>
          </w:p>
        </w:tc>
      </w:tr>
      <w:tr w14:paraId="15D65C9F">
        <w:tblPrEx>
          <w:tblCellMar>
            <w:top w:w="0" w:type="dxa"/>
            <w:left w:w="108" w:type="dxa"/>
            <w:bottom w:w="0" w:type="dxa"/>
            <w:right w:w="108" w:type="dxa"/>
          </w:tblCellMar>
        </w:tblPrEx>
        <w:trPr>
          <w:trHeight w:val="76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0802">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158</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108B9">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B86C6F">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公用人防工程防汛防台专项应用—市级防汛防台通知接收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24C640">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对接防汛指挥指挥部防汛防台平台，市国动办能够实时接收防汛指挥部下发的红、橙、黄、蓝不同等级防汛防台事件信息，实时了解当前各类防汛防台要求。同时，接收汛情灾情各类应急预警推送信息。</w:t>
            </w:r>
          </w:p>
        </w:tc>
      </w:tr>
      <w:tr w14:paraId="261D2142">
        <w:tblPrEx>
          <w:tblCellMar>
            <w:top w:w="0" w:type="dxa"/>
            <w:left w:w="108" w:type="dxa"/>
            <w:bottom w:w="0" w:type="dxa"/>
            <w:right w:w="108" w:type="dxa"/>
          </w:tblCellMar>
        </w:tblPrEx>
        <w:trPr>
          <w:trHeight w:val="7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EB4B">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159</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E8A8A">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C5B85C">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公用人防工程防汛防台专项应用—防汛防台通知信息关联—风险等级关联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3E6E5F">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根据防汛指挥部推送的事件通知信息,评估出全市防汛防台风险等级，通知信息可以与风险等级进行关联,根据等级自动推送不同级别的预警通知。</w:t>
            </w:r>
          </w:p>
        </w:tc>
      </w:tr>
      <w:tr w14:paraId="2F3315F6">
        <w:tblPrEx>
          <w:tblCellMar>
            <w:top w:w="0" w:type="dxa"/>
            <w:left w:w="108" w:type="dxa"/>
            <w:bottom w:w="0" w:type="dxa"/>
            <w:right w:w="108" w:type="dxa"/>
          </w:tblCellMar>
        </w:tblPrEx>
        <w:trPr>
          <w:trHeight w:val="7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A66F">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160</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AD8C6">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4B05B7">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公用人防工程防汛防台专项应用—防汛防台通知信息关联—值班人员关联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26F287">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获取防汛防台值班人员的通信录,并与通知信息关联。当发布预警通知时,可以自动推送给相关值班人员,确保信息及时传达。</w:t>
            </w:r>
          </w:p>
        </w:tc>
      </w:tr>
      <w:tr w14:paraId="3D64636A">
        <w:tblPrEx>
          <w:tblCellMar>
            <w:top w:w="0" w:type="dxa"/>
            <w:left w:w="108" w:type="dxa"/>
            <w:bottom w:w="0" w:type="dxa"/>
            <w:right w:w="108" w:type="dxa"/>
          </w:tblCellMar>
        </w:tblPrEx>
        <w:trPr>
          <w:trHeight w:val="7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4DF1">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161</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0ECA5">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634477">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公用人防工程防汛防台专项应用—防汛防台通知流转—防汛防台信息推送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4670DC">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市国动办接收到防汛防台事件后，能够通过平台将事件详情信息推送至各区级单位，支持一键下发。</w:t>
            </w:r>
          </w:p>
        </w:tc>
      </w:tr>
      <w:tr w14:paraId="2E757193">
        <w:tblPrEx>
          <w:tblCellMar>
            <w:top w:w="0" w:type="dxa"/>
            <w:left w:w="108" w:type="dxa"/>
            <w:bottom w:w="0" w:type="dxa"/>
            <w:right w:w="108" w:type="dxa"/>
          </w:tblCellMar>
        </w:tblPrEx>
        <w:trPr>
          <w:trHeight w:val="7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BBE3">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162</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2E042">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823A49">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公用人防工程防汛防台专项应用—防汛防台通知流转—防汛防台信息签收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02FB75">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区国动办单位相关责任人，可通过手机端或者PC端接收市国动推送的防汛防台事件信息，并可进行一键签收反馈。</w:t>
            </w:r>
          </w:p>
        </w:tc>
      </w:tr>
      <w:tr w14:paraId="6F615324">
        <w:tblPrEx>
          <w:tblCellMar>
            <w:top w:w="0" w:type="dxa"/>
            <w:left w:w="108" w:type="dxa"/>
            <w:bottom w:w="0" w:type="dxa"/>
            <w:right w:w="108" w:type="dxa"/>
          </w:tblCellMar>
        </w:tblPrEx>
        <w:trPr>
          <w:trHeight w:val="7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E579">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163</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A4154">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28FC59">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公用人防工程防汛防台专项应用—防汛防台通知流转—防汛防台预案上传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65AB16">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各区国动办能够自定义上传防汛防台预案，预案内容包括主要职责、各等级应急响应措施、值班人员等。</w:t>
            </w:r>
          </w:p>
        </w:tc>
      </w:tr>
      <w:tr w14:paraId="5B950444">
        <w:tblPrEx>
          <w:tblCellMar>
            <w:top w:w="0" w:type="dxa"/>
            <w:left w:w="108" w:type="dxa"/>
            <w:bottom w:w="0" w:type="dxa"/>
            <w:right w:w="108" w:type="dxa"/>
          </w:tblCellMar>
        </w:tblPrEx>
        <w:trPr>
          <w:trHeight w:val="7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7881">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164</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E9A0B">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E88625">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公用人防工程防汛防台专项应用—汛情灾情动态上报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6EED5F">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支持汛情灾情数据报表、汛情灾情文件上传、汛情灾情研判报告功能。</w:t>
            </w:r>
          </w:p>
        </w:tc>
      </w:tr>
      <w:tr w14:paraId="7D476FE6">
        <w:tblPrEx>
          <w:tblCellMar>
            <w:top w:w="0" w:type="dxa"/>
            <w:left w:w="108" w:type="dxa"/>
            <w:bottom w:w="0" w:type="dxa"/>
            <w:right w:w="108" w:type="dxa"/>
          </w:tblCellMar>
        </w:tblPrEx>
        <w:trPr>
          <w:trHeight w:val="7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8BBA">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165</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A5568">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DB53EC">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公用人防工程防汛防台专项应用—应急响应支援模块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2F2FBF">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支持请求支援服务推送、应急抢修人员推送、人防码监督检查推送功能。</w:t>
            </w:r>
          </w:p>
        </w:tc>
      </w:tr>
      <w:tr w14:paraId="060653D0">
        <w:tblPrEx>
          <w:tblCellMar>
            <w:top w:w="0" w:type="dxa"/>
            <w:left w:w="108" w:type="dxa"/>
            <w:bottom w:w="0" w:type="dxa"/>
            <w:right w:w="108" w:type="dxa"/>
          </w:tblCellMar>
        </w:tblPrEx>
        <w:trPr>
          <w:trHeight w:val="7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CFA1">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166</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61DBD">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3FDC17">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公用人防工程防汛防台专项应用—防汛防台演练管理—演练数据上传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EB1EB7">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各区国动办可以通过系统上传防汛防台演练的各类资料,包括文字、图片、视频等。</w:t>
            </w:r>
          </w:p>
        </w:tc>
      </w:tr>
      <w:tr w14:paraId="03209F5B">
        <w:tblPrEx>
          <w:tblCellMar>
            <w:top w:w="0" w:type="dxa"/>
            <w:left w:w="108" w:type="dxa"/>
            <w:bottom w:w="0" w:type="dxa"/>
            <w:right w:w="108" w:type="dxa"/>
          </w:tblCellMar>
        </w:tblPrEx>
        <w:trPr>
          <w:trHeight w:val="7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F375">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167</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D9F61">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817D7">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公用人防工程防汛防台专项应用—防汛防台演练管理—演练信息查询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277783">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各区国动办可以查询自己历史开展的防汛防台演练资料。</w:t>
            </w:r>
          </w:p>
        </w:tc>
      </w:tr>
      <w:tr w14:paraId="58CA1E17">
        <w:tblPrEx>
          <w:tblCellMar>
            <w:top w:w="0" w:type="dxa"/>
            <w:left w:w="108" w:type="dxa"/>
            <w:bottom w:w="0" w:type="dxa"/>
            <w:right w:w="108" w:type="dxa"/>
          </w:tblCellMar>
        </w:tblPrEx>
        <w:trPr>
          <w:trHeight w:val="76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1378">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168</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D98EC">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30544E">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公用人防工程防汛防台专项应用—防汛防台演练管理—演练数据管理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1EDB26">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系统提供演练资料的编辑、删除管理功能。管理员可以根据实际需求,对演练资料进行分类整理、归档保存。系统支持演练资料的分享、下载等功能,方便各方交流学习。</w:t>
            </w:r>
          </w:p>
        </w:tc>
      </w:tr>
      <w:tr w14:paraId="75AE88E8">
        <w:tblPrEx>
          <w:tblCellMar>
            <w:top w:w="0" w:type="dxa"/>
            <w:left w:w="108" w:type="dxa"/>
            <w:bottom w:w="0" w:type="dxa"/>
            <w:right w:w="108" w:type="dxa"/>
          </w:tblCellMar>
        </w:tblPrEx>
        <w:trPr>
          <w:trHeight w:val="76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4320">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169</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91C9C">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B5B6C">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人防工程全流程管理子系统升级改造（人防工程规划）—人防骨干工程规划申报—整体规划要求编制与下发（市级）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F1467">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市级规划部门完成内审流程后，由经办人在系统内完成各区下一个五年计划的规划总数任务表编制，并配置开放填报时间段。</w:t>
            </w:r>
          </w:p>
        </w:tc>
      </w:tr>
      <w:tr w14:paraId="5D620A88">
        <w:tblPrEx>
          <w:tblCellMar>
            <w:top w:w="0" w:type="dxa"/>
            <w:left w:w="108" w:type="dxa"/>
            <w:bottom w:w="0" w:type="dxa"/>
            <w:right w:w="108" w:type="dxa"/>
          </w:tblCellMar>
        </w:tblPrEx>
        <w:trPr>
          <w:trHeight w:val="7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3626">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170</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53209">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0D6221">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人防工程全流程管理子系统升级改造（人防工程规划）—人防骨干工程规划申报—规划内容填报与反馈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7A642D">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市级用户下发五年计划的规划总数任务表后，向区级用户发送待办提醒，提醒有待完成的规划任务。区级经办人根据规划要求，填报预期的项目名称、四至范围、工程面积估算、计划开工日期等规划具体内容。</w:t>
            </w:r>
          </w:p>
        </w:tc>
      </w:tr>
      <w:tr w14:paraId="7CDEB68C">
        <w:tblPrEx>
          <w:tblCellMar>
            <w:top w:w="0" w:type="dxa"/>
            <w:left w:w="108" w:type="dxa"/>
            <w:bottom w:w="0" w:type="dxa"/>
            <w:right w:w="108" w:type="dxa"/>
          </w:tblCellMar>
        </w:tblPrEx>
        <w:trPr>
          <w:trHeight w:val="7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EABC">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171</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BF448">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E73AA8">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人防工程全流程管理子系统升级改造（人防工程规划）—人防骨干工程规划项目调整—项目调剂与比对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22A54">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市级经办人可根据实际需要（如中期评估），限时开放区级用户的规划项目调整功能。在预定时间内，区级用户调整后的规划内容与规划申报处理方式一致。</w:t>
            </w:r>
          </w:p>
        </w:tc>
      </w:tr>
      <w:tr w14:paraId="34532A6B">
        <w:tblPrEx>
          <w:tblCellMar>
            <w:top w:w="0" w:type="dxa"/>
            <w:left w:w="108" w:type="dxa"/>
            <w:bottom w:w="0" w:type="dxa"/>
            <w:right w:w="108" w:type="dxa"/>
          </w:tblCellMar>
        </w:tblPrEx>
        <w:trPr>
          <w:trHeight w:val="7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177E">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172</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7EF5A">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961A79">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人防工程全流程管理子系统升级改造（人防工程规划）—人防骨干工程规划项目调整—地块补录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82786F">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支持对于需要补录的规划地块，区级经办人先根据项目实际情况进行补录，在限时开放规划调整后，对补录的规划地块进行规划内容的补充申报。</w:t>
            </w:r>
          </w:p>
        </w:tc>
      </w:tr>
      <w:tr w14:paraId="0AD0EAE3">
        <w:tblPrEx>
          <w:tblCellMar>
            <w:top w:w="0" w:type="dxa"/>
            <w:left w:w="108" w:type="dxa"/>
            <w:bottom w:w="0" w:type="dxa"/>
            <w:right w:w="108" w:type="dxa"/>
          </w:tblCellMar>
        </w:tblPrEx>
        <w:trPr>
          <w:trHeight w:val="76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1A84">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173</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93D61">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47CCB">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人防工程全流程管理子系统升级改造（人防工程规划）—人防骨干工程规划项目调整—骨干工程项目关联与补录状态查询接口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244753">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提供增加骨干工程项目关联与补录状态查询接口，能够查询项目关联或申请补录的历史记录、操作人、时间等信息。</w:t>
            </w:r>
          </w:p>
        </w:tc>
      </w:tr>
      <w:tr w14:paraId="674F039F">
        <w:tblPrEx>
          <w:tblCellMar>
            <w:top w:w="0" w:type="dxa"/>
            <w:left w:w="108" w:type="dxa"/>
            <w:bottom w:w="0" w:type="dxa"/>
            <w:right w:w="108" w:type="dxa"/>
          </w:tblCellMar>
        </w:tblPrEx>
        <w:trPr>
          <w:trHeight w:val="76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AEA2">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174</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B2621">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A28DCA">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人防工程全流程管理子系统升级改造（人防工程规划）—人防骨干工程规划评估—规划统计分析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267479">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对全市五年规划的申报与执行情况进行统计分析，包括规划个数统计（总数与各骨干分类数）、面积（总数及各骨干分类数）、各区规划数量达标率、各区规划面积达标率以及五年规划内的规划趋势分析、布局分析。</w:t>
            </w:r>
          </w:p>
        </w:tc>
      </w:tr>
      <w:tr w14:paraId="2F6BF00B">
        <w:tblPrEx>
          <w:tblCellMar>
            <w:top w:w="0" w:type="dxa"/>
            <w:left w:w="108" w:type="dxa"/>
            <w:bottom w:w="0" w:type="dxa"/>
            <w:right w:w="108" w:type="dxa"/>
          </w:tblCellMar>
        </w:tblPrEx>
        <w:trPr>
          <w:trHeight w:val="7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D768">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175</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69929">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9E6E59">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人防工程全流程管理子系统升级改造（人防工程规划）—人防骨干工程规划评估—分析评估报告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FC0581">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提供根据预设的评估报告模板，汇总统计分析结果功能，并由市级经办人添加分析结论，形成市区两级的评估报告。</w:t>
            </w:r>
          </w:p>
        </w:tc>
      </w:tr>
      <w:tr w14:paraId="78FB3F32">
        <w:tblPrEx>
          <w:tblCellMar>
            <w:top w:w="0" w:type="dxa"/>
            <w:left w:w="108" w:type="dxa"/>
            <w:bottom w:w="0" w:type="dxa"/>
            <w:right w:w="108" w:type="dxa"/>
          </w:tblCellMar>
        </w:tblPrEx>
        <w:trPr>
          <w:trHeight w:val="7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A917">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176</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7C20E">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1C5FBD">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人防工程全流程管理子系统升级改造（人防工程规划）—人防骨干工程规划评估—现状骨干工程比对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91A889">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支持将现状建成的骨干工程数据的图形显示及数据录入，与规划情况形成对照，辅助人工比对。</w:t>
            </w:r>
          </w:p>
        </w:tc>
      </w:tr>
      <w:tr w14:paraId="51A11D1F">
        <w:tblPrEx>
          <w:tblCellMar>
            <w:top w:w="0" w:type="dxa"/>
            <w:left w:w="108" w:type="dxa"/>
            <w:bottom w:w="0" w:type="dxa"/>
            <w:right w:w="108" w:type="dxa"/>
          </w:tblCellMar>
        </w:tblPrEx>
        <w:trPr>
          <w:trHeight w:val="7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608A">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177</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8863D">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72D8E2">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人防工程全流程管理子系统升级改造（人防工程规划）—人防骨干工程分布不合理提醒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F7205C">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能够设置针对骨干工程分布的判断规则，对骨干工程分布不合理的情况，在规划申报、调整、评估的过程中对分布不合理的规划进行标识、提醒。</w:t>
            </w:r>
          </w:p>
        </w:tc>
      </w:tr>
      <w:tr w14:paraId="244366CE">
        <w:tblPrEx>
          <w:tblCellMar>
            <w:top w:w="0" w:type="dxa"/>
            <w:left w:w="108" w:type="dxa"/>
            <w:bottom w:w="0" w:type="dxa"/>
            <w:right w:w="108" w:type="dxa"/>
          </w:tblCellMar>
        </w:tblPrEx>
        <w:trPr>
          <w:trHeight w:val="7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14D7">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178</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74922">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5D6CB3">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人防工程全流程管理子系统升级改造（人防工程规划）—人防骨干工程规划历史与现状分析—规划历史记录追溯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1FF694">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对规划申报、批次调整的记录进行版本控制，能够在规划现状的基础上展示各版本历史记录进行叠加展示比对，实现整体规划变动记录的追溯。</w:t>
            </w:r>
          </w:p>
        </w:tc>
      </w:tr>
      <w:tr w14:paraId="5F1D0801">
        <w:tblPrEx>
          <w:tblCellMar>
            <w:top w:w="0" w:type="dxa"/>
            <w:left w:w="108" w:type="dxa"/>
            <w:bottom w:w="0" w:type="dxa"/>
            <w:right w:w="108" w:type="dxa"/>
          </w:tblCellMar>
        </w:tblPrEx>
        <w:trPr>
          <w:trHeight w:val="7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BAE9">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179</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E60D3">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552DF">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人防工程全流程管理子系统升级改造（人防工程规划）—人防骨干工程规划历史与现状分析—规划现状看板与落实情况追踪提醒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291525">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支持通过甘特图等形式，形象展示五年规划的落实情况，若规划落实出现异常情况，市级经办人可手动向区级经办人发送相关的提醒进行落实情况的追踪跟进。</w:t>
            </w:r>
          </w:p>
        </w:tc>
      </w:tr>
      <w:tr w14:paraId="49FA8861">
        <w:tblPrEx>
          <w:tblCellMar>
            <w:top w:w="0" w:type="dxa"/>
            <w:left w:w="108" w:type="dxa"/>
            <w:bottom w:w="0" w:type="dxa"/>
            <w:right w:w="108" w:type="dxa"/>
          </w:tblCellMar>
        </w:tblPrEx>
        <w:trPr>
          <w:trHeight w:val="7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E6DA">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180</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D26E3">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D9CFAC">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人防工程全流程管理子系统升级改造（人防工程规划）—人防骨干工程规划历史与现状分析—规划时空地图比对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00C10B">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支持对接大数据中心一张图的遥感影像地图能力，在现有政务地图的基础上，接入各个历史时期的航空影像或卫片影像，能够进行地图切换，辅助人工比对规划地块在各个时期的实际形态。</w:t>
            </w:r>
          </w:p>
        </w:tc>
      </w:tr>
      <w:tr w14:paraId="1FF2F5AA">
        <w:tblPrEx>
          <w:tblCellMar>
            <w:top w:w="0" w:type="dxa"/>
            <w:left w:w="108" w:type="dxa"/>
            <w:bottom w:w="0" w:type="dxa"/>
            <w:right w:w="108" w:type="dxa"/>
          </w:tblCellMar>
        </w:tblPrEx>
        <w:trPr>
          <w:trHeight w:val="7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D2B9">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181</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6C2C0">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99F46C">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人防工程应建未建专项排查应用—项目查询—条件查询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42C7AC">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支持根据关键字（模糊）、来源、行政区划进行数据筛选。</w:t>
            </w:r>
          </w:p>
        </w:tc>
      </w:tr>
      <w:tr w14:paraId="629AD5EE">
        <w:tblPrEx>
          <w:tblCellMar>
            <w:top w:w="0" w:type="dxa"/>
            <w:left w:w="108" w:type="dxa"/>
            <w:bottom w:w="0" w:type="dxa"/>
            <w:right w:w="108" w:type="dxa"/>
          </w:tblCellMar>
        </w:tblPrEx>
        <w:trPr>
          <w:trHeight w:val="7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4EFA">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182</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DACF4">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0E834">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人防工程应建未建专项排查应用—项目查询—备案关联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E8EB61">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支持在项目列表中选择需排查确认的项目点击备案关联，可取消备案关联。</w:t>
            </w:r>
          </w:p>
        </w:tc>
      </w:tr>
      <w:tr w14:paraId="3C9B93BA">
        <w:tblPrEx>
          <w:tblCellMar>
            <w:top w:w="0" w:type="dxa"/>
            <w:left w:w="108" w:type="dxa"/>
            <w:bottom w:w="0" w:type="dxa"/>
            <w:right w:w="108" w:type="dxa"/>
          </w:tblCellMar>
        </w:tblPrEx>
        <w:trPr>
          <w:trHeight w:val="7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08AA">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183</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F4F9A">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4DABB8">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人防工程应建未建专项排查应用—排查确认—数据处理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C1BDCF">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支持对市本级和各区填报的人防工程审批验收闭环管理专项排查数据Excel表格进行人工处理</w:t>
            </w:r>
          </w:p>
        </w:tc>
      </w:tr>
      <w:tr w14:paraId="56FDDB09">
        <w:tblPrEx>
          <w:tblCellMar>
            <w:top w:w="0" w:type="dxa"/>
            <w:left w:w="108" w:type="dxa"/>
            <w:bottom w:w="0" w:type="dxa"/>
            <w:right w:w="108" w:type="dxa"/>
          </w:tblCellMar>
        </w:tblPrEx>
        <w:trPr>
          <w:trHeight w:val="7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2535">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184</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3258B">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83FD52">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人防工程应建未建专项排查应用—排查确认—数据匹配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99F2A1">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系统将行政协助办件项目信息、人防工程结建方案、初步设计、许可证各阶段的项目信息与工程信息进行备案匹配，匹配成功的结果为已备案、未匹配上的为无数据。</w:t>
            </w:r>
          </w:p>
        </w:tc>
      </w:tr>
      <w:tr w14:paraId="4DA59E72">
        <w:tblPrEx>
          <w:tblCellMar>
            <w:top w:w="0" w:type="dxa"/>
            <w:left w:w="108" w:type="dxa"/>
            <w:bottom w:w="0" w:type="dxa"/>
            <w:right w:w="108" w:type="dxa"/>
          </w:tblCellMar>
        </w:tblPrEx>
        <w:trPr>
          <w:trHeight w:val="7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CC39">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185</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F8C63">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C97818">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人防工程应建未建专项排查应用—排查确认—项目合并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113186">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支持根据项目项目填报时的序号，判定存在相同项目的情况，若为相同项目，系统能够自动进行项目合并。</w:t>
            </w:r>
          </w:p>
        </w:tc>
      </w:tr>
      <w:tr w14:paraId="73E8D36F">
        <w:tblPrEx>
          <w:tblCellMar>
            <w:top w:w="0" w:type="dxa"/>
            <w:left w:w="108" w:type="dxa"/>
            <w:bottom w:w="0" w:type="dxa"/>
            <w:right w:w="108" w:type="dxa"/>
          </w:tblCellMar>
        </w:tblPrEx>
        <w:trPr>
          <w:trHeight w:val="7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612A">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186</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87BBA">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DF3E87">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人防工程应建未建专项排查应用—排查确认—数据操作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6E7E1C">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提供查看并确认、备案关联以及备案登记功能，并对各项操作进行设置记录。</w:t>
            </w:r>
          </w:p>
        </w:tc>
      </w:tr>
      <w:tr w14:paraId="0A0DDD49">
        <w:tblPrEx>
          <w:tblCellMar>
            <w:top w:w="0" w:type="dxa"/>
            <w:left w:w="108" w:type="dxa"/>
            <w:bottom w:w="0" w:type="dxa"/>
            <w:right w:w="108" w:type="dxa"/>
          </w:tblCellMar>
        </w:tblPrEx>
        <w:trPr>
          <w:trHeight w:val="7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2C4E">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187</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4843B">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F18161">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人防工程应建未建专项排查应用—安质监排查—数据筛选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FD5E0C">
            <w:pPr>
              <w:widowControl/>
              <w:ind w:firstLine="400"/>
              <w:jc w:val="left"/>
              <w:textAlignment w:val="center"/>
              <w:rPr>
                <w:rFonts w:hint="eastAsia" w:cs="宋体"/>
                <w:color w:val="000000"/>
                <w:sz w:val="20"/>
                <w:szCs w:val="20"/>
              </w:rPr>
            </w:pPr>
            <w:r>
              <w:rPr>
                <w:rFonts w:hint="eastAsia" w:cs="宋体"/>
                <w:color w:val="000000"/>
                <w:kern w:val="0"/>
                <w:sz w:val="20"/>
                <w:szCs w:val="20"/>
                <w:lang w:val="en-US" w:eastAsia="zh-CN" w:bidi="ar"/>
              </w:rPr>
              <w:t>支持多条件</w:t>
            </w:r>
            <w:r>
              <w:rPr>
                <w:rFonts w:hint="eastAsia" w:cs="宋体"/>
                <w:color w:val="000000"/>
                <w:kern w:val="0"/>
                <w:sz w:val="20"/>
                <w:szCs w:val="20"/>
                <w:lang w:bidi="ar"/>
              </w:rPr>
              <w:t>数据筛选。</w:t>
            </w:r>
          </w:p>
        </w:tc>
      </w:tr>
      <w:tr w14:paraId="06D50AF7">
        <w:tblPrEx>
          <w:tblCellMar>
            <w:top w:w="0" w:type="dxa"/>
            <w:left w:w="108" w:type="dxa"/>
            <w:bottom w:w="0" w:type="dxa"/>
            <w:right w:w="108" w:type="dxa"/>
          </w:tblCellMar>
        </w:tblPrEx>
        <w:trPr>
          <w:trHeight w:val="7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F4B6">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188</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ED6FC">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A7ED3">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人防工程应建未建专项排查应用—安质监排查—数据匹配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E05977">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将市级及各区确认备案无数据的工程与报监台账数据进行比对，判断审批验收情况的监督档案号以及监管信息，监管信息比对结果为未建、过程监督、未备案。</w:t>
            </w:r>
          </w:p>
        </w:tc>
      </w:tr>
      <w:tr w14:paraId="7A89FD0F">
        <w:tblPrEx>
          <w:tblCellMar>
            <w:top w:w="0" w:type="dxa"/>
            <w:left w:w="108" w:type="dxa"/>
            <w:bottom w:w="0" w:type="dxa"/>
            <w:right w:w="108" w:type="dxa"/>
          </w:tblCellMar>
        </w:tblPrEx>
        <w:trPr>
          <w:trHeight w:val="7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6C50">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189</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216F2">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C7329B">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人防工程应建未建专项排查应用—安质监排查—项目填报及关联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ED4558">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支持项目信息填报</w:t>
            </w:r>
            <w:r>
              <w:rPr>
                <w:rFonts w:hint="eastAsia" w:cs="宋体"/>
                <w:color w:val="000000"/>
                <w:kern w:val="0"/>
                <w:sz w:val="20"/>
                <w:szCs w:val="20"/>
                <w:lang w:val="en-US" w:eastAsia="zh-CN" w:bidi="ar"/>
              </w:rPr>
              <w:t>及</w:t>
            </w:r>
            <w:r>
              <w:rPr>
                <w:rFonts w:hint="eastAsia" w:cs="宋体"/>
                <w:color w:val="000000"/>
                <w:kern w:val="0"/>
                <w:sz w:val="20"/>
                <w:szCs w:val="20"/>
                <w:lang w:bidi="ar"/>
              </w:rPr>
              <w:t>监督关联</w:t>
            </w:r>
            <w:r>
              <w:rPr>
                <w:rFonts w:hint="eastAsia" w:cs="宋体"/>
                <w:color w:val="000000"/>
                <w:kern w:val="0"/>
                <w:sz w:val="20"/>
                <w:szCs w:val="20"/>
                <w:lang w:val="en-US" w:eastAsia="zh-CN" w:bidi="ar"/>
              </w:rPr>
              <w:t>功能</w:t>
            </w:r>
            <w:r>
              <w:rPr>
                <w:rFonts w:hint="eastAsia" w:cs="宋体"/>
                <w:color w:val="000000"/>
                <w:kern w:val="0"/>
                <w:sz w:val="20"/>
                <w:szCs w:val="20"/>
                <w:lang w:bidi="ar"/>
              </w:rPr>
              <w:t>。</w:t>
            </w:r>
          </w:p>
        </w:tc>
      </w:tr>
      <w:tr w14:paraId="3F4F58FD">
        <w:tblPrEx>
          <w:tblCellMar>
            <w:top w:w="0" w:type="dxa"/>
            <w:left w:w="108" w:type="dxa"/>
            <w:bottom w:w="0" w:type="dxa"/>
            <w:right w:w="108" w:type="dxa"/>
          </w:tblCellMar>
        </w:tblPrEx>
        <w:trPr>
          <w:trHeight w:val="7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1C37">
            <w:pPr>
              <w:widowControl/>
              <w:ind w:firstLine="0" w:firstLineChars="0"/>
              <w:jc w:val="center"/>
              <w:textAlignment w:val="center"/>
              <w:rPr>
                <w:rFonts w:hint="eastAsia" w:cs="宋体"/>
                <w:color w:val="000000"/>
                <w:sz w:val="20"/>
                <w:szCs w:val="20"/>
              </w:rPr>
            </w:pPr>
            <w:r>
              <w:rPr>
                <w:rFonts w:hint="eastAsia" w:cs="宋体"/>
                <w:color w:val="000000"/>
                <w:kern w:val="0"/>
                <w:sz w:val="20"/>
                <w:szCs w:val="20"/>
                <w:lang w:bidi="ar"/>
              </w:rPr>
              <w:t>190</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D35E3">
            <w:pPr>
              <w:ind w:firstLine="400"/>
              <w:jc w:val="center"/>
              <w:rPr>
                <w:rFonts w:hint="eastAsia"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18F904">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人防工程应建未建专项排查应用—数据统计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15E719">
            <w:pPr>
              <w:widowControl/>
              <w:ind w:firstLine="400"/>
              <w:jc w:val="left"/>
              <w:textAlignment w:val="center"/>
              <w:rPr>
                <w:rFonts w:hint="eastAsia" w:cs="宋体"/>
                <w:color w:val="000000"/>
                <w:sz w:val="20"/>
                <w:szCs w:val="20"/>
              </w:rPr>
            </w:pPr>
            <w:r>
              <w:rPr>
                <w:rFonts w:hint="eastAsia" w:cs="宋体"/>
                <w:color w:val="000000"/>
                <w:kern w:val="0"/>
                <w:sz w:val="20"/>
                <w:szCs w:val="20"/>
                <w:lang w:bidi="ar"/>
              </w:rPr>
              <w:t>提供项目条件筛选进行不同维度的数据统计。</w:t>
            </w:r>
          </w:p>
        </w:tc>
      </w:tr>
    </w:tbl>
    <w:p w14:paraId="6215B082">
      <w:pPr>
        <w:pStyle w:val="2"/>
        <w:rPr>
          <w:rFonts w:hint="eastAsia"/>
        </w:rPr>
      </w:pPr>
      <w:bookmarkStart w:id="25" w:name="_Toc63785502"/>
      <w:r>
        <w:rPr>
          <w:rFonts w:hint="eastAsia"/>
        </w:rPr>
        <w:t>电子政务云资源需求</w:t>
      </w:r>
      <w:bookmarkEnd w:id="25"/>
    </w:p>
    <w:p w14:paraId="752159D1">
      <w:pPr>
        <w:rPr>
          <w:rFonts w:hint="eastAsia"/>
        </w:rPr>
      </w:pPr>
      <w:r>
        <w:rPr>
          <w:rFonts w:hint="eastAsia"/>
        </w:rPr>
        <w:t>根据项目前期资源现状，本次建设根据估算拟向电子政务云申请8台服务器资源（虚拟机），配置需求为CPU336核 、内存832G、存储7100</w:t>
      </w:r>
      <w:r>
        <w:t>G</w:t>
      </w:r>
      <w:r>
        <w:rPr>
          <w:rFonts w:hint="eastAsia"/>
        </w:rPr>
        <w:t>。</w:t>
      </w:r>
    </w:p>
    <w:p w14:paraId="0D27A705">
      <w:pPr>
        <w:rPr>
          <w:rFonts w:hint="eastAsia"/>
          <w:lang w:val="en-US" w:eastAsia="zh-CN"/>
        </w:rPr>
      </w:pPr>
      <w:r>
        <w:rPr>
          <w:rFonts w:hint="eastAsia"/>
          <w:lang w:val="en-US" w:eastAsia="zh-CN"/>
        </w:rPr>
        <w:t>向电子政务云申请PaaS服务资源</w:t>
      </w:r>
      <w:r>
        <w:rPr>
          <w:rFonts w:hint="eastAsia"/>
        </w:rPr>
        <w:t>操作系统服务-统信UOS、麒麟</w:t>
      </w:r>
      <w:r>
        <w:rPr>
          <w:rFonts w:hint="eastAsia"/>
          <w:lang w:val="en-US" w:eastAsia="zh-CN"/>
        </w:rPr>
        <w:t>8套*年</w:t>
      </w:r>
      <w:r>
        <w:rPr>
          <w:rFonts w:hint="eastAsia"/>
          <w:lang w:eastAsia="zh-CN"/>
        </w:rPr>
        <w:t>、</w:t>
      </w:r>
      <w:r>
        <w:rPr>
          <w:rFonts w:hint="eastAsia"/>
        </w:rPr>
        <w:t>中间件-东方通、普元、金蝶</w:t>
      </w:r>
      <w:r>
        <w:rPr>
          <w:rFonts w:hint="eastAsia"/>
          <w:lang w:val="en-US" w:eastAsia="zh-CN"/>
        </w:rPr>
        <w:t>4套*年、</w:t>
      </w:r>
      <w:r>
        <w:rPr>
          <w:rFonts w:hint="eastAsia"/>
        </w:rPr>
        <w:t>安全防病毒(服务器端)</w:t>
      </w:r>
      <w:r>
        <w:rPr>
          <w:rFonts w:hint="eastAsia"/>
          <w:lang w:val="en-US" w:eastAsia="zh-CN"/>
        </w:rPr>
        <w:t>8套*年</w:t>
      </w:r>
      <w:r>
        <w:rPr>
          <w:rFonts w:hint="eastAsia"/>
          <w:lang w:eastAsia="zh-CN"/>
        </w:rPr>
        <w:t>、</w:t>
      </w:r>
      <w:r>
        <w:rPr>
          <w:rFonts w:hint="eastAsia"/>
        </w:rPr>
        <w:t>安全认证网关服务</w:t>
      </w:r>
      <w:r>
        <w:rPr>
          <w:rFonts w:hint="eastAsia"/>
          <w:lang w:val="en-US" w:eastAsia="zh-CN"/>
        </w:rPr>
        <w:t>3套*年</w:t>
      </w:r>
      <w:r>
        <w:rPr>
          <w:rFonts w:hint="eastAsia"/>
        </w:rPr>
        <w:tab/>
      </w:r>
      <w:r>
        <w:rPr>
          <w:rFonts w:hint="eastAsia"/>
          <w:lang w:eastAsia="zh-CN"/>
        </w:rPr>
        <w:t>、</w:t>
      </w:r>
      <w:r>
        <w:rPr>
          <w:rFonts w:hint="eastAsia"/>
        </w:rPr>
        <w:t>签名验签服务</w:t>
      </w:r>
      <w:r>
        <w:rPr>
          <w:rFonts w:hint="eastAsia"/>
          <w:lang w:val="en-US" w:eastAsia="zh-CN"/>
        </w:rPr>
        <w:t>2套*年</w:t>
      </w:r>
      <w:r>
        <w:rPr>
          <w:rFonts w:hint="eastAsia"/>
          <w:lang w:eastAsia="zh-CN"/>
        </w:rPr>
        <w:t>、</w:t>
      </w:r>
      <w:r>
        <w:rPr>
          <w:rFonts w:hint="eastAsia"/>
        </w:rPr>
        <w:t>可信密码服务</w:t>
      </w:r>
      <w:r>
        <w:rPr>
          <w:rFonts w:hint="eastAsia"/>
          <w:lang w:val="en-US" w:eastAsia="zh-CN"/>
        </w:rPr>
        <w:t>2应用*年</w:t>
      </w:r>
      <w:r>
        <w:rPr>
          <w:rFonts w:hint="eastAsia"/>
          <w:lang w:eastAsia="zh-CN"/>
        </w:rPr>
        <w:t>、</w:t>
      </w:r>
      <w:r>
        <w:rPr>
          <w:rFonts w:hint="eastAsia"/>
        </w:rPr>
        <w:t>时间戳服务</w:t>
      </w:r>
      <w:r>
        <w:rPr>
          <w:rFonts w:hint="eastAsia"/>
          <w:lang w:val="en-US" w:eastAsia="zh-CN"/>
        </w:rPr>
        <w:t>1套*年</w:t>
      </w:r>
      <w:r>
        <w:rPr>
          <w:rFonts w:hint="eastAsia"/>
        </w:rPr>
        <w:tab/>
      </w:r>
      <w:r>
        <w:rPr>
          <w:rFonts w:hint="eastAsia"/>
          <w:lang w:eastAsia="zh-CN"/>
        </w:rPr>
        <w:t>、</w:t>
      </w:r>
      <w:r>
        <w:rPr>
          <w:rFonts w:hint="eastAsia"/>
        </w:rPr>
        <w:t>身份认证服务-公务人员统一身份认证</w:t>
      </w:r>
      <w:r>
        <w:rPr>
          <w:rFonts w:hint="eastAsia"/>
          <w:lang w:val="en-US" w:eastAsia="zh-CN"/>
        </w:rPr>
        <w:t>2应用*年</w:t>
      </w:r>
      <w:r>
        <w:rPr>
          <w:rFonts w:hint="eastAsia"/>
          <w:lang w:eastAsia="zh-CN"/>
        </w:rPr>
        <w:t>、</w:t>
      </w:r>
      <w:r>
        <w:rPr>
          <w:rFonts w:hint="eastAsia"/>
        </w:rPr>
        <w:t>数字证书服务-SSL证书-单域名</w:t>
      </w:r>
      <w:r>
        <w:rPr>
          <w:rFonts w:hint="eastAsia"/>
          <w:lang w:val="en-US" w:eastAsia="zh-CN"/>
        </w:rPr>
        <w:t>3张*年</w:t>
      </w:r>
      <w:r>
        <w:rPr>
          <w:rFonts w:hint="eastAsia"/>
          <w:lang w:eastAsia="zh-CN"/>
        </w:rPr>
        <w:t>、</w:t>
      </w:r>
      <w:r>
        <w:rPr>
          <w:rFonts w:hint="eastAsia"/>
        </w:rPr>
        <w:t>数字证书服务-SSL证书-通配符</w:t>
      </w:r>
      <w:r>
        <w:rPr>
          <w:rFonts w:hint="eastAsia"/>
          <w:lang w:val="en-US" w:eastAsia="zh-CN"/>
        </w:rPr>
        <w:t>3张*年</w:t>
      </w:r>
      <w:r>
        <w:rPr>
          <w:rFonts w:hint="eastAsia"/>
          <w:lang w:eastAsia="zh-CN"/>
        </w:rPr>
        <w:t>、</w:t>
      </w:r>
      <w:r>
        <w:rPr>
          <w:rFonts w:hint="eastAsia"/>
        </w:rPr>
        <w:t>短信服务500000</w:t>
      </w:r>
      <w:r>
        <w:rPr>
          <w:rFonts w:hint="eastAsia"/>
          <w:lang w:val="en-US" w:eastAsia="zh-CN"/>
        </w:rPr>
        <w:t>条</w:t>
      </w:r>
      <w:r>
        <w:rPr>
          <w:rFonts w:hint="eastAsia"/>
          <w:lang w:eastAsia="zh-CN"/>
        </w:rPr>
        <w:t>、</w:t>
      </w:r>
      <w:r>
        <w:rPr>
          <w:rFonts w:hint="eastAsia"/>
        </w:rPr>
        <w:t>数据库服务-达梦、人大金仓</w:t>
      </w:r>
      <w:r>
        <w:rPr>
          <w:rFonts w:hint="eastAsia"/>
          <w:lang w:val="en-US" w:eastAsia="zh-CN"/>
        </w:rPr>
        <w:t>2套*年。</w:t>
      </w:r>
    </w:p>
    <w:p w14:paraId="1B7FAB07">
      <w:pPr>
        <w:pStyle w:val="2"/>
        <w:rPr>
          <w:rFonts w:hint="eastAsia"/>
        </w:rPr>
      </w:pPr>
      <w:bookmarkStart w:id="26" w:name="_Toc63785503"/>
      <w:r>
        <w:rPr>
          <w:rFonts w:hint="eastAsia"/>
        </w:rPr>
        <w:t>其他工作要求</w:t>
      </w:r>
      <w:bookmarkEnd w:id="26"/>
    </w:p>
    <w:p w14:paraId="0BD0E803">
      <w:pPr>
        <w:keepNext/>
        <w:keepLines/>
        <w:numPr>
          <w:ilvl w:val="1"/>
          <w:numId w:val="3"/>
        </w:numPr>
        <w:tabs>
          <w:tab w:val="left" w:pos="360"/>
        </w:tabs>
        <w:spacing w:before="120" w:line="240" w:lineRule="auto"/>
        <w:ind w:left="0" w:firstLine="0" w:firstLineChars="0"/>
        <w:outlineLvl w:val="1"/>
        <w:rPr>
          <w:rFonts w:hint="eastAsia" w:ascii="仿宋" w:hAnsi="仿宋" w:eastAsia="仿宋"/>
          <w:b/>
          <w:vanish/>
          <w:color w:val="000000"/>
          <w:sz w:val="28"/>
          <w:szCs w:val="20"/>
        </w:rPr>
      </w:pPr>
      <w:bookmarkStart w:id="27" w:name="_Toc63585480"/>
      <w:bookmarkEnd w:id="27"/>
      <w:bookmarkStart w:id="28" w:name="_Toc63785504"/>
      <w:bookmarkEnd w:id="28"/>
      <w:bookmarkStart w:id="29" w:name="_Toc63785439"/>
      <w:bookmarkEnd w:id="29"/>
      <w:bookmarkStart w:id="30" w:name="_Toc63762370"/>
      <w:bookmarkEnd w:id="30"/>
      <w:bookmarkStart w:id="31" w:name="_Toc63151871"/>
      <w:bookmarkEnd w:id="31"/>
      <w:bookmarkStart w:id="32" w:name="_Toc61968111"/>
      <w:bookmarkEnd w:id="32"/>
      <w:bookmarkStart w:id="33" w:name="_Toc62209488"/>
      <w:bookmarkEnd w:id="33"/>
      <w:bookmarkStart w:id="34" w:name="_Toc62219358"/>
      <w:bookmarkEnd w:id="34"/>
    </w:p>
    <w:p w14:paraId="686184F8">
      <w:pPr>
        <w:pStyle w:val="3"/>
        <w:ind w:left="0"/>
        <w:rPr>
          <w:rFonts w:hint="eastAsia"/>
        </w:rPr>
      </w:pPr>
      <w:bookmarkStart w:id="35" w:name="_Toc63785505"/>
      <w:r>
        <w:rPr>
          <w:rFonts w:hint="eastAsia"/>
        </w:rPr>
        <w:t>售后服务要求</w:t>
      </w:r>
      <w:bookmarkEnd w:id="35"/>
    </w:p>
    <w:p w14:paraId="0036FBAF">
      <w:pPr>
        <w:pStyle w:val="106"/>
        <w:snapToGrid w:val="0"/>
        <w:spacing w:line="360" w:lineRule="auto"/>
        <w:ind w:firstLine="480"/>
        <w:rPr>
          <w:rFonts w:hint="eastAsia" w:ascii="宋体" w:hAnsi="宋体"/>
          <w:sz w:val="24"/>
          <w:szCs w:val="24"/>
        </w:rPr>
      </w:pPr>
      <w:r>
        <w:rPr>
          <w:rFonts w:hint="eastAsia" w:ascii="宋体" w:hAnsi="宋体"/>
          <w:sz w:val="24"/>
          <w:szCs w:val="24"/>
        </w:rPr>
        <w:t>本项目从系统验收通过之日起1年内提供</w:t>
      </w:r>
      <w:r>
        <w:rPr>
          <w:rFonts w:ascii="宋体" w:hAnsi="宋体"/>
          <w:sz w:val="24"/>
          <w:szCs w:val="24"/>
        </w:rPr>
        <w:t>7*24小时免费技术支持</w:t>
      </w:r>
      <w:r>
        <w:rPr>
          <w:rFonts w:hint="eastAsia" w:ascii="宋体" w:hAnsi="宋体"/>
          <w:sz w:val="24"/>
          <w:szCs w:val="24"/>
        </w:rPr>
        <w:t>和售后服务，1年后进入有偿维护期。</w:t>
      </w:r>
    </w:p>
    <w:p w14:paraId="58621707">
      <w:pPr>
        <w:pStyle w:val="106"/>
        <w:snapToGrid w:val="0"/>
        <w:spacing w:line="360" w:lineRule="auto"/>
        <w:ind w:firstLine="480"/>
        <w:rPr>
          <w:rFonts w:hint="eastAsia" w:ascii="宋体" w:hAnsi="宋体"/>
          <w:sz w:val="24"/>
          <w:szCs w:val="24"/>
        </w:rPr>
      </w:pPr>
      <w:r>
        <w:rPr>
          <w:rFonts w:hint="eastAsia" w:ascii="宋体" w:hAnsi="宋体"/>
          <w:sz w:val="24"/>
          <w:szCs w:val="24"/>
        </w:rPr>
        <w:t>质保期为</w:t>
      </w:r>
      <w:r>
        <w:rPr>
          <w:rFonts w:ascii="宋体" w:hAnsi="宋体"/>
          <w:sz w:val="24"/>
          <w:szCs w:val="24"/>
        </w:rPr>
        <w:t>1</w:t>
      </w:r>
      <w:r>
        <w:rPr>
          <w:rFonts w:hint="eastAsia" w:ascii="宋体" w:hAnsi="宋体"/>
          <w:sz w:val="24"/>
          <w:szCs w:val="24"/>
        </w:rPr>
        <w:t>年，在质量保证期内，供应商将按照售后服务的承诺提供保修和运行维护服务，如果厂商对信息系统中软、硬件设备等产品中的部分保修期超过上述期限的，则按照厂商的规定进行免费保修。</w:t>
      </w:r>
    </w:p>
    <w:p w14:paraId="461A5910">
      <w:pPr>
        <w:pStyle w:val="106"/>
        <w:snapToGrid w:val="0"/>
        <w:spacing w:line="360" w:lineRule="auto"/>
        <w:ind w:firstLine="480"/>
        <w:rPr>
          <w:rFonts w:hint="eastAsia" w:ascii="宋体" w:hAnsi="宋体"/>
          <w:sz w:val="24"/>
          <w:szCs w:val="24"/>
        </w:rPr>
      </w:pPr>
      <w:r>
        <w:rPr>
          <w:rFonts w:hint="eastAsia" w:ascii="宋体" w:hAnsi="宋体"/>
          <w:sz w:val="24"/>
          <w:szCs w:val="24"/>
        </w:rPr>
        <w:t>在质量保证期内，供应商负责信息系统的运行维护工作，确保信息系统安全、稳定、可靠地运行。本项目涉及的运行维护工作范围为：“一网通办”政务服务升级改造以及“一网统管”行业监管升级改造。</w:t>
      </w:r>
    </w:p>
    <w:p w14:paraId="7BD783CA">
      <w:pPr>
        <w:pStyle w:val="3"/>
        <w:ind w:left="0"/>
        <w:rPr>
          <w:rFonts w:hint="eastAsia"/>
        </w:rPr>
      </w:pPr>
      <w:bookmarkStart w:id="36" w:name="_Toc63785506"/>
      <w:r>
        <w:rPr>
          <w:rFonts w:hint="eastAsia"/>
        </w:rPr>
        <w:t>应急响应要求</w:t>
      </w:r>
      <w:bookmarkEnd w:id="36"/>
    </w:p>
    <w:p w14:paraId="15E7D971">
      <w:pPr>
        <w:pStyle w:val="106"/>
        <w:snapToGrid w:val="0"/>
        <w:spacing w:line="360" w:lineRule="auto"/>
        <w:ind w:firstLine="480"/>
        <w:rPr>
          <w:rFonts w:hint="eastAsia" w:ascii="宋体" w:hAnsi="宋体"/>
          <w:sz w:val="24"/>
          <w:szCs w:val="24"/>
        </w:rPr>
      </w:pPr>
      <w:r>
        <w:rPr>
          <w:rFonts w:hint="eastAsia" w:ascii="宋体" w:hAnsi="宋体"/>
          <w:sz w:val="24"/>
          <w:szCs w:val="24"/>
        </w:rPr>
        <w:t>供应商对系统故障应能够实时响应，若系统发生故障，接到通知后</w:t>
      </w:r>
      <w:r>
        <w:rPr>
          <w:rFonts w:ascii="宋体" w:hAnsi="宋体"/>
          <w:sz w:val="24"/>
          <w:szCs w:val="24"/>
        </w:rPr>
        <w:t>30分钟之内响应，专业工程师2小时内到达现场</w:t>
      </w:r>
      <w:r>
        <w:rPr>
          <w:rFonts w:hint="eastAsia" w:ascii="宋体" w:hAnsi="宋体"/>
          <w:sz w:val="24"/>
          <w:szCs w:val="24"/>
        </w:rPr>
        <w:t>。特殊故障与客户沟通协商后，按照协商的方式制定解决方案并进行处理。</w:t>
      </w:r>
    </w:p>
    <w:p w14:paraId="7A8D7DAB">
      <w:pPr>
        <w:pStyle w:val="106"/>
        <w:snapToGrid w:val="0"/>
        <w:spacing w:line="360" w:lineRule="auto"/>
        <w:ind w:firstLine="480"/>
        <w:rPr>
          <w:rFonts w:hint="eastAsia" w:ascii="宋体" w:hAnsi="宋体"/>
          <w:sz w:val="24"/>
          <w:szCs w:val="24"/>
        </w:rPr>
      </w:pPr>
      <w:r>
        <w:rPr>
          <w:rFonts w:hint="eastAsia" w:ascii="宋体" w:hAnsi="宋体"/>
          <w:sz w:val="24"/>
          <w:szCs w:val="24"/>
        </w:rPr>
        <w:t>具体故障级别及对应的应急响应要求如下：</w:t>
      </w:r>
    </w:p>
    <w:p w14:paraId="211AFD1D">
      <w:pPr>
        <w:pStyle w:val="106"/>
        <w:snapToGrid w:val="0"/>
        <w:spacing w:line="360" w:lineRule="auto"/>
        <w:ind w:firstLine="480"/>
        <w:rPr>
          <w:rFonts w:hint="eastAsia" w:ascii="宋体" w:hAnsi="宋体"/>
          <w:sz w:val="24"/>
          <w:szCs w:val="24"/>
        </w:rPr>
      </w:pPr>
      <w:r>
        <w:rPr>
          <w:rFonts w:hint="eastAsia" w:ascii="宋体" w:hAnsi="宋体"/>
          <w:sz w:val="24"/>
          <w:szCs w:val="24"/>
        </w:rPr>
        <w:t>一级故障：在</w:t>
      </w:r>
      <w:r>
        <w:rPr>
          <w:rFonts w:ascii="宋体" w:hAnsi="宋体"/>
          <w:sz w:val="24"/>
          <w:szCs w:val="24"/>
        </w:rPr>
        <w:t>1小时内确诊，总故障解决时间不超过4小时。</w:t>
      </w:r>
    </w:p>
    <w:p w14:paraId="236CFBE8">
      <w:pPr>
        <w:pStyle w:val="106"/>
        <w:snapToGrid w:val="0"/>
        <w:spacing w:line="360" w:lineRule="auto"/>
        <w:ind w:firstLine="480"/>
        <w:rPr>
          <w:rFonts w:hint="eastAsia" w:ascii="宋体" w:hAnsi="宋体"/>
          <w:sz w:val="24"/>
          <w:szCs w:val="24"/>
        </w:rPr>
      </w:pPr>
      <w:r>
        <w:rPr>
          <w:rFonts w:hint="eastAsia" w:ascii="宋体" w:hAnsi="宋体"/>
          <w:sz w:val="24"/>
          <w:szCs w:val="24"/>
        </w:rPr>
        <w:t>二级故障：在</w:t>
      </w:r>
      <w:r>
        <w:rPr>
          <w:rFonts w:ascii="宋体" w:hAnsi="宋体"/>
          <w:sz w:val="24"/>
          <w:szCs w:val="24"/>
        </w:rPr>
        <w:t>2小时内确诊，并在4小时内由专家到达现场确诊并解决，总故障解决时间不超过8小时；</w:t>
      </w:r>
    </w:p>
    <w:p w14:paraId="2708B9DE">
      <w:pPr>
        <w:pStyle w:val="106"/>
        <w:snapToGrid w:val="0"/>
        <w:spacing w:line="360" w:lineRule="auto"/>
        <w:ind w:firstLine="480"/>
        <w:rPr>
          <w:rFonts w:hint="eastAsia" w:ascii="宋体" w:hAnsi="宋体"/>
          <w:sz w:val="24"/>
          <w:szCs w:val="24"/>
        </w:rPr>
      </w:pPr>
      <w:r>
        <w:rPr>
          <w:rFonts w:hint="eastAsia" w:ascii="宋体" w:hAnsi="宋体"/>
          <w:sz w:val="24"/>
          <w:szCs w:val="24"/>
        </w:rPr>
        <w:t>三、四级故障：在</w:t>
      </w:r>
      <w:r>
        <w:rPr>
          <w:rFonts w:ascii="宋体" w:hAnsi="宋体"/>
          <w:sz w:val="24"/>
          <w:szCs w:val="24"/>
        </w:rPr>
        <w:t>4小时内确诊故障，总故障解决时间不超过16小时。</w:t>
      </w:r>
    </w:p>
    <w:p w14:paraId="14CF312C">
      <w:pPr>
        <w:pStyle w:val="3"/>
        <w:ind w:left="0"/>
        <w:rPr>
          <w:rFonts w:hint="eastAsia"/>
        </w:rPr>
      </w:pPr>
      <w:bookmarkStart w:id="37" w:name="_Toc63785507"/>
      <w:r>
        <w:rPr>
          <w:rFonts w:hint="eastAsia"/>
        </w:rPr>
        <w:t>培训要求</w:t>
      </w:r>
      <w:bookmarkEnd w:id="37"/>
    </w:p>
    <w:p w14:paraId="6B9E2F50">
      <w:pPr>
        <w:rPr>
          <w:rFonts w:hint="eastAsia"/>
        </w:rPr>
      </w:pPr>
      <w:r>
        <w:rPr>
          <w:rFonts w:hint="eastAsia"/>
        </w:rPr>
        <w:t>对系统使用单位提供业务操作培训，应提供详细培训方案。</w:t>
      </w:r>
    </w:p>
    <w:p w14:paraId="2E89F119">
      <w:pPr>
        <w:rPr>
          <w:rFonts w:hint="eastAsia"/>
        </w:rPr>
      </w:pPr>
      <w:r>
        <w:rPr>
          <w:rFonts w:hint="eastAsia"/>
        </w:rPr>
        <w:t>(1)在12个月的质量保证期内，提供2次与项目相关的必要培训。</w:t>
      </w:r>
    </w:p>
    <w:p w14:paraId="7CF3083F">
      <w:pPr>
        <w:rPr>
          <w:rFonts w:hint="eastAsia"/>
        </w:rPr>
      </w:pPr>
      <w:r>
        <w:rPr>
          <w:rFonts w:hint="eastAsia"/>
        </w:rPr>
        <w:t>(2)供应商需要开展分层次的人员培训工作，每次培训后应对参加培训人员进行测试，评估培训成果。培训应具有培训教材、培训环境和高水平的培训讲师。</w:t>
      </w:r>
    </w:p>
    <w:p w14:paraId="1290539F">
      <w:pPr>
        <w:rPr>
          <w:rFonts w:hint="eastAsia"/>
        </w:rPr>
      </w:pPr>
      <w:r>
        <w:rPr>
          <w:rFonts w:hint="eastAsia"/>
        </w:rPr>
        <w:t>(3)供应商应提供一般用户的基础操作培训和部门信息管理员的日常应用维护的培训，确保用户对象能够掌握对应的操作技能。</w:t>
      </w:r>
    </w:p>
    <w:p w14:paraId="45E4C29E">
      <w:pPr>
        <w:pStyle w:val="3"/>
        <w:ind w:left="0"/>
        <w:rPr>
          <w:rFonts w:hint="eastAsia"/>
        </w:rPr>
      </w:pPr>
      <w:bookmarkStart w:id="38" w:name="_Toc63785508"/>
      <w:r>
        <w:rPr>
          <w:rFonts w:hint="eastAsia"/>
        </w:rPr>
        <w:t>验收要求</w:t>
      </w:r>
      <w:bookmarkEnd w:id="38"/>
    </w:p>
    <w:p w14:paraId="740B08A7">
      <w:pPr>
        <w:rPr>
          <w:rFonts w:hint="eastAsia"/>
          <w:szCs w:val="21"/>
        </w:rPr>
      </w:pPr>
      <w:r>
        <w:rPr>
          <w:rFonts w:hint="eastAsia"/>
          <w:szCs w:val="21"/>
        </w:rPr>
        <w:t>本项目按下述方式开展验收。</w:t>
      </w:r>
    </w:p>
    <w:p w14:paraId="6657E607">
      <w:pPr>
        <w:rPr>
          <w:rFonts w:hint="eastAsia"/>
          <w:szCs w:val="21"/>
        </w:rPr>
      </w:pPr>
      <w:r>
        <w:rPr>
          <w:rFonts w:hint="eastAsia"/>
          <w:szCs w:val="21"/>
        </w:rPr>
        <w:t>（1）验收前，供应商须完成软件开发、软硬件安装和信息系统的调试等，并对本项目进行功能和运行检测，确保所有信息系统功能模块能够正常运行且已达到本项目约定的各类标准要求。供应商应以书面形式向招标方递交验收通知书。招标方应当在接到通知后的5个工作日内确定验收的具体日期，由双方按照本项目的约定完成本项目的验收。招标方有权委托第三方检测机构进行验收，对此供应商应当配合。</w:t>
      </w:r>
    </w:p>
    <w:p w14:paraId="55208205">
      <w:pPr>
        <w:rPr>
          <w:rFonts w:hint="eastAsia"/>
          <w:szCs w:val="21"/>
        </w:rPr>
      </w:pPr>
      <w:r>
        <w:rPr>
          <w:rFonts w:hint="eastAsia"/>
          <w:szCs w:val="21"/>
        </w:rPr>
        <w:t>（2）验收时，供应商须提供软件文档包括《用户需求说明书》、《系统概要设计说明书》、《系统详细设计说明书》、《三方功能需求确认单》、《测试报告》、《用户使用手册》、《系统部署文档》等）及可安装的程序运行文件。所交付的文档与文件应当是可供自然人阅读的书面和电子文档。软件文档及可安装的程序运行文件验收通过后，视为验收通过。如有缺陷，招标方应向供应商出具书面报告，陈述需要改进的缺陷。供应商应立即严格依照招标方的书面报告中的要求改进缺陷，并再次进行验收。</w:t>
      </w:r>
    </w:p>
    <w:p w14:paraId="5B28CDBC">
      <w:pPr>
        <w:rPr>
          <w:rFonts w:hint="eastAsia"/>
          <w:szCs w:val="21"/>
        </w:rPr>
      </w:pPr>
      <w:r>
        <w:rPr>
          <w:rFonts w:hint="eastAsia"/>
          <w:szCs w:val="21"/>
        </w:rPr>
        <w:t>（3）如果属于供应商原因致使本项目未能通过终验，供应商应当排除缺陷，直至本项目完全符合验收标准，由上述情形而产生的相关费用应由供应商自行承担。</w:t>
      </w:r>
    </w:p>
    <w:p w14:paraId="47698FEB">
      <w:pPr>
        <w:rPr>
          <w:rFonts w:hint="eastAsia"/>
          <w:szCs w:val="21"/>
        </w:rPr>
      </w:pPr>
      <w:r>
        <w:rPr>
          <w:rFonts w:hint="eastAsia"/>
          <w:szCs w:val="21"/>
        </w:rPr>
        <w:t>（4）如果由于招标方原因导致本项目在终验通过前出现故障或问题，供应商应及时配合排除该方面的故障或问题。</w:t>
      </w:r>
    </w:p>
    <w:p w14:paraId="37C3166B">
      <w:pPr>
        <w:rPr>
          <w:rFonts w:hint="eastAsia"/>
          <w:szCs w:val="21"/>
        </w:rPr>
      </w:pPr>
      <w:r>
        <w:rPr>
          <w:rFonts w:hint="eastAsia"/>
          <w:szCs w:val="21"/>
        </w:rPr>
        <w:t>（5）如本项目连续3次验收未通过，招标方有权解除项目，并有权依照本项目约定的违约条款追究供应商的违约责任</w:t>
      </w:r>
      <w:r>
        <w:rPr>
          <w:szCs w:val="21"/>
        </w:rPr>
        <w:t>。</w:t>
      </w:r>
    </w:p>
    <w:p w14:paraId="523FDDDD">
      <w:pPr>
        <w:pStyle w:val="3"/>
        <w:ind w:left="0"/>
        <w:rPr>
          <w:rFonts w:hint="eastAsia"/>
        </w:rPr>
      </w:pPr>
      <w:bookmarkStart w:id="39" w:name="_Toc63785509"/>
      <w:r>
        <w:rPr>
          <w:rFonts w:hint="eastAsia"/>
        </w:rPr>
        <w:t>进度要求</w:t>
      </w:r>
      <w:bookmarkEnd w:id="39"/>
    </w:p>
    <w:p w14:paraId="772F3CB3">
      <w:pPr>
        <w:rPr>
          <w:rFonts w:hint="eastAsia"/>
        </w:rPr>
      </w:pPr>
      <w:r>
        <w:rPr>
          <w:rFonts w:hint="eastAsia"/>
        </w:rPr>
        <w:t>投标人应根据建设内容，分阶段制定合理的时间进度，并且应根据招标方要求进行调整和细化。</w:t>
      </w:r>
    </w:p>
    <w:p w14:paraId="6A38A1ED">
      <w:pPr>
        <w:rPr>
          <w:rFonts w:hint="eastAsia"/>
        </w:rPr>
      </w:pPr>
      <w:r>
        <w:rPr>
          <w:rFonts w:hint="eastAsia"/>
        </w:rPr>
        <w:t>本项目要求在2</w:t>
      </w:r>
      <w:r>
        <w:t>02</w:t>
      </w:r>
      <w:r>
        <w:rPr>
          <w:rFonts w:hint="eastAsia"/>
        </w:rPr>
        <w:t>5年完成项目验收。分阶段时间进度要求如下（具体可根据实际情况调整）：</w:t>
      </w:r>
    </w:p>
    <w:p w14:paraId="19A8E787">
      <w:pPr>
        <w:rPr>
          <w:rFonts w:hint="eastAsia"/>
        </w:rPr>
      </w:pPr>
      <w:r>
        <w:rPr>
          <w:rFonts w:hint="eastAsia"/>
        </w:rPr>
        <w:t>系统建设：合同签订之日—7月份，完成需求调研、系统设计、系统开发等。</w:t>
      </w:r>
    </w:p>
    <w:p w14:paraId="7FC6E521">
      <w:pPr>
        <w:rPr>
          <w:rFonts w:hint="eastAsia"/>
        </w:rPr>
      </w:pPr>
      <w:r>
        <w:rPr>
          <w:rFonts w:hint="eastAsia"/>
        </w:rPr>
        <w:t>系统测试：8月份，完成系统配置、部署、系统接口实现、系统测试等。</w:t>
      </w:r>
    </w:p>
    <w:p w14:paraId="0C5120F2">
      <w:pPr>
        <w:rPr>
          <w:rFonts w:hint="eastAsia"/>
        </w:rPr>
      </w:pPr>
      <w:r>
        <w:rPr>
          <w:rFonts w:hint="eastAsia"/>
        </w:rPr>
        <w:t>系统试运行：提供至少一个月试运行，完成系统试运行和系统培训，发现并解决系统问题。</w:t>
      </w:r>
    </w:p>
    <w:p w14:paraId="1F69A46E">
      <w:pPr>
        <w:rPr>
          <w:rFonts w:hint="eastAsia"/>
        </w:rPr>
      </w:pPr>
      <w:r>
        <w:rPr>
          <w:rFonts w:hint="eastAsia"/>
        </w:rPr>
        <w:t>项目验收：11月份，完成项目专家验收。</w:t>
      </w:r>
    </w:p>
    <w:p w14:paraId="32D5D280">
      <w:pPr>
        <w:pStyle w:val="3"/>
        <w:ind w:left="0"/>
        <w:rPr>
          <w:rFonts w:hint="eastAsia"/>
        </w:rPr>
      </w:pPr>
      <w:bookmarkStart w:id="40" w:name="_Toc63785510"/>
      <w:r>
        <w:rPr>
          <w:rFonts w:hint="eastAsia"/>
        </w:rPr>
        <w:t>项目团队及驻场人员要求</w:t>
      </w:r>
      <w:bookmarkEnd w:id="40"/>
    </w:p>
    <w:p w14:paraId="4FF9375D">
      <w:pPr>
        <w:rPr>
          <w:rFonts w:hint="eastAsia"/>
        </w:rPr>
      </w:pPr>
      <w:r>
        <w:t>1）投标人须具有稳定的在职技术保障力量，能够提供及时的技术支援或服务，应针对本项目提供不少于</w:t>
      </w:r>
      <w:r>
        <w:rPr>
          <w:rFonts w:hint="eastAsia"/>
        </w:rPr>
        <w:t>12</w:t>
      </w:r>
      <w:r>
        <w:t>人的项目服务团队（包括项目经理、产品经理、研发</w:t>
      </w:r>
      <w:r>
        <w:rPr>
          <w:rFonts w:hint="eastAsia"/>
        </w:rPr>
        <w:t>、实施</w:t>
      </w:r>
      <w:r>
        <w:t>等），投标单位的相关服务人员需具备相应的服务能力。</w:t>
      </w:r>
    </w:p>
    <w:tbl>
      <w:tblPr>
        <w:tblStyle w:val="35"/>
        <w:tblW w:w="59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3445"/>
        <w:gridCol w:w="1992"/>
        <w:gridCol w:w="1570"/>
        <w:gridCol w:w="1570"/>
      </w:tblGrid>
      <w:tr w14:paraId="141A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53" w:type="pct"/>
            <w:shd w:val="clear" w:color="auto" w:fill="auto"/>
            <w:noWrap/>
            <w:vAlign w:val="center"/>
          </w:tcPr>
          <w:p w14:paraId="26CDD3D6">
            <w:pPr>
              <w:widowControl/>
              <w:spacing w:line="240" w:lineRule="auto"/>
              <w:ind w:firstLine="0" w:firstLineChars="0"/>
              <w:jc w:val="center"/>
              <w:rPr>
                <w:rFonts w:hint="eastAsia"/>
                <w:b/>
              </w:rPr>
            </w:pPr>
            <w:r>
              <w:rPr>
                <w:rFonts w:hint="eastAsia"/>
                <w:b/>
              </w:rPr>
              <w:t>角色</w:t>
            </w:r>
          </w:p>
        </w:tc>
        <w:tc>
          <w:tcPr>
            <w:tcW w:w="1705" w:type="pct"/>
            <w:shd w:val="clear" w:color="auto" w:fill="auto"/>
            <w:noWrap/>
            <w:vAlign w:val="center"/>
          </w:tcPr>
          <w:p w14:paraId="4144858B">
            <w:pPr>
              <w:widowControl/>
              <w:spacing w:line="240" w:lineRule="auto"/>
              <w:ind w:firstLine="0" w:firstLineChars="0"/>
              <w:jc w:val="center"/>
              <w:rPr>
                <w:rFonts w:hint="eastAsia"/>
                <w:b/>
              </w:rPr>
            </w:pPr>
            <w:r>
              <w:rPr>
                <w:rFonts w:hint="eastAsia"/>
                <w:b/>
              </w:rPr>
              <w:t>主要职责</w:t>
            </w:r>
          </w:p>
        </w:tc>
        <w:tc>
          <w:tcPr>
            <w:tcW w:w="986" w:type="pct"/>
            <w:shd w:val="clear" w:color="auto" w:fill="auto"/>
            <w:noWrap/>
            <w:vAlign w:val="center"/>
          </w:tcPr>
          <w:p w14:paraId="7CC4064D">
            <w:pPr>
              <w:widowControl/>
              <w:spacing w:line="240" w:lineRule="auto"/>
              <w:ind w:firstLine="0" w:firstLineChars="0"/>
              <w:jc w:val="center"/>
              <w:rPr>
                <w:rFonts w:hint="eastAsia"/>
                <w:b/>
              </w:rPr>
            </w:pPr>
            <w:r>
              <w:rPr>
                <w:rFonts w:hint="eastAsia"/>
                <w:b/>
              </w:rPr>
              <w:t>人员数量</w:t>
            </w:r>
          </w:p>
        </w:tc>
        <w:tc>
          <w:tcPr>
            <w:tcW w:w="777" w:type="pct"/>
            <w:shd w:val="clear" w:color="auto" w:fill="auto"/>
            <w:noWrap/>
            <w:vAlign w:val="center"/>
          </w:tcPr>
          <w:p w14:paraId="0732ABE4">
            <w:pPr>
              <w:widowControl/>
              <w:spacing w:line="240" w:lineRule="auto"/>
              <w:ind w:firstLine="0" w:firstLineChars="0"/>
              <w:jc w:val="center"/>
              <w:rPr>
                <w:rFonts w:hint="eastAsia"/>
                <w:b/>
              </w:rPr>
            </w:pPr>
            <w:r>
              <w:rPr>
                <w:rFonts w:hint="eastAsia"/>
                <w:b/>
              </w:rPr>
              <w:t>人员要求</w:t>
            </w:r>
          </w:p>
        </w:tc>
        <w:tc>
          <w:tcPr>
            <w:tcW w:w="777" w:type="pct"/>
            <w:shd w:val="clear" w:color="auto" w:fill="auto"/>
            <w:noWrap/>
            <w:vAlign w:val="center"/>
          </w:tcPr>
          <w:p w14:paraId="3DF8FD4E">
            <w:pPr>
              <w:widowControl/>
              <w:spacing w:line="240" w:lineRule="auto"/>
              <w:ind w:firstLine="0" w:firstLineChars="0"/>
              <w:jc w:val="center"/>
              <w:rPr>
                <w:rFonts w:hint="eastAsia"/>
                <w:b/>
              </w:rPr>
            </w:pPr>
            <w:r>
              <w:rPr>
                <w:rFonts w:hint="eastAsia"/>
                <w:b/>
              </w:rPr>
              <w:t>驻场要求</w:t>
            </w:r>
          </w:p>
        </w:tc>
      </w:tr>
      <w:tr w14:paraId="6C414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53" w:type="pct"/>
            <w:shd w:val="clear" w:color="auto" w:fill="auto"/>
            <w:noWrap/>
            <w:vAlign w:val="center"/>
          </w:tcPr>
          <w:p w14:paraId="5488051D">
            <w:pPr>
              <w:widowControl/>
              <w:spacing w:line="240" w:lineRule="auto"/>
              <w:ind w:firstLine="0" w:firstLineChars="0"/>
              <w:jc w:val="center"/>
              <w:rPr>
                <w:rFonts w:hint="eastAsia"/>
              </w:rPr>
            </w:pPr>
            <w:r>
              <w:rPr>
                <w:rFonts w:hint="eastAsia"/>
              </w:rPr>
              <w:t>项目经理</w:t>
            </w:r>
          </w:p>
        </w:tc>
        <w:tc>
          <w:tcPr>
            <w:tcW w:w="1705" w:type="pct"/>
            <w:shd w:val="clear" w:color="auto" w:fill="auto"/>
            <w:vAlign w:val="center"/>
          </w:tcPr>
          <w:p w14:paraId="01391E21">
            <w:pPr>
              <w:widowControl/>
              <w:spacing w:line="240" w:lineRule="auto"/>
              <w:ind w:firstLine="0" w:firstLineChars="0"/>
              <w:jc w:val="center"/>
              <w:rPr>
                <w:rFonts w:hint="eastAsia"/>
              </w:rPr>
            </w:pPr>
            <w:r>
              <w:rPr>
                <w:rFonts w:hint="eastAsia"/>
              </w:rPr>
              <w:t>负责项目质量和进度控制</w:t>
            </w:r>
          </w:p>
        </w:tc>
        <w:tc>
          <w:tcPr>
            <w:tcW w:w="986" w:type="pct"/>
            <w:shd w:val="clear" w:color="auto" w:fill="auto"/>
            <w:noWrap/>
            <w:vAlign w:val="center"/>
          </w:tcPr>
          <w:p w14:paraId="07457D62">
            <w:pPr>
              <w:widowControl/>
              <w:spacing w:line="240" w:lineRule="auto"/>
              <w:ind w:firstLine="0" w:firstLineChars="0"/>
              <w:jc w:val="center"/>
              <w:rPr>
                <w:rFonts w:hint="eastAsia"/>
              </w:rPr>
            </w:pPr>
            <w:r>
              <w:rPr>
                <w:rFonts w:hint="eastAsia"/>
              </w:rPr>
              <w:t>1人</w:t>
            </w:r>
          </w:p>
        </w:tc>
        <w:tc>
          <w:tcPr>
            <w:tcW w:w="777" w:type="pct"/>
            <w:shd w:val="clear" w:color="auto" w:fill="auto"/>
            <w:noWrap/>
            <w:vAlign w:val="center"/>
          </w:tcPr>
          <w:p w14:paraId="0FE7BE38">
            <w:pPr>
              <w:widowControl/>
              <w:spacing w:line="240" w:lineRule="auto"/>
              <w:ind w:firstLine="0" w:firstLineChars="0"/>
              <w:jc w:val="center"/>
              <w:rPr>
                <w:rFonts w:hint="eastAsia"/>
              </w:rPr>
            </w:pPr>
            <w:r>
              <w:rPr>
                <w:rFonts w:hint="eastAsia"/>
              </w:rPr>
              <w:t>信息系统项目管理师、数据库系统工程师，十年以上政务类项目实施经验</w:t>
            </w:r>
          </w:p>
        </w:tc>
        <w:tc>
          <w:tcPr>
            <w:tcW w:w="777" w:type="pct"/>
            <w:shd w:val="clear" w:color="auto" w:fill="auto"/>
            <w:noWrap/>
            <w:vAlign w:val="center"/>
          </w:tcPr>
          <w:p w14:paraId="4879305D">
            <w:pPr>
              <w:widowControl/>
              <w:spacing w:line="240" w:lineRule="auto"/>
              <w:ind w:firstLine="0" w:firstLineChars="0"/>
              <w:jc w:val="center"/>
              <w:rPr>
                <w:rFonts w:hint="eastAsia"/>
              </w:rPr>
            </w:pPr>
            <w:r>
              <w:rPr>
                <w:rFonts w:hint="eastAsia"/>
              </w:rPr>
              <w:t>驻场</w:t>
            </w:r>
          </w:p>
        </w:tc>
      </w:tr>
      <w:tr w14:paraId="6487F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53" w:type="pct"/>
            <w:shd w:val="clear" w:color="auto" w:fill="auto"/>
            <w:noWrap/>
            <w:vAlign w:val="center"/>
          </w:tcPr>
          <w:p w14:paraId="1EB260A9">
            <w:pPr>
              <w:widowControl/>
              <w:spacing w:line="240" w:lineRule="auto"/>
              <w:ind w:firstLine="0" w:firstLineChars="0"/>
              <w:jc w:val="center"/>
              <w:rPr>
                <w:rFonts w:hint="eastAsia"/>
              </w:rPr>
            </w:pPr>
            <w:r>
              <w:rPr>
                <w:rFonts w:hint="eastAsia"/>
              </w:rPr>
              <w:t>产品经理</w:t>
            </w:r>
          </w:p>
        </w:tc>
        <w:tc>
          <w:tcPr>
            <w:tcW w:w="1705" w:type="pct"/>
            <w:shd w:val="clear" w:color="auto" w:fill="auto"/>
            <w:vAlign w:val="center"/>
          </w:tcPr>
          <w:p w14:paraId="3C32FAF4">
            <w:pPr>
              <w:widowControl/>
              <w:spacing w:line="240" w:lineRule="auto"/>
              <w:ind w:firstLine="0" w:firstLineChars="0"/>
              <w:jc w:val="center"/>
              <w:rPr>
                <w:rFonts w:hint="eastAsia"/>
              </w:rPr>
            </w:pPr>
            <w:r>
              <w:rPr>
                <w:rFonts w:hint="eastAsia"/>
              </w:rPr>
              <w:t>负责项目需求评估与产品设计</w:t>
            </w:r>
          </w:p>
        </w:tc>
        <w:tc>
          <w:tcPr>
            <w:tcW w:w="986" w:type="pct"/>
            <w:shd w:val="clear" w:color="auto" w:fill="auto"/>
            <w:noWrap/>
            <w:vAlign w:val="center"/>
          </w:tcPr>
          <w:p w14:paraId="0AD22807">
            <w:pPr>
              <w:widowControl/>
              <w:spacing w:line="240" w:lineRule="auto"/>
              <w:ind w:firstLine="0" w:firstLineChars="0"/>
              <w:jc w:val="center"/>
              <w:rPr>
                <w:rFonts w:hint="eastAsia"/>
              </w:rPr>
            </w:pPr>
            <w:r>
              <w:rPr>
                <w:rFonts w:hint="eastAsia"/>
              </w:rPr>
              <w:t>2人</w:t>
            </w:r>
          </w:p>
        </w:tc>
        <w:tc>
          <w:tcPr>
            <w:tcW w:w="777" w:type="pct"/>
            <w:shd w:val="clear" w:color="auto" w:fill="auto"/>
            <w:noWrap/>
            <w:vAlign w:val="center"/>
          </w:tcPr>
          <w:p w14:paraId="3B564FA9">
            <w:pPr>
              <w:widowControl/>
              <w:spacing w:line="240" w:lineRule="auto"/>
              <w:ind w:firstLine="0" w:firstLineChars="0"/>
              <w:jc w:val="center"/>
              <w:rPr>
                <w:rFonts w:hint="eastAsia"/>
              </w:rPr>
            </w:pPr>
          </w:p>
        </w:tc>
        <w:tc>
          <w:tcPr>
            <w:tcW w:w="777" w:type="pct"/>
            <w:shd w:val="clear" w:color="auto" w:fill="auto"/>
            <w:noWrap/>
            <w:vAlign w:val="center"/>
          </w:tcPr>
          <w:p w14:paraId="793AEC4B">
            <w:pPr>
              <w:widowControl/>
              <w:spacing w:line="240" w:lineRule="auto"/>
              <w:ind w:firstLine="0" w:firstLineChars="0"/>
              <w:jc w:val="center"/>
              <w:rPr>
                <w:rFonts w:hint="eastAsia"/>
              </w:rPr>
            </w:pPr>
            <w:r>
              <w:rPr>
                <w:rFonts w:hint="eastAsia"/>
              </w:rPr>
              <w:t>至少1人驻场</w:t>
            </w:r>
          </w:p>
        </w:tc>
      </w:tr>
      <w:tr w14:paraId="2E391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53" w:type="pct"/>
            <w:shd w:val="clear" w:color="auto" w:fill="auto"/>
            <w:noWrap/>
            <w:vAlign w:val="center"/>
          </w:tcPr>
          <w:p w14:paraId="4FA78074">
            <w:pPr>
              <w:widowControl/>
              <w:spacing w:line="240" w:lineRule="auto"/>
              <w:ind w:firstLine="0" w:firstLineChars="0"/>
              <w:jc w:val="center"/>
              <w:rPr>
                <w:rFonts w:hint="eastAsia"/>
              </w:rPr>
            </w:pPr>
            <w:r>
              <w:rPr>
                <w:rFonts w:hint="eastAsia"/>
              </w:rPr>
              <w:t>研发</w:t>
            </w:r>
          </w:p>
        </w:tc>
        <w:tc>
          <w:tcPr>
            <w:tcW w:w="1705" w:type="pct"/>
            <w:shd w:val="clear" w:color="auto" w:fill="auto"/>
            <w:noWrap/>
            <w:vAlign w:val="center"/>
          </w:tcPr>
          <w:p w14:paraId="67F7CD49">
            <w:pPr>
              <w:widowControl/>
              <w:spacing w:line="240" w:lineRule="auto"/>
              <w:ind w:firstLine="0" w:firstLineChars="0"/>
              <w:jc w:val="center"/>
              <w:rPr>
                <w:rFonts w:hint="eastAsia"/>
              </w:rPr>
            </w:pPr>
            <w:r>
              <w:rPr>
                <w:rFonts w:hint="eastAsia"/>
              </w:rPr>
              <w:t>负责项目具体开发</w:t>
            </w:r>
          </w:p>
        </w:tc>
        <w:tc>
          <w:tcPr>
            <w:tcW w:w="986" w:type="pct"/>
            <w:shd w:val="clear" w:color="auto" w:fill="auto"/>
            <w:noWrap/>
            <w:vAlign w:val="center"/>
          </w:tcPr>
          <w:p w14:paraId="288B5FFC">
            <w:pPr>
              <w:widowControl/>
              <w:spacing w:line="240" w:lineRule="auto"/>
              <w:ind w:firstLine="0" w:firstLineChars="0"/>
              <w:jc w:val="center"/>
              <w:rPr>
                <w:rFonts w:hint="eastAsia"/>
              </w:rPr>
            </w:pPr>
            <w:r>
              <w:rPr>
                <w:rFonts w:hint="eastAsia"/>
              </w:rPr>
              <w:t>不少于5人</w:t>
            </w:r>
          </w:p>
        </w:tc>
        <w:tc>
          <w:tcPr>
            <w:tcW w:w="777" w:type="pct"/>
            <w:shd w:val="clear" w:color="auto" w:fill="auto"/>
            <w:noWrap/>
            <w:vAlign w:val="center"/>
          </w:tcPr>
          <w:p w14:paraId="05EE00B2">
            <w:pPr>
              <w:widowControl/>
              <w:spacing w:line="240" w:lineRule="auto"/>
              <w:ind w:firstLine="0" w:firstLineChars="0"/>
              <w:jc w:val="center"/>
              <w:rPr>
                <w:rFonts w:hint="eastAsia"/>
              </w:rPr>
            </w:pPr>
          </w:p>
        </w:tc>
        <w:tc>
          <w:tcPr>
            <w:tcW w:w="777" w:type="pct"/>
            <w:shd w:val="clear" w:color="auto" w:fill="auto"/>
            <w:noWrap/>
            <w:vAlign w:val="center"/>
          </w:tcPr>
          <w:p w14:paraId="169D5E58">
            <w:pPr>
              <w:widowControl/>
              <w:spacing w:line="240" w:lineRule="auto"/>
              <w:ind w:firstLine="0" w:firstLineChars="0"/>
              <w:jc w:val="center"/>
              <w:rPr>
                <w:rFonts w:hint="eastAsia"/>
              </w:rPr>
            </w:pPr>
            <w:r>
              <w:rPr>
                <w:rFonts w:hint="eastAsia"/>
              </w:rPr>
              <w:t>至少2人驻场</w:t>
            </w:r>
          </w:p>
        </w:tc>
      </w:tr>
      <w:tr w14:paraId="120BF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53" w:type="pct"/>
            <w:shd w:val="clear" w:color="auto" w:fill="auto"/>
            <w:noWrap/>
            <w:vAlign w:val="center"/>
          </w:tcPr>
          <w:p w14:paraId="5FA1AFC3">
            <w:pPr>
              <w:widowControl/>
              <w:spacing w:line="240" w:lineRule="auto"/>
              <w:ind w:firstLine="0" w:firstLineChars="0"/>
              <w:jc w:val="center"/>
              <w:rPr>
                <w:rFonts w:hint="eastAsia"/>
              </w:rPr>
            </w:pPr>
            <w:r>
              <w:rPr>
                <w:rFonts w:hint="eastAsia"/>
              </w:rPr>
              <w:t>实施</w:t>
            </w:r>
          </w:p>
        </w:tc>
        <w:tc>
          <w:tcPr>
            <w:tcW w:w="1705" w:type="pct"/>
            <w:shd w:val="clear" w:color="auto" w:fill="auto"/>
            <w:noWrap/>
            <w:vAlign w:val="center"/>
          </w:tcPr>
          <w:p w14:paraId="58E0B770">
            <w:pPr>
              <w:widowControl/>
              <w:spacing w:line="240" w:lineRule="auto"/>
              <w:ind w:firstLine="0" w:firstLineChars="0"/>
              <w:jc w:val="center"/>
              <w:rPr>
                <w:rFonts w:hint="eastAsia"/>
              </w:rPr>
            </w:pPr>
            <w:r>
              <w:rPr>
                <w:rFonts w:hint="eastAsia"/>
              </w:rPr>
              <w:t>负责项目实施服务</w:t>
            </w:r>
          </w:p>
        </w:tc>
        <w:tc>
          <w:tcPr>
            <w:tcW w:w="986" w:type="pct"/>
            <w:shd w:val="clear" w:color="auto" w:fill="auto"/>
            <w:noWrap/>
            <w:vAlign w:val="center"/>
          </w:tcPr>
          <w:p w14:paraId="3FEA173C">
            <w:pPr>
              <w:widowControl/>
              <w:spacing w:line="240" w:lineRule="auto"/>
              <w:ind w:firstLine="0" w:firstLineChars="0"/>
              <w:jc w:val="center"/>
              <w:rPr>
                <w:rFonts w:hint="eastAsia"/>
              </w:rPr>
            </w:pPr>
            <w:r>
              <w:rPr>
                <w:rFonts w:hint="eastAsia"/>
              </w:rPr>
              <w:t>不少于4人</w:t>
            </w:r>
          </w:p>
        </w:tc>
        <w:tc>
          <w:tcPr>
            <w:tcW w:w="777" w:type="pct"/>
            <w:shd w:val="clear" w:color="auto" w:fill="auto"/>
            <w:noWrap/>
            <w:vAlign w:val="center"/>
          </w:tcPr>
          <w:p w14:paraId="128A2095">
            <w:pPr>
              <w:widowControl/>
              <w:spacing w:line="240" w:lineRule="auto"/>
              <w:ind w:firstLine="0" w:firstLineChars="0"/>
              <w:jc w:val="center"/>
              <w:rPr>
                <w:rFonts w:hint="eastAsia"/>
              </w:rPr>
            </w:pPr>
          </w:p>
        </w:tc>
        <w:tc>
          <w:tcPr>
            <w:tcW w:w="777" w:type="pct"/>
            <w:shd w:val="clear" w:color="auto" w:fill="auto"/>
            <w:noWrap/>
            <w:vAlign w:val="center"/>
          </w:tcPr>
          <w:p w14:paraId="5810A80E">
            <w:pPr>
              <w:widowControl/>
              <w:spacing w:line="240" w:lineRule="auto"/>
              <w:ind w:firstLine="0" w:firstLineChars="0"/>
              <w:jc w:val="center"/>
              <w:rPr>
                <w:rFonts w:hint="eastAsia"/>
              </w:rPr>
            </w:pPr>
            <w:r>
              <w:rPr>
                <w:rFonts w:hint="eastAsia"/>
              </w:rPr>
              <w:t>至少2人驻场</w:t>
            </w:r>
          </w:p>
        </w:tc>
      </w:tr>
    </w:tbl>
    <w:p w14:paraId="6FF10FEA">
      <w:pPr>
        <w:rPr>
          <w:rFonts w:hint="eastAsia"/>
        </w:rPr>
      </w:pPr>
      <w:r>
        <w:rPr>
          <w:rFonts w:hint="eastAsia"/>
        </w:rPr>
        <w:t>团队成员具有高级信息系统项目管理师（除项目经理外）、中级系统集成项目管理工程师、中级数据库系统工程师、中级网络工程师的优先考虑。</w:t>
      </w:r>
    </w:p>
    <w:p w14:paraId="0DFC7AD9">
      <w:pPr>
        <w:rPr>
          <w:rFonts w:hint="eastAsia"/>
        </w:rPr>
      </w:pPr>
      <w:r>
        <w:t>2）投标人应针对本项目提供</w:t>
      </w:r>
      <w:r>
        <w:rPr>
          <w:rFonts w:hint="eastAsia"/>
        </w:rPr>
        <w:t>不少于3</w:t>
      </w:r>
      <w:r>
        <w:t>人的质保期间支撑团队</w:t>
      </w:r>
      <w:r>
        <w:rPr>
          <w:rFonts w:hint="eastAsia"/>
        </w:rPr>
        <w:t>（其中项目经理1人，产品经理1人，技术工程师不少于1人）</w:t>
      </w:r>
      <w:r>
        <w:t>；投标人的相关服务人员需具备相应的服务能力</w:t>
      </w:r>
      <w:r>
        <w:rPr>
          <w:rFonts w:hint="eastAsia"/>
        </w:rPr>
        <w:t>。</w:t>
      </w:r>
    </w:p>
    <w:tbl>
      <w:tblPr>
        <w:tblStyle w:val="35"/>
        <w:tblW w:w="59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8"/>
        <w:gridCol w:w="3444"/>
        <w:gridCol w:w="1988"/>
        <w:gridCol w:w="1570"/>
        <w:gridCol w:w="1570"/>
      </w:tblGrid>
      <w:tr w14:paraId="64A08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56" w:type="pct"/>
            <w:shd w:val="clear" w:color="auto" w:fill="auto"/>
            <w:noWrap/>
            <w:vAlign w:val="center"/>
          </w:tcPr>
          <w:p w14:paraId="2A018D9B">
            <w:pPr>
              <w:widowControl/>
              <w:spacing w:line="240" w:lineRule="auto"/>
              <w:ind w:firstLine="0" w:firstLineChars="0"/>
              <w:jc w:val="center"/>
              <w:rPr>
                <w:rFonts w:hint="eastAsia"/>
                <w:b/>
              </w:rPr>
            </w:pPr>
            <w:r>
              <w:rPr>
                <w:rFonts w:hint="eastAsia"/>
                <w:b/>
              </w:rPr>
              <w:t>角色</w:t>
            </w:r>
          </w:p>
        </w:tc>
        <w:tc>
          <w:tcPr>
            <w:tcW w:w="1704" w:type="pct"/>
            <w:shd w:val="clear" w:color="auto" w:fill="auto"/>
            <w:noWrap/>
            <w:vAlign w:val="center"/>
          </w:tcPr>
          <w:p w14:paraId="18A244AF">
            <w:pPr>
              <w:widowControl/>
              <w:spacing w:line="240" w:lineRule="auto"/>
              <w:ind w:firstLine="0" w:firstLineChars="0"/>
              <w:jc w:val="center"/>
              <w:rPr>
                <w:rFonts w:hint="eastAsia"/>
                <w:b/>
              </w:rPr>
            </w:pPr>
            <w:r>
              <w:rPr>
                <w:rFonts w:hint="eastAsia"/>
                <w:b/>
              </w:rPr>
              <w:t>主要职责</w:t>
            </w:r>
          </w:p>
        </w:tc>
        <w:tc>
          <w:tcPr>
            <w:tcW w:w="983" w:type="pct"/>
            <w:shd w:val="clear" w:color="auto" w:fill="auto"/>
            <w:noWrap/>
            <w:vAlign w:val="center"/>
          </w:tcPr>
          <w:p w14:paraId="2431AB18">
            <w:pPr>
              <w:widowControl/>
              <w:spacing w:line="240" w:lineRule="auto"/>
              <w:ind w:firstLine="0" w:firstLineChars="0"/>
              <w:jc w:val="center"/>
              <w:rPr>
                <w:rFonts w:hint="eastAsia"/>
                <w:b/>
              </w:rPr>
            </w:pPr>
            <w:r>
              <w:rPr>
                <w:rFonts w:hint="eastAsia"/>
                <w:b/>
              </w:rPr>
              <w:t>人员数量</w:t>
            </w:r>
          </w:p>
        </w:tc>
        <w:tc>
          <w:tcPr>
            <w:tcW w:w="777" w:type="pct"/>
            <w:shd w:val="clear" w:color="auto" w:fill="auto"/>
            <w:noWrap/>
            <w:vAlign w:val="center"/>
          </w:tcPr>
          <w:p w14:paraId="207D7011">
            <w:pPr>
              <w:widowControl/>
              <w:spacing w:line="240" w:lineRule="auto"/>
              <w:ind w:firstLine="0" w:firstLineChars="0"/>
              <w:jc w:val="center"/>
              <w:rPr>
                <w:rFonts w:hint="eastAsia"/>
                <w:b/>
              </w:rPr>
            </w:pPr>
            <w:r>
              <w:rPr>
                <w:rFonts w:hint="eastAsia"/>
                <w:b/>
              </w:rPr>
              <w:t>人员要求</w:t>
            </w:r>
          </w:p>
        </w:tc>
        <w:tc>
          <w:tcPr>
            <w:tcW w:w="777" w:type="pct"/>
            <w:shd w:val="clear" w:color="auto" w:fill="auto"/>
            <w:noWrap/>
            <w:vAlign w:val="center"/>
          </w:tcPr>
          <w:p w14:paraId="0741066F">
            <w:pPr>
              <w:widowControl/>
              <w:spacing w:line="240" w:lineRule="auto"/>
              <w:ind w:firstLine="0" w:firstLineChars="0"/>
              <w:jc w:val="center"/>
              <w:rPr>
                <w:rFonts w:hint="eastAsia"/>
                <w:b/>
              </w:rPr>
            </w:pPr>
            <w:r>
              <w:rPr>
                <w:rFonts w:hint="eastAsia"/>
                <w:b/>
              </w:rPr>
              <w:t>驻场要求</w:t>
            </w:r>
          </w:p>
        </w:tc>
      </w:tr>
      <w:tr w14:paraId="1F9F0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56" w:type="pct"/>
            <w:shd w:val="clear" w:color="auto" w:fill="auto"/>
            <w:noWrap/>
            <w:vAlign w:val="center"/>
          </w:tcPr>
          <w:p w14:paraId="7CF5C0C1">
            <w:pPr>
              <w:widowControl/>
              <w:spacing w:line="240" w:lineRule="auto"/>
              <w:ind w:firstLine="0" w:firstLineChars="0"/>
              <w:jc w:val="center"/>
              <w:rPr>
                <w:rFonts w:hint="eastAsia"/>
              </w:rPr>
            </w:pPr>
            <w:r>
              <w:rPr>
                <w:rFonts w:hint="eastAsia"/>
              </w:rPr>
              <w:t>项目经理</w:t>
            </w:r>
          </w:p>
        </w:tc>
        <w:tc>
          <w:tcPr>
            <w:tcW w:w="1704" w:type="pct"/>
            <w:shd w:val="clear" w:color="auto" w:fill="auto"/>
            <w:noWrap/>
            <w:vAlign w:val="center"/>
          </w:tcPr>
          <w:p w14:paraId="7AF09F80">
            <w:pPr>
              <w:widowControl/>
              <w:spacing w:line="240" w:lineRule="auto"/>
              <w:ind w:firstLine="0" w:firstLineChars="0"/>
              <w:jc w:val="center"/>
              <w:rPr>
                <w:rFonts w:hint="eastAsia"/>
              </w:rPr>
            </w:pPr>
            <w:r>
              <w:rPr>
                <w:rFonts w:hint="eastAsia"/>
              </w:rPr>
              <w:t>负责项目质量和进度控制</w:t>
            </w:r>
          </w:p>
        </w:tc>
        <w:tc>
          <w:tcPr>
            <w:tcW w:w="983" w:type="pct"/>
            <w:shd w:val="clear" w:color="auto" w:fill="auto"/>
            <w:noWrap/>
            <w:vAlign w:val="center"/>
          </w:tcPr>
          <w:p w14:paraId="7C23E736">
            <w:pPr>
              <w:widowControl/>
              <w:spacing w:line="240" w:lineRule="auto"/>
              <w:ind w:firstLine="0" w:firstLineChars="0"/>
              <w:jc w:val="center"/>
              <w:rPr>
                <w:rFonts w:hint="eastAsia"/>
              </w:rPr>
            </w:pPr>
            <w:r>
              <w:rPr>
                <w:rFonts w:hint="eastAsia"/>
              </w:rPr>
              <w:t>1人</w:t>
            </w:r>
          </w:p>
        </w:tc>
        <w:tc>
          <w:tcPr>
            <w:tcW w:w="777" w:type="pct"/>
            <w:shd w:val="clear" w:color="auto" w:fill="auto"/>
            <w:noWrap/>
            <w:vAlign w:val="center"/>
          </w:tcPr>
          <w:p w14:paraId="0869EA3F">
            <w:pPr>
              <w:widowControl/>
              <w:spacing w:line="240" w:lineRule="auto"/>
              <w:ind w:firstLine="0" w:firstLineChars="0"/>
              <w:jc w:val="center"/>
              <w:rPr>
                <w:rFonts w:hint="eastAsia"/>
              </w:rPr>
            </w:pPr>
            <w:r>
              <w:rPr>
                <w:rFonts w:hint="eastAsia"/>
              </w:rPr>
              <w:t>信息系统项目管理师、数据库系统工程师，十年以上政务类项目实施经验</w:t>
            </w:r>
          </w:p>
        </w:tc>
        <w:tc>
          <w:tcPr>
            <w:tcW w:w="777" w:type="pct"/>
            <w:shd w:val="clear" w:color="auto" w:fill="auto"/>
            <w:noWrap/>
            <w:vAlign w:val="center"/>
          </w:tcPr>
          <w:p w14:paraId="624C2E74">
            <w:pPr>
              <w:widowControl/>
              <w:spacing w:line="240" w:lineRule="auto"/>
              <w:ind w:firstLine="0" w:firstLineChars="0"/>
              <w:jc w:val="center"/>
              <w:rPr>
                <w:rFonts w:hint="eastAsia"/>
              </w:rPr>
            </w:pPr>
            <w:r>
              <w:rPr>
                <w:rFonts w:hint="eastAsia"/>
              </w:rPr>
              <w:t>不驻场</w:t>
            </w:r>
          </w:p>
        </w:tc>
      </w:tr>
      <w:tr w14:paraId="28231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56" w:type="pct"/>
            <w:shd w:val="clear" w:color="auto" w:fill="auto"/>
            <w:noWrap/>
            <w:vAlign w:val="center"/>
          </w:tcPr>
          <w:p w14:paraId="32090116">
            <w:pPr>
              <w:widowControl/>
              <w:spacing w:line="240" w:lineRule="auto"/>
              <w:ind w:firstLine="0" w:firstLineChars="0"/>
              <w:jc w:val="center"/>
              <w:rPr>
                <w:rFonts w:hint="eastAsia"/>
              </w:rPr>
            </w:pPr>
            <w:bookmarkStart w:id="41" w:name="_Toc63785511"/>
            <w:r>
              <w:rPr>
                <w:rFonts w:hint="eastAsia"/>
              </w:rPr>
              <w:t>产品经理</w:t>
            </w:r>
          </w:p>
        </w:tc>
        <w:tc>
          <w:tcPr>
            <w:tcW w:w="1704" w:type="pct"/>
            <w:shd w:val="clear" w:color="auto" w:fill="auto"/>
            <w:noWrap/>
            <w:vAlign w:val="center"/>
          </w:tcPr>
          <w:p w14:paraId="1E7B7951">
            <w:pPr>
              <w:widowControl/>
              <w:spacing w:line="240" w:lineRule="auto"/>
              <w:ind w:firstLine="0" w:firstLineChars="0"/>
              <w:jc w:val="center"/>
              <w:rPr>
                <w:rFonts w:hint="eastAsia"/>
              </w:rPr>
            </w:pPr>
            <w:r>
              <w:rPr>
                <w:rFonts w:hint="eastAsia"/>
              </w:rPr>
              <w:t>负责项目需求评估与产品设计</w:t>
            </w:r>
          </w:p>
        </w:tc>
        <w:tc>
          <w:tcPr>
            <w:tcW w:w="983" w:type="pct"/>
            <w:shd w:val="clear" w:color="auto" w:fill="auto"/>
            <w:noWrap/>
            <w:vAlign w:val="center"/>
          </w:tcPr>
          <w:p w14:paraId="01E9E77B">
            <w:pPr>
              <w:widowControl/>
              <w:spacing w:line="240" w:lineRule="auto"/>
              <w:ind w:firstLine="0" w:firstLineChars="0"/>
              <w:jc w:val="center"/>
              <w:rPr>
                <w:rFonts w:hint="eastAsia"/>
              </w:rPr>
            </w:pPr>
            <w:r>
              <w:rPr>
                <w:rFonts w:hint="eastAsia"/>
              </w:rPr>
              <w:t>1人</w:t>
            </w:r>
          </w:p>
        </w:tc>
        <w:tc>
          <w:tcPr>
            <w:tcW w:w="777" w:type="pct"/>
            <w:shd w:val="clear" w:color="auto" w:fill="auto"/>
            <w:noWrap/>
            <w:vAlign w:val="center"/>
          </w:tcPr>
          <w:p w14:paraId="0561FF00">
            <w:pPr>
              <w:widowControl/>
              <w:spacing w:line="240" w:lineRule="auto"/>
              <w:ind w:firstLine="0" w:firstLineChars="0"/>
              <w:jc w:val="center"/>
              <w:rPr>
                <w:rFonts w:hint="eastAsia"/>
              </w:rPr>
            </w:pPr>
          </w:p>
        </w:tc>
        <w:tc>
          <w:tcPr>
            <w:tcW w:w="777" w:type="pct"/>
            <w:shd w:val="clear" w:color="auto" w:fill="auto"/>
            <w:noWrap/>
            <w:vAlign w:val="center"/>
          </w:tcPr>
          <w:p w14:paraId="1B806804">
            <w:pPr>
              <w:widowControl/>
              <w:spacing w:line="240" w:lineRule="auto"/>
              <w:ind w:firstLine="0" w:firstLineChars="0"/>
              <w:jc w:val="center"/>
              <w:rPr>
                <w:rFonts w:hint="eastAsia"/>
              </w:rPr>
            </w:pPr>
            <w:r>
              <w:rPr>
                <w:rFonts w:hint="eastAsia"/>
              </w:rPr>
              <w:t>不驻场</w:t>
            </w:r>
          </w:p>
        </w:tc>
      </w:tr>
      <w:tr w14:paraId="4B64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56" w:type="pct"/>
            <w:shd w:val="clear" w:color="auto" w:fill="auto"/>
            <w:noWrap/>
            <w:vAlign w:val="center"/>
          </w:tcPr>
          <w:p w14:paraId="64456B66">
            <w:pPr>
              <w:widowControl/>
              <w:spacing w:line="240" w:lineRule="auto"/>
              <w:ind w:firstLine="0" w:firstLineChars="0"/>
              <w:jc w:val="center"/>
              <w:rPr>
                <w:rFonts w:hint="eastAsia"/>
              </w:rPr>
            </w:pPr>
            <w:r>
              <w:rPr>
                <w:rFonts w:hint="eastAsia"/>
              </w:rPr>
              <w:t>技术工程师</w:t>
            </w:r>
          </w:p>
        </w:tc>
        <w:tc>
          <w:tcPr>
            <w:tcW w:w="1704" w:type="pct"/>
            <w:shd w:val="clear" w:color="auto" w:fill="auto"/>
            <w:noWrap/>
            <w:vAlign w:val="center"/>
          </w:tcPr>
          <w:p w14:paraId="5636169C">
            <w:pPr>
              <w:widowControl/>
              <w:spacing w:line="240" w:lineRule="auto"/>
              <w:ind w:firstLine="0" w:firstLineChars="0"/>
              <w:jc w:val="center"/>
              <w:rPr>
                <w:rFonts w:hint="eastAsia"/>
              </w:rPr>
            </w:pPr>
            <w:r>
              <w:rPr>
                <w:rFonts w:hint="eastAsia"/>
              </w:rPr>
              <w:t>负责项目运行维护</w:t>
            </w:r>
          </w:p>
        </w:tc>
        <w:tc>
          <w:tcPr>
            <w:tcW w:w="983" w:type="pct"/>
            <w:shd w:val="clear" w:color="auto" w:fill="auto"/>
            <w:noWrap/>
            <w:vAlign w:val="center"/>
          </w:tcPr>
          <w:p w14:paraId="740E4C10">
            <w:pPr>
              <w:widowControl/>
              <w:spacing w:line="240" w:lineRule="auto"/>
              <w:ind w:firstLine="0" w:firstLineChars="0"/>
              <w:jc w:val="center"/>
              <w:rPr>
                <w:rFonts w:hint="eastAsia"/>
              </w:rPr>
            </w:pPr>
            <w:r>
              <w:rPr>
                <w:rFonts w:hint="eastAsia"/>
              </w:rPr>
              <w:t>1人</w:t>
            </w:r>
          </w:p>
        </w:tc>
        <w:tc>
          <w:tcPr>
            <w:tcW w:w="777" w:type="pct"/>
            <w:shd w:val="clear" w:color="auto" w:fill="auto"/>
            <w:noWrap/>
            <w:vAlign w:val="center"/>
          </w:tcPr>
          <w:p w14:paraId="63890981">
            <w:pPr>
              <w:widowControl/>
              <w:spacing w:line="240" w:lineRule="auto"/>
              <w:ind w:firstLine="0" w:firstLineChars="0"/>
              <w:jc w:val="center"/>
              <w:rPr>
                <w:rFonts w:hint="eastAsia"/>
              </w:rPr>
            </w:pPr>
          </w:p>
        </w:tc>
        <w:tc>
          <w:tcPr>
            <w:tcW w:w="777" w:type="pct"/>
            <w:shd w:val="clear" w:color="auto" w:fill="auto"/>
            <w:noWrap/>
            <w:vAlign w:val="center"/>
          </w:tcPr>
          <w:p w14:paraId="1B3E9845">
            <w:pPr>
              <w:widowControl/>
              <w:spacing w:line="240" w:lineRule="auto"/>
              <w:ind w:firstLine="0" w:firstLineChars="0"/>
              <w:jc w:val="center"/>
              <w:rPr>
                <w:rFonts w:hint="eastAsia"/>
              </w:rPr>
            </w:pPr>
            <w:r>
              <w:rPr>
                <w:rFonts w:hint="eastAsia"/>
              </w:rPr>
              <w:t>驻场</w:t>
            </w:r>
          </w:p>
        </w:tc>
      </w:tr>
    </w:tbl>
    <w:p w14:paraId="62CF23D8">
      <w:pPr>
        <w:pStyle w:val="3"/>
        <w:ind w:left="0"/>
        <w:rPr>
          <w:rFonts w:hint="eastAsia"/>
        </w:rPr>
      </w:pPr>
      <w:r>
        <w:t>等级保护要求</w:t>
      </w:r>
      <w:bookmarkEnd w:id="41"/>
    </w:p>
    <w:p w14:paraId="3F9F0111">
      <w:pPr>
        <w:rPr>
          <w:rFonts w:hint="eastAsia"/>
        </w:rPr>
      </w:pPr>
      <w:r>
        <w:t>本项目等级保护要求</w:t>
      </w:r>
      <w:r>
        <w:rPr>
          <w:rFonts w:hint="eastAsia"/>
        </w:rPr>
        <w:t>为三级。</w:t>
      </w:r>
    </w:p>
    <w:p w14:paraId="51F8BCB8">
      <w:pPr>
        <w:pStyle w:val="3"/>
        <w:ind w:left="0"/>
        <w:rPr>
          <w:rFonts w:hint="eastAsia"/>
        </w:rPr>
      </w:pPr>
      <w:r>
        <w:rPr>
          <w:rFonts w:hint="eastAsia"/>
        </w:rPr>
        <w:t>商业密码应用需求</w:t>
      </w:r>
    </w:p>
    <w:p w14:paraId="4E6CCCFD">
      <w:pPr>
        <w:rPr>
          <w:rFonts w:hint="eastAsia"/>
        </w:rPr>
      </w:pPr>
      <w:r>
        <w:rPr>
          <w:rFonts w:hint="eastAsia"/>
        </w:rPr>
        <w:t>根据安全风险分析，并对照《密码应用基本要求》中三级指标要求，梳理出本系统密码应用需求清单，如表</w:t>
      </w:r>
      <w:r>
        <w:t>所示。</w:t>
      </w:r>
    </w:p>
    <w:tbl>
      <w:tblPr>
        <w:tblStyle w:val="35"/>
        <w:tblW w:w="0" w:type="auto"/>
        <w:tblInd w:w="96" w:type="dxa"/>
        <w:tblLayout w:type="autofit"/>
        <w:tblCellMar>
          <w:top w:w="0" w:type="dxa"/>
          <w:left w:w="108" w:type="dxa"/>
          <w:bottom w:w="0" w:type="dxa"/>
          <w:right w:w="108" w:type="dxa"/>
        </w:tblCellMar>
      </w:tblPr>
      <w:tblGrid>
        <w:gridCol w:w="884"/>
        <w:gridCol w:w="1658"/>
        <w:gridCol w:w="5890"/>
      </w:tblGrid>
      <w:tr w14:paraId="3F097B91">
        <w:tblPrEx>
          <w:tblCellMar>
            <w:top w:w="0" w:type="dxa"/>
            <w:left w:w="108" w:type="dxa"/>
            <w:bottom w:w="0" w:type="dxa"/>
            <w:right w:w="108" w:type="dxa"/>
          </w:tblCellMar>
        </w:tblPrEx>
        <w:trPr>
          <w:trHeight w:val="317" w:hRule="atLeast"/>
          <w:tblHeader/>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F00E033">
            <w:pPr>
              <w:widowControl/>
              <w:ind w:firstLine="0" w:firstLineChars="0"/>
              <w:jc w:val="center"/>
              <w:textAlignment w:val="center"/>
              <w:rPr>
                <w:rFonts w:hint="eastAsia" w:cs="仿宋"/>
                <w:b/>
                <w:bCs/>
                <w:color w:val="000000"/>
                <w:szCs w:val="21"/>
              </w:rPr>
            </w:pPr>
            <w:r>
              <w:rPr>
                <w:rFonts w:hint="eastAsia" w:cs="仿宋"/>
                <w:b/>
                <w:bCs/>
                <w:color w:val="000000"/>
                <w:kern w:val="0"/>
                <w:szCs w:val="21"/>
                <w:lang w:bidi="ar"/>
              </w:rPr>
              <w:t>安全层面</w:t>
            </w:r>
          </w:p>
        </w:tc>
        <w:tc>
          <w:tcPr>
            <w:tcW w:w="0" w:type="auto"/>
            <w:tcBorders>
              <w:top w:val="single" w:color="000000" w:sz="8" w:space="0"/>
              <w:left w:val="nil"/>
              <w:bottom w:val="single" w:color="000000" w:sz="8" w:space="0"/>
              <w:right w:val="single" w:color="000000" w:sz="8" w:space="0"/>
            </w:tcBorders>
            <w:shd w:val="clear" w:color="auto" w:fill="auto"/>
            <w:vAlign w:val="center"/>
          </w:tcPr>
          <w:p w14:paraId="1FA5D9A6">
            <w:pPr>
              <w:widowControl/>
              <w:ind w:firstLine="0" w:firstLineChars="0"/>
              <w:jc w:val="center"/>
              <w:textAlignment w:val="center"/>
              <w:rPr>
                <w:rFonts w:hint="eastAsia" w:cs="仿宋"/>
                <w:b/>
                <w:bCs/>
                <w:color w:val="000000"/>
                <w:szCs w:val="21"/>
              </w:rPr>
            </w:pPr>
            <w:r>
              <w:rPr>
                <w:rFonts w:hint="eastAsia" w:cs="仿宋"/>
                <w:b/>
                <w:bCs/>
                <w:color w:val="000000"/>
                <w:kern w:val="0"/>
                <w:szCs w:val="21"/>
                <w:lang w:bidi="ar"/>
              </w:rPr>
              <w:t>指标要求</w:t>
            </w:r>
          </w:p>
        </w:tc>
        <w:tc>
          <w:tcPr>
            <w:tcW w:w="0" w:type="auto"/>
            <w:tcBorders>
              <w:top w:val="single" w:color="000000" w:sz="8" w:space="0"/>
              <w:left w:val="nil"/>
              <w:bottom w:val="single" w:color="000000" w:sz="8" w:space="0"/>
              <w:right w:val="single" w:color="000000" w:sz="8" w:space="0"/>
            </w:tcBorders>
            <w:shd w:val="clear" w:color="auto" w:fill="auto"/>
            <w:vAlign w:val="center"/>
          </w:tcPr>
          <w:p w14:paraId="389B75F8">
            <w:pPr>
              <w:widowControl/>
              <w:ind w:firstLine="0" w:firstLineChars="0"/>
              <w:jc w:val="center"/>
              <w:textAlignment w:val="center"/>
              <w:rPr>
                <w:rFonts w:hint="eastAsia" w:cs="仿宋"/>
                <w:b/>
                <w:bCs/>
                <w:color w:val="000000"/>
                <w:szCs w:val="21"/>
              </w:rPr>
            </w:pPr>
            <w:r>
              <w:rPr>
                <w:rFonts w:hint="eastAsia" w:cs="仿宋"/>
                <w:b/>
                <w:bCs/>
                <w:color w:val="000000"/>
                <w:kern w:val="0"/>
                <w:szCs w:val="21"/>
                <w:lang w:bidi="ar"/>
              </w:rPr>
              <w:t>系统密码应用需求</w:t>
            </w:r>
          </w:p>
        </w:tc>
      </w:tr>
      <w:tr w14:paraId="2C6CD5B2">
        <w:tblPrEx>
          <w:tblCellMar>
            <w:top w:w="0" w:type="dxa"/>
            <w:left w:w="108" w:type="dxa"/>
            <w:bottom w:w="0" w:type="dxa"/>
            <w:right w:w="108" w:type="dxa"/>
          </w:tblCellMar>
        </w:tblPrEx>
        <w:trPr>
          <w:trHeight w:val="615"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69D646A9">
            <w:pPr>
              <w:widowControl/>
              <w:ind w:firstLine="0" w:firstLineChars="0"/>
              <w:jc w:val="center"/>
              <w:textAlignment w:val="center"/>
              <w:rPr>
                <w:rFonts w:hint="eastAsia" w:cs="仿宋"/>
                <w:color w:val="000000"/>
                <w:szCs w:val="21"/>
              </w:rPr>
            </w:pPr>
            <w:r>
              <w:rPr>
                <w:rStyle w:val="92"/>
                <w:rFonts w:hint="default" w:cs="仿宋"/>
                <w:lang w:bidi="ar"/>
              </w:rPr>
              <w:t>网络和通信安全</w:t>
            </w:r>
          </w:p>
        </w:tc>
        <w:tc>
          <w:tcPr>
            <w:tcW w:w="0" w:type="auto"/>
            <w:tcBorders>
              <w:top w:val="nil"/>
              <w:left w:val="nil"/>
              <w:bottom w:val="single" w:color="000000" w:sz="8" w:space="0"/>
              <w:right w:val="single" w:color="000000" w:sz="8" w:space="0"/>
            </w:tcBorders>
            <w:shd w:val="clear" w:color="auto" w:fill="auto"/>
            <w:vAlign w:val="center"/>
          </w:tcPr>
          <w:p w14:paraId="5C61AB31">
            <w:pPr>
              <w:widowControl/>
              <w:ind w:firstLine="0" w:firstLineChars="0"/>
              <w:jc w:val="center"/>
              <w:textAlignment w:val="center"/>
              <w:rPr>
                <w:rFonts w:hint="eastAsia" w:cs="仿宋"/>
                <w:color w:val="000000"/>
                <w:szCs w:val="21"/>
              </w:rPr>
            </w:pPr>
            <w:r>
              <w:rPr>
                <w:rStyle w:val="92"/>
                <w:rFonts w:hint="default" w:cs="仿宋"/>
                <w:lang w:bidi="ar"/>
              </w:rPr>
              <w:t>身份鉴别</w:t>
            </w:r>
          </w:p>
        </w:tc>
        <w:tc>
          <w:tcPr>
            <w:tcW w:w="0" w:type="auto"/>
            <w:tcBorders>
              <w:top w:val="nil"/>
              <w:left w:val="nil"/>
              <w:bottom w:val="single" w:color="000000" w:sz="8" w:space="0"/>
              <w:right w:val="single" w:color="000000" w:sz="8" w:space="0"/>
            </w:tcBorders>
            <w:shd w:val="clear" w:color="auto" w:fill="auto"/>
            <w:vAlign w:val="center"/>
          </w:tcPr>
          <w:p w14:paraId="29F162ED">
            <w:pPr>
              <w:widowControl/>
              <w:ind w:firstLine="0" w:firstLineChars="0"/>
              <w:jc w:val="center"/>
              <w:textAlignment w:val="center"/>
              <w:rPr>
                <w:rFonts w:hint="eastAsia" w:cs="仿宋"/>
                <w:color w:val="000000"/>
                <w:szCs w:val="21"/>
              </w:rPr>
            </w:pPr>
            <w:r>
              <w:rPr>
                <w:rStyle w:val="92"/>
                <w:rFonts w:hint="default" w:cs="仿宋"/>
                <w:lang w:bidi="ar"/>
              </w:rPr>
              <w:t>确保终端和服务端通信实体身份的真实性，防止与假冒实体进行通信。</w:t>
            </w:r>
          </w:p>
        </w:tc>
      </w:tr>
      <w:tr w14:paraId="5DEBD214">
        <w:tblPrEx>
          <w:tblCellMar>
            <w:top w:w="0" w:type="dxa"/>
            <w:left w:w="108" w:type="dxa"/>
            <w:bottom w:w="0" w:type="dxa"/>
            <w:right w:w="108" w:type="dxa"/>
          </w:tblCellMar>
        </w:tblPrEx>
        <w:trPr>
          <w:trHeight w:val="31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664EDEF6">
            <w:pPr>
              <w:ind w:firstLine="0" w:firstLineChars="0"/>
              <w:jc w:val="center"/>
              <w:rPr>
                <w:rFonts w:hint="eastAsia" w:cs="仿宋"/>
                <w:color w:val="000000"/>
                <w:szCs w:val="21"/>
              </w:rPr>
            </w:pPr>
          </w:p>
        </w:tc>
        <w:tc>
          <w:tcPr>
            <w:tcW w:w="0" w:type="auto"/>
            <w:tcBorders>
              <w:top w:val="nil"/>
              <w:left w:val="nil"/>
              <w:bottom w:val="single" w:color="000000" w:sz="8" w:space="0"/>
              <w:right w:val="single" w:color="000000" w:sz="8" w:space="0"/>
            </w:tcBorders>
            <w:shd w:val="clear" w:color="auto" w:fill="auto"/>
            <w:vAlign w:val="center"/>
          </w:tcPr>
          <w:p w14:paraId="7ACC6046">
            <w:pPr>
              <w:widowControl/>
              <w:ind w:firstLine="0" w:firstLineChars="0"/>
              <w:jc w:val="center"/>
              <w:textAlignment w:val="center"/>
              <w:rPr>
                <w:rFonts w:hint="eastAsia" w:cs="仿宋"/>
                <w:color w:val="000000"/>
                <w:szCs w:val="21"/>
              </w:rPr>
            </w:pPr>
            <w:r>
              <w:rPr>
                <w:rStyle w:val="92"/>
                <w:rFonts w:hint="default" w:cs="仿宋"/>
                <w:lang w:bidi="ar"/>
              </w:rPr>
              <w:t>通信数据完整性</w:t>
            </w:r>
          </w:p>
        </w:tc>
        <w:tc>
          <w:tcPr>
            <w:tcW w:w="0" w:type="auto"/>
            <w:vMerge w:val="restart"/>
            <w:tcBorders>
              <w:top w:val="nil"/>
              <w:left w:val="nil"/>
              <w:bottom w:val="single" w:color="000000" w:sz="8" w:space="0"/>
              <w:right w:val="single" w:color="000000" w:sz="8" w:space="0"/>
            </w:tcBorders>
            <w:shd w:val="clear" w:color="auto" w:fill="auto"/>
            <w:vAlign w:val="center"/>
          </w:tcPr>
          <w:p w14:paraId="0D9666A0">
            <w:pPr>
              <w:widowControl/>
              <w:ind w:firstLine="0" w:firstLineChars="0"/>
              <w:jc w:val="center"/>
              <w:textAlignment w:val="center"/>
              <w:rPr>
                <w:rFonts w:hint="eastAsia" w:cs="仿宋"/>
                <w:color w:val="000000"/>
                <w:szCs w:val="21"/>
              </w:rPr>
            </w:pPr>
            <w:r>
              <w:rPr>
                <w:rStyle w:val="92"/>
                <w:rFonts w:hint="default" w:cs="仿宋"/>
                <w:lang w:bidi="ar"/>
              </w:rPr>
              <w:t>保证终端与平台服务器端通信过程中业务数据的机密性与完整性，防止数据泄露或被非授权篡改。</w:t>
            </w:r>
          </w:p>
        </w:tc>
      </w:tr>
      <w:tr w14:paraId="1AFFD020">
        <w:tblPrEx>
          <w:tblCellMar>
            <w:top w:w="0" w:type="dxa"/>
            <w:left w:w="108" w:type="dxa"/>
            <w:bottom w:w="0" w:type="dxa"/>
            <w:right w:w="108" w:type="dxa"/>
          </w:tblCellMar>
        </w:tblPrEx>
        <w:trPr>
          <w:trHeight w:val="61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3AE72DD2">
            <w:pPr>
              <w:ind w:firstLine="0" w:firstLineChars="0"/>
              <w:jc w:val="center"/>
              <w:rPr>
                <w:rFonts w:hint="eastAsia" w:cs="仿宋"/>
                <w:color w:val="000000"/>
                <w:szCs w:val="21"/>
              </w:rPr>
            </w:pPr>
          </w:p>
        </w:tc>
        <w:tc>
          <w:tcPr>
            <w:tcW w:w="0" w:type="auto"/>
            <w:tcBorders>
              <w:top w:val="nil"/>
              <w:left w:val="nil"/>
              <w:bottom w:val="single" w:color="000000" w:sz="8" w:space="0"/>
              <w:right w:val="single" w:color="000000" w:sz="8" w:space="0"/>
            </w:tcBorders>
            <w:shd w:val="clear" w:color="auto" w:fill="auto"/>
            <w:vAlign w:val="center"/>
          </w:tcPr>
          <w:p w14:paraId="51D5A1FC">
            <w:pPr>
              <w:widowControl/>
              <w:ind w:firstLine="0" w:firstLineChars="0"/>
              <w:jc w:val="center"/>
              <w:textAlignment w:val="center"/>
              <w:rPr>
                <w:rFonts w:hint="eastAsia" w:cs="仿宋"/>
                <w:color w:val="000000"/>
                <w:szCs w:val="21"/>
              </w:rPr>
            </w:pPr>
            <w:r>
              <w:rPr>
                <w:rStyle w:val="92"/>
                <w:rFonts w:hint="default" w:cs="仿宋"/>
                <w:lang w:bidi="ar"/>
              </w:rPr>
              <w:t>敏感信息或通信报文的机密性</w:t>
            </w:r>
          </w:p>
        </w:tc>
        <w:tc>
          <w:tcPr>
            <w:tcW w:w="0" w:type="auto"/>
            <w:vMerge w:val="continue"/>
            <w:tcBorders>
              <w:top w:val="nil"/>
              <w:left w:val="nil"/>
              <w:bottom w:val="single" w:color="000000" w:sz="8" w:space="0"/>
              <w:right w:val="single" w:color="000000" w:sz="8" w:space="0"/>
            </w:tcBorders>
            <w:shd w:val="clear" w:color="auto" w:fill="auto"/>
            <w:vAlign w:val="center"/>
          </w:tcPr>
          <w:p w14:paraId="0BB43271">
            <w:pPr>
              <w:ind w:firstLine="0" w:firstLineChars="0"/>
              <w:jc w:val="center"/>
              <w:rPr>
                <w:rFonts w:hint="eastAsia" w:cs="仿宋"/>
                <w:color w:val="000000"/>
                <w:szCs w:val="21"/>
              </w:rPr>
            </w:pPr>
          </w:p>
        </w:tc>
      </w:tr>
      <w:tr w14:paraId="50FCFBA0">
        <w:tblPrEx>
          <w:tblCellMar>
            <w:top w:w="0" w:type="dxa"/>
            <w:left w:w="108" w:type="dxa"/>
            <w:bottom w:w="0" w:type="dxa"/>
            <w:right w:w="108" w:type="dxa"/>
          </w:tblCellMar>
        </w:tblPrEx>
        <w:trPr>
          <w:trHeight w:val="61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62E02281">
            <w:pPr>
              <w:ind w:firstLine="0" w:firstLineChars="0"/>
              <w:jc w:val="center"/>
              <w:rPr>
                <w:rFonts w:hint="eastAsia" w:cs="仿宋"/>
                <w:color w:val="000000"/>
                <w:szCs w:val="21"/>
              </w:rPr>
            </w:pPr>
          </w:p>
        </w:tc>
        <w:tc>
          <w:tcPr>
            <w:tcW w:w="0" w:type="auto"/>
            <w:tcBorders>
              <w:top w:val="nil"/>
              <w:left w:val="nil"/>
              <w:bottom w:val="single" w:color="000000" w:sz="8" w:space="0"/>
              <w:right w:val="single" w:color="000000" w:sz="8" w:space="0"/>
            </w:tcBorders>
            <w:shd w:val="clear" w:color="auto" w:fill="auto"/>
            <w:vAlign w:val="center"/>
          </w:tcPr>
          <w:p w14:paraId="4B98A89F">
            <w:pPr>
              <w:widowControl/>
              <w:ind w:firstLine="0" w:firstLineChars="0"/>
              <w:jc w:val="center"/>
              <w:textAlignment w:val="center"/>
              <w:rPr>
                <w:rFonts w:hint="eastAsia" w:cs="仿宋"/>
                <w:color w:val="000000"/>
                <w:szCs w:val="21"/>
              </w:rPr>
            </w:pPr>
            <w:r>
              <w:rPr>
                <w:rStyle w:val="92"/>
                <w:rFonts w:hint="default" w:cs="仿宋"/>
                <w:lang w:bidi="ar"/>
              </w:rPr>
              <w:t>网络边界访问控制信息的完整性</w:t>
            </w:r>
          </w:p>
        </w:tc>
        <w:tc>
          <w:tcPr>
            <w:tcW w:w="0" w:type="auto"/>
            <w:tcBorders>
              <w:top w:val="nil"/>
              <w:left w:val="nil"/>
              <w:bottom w:val="single" w:color="000000" w:sz="8" w:space="0"/>
              <w:right w:val="single" w:color="000000" w:sz="8" w:space="0"/>
            </w:tcBorders>
            <w:shd w:val="clear" w:color="auto" w:fill="auto"/>
            <w:vAlign w:val="center"/>
          </w:tcPr>
          <w:p w14:paraId="3A89BBF8">
            <w:pPr>
              <w:widowControl/>
              <w:ind w:firstLine="0" w:firstLineChars="0"/>
              <w:jc w:val="center"/>
              <w:textAlignment w:val="center"/>
              <w:rPr>
                <w:rFonts w:hint="eastAsia" w:cs="仿宋"/>
                <w:color w:val="000000"/>
                <w:szCs w:val="21"/>
              </w:rPr>
            </w:pPr>
            <w:r>
              <w:rPr>
                <w:rStyle w:val="92"/>
                <w:rFonts w:hint="default" w:cs="仿宋"/>
                <w:lang w:bidi="ar"/>
              </w:rPr>
              <w:t>采用密码技术保证网络边界访问控制信息的完整性，防止访问控制信息被非法篡改</w:t>
            </w:r>
          </w:p>
        </w:tc>
      </w:tr>
      <w:tr w14:paraId="42D6639F">
        <w:tblPrEx>
          <w:tblCellMar>
            <w:top w:w="0" w:type="dxa"/>
            <w:left w:w="108" w:type="dxa"/>
            <w:bottom w:w="0" w:type="dxa"/>
            <w:right w:w="108" w:type="dxa"/>
          </w:tblCellMar>
        </w:tblPrEx>
        <w:trPr>
          <w:trHeight w:val="615"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144DFD7F">
            <w:pPr>
              <w:widowControl/>
              <w:ind w:firstLine="0" w:firstLineChars="0"/>
              <w:jc w:val="center"/>
              <w:textAlignment w:val="center"/>
              <w:rPr>
                <w:rFonts w:hint="eastAsia" w:cs="仿宋"/>
                <w:color w:val="000000"/>
                <w:szCs w:val="21"/>
              </w:rPr>
            </w:pPr>
            <w:r>
              <w:rPr>
                <w:rStyle w:val="92"/>
                <w:rFonts w:hint="default" w:cs="仿宋"/>
                <w:lang w:bidi="ar"/>
              </w:rPr>
              <w:t>设备和计算安全</w:t>
            </w:r>
          </w:p>
        </w:tc>
        <w:tc>
          <w:tcPr>
            <w:tcW w:w="0" w:type="auto"/>
            <w:tcBorders>
              <w:top w:val="nil"/>
              <w:left w:val="nil"/>
              <w:bottom w:val="single" w:color="000000" w:sz="8" w:space="0"/>
              <w:right w:val="single" w:color="000000" w:sz="8" w:space="0"/>
            </w:tcBorders>
            <w:shd w:val="clear" w:color="auto" w:fill="auto"/>
            <w:vAlign w:val="center"/>
          </w:tcPr>
          <w:p w14:paraId="0F02B8D9">
            <w:pPr>
              <w:widowControl/>
              <w:ind w:firstLine="0" w:firstLineChars="0"/>
              <w:jc w:val="center"/>
              <w:textAlignment w:val="center"/>
              <w:rPr>
                <w:rFonts w:hint="eastAsia" w:cs="仿宋"/>
                <w:color w:val="000000"/>
                <w:szCs w:val="21"/>
              </w:rPr>
            </w:pPr>
            <w:r>
              <w:rPr>
                <w:rStyle w:val="92"/>
                <w:rFonts w:hint="default" w:cs="仿宋"/>
                <w:lang w:bidi="ar"/>
              </w:rPr>
              <w:t>身份鉴别</w:t>
            </w:r>
          </w:p>
        </w:tc>
        <w:tc>
          <w:tcPr>
            <w:tcW w:w="0" w:type="auto"/>
            <w:tcBorders>
              <w:top w:val="nil"/>
              <w:left w:val="nil"/>
              <w:bottom w:val="single" w:color="000000" w:sz="8" w:space="0"/>
              <w:right w:val="single" w:color="000000" w:sz="8" w:space="0"/>
            </w:tcBorders>
            <w:shd w:val="clear" w:color="auto" w:fill="auto"/>
            <w:vAlign w:val="center"/>
          </w:tcPr>
          <w:p w14:paraId="767A09C9">
            <w:pPr>
              <w:widowControl/>
              <w:ind w:firstLine="0" w:firstLineChars="0"/>
              <w:jc w:val="center"/>
              <w:textAlignment w:val="center"/>
              <w:rPr>
                <w:rFonts w:hint="eastAsia" w:cs="仿宋"/>
                <w:color w:val="000000"/>
                <w:szCs w:val="21"/>
              </w:rPr>
            </w:pPr>
            <w:r>
              <w:rPr>
                <w:rStyle w:val="92"/>
                <w:rFonts w:hint="default" w:cs="仿宋"/>
                <w:lang w:bidi="ar"/>
              </w:rPr>
              <w:t>对使用政务办公网PC端浏览器登录的管理员的身份真实性进行识别和确认，防止假冒人员登录</w:t>
            </w:r>
          </w:p>
        </w:tc>
      </w:tr>
      <w:tr w14:paraId="3D94A57C">
        <w:tblPrEx>
          <w:tblCellMar>
            <w:top w:w="0" w:type="dxa"/>
            <w:left w:w="108" w:type="dxa"/>
            <w:bottom w:w="0" w:type="dxa"/>
            <w:right w:w="108" w:type="dxa"/>
          </w:tblCellMar>
        </w:tblPrEx>
        <w:trPr>
          <w:trHeight w:val="61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35B8B17D">
            <w:pPr>
              <w:ind w:firstLine="0" w:firstLineChars="0"/>
              <w:jc w:val="center"/>
              <w:rPr>
                <w:rFonts w:hint="eastAsia" w:cs="仿宋"/>
                <w:color w:val="000000"/>
                <w:szCs w:val="21"/>
              </w:rPr>
            </w:pPr>
          </w:p>
        </w:tc>
        <w:tc>
          <w:tcPr>
            <w:tcW w:w="0" w:type="auto"/>
            <w:tcBorders>
              <w:top w:val="nil"/>
              <w:left w:val="nil"/>
              <w:bottom w:val="single" w:color="000000" w:sz="8" w:space="0"/>
              <w:right w:val="single" w:color="000000" w:sz="8" w:space="0"/>
            </w:tcBorders>
            <w:shd w:val="clear" w:color="auto" w:fill="auto"/>
            <w:vAlign w:val="center"/>
          </w:tcPr>
          <w:p w14:paraId="097DE360">
            <w:pPr>
              <w:widowControl/>
              <w:ind w:firstLine="0" w:firstLineChars="0"/>
              <w:jc w:val="center"/>
              <w:textAlignment w:val="center"/>
              <w:rPr>
                <w:rFonts w:hint="eastAsia" w:cs="仿宋"/>
                <w:color w:val="000000"/>
                <w:szCs w:val="21"/>
              </w:rPr>
            </w:pPr>
            <w:r>
              <w:rPr>
                <w:rStyle w:val="92"/>
                <w:rFonts w:hint="default" w:cs="仿宋"/>
                <w:lang w:bidi="ar"/>
              </w:rPr>
              <w:t>远程管理通道安全</w:t>
            </w:r>
          </w:p>
        </w:tc>
        <w:tc>
          <w:tcPr>
            <w:tcW w:w="0" w:type="auto"/>
            <w:tcBorders>
              <w:top w:val="nil"/>
              <w:left w:val="nil"/>
              <w:bottom w:val="single" w:color="000000" w:sz="8" w:space="0"/>
              <w:right w:val="single" w:color="000000" w:sz="8" w:space="0"/>
            </w:tcBorders>
            <w:shd w:val="clear" w:color="auto" w:fill="auto"/>
            <w:vAlign w:val="center"/>
          </w:tcPr>
          <w:p w14:paraId="3D88A0FC">
            <w:pPr>
              <w:widowControl/>
              <w:ind w:firstLine="0" w:firstLineChars="0"/>
              <w:jc w:val="center"/>
              <w:textAlignment w:val="center"/>
              <w:rPr>
                <w:rFonts w:hint="eastAsia" w:cs="仿宋"/>
                <w:color w:val="000000"/>
                <w:szCs w:val="21"/>
              </w:rPr>
            </w:pPr>
            <w:r>
              <w:rPr>
                <w:rStyle w:val="92"/>
                <w:rFonts w:hint="default" w:cs="仿宋"/>
                <w:lang w:bidi="ar"/>
              </w:rPr>
              <w:t>对服务器虚拟机等设备的远程运维管理通道进行保护，防止鉴别信息泄漏。</w:t>
            </w:r>
          </w:p>
        </w:tc>
      </w:tr>
      <w:tr w14:paraId="226962D1">
        <w:tblPrEx>
          <w:tblCellMar>
            <w:top w:w="0" w:type="dxa"/>
            <w:left w:w="108" w:type="dxa"/>
            <w:bottom w:w="0" w:type="dxa"/>
            <w:right w:w="108" w:type="dxa"/>
          </w:tblCellMar>
        </w:tblPrEx>
        <w:trPr>
          <w:trHeight w:val="61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0A9D59E5">
            <w:pPr>
              <w:ind w:firstLine="0" w:firstLineChars="0"/>
              <w:jc w:val="center"/>
              <w:rPr>
                <w:rFonts w:hint="eastAsia" w:cs="仿宋"/>
                <w:color w:val="000000"/>
                <w:szCs w:val="21"/>
              </w:rPr>
            </w:pPr>
          </w:p>
        </w:tc>
        <w:tc>
          <w:tcPr>
            <w:tcW w:w="0" w:type="auto"/>
            <w:tcBorders>
              <w:top w:val="nil"/>
              <w:left w:val="nil"/>
              <w:bottom w:val="single" w:color="000000" w:sz="8" w:space="0"/>
              <w:right w:val="single" w:color="000000" w:sz="8" w:space="0"/>
            </w:tcBorders>
            <w:shd w:val="clear" w:color="auto" w:fill="auto"/>
            <w:vAlign w:val="center"/>
          </w:tcPr>
          <w:p w14:paraId="518E637B">
            <w:pPr>
              <w:widowControl/>
              <w:ind w:firstLine="0" w:firstLineChars="0"/>
              <w:jc w:val="center"/>
              <w:textAlignment w:val="center"/>
              <w:rPr>
                <w:rFonts w:hint="eastAsia" w:cs="仿宋"/>
                <w:color w:val="000000"/>
                <w:szCs w:val="21"/>
              </w:rPr>
            </w:pPr>
            <w:r>
              <w:rPr>
                <w:rStyle w:val="92"/>
                <w:rFonts w:hint="default" w:cs="仿宋"/>
                <w:lang w:bidi="ar"/>
              </w:rPr>
              <w:t>系统资源访问控制信息完整性</w:t>
            </w:r>
          </w:p>
        </w:tc>
        <w:tc>
          <w:tcPr>
            <w:tcW w:w="0" w:type="auto"/>
            <w:tcBorders>
              <w:top w:val="nil"/>
              <w:left w:val="nil"/>
              <w:bottom w:val="single" w:color="000000" w:sz="8" w:space="0"/>
              <w:right w:val="single" w:color="000000" w:sz="8" w:space="0"/>
            </w:tcBorders>
            <w:shd w:val="clear" w:color="auto" w:fill="auto"/>
            <w:vAlign w:val="center"/>
          </w:tcPr>
          <w:p w14:paraId="5E8B55DA">
            <w:pPr>
              <w:widowControl/>
              <w:ind w:firstLine="0" w:firstLineChars="0"/>
              <w:jc w:val="center"/>
              <w:textAlignment w:val="center"/>
              <w:rPr>
                <w:rFonts w:hint="eastAsia" w:cs="仿宋"/>
                <w:color w:val="000000"/>
                <w:szCs w:val="21"/>
              </w:rPr>
            </w:pPr>
            <w:r>
              <w:rPr>
                <w:rStyle w:val="92"/>
                <w:rFonts w:hint="default" w:cs="仿宋"/>
                <w:lang w:bidi="ar"/>
              </w:rPr>
              <w:t>保护计算机、服务器等设备中的系统资源访问控制信息的完整性，防止被非授权篡改</w:t>
            </w:r>
          </w:p>
        </w:tc>
      </w:tr>
      <w:tr w14:paraId="210A0E41">
        <w:tblPrEx>
          <w:tblCellMar>
            <w:top w:w="0" w:type="dxa"/>
            <w:left w:w="108" w:type="dxa"/>
            <w:bottom w:w="0" w:type="dxa"/>
            <w:right w:w="108" w:type="dxa"/>
          </w:tblCellMar>
        </w:tblPrEx>
        <w:trPr>
          <w:trHeight w:val="61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40009E81">
            <w:pPr>
              <w:ind w:firstLine="0" w:firstLineChars="0"/>
              <w:jc w:val="center"/>
              <w:rPr>
                <w:rFonts w:hint="eastAsia" w:cs="仿宋"/>
                <w:color w:val="000000"/>
                <w:szCs w:val="21"/>
              </w:rPr>
            </w:pPr>
          </w:p>
        </w:tc>
        <w:tc>
          <w:tcPr>
            <w:tcW w:w="0" w:type="auto"/>
            <w:tcBorders>
              <w:top w:val="nil"/>
              <w:left w:val="nil"/>
              <w:bottom w:val="single" w:color="000000" w:sz="8" w:space="0"/>
              <w:right w:val="single" w:color="000000" w:sz="8" w:space="0"/>
            </w:tcBorders>
            <w:shd w:val="clear" w:color="auto" w:fill="auto"/>
            <w:vAlign w:val="center"/>
          </w:tcPr>
          <w:p w14:paraId="72CD85A4">
            <w:pPr>
              <w:widowControl/>
              <w:ind w:firstLine="0" w:firstLineChars="0"/>
              <w:jc w:val="center"/>
              <w:textAlignment w:val="center"/>
              <w:rPr>
                <w:rFonts w:hint="eastAsia" w:cs="仿宋"/>
                <w:color w:val="000000"/>
                <w:szCs w:val="21"/>
              </w:rPr>
            </w:pPr>
            <w:r>
              <w:rPr>
                <w:rStyle w:val="92"/>
                <w:rFonts w:hint="default" w:cs="仿宋"/>
                <w:lang w:bidi="ar"/>
              </w:rPr>
              <w:t>日志记录完整性</w:t>
            </w:r>
          </w:p>
        </w:tc>
        <w:tc>
          <w:tcPr>
            <w:tcW w:w="0" w:type="auto"/>
            <w:tcBorders>
              <w:top w:val="nil"/>
              <w:left w:val="nil"/>
              <w:bottom w:val="single" w:color="000000" w:sz="8" w:space="0"/>
              <w:right w:val="single" w:color="000000" w:sz="8" w:space="0"/>
            </w:tcBorders>
            <w:shd w:val="clear" w:color="auto" w:fill="auto"/>
            <w:vAlign w:val="center"/>
          </w:tcPr>
          <w:p w14:paraId="518CC90E">
            <w:pPr>
              <w:widowControl/>
              <w:ind w:firstLine="0" w:firstLineChars="0"/>
              <w:jc w:val="center"/>
              <w:textAlignment w:val="center"/>
              <w:rPr>
                <w:rFonts w:hint="eastAsia" w:cs="仿宋"/>
                <w:color w:val="000000"/>
                <w:szCs w:val="21"/>
              </w:rPr>
            </w:pPr>
            <w:r>
              <w:rPr>
                <w:rStyle w:val="92"/>
                <w:rFonts w:hint="default" w:cs="仿宋"/>
                <w:lang w:bidi="ar"/>
              </w:rPr>
              <w:t>保护计算机、服务器等设备中的日志记录的完整性，防止被非授权篡改</w:t>
            </w:r>
          </w:p>
        </w:tc>
      </w:tr>
      <w:tr w14:paraId="7F92C625">
        <w:tblPrEx>
          <w:tblCellMar>
            <w:top w:w="0" w:type="dxa"/>
            <w:left w:w="108" w:type="dxa"/>
            <w:bottom w:w="0" w:type="dxa"/>
            <w:right w:w="108" w:type="dxa"/>
          </w:tblCellMar>
        </w:tblPrEx>
        <w:trPr>
          <w:trHeight w:val="61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19D1AA3C">
            <w:pPr>
              <w:ind w:firstLine="0" w:firstLineChars="0"/>
              <w:jc w:val="center"/>
              <w:rPr>
                <w:rFonts w:hint="eastAsia" w:cs="仿宋"/>
                <w:color w:val="000000"/>
                <w:szCs w:val="21"/>
              </w:rPr>
            </w:pPr>
          </w:p>
        </w:tc>
        <w:tc>
          <w:tcPr>
            <w:tcW w:w="0" w:type="auto"/>
            <w:tcBorders>
              <w:top w:val="nil"/>
              <w:left w:val="nil"/>
              <w:bottom w:val="single" w:color="000000" w:sz="8" w:space="0"/>
              <w:right w:val="single" w:color="000000" w:sz="8" w:space="0"/>
            </w:tcBorders>
            <w:shd w:val="clear" w:color="auto" w:fill="auto"/>
            <w:vAlign w:val="center"/>
          </w:tcPr>
          <w:p w14:paraId="1B7C7260">
            <w:pPr>
              <w:widowControl/>
              <w:ind w:firstLine="0" w:firstLineChars="0"/>
              <w:jc w:val="center"/>
              <w:textAlignment w:val="center"/>
              <w:rPr>
                <w:rFonts w:hint="eastAsia" w:cs="仿宋"/>
                <w:color w:val="000000"/>
                <w:szCs w:val="21"/>
              </w:rPr>
            </w:pPr>
            <w:r>
              <w:rPr>
                <w:rStyle w:val="92"/>
                <w:rFonts w:hint="default" w:cs="仿宋"/>
                <w:lang w:bidi="ar"/>
              </w:rPr>
              <w:t>重要可执行程序完整性、来源真实性</w:t>
            </w:r>
          </w:p>
        </w:tc>
        <w:tc>
          <w:tcPr>
            <w:tcW w:w="0" w:type="auto"/>
            <w:tcBorders>
              <w:top w:val="nil"/>
              <w:left w:val="nil"/>
              <w:bottom w:val="single" w:color="000000" w:sz="8" w:space="0"/>
              <w:right w:val="single" w:color="000000" w:sz="8" w:space="0"/>
            </w:tcBorders>
            <w:shd w:val="clear" w:color="auto" w:fill="auto"/>
            <w:vAlign w:val="center"/>
          </w:tcPr>
          <w:p w14:paraId="103C97A8">
            <w:pPr>
              <w:widowControl/>
              <w:ind w:firstLine="0" w:firstLineChars="0"/>
              <w:jc w:val="center"/>
              <w:textAlignment w:val="center"/>
              <w:rPr>
                <w:rFonts w:hint="eastAsia" w:cs="仿宋"/>
                <w:color w:val="000000"/>
                <w:szCs w:val="21"/>
              </w:rPr>
            </w:pPr>
            <w:r>
              <w:rPr>
                <w:rStyle w:val="71"/>
                <w:rFonts w:hint="default" w:cs="仿宋"/>
                <w:lang w:bidi="ar"/>
              </w:rPr>
              <w:t>保护应用服务器虚拟机等设备中重要可执行程序的完整性和来源真实性，防止被非授权篡改。</w:t>
            </w:r>
          </w:p>
        </w:tc>
      </w:tr>
      <w:tr w14:paraId="5F082860">
        <w:tblPrEx>
          <w:tblCellMar>
            <w:top w:w="0" w:type="dxa"/>
            <w:left w:w="108" w:type="dxa"/>
            <w:bottom w:w="0" w:type="dxa"/>
            <w:right w:w="108" w:type="dxa"/>
          </w:tblCellMar>
        </w:tblPrEx>
        <w:trPr>
          <w:trHeight w:val="615"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3CC86989">
            <w:pPr>
              <w:widowControl/>
              <w:ind w:firstLine="0" w:firstLineChars="0"/>
              <w:jc w:val="center"/>
              <w:textAlignment w:val="center"/>
              <w:rPr>
                <w:rFonts w:hint="eastAsia" w:cs="仿宋"/>
                <w:color w:val="000000"/>
                <w:szCs w:val="21"/>
              </w:rPr>
            </w:pPr>
            <w:r>
              <w:rPr>
                <w:rStyle w:val="92"/>
                <w:rFonts w:hint="default" w:cs="仿宋"/>
                <w:lang w:bidi="ar"/>
              </w:rPr>
              <w:t>应用和数据安全</w:t>
            </w:r>
          </w:p>
        </w:tc>
        <w:tc>
          <w:tcPr>
            <w:tcW w:w="0" w:type="auto"/>
            <w:tcBorders>
              <w:top w:val="nil"/>
              <w:left w:val="nil"/>
              <w:bottom w:val="single" w:color="000000" w:sz="8" w:space="0"/>
              <w:right w:val="single" w:color="000000" w:sz="8" w:space="0"/>
            </w:tcBorders>
            <w:shd w:val="clear" w:color="auto" w:fill="auto"/>
            <w:vAlign w:val="center"/>
          </w:tcPr>
          <w:p w14:paraId="6F857C6A">
            <w:pPr>
              <w:widowControl/>
              <w:ind w:firstLine="0" w:firstLineChars="0"/>
              <w:jc w:val="center"/>
              <w:textAlignment w:val="center"/>
              <w:rPr>
                <w:rFonts w:hint="eastAsia" w:cs="仿宋"/>
                <w:color w:val="000000"/>
                <w:szCs w:val="21"/>
              </w:rPr>
            </w:pPr>
            <w:r>
              <w:rPr>
                <w:rStyle w:val="92"/>
                <w:rFonts w:hint="default" w:cs="仿宋"/>
                <w:lang w:bidi="ar"/>
              </w:rPr>
              <w:t>身份鉴别</w:t>
            </w:r>
          </w:p>
        </w:tc>
        <w:tc>
          <w:tcPr>
            <w:tcW w:w="0" w:type="auto"/>
            <w:tcBorders>
              <w:top w:val="nil"/>
              <w:left w:val="nil"/>
              <w:bottom w:val="single" w:color="000000" w:sz="8" w:space="0"/>
              <w:right w:val="single" w:color="000000" w:sz="8" w:space="0"/>
            </w:tcBorders>
            <w:shd w:val="clear" w:color="auto" w:fill="auto"/>
            <w:vAlign w:val="center"/>
          </w:tcPr>
          <w:p w14:paraId="6F02F1EE">
            <w:pPr>
              <w:widowControl/>
              <w:ind w:firstLine="0" w:firstLineChars="0"/>
              <w:jc w:val="center"/>
              <w:textAlignment w:val="center"/>
              <w:rPr>
                <w:rFonts w:hint="eastAsia" w:cs="仿宋"/>
                <w:color w:val="000000"/>
                <w:szCs w:val="21"/>
              </w:rPr>
            </w:pPr>
            <w:r>
              <w:rPr>
                <w:rStyle w:val="92"/>
                <w:rFonts w:hint="default" w:cs="仿宋"/>
                <w:lang w:bidi="ar"/>
              </w:rPr>
              <w:t>确认互联网端、政务办公网PC端浏览器登录用户的身份真实性，防止假冒人员登录</w:t>
            </w:r>
          </w:p>
        </w:tc>
      </w:tr>
      <w:tr w14:paraId="79CFD77C">
        <w:tblPrEx>
          <w:tblCellMar>
            <w:top w:w="0" w:type="dxa"/>
            <w:left w:w="108" w:type="dxa"/>
            <w:bottom w:w="0" w:type="dxa"/>
            <w:right w:w="108" w:type="dxa"/>
          </w:tblCellMar>
        </w:tblPrEx>
        <w:trPr>
          <w:trHeight w:val="61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5701E0E3">
            <w:pPr>
              <w:ind w:firstLine="0" w:firstLineChars="0"/>
              <w:jc w:val="center"/>
              <w:rPr>
                <w:rFonts w:hint="eastAsia" w:cs="仿宋"/>
                <w:color w:val="000000"/>
                <w:szCs w:val="21"/>
              </w:rPr>
            </w:pPr>
          </w:p>
        </w:tc>
        <w:tc>
          <w:tcPr>
            <w:tcW w:w="0" w:type="auto"/>
            <w:tcBorders>
              <w:top w:val="nil"/>
              <w:left w:val="nil"/>
              <w:bottom w:val="single" w:color="000000" w:sz="8" w:space="0"/>
              <w:right w:val="single" w:color="000000" w:sz="8" w:space="0"/>
            </w:tcBorders>
            <w:shd w:val="clear" w:color="auto" w:fill="auto"/>
            <w:vAlign w:val="center"/>
          </w:tcPr>
          <w:p w14:paraId="7E1D4186">
            <w:pPr>
              <w:widowControl/>
              <w:ind w:firstLine="0" w:firstLineChars="0"/>
              <w:jc w:val="center"/>
              <w:textAlignment w:val="center"/>
              <w:rPr>
                <w:rFonts w:hint="eastAsia" w:cs="仿宋"/>
                <w:color w:val="000000"/>
                <w:szCs w:val="21"/>
              </w:rPr>
            </w:pPr>
            <w:r>
              <w:rPr>
                <w:rStyle w:val="92"/>
                <w:rFonts w:hint="default" w:cs="仿宋"/>
                <w:lang w:bidi="ar"/>
              </w:rPr>
              <w:t>访问控制信息完整性</w:t>
            </w:r>
          </w:p>
        </w:tc>
        <w:tc>
          <w:tcPr>
            <w:tcW w:w="0" w:type="auto"/>
            <w:tcBorders>
              <w:top w:val="nil"/>
              <w:left w:val="nil"/>
              <w:bottom w:val="single" w:color="000000" w:sz="8" w:space="0"/>
              <w:right w:val="single" w:color="000000" w:sz="8" w:space="0"/>
            </w:tcBorders>
            <w:shd w:val="clear" w:color="auto" w:fill="auto"/>
            <w:vAlign w:val="center"/>
          </w:tcPr>
          <w:p w14:paraId="4367A272">
            <w:pPr>
              <w:widowControl/>
              <w:ind w:firstLine="0" w:firstLineChars="0"/>
              <w:jc w:val="center"/>
              <w:textAlignment w:val="center"/>
              <w:rPr>
                <w:rFonts w:hint="eastAsia" w:cs="仿宋"/>
                <w:color w:val="000000"/>
                <w:szCs w:val="21"/>
              </w:rPr>
            </w:pPr>
            <w:r>
              <w:rPr>
                <w:rStyle w:val="92"/>
                <w:rFonts w:hint="default" w:cs="仿宋"/>
                <w:lang w:bidi="ar"/>
              </w:rPr>
              <w:t>对统一身份认证系统的访问权限控制列表进行完整性保护，防止被非授权篡改</w:t>
            </w:r>
          </w:p>
        </w:tc>
      </w:tr>
      <w:tr w14:paraId="78F09BDF">
        <w:tblPrEx>
          <w:tblCellMar>
            <w:top w:w="0" w:type="dxa"/>
            <w:left w:w="108" w:type="dxa"/>
            <w:bottom w:w="0" w:type="dxa"/>
            <w:right w:w="108" w:type="dxa"/>
          </w:tblCellMar>
        </w:tblPrEx>
        <w:trPr>
          <w:trHeight w:val="31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358ABBB7">
            <w:pPr>
              <w:ind w:firstLine="0" w:firstLineChars="0"/>
              <w:jc w:val="center"/>
              <w:rPr>
                <w:rFonts w:hint="eastAsia" w:cs="仿宋"/>
                <w:color w:val="000000"/>
                <w:szCs w:val="21"/>
              </w:rPr>
            </w:pPr>
          </w:p>
        </w:tc>
        <w:tc>
          <w:tcPr>
            <w:tcW w:w="0" w:type="auto"/>
            <w:tcBorders>
              <w:top w:val="nil"/>
              <w:left w:val="nil"/>
              <w:bottom w:val="single" w:color="000000" w:sz="8" w:space="0"/>
              <w:right w:val="single" w:color="000000" w:sz="8" w:space="0"/>
            </w:tcBorders>
            <w:shd w:val="clear" w:color="auto" w:fill="auto"/>
            <w:vAlign w:val="center"/>
          </w:tcPr>
          <w:p w14:paraId="26502523">
            <w:pPr>
              <w:widowControl/>
              <w:ind w:firstLine="0" w:firstLineChars="0"/>
              <w:jc w:val="center"/>
              <w:textAlignment w:val="center"/>
              <w:rPr>
                <w:rFonts w:hint="eastAsia" w:cs="仿宋"/>
                <w:color w:val="000000"/>
                <w:szCs w:val="21"/>
              </w:rPr>
            </w:pPr>
            <w:r>
              <w:rPr>
                <w:rStyle w:val="92"/>
                <w:rFonts w:hint="default" w:cs="仿宋"/>
                <w:lang w:bidi="ar"/>
              </w:rPr>
              <w:t>重要数据传输机密性</w:t>
            </w:r>
          </w:p>
        </w:tc>
        <w:tc>
          <w:tcPr>
            <w:tcW w:w="0" w:type="auto"/>
            <w:vMerge w:val="restart"/>
            <w:tcBorders>
              <w:top w:val="nil"/>
              <w:left w:val="nil"/>
              <w:bottom w:val="single" w:color="000000" w:sz="8" w:space="0"/>
              <w:right w:val="single" w:color="000000" w:sz="8" w:space="0"/>
            </w:tcBorders>
            <w:shd w:val="clear" w:color="auto" w:fill="auto"/>
            <w:vAlign w:val="center"/>
          </w:tcPr>
          <w:p w14:paraId="6BAD7865">
            <w:pPr>
              <w:widowControl/>
              <w:ind w:firstLine="0" w:firstLineChars="0"/>
              <w:jc w:val="center"/>
              <w:textAlignment w:val="center"/>
              <w:rPr>
                <w:rFonts w:hint="eastAsia" w:cs="仿宋"/>
                <w:color w:val="000000"/>
                <w:szCs w:val="21"/>
              </w:rPr>
            </w:pPr>
            <w:r>
              <w:rPr>
                <w:rStyle w:val="92"/>
                <w:rFonts w:hint="default" w:cs="仿宋"/>
                <w:lang w:bidi="ar"/>
              </w:rPr>
              <w:t>保护在客户端与服务器之间、应用系统之间的非安全网络信道中传输的和存储的用户登录身份鉴别信息、数据的机密性和完整性，防止数据泄露给非授权的个人、进程等</w:t>
            </w:r>
          </w:p>
        </w:tc>
      </w:tr>
      <w:tr w14:paraId="38A575FC">
        <w:tblPrEx>
          <w:tblCellMar>
            <w:top w:w="0" w:type="dxa"/>
            <w:left w:w="108" w:type="dxa"/>
            <w:bottom w:w="0" w:type="dxa"/>
            <w:right w:w="108" w:type="dxa"/>
          </w:tblCellMar>
        </w:tblPrEx>
        <w:trPr>
          <w:trHeight w:val="31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4198AA7B">
            <w:pPr>
              <w:ind w:firstLine="0" w:firstLineChars="0"/>
              <w:jc w:val="center"/>
              <w:rPr>
                <w:rFonts w:hint="eastAsia" w:cs="仿宋"/>
                <w:color w:val="000000"/>
                <w:szCs w:val="21"/>
              </w:rPr>
            </w:pPr>
          </w:p>
        </w:tc>
        <w:tc>
          <w:tcPr>
            <w:tcW w:w="0" w:type="auto"/>
            <w:tcBorders>
              <w:top w:val="nil"/>
              <w:left w:val="nil"/>
              <w:bottom w:val="single" w:color="000000" w:sz="8" w:space="0"/>
              <w:right w:val="single" w:color="000000" w:sz="8" w:space="0"/>
            </w:tcBorders>
            <w:shd w:val="clear" w:color="auto" w:fill="auto"/>
            <w:vAlign w:val="center"/>
          </w:tcPr>
          <w:p w14:paraId="18D0FCE3">
            <w:pPr>
              <w:widowControl/>
              <w:ind w:firstLine="0" w:firstLineChars="0"/>
              <w:jc w:val="center"/>
              <w:textAlignment w:val="center"/>
              <w:rPr>
                <w:rFonts w:hint="eastAsia" w:cs="仿宋"/>
                <w:color w:val="000000"/>
                <w:szCs w:val="21"/>
              </w:rPr>
            </w:pPr>
            <w:r>
              <w:rPr>
                <w:rStyle w:val="92"/>
                <w:rFonts w:hint="default" w:cs="仿宋"/>
                <w:lang w:bidi="ar"/>
              </w:rPr>
              <w:t>重要数据存储机密性</w:t>
            </w:r>
          </w:p>
        </w:tc>
        <w:tc>
          <w:tcPr>
            <w:tcW w:w="0" w:type="auto"/>
            <w:vMerge w:val="continue"/>
            <w:tcBorders>
              <w:top w:val="nil"/>
              <w:left w:val="nil"/>
              <w:bottom w:val="single" w:color="000000" w:sz="8" w:space="0"/>
              <w:right w:val="single" w:color="000000" w:sz="8" w:space="0"/>
            </w:tcBorders>
            <w:shd w:val="clear" w:color="auto" w:fill="auto"/>
            <w:vAlign w:val="center"/>
          </w:tcPr>
          <w:p w14:paraId="24825FE4">
            <w:pPr>
              <w:ind w:firstLine="0" w:firstLineChars="0"/>
              <w:jc w:val="center"/>
              <w:rPr>
                <w:rFonts w:hint="eastAsia" w:cs="仿宋"/>
                <w:color w:val="000000"/>
                <w:szCs w:val="21"/>
              </w:rPr>
            </w:pPr>
          </w:p>
        </w:tc>
      </w:tr>
      <w:tr w14:paraId="2FA75339">
        <w:tblPrEx>
          <w:tblCellMar>
            <w:top w:w="0" w:type="dxa"/>
            <w:left w:w="108" w:type="dxa"/>
            <w:bottom w:w="0" w:type="dxa"/>
            <w:right w:w="108" w:type="dxa"/>
          </w:tblCellMar>
        </w:tblPrEx>
        <w:trPr>
          <w:trHeight w:val="31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3EAC1B50">
            <w:pPr>
              <w:ind w:firstLine="0" w:firstLineChars="0"/>
              <w:jc w:val="center"/>
              <w:rPr>
                <w:rFonts w:hint="eastAsia" w:cs="仿宋"/>
                <w:color w:val="000000"/>
                <w:szCs w:val="21"/>
              </w:rPr>
            </w:pPr>
          </w:p>
        </w:tc>
        <w:tc>
          <w:tcPr>
            <w:tcW w:w="0" w:type="auto"/>
            <w:tcBorders>
              <w:top w:val="nil"/>
              <w:left w:val="nil"/>
              <w:bottom w:val="single" w:color="000000" w:sz="8" w:space="0"/>
              <w:right w:val="single" w:color="000000" w:sz="8" w:space="0"/>
            </w:tcBorders>
            <w:shd w:val="clear" w:color="auto" w:fill="auto"/>
            <w:vAlign w:val="center"/>
          </w:tcPr>
          <w:p w14:paraId="6BA0B2F0">
            <w:pPr>
              <w:widowControl/>
              <w:ind w:firstLine="0" w:firstLineChars="0"/>
              <w:jc w:val="center"/>
              <w:textAlignment w:val="center"/>
              <w:rPr>
                <w:rFonts w:hint="eastAsia" w:cs="仿宋"/>
                <w:color w:val="000000"/>
                <w:szCs w:val="21"/>
              </w:rPr>
            </w:pPr>
            <w:r>
              <w:rPr>
                <w:rStyle w:val="92"/>
                <w:rFonts w:hint="default" w:cs="仿宋"/>
                <w:lang w:bidi="ar"/>
              </w:rPr>
              <w:t>重要数据传输完整性</w:t>
            </w:r>
          </w:p>
        </w:tc>
        <w:tc>
          <w:tcPr>
            <w:tcW w:w="0" w:type="auto"/>
            <w:vMerge w:val="continue"/>
            <w:tcBorders>
              <w:top w:val="nil"/>
              <w:left w:val="nil"/>
              <w:bottom w:val="single" w:color="000000" w:sz="8" w:space="0"/>
              <w:right w:val="single" w:color="000000" w:sz="8" w:space="0"/>
            </w:tcBorders>
            <w:shd w:val="clear" w:color="auto" w:fill="auto"/>
            <w:vAlign w:val="center"/>
          </w:tcPr>
          <w:p w14:paraId="0EFD8A17">
            <w:pPr>
              <w:ind w:firstLine="0" w:firstLineChars="0"/>
              <w:jc w:val="center"/>
              <w:rPr>
                <w:rFonts w:hint="eastAsia" w:cs="仿宋"/>
                <w:color w:val="000000"/>
                <w:szCs w:val="21"/>
              </w:rPr>
            </w:pPr>
          </w:p>
        </w:tc>
      </w:tr>
      <w:tr w14:paraId="226C86AF">
        <w:tblPrEx>
          <w:tblCellMar>
            <w:top w:w="0" w:type="dxa"/>
            <w:left w:w="108" w:type="dxa"/>
            <w:bottom w:w="0" w:type="dxa"/>
            <w:right w:w="108" w:type="dxa"/>
          </w:tblCellMar>
        </w:tblPrEx>
        <w:trPr>
          <w:trHeight w:val="31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41307465">
            <w:pPr>
              <w:ind w:firstLine="0" w:firstLineChars="0"/>
              <w:jc w:val="center"/>
              <w:rPr>
                <w:rFonts w:hint="eastAsia" w:cs="仿宋"/>
                <w:color w:val="000000"/>
                <w:szCs w:val="21"/>
              </w:rPr>
            </w:pPr>
          </w:p>
        </w:tc>
        <w:tc>
          <w:tcPr>
            <w:tcW w:w="0" w:type="auto"/>
            <w:tcBorders>
              <w:top w:val="nil"/>
              <w:left w:val="nil"/>
              <w:bottom w:val="single" w:color="000000" w:sz="8" w:space="0"/>
              <w:right w:val="single" w:color="000000" w:sz="8" w:space="0"/>
            </w:tcBorders>
            <w:shd w:val="clear" w:color="auto" w:fill="auto"/>
            <w:vAlign w:val="center"/>
          </w:tcPr>
          <w:p w14:paraId="7AEE137D">
            <w:pPr>
              <w:widowControl/>
              <w:ind w:firstLine="0" w:firstLineChars="0"/>
              <w:jc w:val="center"/>
              <w:textAlignment w:val="center"/>
              <w:rPr>
                <w:rFonts w:hint="eastAsia" w:cs="仿宋"/>
                <w:color w:val="000000"/>
                <w:szCs w:val="21"/>
              </w:rPr>
            </w:pPr>
            <w:r>
              <w:rPr>
                <w:rStyle w:val="92"/>
                <w:rFonts w:hint="default" w:cs="仿宋"/>
                <w:lang w:bidi="ar"/>
              </w:rPr>
              <w:t>重要数据存储完整性</w:t>
            </w:r>
          </w:p>
        </w:tc>
        <w:tc>
          <w:tcPr>
            <w:tcW w:w="0" w:type="auto"/>
            <w:vMerge w:val="continue"/>
            <w:tcBorders>
              <w:top w:val="nil"/>
              <w:left w:val="nil"/>
              <w:bottom w:val="single" w:color="000000" w:sz="8" w:space="0"/>
              <w:right w:val="single" w:color="000000" w:sz="8" w:space="0"/>
            </w:tcBorders>
            <w:shd w:val="clear" w:color="auto" w:fill="auto"/>
            <w:vAlign w:val="center"/>
          </w:tcPr>
          <w:p w14:paraId="1A6EA995">
            <w:pPr>
              <w:ind w:firstLine="0" w:firstLineChars="0"/>
              <w:jc w:val="center"/>
              <w:rPr>
                <w:rFonts w:hint="eastAsia" w:cs="仿宋"/>
                <w:color w:val="000000"/>
                <w:szCs w:val="21"/>
              </w:rPr>
            </w:pPr>
          </w:p>
        </w:tc>
      </w:tr>
    </w:tbl>
    <w:p w14:paraId="38779AFA">
      <w:pPr>
        <w:pStyle w:val="3"/>
        <w:ind w:left="0"/>
        <w:rPr>
          <w:rFonts w:hint="eastAsia"/>
        </w:rPr>
      </w:pPr>
      <w:bookmarkStart w:id="42" w:name="_Toc63785512"/>
      <w:r>
        <w:rPr>
          <w:rFonts w:hint="eastAsia"/>
        </w:rPr>
        <w:t>技术文件要求</w:t>
      </w:r>
    </w:p>
    <w:p w14:paraId="5F813386">
      <w:pPr>
        <w:rPr>
          <w:rFonts w:hint="eastAsia"/>
        </w:rPr>
      </w:pPr>
      <w:r>
        <w:rPr>
          <w:rFonts w:hint="eastAsia"/>
        </w:rPr>
        <w:t>投标人提供的书面技术资料应能确保系统正常运行所需的管理、运营及维护有关的全套文件。技术文件应该全面、完整、详细。投标人提供的技术文件至少应包括：</w:t>
      </w:r>
    </w:p>
    <w:p w14:paraId="7AA27930">
      <w:pPr>
        <w:rPr>
          <w:rFonts w:hint="eastAsia"/>
        </w:rPr>
      </w:pPr>
      <w:r>
        <w:rPr>
          <w:rFonts w:hint="eastAsia"/>
        </w:rPr>
        <w:t>－</w:t>
      </w:r>
      <w:r>
        <w:t xml:space="preserve"> 系统说明文件； </w:t>
      </w:r>
    </w:p>
    <w:p w14:paraId="46101AA7">
      <w:pPr>
        <w:rPr>
          <w:rFonts w:hint="eastAsia"/>
        </w:rPr>
      </w:pPr>
      <w:r>
        <w:rPr>
          <w:rFonts w:hint="eastAsia"/>
        </w:rPr>
        <w:t>－</w:t>
      </w:r>
      <w:r>
        <w:t xml:space="preserve"> 技术手册(安装、测试、操作、维护、故障排除等)； </w:t>
      </w:r>
    </w:p>
    <w:p w14:paraId="72DB4804">
      <w:pPr>
        <w:rPr>
          <w:rFonts w:hint="eastAsia"/>
        </w:rPr>
      </w:pPr>
      <w:r>
        <w:rPr>
          <w:rFonts w:hint="eastAsia"/>
        </w:rPr>
        <w:t>－</w:t>
      </w:r>
      <w:r>
        <w:t xml:space="preserve"> 项目文档，应该包括：</w:t>
      </w:r>
    </w:p>
    <w:p w14:paraId="6166A901">
      <w:pPr>
        <w:ind w:left="360"/>
        <w:rPr>
          <w:rFonts w:hint="eastAsia"/>
        </w:rPr>
      </w:pPr>
      <w:r>
        <w:t>(1)软件需求说明书</w:t>
      </w:r>
    </w:p>
    <w:p w14:paraId="3A6E6667">
      <w:pPr>
        <w:ind w:left="360"/>
        <w:rPr>
          <w:rFonts w:hint="eastAsia"/>
        </w:rPr>
      </w:pPr>
      <w:r>
        <w:t>(2)</w:t>
      </w:r>
      <w:r>
        <w:tab/>
      </w:r>
      <w:r>
        <w:t>系统总体设计说明书</w:t>
      </w:r>
    </w:p>
    <w:p w14:paraId="385B4B7E">
      <w:pPr>
        <w:ind w:left="360"/>
        <w:rPr>
          <w:rFonts w:hint="eastAsia"/>
        </w:rPr>
      </w:pPr>
      <w:r>
        <w:t>(3)</w:t>
      </w:r>
      <w:r>
        <w:tab/>
      </w:r>
      <w:r>
        <w:t>应用软件功能清单</w:t>
      </w:r>
    </w:p>
    <w:p w14:paraId="216C04F4">
      <w:pPr>
        <w:rPr>
          <w:rFonts w:hint="eastAsia"/>
        </w:rPr>
      </w:pPr>
      <w:r>
        <w:rPr>
          <w:rFonts w:hint="eastAsia"/>
        </w:rPr>
        <w:t>提供全套技术文件纸介质</w:t>
      </w:r>
      <w:r>
        <w:t>3套以及电子文件1套。</w:t>
      </w:r>
    </w:p>
    <w:p w14:paraId="541566AC">
      <w:pPr>
        <w:pStyle w:val="2"/>
        <w:rPr>
          <w:rFonts w:hint="eastAsia"/>
        </w:rPr>
      </w:pPr>
      <w:r>
        <w:rPr>
          <w:rFonts w:hint="eastAsia"/>
        </w:rPr>
        <w:t>供应商管理要求</w:t>
      </w:r>
      <w:bookmarkEnd w:id="42"/>
    </w:p>
    <w:p w14:paraId="5410B943">
      <w:pPr>
        <w:pStyle w:val="80"/>
        <w:ind w:firstLine="480"/>
        <w:rPr>
          <w:rFonts w:hint="eastAsia"/>
          <w:sz w:val="24"/>
          <w:szCs w:val="24"/>
        </w:rPr>
      </w:pPr>
      <w:r>
        <w:rPr>
          <w:rFonts w:hint="eastAsia"/>
          <w:sz w:val="24"/>
          <w:szCs w:val="24"/>
        </w:rPr>
        <w:t>1、在项目实施期间，中标人应严格执行国家、地方、行业有关本项目业务管理和安全作业的法律、法规和制度并按规定承担相应的费用。中标人因违反规定等原因造成的一切损失和责任由中标人自行承担。</w:t>
      </w:r>
    </w:p>
    <w:p w14:paraId="20A024F2">
      <w:pPr>
        <w:pStyle w:val="80"/>
        <w:ind w:firstLine="480"/>
        <w:rPr>
          <w:rFonts w:hint="eastAsia"/>
          <w:sz w:val="24"/>
          <w:szCs w:val="24"/>
        </w:rPr>
      </w:pPr>
      <w:r>
        <w:rPr>
          <w:rFonts w:hint="eastAsia"/>
          <w:sz w:val="24"/>
          <w:szCs w:val="24"/>
        </w:rPr>
        <w:t>2、中标人在投标书中承诺并经招标人认定的项目负责人及专业技术人员必须是本单位职工（在本单位缴纳社会保障金）和该项目实施现场的实际操作者，应具有类似本项目的实施经验，并应在软件应用调研、安装、试运行等期间常驻项目现场。未经采购人同意，中标人不得调换或撤离上述人员。如采购人认为有必要，可要求中标人对上述人员中的部分人员作出更好的调整。</w:t>
      </w:r>
    </w:p>
    <w:p w14:paraId="3AB61714">
      <w:pPr>
        <w:pStyle w:val="80"/>
        <w:ind w:firstLine="480"/>
        <w:rPr>
          <w:rFonts w:hint="eastAsia"/>
          <w:sz w:val="24"/>
          <w:szCs w:val="24"/>
        </w:rPr>
      </w:pPr>
      <w:r>
        <w:rPr>
          <w:rFonts w:hint="eastAsia"/>
          <w:sz w:val="24"/>
          <w:szCs w:val="24"/>
        </w:rPr>
        <w:t>3、中标人在项目实施期间，应按项目实际进度与环节落实所对应项目整体及各环节管理工作，按照规范做好项目实施期间相关管理与实施记录。</w:t>
      </w:r>
    </w:p>
    <w:p w14:paraId="76A038D2">
      <w:pPr>
        <w:pStyle w:val="80"/>
        <w:ind w:firstLine="480"/>
        <w:rPr>
          <w:rFonts w:hint="eastAsia"/>
          <w:sz w:val="24"/>
          <w:szCs w:val="24"/>
        </w:rPr>
      </w:pPr>
      <w:r>
        <w:rPr>
          <w:rFonts w:hint="eastAsia"/>
          <w:sz w:val="24"/>
          <w:szCs w:val="24"/>
        </w:rPr>
        <w:t>4、参与本项目的工作人员应严格遵循采购人的安全制度，保障采购人资料和设备的安全。中标方如需进入采购人机房工作，只能在采购人规定的工作区域内对项目涉及的设备进行操作，严禁触动与项目无关的任何设备（包括任何操作行为），如需跨区操作必须得到采购人项目联系人确认。</w:t>
      </w:r>
    </w:p>
    <w:p w14:paraId="7BB0D954">
      <w:pPr>
        <w:pStyle w:val="80"/>
        <w:ind w:firstLine="480"/>
        <w:rPr>
          <w:rFonts w:hint="eastAsia"/>
          <w:sz w:val="24"/>
          <w:szCs w:val="24"/>
        </w:rPr>
      </w:pPr>
      <w:r>
        <w:rPr>
          <w:rFonts w:hint="eastAsia"/>
          <w:sz w:val="24"/>
          <w:szCs w:val="24"/>
        </w:rPr>
        <w:t>5、中标人在项目实施期间必须遵守采购人的规章制度并提供实施人员名单。</w:t>
      </w:r>
    </w:p>
    <w:p w14:paraId="4A8E7442">
      <w:pPr>
        <w:pStyle w:val="80"/>
        <w:ind w:firstLine="480"/>
        <w:rPr>
          <w:rFonts w:hint="eastAsia"/>
          <w:sz w:val="24"/>
          <w:szCs w:val="24"/>
        </w:rPr>
      </w:pPr>
      <w:r>
        <w:rPr>
          <w:rFonts w:hint="eastAsia"/>
          <w:sz w:val="24"/>
          <w:szCs w:val="24"/>
        </w:rPr>
        <w:t>6、各投标人在投标文件中要结合本项目的特点和采购人上述的具体要求制定相应的管理措施，并在报价中列支相应的费用清单，投标人报价中未列支上述费用清单的，上述费用视为已包含在投标人的投标总报价中。</w:t>
      </w:r>
    </w:p>
    <w:p w14:paraId="560EF4D9">
      <w:pPr>
        <w:pStyle w:val="80"/>
        <w:ind w:firstLine="480"/>
        <w:rPr>
          <w:rFonts w:hint="eastAsia"/>
        </w:rPr>
      </w:pPr>
      <w:r>
        <w:rPr>
          <w:rFonts w:hint="eastAsia"/>
          <w:sz w:val="24"/>
          <w:szCs w:val="24"/>
        </w:rPr>
        <w:t>7、本项目软件开发及调试将纳入采购人的管理范围，中标人在此过程中须服从上述单位的管理协调。</w:t>
      </w:r>
    </w:p>
    <w:p w14:paraId="16D3FFC0">
      <w:pPr>
        <w:pStyle w:val="2"/>
        <w:rPr>
          <w:rFonts w:hint="eastAsia"/>
        </w:rPr>
      </w:pPr>
      <w:bookmarkStart w:id="43" w:name="_Toc63785513"/>
      <w:r>
        <w:rPr>
          <w:rFonts w:hint="eastAsia"/>
        </w:rPr>
        <w:t>关于转让和分包的规定</w:t>
      </w:r>
    </w:p>
    <w:p w14:paraId="5E073733">
      <w:pPr>
        <w:pStyle w:val="80"/>
        <w:ind w:firstLine="480"/>
        <w:rPr>
          <w:rFonts w:hint="eastAsia"/>
          <w:sz w:val="24"/>
          <w:szCs w:val="24"/>
        </w:rPr>
      </w:pPr>
      <w:r>
        <w:rPr>
          <w:rFonts w:hint="eastAsia"/>
          <w:sz w:val="24"/>
          <w:szCs w:val="24"/>
        </w:rPr>
        <w:t>本项目不得转让不得分包。</w:t>
      </w:r>
    </w:p>
    <w:p w14:paraId="55DD802F">
      <w:pPr>
        <w:pStyle w:val="2"/>
        <w:rPr>
          <w:rFonts w:hint="eastAsia"/>
        </w:rPr>
      </w:pPr>
      <w:r>
        <w:rPr>
          <w:rFonts w:hint="eastAsia"/>
        </w:rPr>
        <w:t>知识产权及保密要求</w:t>
      </w:r>
      <w:bookmarkEnd w:id="43"/>
    </w:p>
    <w:p w14:paraId="2D8B710E">
      <w:pPr>
        <w:ind w:firstLine="482"/>
        <w:rPr>
          <w:rFonts w:hint="eastAsia"/>
          <w:b/>
        </w:rPr>
      </w:pPr>
      <w:r>
        <w:rPr>
          <w:b/>
        </w:rPr>
        <w:t>1、中标人数据、文件、资料知识产权</w:t>
      </w:r>
    </w:p>
    <w:p w14:paraId="597CE1BA">
      <w:pPr>
        <w:rPr>
          <w:rFonts w:hint="eastAsia"/>
        </w:rPr>
      </w:pPr>
      <w:r>
        <w:rPr>
          <w:rFonts w:hint="eastAsia"/>
        </w:rPr>
        <w:t>中标人保证其所提供的服务和交付的成果以及在履行本项目义务中使用到的所有数据、文件、信息不会引起任何第三方在专利权、著作权、商标权等知识产权方面向采购人或采购人的关联方及合作方（包括但不限于采购人的主管单位和采购人的合作单位等）发出侵权指控或提出索赔。若有，中标人应负责与第三方解决纠纷，若因此导致采购人损失的，采购人有权要求中标人赔偿采购人因此遭受的全部损失，包括但不限于直接损失、间接损失、诉讼费／仲裁费、律师费、公证费、鉴定费等。</w:t>
      </w:r>
    </w:p>
    <w:p w14:paraId="26EC8CE4">
      <w:pPr>
        <w:rPr>
          <w:rFonts w:hint="eastAsia"/>
        </w:rPr>
      </w:pPr>
      <w:r>
        <w:rPr>
          <w:rFonts w:hint="eastAsia"/>
        </w:rPr>
        <w:t>中标人因履行本项目而产生的所有成果的知识产权等权利均归采购人所有，中标人应配合采购人进行相关权利登记或申请。未经采购人书面同意，中标人不得以任何形式使用或许可他人使用本项目成果的相关内容，不得擅自对外公开发表或向任何第三方透露。</w:t>
      </w:r>
    </w:p>
    <w:p w14:paraId="5BE5C504">
      <w:pPr>
        <w:rPr>
          <w:rFonts w:hint="eastAsia"/>
        </w:rPr>
      </w:pPr>
      <w:r>
        <w:rPr>
          <w:rFonts w:hint="eastAsia"/>
        </w:rPr>
        <w:t>在不影响上述条款规定的由采购人取得所有成果的知识产权的前提下，双方因履行本项目而被授权接触或使用对方之知识产权（包括但不限于商标、专利、著作权等），和/或任何其他相关资料、数据等涉及的任何权利，均不视为向另一方转让上述权利或在本项目范围外授权许可另一方使用上述权利，上述权利仍应属于提供方，并仅可使用于本项目，被授权接触或使用方未经提供方书面同意，不得擅自挪作他用。</w:t>
      </w:r>
    </w:p>
    <w:p w14:paraId="18C42184">
      <w:pPr>
        <w:ind w:firstLine="482"/>
        <w:rPr>
          <w:rFonts w:hint="eastAsia"/>
          <w:b/>
        </w:rPr>
      </w:pPr>
      <w:r>
        <w:rPr>
          <w:b/>
        </w:rPr>
        <w:t>2、项目保密要求</w:t>
      </w:r>
    </w:p>
    <w:p w14:paraId="3746907B">
      <w:pPr>
        <w:rPr>
          <w:rFonts w:hint="eastAsia"/>
        </w:rPr>
      </w:pPr>
      <w:r>
        <w:rPr>
          <w:rFonts w:hint="eastAsia"/>
        </w:rPr>
        <w:t>中标人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中标人不得对外泄露采购人要求保密的信息，不得用于其他用途，否则中标人需承担由此引起的法律责任和经济责任，包括但不限于直接损失、间接损失、律师费、诉讼费/仲裁费、调查费、公证费等。</w:t>
      </w:r>
    </w:p>
    <w:p w14:paraId="29219C1F">
      <w:pPr>
        <w:rPr>
          <w:rFonts w:hint="eastAsia"/>
        </w:rPr>
      </w:pPr>
      <w:r>
        <w:rPr>
          <w:rFonts w:hint="eastAsia"/>
        </w:rPr>
        <w:t>中标人应采取必要的有效措施保证其参与本项目的人员（包括中标人聘用的人员、借调的人员、实习的人员）无论是在职或离职后，以及中标人的合作方无论是合作中或合作终止后，都能够履行本项目约定的保密义务。若中标人人员或中标人合作方违反保密规定，中标人应承担连带责任。</w:t>
      </w:r>
    </w:p>
    <w:p w14:paraId="096F1826">
      <w:pPr>
        <w:rPr>
          <w:rFonts w:hint="eastAsia"/>
        </w:rPr>
      </w:pPr>
      <w:r>
        <w:rPr>
          <w:rFonts w:hint="eastAsia"/>
        </w:rPr>
        <w:t>中标人（含中标人参与本项目的人员以及其合作方）未经采购方书面许可，不得以任何形式自行使用或以任何方式向第三方披露、转让、授权、出售与本项目有关的技术成果、计算机软件、源代码、策划文档、技术诀窍、秘密信息、技术资料和其他文件。</w:t>
      </w:r>
    </w:p>
    <w:p w14:paraId="05FE16D7">
      <w:pPr>
        <w:rPr>
          <w:rFonts w:hint="eastAsia"/>
        </w:rPr>
      </w:pPr>
      <w:r>
        <w:rPr>
          <w:rFonts w:hint="eastAsia"/>
        </w:rPr>
        <w:t>以上内容的保密期限自中标人知悉保密信息起始至保密信息被合法公开之日止。</w:t>
      </w:r>
    </w:p>
    <w:p w14:paraId="7FBEEFF2">
      <w:pPr>
        <w:ind w:firstLine="482"/>
        <w:rPr>
          <w:rFonts w:hint="eastAsia"/>
          <w:b/>
        </w:rPr>
      </w:pPr>
      <w:r>
        <w:rPr>
          <w:b/>
        </w:rPr>
        <w:t>3、临时账号等使用要求</w:t>
      </w:r>
    </w:p>
    <w:p w14:paraId="5B081FCF">
      <w:pPr>
        <w:rPr>
          <w:rFonts w:hint="eastAsia"/>
        </w:rPr>
      </w:pPr>
      <w:r>
        <w:rPr>
          <w:rFonts w:hint="eastAsia"/>
        </w:rPr>
        <w:t>中标人对采购人提拱的临时使用账号要保密，不得公开，对组件开发的账号密码需进行加密，避免信息安全的泄露。未经采购人的同意不得利用采购人的网络及平台进行短信、彩信、微信发送</w:t>
      </w:r>
      <w:r>
        <w:t>,造成的一切后果由中标人负责。</w:t>
      </w:r>
    </w:p>
    <w:p w14:paraId="61B91CA4">
      <w:pPr>
        <w:pStyle w:val="2"/>
        <w:rPr>
          <w:rFonts w:hint="eastAsia"/>
        </w:rPr>
      </w:pPr>
      <w:bookmarkStart w:id="44" w:name="_Toc65170093"/>
      <w:r>
        <w:t>项目的变更、解除和终止</w:t>
      </w:r>
    </w:p>
    <w:p w14:paraId="158CB49E">
      <w:pPr>
        <w:rPr>
          <w:rFonts w:hint="eastAsia"/>
        </w:rPr>
      </w:pPr>
      <w:r>
        <w:rPr>
          <w:rFonts w:hint="eastAsia"/>
        </w:rPr>
        <w:t>如果中标人丧失履约能力、发生资不抵债或进入破产程序，采购人可在任何时候以书面形式通知中标人终止本项目的执行而不给予中标人补偿。该终止本项目将不损害或影响采购人已经采取或将要采取任何行动或补救措施的权利。</w:t>
      </w:r>
    </w:p>
    <w:p w14:paraId="51F9E099">
      <w:pPr>
        <w:rPr>
          <w:rFonts w:hint="eastAsia"/>
        </w:rPr>
      </w:pPr>
      <w:r>
        <w:rPr>
          <w:rFonts w:hint="eastAsia"/>
        </w:rPr>
        <w:t>如遇国家、行业管理部门等机构的有关标准和规定调整的，导致本项目内容须做相应调整时，双方应按照公平、合理的原则共同协商修改本项目对应的合同的相关条款。</w:t>
      </w:r>
    </w:p>
    <w:p w14:paraId="7A2A2731">
      <w:pPr>
        <w:pStyle w:val="2"/>
        <w:rPr>
          <w:rFonts w:hint="eastAsia"/>
        </w:rPr>
      </w:pPr>
      <w:r>
        <w:rPr>
          <w:rFonts w:hint="eastAsia"/>
        </w:rPr>
        <w:t>违约责任</w:t>
      </w:r>
      <w:bookmarkEnd w:id="44"/>
    </w:p>
    <w:p w14:paraId="3E2E8C4B">
      <w:pPr>
        <w:rPr>
          <w:rFonts w:hint="eastAsia"/>
        </w:rPr>
      </w:pPr>
      <w:r>
        <w:t>1、如中标人未按约定的时间或服务标准完成建设工作，采购人可要求中标人在规定的时间内采取补救措施。中标人还应向采购人支付本项目费用总额30%的违约金，违约金不足以弥补采购人损失的，采购人有权要求中标人赔偿超过部分。</w:t>
      </w:r>
    </w:p>
    <w:p w14:paraId="1AC8FF14">
      <w:pPr>
        <w:rPr>
          <w:rFonts w:hint="eastAsia"/>
        </w:rPr>
      </w:pPr>
      <w:r>
        <w:t>2、因中标人违反保密义务或知识产权约定的，采购人有权要求中标人支付本项目费用总额30%的违约金，违约金不足以弥补采购人损失的，采购人有权要求中标人赔偿超过部分。若中标人违反保密义务，采购人还有权立即单方解除合同而不承担任何违约责任。</w:t>
      </w:r>
    </w:p>
    <w:p w14:paraId="2BEE4FF9">
      <w:pPr>
        <w:rPr>
          <w:rFonts w:hint="eastAsia"/>
        </w:rPr>
      </w:pPr>
      <w:r>
        <w:t>3、中标人有其他违反本项目合同约定的行为，中标人应当支付本项目总价款金额的20%作为违约金，违约金不足以弥补采购人损失的，采购人有权要求中标人赔偿超过部分。</w:t>
      </w:r>
    </w:p>
    <w:p w14:paraId="707ED5A7">
      <w:pPr>
        <w:rPr>
          <w:rFonts w:hint="eastAsia"/>
        </w:rPr>
      </w:pPr>
      <w:r>
        <w:t>4、中标人有下列情形之一，采购人有权解除合同：</w:t>
      </w:r>
    </w:p>
    <w:p w14:paraId="4CD74B79">
      <w:pPr>
        <w:rPr>
          <w:rFonts w:hint="eastAsia"/>
        </w:rPr>
      </w:pPr>
      <w:r>
        <w:rPr>
          <w:rFonts w:hint="eastAsia"/>
        </w:rPr>
        <w:t>（1</w:t>
      </w:r>
      <w:r>
        <w:t>）因中标人服务质量问题导致采购人无法实现目的；</w:t>
      </w:r>
    </w:p>
    <w:p w14:paraId="7A7738B2">
      <w:pPr>
        <w:rPr>
          <w:rFonts w:hint="eastAsia"/>
        </w:rPr>
      </w:pPr>
      <w:r>
        <w:rPr>
          <w:rFonts w:hint="eastAsia"/>
        </w:rPr>
        <w:t>（2</w:t>
      </w:r>
      <w:r>
        <w:t>）擅自转让或者分包其应履行的义务的；</w:t>
      </w:r>
    </w:p>
    <w:p w14:paraId="4AC6F967">
      <w:pPr>
        <w:rPr>
          <w:rFonts w:hint="eastAsia"/>
        </w:rPr>
      </w:pPr>
      <w:r>
        <w:rPr>
          <w:rFonts w:hint="eastAsia"/>
        </w:rPr>
        <w:t>（3</w:t>
      </w:r>
      <w:r>
        <w:t>）违反或者未履行本项目合同约定的其他相关义务，且在采购人要求的合理时间内未能纠正的。</w:t>
      </w:r>
    </w:p>
    <w:p w14:paraId="7D90CBFB">
      <w:pPr>
        <w:rPr>
          <w:rFonts w:hint="eastAsia"/>
        </w:rPr>
      </w:pPr>
    </w:p>
    <w:sectPr>
      <w:footerReference r:id="rId11" w:type="firs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Arial Unicode MS">
    <w:altName w:val="DejaVu Sans"/>
    <w:panose1 w:val="020B0604020202020204"/>
    <w:charset w:val="86"/>
    <w:family w:val="swiss"/>
    <w:pitch w:val="default"/>
    <w:sig w:usb0="00000000" w:usb1="00000000" w:usb2="0000003F" w:usb3="00000000" w:csb0="603F01FF" w:csb1="FFFF0000"/>
  </w:font>
  <w:font w:name="等线 Light">
    <w:altName w:val="汉仪中圆B5"/>
    <w:panose1 w:val="02010600030101010101"/>
    <w:charset w:val="86"/>
    <w:family w:val="auto"/>
    <w:pitch w:val="default"/>
    <w:sig w:usb0="00000000" w:usb1="00000000" w:usb2="00000016" w:usb3="00000000" w:csb0="0004000F" w:csb1="00000000"/>
  </w:font>
  <w:font w:name="汉仪中圆B5">
    <w:panose1 w:val="02010600000101010101"/>
    <w:charset w:val="88"/>
    <w:family w:val="auto"/>
    <w:pitch w:val="default"/>
    <w:sig w:usb0="00000001" w:usb1="080E0800" w:usb2="00000002" w:usb3="00000000" w:csb0="00100000" w:csb1="00000000"/>
  </w:font>
  <w:font w:name="time">
    <w:altName w:val="思源宋体"/>
    <w:panose1 w:val="00000000000000000000"/>
    <w:charset w:val="00"/>
    <w:family w:val="roman"/>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Microsoft YaHei UI">
    <w:altName w:val="文泉驿微米黑"/>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Microsoft Sans Serif">
    <w:altName w:val="Liberation Sans"/>
    <w:panose1 w:val="020B0604020202020204"/>
    <w:charset w:val="00"/>
    <w:family w:val="swiss"/>
    <w:pitch w:val="default"/>
    <w:sig w:usb0="00000000" w:usb1="00000000" w:usb2="00000029" w:usb3="00000000" w:csb0="200101FF" w:csb1="20280000"/>
  </w:font>
  <w:font w:name="Liberation Sans">
    <w:panose1 w:val="020B0604020202020204"/>
    <w:charset w:val="00"/>
    <w:family w:val="auto"/>
    <w:pitch w:val="default"/>
    <w:sig w:usb0="A00002AF" w:usb1="5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8738E">
    <w:pPr>
      <w:ind w:firstLine="0" w:firstLineChars="0"/>
      <w:jc w:val="center"/>
      <w:rPr>
        <w:rFonts w:hint="eastAsia"/>
      </w:rPr>
    </w:pPr>
    <w:r>
      <w:fldChar w:fldCharType="begin"/>
    </w:r>
    <w:r>
      <w:instrText xml:space="preserve">PAGE   \* MERGEFORMAT</w:instrText>
    </w:r>
    <w:r>
      <w:fldChar w:fldCharType="separate"/>
    </w:r>
    <w:r>
      <w:rPr>
        <w:lang w:val="zh-CN"/>
      </w:rPr>
      <w:t>11</w:t>
    </w:r>
    <w:r>
      <w:rPr>
        <w:lang w:val="zh-CN"/>
      </w:rPr>
      <w:fldChar w:fldCharType="end"/>
    </w:r>
  </w:p>
  <w:p w14:paraId="46C5C98E">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BB767">
    <w:pPr>
      <w:rPr>
        <w:rFonts w:hint="eastAsia"/>
      </w:rPr>
    </w:pPr>
  </w:p>
  <w:p w14:paraId="4807DF15">
    <w:pP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04EA9">
    <w:pPr>
      <w:ind w:firstLine="0" w:firstLineChars="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B0B40">
    <w:pPr>
      <w:ind w:firstLine="0" w:firstLineChars="0"/>
      <w:jc w:val="center"/>
      <w:rPr>
        <w:rFonts w:hint="eastAsia"/>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192B9508">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C07BF">
    <w:pPr>
      <w:pStyle w:val="2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8C8C4">
    <w:pPr>
      <w:rPr>
        <w:rFonts w:hint="eastAsia"/>
      </w:rPr>
    </w:pPr>
  </w:p>
  <w:p w14:paraId="166B0310">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11881">
    <w:pPr>
      <w:pStyle w:val="2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CC7CA"/>
    <w:multiLevelType w:val="singleLevel"/>
    <w:tmpl w:val="8ABCC7CA"/>
    <w:lvl w:ilvl="0" w:tentative="0">
      <w:start w:val="1"/>
      <w:numFmt w:val="decimal"/>
      <w:lvlText w:val="%1)"/>
      <w:lvlJc w:val="left"/>
      <w:pPr>
        <w:ind w:left="425" w:hanging="425"/>
      </w:pPr>
      <w:rPr>
        <w:rFonts w:hint="default"/>
      </w:rPr>
    </w:lvl>
  </w:abstractNum>
  <w:abstractNum w:abstractNumId="1">
    <w:nsid w:val="6350366A"/>
    <w:multiLevelType w:val="multilevel"/>
    <w:tmpl w:val="6350366A"/>
    <w:lvl w:ilvl="0" w:tentative="0">
      <w:start w:val="1"/>
      <w:numFmt w:val="none"/>
      <w:pStyle w:val="112"/>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pStyle w:val="4"/>
      <w:isLgl/>
      <w:suff w:val="nothing"/>
      <w:lvlText w:val="%1.%2.%3、"/>
      <w:lvlJc w:val="left"/>
      <w:pPr>
        <w:ind w:left="1069" w:hanging="1069"/>
      </w:pPr>
      <w:rPr>
        <w:rFonts w:hint="default" w:ascii="宋体" w:hAnsi="宋体" w:eastAsia="宋体" w:cs="Arial"/>
      </w:rPr>
    </w:lvl>
    <w:lvl w:ilvl="3" w:tentative="0">
      <w:start w:val="1"/>
      <w:numFmt w:val="decimal"/>
      <w:pStyle w:val="5"/>
      <w:isLgl/>
      <w:suff w:val="nothing"/>
      <w:lvlText w:val="%1.%2.%3.%4、"/>
      <w:lvlJc w:val="left"/>
      <w:pPr>
        <w:ind w:left="3403" w:hanging="851"/>
      </w:pPr>
    </w:lvl>
    <w:lvl w:ilvl="4" w:tentative="0">
      <w:start w:val="1"/>
      <w:numFmt w:val="decimal"/>
      <w:pStyle w:val="7"/>
      <w:isLgl/>
      <w:suff w:val="nothing"/>
      <w:lvlText w:val="%1.%2.%3.%4.%5、"/>
      <w:lvlJc w:val="left"/>
      <w:pPr>
        <w:ind w:left="3544" w:hanging="992"/>
      </w:pPr>
      <w:rPr>
        <w:rFonts w:hint="eastAsia"/>
      </w:rPr>
    </w:lvl>
    <w:lvl w:ilvl="5" w:tentative="0">
      <w:start w:val="1"/>
      <w:numFmt w:val="decimal"/>
      <w:pStyle w:val="8"/>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RhZmI4MDVmMTQ2MjVkZjFlZGQ5NmFkYTRlMjc0MmEifQ=="/>
  </w:docVars>
  <w:rsids>
    <w:rsidRoot w:val="006910C0"/>
    <w:rsid w:val="0000005A"/>
    <w:rsid w:val="00000AED"/>
    <w:rsid w:val="000024C0"/>
    <w:rsid w:val="00003516"/>
    <w:rsid w:val="0000380E"/>
    <w:rsid w:val="00005AFD"/>
    <w:rsid w:val="00006563"/>
    <w:rsid w:val="000074F1"/>
    <w:rsid w:val="00007A41"/>
    <w:rsid w:val="00007DA7"/>
    <w:rsid w:val="00012EF0"/>
    <w:rsid w:val="000156DE"/>
    <w:rsid w:val="000165AD"/>
    <w:rsid w:val="000179E9"/>
    <w:rsid w:val="00020C18"/>
    <w:rsid w:val="00021EE6"/>
    <w:rsid w:val="0002280E"/>
    <w:rsid w:val="00022C74"/>
    <w:rsid w:val="00025122"/>
    <w:rsid w:val="000252D5"/>
    <w:rsid w:val="00025CB3"/>
    <w:rsid w:val="00026997"/>
    <w:rsid w:val="00027A64"/>
    <w:rsid w:val="0003297D"/>
    <w:rsid w:val="00032D27"/>
    <w:rsid w:val="00035325"/>
    <w:rsid w:val="00035D5B"/>
    <w:rsid w:val="000378D0"/>
    <w:rsid w:val="00037F2C"/>
    <w:rsid w:val="00042C2A"/>
    <w:rsid w:val="000430EC"/>
    <w:rsid w:val="000447CB"/>
    <w:rsid w:val="00047915"/>
    <w:rsid w:val="00047D06"/>
    <w:rsid w:val="00050FBD"/>
    <w:rsid w:val="0005107A"/>
    <w:rsid w:val="0005192C"/>
    <w:rsid w:val="00052929"/>
    <w:rsid w:val="0005299F"/>
    <w:rsid w:val="000541D7"/>
    <w:rsid w:val="000545C0"/>
    <w:rsid w:val="0005586D"/>
    <w:rsid w:val="00056C0E"/>
    <w:rsid w:val="000574A8"/>
    <w:rsid w:val="000574F8"/>
    <w:rsid w:val="00057A49"/>
    <w:rsid w:val="0006231F"/>
    <w:rsid w:val="00062A05"/>
    <w:rsid w:val="00062EE6"/>
    <w:rsid w:val="0006344E"/>
    <w:rsid w:val="000649E6"/>
    <w:rsid w:val="0006794B"/>
    <w:rsid w:val="00067DCA"/>
    <w:rsid w:val="00070063"/>
    <w:rsid w:val="0007087A"/>
    <w:rsid w:val="000710EC"/>
    <w:rsid w:val="00072237"/>
    <w:rsid w:val="00072ABE"/>
    <w:rsid w:val="00080B39"/>
    <w:rsid w:val="00081E73"/>
    <w:rsid w:val="00083950"/>
    <w:rsid w:val="0008452F"/>
    <w:rsid w:val="00084E8E"/>
    <w:rsid w:val="00085A68"/>
    <w:rsid w:val="00090625"/>
    <w:rsid w:val="00090948"/>
    <w:rsid w:val="00091CD1"/>
    <w:rsid w:val="0009460E"/>
    <w:rsid w:val="000951D4"/>
    <w:rsid w:val="000A2146"/>
    <w:rsid w:val="000A2930"/>
    <w:rsid w:val="000A3276"/>
    <w:rsid w:val="000A3C35"/>
    <w:rsid w:val="000A3E30"/>
    <w:rsid w:val="000A5876"/>
    <w:rsid w:val="000A61D0"/>
    <w:rsid w:val="000A6C67"/>
    <w:rsid w:val="000A6DB8"/>
    <w:rsid w:val="000A7596"/>
    <w:rsid w:val="000B11A8"/>
    <w:rsid w:val="000B18AB"/>
    <w:rsid w:val="000B1959"/>
    <w:rsid w:val="000B2E1C"/>
    <w:rsid w:val="000B4459"/>
    <w:rsid w:val="000B4B46"/>
    <w:rsid w:val="000B5010"/>
    <w:rsid w:val="000B5363"/>
    <w:rsid w:val="000B53BA"/>
    <w:rsid w:val="000B642F"/>
    <w:rsid w:val="000B6C99"/>
    <w:rsid w:val="000B7A33"/>
    <w:rsid w:val="000C3C3C"/>
    <w:rsid w:val="000C3F3C"/>
    <w:rsid w:val="000C5A75"/>
    <w:rsid w:val="000C75F7"/>
    <w:rsid w:val="000D0AB2"/>
    <w:rsid w:val="000D225C"/>
    <w:rsid w:val="000D36F2"/>
    <w:rsid w:val="000D4B26"/>
    <w:rsid w:val="000D74DB"/>
    <w:rsid w:val="000E1656"/>
    <w:rsid w:val="000E24D6"/>
    <w:rsid w:val="000E6072"/>
    <w:rsid w:val="000E6D61"/>
    <w:rsid w:val="000E7A23"/>
    <w:rsid w:val="000F1C29"/>
    <w:rsid w:val="000F1E9E"/>
    <w:rsid w:val="000F2B10"/>
    <w:rsid w:val="000F3F72"/>
    <w:rsid w:val="001055B2"/>
    <w:rsid w:val="001068F0"/>
    <w:rsid w:val="00106AB8"/>
    <w:rsid w:val="00106C9E"/>
    <w:rsid w:val="00106E16"/>
    <w:rsid w:val="0010768B"/>
    <w:rsid w:val="00111701"/>
    <w:rsid w:val="00112A29"/>
    <w:rsid w:val="001167F6"/>
    <w:rsid w:val="00116C86"/>
    <w:rsid w:val="00121ACF"/>
    <w:rsid w:val="00121D8F"/>
    <w:rsid w:val="00122037"/>
    <w:rsid w:val="0012210C"/>
    <w:rsid w:val="00122A7F"/>
    <w:rsid w:val="00123F98"/>
    <w:rsid w:val="001242A5"/>
    <w:rsid w:val="00124531"/>
    <w:rsid w:val="00126EDF"/>
    <w:rsid w:val="00127BBE"/>
    <w:rsid w:val="00131D52"/>
    <w:rsid w:val="001329C1"/>
    <w:rsid w:val="00132C16"/>
    <w:rsid w:val="00136320"/>
    <w:rsid w:val="00136FFA"/>
    <w:rsid w:val="00137AC6"/>
    <w:rsid w:val="00145512"/>
    <w:rsid w:val="001465BD"/>
    <w:rsid w:val="00147B45"/>
    <w:rsid w:val="00150803"/>
    <w:rsid w:val="00151D83"/>
    <w:rsid w:val="001546C9"/>
    <w:rsid w:val="00154FAE"/>
    <w:rsid w:val="00155E77"/>
    <w:rsid w:val="00156A70"/>
    <w:rsid w:val="00160A61"/>
    <w:rsid w:val="00160FC0"/>
    <w:rsid w:val="0016429B"/>
    <w:rsid w:val="00164525"/>
    <w:rsid w:val="00164C50"/>
    <w:rsid w:val="00165CB2"/>
    <w:rsid w:val="00166203"/>
    <w:rsid w:val="00166767"/>
    <w:rsid w:val="001707CB"/>
    <w:rsid w:val="00171477"/>
    <w:rsid w:val="00172A1A"/>
    <w:rsid w:val="0017311A"/>
    <w:rsid w:val="00173251"/>
    <w:rsid w:val="00176BED"/>
    <w:rsid w:val="0017759D"/>
    <w:rsid w:val="001804A5"/>
    <w:rsid w:val="00181C94"/>
    <w:rsid w:val="00182C84"/>
    <w:rsid w:val="001864E3"/>
    <w:rsid w:val="00187031"/>
    <w:rsid w:val="0018744E"/>
    <w:rsid w:val="00190282"/>
    <w:rsid w:val="00191EA4"/>
    <w:rsid w:val="00192B6C"/>
    <w:rsid w:val="00192C30"/>
    <w:rsid w:val="0019381E"/>
    <w:rsid w:val="00194CF5"/>
    <w:rsid w:val="0019503C"/>
    <w:rsid w:val="00195D94"/>
    <w:rsid w:val="00196F7B"/>
    <w:rsid w:val="001971CB"/>
    <w:rsid w:val="0019795C"/>
    <w:rsid w:val="001A053A"/>
    <w:rsid w:val="001A22A2"/>
    <w:rsid w:val="001A2971"/>
    <w:rsid w:val="001A3D52"/>
    <w:rsid w:val="001A460A"/>
    <w:rsid w:val="001A4A4C"/>
    <w:rsid w:val="001A4D90"/>
    <w:rsid w:val="001B0230"/>
    <w:rsid w:val="001B105A"/>
    <w:rsid w:val="001B13AB"/>
    <w:rsid w:val="001B3907"/>
    <w:rsid w:val="001B3B49"/>
    <w:rsid w:val="001B4907"/>
    <w:rsid w:val="001B4DC5"/>
    <w:rsid w:val="001B5505"/>
    <w:rsid w:val="001C2180"/>
    <w:rsid w:val="001C29CC"/>
    <w:rsid w:val="001C3217"/>
    <w:rsid w:val="001C3B98"/>
    <w:rsid w:val="001C6028"/>
    <w:rsid w:val="001C6365"/>
    <w:rsid w:val="001C7F57"/>
    <w:rsid w:val="001D0E79"/>
    <w:rsid w:val="001D5AAD"/>
    <w:rsid w:val="001D6049"/>
    <w:rsid w:val="001D7267"/>
    <w:rsid w:val="001D7339"/>
    <w:rsid w:val="001E2750"/>
    <w:rsid w:val="001E4343"/>
    <w:rsid w:val="001E52BB"/>
    <w:rsid w:val="001E660A"/>
    <w:rsid w:val="001F05D6"/>
    <w:rsid w:val="001F1A35"/>
    <w:rsid w:val="001F5B0A"/>
    <w:rsid w:val="001F640F"/>
    <w:rsid w:val="001F6794"/>
    <w:rsid w:val="001F6F65"/>
    <w:rsid w:val="002002DF"/>
    <w:rsid w:val="00203841"/>
    <w:rsid w:val="00203A6F"/>
    <w:rsid w:val="00205646"/>
    <w:rsid w:val="002063F7"/>
    <w:rsid w:val="002129E5"/>
    <w:rsid w:val="00212AA4"/>
    <w:rsid w:val="00212E13"/>
    <w:rsid w:val="00213AED"/>
    <w:rsid w:val="00215475"/>
    <w:rsid w:val="002163C8"/>
    <w:rsid w:val="002179FE"/>
    <w:rsid w:val="00220CC0"/>
    <w:rsid w:val="00221A36"/>
    <w:rsid w:val="00222525"/>
    <w:rsid w:val="00223296"/>
    <w:rsid w:val="0022329B"/>
    <w:rsid w:val="002240F7"/>
    <w:rsid w:val="0022486F"/>
    <w:rsid w:val="00225314"/>
    <w:rsid w:val="00225DF4"/>
    <w:rsid w:val="00226C70"/>
    <w:rsid w:val="00230C8A"/>
    <w:rsid w:val="00231F98"/>
    <w:rsid w:val="002324F8"/>
    <w:rsid w:val="002348B0"/>
    <w:rsid w:val="00235CDC"/>
    <w:rsid w:val="002375A6"/>
    <w:rsid w:val="00237E76"/>
    <w:rsid w:val="00240BBE"/>
    <w:rsid w:val="00241525"/>
    <w:rsid w:val="00241D87"/>
    <w:rsid w:val="00243C55"/>
    <w:rsid w:val="00243D5E"/>
    <w:rsid w:val="002451EC"/>
    <w:rsid w:val="00245ED4"/>
    <w:rsid w:val="00246B41"/>
    <w:rsid w:val="0025002B"/>
    <w:rsid w:val="002500DE"/>
    <w:rsid w:val="00252457"/>
    <w:rsid w:val="00252581"/>
    <w:rsid w:val="002535B5"/>
    <w:rsid w:val="002538CB"/>
    <w:rsid w:val="002542BD"/>
    <w:rsid w:val="0025774E"/>
    <w:rsid w:val="00257D64"/>
    <w:rsid w:val="0026340A"/>
    <w:rsid w:val="002654EA"/>
    <w:rsid w:val="002704EA"/>
    <w:rsid w:val="0027061A"/>
    <w:rsid w:val="002719CC"/>
    <w:rsid w:val="002730C5"/>
    <w:rsid w:val="0027337C"/>
    <w:rsid w:val="0027577D"/>
    <w:rsid w:val="0027602B"/>
    <w:rsid w:val="00277F5E"/>
    <w:rsid w:val="00280084"/>
    <w:rsid w:val="00280490"/>
    <w:rsid w:val="002860B8"/>
    <w:rsid w:val="0029206E"/>
    <w:rsid w:val="00293382"/>
    <w:rsid w:val="00294F51"/>
    <w:rsid w:val="002A2342"/>
    <w:rsid w:val="002A2612"/>
    <w:rsid w:val="002A279E"/>
    <w:rsid w:val="002A4FA3"/>
    <w:rsid w:val="002B3606"/>
    <w:rsid w:val="002B3D80"/>
    <w:rsid w:val="002B4402"/>
    <w:rsid w:val="002B4946"/>
    <w:rsid w:val="002B4C41"/>
    <w:rsid w:val="002B588D"/>
    <w:rsid w:val="002C1839"/>
    <w:rsid w:val="002C214A"/>
    <w:rsid w:val="002C28E8"/>
    <w:rsid w:val="002C3027"/>
    <w:rsid w:val="002C674D"/>
    <w:rsid w:val="002C7648"/>
    <w:rsid w:val="002C7DC4"/>
    <w:rsid w:val="002D0821"/>
    <w:rsid w:val="002D1929"/>
    <w:rsid w:val="002D1B73"/>
    <w:rsid w:val="002D3CB0"/>
    <w:rsid w:val="002D4800"/>
    <w:rsid w:val="002D5B21"/>
    <w:rsid w:val="002D6F6D"/>
    <w:rsid w:val="002E1FE6"/>
    <w:rsid w:val="002E2EA7"/>
    <w:rsid w:val="002E36D2"/>
    <w:rsid w:val="002E748B"/>
    <w:rsid w:val="002F2002"/>
    <w:rsid w:val="002F335D"/>
    <w:rsid w:val="002F4E32"/>
    <w:rsid w:val="002F503F"/>
    <w:rsid w:val="002F51DD"/>
    <w:rsid w:val="002F5D08"/>
    <w:rsid w:val="002F6895"/>
    <w:rsid w:val="002F6D13"/>
    <w:rsid w:val="003038D3"/>
    <w:rsid w:val="003049C7"/>
    <w:rsid w:val="00305F0E"/>
    <w:rsid w:val="0030667A"/>
    <w:rsid w:val="003106DE"/>
    <w:rsid w:val="00311530"/>
    <w:rsid w:val="00312D31"/>
    <w:rsid w:val="00315216"/>
    <w:rsid w:val="0031691C"/>
    <w:rsid w:val="00317AEF"/>
    <w:rsid w:val="00317F49"/>
    <w:rsid w:val="0032089B"/>
    <w:rsid w:val="00321BFF"/>
    <w:rsid w:val="00323450"/>
    <w:rsid w:val="00323D93"/>
    <w:rsid w:val="0032489B"/>
    <w:rsid w:val="0032525B"/>
    <w:rsid w:val="00326A7A"/>
    <w:rsid w:val="00326FEE"/>
    <w:rsid w:val="003315D7"/>
    <w:rsid w:val="00334DE6"/>
    <w:rsid w:val="0033536D"/>
    <w:rsid w:val="003353FF"/>
    <w:rsid w:val="003366D2"/>
    <w:rsid w:val="00337C79"/>
    <w:rsid w:val="00337FEF"/>
    <w:rsid w:val="0034084C"/>
    <w:rsid w:val="00340D5E"/>
    <w:rsid w:val="003420B5"/>
    <w:rsid w:val="00343646"/>
    <w:rsid w:val="00344CCB"/>
    <w:rsid w:val="00345897"/>
    <w:rsid w:val="00351BFC"/>
    <w:rsid w:val="0035575E"/>
    <w:rsid w:val="003565B4"/>
    <w:rsid w:val="00362E75"/>
    <w:rsid w:val="003631AA"/>
    <w:rsid w:val="003632D5"/>
    <w:rsid w:val="00363575"/>
    <w:rsid w:val="00364EF9"/>
    <w:rsid w:val="00367579"/>
    <w:rsid w:val="0036795B"/>
    <w:rsid w:val="00370A29"/>
    <w:rsid w:val="003722F9"/>
    <w:rsid w:val="00372349"/>
    <w:rsid w:val="00372CBC"/>
    <w:rsid w:val="00373A61"/>
    <w:rsid w:val="00374A24"/>
    <w:rsid w:val="00374BDE"/>
    <w:rsid w:val="00376B39"/>
    <w:rsid w:val="003772C0"/>
    <w:rsid w:val="00377BAC"/>
    <w:rsid w:val="00380142"/>
    <w:rsid w:val="00380558"/>
    <w:rsid w:val="00381D3C"/>
    <w:rsid w:val="0038223E"/>
    <w:rsid w:val="00382D92"/>
    <w:rsid w:val="00383363"/>
    <w:rsid w:val="00385AEF"/>
    <w:rsid w:val="003860EA"/>
    <w:rsid w:val="0038781A"/>
    <w:rsid w:val="0039080B"/>
    <w:rsid w:val="0039326E"/>
    <w:rsid w:val="00394E22"/>
    <w:rsid w:val="003967A4"/>
    <w:rsid w:val="00397A2C"/>
    <w:rsid w:val="00397FA3"/>
    <w:rsid w:val="003A1596"/>
    <w:rsid w:val="003A317E"/>
    <w:rsid w:val="003A345B"/>
    <w:rsid w:val="003A49EE"/>
    <w:rsid w:val="003A674D"/>
    <w:rsid w:val="003A7123"/>
    <w:rsid w:val="003B102E"/>
    <w:rsid w:val="003B2167"/>
    <w:rsid w:val="003B5F5D"/>
    <w:rsid w:val="003B62C8"/>
    <w:rsid w:val="003C0C62"/>
    <w:rsid w:val="003C12DC"/>
    <w:rsid w:val="003C2CDA"/>
    <w:rsid w:val="003D000A"/>
    <w:rsid w:val="003D31E9"/>
    <w:rsid w:val="003D3EB3"/>
    <w:rsid w:val="003D544E"/>
    <w:rsid w:val="003D5980"/>
    <w:rsid w:val="003E0842"/>
    <w:rsid w:val="003E13B0"/>
    <w:rsid w:val="003E2580"/>
    <w:rsid w:val="003E3DEE"/>
    <w:rsid w:val="003E3EBB"/>
    <w:rsid w:val="003E4A4C"/>
    <w:rsid w:val="003E4CBA"/>
    <w:rsid w:val="003E4D2F"/>
    <w:rsid w:val="003E4EDC"/>
    <w:rsid w:val="003E599D"/>
    <w:rsid w:val="003E5C81"/>
    <w:rsid w:val="003E6965"/>
    <w:rsid w:val="003F00E8"/>
    <w:rsid w:val="003F03BF"/>
    <w:rsid w:val="003F1936"/>
    <w:rsid w:val="003F1BDD"/>
    <w:rsid w:val="003F3BA3"/>
    <w:rsid w:val="003F3BD5"/>
    <w:rsid w:val="003F400E"/>
    <w:rsid w:val="003F417C"/>
    <w:rsid w:val="003F6F35"/>
    <w:rsid w:val="003F7768"/>
    <w:rsid w:val="00400E8C"/>
    <w:rsid w:val="004017DC"/>
    <w:rsid w:val="00401B53"/>
    <w:rsid w:val="00402668"/>
    <w:rsid w:val="00404FEC"/>
    <w:rsid w:val="0040534D"/>
    <w:rsid w:val="00405FAD"/>
    <w:rsid w:val="004117AB"/>
    <w:rsid w:val="00412B2F"/>
    <w:rsid w:val="00412F34"/>
    <w:rsid w:val="00415281"/>
    <w:rsid w:val="00415716"/>
    <w:rsid w:val="0041604D"/>
    <w:rsid w:val="00417842"/>
    <w:rsid w:val="00417A6E"/>
    <w:rsid w:val="0042285D"/>
    <w:rsid w:val="00427D2B"/>
    <w:rsid w:val="00430B13"/>
    <w:rsid w:val="00430CE5"/>
    <w:rsid w:val="0043153C"/>
    <w:rsid w:val="00431D0F"/>
    <w:rsid w:val="0043481C"/>
    <w:rsid w:val="00444307"/>
    <w:rsid w:val="0044436F"/>
    <w:rsid w:val="004443EB"/>
    <w:rsid w:val="00444432"/>
    <w:rsid w:val="00444673"/>
    <w:rsid w:val="0044621E"/>
    <w:rsid w:val="00447BF1"/>
    <w:rsid w:val="00450BA4"/>
    <w:rsid w:val="004511FC"/>
    <w:rsid w:val="004540A9"/>
    <w:rsid w:val="00456784"/>
    <w:rsid w:val="00456DCA"/>
    <w:rsid w:val="00461140"/>
    <w:rsid w:val="004611DB"/>
    <w:rsid w:val="004658B0"/>
    <w:rsid w:val="0046614B"/>
    <w:rsid w:val="00467FD7"/>
    <w:rsid w:val="00470073"/>
    <w:rsid w:val="004730F8"/>
    <w:rsid w:val="00474353"/>
    <w:rsid w:val="00474555"/>
    <w:rsid w:val="004750F4"/>
    <w:rsid w:val="00476CB1"/>
    <w:rsid w:val="00480A48"/>
    <w:rsid w:val="00482501"/>
    <w:rsid w:val="00482E7D"/>
    <w:rsid w:val="00484395"/>
    <w:rsid w:val="004865FB"/>
    <w:rsid w:val="00486C03"/>
    <w:rsid w:val="00491AB3"/>
    <w:rsid w:val="00497A33"/>
    <w:rsid w:val="004A1112"/>
    <w:rsid w:val="004A1DA0"/>
    <w:rsid w:val="004A1F20"/>
    <w:rsid w:val="004A2393"/>
    <w:rsid w:val="004A3569"/>
    <w:rsid w:val="004A452A"/>
    <w:rsid w:val="004A5F2C"/>
    <w:rsid w:val="004A6E4F"/>
    <w:rsid w:val="004A720D"/>
    <w:rsid w:val="004B00D0"/>
    <w:rsid w:val="004B6084"/>
    <w:rsid w:val="004B7AE0"/>
    <w:rsid w:val="004C0BC4"/>
    <w:rsid w:val="004C260D"/>
    <w:rsid w:val="004C2D47"/>
    <w:rsid w:val="004C4357"/>
    <w:rsid w:val="004C4477"/>
    <w:rsid w:val="004C5730"/>
    <w:rsid w:val="004C6397"/>
    <w:rsid w:val="004C668F"/>
    <w:rsid w:val="004C682B"/>
    <w:rsid w:val="004D142C"/>
    <w:rsid w:val="004D29F7"/>
    <w:rsid w:val="004D36D8"/>
    <w:rsid w:val="004D4C5C"/>
    <w:rsid w:val="004D5AB0"/>
    <w:rsid w:val="004D5EAE"/>
    <w:rsid w:val="004D7A0E"/>
    <w:rsid w:val="004E06E7"/>
    <w:rsid w:val="004E0AE3"/>
    <w:rsid w:val="004E20D3"/>
    <w:rsid w:val="004E2C82"/>
    <w:rsid w:val="004E4FAE"/>
    <w:rsid w:val="004E62C7"/>
    <w:rsid w:val="004E68FF"/>
    <w:rsid w:val="004E7A1B"/>
    <w:rsid w:val="004F0B7F"/>
    <w:rsid w:val="004F1193"/>
    <w:rsid w:val="004F11DC"/>
    <w:rsid w:val="004F2124"/>
    <w:rsid w:val="004F271B"/>
    <w:rsid w:val="004F3A52"/>
    <w:rsid w:val="004F449F"/>
    <w:rsid w:val="004F4E7E"/>
    <w:rsid w:val="004F63AB"/>
    <w:rsid w:val="004F6B76"/>
    <w:rsid w:val="004F6C7C"/>
    <w:rsid w:val="004F7F1A"/>
    <w:rsid w:val="004F7FBB"/>
    <w:rsid w:val="005042B3"/>
    <w:rsid w:val="005045AB"/>
    <w:rsid w:val="00507D43"/>
    <w:rsid w:val="005103F2"/>
    <w:rsid w:val="00510E2C"/>
    <w:rsid w:val="00511FDC"/>
    <w:rsid w:val="005124C6"/>
    <w:rsid w:val="00513EBC"/>
    <w:rsid w:val="00514CE1"/>
    <w:rsid w:val="00517155"/>
    <w:rsid w:val="00517DB3"/>
    <w:rsid w:val="005200DC"/>
    <w:rsid w:val="005200F2"/>
    <w:rsid w:val="0052369D"/>
    <w:rsid w:val="005271DB"/>
    <w:rsid w:val="005271DD"/>
    <w:rsid w:val="00530D2F"/>
    <w:rsid w:val="0053487C"/>
    <w:rsid w:val="005356E1"/>
    <w:rsid w:val="00536A8B"/>
    <w:rsid w:val="00540418"/>
    <w:rsid w:val="00541A96"/>
    <w:rsid w:val="00541C6A"/>
    <w:rsid w:val="00542C54"/>
    <w:rsid w:val="00546A43"/>
    <w:rsid w:val="00546C70"/>
    <w:rsid w:val="00547258"/>
    <w:rsid w:val="00547923"/>
    <w:rsid w:val="00550CF0"/>
    <w:rsid w:val="005524B0"/>
    <w:rsid w:val="005559FE"/>
    <w:rsid w:val="005560D6"/>
    <w:rsid w:val="00556D07"/>
    <w:rsid w:val="005611F2"/>
    <w:rsid w:val="00561734"/>
    <w:rsid w:val="00561952"/>
    <w:rsid w:val="00564B9A"/>
    <w:rsid w:val="00565694"/>
    <w:rsid w:val="00566DD6"/>
    <w:rsid w:val="005714EF"/>
    <w:rsid w:val="00571CEC"/>
    <w:rsid w:val="00572FCE"/>
    <w:rsid w:val="005750DB"/>
    <w:rsid w:val="005759FC"/>
    <w:rsid w:val="00575B85"/>
    <w:rsid w:val="00576DB9"/>
    <w:rsid w:val="0057738F"/>
    <w:rsid w:val="005805E4"/>
    <w:rsid w:val="0058202F"/>
    <w:rsid w:val="00583904"/>
    <w:rsid w:val="00584221"/>
    <w:rsid w:val="00584EB6"/>
    <w:rsid w:val="00586B68"/>
    <w:rsid w:val="0058774E"/>
    <w:rsid w:val="005878CF"/>
    <w:rsid w:val="00590CA0"/>
    <w:rsid w:val="00593D7C"/>
    <w:rsid w:val="00595B01"/>
    <w:rsid w:val="00596D98"/>
    <w:rsid w:val="005979A5"/>
    <w:rsid w:val="005A0021"/>
    <w:rsid w:val="005A017B"/>
    <w:rsid w:val="005A2AEC"/>
    <w:rsid w:val="005A412D"/>
    <w:rsid w:val="005A4DEA"/>
    <w:rsid w:val="005A5212"/>
    <w:rsid w:val="005B002D"/>
    <w:rsid w:val="005B0FFF"/>
    <w:rsid w:val="005B15C8"/>
    <w:rsid w:val="005B19AF"/>
    <w:rsid w:val="005B258C"/>
    <w:rsid w:val="005B61DD"/>
    <w:rsid w:val="005B61E4"/>
    <w:rsid w:val="005B6735"/>
    <w:rsid w:val="005B7831"/>
    <w:rsid w:val="005C0CD6"/>
    <w:rsid w:val="005C12D9"/>
    <w:rsid w:val="005C2146"/>
    <w:rsid w:val="005C309D"/>
    <w:rsid w:val="005C544B"/>
    <w:rsid w:val="005C5916"/>
    <w:rsid w:val="005C5AEE"/>
    <w:rsid w:val="005C774A"/>
    <w:rsid w:val="005D2325"/>
    <w:rsid w:val="005D3734"/>
    <w:rsid w:val="005D4F16"/>
    <w:rsid w:val="005D5A53"/>
    <w:rsid w:val="005D5DA0"/>
    <w:rsid w:val="005D7FBD"/>
    <w:rsid w:val="005E00FB"/>
    <w:rsid w:val="005E19B4"/>
    <w:rsid w:val="005E1D6B"/>
    <w:rsid w:val="005E227A"/>
    <w:rsid w:val="005E2CF8"/>
    <w:rsid w:val="005E2F52"/>
    <w:rsid w:val="005E3126"/>
    <w:rsid w:val="005E7075"/>
    <w:rsid w:val="005E75A7"/>
    <w:rsid w:val="005F38E2"/>
    <w:rsid w:val="005F3EE6"/>
    <w:rsid w:val="005F6736"/>
    <w:rsid w:val="005F7891"/>
    <w:rsid w:val="00602C10"/>
    <w:rsid w:val="00602EBD"/>
    <w:rsid w:val="00604CF2"/>
    <w:rsid w:val="00606DFF"/>
    <w:rsid w:val="00606FB7"/>
    <w:rsid w:val="00610533"/>
    <w:rsid w:val="006110F6"/>
    <w:rsid w:val="00611FA1"/>
    <w:rsid w:val="00612522"/>
    <w:rsid w:val="00612770"/>
    <w:rsid w:val="00612DA6"/>
    <w:rsid w:val="0061365B"/>
    <w:rsid w:val="006138B6"/>
    <w:rsid w:val="00614BC6"/>
    <w:rsid w:val="00614E33"/>
    <w:rsid w:val="00615629"/>
    <w:rsid w:val="006158B8"/>
    <w:rsid w:val="0061706D"/>
    <w:rsid w:val="006173DA"/>
    <w:rsid w:val="00617EF9"/>
    <w:rsid w:val="00620295"/>
    <w:rsid w:val="00622F8E"/>
    <w:rsid w:val="00626AC8"/>
    <w:rsid w:val="00627912"/>
    <w:rsid w:val="0063195F"/>
    <w:rsid w:val="00636C0A"/>
    <w:rsid w:val="00637EC6"/>
    <w:rsid w:val="0064240C"/>
    <w:rsid w:val="00642FF5"/>
    <w:rsid w:val="006430FB"/>
    <w:rsid w:val="00643992"/>
    <w:rsid w:val="00644DBC"/>
    <w:rsid w:val="00646FE6"/>
    <w:rsid w:val="006474CD"/>
    <w:rsid w:val="00647744"/>
    <w:rsid w:val="006479A0"/>
    <w:rsid w:val="006500D9"/>
    <w:rsid w:val="00652EEB"/>
    <w:rsid w:val="00653B54"/>
    <w:rsid w:val="006541A3"/>
    <w:rsid w:val="00654FAD"/>
    <w:rsid w:val="00655C9F"/>
    <w:rsid w:val="006567FF"/>
    <w:rsid w:val="00656867"/>
    <w:rsid w:val="00656B35"/>
    <w:rsid w:val="0066109F"/>
    <w:rsid w:val="00664B26"/>
    <w:rsid w:val="0066596B"/>
    <w:rsid w:val="00670295"/>
    <w:rsid w:val="006704F5"/>
    <w:rsid w:val="00672894"/>
    <w:rsid w:val="00674B47"/>
    <w:rsid w:val="0067609E"/>
    <w:rsid w:val="00677749"/>
    <w:rsid w:val="00680E07"/>
    <w:rsid w:val="00682B9D"/>
    <w:rsid w:val="00683806"/>
    <w:rsid w:val="00686AF9"/>
    <w:rsid w:val="006910C0"/>
    <w:rsid w:val="00691954"/>
    <w:rsid w:val="0069320E"/>
    <w:rsid w:val="00693D13"/>
    <w:rsid w:val="00694F58"/>
    <w:rsid w:val="006955BC"/>
    <w:rsid w:val="006959E2"/>
    <w:rsid w:val="00696920"/>
    <w:rsid w:val="00697EB9"/>
    <w:rsid w:val="006A20D4"/>
    <w:rsid w:val="006A22EF"/>
    <w:rsid w:val="006A268D"/>
    <w:rsid w:val="006A350F"/>
    <w:rsid w:val="006A3957"/>
    <w:rsid w:val="006A39A4"/>
    <w:rsid w:val="006A41D6"/>
    <w:rsid w:val="006A669D"/>
    <w:rsid w:val="006A6E41"/>
    <w:rsid w:val="006B012F"/>
    <w:rsid w:val="006B27CF"/>
    <w:rsid w:val="006B41BD"/>
    <w:rsid w:val="006B5678"/>
    <w:rsid w:val="006B62B2"/>
    <w:rsid w:val="006C1C57"/>
    <w:rsid w:val="006C5760"/>
    <w:rsid w:val="006C6D6F"/>
    <w:rsid w:val="006D0D78"/>
    <w:rsid w:val="006D1128"/>
    <w:rsid w:val="006D2848"/>
    <w:rsid w:val="006D30E0"/>
    <w:rsid w:val="006D3370"/>
    <w:rsid w:val="006D5521"/>
    <w:rsid w:val="006D5FE9"/>
    <w:rsid w:val="006D6CBB"/>
    <w:rsid w:val="006D76A9"/>
    <w:rsid w:val="006D77F4"/>
    <w:rsid w:val="006E0898"/>
    <w:rsid w:val="006E41CD"/>
    <w:rsid w:val="006F0630"/>
    <w:rsid w:val="006F3BEC"/>
    <w:rsid w:val="00701AD4"/>
    <w:rsid w:val="00703C00"/>
    <w:rsid w:val="007057CC"/>
    <w:rsid w:val="007066F2"/>
    <w:rsid w:val="00706AE5"/>
    <w:rsid w:val="0070740A"/>
    <w:rsid w:val="00711F93"/>
    <w:rsid w:val="00712940"/>
    <w:rsid w:val="0071428C"/>
    <w:rsid w:val="00715A16"/>
    <w:rsid w:val="007164B0"/>
    <w:rsid w:val="007166FF"/>
    <w:rsid w:val="007260CC"/>
    <w:rsid w:val="00726543"/>
    <w:rsid w:val="0073353E"/>
    <w:rsid w:val="00736633"/>
    <w:rsid w:val="00741EE7"/>
    <w:rsid w:val="00743A79"/>
    <w:rsid w:val="007444D4"/>
    <w:rsid w:val="007452EE"/>
    <w:rsid w:val="0074594D"/>
    <w:rsid w:val="007459F3"/>
    <w:rsid w:val="00746E35"/>
    <w:rsid w:val="007470E2"/>
    <w:rsid w:val="0075232F"/>
    <w:rsid w:val="00753132"/>
    <w:rsid w:val="007550B3"/>
    <w:rsid w:val="00760451"/>
    <w:rsid w:val="0077182A"/>
    <w:rsid w:val="00771913"/>
    <w:rsid w:val="00772718"/>
    <w:rsid w:val="00775BCF"/>
    <w:rsid w:val="007818AA"/>
    <w:rsid w:val="0078209F"/>
    <w:rsid w:val="00783140"/>
    <w:rsid w:val="007838B6"/>
    <w:rsid w:val="00783E77"/>
    <w:rsid w:val="007906F1"/>
    <w:rsid w:val="0079243D"/>
    <w:rsid w:val="00794A9B"/>
    <w:rsid w:val="00795316"/>
    <w:rsid w:val="0079583B"/>
    <w:rsid w:val="00796602"/>
    <w:rsid w:val="00797185"/>
    <w:rsid w:val="007976B7"/>
    <w:rsid w:val="00797A7E"/>
    <w:rsid w:val="00797D6F"/>
    <w:rsid w:val="007A3276"/>
    <w:rsid w:val="007A68BA"/>
    <w:rsid w:val="007B014B"/>
    <w:rsid w:val="007B0D88"/>
    <w:rsid w:val="007B2121"/>
    <w:rsid w:val="007B306F"/>
    <w:rsid w:val="007B4714"/>
    <w:rsid w:val="007B4E82"/>
    <w:rsid w:val="007C1996"/>
    <w:rsid w:val="007C3773"/>
    <w:rsid w:val="007C3F1F"/>
    <w:rsid w:val="007C4B99"/>
    <w:rsid w:val="007D22F4"/>
    <w:rsid w:val="007D2D0D"/>
    <w:rsid w:val="007D3325"/>
    <w:rsid w:val="007D3818"/>
    <w:rsid w:val="007D6DC5"/>
    <w:rsid w:val="007D7425"/>
    <w:rsid w:val="007E219B"/>
    <w:rsid w:val="007E320E"/>
    <w:rsid w:val="007E3280"/>
    <w:rsid w:val="007E3576"/>
    <w:rsid w:val="007E4A02"/>
    <w:rsid w:val="007E595C"/>
    <w:rsid w:val="007E59A5"/>
    <w:rsid w:val="007F3B8C"/>
    <w:rsid w:val="007F41D0"/>
    <w:rsid w:val="007F4B8B"/>
    <w:rsid w:val="007F5957"/>
    <w:rsid w:val="007F70B6"/>
    <w:rsid w:val="007F74CA"/>
    <w:rsid w:val="00800F1E"/>
    <w:rsid w:val="0080195A"/>
    <w:rsid w:val="0080239C"/>
    <w:rsid w:val="00802841"/>
    <w:rsid w:val="008037D5"/>
    <w:rsid w:val="00805447"/>
    <w:rsid w:val="008054FA"/>
    <w:rsid w:val="00806D5E"/>
    <w:rsid w:val="0080717A"/>
    <w:rsid w:val="00807DFA"/>
    <w:rsid w:val="0081009F"/>
    <w:rsid w:val="00810152"/>
    <w:rsid w:val="008115AB"/>
    <w:rsid w:val="00812D2C"/>
    <w:rsid w:val="008159F4"/>
    <w:rsid w:val="008167C1"/>
    <w:rsid w:val="008167C6"/>
    <w:rsid w:val="00816B8F"/>
    <w:rsid w:val="00820331"/>
    <w:rsid w:val="00820BF5"/>
    <w:rsid w:val="008212B1"/>
    <w:rsid w:val="0082155A"/>
    <w:rsid w:val="0082209F"/>
    <w:rsid w:val="008223C2"/>
    <w:rsid w:val="008250A2"/>
    <w:rsid w:val="0082516E"/>
    <w:rsid w:val="00825D64"/>
    <w:rsid w:val="0082650B"/>
    <w:rsid w:val="008301CE"/>
    <w:rsid w:val="008312E3"/>
    <w:rsid w:val="00831D5B"/>
    <w:rsid w:val="00832DD6"/>
    <w:rsid w:val="00832F0C"/>
    <w:rsid w:val="008336F2"/>
    <w:rsid w:val="008345D9"/>
    <w:rsid w:val="008347CB"/>
    <w:rsid w:val="00835647"/>
    <w:rsid w:val="00837A2E"/>
    <w:rsid w:val="00841558"/>
    <w:rsid w:val="00842A68"/>
    <w:rsid w:val="008435BA"/>
    <w:rsid w:val="0084558B"/>
    <w:rsid w:val="0084654A"/>
    <w:rsid w:val="00846C87"/>
    <w:rsid w:val="00847654"/>
    <w:rsid w:val="00851064"/>
    <w:rsid w:val="00855543"/>
    <w:rsid w:val="008566B3"/>
    <w:rsid w:val="008576B7"/>
    <w:rsid w:val="00857F7B"/>
    <w:rsid w:val="00863DA1"/>
    <w:rsid w:val="008654A6"/>
    <w:rsid w:val="00865D86"/>
    <w:rsid w:val="00870495"/>
    <w:rsid w:val="00870EA1"/>
    <w:rsid w:val="008710C5"/>
    <w:rsid w:val="00874438"/>
    <w:rsid w:val="00874E75"/>
    <w:rsid w:val="008767F3"/>
    <w:rsid w:val="00876CEF"/>
    <w:rsid w:val="00877342"/>
    <w:rsid w:val="008803C3"/>
    <w:rsid w:val="00881450"/>
    <w:rsid w:val="008817C7"/>
    <w:rsid w:val="00881875"/>
    <w:rsid w:val="008848A3"/>
    <w:rsid w:val="00884AF1"/>
    <w:rsid w:val="00885F7A"/>
    <w:rsid w:val="00890712"/>
    <w:rsid w:val="00890D81"/>
    <w:rsid w:val="00892955"/>
    <w:rsid w:val="00893628"/>
    <w:rsid w:val="008941EB"/>
    <w:rsid w:val="0089545A"/>
    <w:rsid w:val="00895A02"/>
    <w:rsid w:val="008A01EE"/>
    <w:rsid w:val="008A0DAC"/>
    <w:rsid w:val="008A3B78"/>
    <w:rsid w:val="008A4166"/>
    <w:rsid w:val="008A7DBF"/>
    <w:rsid w:val="008B136C"/>
    <w:rsid w:val="008B55EF"/>
    <w:rsid w:val="008B6910"/>
    <w:rsid w:val="008C0B5C"/>
    <w:rsid w:val="008C1343"/>
    <w:rsid w:val="008C3912"/>
    <w:rsid w:val="008C5598"/>
    <w:rsid w:val="008C5BB3"/>
    <w:rsid w:val="008C69EA"/>
    <w:rsid w:val="008C6F8B"/>
    <w:rsid w:val="008C7AB7"/>
    <w:rsid w:val="008C7FB4"/>
    <w:rsid w:val="008D2C8C"/>
    <w:rsid w:val="008D3040"/>
    <w:rsid w:val="008D3ECD"/>
    <w:rsid w:val="008D5C03"/>
    <w:rsid w:val="008D7580"/>
    <w:rsid w:val="008D7C35"/>
    <w:rsid w:val="008E5698"/>
    <w:rsid w:val="008E5733"/>
    <w:rsid w:val="008E77D2"/>
    <w:rsid w:val="008E78FD"/>
    <w:rsid w:val="008F199D"/>
    <w:rsid w:val="008F38A0"/>
    <w:rsid w:val="008F39C9"/>
    <w:rsid w:val="008F5EB5"/>
    <w:rsid w:val="008F678C"/>
    <w:rsid w:val="008F75A7"/>
    <w:rsid w:val="008F7E5A"/>
    <w:rsid w:val="00900A7F"/>
    <w:rsid w:val="009036EE"/>
    <w:rsid w:val="00905815"/>
    <w:rsid w:val="00905D1D"/>
    <w:rsid w:val="0091016D"/>
    <w:rsid w:val="00910C98"/>
    <w:rsid w:val="00911910"/>
    <w:rsid w:val="00912A58"/>
    <w:rsid w:val="00913908"/>
    <w:rsid w:val="00913D26"/>
    <w:rsid w:val="0091438B"/>
    <w:rsid w:val="009147E3"/>
    <w:rsid w:val="00920FD2"/>
    <w:rsid w:val="00923A43"/>
    <w:rsid w:val="0092439C"/>
    <w:rsid w:val="0092498E"/>
    <w:rsid w:val="00925B91"/>
    <w:rsid w:val="00934461"/>
    <w:rsid w:val="00934F7E"/>
    <w:rsid w:val="00936A1C"/>
    <w:rsid w:val="00943E35"/>
    <w:rsid w:val="00945278"/>
    <w:rsid w:val="0094658D"/>
    <w:rsid w:val="00947678"/>
    <w:rsid w:val="00947878"/>
    <w:rsid w:val="009504C2"/>
    <w:rsid w:val="0095254A"/>
    <w:rsid w:val="0095273B"/>
    <w:rsid w:val="009559E1"/>
    <w:rsid w:val="009568D5"/>
    <w:rsid w:val="00957975"/>
    <w:rsid w:val="00957CD3"/>
    <w:rsid w:val="0096269B"/>
    <w:rsid w:val="009626DD"/>
    <w:rsid w:val="00963FB0"/>
    <w:rsid w:val="00964C86"/>
    <w:rsid w:val="00965E82"/>
    <w:rsid w:val="009664BB"/>
    <w:rsid w:val="009669F8"/>
    <w:rsid w:val="00966F89"/>
    <w:rsid w:val="00973B5D"/>
    <w:rsid w:val="0097755E"/>
    <w:rsid w:val="00981467"/>
    <w:rsid w:val="00981C24"/>
    <w:rsid w:val="009852F6"/>
    <w:rsid w:val="00985DE5"/>
    <w:rsid w:val="00986254"/>
    <w:rsid w:val="0098729E"/>
    <w:rsid w:val="00990067"/>
    <w:rsid w:val="00992977"/>
    <w:rsid w:val="009937D4"/>
    <w:rsid w:val="00993C78"/>
    <w:rsid w:val="009948C7"/>
    <w:rsid w:val="00995850"/>
    <w:rsid w:val="0099796C"/>
    <w:rsid w:val="009A194E"/>
    <w:rsid w:val="009A1EA2"/>
    <w:rsid w:val="009A209E"/>
    <w:rsid w:val="009A3FD7"/>
    <w:rsid w:val="009A6652"/>
    <w:rsid w:val="009A74FD"/>
    <w:rsid w:val="009B25D8"/>
    <w:rsid w:val="009B42E3"/>
    <w:rsid w:val="009B5859"/>
    <w:rsid w:val="009C6D07"/>
    <w:rsid w:val="009C7CEC"/>
    <w:rsid w:val="009D154D"/>
    <w:rsid w:val="009D18EF"/>
    <w:rsid w:val="009D3BE8"/>
    <w:rsid w:val="009D44E0"/>
    <w:rsid w:val="009D573B"/>
    <w:rsid w:val="009D59A0"/>
    <w:rsid w:val="009D716A"/>
    <w:rsid w:val="009E1AC4"/>
    <w:rsid w:val="009E20B8"/>
    <w:rsid w:val="009E29A0"/>
    <w:rsid w:val="009E41B5"/>
    <w:rsid w:val="009E55D7"/>
    <w:rsid w:val="009E627C"/>
    <w:rsid w:val="009F110B"/>
    <w:rsid w:val="009F1498"/>
    <w:rsid w:val="009F1E9F"/>
    <w:rsid w:val="009F3793"/>
    <w:rsid w:val="009F54F2"/>
    <w:rsid w:val="00A0056B"/>
    <w:rsid w:val="00A01657"/>
    <w:rsid w:val="00A01C65"/>
    <w:rsid w:val="00A0213D"/>
    <w:rsid w:val="00A04C73"/>
    <w:rsid w:val="00A0679A"/>
    <w:rsid w:val="00A07A2B"/>
    <w:rsid w:val="00A12375"/>
    <w:rsid w:val="00A125B8"/>
    <w:rsid w:val="00A13124"/>
    <w:rsid w:val="00A15370"/>
    <w:rsid w:val="00A156AB"/>
    <w:rsid w:val="00A16B8D"/>
    <w:rsid w:val="00A21293"/>
    <w:rsid w:val="00A2134B"/>
    <w:rsid w:val="00A21623"/>
    <w:rsid w:val="00A220EB"/>
    <w:rsid w:val="00A22302"/>
    <w:rsid w:val="00A25F1B"/>
    <w:rsid w:val="00A325F3"/>
    <w:rsid w:val="00A33103"/>
    <w:rsid w:val="00A33294"/>
    <w:rsid w:val="00A35DCB"/>
    <w:rsid w:val="00A3690E"/>
    <w:rsid w:val="00A37751"/>
    <w:rsid w:val="00A406B1"/>
    <w:rsid w:val="00A4113E"/>
    <w:rsid w:val="00A42435"/>
    <w:rsid w:val="00A438BA"/>
    <w:rsid w:val="00A446FD"/>
    <w:rsid w:val="00A46F46"/>
    <w:rsid w:val="00A52CB6"/>
    <w:rsid w:val="00A52F99"/>
    <w:rsid w:val="00A538BB"/>
    <w:rsid w:val="00A54164"/>
    <w:rsid w:val="00A56737"/>
    <w:rsid w:val="00A60002"/>
    <w:rsid w:val="00A603D8"/>
    <w:rsid w:val="00A60AE2"/>
    <w:rsid w:val="00A61834"/>
    <w:rsid w:val="00A618B0"/>
    <w:rsid w:val="00A62790"/>
    <w:rsid w:val="00A6291F"/>
    <w:rsid w:val="00A63F53"/>
    <w:rsid w:val="00A7111E"/>
    <w:rsid w:val="00A755B6"/>
    <w:rsid w:val="00A75B1A"/>
    <w:rsid w:val="00A80ED4"/>
    <w:rsid w:val="00A816C4"/>
    <w:rsid w:val="00A82981"/>
    <w:rsid w:val="00A86F10"/>
    <w:rsid w:val="00A87AF2"/>
    <w:rsid w:val="00A90B23"/>
    <w:rsid w:val="00A93193"/>
    <w:rsid w:val="00A93C2B"/>
    <w:rsid w:val="00A94556"/>
    <w:rsid w:val="00A946EC"/>
    <w:rsid w:val="00A95FB9"/>
    <w:rsid w:val="00A974CB"/>
    <w:rsid w:val="00A97F88"/>
    <w:rsid w:val="00AA1EAC"/>
    <w:rsid w:val="00AA45E2"/>
    <w:rsid w:val="00AA7AC1"/>
    <w:rsid w:val="00AB22AA"/>
    <w:rsid w:val="00AB6327"/>
    <w:rsid w:val="00AB6B8F"/>
    <w:rsid w:val="00AC0C65"/>
    <w:rsid w:val="00AC0FB2"/>
    <w:rsid w:val="00AC3721"/>
    <w:rsid w:val="00AC41C6"/>
    <w:rsid w:val="00AC50F0"/>
    <w:rsid w:val="00AC70C7"/>
    <w:rsid w:val="00AC76B7"/>
    <w:rsid w:val="00AD0223"/>
    <w:rsid w:val="00AD123A"/>
    <w:rsid w:val="00AD15FF"/>
    <w:rsid w:val="00AD1AA5"/>
    <w:rsid w:val="00AD2920"/>
    <w:rsid w:val="00AD2CD5"/>
    <w:rsid w:val="00AD2DFC"/>
    <w:rsid w:val="00AD38C4"/>
    <w:rsid w:val="00AD5A4A"/>
    <w:rsid w:val="00AD60EE"/>
    <w:rsid w:val="00AD6A2B"/>
    <w:rsid w:val="00AD73D4"/>
    <w:rsid w:val="00AE1EA2"/>
    <w:rsid w:val="00AE2874"/>
    <w:rsid w:val="00AE2BA2"/>
    <w:rsid w:val="00AE2F98"/>
    <w:rsid w:val="00AE3602"/>
    <w:rsid w:val="00AE5342"/>
    <w:rsid w:val="00AE5987"/>
    <w:rsid w:val="00AE6472"/>
    <w:rsid w:val="00AF1345"/>
    <w:rsid w:val="00AF38A8"/>
    <w:rsid w:val="00AF63EB"/>
    <w:rsid w:val="00B016D2"/>
    <w:rsid w:val="00B018EC"/>
    <w:rsid w:val="00B060C7"/>
    <w:rsid w:val="00B11AB7"/>
    <w:rsid w:val="00B12213"/>
    <w:rsid w:val="00B13710"/>
    <w:rsid w:val="00B22881"/>
    <w:rsid w:val="00B23EFC"/>
    <w:rsid w:val="00B24B72"/>
    <w:rsid w:val="00B25DB8"/>
    <w:rsid w:val="00B2656C"/>
    <w:rsid w:val="00B266E6"/>
    <w:rsid w:val="00B3094D"/>
    <w:rsid w:val="00B30B04"/>
    <w:rsid w:val="00B311BC"/>
    <w:rsid w:val="00B31810"/>
    <w:rsid w:val="00B31C10"/>
    <w:rsid w:val="00B3446D"/>
    <w:rsid w:val="00B34652"/>
    <w:rsid w:val="00B34F89"/>
    <w:rsid w:val="00B358C8"/>
    <w:rsid w:val="00B36185"/>
    <w:rsid w:val="00B3662F"/>
    <w:rsid w:val="00B373CD"/>
    <w:rsid w:val="00B377C8"/>
    <w:rsid w:val="00B400B8"/>
    <w:rsid w:val="00B404DE"/>
    <w:rsid w:val="00B40765"/>
    <w:rsid w:val="00B4232D"/>
    <w:rsid w:val="00B42682"/>
    <w:rsid w:val="00B43065"/>
    <w:rsid w:val="00B44784"/>
    <w:rsid w:val="00B449D0"/>
    <w:rsid w:val="00B456AB"/>
    <w:rsid w:val="00B46C2A"/>
    <w:rsid w:val="00B47E8B"/>
    <w:rsid w:val="00B5140F"/>
    <w:rsid w:val="00B51C67"/>
    <w:rsid w:val="00B51FF6"/>
    <w:rsid w:val="00B53F86"/>
    <w:rsid w:val="00B53FDC"/>
    <w:rsid w:val="00B55431"/>
    <w:rsid w:val="00B55CAE"/>
    <w:rsid w:val="00B576C6"/>
    <w:rsid w:val="00B615F2"/>
    <w:rsid w:val="00B61A28"/>
    <w:rsid w:val="00B63902"/>
    <w:rsid w:val="00B65C6D"/>
    <w:rsid w:val="00B66B06"/>
    <w:rsid w:val="00B67862"/>
    <w:rsid w:val="00B70634"/>
    <w:rsid w:val="00B70BE4"/>
    <w:rsid w:val="00B73880"/>
    <w:rsid w:val="00B73CF1"/>
    <w:rsid w:val="00B745B3"/>
    <w:rsid w:val="00B7599D"/>
    <w:rsid w:val="00B75E64"/>
    <w:rsid w:val="00B7648F"/>
    <w:rsid w:val="00B76E13"/>
    <w:rsid w:val="00B771EE"/>
    <w:rsid w:val="00B7765B"/>
    <w:rsid w:val="00B77B4B"/>
    <w:rsid w:val="00B80ABC"/>
    <w:rsid w:val="00B814C2"/>
    <w:rsid w:val="00B900FE"/>
    <w:rsid w:val="00B9064C"/>
    <w:rsid w:val="00BA058E"/>
    <w:rsid w:val="00BA0A14"/>
    <w:rsid w:val="00BA228D"/>
    <w:rsid w:val="00BA398D"/>
    <w:rsid w:val="00BA39D3"/>
    <w:rsid w:val="00BA39EC"/>
    <w:rsid w:val="00BA5C56"/>
    <w:rsid w:val="00BA776F"/>
    <w:rsid w:val="00BB0C0D"/>
    <w:rsid w:val="00BB0D69"/>
    <w:rsid w:val="00BB366E"/>
    <w:rsid w:val="00BB3AF0"/>
    <w:rsid w:val="00BB4F70"/>
    <w:rsid w:val="00BB67FF"/>
    <w:rsid w:val="00BC11B9"/>
    <w:rsid w:val="00BC138C"/>
    <w:rsid w:val="00BC14CF"/>
    <w:rsid w:val="00BC1659"/>
    <w:rsid w:val="00BC2C91"/>
    <w:rsid w:val="00BC3A9C"/>
    <w:rsid w:val="00BC5288"/>
    <w:rsid w:val="00BC6A71"/>
    <w:rsid w:val="00BC6B2F"/>
    <w:rsid w:val="00BD0637"/>
    <w:rsid w:val="00BD08A8"/>
    <w:rsid w:val="00BD1BAC"/>
    <w:rsid w:val="00BD1FA8"/>
    <w:rsid w:val="00BD25A6"/>
    <w:rsid w:val="00BD4C95"/>
    <w:rsid w:val="00BD65FC"/>
    <w:rsid w:val="00BD7660"/>
    <w:rsid w:val="00BE0666"/>
    <w:rsid w:val="00BE24B9"/>
    <w:rsid w:val="00BE2AE8"/>
    <w:rsid w:val="00BE2D55"/>
    <w:rsid w:val="00BE38DD"/>
    <w:rsid w:val="00BE4AB1"/>
    <w:rsid w:val="00BF16C3"/>
    <w:rsid w:val="00BF38E0"/>
    <w:rsid w:val="00BF44FA"/>
    <w:rsid w:val="00BF57E1"/>
    <w:rsid w:val="00C003B4"/>
    <w:rsid w:val="00C00A5F"/>
    <w:rsid w:val="00C042E0"/>
    <w:rsid w:val="00C051D9"/>
    <w:rsid w:val="00C06333"/>
    <w:rsid w:val="00C06F68"/>
    <w:rsid w:val="00C075BA"/>
    <w:rsid w:val="00C10A3A"/>
    <w:rsid w:val="00C11E20"/>
    <w:rsid w:val="00C15D16"/>
    <w:rsid w:val="00C20015"/>
    <w:rsid w:val="00C247DD"/>
    <w:rsid w:val="00C253DA"/>
    <w:rsid w:val="00C25A3D"/>
    <w:rsid w:val="00C25B43"/>
    <w:rsid w:val="00C26A54"/>
    <w:rsid w:val="00C3261C"/>
    <w:rsid w:val="00C3318B"/>
    <w:rsid w:val="00C33C20"/>
    <w:rsid w:val="00C35362"/>
    <w:rsid w:val="00C357EA"/>
    <w:rsid w:val="00C379F8"/>
    <w:rsid w:val="00C37A1C"/>
    <w:rsid w:val="00C42323"/>
    <w:rsid w:val="00C4316E"/>
    <w:rsid w:val="00C453A9"/>
    <w:rsid w:val="00C465D5"/>
    <w:rsid w:val="00C4756A"/>
    <w:rsid w:val="00C47C39"/>
    <w:rsid w:val="00C50649"/>
    <w:rsid w:val="00C50E1F"/>
    <w:rsid w:val="00C51C09"/>
    <w:rsid w:val="00C52BB6"/>
    <w:rsid w:val="00C53471"/>
    <w:rsid w:val="00C55143"/>
    <w:rsid w:val="00C5611B"/>
    <w:rsid w:val="00C5695E"/>
    <w:rsid w:val="00C61528"/>
    <w:rsid w:val="00C63457"/>
    <w:rsid w:val="00C64964"/>
    <w:rsid w:val="00C6631E"/>
    <w:rsid w:val="00C67473"/>
    <w:rsid w:val="00C67AA4"/>
    <w:rsid w:val="00C7148C"/>
    <w:rsid w:val="00C72192"/>
    <w:rsid w:val="00C732E5"/>
    <w:rsid w:val="00C73D0B"/>
    <w:rsid w:val="00C75017"/>
    <w:rsid w:val="00C765B4"/>
    <w:rsid w:val="00C813EA"/>
    <w:rsid w:val="00C81496"/>
    <w:rsid w:val="00C82CE6"/>
    <w:rsid w:val="00C82E22"/>
    <w:rsid w:val="00C83D71"/>
    <w:rsid w:val="00C85144"/>
    <w:rsid w:val="00C86738"/>
    <w:rsid w:val="00C86A27"/>
    <w:rsid w:val="00C91517"/>
    <w:rsid w:val="00C929BD"/>
    <w:rsid w:val="00C931A2"/>
    <w:rsid w:val="00CA02E1"/>
    <w:rsid w:val="00CA15DA"/>
    <w:rsid w:val="00CA224E"/>
    <w:rsid w:val="00CA41C5"/>
    <w:rsid w:val="00CA42B7"/>
    <w:rsid w:val="00CA4A53"/>
    <w:rsid w:val="00CA51F5"/>
    <w:rsid w:val="00CB218A"/>
    <w:rsid w:val="00CB225A"/>
    <w:rsid w:val="00CB69E6"/>
    <w:rsid w:val="00CB761B"/>
    <w:rsid w:val="00CB7E33"/>
    <w:rsid w:val="00CC13DF"/>
    <w:rsid w:val="00CC1EEE"/>
    <w:rsid w:val="00CC562B"/>
    <w:rsid w:val="00CC6C15"/>
    <w:rsid w:val="00CC7FCF"/>
    <w:rsid w:val="00CD2749"/>
    <w:rsid w:val="00CD2A60"/>
    <w:rsid w:val="00CD306F"/>
    <w:rsid w:val="00CD3971"/>
    <w:rsid w:val="00CD3DAB"/>
    <w:rsid w:val="00CE0DF1"/>
    <w:rsid w:val="00CE192C"/>
    <w:rsid w:val="00CE3786"/>
    <w:rsid w:val="00CE4027"/>
    <w:rsid w:val="00CE47CC"/>
    <w:rsid w:val="00CE68F6"/>
    <w:rsid w:val="00CE7E27"/>
    <w:rsid w:val="00CF22AC"/>
    <w:rsid w:val="00CF2F0A"/>
    <w:rsid w:val="00CF79E8"/>
    <w:rsid w:val="00D015AA"/>
    <w:rsid w:val="00D021B8"/>
    <w:rsid w:val="00D03D90"/>
    <w:rsid w:val="00D04024"/>
    <w:rsid w:val="00D043EB"/>
    <w:rsid w:val="00D06705"/>
    <w:rsid w:val="00D06A9B"/>
    <w:rsid w:val="00D0750D"/>
    <w:rsid w:val="00D07DD8"/>
    <w:rsid w:val="00D1038F"/>
    <w:rsid w:val="00D10BF7"/>
    <w:rsid w:val="00D10FEB"/>
    <w:rsid w:val="00D140A0"/>
    <w:rsid w:val="00D203D1"/>
    <w:rsid w:val="00D2057A"/>
    <w:rsid w:val="00D21D98"/>
    <w:rsid w:val="00D2317F"/>
    <w:rsid w:val="00D231A9"/>
    <w:rsid w:val="00D24391"/>
    <w:rsid w:val="00D2472B"/>
    <w:rsid w:val="00D253DD"/>
    <w:rsid w:val="00D26FFA"/>
    <w:rsid w:val="00D3215D"/>
    <w:rsid w:val="00D33352"/>
    <w:rsid w:val="00D347D9"/>
    <w:rsid w:val="00D35565"/>
    <w:rsid w:val="00D36A19"/>
    <w:rsid w:val="00D40DCF"/>
    <w:rsid w:val="00D41075"/>
    <w:rsid w:val="00D41C76"/>
    <w:rsid w:val="00D41DD8"/>
    <w:rsid w:val="00D4222C"/>
    <w:rsid w:val="00D425CE"/>
    <w:rsid w:val="00D42F40"/>
    <w:rsid w:val="00D4396C"/>
    <w:rsid w:val="00D4446F"/>
    <w:rsid w:val="00D44B55"/>
    <w:rsid w:val="00D45490"/>
    <w:rsid w:val="00D457B8"/>
    <w:rsid w:val="00D457E1"/>
    <w:rsid w:val="00D46014"/>
    <w:rsid w:val="00D47BEB"/>
    <w:rsid w:val="00D50487"/>
    <w:rsid w:val="00D50563"/>
    <w:rsid w:val="00D50F50"/>
    <w:rsid w:val="00D5235F"/>
    <w:rsid w:val="00D52F50"/>
    <w:rsid w:val="00D55A98"/>
    <w:rsid w:val="00D56B49"/>
    <w:rsid w:val="00D60209"/>
    <w:rsid w:val="00D6053F"/>
    <w:rsid w:val="00D6073D"/>
    <w:rsid w:val="00D618D6"/>
    <w:rsid w:val="00D62426"/>
    <w:rsid w:val="00D62804"/>
    <w:rsid w:val="00D70F55"/>
    <w:rsid w:val="00D70FA5"/>
    <w:rsid w:val="00D74171"/>
    <w:rsid w:val="00D7474C"/>
    <w:rsid w:val="00D8032C"/>
    <w:rsid w:val="00D80CE2"/>
    <w:rsid w:val="00D83080"/>
    <w:rsid w:val="00D84D5F"/>
    <w:rsid w:val="00D851E2"/>
    <w:rsid w:val="00D87FFA"/>
    <w:rsid w:val="00D91419"/>
    <w:rsid w:val="00D92A09"/>
    <w:rsid w:val="00D92D2A"/>
    <w:rsid w:val="00D92EEC"/>
    <w:rsid w:val="00D93470"/>
    <w:rsid w:val="00D9395F"/>
    <w:rsid w:val="00D93D55"/>
    <w:rsid w:val="00D941FA"/>
    <w:rsid w:val="00D94B59"/>
    <w:rsid w:val="00D95315"/>
    <w:rsid w:val="00D95EAB"/>
    <w:rsid w:val="00DA0B39"/>
    <w:rsid w:val="00DA1203"/>
    <w:rsid w:val="00DA2316"/>
    <w:rsid w:val="00DA25E0"/>
    <w:rsid w:val="00DA2700"/>
    <w:rsid w:val="00DA3001"/>
    <w:rsid w:val="00DA3C5D"/>
    <w:rsid w:val="00DA3EFF"/>
    <w:rsid w:val="00DA7769"/>
    <w:rsid w:val="00DB08C6"/>
    <w:rsid w:val="00DB1BC2"/>
    <w:rsid w:val="00DB1CBB"/>
    <w:rsid w:val="00DB31ED"/>
    <w:rsid w:val="00DB4124"/>
    <w:rsid w:val="00DB4511"/>
    <w:rsid w:val="00DB4F0C"/>
    <w:rsid w:val="00DB5A8E"/>
    <w:rsid w:val="00DC0176"/>
    <w:rsid w:val="00DC043F"/>
    <w:rsid w:val="00DC093E"/>
    <w:rsid w:val="00DC0E29"/>
    <w:rsid w:val="00DC0E7A"/>
    <w:rsid w:val="00DC0F2C"/>
    <w:rsid w:val="00DC18D6"/>
    <w:rsid w:val="00DC2A65"/>
    <w:rsid w:val="00DC2A86"/>
    <w:rsid w:val="00DC3631"/>
    <w:rsid w:val="00DC37F7"/>
    <w:rsid w:val="00DC6F54"/>
    <w:rsid w:val="00DD0C00"/>
    <w:rsid w:val="00DD0F8C"/>
    <w:rsid w:val="00DD116C"/>
    <w:rsid w:val="00DD23D5"/>
    <w:rsid w:val="00DD2AF1"/>
    <w:rsid w:val="00DD46DA"/>
    <w:rsid w:val="00DD5A70"/>
    <w:rsid w:val="00DD6072"/>
    <w:rsid w:val="00DD62BE"/>
    <w:rsid w:val="00DD77D9"/>
    <w:rsid w:val="00DD7CA4"/>
    <w:rsid w:val="00DE167C"/>
    <w:rsid w:val="00DE3B70"/>
    <w:rsid w:val="00DE5813"/>
    <w:rsid w:val="00DE5927"/>
    <w:rsid w:val="00DF10B1"/>
    <w:rsid w:val="00DF1FDA"/>
    <w:rsid w:val="00DF3DD0"/>
    <w:rsid w:val="00DF4D50"/>
    <w:rsid w:val="00DF538C"/>
    <w:rsid w:val="00E021C2"/>
    <w:rsid w:val="00E024A3"/>
    <w:rsid w:val="00E0423D"/>
    <w:rsid w:val="00E057B5"/>
    <w:rsid w:val="00E0581E"/>
    <w:rsid w:val="00E079C5"/>
    <w:rsid w:val="00E07CBD"/>
    <w:rsid w:val="00E07F56"/>
    <w:rsid w:val="00E10A16"/>
    <w:rsid w:val="00E1112F"/>
    <w:rsid w:val="00E1318F"/>
    <w:rsid w:val="00E13B3B"/>
    <w:rsid w:val="00E13E29"/>
    <w:rsid w:val="00E16857"/>
    <w:rsid w:val="00E16C3A"/>
    <w:rsid w:val="00E20651"/>
    <w:rsid w:val="00E2107C"/>
    <w:rsid w:val="00E21E70"/>
    <w:rsid w:val="00E224DE"/>
    <w:rsid w:val="00E23DCE"/>
    <w:rsid w:val="00E26363"/>
    <w:rsid w:val="00E272A4"/>
    <w:rsid w:val="00E305F9"/>
    <w:rsid w:val="00E306AC"/>
    <w:rsid w:val="00E34446"/>
    <w:rsid w:val="00E3633B"/>
    <w:rsid w:val="00E36870"/>
    <w:rsid w:val="00E374E1"/>
    <w:rsid w:val="00E417AB"/>
    <w:rsid w:val="00E43D48"/>
    <w:rsid w:val="00E4542D"/>
    <w:rsid w:val="00E45BE0"/>
    <w:rsid w:val="00E46CAD"/>
    <w:rsid w:val="00E47521"/>
    <w:rsid w:val="00E4760C"/>
    <w:rsid w:val="00E500D3"/>
    <w:rsid w:val="00E507A6"/>
    <w:rsid w:val="00E5375C"/>
    <w:rsid w:val="00E561AD"/>
    <w:rsid w:val="00E57FAF"/>
    <w:rsid w:val="00E604FB"/>
    <w:rsid w:val="00E60BA9"/>
    <w:rsid w:val="00E63510"/>
    <w:rsid w:val="00E635EA"/>
    <w:rsid w:val="00E655E5"/>
    <w:rsid w:val="00E65F4E"/>
    <w:rsid w:val="00E662E0"/>
    <w:rsid w:val="00E67D5D"/>
    <w:rsid w:val="00E71C7A"/>
    <w:rsid w:val="00E73119"/>
    <w:rsid w:val="00E73E1E"/>
    <w:rsid w:val="00E767FF"/>
    <w:rsid w:val="00E84C91"/>
    <w:rsid w:val="00E84E60"/>
    <w:rsid w:val="00E8556E"/>
    <w:rsid w:val="00E86B2D"/>
    <w:rsid w:val="00E86F4D"/>
    <w:rsid w:val="00E87D08"/>
    <w:rsid w:val="00E90D0E"/>
    <w:rsid w:val="00E91B2D"/>
    <w:rsid w:val="00E92FCA"/>
    <w:rsid w:val="00E95CAA"/>
    <w:rsid w:val="00EA0A39"/>
    <w:rsid w:val="00EA0EB2"/>
    <w:rsid w:val="00EA236F"/>
    <w:rsid w:val="00EA3023"/>
    <w:rsid w:val="00EA3E49"/>
    <w:rsid w:val="00EA3FC8"/>
    <w:rsid w:val="00EA5B8C"/>
    <w:rsid w:val="00EB0DC9"/>
    <w:rsid w:val="00EB1383"/>
    <w:rsid w:val="00EB252D"/>
    <w:rsid w:val="00EB29FA"/>
    <w:rsid w:val="00EB2CCE"/>
    <w:rsid w:val="00EB2D40"/>
    <w:rsid w:val="00EB385F"/>
    <w:rsid w:val="00EB3E49"/>
    <w:rsid w:val="00EB5FC3"/>
    <w:rsid w:val="00EB6DA9"/>
    <w:rsid w:val="00EC1561"/>
    <w:rsid w:val="00EC462E"/>
    <w:rsid w:val="00EC6CD8"/>
    <w:rsid w:val="00EC786F"/>
    <w:rsid w:val="00ED1866"/>
    <w:rsid w:val="00ED3134"/>
    <w:rsid w:val="00ED38E2"/>
    <w:rsid w:val="00ED5C44"/>
    <w:rsid w:val="00ED635B"/>
    <w:rsid w:val="00EE742D"/>
    <w:rsid w:val="00EF0A22"/>
    <w:rsid w:val="00EF1267"/>
    <w:rsid w:val="00EF180C"/>
    <w:rsid w:val="00EF3B6B"/>
    <w:rsid w:val="00EF4B43"/>
    <w:rsid w:val="00EF6750"/>
    <w:rsid w:val="00EF770B"/>
    <w:rsid w:val="00F02836"/>
    <w:rsid w:val="00F02FB5"/>
    <w:rsid w:val="00F0534E"/>
    <w:rsid w:val="00F05C30"/>
    <w:rsid w:val="00F10F1B"/>
    <w:rsid w:val="00F14179"/>
    <w:rsid w:val="00F15786"/>
    <w:rsid w:val="00F167C5"/>
    <w:rsid w:val="00F20B5A"/>
    <w:rsid w:val="00F21F0B"/>
    <w:rsid w:val="00F236AB"/>
    <w:rsid w:val="00F24EA4"/>
    <w:rsid w:val="00F26726"/>
    <w:rsid w:val="00F27087"/>
    <w:rsid w:val="00F2773C"/>
    <w:rsid w:val="00F300B3"/>
    <w:rsid w:val="00F30DB9"/>
    <w:rsid w:val="00F30DBE"/>
    <w:rsid w:val="00F30FB8"/>
    <w:rsid w:val="00F31D68"/>
    <w:rsid w:val="00F33152"/>
    <w:rsid w:val="00F338F2"/>
    <w:rsid w:val="00F33DCE"/>
    <w:rsid w:val="00F349D3"/>
    <w:rsid w:val="00F3533E"/>
    <w:rsid w:val="00F35B84"/>
    <w:rsid w:val="00F402B5"/>
    <w:rsid w:val="00F4072F"/>
    <w:rsid w:val="00F42839"/>
    <w:rsid w:val="00F44CC0"/>
    <w:rsid w:val="00F450BA"/>
    <w:rsid w:val="00F4515C"/>
    <w:rsid w:val="00F4684B"/>
    <w:rsid w:val="00F46BE9"/>
    <w:rsid w:val="00F47C3B"/>
    <w:rsid w:val="00F506CA"/>
    <w:rsid w:val="00F53A7A"/>
    <w:rsid w:val="00F54FCD"/>
    <w:rsid w:val="00F5785C"/>
    <w:rsid w:val="00F65E3C"/>
    <w:rsid w:val="00F67076"/>
    <w:rsid w:val="00F677FA"/>
    <w:rsid w:val="00F7115A"/>
    <w:rsid w:val="00F717AA"/>
    <w:rsid w:val="00F72714"/>
    <w:rsid w:val="00F737D3"/>
    <w:rsid w:val="00F744C3"/>
    <w:rsid w:val="00F75EE2"/>
    <w:rsid w:val="00F75F69"/>
    <w:rsid w:val="00F76014"/>
    <w:rsid w:val="00F802D3"/>
    <w:rsid w:val="00F80F94"/>
    <w:rsid w:val="00F81BA2"/>
    <w:rsid w:val="00F823A4"/>
    <w:rsid w:val="00F8412F"/>
    <w:rsid w:val="00F84791"/>
    <w:rsid w:val="00F85995"/>
    <w:rsid w:val="00F85FC5"/>
    <w:rsid w:val="00F86C22"/>
    <w:rsid w:val="00F90CB3"/>
    <w:rsid w:val="00F912A2"/>
    <w:rsid w:val="00F913A3"/>
    <w:rsid w:val="00F925C3"/>
    <w:rsid w:val="00FA0109"/>
    <w:rsid w:val="00FA458B"/>
    <w:rsid w:val="00FA5EC5"/>
    <w:rsid w:val="00FA7016"/>
    <w:rsid w:val="00FA7174"/>
    <w:rsid w:val="00FA793D"/>
    <w:rsid w:val="00FB020E"/>
    <w:rsid w:val="00FB0F17"/>
    <w:rsid w:val="00FB4B9D"/>
    <w:rsid w:val="00FB50ED"/>
    <w:rsid w:val="00FB6E18"/>
    <w:rsid w:val="00FC144B"/>
    <w:rsid w:val="00FC2169"/>
    <w:rsid w:val="00FC28E2"/>
    <w:rsid w:val="00FC3BF6"/>
    <w:rsid w:val="00FC3D22"/>
    <w:rsid w:val="00FC6FE1"/>
    <w:rsid w:val="00FD0C3D"/>
    <w:rsid w:val="00FD2F6B"/>
    <w:rsid w:val="00FE064A"/>
    <w:rsid w:val="00FE0B55"/>
    <w:rsid w:val="00FE1E98"/>
    <w:rsid w:val="00FE2452"/>
    <w:rsid w:val="00FE4168"/>
    <w:rsid w:val="00FE519C"/>
    <w:rsid w:val="00FE5469"/>
    <w:rsid w:val="00FE66C2"/>
    <w:rsid w:val="00FE684A"/>
    <w:rsid w:val="00FE6F23"/>
    <w:rsid w:val="00FF0F8C"/>
    <w:rsid w:val="00FF408B"/>
    <w:rsid w:val="00FF43E1"/>
    <w:rsid w:val="00FF7067"/>
    <w:rsid w:val="01545461"/>
    <w:rsid w:val="01A249C3"/>
    <w:rsid w:val="021C21DE"/>
    <w:rsid w:val="03265180"/>
    <w:rsid w:val="03430854"/>
    <w:rsid w:val="035D1890"/>
    <w:rsid w:val="039F5FA6"/>
    <w:rsid w:val="03E76624"/>
    <w:rsid w:val="04473600"/>
    <w:rsid w:val="048D5398"/>
    <w:rsid w:val="049D6ACC"/>
    <w:rsid w:val="05616943"/>
    <w:rsid w:val="05A84572"/>
    <w:rsid w:val="05B2167A"/>
    <w:rsid w:val="071579E5"/>
    <w:rsid w:val="07291716"/>
    <w:rsid w:val="07612A84"/>
    <w:rsid w:val="07F82844"/>
    <w:rsid w:val="091D739F"/>
    <w:rsid w:val="09305ADA"/>
    <w:rsid w:val="09A6526C"/>
    <w:rsid w:val="09AD4EE5"/>
    <w:rsid w:val="09C773C2"/>
    <w:rsid w:val="09E576CD"/>
    <w:rsid w:val="09E65669"/>
    <w:rsid w:val="0A3463D4"/>
    <w:rsid w:val="0AC41E4E"/>
    <w:rsid w:val="0B4E6DAF"/>
    <w:rsid w:val="0C184BF9"/>
    <w:rsid w:val="0CCE1629"/>
    <w:rsid w:val="0CDB347F"/>
    <w:rsid w:val="0CDD0FA5"/>
    <w:rsid w:val="0D501777"/>
    <w:rsid w:val="0E1409F6"/>
    <w:rsid w:val="0E285252"/>
    <w:rsid w:val="0E8013B7"/>
    <w:rsid w:val="0EBB5316"/>
    <w:rsid w:val="0F182F7D"/>
    <w:rsid w:val="0F4C2412"/>
    <w:rsid w:val="102A4C15"/>
    <w:rsid w:val="10466E61"/>
    <w:rsid w:val="10D17073"/>
    <w:rsid w:val="10D604C6"/>
    <w:rsid w:val="10FE773C"/>
    <w:rsid w:val="11B515E0"/>
    <w:rsid w:val="127A1044"/>
    <w:rsid w:val="12E93160"/>
    <w:rsid w:val="131F0570"/>
    <w:rsid w:val="136917E4"/>
    <w:rsid w:val="13A53267"/>
    <w:rsid w:val="13F970D2"/>
    <w:rsid w:val="14180B15"/>
    <w:rsid w:val="148937C0"/>
    <w:rsid w:val="14AA4136"/>
    <w:rsid w:val="15082937"/>
    <w:rsid w:val="163A420B"/>
    <w:rsid w:val="167F30CD"/>
    <w:rsid w:val="169E17A5"/>
    <w:rsid w:val="17504CDA"/>
    <w:rsid w:val="17A60B24"/>
    <w:rsid w:val="17D86F39"/>
    <w:rsid w:val="17FB3975"/>
    <w:rsid w:val="19397563"/>
    <w:rsid w:val="19413B26"/>
    <w:rsid w:val="1A6745A4"/>
    <w:rsid w:val="1B0D514B"/>
    <w:rsid w:val="1C6D3688"/>
    <w:rsid w:val="1CC63D0A"/>
    <w:rsid w:val="1D464944"/>
    <w:rsid w:val="1D8B2357"/>
    <w:rsid w:val="1DB63878"/>
    <w:rsid w:val="1DC2081A"/>
    <w:rsid w:val="1DD94266"/>
    <w:rsid w:val="1EB10306"/>
    <w:rsid w:val="1EC91389"/>
    <w:rsid w:val="1F464788"/>
    <w:rsid w:val="1F7074E6"/>
    <w:rsid w:val="1F9D0947"/>
    <w:rsid w:val="1FAE057F"/>
    <w:rsid w:val="1FFB29C6"/>
    <w:rsid w:val="201D2D1F"/>
    <w:rsid w:val="213F5933"/>
    <w:rsid w:val="21B474EE"/>
    <w:rsid w:val="22511DC1"/>
    <w:rsid w:val="225524D8"/>
    <w:rsid w:val="226323ED"/>
    <w:rsid w:val="22AF3620"/>
    <w:rsid w:val="22E70AD4"/>
    <w:rsid w:val="237B0CD6"/>
    <w:rsid w:val="24482D50"/>
    <w:rsid w:val="24F1508D"/>
    <w:rsid w:val="266F634F"/>
    <w:rsid w:val="26A115D6"/>
    <w:rsid w:val="2761351D"/>
    <w:rsid w:val="27CC3C98"/>
    <w:rsid w:val="28210337"/>
    <w:rsid w:val="291059EA"/>
    <w:rsid w:val="29525FA0"/>
    <w:rsid w:val="296F2DDD"/>
    <w:rsid w:val="2A4B17EC"/>
    <w:rsid w:val="2AE15CAC"/>
    <w:rsid w:val="2AF4778E"/>
    <w:rsid w:val="2B202B91"/>
    <w:rsid w:val="2BBF12EC"/>
    <w:rsid w:val="2BC649D9"/>
    <w:rsid w:val="2BE304F8"/>
    <w:rsid w:val="2C91021D"/>
    <w:rsid w:val="2C9A25B7"/>
    <w:rsid w:val="2CA43435"/>
    <w:rsid w:val="2E310CF9"/>
    <w:rsid w:val="2E652751"/>
    <w:rsid w:val="2E7756A8"/>
    <w:rsid w:val="2F1523C9"/>
    <w:rsid w:val="2F6173BC"/>
    <w:rsid w:val="2FC25B50"/>
    <w:rsid w:val="30790135"/>
    <w:rsid w:val="30C2798C"/>
    <w:rsid w:val="311C359A"/>
    <w:rsid w:val="31592A40"/>
    <w:rsid w:val="31F77B64"/>
    <w:rsid w:val="320E382B"/>
    <w:rsid w:val="32AB107A"/>
    <w:rsid w:val="33D47DAE"/>
    <w:rsid w:val="34951FE2"/>
    <w:rsid w:val="34EC597A"/>
    <w:rsid w:val="34F07218"/>
    <w:rsid w:val="3515160D"/>
    <w:rsid w:val="35E97B9E"/>
    <w:rsid w:val="36D641EB"/>
    <w:rsid w:val="374659C4"/>
    <w:rsid w:val="377A101B"/>
    <w:rsid w:val="377C3ECB"/>
    <w:rsid w:val="37A97B52"/>
    <w:rsid w:val="38F24410"/>
    <w:rsid w:val="395C1320"/>
    <w:rsid w:val="39693A3D"/>
    <w:rsid w:val="39FF1EC0"/>
    <w:rsid w:val="3AB05274"/>
    <w:rsid w:val="3BB840E2"/>
    <w:rsid w:val="3C7D00D8"/>
    <w:rsid w:val="3CA06C0C"/>
    <w:rsid w:val="3D37175C"/>
    <w:rsid w:val="3DB42DAD"/>
    <w:rsid w:val="3DD57B16"/>
    <w:rsid w:val="3E497999"/>
    <w:rsid w:val="3E4F5F4D"/>
    <w:rsid w:val="3EA25851"/>
    <w:rsid w:val="3EB73DBC"/>
    <w:rsid w:val="3F6C3757"/>
    <w:rsid w:val="405D6A10"/>
    <w:rsid w:val="41673FEE"/>
    <w:rsid w:val="41760AA5"/>
    <w:rsid w:val="419929E5"/>
    <w:rsid w:val="41B96BE3"/>
    <w:rsid w:val="41DA6594"/>
    <w:rsid w:val="42B314E1"/>
    <w:rsid w:val="430F7403"/>
    <w:rsid w:val="43C401ED"/>
    <w:rsid w:val="444412C1"/>
    <w:rsid w:val="444C1A75"/>
    <w:rsid w:val="44A3526F"/>
    <w:rsid w:val="44A771C7"/>
    <w:rsid w:val="44B032F4"/>
    <w:rsid w:val="44C23FED"/>
    <w:rsid w:val="44F20D8A"/>
    <w:rsid w:val="457D25F7"/>
    <w:rsid w:val="461B1DC9"/>
    <w:rsid w:val="464078D3"/>
    <w:rsid w:val="468341CD"/>
    <w:rsid w:val="46EE10DD"/>
    <w:rsid w:val="46FE2974"/>
    <w:rsid w:val="47264D1B"/>
    <w:rsid w:val="472C2589"/>
    <w:rsid w:val="47A10846"/>
    <w:rsid w:val="47C54D69"/>
    <w:rsid w:val="483671E0"/>
    <w:rsid w:val="48912668"/>
    <w:rsid w:val="48C86DFC"/>
    <w:rsid w:val="48FD385A"/>
    <w:rsid w:val="49DE368B"/>
    <w:rsid w:val="4A404346"/>
    <w:rsid w:val="4A760AEB"/>
    <w:rsid w:val="4AA77F21"/>
    <w:rsid w:val="4B3519D1"/>
    <w:rsid w:val="4BBE19C6"/>
    <w:rsid w:val="4C3D6D8F"/>
    <w:rsid w:val="4D7C7413"/>
    <w:rsid w:val="4DF521E1"/>
    <w:rsid w:val="4E2B2C17"/>
    <w:rsid w:val="4E30647F"/>
    <w:rsid w:val="4E69181D"/>
    <w:rsid w:val="4E750330"/>
    <w:rsid w:val="4EDE412D"/>
    <w:rsid w:val="4F286F1D"/>
    <w:rsid w:val="4F3162CA"/>
    <w:rsid w:val="4F6D6A9E"/>
    <w:rsid w:val="4FE70DC0"/>
    <w:rsid w:val="506C27EE"/>
    <w:rsid w:val="507D4F01"/>
    <w:rsid w:val="50D95873"/>
    <w:rsid w:val="5221680B"/>
    <w:rsid w:val="526102AF"/>
    <w:rsid w:val="528444DA"/>
    <w:rsid w:val="537745D5"/>
    <w:rsid w:val="53A53E42"/>
    <w:rsid w:val="5402441A"/>
    <w:rsid w:val="549E2395"/>
    <w:rsid w:val="552306F6"/>
    <w:rsid w:val="5579695E"/>
    <w:rsid w:val="55B654BC"/>
    <w:rsid w:val="563F54B2"/>
    <w:rsid w:val="56E352D5"/>
    <w:rsid w:val="571406EC"/>
    <w:rsid w:val="57272B15"/>
    <w:rsid w:val="57454D4A"/>
    <w:rsid w:val="575D27C8"/>
    <w:rsid w:val="57E435FE"/>
    <w:rsid w:val="582D0655"/>
    <w:rsid w:val="58C93758"/>
    <w:rsid w:val="5951205C"/>
    <w:rsid w:val="597C6A1D"/>
    <w:rsid w:val="59D079E8"/>
    <w:rsid w:val="59D40607"/>
    <w:rsid w:val="59D40847"/>
    <w:rsid w:val="59F705C5"/>
    <w:rsid w:val="5A0D2EBC"/>
    <w:rsid w:val="5A2A6479"/>
    <w:rsid w:val="5AD54636"/>
    <w:rsid w:val="5AE37F25"/>
    <w:rsid w:val="5AFA5E4B"/>
    <w:rsid w:val="5B1F7BDD"/>
    <w:rsid w:val="5B266767"/>
    <w:rsid w:val="5B4B66A7"/>
    <w:rsid w:val="5BDB3ECE"/>
    <w:rsid w:val="5CB23D47"/>
    <w:rsid w:val="5CDB3A5A"/>
    <w:rsid w:val="5D535CE6"/>
    <w:rsid w:val="5D795A4C"/>
    <w:rsid w:val="5D9D47C6"/>
    <w:rsid w:val="5DE66B5A"/>
    <w:rsid w:val="5DF16D2C"/>
    <w:rsid w:val="5E736640"/>
    <w:rsid w:val="5FAF09C4"/>
    <w:rsid w:val="5FC37153"/>
    <w:rsid w:val="602A2D2E"/>
    <w:rsid w:val="608C4642"/>
    <w:rsid w:val="60906968"/>
    <w:rsid w:val="618172C6"/>
    <w:rsid w:val="62795572"/>
    <w:rsid w:val="62D67D71"/>
    <w:rsid w:val="63100901"/>
    <w:rsid w:val="635D166D"/>
    <w:rsid w:val="64065861"/>
    <w:rsid w:val="64085A7D"/>
    <w:rsid w:val="64DD6417"/>
    <w:rsid w:val="657607C4"/>
    <w:rsid w:val="66004745"/>
    <w:rsid w:val="670C5884"/>
    <w:rsid w:val="68AD6BF3"/>
    <w:rsid w:val="691B497C"/>
    <w:rsid w:val="692C3D78"/>
    <w:rsid w:val="692D75A7"/>
    <w:rsid w:val="69592E49"/>
    <w:rsid w:val="69BB0E9B"/>
    <w:rsid w:val="69D00DEB"/>
    <w:rsid w:val="69F8571C"/>
    <w:rsid w:val="6A1C126B"/>
    <w:rsid w:val="6A3D7B02"/>
    <w:rsid w:val="6A567F20"/>
    <w:rsid w:val="6A841BD5"/>
    <w:rsid w:val="6AC36D45"/>
    <w:rsid w:val="6B0E1761"/>
    <w:rsid w:val="6B0F149F"/>
    <w:rsid w:val="6B546DA9"/>
    <w:rsid w:val="6BE02E3B"/>
    <w:rsid w:val="6C054650"/>
    <w:rsid w:val="6CD97953"/>
    <w:rsid w:val="6D635AD2"/>
    <w:rsid w:val="6D655CEE"/>
    <w:rsid w:val="6D8617C0"/>
    <w:rsid w:val="6D9D7236"/>
    <w:rsid w:val="6DA9439F"/>
    <w:rsid w:val="6E162B44"/>
    <w:rsid w:val="6E201C15"/>
    <w:rsid w:val="6ED30FD7"/>
    <w:rsid w:val="6EEB6642"/>
    <w:rsid w:val="6EF530A1"/>
    <w:rsid w:val="6F094457"/>
    <w:rsid w:val="709B37D5"/>
    <w:rsid w:val="72557EF5"/>
    <w:rsid w:val="727D78FD"/>
    <w:rsid w:val="72C72545"/>
    <w:rsid w:val="73463ECB"/>
    <w:rsid w:val="73CC655F"/>
    <w:rsid w:val="74BE7A92"/>
    <w:rsid w:val="75957445"/>
    <w:rsid w:val="75D01AE1"/>
    <w:rsid w:val="75E43528"/>
    <w:rsid w:val="77147E3D"/>
    <w:rsid w:val="77524363"/>
    <w:rsid w:val="77770AF7"/>
    <w:rsid w:val="77B917B5"/>
    <w:rsid w:val="78034139"/>
    <w:rsid w:val="780B7492"/>
    <w:rsid w:val="781520BE"/>
    <w:rsid w:val="78393FFF"/>
    <w:rsid w:val="783A38D3"/>
    <w:rsid w:val="78703975"/>
    <w:rsid w:val="78811502"/>
    <w:rsid w:val="78E71CAD"/>
    <w:rsid w:val="79077C59"/>
    <w:rsid w:val="793B3DA7"/>
    <w:rsid w:val="7B417AC4"/>
    <w:rsid w:val="7BC260B9"/>
    <w:rsid w:val="7BD32074"/>
    <w:rsid w:val="7BE420FD"/>
    <w:rsid w:val="7C9E2682"/>
    <w:rsid w:val="7D0D296B"/>
    <w:rsid w:val="7D4E0B54"/>
    <w:rsid w:val="7D503E78"/>
    <w:rsid w:val="7D5D330C"/>
    <w:rsid w:val="7E0160D4"/>
    <w:rsid w:val="7E3E411D"/>
    <w:rsid w:val="7E7713DD"/>
    <w:rsid w:val="7F4A08A0"/>
    <w:rsid w:val="7F590AE3"/>
    <w:rsid w:val="7F9F5502"/>
    <w:rsid w:val="7FC06DB4"/>
    <w:rsid w:val="DFFF9B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75"/>
    <w:qFormat/>
    <w:uiPriority w:val="9"/>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link w:val="88"/>
    <w:qFormat/>
    <w:uiPriority w:val="9"/>
    <w:pPr>
      <w:keepNext/>
      <w:keepLines/>
      <w:numPr>
        <w:ilvl w:val="1"/>
        <w:numId w:val="1"/>
      </w:numPr>
      <w:spacing w:before="120" w:after="120"/>
      <w:ind w:firstLine="0" w:firstLineChars="0"/>
      <w:outlineLvl w:val="1"/>
    </w:pPr>
    <w:rPr>
      <w:b/>
      <w:bCs/>
      <w:sz w:val="30"/>
      <w:szCs w:val="32"/>
    </w:rPr>
  </w:style>
  <w:style w:type="paragraph" w:styleId="4">
    <w:name w:val="heading 3"/>
    <w:basedOn w:val="1"/>
    <w:next w:val="1"/>
    <w:link w:val="81"/>
    <w:qFormat/>
    <w:uiPriority w:val="9"/>
    <w:pPr>
      <w:keepNext/>
      <w:keepLines/>
      <w:numPr>
        <w:ilvl w:val="2"/>
        <w:numId w:val="1"/>
      </w:numPr>
      <w:spacing w:before="120" w:after="120"/>
      <w:ind w:firstLine="0" w:firstLineChars="0"/>
      <w:outlineLvl w:val="2"/>
    </w:pPr>
    <w:rPr>
      <w:b/>
      <w:bCs/>
      <w:sz w:val="28"/>
      <w:szCs w:val="28"/>
    </w:rPr>
  </w:style>
  <w:style w:type="paragraph" w:styleId="5">
    <w:name w:val="heading 4"/>
    <w:basedOn w:val="1"/>
    <w:next w:val="6"/>
    <w:link w:val="58"/>
    <w:qFormat/>
    <w:uiPriority w:val="9"/>
    <w:pPr>
      <w:keepNext/>
      <w:keepLines/>
      <w:numPr>
        <w:ilvl w:val="3"/>
        <w:numId w:val="1"/>
      </w:numPr>
      <w:spacing w:before="120" w:after="120"/>
      <w:ind w:left="851" w:firstLine="0" w:firstLineChars="0"/>
      <w:outlineLvl w:val="3"/>
    </w:pPr>
    <w:rPr>
      <w:b/>
      <w:bCs/>
      <w:sz w:val="30"/>
      <w:szCs w:val="30"/>
    </w:rPr>
  </w:style>
  <w:style w:type="paragraph" w:styleId="7">
    <w:name w:val="heading 5"/>
    <w:basedOn w:val="1"/>
    <w:next w:val="1"/>
    <w:link w:val="86"/>
    <w:qFormat/>
    <w:uiPriority w:val="9"/>
    <w:pPr>
      <w:keepNext/>
      <w:keepLines/>
      <w:numPr>
        <w:ilvl w:val="4"/>
        <w:numId w:val="1"/>
      </w:numPr>
      <w:spacing w:before="120" w:after="120"/>
      <w:ind w:left="0" w:firstLine="0" w:firstLineChars="0"/>
      <w:outlineLvl w:val="4"/>
    </w:pPr>
    <w:rPr>
      <w:b/>
      <w:bCs/>
      <w:szCs w:val="28"/>
    </w:rPr>
  </w:style>
  <w:style w:type="paragraph" w:styleId="8">
    <w:name w:val="heading 6"/>
    <w:basedOn w:val="1"/>
    <w:next w:val="1"/>
    <w:link w:val="99"/>
    <w:qFormat/>
    <w:uiPriority w:val="9"/>
    <w:pPr>
      <w:keepNext/>
      <w:keepLines/>
      <w:numPr>
        <w:ilvl w:val="5"/>
        <w:numId w:val="1"/>
      </w:numPr>
      <w:spacing w:before="120" w:after="120"/>
      <w:ind w:firstLine="0" w:firstLineChars="0"/>
      <w:outlineLvl w:val="5"/>
    </w:pPr>
    <w:rPr>
      <w:rFonts w:ascii="Cambria" w:hAnsi="Cambria"/>
      <w:b/>
      <w:bCs/>
    </w:rPr>
  </w:style>
  <w:style w:type="paragraph" w:styleId="9">
    <w:name w:val="heading 7"/>
    <w:basedOn w:val="1"/>
    <w:next w:val="1"/>
    <w:link w:val="72"/>
    <w:qFormat/>
    <w:uiPriority w:val="9"/>
    <w:pPr>
      <w:keepNext/>
      <w:keepLines/>
      <w:spacing w:before="240" w:after="64" w:line="319" w:lineRule="auto"/>
      <w:ind w:firstLine="0" w:firstLineChars="0"/>
      <w:outlineLvl w:val="6"/>
    </w:pPr>
    <w:rPr>
      <w:rFonts w:ascii="Times New Roman" w:hAnsi="Times New Roman"/>
      <w:b/>
      <w:bCs/>
      <w:sz w:val="21"/>
    </w:rPr>
  </w:style>
  <w:style w:type="paragraph" w:styleId="10">
    <w:name w:val="heading 8"/>
    <w:basedOn w:val="1"/>
    <w:next w:val="1"/>
    <w:link w:val="98"/>
    <w:qFormat/>
    <w:uiPriority w:val="9"/>
    <w:pPr>
      <w:keepNext/>
      <w:keepLines/>
      <w:spacing w:before="240" w:after="64" w:line="319" w:lineRule="auto"/>
      <w:ind w:firstLine="0" w:firstLineChars="0"/>
      <w:outlineLvl w:val="7"/>
    </w:pPr>
    <w:rPr>
      <w:rFonts w:ascii="Cambria" w:hAnsi="Cambria"/>
      <w:sz w:val="21"/>
    </w:rPr>
  </w:style>
  <w:style w:type="paragraph" w:styleId="11">
    <w:name w:val="heading 9"/>
    <w:basedOn w:val="1"/>
    <w:next w:val="1"/>
    <w:link w:val="48"/>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spacing w:line="240" w:lineRule="auto"/>
      <w:ind w:firstLine="420"/>
    </w:pPr>
    <w:rPr>
      <w:rFonts w:ascii="Calibri" w:hAnsi="Calibri"/>
      <w:sz w:val="21"/>
    </w:rPr>
  </w:style>
  <w:style w:type="paragraph" w:styleId="12">
    <w:name w:val="toc 7"/>
    <w:basedOn w:val="1"/>
    <w:next w:val="1"/>
    <w:unhideWhenUsed/>
    <w:qFormat/>
    <w:uiPriority w:val="39"/>
    <w:pPr>
      <w:ind w:left="2520" w:leftChars="1200"/>
    </w:pPr>
    <w:rPr>
      <w:rFonts w:ascii="等线" w:hAnsi="等线" w:eastAsia="等线"/>
      <w:szCs w:val="22"/>
    </w:rPr>
  </w:style>
  <w:style w:type="paragraph" w:styleId="13">
    <w:name w:val="caption"/>
    <w:basedOn w:val="1"/>
    <w:next w:val="1"/>
    <w:link w:val="54"/>
    <w:qFormat/>
    <w:uiPriority w:val="0"/>
    <w:pPr>
      <w:spacing w:afterLines="50"/>
      <w:ind w:firstLine="200"/>
    </w:pPr>
    <w:rPr>
      <w:rFonts w:ascii="Arial" w:hAnsi="Arial" w:eastAsia="黑体"/>
      <w:sz w:val="20"/>
      <w:szCs w:val="20"/>
    </w:rPr>
  </w:style>
  <w:style w:type="paragraph" w:styleId="14">
    <w:name w:val="Document Map"/>
    <w:basedOn w:val="1"/>
    <w:link w:val="91"/>
    <w:qFormat/>
    <w:uiPriority w:val="0"/>
    <w:rPr>
      <w:rFonts w:hAnsi="Times New Roman"/>
      <w:sz w:val="18"/>
      <w:szCs w:val="18"/>
    </w:rPr>
  </w:style>
  <w:style w:type="paragraph" w:styleId="15">
    <w:name w:val="annotation text"/>
    <w:basedOn w:val="1"/>
    <w:link w:val="45"/>
    <w:qFormat/>
    <w:uiPriority w:val="99"/>
    <w:pPr>
      <w:jc w:val="left"/>
    </w:pPr>
    <w:rPr>
      <w:rFonts w:ascii="Times New Roman" w:hAnsi="Times New Roman" w:eastAsia="仿宋"/>
      <w:sz w:val="28"/>
    </w:rPr>
  </w:style>
  <w:style w:type="paragraph" w:styleId="16">
    <w:name w:val="Body Text"/>
    <w:basedOn w:val="1"/>
    <w:link w:val="59"/>
    <w:unhideWhenUsed/>
    <w:qFormat/>
    <w:uiPriority w:val="0"/>
    <w:pPr>
      <w:spacing w:after="120" w:line="240" w:lineRule="auto"/>
      <w:ind w:firstLine="0" w:firstLineChars="0"/>
    </w:pPr>
    <w:rPr>
      <w:rFonts w:ascii="Times New Roman" w:hAnsi="Times New Roman"/>
      <w:sz w:val="21"/>
    </w:rPr>
  </w:style>
  <w:style w:type="paragraph" w:styleId="17">
    <w:name w:val="Body Text Indent"/>
    <w:basedOn w:val="1"/>
    <w:link w:val="85"/>
    <w:qFormat/>
    <w:uiPriority w:val="0"/>
    <w:pPr>
      <w:spacing w:after="120"/>
      <w:ind w:firstLine="200"/>
    </w:pPr>
    <w:rPr>
      <w:rFonts w:ascii="Times New Roman" w:hAnsi="Times New Roman"/>
      <w:sz w:val="21"/>
      <w:szCs w:val="20"/>
    </w:rPr>
  </w:style>
  <w:style w:type="paragraph" w:styleId="18">
    <w:name w:val="toc 5"/>
    <w:basedOn w:val="1"/>
    <w:next w:val="1"/>
    <w:unhideWhenUsed/>
    <w:qFormat/>
    <w:uiPriority w:val="39"/>
    <w:pPr>
      <w:ind w:left="1680" w:leftChars="800"/>
    </w:pPr>
    <w:rPr>
      <w:rFonts w:ascii="等线" w:hAnsi="等线" w:eastAsia="等线"/>
      <w:szCs w:val="22"/>
    </w:rPr>
  </w:style>
  <w:style w:type="paragraph" w:styleId="19">
    <w:name w:val="toc 3"/>
    <w:basedOn w:val="1"/>
    <w:next w:val="1"/>
    <w:qFormat/>
    <w:uiPriority w:val="39"/>
    <w:pPr>
      <w:tabs>
        <w:tab w:val="right" w:leader="dot" w:pos="8302"/>
      </w:tabs>
      <w:ind w:left="840" w:leftChars="400"/>
    </w:pPr>
  </w:style>
  <w:style w:type="paragraph" w:styleId="20">
    <w:name w:val="Plain Text"/>
    <w:basedOn w:val="1"/>
    <w:link w:val="66"/>
    <w:qFormat/>
    <w:uiPriority w:val="0"/>
    <w:pPr>
      <w:spacing w:line="240" w:lineRule="auto"/>
      <w:ind w:firstLine="0" w:firstLineChars="0"/>
    </w:pPr>
    <w:rPr>
      <w:rFonts w:hAnsi="Courier New"/>
      <w:sz w:val="21"/>
      <w:szCs w:val="20"/>
    </w:rPr>
  </w:style>
  <w:style w:type="paragraph" w:styleId="21">
    <w:name w:val="toc 8"/>
    <w:basedOn w:val="1"/>
    <w:next w:val="1"/>
    <w:unhideWhenUsed/>
    <w:qFormat/>
    <w:uiPriority w:val="39"/>
    <w:pPr>
      <w:ind w:left="2940" w:leftChars="1400"/>
    </w:pPr>
    <w:rPr>
      <w:rFonts w:ascii="等线" w:hAnsi="等线" w:eastAsia="等线"/>
      <w:szCs w:val="22"/>
    </w:rPr>
  </w:style>
  <w:style w:type="paragraph" w:styleId="22">
    <w:name w:val="Date"/>
    <w:basedOn w:val="1"/>
    <w:next w:val="1"/>
    <w:link w:val="47"/>
    <w:qFormat/>
    <w:uiPriority w:val="0"/>
    <w:pPr>
      <w:ind w:left="100" w:leftChars="2500"/>
    </w:pPr>
    <w:rPr>
      <w:rFonts w:ascii="Times New Roman" w:hAnsi="Times New Roman"/>
      <w:sz w:val="21"/>
    </w:rPr>
  </w:style>
  <w:style w:type="paragraph" w:styleId="23">
    <w:name w:val="Balloon Text"/>
    <w:basedOn w:val="1"/>
    <w:link w:val="96"/>
    <w:qFormat/>
    <w:uiPriority w:val="0"/>
    <w:rPr>
      <w:rFonts w:ascii="Times New Roman" w:hAnsi="Times New Roman"/>
      <w:sz w:val="18"/>
      <w:szCs w:val="18"/>
    </w:rPr>
  </w:style>
  <w:style w:type="paragraph" w:styleId="24">
    <w:name w:val="footer"/>
    <w:basedOn w:val="1"/>
    <w:link w:val="89"/>
    <w:qFormat/>
    <w:uiPriority w:val="99"/>
    <w:pPr>
      <w:tabs>
        <w:tab w:val="center" w:pos="4153"/>
        <w:tab w:val="right" w:pos="8306"/>
      </w:tabs>
      <w:snapToGrid w:val="0"/>
      <w:jc w:val="center"/>
    </w:pPr>
    <w:rPr>
      <w:rFonts w:ascii="Times New Roman" w:hAnsi="Times New Roman"/>
      <w:sz w:val="18"/>
      <w:szCs w:val="18"/>
    </w:rPr>
  </w:style>
  <w:style w:type="paragraph" w:styleId="25">
    <w:name w:val="header"/>
    <w:basedOn w:val="1"/>
    <w:link w:val="97"/>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26">
    <w:name w:val="toc 1"/>
    <w:basedOn w:val="1"/>
    <w:next w:val="1"/>
    <w:qFormat/>
    <w:uiPriority w:val="39"/>
  </w:style>
  <w:style w:type="paragraph" w:styleId="27">
    <w:name w:val="toc 4"/>
    <w:basedOn w:val="1"/>
    <w:next w:val="1"/>
    <w:unhideWhenUsed/>
    <w:qFormat/>
    <w:uiPriority w:val="39"/>
    <w:pPr>
      <w:ind w:left="1260" w:leftChars="600"/>
    </w:pPr>
    <w:rPr>
      <w:rFonts w:ascii="等线" w:hAnsi="等线" w:eastAsia="等线"/>
      <w:szCs w:val="22"/>
    </w:rPr>
  </w:style>
  <w:style w:type="paragraph" w:styleId="28">
    <w:name w:val="Subtitle"/>
    <w:basedOn w:val="1"/>
    <w:next w:val="1"/>
    <w:link w:val="87"/>
    <w:qFormat/>
    <w:uiPriority w:val="0"/>
    <w:pPr>
      <w:spacing w:before="240" w:after="60" w:line="312" w:lineRule="auto"/>
      <w:jc w:val="center"/>
      <w:outlineLvl w:val="1"/>
    </w:pPr>
    <w:rPr>
      <w:rFonts w:ascii="Calibri Light" w:hAnsi="Calibri Light"/>
      <w:b/>
      <w:bCs/>
      <w:kern w:val="28"/>
      <w:sz w:val="32"/>
      <w:szCs w:val="32"/>
    </w:rPr>
  </w:style>
  <w:style w:type="paragraph" w:styleId="29">
    <w:name w:val="toc 6"/>
    <w:basedOn w:val="1"/>
    <w:next w:val="1"/>
    <w:unhideWhenUsed/>
    <w:qFormat/>
    <w:uiPriority w:val="39"/>
    <w:pPr>
      <w:ind w:left="2100" w:leftChars="1000"/>
    </w:pPr>
    <w:rPr>
      <w:rFonts w:ascii="等线" w:hAnsi="等线" w:eastAsia="等线"/>
      <w:szCs w:val="22"/>
    </w:rPr>
  </w:style>
  <w:style w:type="paragraph" w:styleId="30">
    <w:name w:val="toc 2"/>
    <w:basedOn w:val="1"/>
    <w:next w:val="1"/>
    <w:qFormat/>
    <w:uiPriority w:val="39"/>
    <w:pPr>
      <w:tabs>
        <w:tab w:val="right" w:leader="dot" w:pos="8302"/>
      </w:tabs>
      <w:ind w:left="420" w:leftChars="200"/>
    </w:pPr>
  </w:style>
  <w:style w:type="paragraph" w:styleId="31">
    <w:name w:val="toc 9"/>
    <w:basedOn w:val="1"/>
    <w:next w:val="1"/>
    <w:unhideWhenUsed/>
    <w:qFormat/>
    <w:uiPriority w:val="39"/>
    <w:pPr>
      <w:ind w:left="3360" w:leftChars="1600"/>
    </w:pPr>
    <w:rPr>
      <w:rFonts w:ascii="等线" w:hAnsi="等线" w:eastAsia="等线"/>
      <w:szCs w:val="22"/>
    </w:rPr>
  </w:style>
  <w:style w:type="paragraph" w:styleId="32">
    <w:name w:val="Normal (Web)"/>
    <w:basedOn w:val="1"/>
    <w:qFormat/>
    <w:uiPriority w:val="99"/>
    <w:pPr>
      <w:widowControl/>
      <w:spacing w:before="100" w:after="100"/>
      <w:jc w:val="left"/>
    </w:pPr>
    <w:rPr>
      <w:rFonts w:hint="eastAsia" w:ascii="Arial Unicode MS" w:hAnsi="Arial Unicode MS" w:eastAsia="Arial Unicode MS"/>
      <w:kern w:val="0"/>
    </w:rPr>
  </w:style>
  <w:style w:type="paragraph" w:styleId="33">
    <w:name w:val="Title"/>
    <w:basedOn w:val="1"/>
    <w:next w:val="1"/>
    <w:link w:val="95"/>
    <w:qFormat/>
    <w:uiPriority w:val="0"/>
    <w:pPr>
      <w:spacing w:before="240" w:after="60" w:line="960" w:lineRule="auto"/>
      <w:jc w:val="center"/>
    </w:pPr>
    <w:rPr>
      <w:rFonts w:ascii="Cambria" w:hAnsi="Cambria" w:eastAsia="黑体"/>
      <w:b/>
      <w:bCs/>
      <w:sz w:val="52"/>
      <w:szCs w:val="32"/>
    </w:rPr>
  </w:style>
  <w:style w:type="paragraph" w:styleId="34">
    <w:name w:val="annotation subject"/>
    <w:basedOn w:val="15"/>
    <w:next w:val="15"/>
    <w:link w:val="83"/>
    <w:qFormat/>
    <w:uiPriority w:val="0"/>
    <w:rPr>
      <w:b/>
      <w:bCs/>
      <w:sz w:val="21"/>
    </w:rPr>
  </w:style>
  <w:style w:type="table" w:styleId="36">
    <w:name w:val="Table Grid"/>
    <w:basedOn w:val="35"/>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character" w:customStyle="1" w:styleId="42">
    <w:name w:val="标题 3 字符1"/>
    <w:qFormat/>
    <w:uiPriority w:val="0"/>
    <w:rPr>
      <w:rFonts w:ascii="宋体" w:hAnsi="宋体"/>
      <w:b/>
      <w:bCs/>
      <w:kern w:val="2"/>
      <w:sz w:val="28"/>
      <w:szCs w:val="28"/>
    </w:rPr>
  </w:style>
  <w:style w:type="character" w:customStyle="1" w:styleId="43">
    <w:name w:val="首行缩进正文 Char"/>
    <w:link w:val="44"/>
    <w:qFormat/>
    <w:uiPriority w:val="0"/>
    <w:rPr>
      <w:kern w:val="2"/>
      <w:sz w:val="24"/>
    </w:rPr>
  </w:style>
  <w:style w:type="paragraph" w:customStyle="1" w:styleId="44">
    <w:name w:val="首行缩进正文"/>
    <w:basedOn w:val="1"/>
    <w:link w:val="43"/>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45">
    <w:name w:val="批注文字 字符1"/>
    <w:link w:val="15"/>
    <w:qFormat/>
    <w:uiPriority w:val="99"/>
    <w:rPr>
      <w:rFonts w:eastAsia="仿宋"/>
      <w:kern w:val="2"/>
      <w:sz w:val="28"/>
      <w:szCs w:val="24"/>
    </w:rPr>
  </w:style>
  <w:style w:type="character" w:customStyle="1" w:styleId="46">
    <w:name w:val="日期 字符"/>
    <w:semiHidden/>
    <w:qFormat/>
    <w:uiPriority w:val="99"/>
    <w:rPr>
      <w:rFonts w:ascii="宋体" w:hAnsi="宋体"/>
      <w:kern w:val="2"/>
      <w:sz w:val="24"/>
      <w:szCs w:val="24"/>
    </w:rPr>
  </w:style>
  <w:style w:type="character" w:customStyle="1" w:styleId="47">
    <w:name w:val="日期 字符1"/>
    <w:link w:val="22"/>
    <w:qFormat/>
    <w:uiPriority w:val="0"/>
    <w:rPr>
      <w:kern w:val="2"/>
      <w:sz w:val="21"/>
      <w:szCs w:val="24"/>
    </w:rPr>
  </w:style>
  <w:style w:type="character" w:customStyle="1" w:styleId="48">
    <w:name w:val="标题 9 字符"/>
    <w:link w:val="11"/>
    <w:qFormat/>
    <w:uiPriority w:val="9"/>
    <w:rPr>
      <w:rFonts w:ascii="Cambria" w:hAnsi="Cambria"/>
      <w:kern w:val="2"/>
      <w:sz w:val="21"/>
      <w:szCs w:val="21"/>
    </w:rPr>
  </w:style>
  <w:style w:type="character" w:customStyle="1" w:styleId="49">
    <w:name w:val="未处理的提及1"/>
    <w:unhideWhenUsed/>
    <w:qFormat/>
    <w:uiPriority w:val="99"/>
    <w:rPr>
      <w:color w:val="605E5C"/>
      <w:shd w:val="clear" w:color="auto" w:fill="E1DFDD"/>
    </w:rPr>
  </w:style>
  <w:style w:type="character" w:customStyle="1" w:styleId="50">
    <w:name w:val="标题 1 字符"/>
    <w:qFormat/>
    <w:uiPriority w:val="9"/>
    <w:rPr>
      <w:rFonts w:ascii="宋体" w:hAnsi="宋体"/>
      <w:b/>
      <w:bCs/>
      <w:kern w:val="44"/>
      <w:sz w:val="44"/>
      <w:szCs w:val="44"/>
    </w:rPr>
  </w:style>
  <w:style w:type="character" w:customStyle="1" w:styleId="51">
    <w:name w:val="标题 3 字符"/>
    <w:semiHidden/>
    <w:qFormat/>
    <w:uiPriority w:val="9"/>
    <w:rPr>
      <w:rFonts w:ascii="宋体" w:hAnsi="宋体"/>
      <w:b/>
      <w:bCs/>
      <w:kern w:val="2"/>
      <w:sz w:val="32"/>
      <w:szCs w:val="32"/>
    </w:rPr>
  </w:style>
  <w:style w:type="character" w:customStyle="1" w:styleId="52">
    <w:name w:val="页脚 字符"/>
    <w:qFormat/>
    <w:uiPriority w:val="99"/>
  </w:style>
  <w:style w:type="character" w:customStyle="1" w:styleId="53">
    <w:name w:val="标题 5 字符"/>
    <w:semiHidden/>
    <w:qFormat/>
    <w:uiPriority w:val="9"/>
    <w:rPr>
      <w:rFonts w:ascii="宋体" w:hAnsi="宋体"/>
      <w:b/>
      <w:bCs/>
      <w:kern w:val="2"/>
      <w:sz w:val="28"/>
      <w:szCs w:val="28"/>
    </w:rPr>
  </w:style>
  <w:style w:type="character" w:customStyle="1" w:styleId="54">
    <w:name w:val="题注 字符"/>
    <w:link w:val="13"/>
    <w:qFormat/>
    <w:locked/>
    <w:uiPriority w:val="0"/>
    <w:rPr>
      <w:rFonts w:ascii="Arial" w:hAnsi="Arial" w:eastAsia="黑体"/>
      <w:kern w:val="2"/>
    </w:rPr>
  </w:style>
  <w:style w:type="character" w:customStyle="1" w:styleId="55">
    <w:name w:val="标题 2 字符"/>
    <w:semiHidden/>
    <w:qFormat/>
    <w:uiPriority w:val="9"/>
    <w:rPr>
      <w:rFonts w:ascii="等线 Light" w:hAnsi="等线 Light" w:eastAsia="等线 Light" w:cs="Times New Roman"/>
      <w:b/>
      <w:bCs/>
      <w:kern w:val="2"/>
      <w:sz w:val="32"/>
      <w:szCs w:val="32"/>
    </w:rPr>
  </w:style>
  <w:style w:type="character" w:customStyle="1" w:styleId="56">
    <w:name w:val="纯文本 字符"/>
    <w:qFormat/>
    <w:uiPriority w:val="0"/>
    <w:rPr>
      <w:rFonts w:ascii="宋体" w:hAnsi="Courier New" w:cs="Courier New"/>
      <w:kern w:val="2"/>
      <w:sz w:val="21"/>
      <w:szCs w:val="21"/>
    </w:rPr>
  </w:style>
  <w:style w:type="character" w:customStyle="1" w:styleId="57">
    <w:name w:val="列表段落 字符"/>
    <w:qFormat/>
    <w:uiPriority w:val="34"/>
    <w:rPr>
      <w:kern w:val="2"/>
      <w:sz w:val="21"/>
      <w:szCs w:val="22"/>
    </w:rPr>
  </w:style>
  <w:style w:type="character" w:customStyle="1" w:styleId="58">
    <w:name w:val="标题 4 字符1"/>
    <w:link w:val="5"/>
    <w:qFormat/>
    <w:uiPriority w:val="0"/>
    <w:rPr>
      <w:rFonts w:ascii="宋体" w:hAnsi="宋体"/>
      <w:b/>
      <w:bCs/>
      <w:kern w:val="2"/>
      <w:sz w:val="30"/>
      <w:szCs w:val="30"/>
    </w:rPr>
  </w:style>
  <w:style w:type="character" w:customStyle="1" w:styleId="59">
    <w:name w:val="正文文本 字符"/>
    <w:link w:val="16"/>
    <w:qFormat/>
    <w:uiPriority w:val="0"/>
    <w:rPr>
      <w:kern w:val="2"/>
      <w:sz w:val="21"/>
      <w:szCs w:val="24"/>
    </w:rPr>
  </w:style>
  <w:style w:type="character" w:customStyle="1" w:styleId="60">
    <w:name w:val="列表段落 字符1"/>
    <w:link w:val="61"/>
    <w:qFormat/>
    <w:uiPriority w:val="34"/>
    <w:rPr>
      <w:kern w:val="2"/>
      <w:sz w:val="21"/>
      <w:szCs w:val="24"/>
    </w:rPr>
  </w:style>
  <w:style w:type="paragraph" w:styleId="61">
    <w:name w:val="List Paragraph"/>
    <w:basedOn w:val="1"/>
    <w:link w:val="60"/>
    <w:qFormat/>
    <w:uiPriority w:val="34"/>
    <w:pPr>
      <w:ind w:firstLine="420"/>
    </w:pPr>
    <w:rPr>
      <w:rFonts w:ascii="Times New Roman" w:hAnsi="Times New Roman"/>
      <w:sz w:val="21"/>
    </w:rPr>
  </w:style>
  <w:style w:type="character" w:customStyle="1" w:styleId="62">
    <w:name w:val="font21"/>
    <w:qFormat/>
    <w:uiPriority w:val="0"/>
    <w:rPr>
      <w:rFonts w:ascii="Calibri" w:hAnsi="Calibri" w:cs="Calibri"/>
      <w:color w:val="000000"/>
      <w:sz w:val="21"/>
      <w:szCs w:val="21"/>
      <w:u w:val="none"/>
    </w:rPr>
  </w:style>
  <w:style w:type="character" w:customStyle="1" w:styleId="63">
    <w:name w:val="*正文 Char"/>
    <w:link w:val="64"/>
    <w:qFormat/>
    <w:uiPriority w:val="0"/>
    <w:rPr>
      <w:rFonts w:ascii="time" w:hAnsi="time"/>
      <w:sz w:val="24"/>
      <w:szCs w:val="24"/>
      <w:lang w:bidi="en-US"/>
    </w:rPr>
  </w:style>
  <w:style w:type="paragraph" w:customStyle="1" w:styleId="64">
    <w:name w:val="*正文"/>
    <w:basedOn w:val="1"/>
    <w:link w:val="63"/>
    <w:qFormat/>
    <w:uiPriority w:val="0"/>
    <w:pPr>
      <w:widowControl/>
      <w:ind w:firstLine="200"/>
      <w:contextualSpacing/>
    </w:pPr>
    <w:rPr>
      <w:rFonts w:ascii="time" w:hAnsi="time"/>
      <w:kern w:val="0"/>
      <w:lang w:bidi="en-US"/>
    </w:rPr>
  </w:style>
  <w:style w:type="character" w:customStyle="1" w:styleId="65">
    <w:name w:val="正文文本缩进 字符"/>
    <w:semiHidden/>
    <w:qFormat/>
    <w:uiPriority w:val="99"/>
    <w:rPr>
      <w:rFonts w:ascii="宋体" w:hAnsi="宋体"/>
      <w:kern w:val="2"/>
      <w:sz w:val="24"/>
      <w:szCs w:val="24"/>
    </w:rPr>
  </w:style>
  <w:style w:type="character" w:customStyle="1" w:styleId="66">
    <w:name w:val="纯文本 字符1"/>
    <w:link w:val="20"/>
    <w:qFormat/>
    <w:locked/>
    <w:uiPriority w:val="0"/>
    <w:rPr>
      <w:rFonts w:ascii="宋体" w:hAnsi="Courier New"/>
      <w:kern w:val="2"/>
      <w:sz w:val="21"/>
    </w:rPr>
  </w:style>
  <w:style w:type="character" w:customStyle="1" w:styleId="67">
    <w:name w:val="my正文 Char"/>
    <w:link w:val="68"/>
    <w:qFormat/>
    <w:uiPriority w:val="0"/>
    <w:rPr>
      <w:kern w:val="2"/>
      <w:sz w:val="21"/>
      <w:szCs w:val="24"/>
    </w:rPr>
  </w:style>
  <w:style w:type="paragraph" w:customStyle="1" w:styleId="68">
    <w:name w:val="my正文"/>
    <w:basedOn w:val="1"/>
    <w:link w:val="67"/>
    <w:qFormat/>
    <w:uiPriority w:val="0"/>
    <w:pPr>
      <w:spacing w:line="240" w:lineRule="auto"/>
      <w:ind w:firstLine="0" w:firstLineChars="0"/>
    </w:pPr>
    <w:rPr>
      <w:rFonts w:ascii="Times New Roman" w:hAnsi="Times New Roman"/>
      <w:sz w:val="21"/>
    </w:rPr>
  </w:style>
  <w:style w:type="character" w:customStyle="1" w:styleId="69">
    <w:name w:val="正文2 字符"/>
    <w:link w:val="70"/>
    <w:qFormat/>
    <w:uiPriority w:val="0"/>
    <w:rPr>
      <w:kern w:val="2"/>
      <w:sz w:val="21"/>
      <w:szCs w:val="24"/>
    </w:rPr>
  </w:style>
  <w:style w:type="paragraph" w:customStyle="1" w:styleId="70">
    <w:name w:val="正文2"/>
    <w:basedOn w:val="1"/>
    <w:link w:val="69"/>
    <w:qFormat/>
    <w:uiPriority w:val="0"/>
    <w:pPr>
      <w:ind w:firstLine="420"/>
    </w:pPr>
    <w:rPr>
      <w:rFonts w:ascii="Times New Roman" w:hAnsi="Times New Roman"/>
      <w:sz w:val="21"/>
    </w:rPr>
  </w:style>
  <w:style w:type="character" w:customStyle="1" w:styleId="71">
    <w:name w:val="font41"/>
    <w:qFormat/>
    <w:uiPriority w:val="0"/>
    <w:rPr>
      <w:rFonts w:hint="eastAsia" w:ascii="宋体" w:hAnsi="宋体" w:eastAsia="宋体" w:cs="宋体"/>
      <w:color w:val="000000"/>
      <w:sz w:val="21"/>
      <w:szCs w:val="21"/>
      <w:u w:val="none"/>
    </w:rPr>
  </w:style>
  <w:style w:type="character" w:customStyle="1" w:styleId="72">
    <w:name w:val="标题 7 字符"/>
    <w:link w:val="9"/>
    <w:qFormat/>
    <w:uiPriority w:val="9"/>
    <w:rPr>
      <w:b/>
      <w:bCs/>
      <w:kern w:val="2"/>
      <w:sz w:val="21"/>
      <w:szCs w:val="24"/>
    </w:rPr>
  </w:style>
  <w:style w:type="character" w:customStyle="1" w:styleId="73">
    <w:name w:val="批注框文本 字符"/>
    <w:semiHidden/>
    <w:qFormat/>
    <w:uiPriority w:val="99"/>
    <w:rPr>
      <w:rFonts w:ascii="宋体" w:hAnsi="宋体"/>
      <w:kern w:val="2"/>
      <w:sz w:val="18"/>
      <w:szCs w:val="18"/>
    </w:rPr>
  </w:style>
  <w:style w:type="character" w:customStyle="1" w:styleId="74">
    <w:name w:val="副标题 Char1"/>
    <w:qFormat/>
    <w:uiPriority w:val="0"/>
    <w:rPr>
      <w:rFonts w:ascii="Calibri Light" w:hAnsi="Calibri Light" w:cs="Times New Roman"/>
      <w:b/>
      <w:bCs/>
      <w:kern w:val="28"/>
      <w:sz w:val="32"/>
      <w:szCs w:val="32"/>
    </w:rPr>
  </w:style>
  <w:style w:type="character" w:customStyle="1" w:styleId="75">
    <w:name w:val="标题 1 字符1"/>
    <w:link w:val="2"/>
    <w:qFormat/>
    <w:uiPriority w:val="0"/>
    <w:rPr>
      <w:rFonts w:ascii="宋体" w:hAnsi="宋体" w:eastAsia="黑体"/>
      <w:b/>
      <w:bCs/>
      <w:kern w:val="44"/>
      <w:sz w:val="32"/>
      <w:szCs w:val="28"/>
    </w:rPr>
  </w:style>
  <w:style w:type="character" w:customStyle="1" w:styleId="76">
    <w:name w:val="批注文字 字符"/>
    <w:qFormat/>
    <w:uiPriority w:val="99"/>
    <w:rPr>
      <w:rFonts w:ascii="宋体" w:hAnsi="宋体"/>
      <w:kern w:val="2"/>
      <w:sz w:val="24"/>
      <w:szCs w:val="24"/>
    </w:rPr>
  </w:style>
  <w:style w:type="character" w:customStyle="1" w:styleId="77">
    <w:name w:val="文档结构图 字符"/>
    <w:semiHidden/>
    <w:qFormat/>
    <w:uiPriority w:val="99"/>
    <w:rPr>
      <w:rFonts w:ascii="Microsoft YaHei UI" w:hAnsi="宋体" w:eastAsia="Microsoft YaHei UI"/>
      <w:kern w:val="2"/>
      <w:sz w:val="18"/>
      <w:szCs w:val="18"/>
    </w:rPr>
  </w:style>
  <w:style w:type="character" w:customStyle="1" w:styleId="78">
    <w:name w:val="标题 6 字符"/>
    <w:semiHidden/>
    <w:qFormat/>
    <w:uiPriority w:val="9"/>
    <w:rPr>
      <w:rFonts w:ascii="等线 Light" w:hAnsi="等线 Light" w:eastAsia="等线 Light" w:cs="Times New Roman"/>
      <w:b/>
      <w:bCs/>
      <w:kern w:val="2"/>
      <w:sz w:val="24"/>
      <w:szCs w:val="24"/>
    </w:rPr>
  </w:style>
  <w:style w:type="character" w:customStyle="1" w:styleId="79">
    <w:name w:val="正文正文2 Char"/>
    <w:link w:val="80"/>
    <w:qFormat/>
    <w:uiPriority w:val="0"/>
    <w:rPr>
      <w:rFonts w:ascii="宋体" w:hAnsi="宋体"/>
      <w:kern w:val="2"/>
      <w:sz w:val="21"/>
      <w:szCs w:val="21"/>
    </w:rPr>
  </w:style>
  <w:style w:type="paragraph" w:customStyle="1" w:styleId="80">
    <w:name w:val="正文正文2"/>
    <w:basedOn w:val="1"/>
    <w:link w:val="79"/>
    <w:qFormat/>
    <w:uiPriority w:val="0"/>
    <w:pPr>
      <w:ind w:firstLine="460"/>
    </w:pPr>
    <w:rPr>
      <w:sz w:val="21"/>
      <w:szCs w:val="21"/>
    </w:rPr>
  </w:style>
  <w:style w:type="character" w:customStyle="1" w:styleId="81">
    <w:name w:val="标题 3 字符2"/>
    <w:link w:val="4"/>
    <w:qFormat/>
    <w:uiPriority w:val="0"/>
    <w:rPr>
      <w:rFonts w:ascii="宋体" w:hAnsi="宋体"/>
      <w:b/>
      <w:bCs/>
      <w:kern w:val="2"/>
      <w:sz w:val="28"/>
      <w:szCs w:val="28"/>
    </w:rPr>
  </w:style>
  <w:style w:type="character" w:customStyle="1" w:styleId="82">
    <w:name w:val="标题 4 字符"/>
    <w:semiHidden/>
    <w:qFormat/>
    <w:uiPriority w:val="9"/>
    <w:rPr>
      <w:rFonts w:ascii="等线 Light" w:hAnsi="等线 Light" w:eastAsia="等线 Light" w:cs="Times New Roman"/>
      <w:b/>
      <w:bCs/>
      <w:kern w:val="2"/>
      <w:sz w:val="28"/>
      <w:szCs w:val="28"/>
    </w:rPr>
  </w:style>
  <w:style w:type="character" w:customStyle="1" w:styleId="83">
    <w:name w:val="批注主题 字符1"/>
    <w:link w:val="34"/>
    <w:qFormat/>
    <w:uiPriority w:val="0"/>
    <w:rPr>
      <w:rFonts w:eastAsia="仿宋"/>
      <w:b/>
      <w:bCs/>
      <w:kern w:val="2"/>
      <w:sz w:val="21"/>
      <w:szCs w:val="24"/>
    </w:rPr>
  </w:style>
  <w:style w:type="character" w:customStyle="1" w:styleId="84">
    <w:name w:val="页眉 字符"/>
    <w:semiHidden/>
    <w:qFormat/>
    <w:uiPriority w:val="99"/>
    <w:rPr>
      <w:rFonts w:ascii="宋体" w:hAnsi="宋体"/>
      <w:kern w:val="2"/>
      <w:sz w:val="18"/>
      <w:szCs w:val="18"/>
    </w:rPr>
  </w:style>
  <w:style w:type="character" w:customStyle="1" w:styleId="85">
    <w:name w:val="正文文本缩进 字符1"/>
    <w:link w:val="17"/>
    <w:qFormat/>
    <w:uiPriority w:val="0"/>
    <w:rPr>
      <w:kern w:val="2"/>
      <w:sz w:val="21"/>
    </w:rPr>
  </w:style>
  <w:style w:type="character" w:customStyle="1" w:styleId="86">
    <w:name w:val="标题 5 字符1"/>
    <w:link w:val="7"/>
    <w:qFormat/>
    <w:uiPriority w:val="0"/>
    <w:rPr>
      <w:rFonts w:ascii="宋体" w:hAnsi="宋体"/>
      <w:b/>
      <w:bCs/>
      <w:kern w:val="2"/>
      <w:sz w:val="24"/>
      <w:szCs w:val="28"/>
    </w:rPr>
  </w:style>
  <w:style w:type="character" w:customStyle="1" w:styleId="87">
    <w:name w:val="副标题 字符1"/>
    <w:link w:val="28"/>
    <w:qFormat/>
    <w:uiPriority w:val="0"/>
    <w:rPr>
      <w:rFonts w:ascii="Calibri Light" w:hAnsi="Calibri Light"/>
      <w:b/>
      <w:bCs/>
      <w:kern w:val="28"/>
      <w:sz w:val="32"/>
      <w:szCs w:val="32"/>
    </w:rPr>
  </w:style>
  <w:style w:type="character" w:customStyle="1" w:styleId="88">
    <w:name w:val="标题 2 字符1"/>
    <w:link w:val="3"/>
    <w:qFormat/>
    <w:uiPriority w:val="9"/>
    <w:rPr>
      <w:rFonts w:ascii="宋体" w:hAnsi="宋体"/>
      <w:b/>
      <w:bCs/>
      <w:kern w:val="2"/>
      <w:sz w:val="30"/>
      <w:szCs w:val="32"/>
    </w:rPr>
  </w:style>
  <w:style w:type="character" w:customStyle="1" w:styleId="89">
    <w:name w:val="页脚 字符1"/>
    <w:link w:val="24"/>
    <w:qFormat/>
    <w:uiPriority w:val="99"/>
    <w:rPr>
      <w:kern w:val="2"/>
      <w:sz w:val="18"/>
      <w:szCs w:val="18"/>
    </w:rPr>
  </w:style>
  <w:style w:type="character" w:customStyle="1" w:styleId="90">
    <w:name w:val="批注主题 字符"/>
    <w:semiHidden/>
    <w:qFormat/>
    <w:uiPriority w:val="99"/>
    <w:rPr>
      <w:rFonts w:ascii="宋体" w:hAnsi="宋体"/>
      <w:b/>
      <w:bCs/>
      <w:kern w:val="2"/>
      <w:sz w:val="24"/>
      <w:szCs w:val="24"/>
    </w:rPr>
  </w:style>
  <w:style w:type="character" w:customStyle="1" w:styleId="91">
    <w:name w:val="文档结构图 字符1"/>
    <w:link w:val="14"/>
    <w:qFormat/>
    <w:uiPriority w:val="0"/>
    <w:rPr>
      <w:rFonts w:ascii="宋体"/>
      <w:kern w:val="2"/>
      <w:sz w:val="18"/>
      <w:szCs w:val="18"/>
    </w:rPr>
  </w:style>
  <w:style w:type="character" w:customStyle="1" w:styleId="92">
    <w:name w:val="font31"/>
    <w:qFormat/>
    <w:uiPriority w:val="0"/>
    <w:rPr>
      <w:rFonts w:hint="eastAsia" w:ascii="宋体" w:hAnsi="宋体" w:eastAsia="宋体" w:cs="宋体"/>
      <w:color w:val="000000"/>
      <w:sz w:val="21"/>
      <w:szCs w:val="21"/>
      <w:u w:val="none"/>
    </w:rPr>
  </w:style>
  <w:style w:type="character" w:customStyle="1" w:styleId="93">
    <w:name w:val="标准正文 Char"/>
    <w:link w:val="94"/>
    <w:qFormat/>
    <w:uiPriority w:val="0"/>
    <w:rPr>
      <w:rFonts w:ascii="Arial" w:hAnsi="Arial"/>
      <w:kern w:val="2"/>
      <w:sz w:val="24"/>
    </w:rPr>
  </w:style>
  <w:style w:type="paragraph" w:customStyle="1" w:styleId="94">
    <w:name w:val="标准正文"/>
    <w:basedOn w:val="17"/>
    <w:link w:val="93"/>
    <w:qFormat/>
    <w:uiPriority w:val="0"/>
    <w:pPr>
      <w:spacing w:before="60" w:after="60"/>
      <w:ind w:firstLine="482" w:firstLineChars="0"/>
    </w:pPr>
    <w:rPr>
      <w:rFonts w:ascii="Arial" w:hAnsi="Arial"/>
      <w:sz w:val="24"/>
    </w:rPr>
  </w:style>
  <w:style w:type="character" w:customStyle="1" w:styleId="95">
    <w:name w:val="标题 字符1"/>
    <w:link w:val="33"/>
    <w:qFormat/>
    <w:uiPriority w:val="0"/>
    <w:rPr>
      <w:rFonts w:ascii="Cambria" w:hAnsi="Cambria" w:eastAsia="黑体"/>
      <w:b/>
      <w:bCs/>
      <w:kern w:val="2"/>
      <w:sz w:val="52"/>
      <w:szCs w:val="32"/>
    </w:rPr>
  </w:style>
  <w:style w:type="character" w:customStyle="1" w:styleId="96">
    <w:name w:val="批注框文本 字符1"/>
    <w:link w:val="23"/>
    <w:qFormat/>
    <w:uiPriority w:val="0"/>
    <w:rPr>
      <w:kern w:val="2"/>
      <w:sz w:val="18"/>
      <w:szCs w:val="18"/>
    </w:rPr>
  </w:style>
  <w:style w:type="character" w:customStyle="1" w:styleId="97">
    <w:name w:val="页眉 字符1"/>
    <w:link w:val="25"/>
    <w:qFormat/>
    <w:uiPriority w:val="99"/>
    <w:rPr>
      <w:kern w:val="2"/>
      <w:sz w:val="18"/>
      <w:szCs w:val="18"/>
    </w:rPr>
  </w:style>
  <w:style w:type="character" w:customStyle="1" w:styleId="98">
    <w:name w:val="标题 8 字符"/>
    <w:link w:val="10"/>
    <w:qFormat/>
    <w:uiPriority w:val="9"/>
    <w:rPr>
      <w:rFonts w:ascii="Cambria" w:hAnsi="Cambria"/>
      <w:kern w:val="2"/>
      <w:sz w:val="21"/>
      <w:szCs w:val="24"/>
    </w:rPr>
  </w:style>
  <w:style w:type="character" w:customStyle="1" w:styleId="99">
    <w:name w:val="标题 6 字符1"/>
    <w:link w:val="8"/>
    <w:qFormat/>
    <w:uiPriority w:val="0"/>
    <w:rPr>
      <w:rFonts w:ascii="Cambria" w:hAnsi="Cambria"/>
      <w:b/>
      <w:bCs/>
      <w:kern w:val="2"/>
      <w:sz w:val="24"/>
      <w:szCs w:val="24"/>
    </w:rPr>
  </w:style>
  <w:style w:type="character" w:customStyle="1" w:styleId="100">
    <w:name w:val="标题 字符"/>
    <w:qFormat/>
    <w:uiPriority w:val="10"/>
    <w:rPr>
      <w:rFonts w:ascii="等线 Light" w:hAnsi="等线 Light" w:eastAsia="等线 Light" w:cs="Times New Roman"/>
      <w:b/>
      <w:bCs/>
      <w:kern w:val="2"/>
      <w:sz w:val="32"/>
      <w:szCs w:val="32"/>
    </w:rPr>
  </w:style>
  <w:style w:type="character" w:customStyle="1" w:styleId="101">
    <w:name w:val="副标题 字符"/>
    <w:qFormat/>
    <w:uiPriority w:val="11"/>
    <w:rPr>
      <w:rFonts w:ascii="等线" w:hAnsi="等线" w:eastAsia="等线" w:cs="Times New Roman"/>
      <w:b/>
      <w:bCs/>
      <w:kern w:val="28"/>
      <w:sz w:val="32"/>
      <w:szCs w:val="32"/>
    </w:rPr>
  </w:style>
  <w:style w:type="paragraph" w:customStyle="1" w:styleId="102">
    <w:name w:val="xl72"/>
    <w:basedOn w:val="1"/>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03">
    <w:name w:val="正文（深信服）"/>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4">
    <w:name w:val="xl70"/>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05">
    <w:name w:val="_Style 2"/>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paragraph" w:customStyle="1" w:styleId="106">
    <w:name w:val="正文缩进1"/>
    <w:basedOn w:val="1"/>
    <w:qFormat/>
    <w:uiPriority w:val="0"/>
    <w:pPr>
      <w:spacing w:line="240" w:lineRule="auto"/>
      <w:ind w:firstLine="420"/>
    </w:pPr>
    <w:rPr>
      <w:rFonts w:ascii="Times New Roman" w:hAnsi="Times New Roman"/>
      <w:sz w:val="21"/>
      <w:szCs w:val="20"/>
    </w:rPr>
  </w:style>
  <w:style w:type="paragraph" w:customStyle="1" w:styleId="107">
    <w:name w:val="xl68"/>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08">
    <w:name w:val="前言、引言标题"/>
    <w:next w:val="1"/>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09">
    <w:name w:val="Indent Normal"/>
    <w:basedOn w:val="1"/>
    <w:qFormat/>
    <w:uiPriority w:val="0"/>
    <w:pPr>
      <w:ind w:firstLine="150" w:firstLineChars="150"/>
    </w:pPr>
  </w:style>
  <w:style w:type="paragraph" w:customStyle="1" w:styleId="110">
    <w:name w:val="msonormal"/>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1">
    <w:name w:val="正文 缩进2字符"/>
    <w:basedOn w:val="1"/>
    <w:qFormat/>
    <w:uiPriority w:val="0"/>
    <w:pPr>
      <w:spacing w:afterLines="50" w:line="240" w:lineRule="auto"/>
      <w:ind w:firstLine="0" w:firstLineChars="0"/>
    </w:pPr>
    <w:rPr>
      <w:rFonts w:ascii="Times New Roman" w:hAnsi="Times New Roman" w:cs="宋体"/>
      <w:sz w:val="21"/>
      <w:szCs w:val="20"/>
    </w:rPr>
  </w:style>
  <w:style w:type="paragraph" w:customStyle="1" w:styleId="112">
    <w:name w:val="列项●（二级）"/>
    <w:qFormat/>
    <w:uiPriority w:val="0"/>
    <w:pPr>
      <w:numPr>
        <w:ilvl w:val="0"/>
        <w:numId w:val="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3">
    <w:name w:val="助手文本"/>
    <w:basedOn w:val="1"/>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14">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15">
    <w:name w:val="段"/>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17">
    <w:name w:val="Char Char Char Char Char Char1 Char"/>
    <w:basedOn w:val="1"/>
    <w:qFormat/>
    <w:uiPriority w:val="0"/>
    <w:pPr>
      <w:widowControl/>
      <w:spacing w:after="160" w:line="240" w:lineRule="exact"/>
      <w:jc w:val="left"/>
    </w:pPr>
  </w:style>
  <w:style w:type="paragraph" w:customStyle="1" w:styleId="118">
    <w:name w:val="PM_Body"/>
    <w:basedOn w:val="1"/>
    <w:qFormat/>
    <w:locked/>
    <w:uiPriority w:val="0"/>
    <w:rPr>
      <w:szCs w:val="21"/>
    </w:rPr>
  </w:style>
  <w:style w:type="paragraph" w:customStyle="1" w:styleId="119">
    <w:name w:val="Char Char1"/>
    <w:basedOn w:val="1"/>
    <w:qFormat/>
    <w:uiPriority w:val="0"/>
    <w:pPr>
      <w:widowControl/>
      <w:spacing w:before="120" w:after="120"/>
    </w:pPr>
    <w:rPr>
      <w:rFonts w:ascii="Times New Roman" w:hAnsi="Times New Roman" w:cs="宋体"/>
    </w:rPr>
  </w:style>
  <w:style w:type="paragraph" w:customStyle="1" w:styleId="120">
    <w:name w:val="xl71"/>
    <w:basedOn w:val="1"/>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21">
    <w:name w:val="修订1"/>
    <w:unhideWhenUsed/>
    <w:qFormat/>
    <w:uiPriority w:val="99"/>
    <w:rPr>
      <w:rFonts w:ascii="宋体" w:hAnsi="宋体" w:eastAsia="宋体" w:cs="Times New Roman"/>
      <w:kern w:val="2"/>
      <w:sz w:val="24"/>
      <w:szCs w:val="24"/>
      <w:lang w:val="en-US" w:eastAsia="zh-CN" w:bidi="ar-SA"/>
    </w:rPr>
  </w:style>
  <w:style w:type="paragraph" w:customStyle="1" w:styleId="122">
    <w:name w:val="列出段落2"/>
    <w:basedOn w:val="1"/>
    <w:qFormat/>
    <w:uiPriority w:val="0"/>
    <w:pPr>
      <w:spacing w:line="240" w:lineRule="auto"/>
      <w:ind w:firstLine="420"/>
    </w:pPr>
    <w:rPr>
      <w:rFonts w:ascii="等线" w:hAnsi="等线" w:eastAsia="等线" w:cs="等线"/>
      <w:sz w:val="21"/>
      <w:szCs w:val="21"/>
    </w:rPr>
  </w:style>
  <w:style w:type="paragraph" w:customStyle="1" w:styleId="123">
    <w:name w:val="xl69"/>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2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5">
    <w:name w:val="文档正文文本（中安网脉）"/>
    <w:basedOn w:val="1"/>
    <w:qFormat/>
    <w:uiPriority w:val="0"/>
    <w:pPr>
      <w:ind w:firstLine="200"/>
    </w:pPr>
    <w:rPr>
      <w:rFonts w:ascii="Times New Roman" w:hAnsi="Times New Roman" w:eastAsia="仿宋_GB2312"/>
      <w:color w:val="000000"/>
      <w:szCs w:val="28"/>
    </w:rPr>
  </w:style>
  <w:style w:type="paragraph" w:customStyle="1" w:styleId="126">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27">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28">
    <w:name w:val="样式 行距: 1.5 倍行距 首行缩进:  2 字符"/>
    <w:basedOn w:val="1"/>
    <w:qFormat/>
    <w:uiPriority w:val="0"/>
    <w:pPr>
      <w:ind w:firstLine="560"/>
      <w:jc w:val="left"/>
    </w:pPr>
    <w:rPr>
      <w:rFonts w:ascii="仿宋" w:hAnsi="仿宋" w:eastAsia="仿宋" w:cs="宋体"/>
      <w:sz w:val="28"/>
      <w:szCs w:val="20"/>
    </w:rPr>
  </w:style>
  <w:style w:type="paragraph" w:customStyle="1" w:styleId="129">
    <w:name w:val="TOC 标题1"/>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table" w:customStyle="1" w:styleId="130">
    <w:name w:val="!我的表格1"/>
    <w:basedOn w:val="3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
    <w:name w:val="网格型1"/>
    <w:basedOn w:val="35"/>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2">
    <w:name w:val="标题 1 Char"/>
    <w:qFormat/>
    <w:uiPriority w:val="0"/>
    <w:rPr>
      <w:rFonts w:ascii="宋体" w:hAnsi="宋体" w:eastAsia="黑体"/>
      <w:b/>
      <w:bCs/>
      <w:kern w:val="44"/>
      <w:sz w:val="32"/>
      <w:szCs w:val="28"/>
    </w:rPr>
  </w:style>
  <w:style w:type="character" w:customStyle="1" w:styleId="133">
    <w:name w:val="纯文本 Char2"/>
    <w:qFormat/>
    <w:uiPriority w:val="0"/>
    <w:rPr>
      <w:rFonts w:ascii="宋体" w:hAnsi="宋体" w:eastAsia="宋体" w:cs="Times New Roman"/>
      <w:color w:val="000000"/>
      <w:kern w:val="0"/>
      <w:sz w:val="24"/>
      <w:szCs w:val="24"/>
    </w:rPr>
  </w:style>
  <w:style w:type="paragraph" w:customStyle="1" w:styleId="134">
    <w:name w:val="可研正文"/>
    <w:basedOn w:val="1"/>
    <w:link w:val="135"/>
    <w:qFormat/>
    <w:uiPriority w:val="0"/>
    <w:pPr>
      <w:ind w:firstLine="200"/>
    </w:pPr>
    <w:rPr>
      <w:rFonts w:ascii="仿宋" w:hAnsi="仿宋" w:eastAsia="仿宋" w:cstheme="minorBidi"/>
      <w:sz w:val="28"/>
      <w:szCs w:val="28"/>
    </w:rPr>
  </w:style>
  <w:style w:type="character" w:customStyle="1" w:styleId="135">
    <w:name w:val="可研正文 Char"/>
    <w:link w:val="134"/>
    <w:qFormat/>
    <w:locked/>
    <w:uiPriority w:val="0"/>
    <w:rPr>
      <w:rFonts w:ascii="仿宋" w:hAnsi="仿宋" w:eastAsia="仿宋" w:cstheme="minorBidi"/>
      <w:kern w:val="2"/>
      <w:sz w:val="28"/>
      <w:szCs w:val="28"/>
    </w:rPr>
  </w:style>
  <w:style w:type="paragraph" w:customStyle="1" w:styleId="136">
    <w:name w:val="font5"/>
    <w:basedOn w:val="1"/>
    <w:qFormat/>
    <w:uiPriority w:val="0"/>
    <w:pPr>
      <w:widowControl/>
      <w:spacing w:before="100" w:beforeAutospacing="1" w:after="100" w:afterAutospacing="1" w:line="240" w:lineRule="auto"/>
      <w:ind w:firstLine="0" w:firstLineChars="0"/>
      <w:jc w:val="left"/>
    </w:pPr>
    <w:rPr>
      <w:rFonts w:cs="宋体"/>
      <w:b/>
      <w:bCs/>
      <w:kern w:val="0"/>
      <w:sz w:val="18"/>
      <w:szCs w:val="18"/>
    </w:rPr>
  </w:style>
  <w:style w:type="character" w:customStyle="1" w:styleId="137">
    <w:name w:val="font01"/>
    <w:basedOn w:val="37"/>
    <w:qFormat/>
    <w:uiPriority w:val="0"/>
    <w:rPr>
      <w:rFonts w:hint="eastAsia" w:ascii="宋体" w:hAnsi="宋体" w:eastAsia="宋体" w:cs="宋体"/>
      <w:color w:val="000000"/>
      <w:sz w:val="24"/>
      <w:szCs w:val="24"/>
      <w:u w:val="none"/>
    </w:rPr>
  </w:style>
  <w:style w:type="character" w:customStyle="1" w:styleId="138">
    <w:name w:val="font71"/>
    <w:basedOn w:val="37"/>
    <w:qFormat/>
    <w:uiPriority w:val="0"/>
    <w:rPr>
      <w:rFonts w:hint="eastAsia" w:ascii="宋体" w:hAnsi="宋体" w:eastAsia="宋体" w:cs="宋体"/>
      <w:color w:val="A6A6A6"/>
      <w:sz w:val="18"/>
      <w:szCs w:val="18"/>
      <w:u w:val="none"/>
    </w:rPr>
  </w:style>
  <w:style w:type="paragraph" w:customStyle="1" w:styleId="139">
    <w:name w:val="Revision"/>
    <w:hidden/>
    <w:unhideWhenUsed/>
    <w:qFormat/>
    <w:uiPriority w:val="99"/>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41</Pages>
  <Words>1587</Words>
  <Characters>1622</Characters>
  <Lines>222</Lines>
  <Paragraphs>62</Paragraphs>
  <TotalTime>55</TotalTime>
  <ScaleCrop>false</ScaleCrop>
  <LinksUpToDate>false</LinksUpToDate>
  <CharactersWithSpaces>1623</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2024-12-18T02:44:00Z</dcterms:created>
  <dc:creator>gtig_tzb</dc:creator>
  <cp:lastModifiedBy>user</cp:lastModifiedBy>
  <cp:lastPrinted>2020-08-07T04:08:00Z</cp:lastPrinted>
  <dcterms:modified xsi:type="dcterms:W3CDTF">2025-01-15T14:02:26Z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32FA5E7FFC91444CA31A54571232CEA8_12</vt:lpwstr>
  </property>
</Properties>
</file>