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JPG" ContentType="image/.jp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__1.vsdx" ContentType="application/vnd.ms-visio.drawing"/>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2668C71">
      <w:pPr>
        <w:ind w:firstLine="0" w:firstLineChars="0"/>
        <w:jc w:val="center"/>
        <w:rPr>
          <w:rFonts w:hint="eastAsia" w:cs="宋体"/>
          <w:sz w:val="52"/>
          <w:szCs w:val="52"/>
        </w:rPr>
      </w:pPr>
    </w:p>
    <w:p w14:paraId="72E88F20">
      <w:pPr>
        <w:ind w:firstLine="0" w:firstLineChars="0"/>
        <w:jc w:val="center"/>
        <w:rPr>
          <w:rFonts w:hint="eastAsia" w:cs="宋体"/>
          <w:sz w:val="52"/>
          <w:szCs w:val="52"/>
        </w:rPr>
      </w:pPr>
    </w:p>
    <w:p w14:paraId="365E818A">
      <w:pPr>
        <w:ind w:firstLine="0" w:firstLineChars="0"/>
        <w:jc w:val="center"/>
        <w:rPr>
          <w:rFonts w:hint="eastAsia" w:cs="宋体"/>
          <w:sz w:val="52"/>
          <w:szCs w:val="52"/>
        </w:rPr>
      </w:pPr>
    </w:p>
    <w:p w14:paraId="162AF29D">
      <w:pPr>
        <w:ind w:firstLine="0" w:firstLineChars="0"/>
        <w:jc w:val="center"/>
        <w:rPr>
          <w:rFonts w:hint="eastAsia" w:cs="宋体"/>
          <w:sz w:val="52"/>
          <w:szCs w:val="52"/>
        </w:rPr>
      </w:pPr>
    </w:p>
    <w:p w14:paraId="6E870339">
      <w:pPr>
        <w:ind w:firstLine="0" w:firstLineChars="0"/>
        <w:jc w:val="center"/>
        <w:rPr>
          <w:rFonts w:hint="eastAsia" w:cs="宋体"/>
          <w:sz w:val="52"/>
          <w:szCs w:val="52"/>
        </w:rPr>
      </w:pPr>
    </w:p>
    <w:p w14:paraId="3419B998">
      <w:pPr>
        <w:ind w:firstLine="0" w:firstLineChars="0"/>
        <w:jc w:val="center"/>
        <w:rPr>
          <w:rFonts w:hint="eastAsia" w:cs="宋体"/>
          <w:sz w:val="52"/>
          <w:szCs w:val="52"/>
        </w:rPr>
      </w:pPr>
      <w:r>
        <w:rPr>
          <w:rFonts w:hint="eastAsia" w:cs="宋体"/>
          <w:sz w:val="52"/>
          <w:szCs w:val="52"/>
        </w:rPr>
        <w:t>药品监管综合管理子系统建设项目采购需求</w:t>
      </w:r>
    </w:p>
    <w:p w14:paraId="37694BCA">
      <w:pPr>
        <w:ind w:firstLine="0" w:firstLineChars="0"/>
        <w:jc w:val="center"/>
        <w:rPr>
          <w:rFonts w:hint="eastAsia" w:cs="宋体"/>
          <w:sz w:val="72"/>
          <w:szCs w:val="72"/>
        </w:rPr>
      </w:pPr>
    </w:p>
    <w:p w14:paraId="768ED48E">
      <w:pPr>
        <w:ind w:firstLine="0" w:firstLineChars="0"/>
        <w:jc w:val="center"/>
        <w:rPr>
          <w:rFonts w:hint="eastAsia" w:cs="宋体"/>
          <w:sz w:val="48"/>
          <w:szCs w:val="48"/>
        </w:rPr>
      </w:pPr>
    </w:p>
    <w:p w14:paraId="11E071C3">
      <w:pPr>
        <w:ind w:firstLine="0" w:firstLineChars="0"/>
        <w:jc w:val="center"/>
        <w:rPr>
          <w:rFonts w:hint="eastAsia" w:cs="宋体"/>
          <w:sz w:val="52"/>
          <w:szCs w:val="52"/>
        </w:rPr>
      </w:pPr>
    </w:p>
    <w:p w14:paraId="5E4807F5">
      <w:pPr>
        <w:ind w:firstLine="1040"/>
        <w:rPr>
          <w:rFonts w:hint="eastAsia" w:cs="宋体"/>
          <w:sz w:val="52"/>
          <w:szCs w:val="52"/>
        </w:rPr>
      </w:pPr>
    </w:p>
    <w:p w14:paraId="5DE82627">
      <w:pPr>
        <w:rPr>
          <w:rFonts w:hint="eastAsia" w:cs="宋体"/>
        </w:rPr>
      </w:pPr>
    </w:p>
    <w:p w14:paraId="475782DF">
      <w:pPr>
        <w:rPr>
          <w:rFonts w:hint="eastAsia" w:cs="宋体"/>
        </w:rPr>
      </w:pPr>
    </w:p>
    <w:p w14:paraId="03CAEA73">
      <w:pPr>
        <w:rPr>
          <w:rFonts w:hint="eastAsia" w:cs="宋体"/>
        </w:rPr>
      </w:pPr>
    </w:p>
    <w:p w14:paraId="66CAF304">
      <w:pPr>
        <w:rPr>
          <w:rFonts w:hint="eastAsia" w:cs="宋体"/>
        </w:rPr>
      </w:pPr>
    </w:p>
    <w:p w14:paraId="18B565E1">
      <w:pPr>
        <w:rPr>
          <w:rFonts w:hint="eastAsia" w:cs="宋体"/>
        </w:rPr>
      </w:pPr>
    </w:p>
    <w:p w14:paraId="51AF5C00">
      <w:pPr>
        <w:pStyle w:val="2"/>
        <w:numPr>
          <w:ilvl w:val="0"/>
          <w:numId w:val="3"/>
        </w:numPr>
        <w:rPr>
          <w:rFonts w:hint="eastAsia" w:eastAsia="宋体" w:cs="宋体"/>
        </w:rPr>
      </w:pPr>
      <w:r>
        <w:rPr>
          <w:rFonts w:hint="eastAsia" w:eastAsia="宋体" w:cs="宋体"/>
        </w:rPr>
        <w:t>项目概况</w:t>
      </w:r>
    </w:p>
    <w:p w14:paraId="26B05F34">
      <w:pPr>
        <w:pStyle w:val="3"/>
        <w:numPr>
          <w:ilvl w:val="1"/>
          <w:numId w:val="3"/>
        </w:numPr>
        <w:rPr>
          <w:rFonts w:hint="eastAsia" w:cs="宋体"/>
        </w:rPr>
      </w:pPr>
      <w:r>
        <w:rPr>
          <w:rFonts w:hint="eastAsia" w:cs="宋体"/>
        </w:rPr>
        <w:t>项目背景和现状</w:t>
      </w:r>
    </w:p>
    <w:p w14:paraId="7E3C6CA0">
      <w:pPr>
        <w:pStyle w:val="4"/>
        <w:numPr>
          <w:ilvl w:val="2"/>
          <w:numId w:val="3"/>
        </w:numPr>
        <w:rPr>
          <w:rFonts w:hint="eastAsia" w:cs="宋体"/>
        </w:rPr>
      </w:pPr>
      <w:r>
        <w:rPr>
          <w:rFonts w:hint="eastAsia" w:cs="宋体"/>
        </w:rPr>
        <w:t>一员一档培训管理系统（升级改造）</w:t>
      </w:r>
    </w:p>
    <w:p w14:paraId="380F974B">
      <w:pPr>
        <w:pStyle w:val="136"/>
        <w:ind w:firstLine="480"/>
        <w:rPr>
          <w:rFonts w:hint="eastAsia" w:ascii="宋体" w:hAnsi="宋体" w:eastAsia="宋体" w:cs="宋体"/>
          <w:sz w:val="24"/>
          <w:szCs w:val="24"/>
        </w:rPr>
      </w:pPr>
      <w:r>
        <w:rPr>
          <w:rFonts w:hint="eastAsia" w:ascii="宋体" w:hAnsi="宋体" w:eastAsia="宋体" w:cs="宋体"/>
          <w:sz w:val="24"/>
          <w:szCs w:val="24"/>
        </w:rPr>
        <w:t>职业化专业化监管系统于2021年上线，用户包括市药监局业务处室和直属单位，主要负责和对职业化专业化检查员的信息管理，提供职业化专业化药品（含医疗器械、化妆品）检查员全环节（岗位准入、级别晋升、教育培训、考核评价、纪律约束等）的信息管理。本系统总用户量约100人，实现500人余名检查员信息管理。</w:t>
      </w:r>
    </w:p>
    <w:p w14:paraId="492BF48F">
      <w:pPr>
        <w:pStyle w:val="136"/>
        <w:ind w:firstLine="480"/>
        <w:rPr>
          <w:rFonts w:hint="eastAsia" w:ascii="宋体" w:hAnsi="宋体" w:eastAsia="宋体" w:cs="宋体"/>
          <w:sz w:val="24"/>
          <w:szCs w:val="24"/>
        </w:rPr>
      </w:pPr>
      <w:r>
        <w:rPr>
          <w:rFonts w:hint="eastAsia" w:ascii="宋体" w:hAnsi="宋体" w:eastAsia="宋体" w:cs="宋体"/>
          <w:sz w:val="24"/>
          <w:szCs w:val="24"/>
        </w:rPr>
        <w:t>目前职业化专业化监管系统仅提供针对职业化专业化检查的信息管理。对企业关键人员、执法人员信息数据管理以及对应培训内容不完整，达不到“一员一档”管理要求。在检查员、企业关键人员、执法人员工作能力评估方面缺少分析和扩展应用。目前系统也不满足国家药监局实现检查员跨省调派、分级分类管理的要求。</w:t>
      </w:r>
    </w:p>
    <w:p w14:paraId="6F204469">
      <w:pPr>
        <w:rPr>
          <w:rFonts w:hint="eastAsia" w:cs="宋体"/>
        </w:rPr>
      </w:pPr>
      <w:r>
        <w:rPr>
          <w:rFonts w:hint="eastAsia" w:cs="宋体"/>
        </w:rPr>
        <w:t>一员一档培训管理系统（原职业化专业化药品检查员管理系统）是市场监管数字化试验区“药品安全监管在线”综合管理数智化的重要组成部分，《国家药监局关于加快推进职业化专业化药品检查员队伍建设的实施意见》、《上海市人民政府办公厅关于本市推进职业化专业化药品检查员队伍建设的实施意见》也对一员一档培训管理系统提出了建设要求。</w:t>
      </w:r>
    </w:p>
    <w:p w14:paraId="43ED6DF3">
      <w:pPr>
        <w:rPr>
          <w:rFonts w:hint="eastAsia" w:cs="宋体"/>
        </w:rPr>
      </w:pPr>
      <w:r>
        <w:rPr>
          <w:rFonts w:hint="eastAsia" w:cs="宋体"/>
        </w:rPr>
        <w:t>一员一档培训管理系统主要应用于检查员、企业关键人员的培训及考核管理业务场景，目前该业务存在以下几点问题：</w:t>
      </w:r>
    </w:p>
    <w:p w14:paraId="069FDC39">
      <w:pPr>
        <w:rPr>
          <w:rFonts w:hint="eastAsia" w:cs="宋体"/>
        </w:rPr>
      </w:pPr>
      <w:r>
        <w:rPr>
          <w:rFonts w:hint="eastAsia" w:cs="宋体"/>
        </w:rPr>
        <w:t>一是检查员培训主要以书面、课件的教学为主，不能够直观体现GMP检查场景，缺乏实操教学，导致检查员培训效果差、效率低。虽与部分企业建立实训基地，但频繁进行实操演练，也会造成企业的接待负担。</w:t>
      </w:r>
    </w:p>
    <w:p w14:paraId="3DD01B1F">
      <w:pPr>
        <w:rPr>
          <w:rFonts w:hint="eastAsia" w:cs="宋体"/>
        </w:rPr>
      </w:pPr>
      <w:r>
        <w:rPr>
          <w:rFonts w:hint="eastAsia" w:cs="宋体"/>
        </w:rPr>
        <w:t>二是目前一员一档线上基础培训课程主要针对检查员，缺乏对企业关键人员的培训，也对企业关键人员的再教育考核情况了解不够。</w:t>
      </w:r>
    </w:p>
    <w:p w14:paraId="73AD58BD">
      <w:pPr>
        <w:pStyle w:val="136"/>
        <w:ind w:firstLine="480"/>
        <w:rPr>
          <w:rFonts w:hint="eastAsia" w:ascii="宋体" w:hAnsi="宋体" w:eastAsia="宋体" w:cs="宋体"/>
          <w:sz w:val="24"/>
          <w:szCs w:val="24"/>
        </w:rPr>
      </w:pPr>
      <w:r>
        <w:rPr>
          <w:rFonts w:hint="eastAsia" w:ascii="宋体" w:hAnsi="宋体" w:eastAsia="宋体" w:cs="宋体"/>
          <w:sz w:val="24"/>
          <w:szCs w:val="24"/>
        </w:rPr>
        <w:t>为解决以上问题，要按照国家局检查员信息管理平台建设技术要求，升级本市职业化专业化药品检查员管理系统，支持实现检查员全生命周期管理。</w:t>
      </w:r>
    </w:p>
    <w:p w14:paraId="5C323AC0">
      <w:pPr>
        <w:pStyle w:val="4"/>
        <w:numPr>
          <w:ilvl w:val="2"/>
          <w:numId w:val="3"/>
        </w:numPr>
        <w:rPr>
          <w:rFonts w:hint="eastAsia" w:cs="宋体"/>
        </w:rPr>
      </w:pPr>
      <w:r>
        <w:rPr>
          <w:rFonts w:hint="eastAsia" w:cs="宋体"/>
        </w:rPr>
        <w:t>药品智慧监管知识库（新建）</w:t>
      </w:r>
    </w:p>
    <w:p w14:paraId="0E04CDC4">
      <w:pPr>
        <w:rPr>
          <w:rFonts w:hint="eastAsia" w:cs="宋体"/>
        </w:rPr>
      </w:pPr>
      <w:r>
        <w:rPr>
          <w:rFonts w:hint="eastAsia" w:cs="宋体"/>
        </w:rPr>
        <w:t>药品智慧监管知识库是市场监管数字化试验区“药品安全监管在线”综合管理数智化的重要组成部分，主要服务于药械化综合监管、行政审批、行政执法等多个场景，对于法律法规、政策文件、案例研判、技术指导、研究报告、计划总结、业务培训等知识文件的检索需求。</w:t>
      </w:r>
    </w:p>
    <w:p w14:paraId="69568EE6">
      <w:pPr>
        <w:rPr>
          <w:rFonts w:hint="eastAsia" w:cs="宋体"/>
        </w:rPr>
      </w:pPr>
      <w:r>
        <w:rPr>
          <w:rFonts w:hint="eastAsia" w:cs="宋体"/>
        </w:rPr>
        <w:t>药品监管工作专业化水平高，涉及行政许可、行政处罚、药品管理等法律法规，也涉及化学、生物、物理、材料、工程等专业知识，对监管人员的知识储备要求高，且细胞治疗药物、基因治疗药物等生物医药技术日新月异，要求监管人员不断学习最新知识。目前，市药监局尚未建设药品监管知识库，监管人员获取相关监管知识，主要通过查阅工具书或互联网上检索，工具书等方式，内容相对滞后，更新不及时，而互联网上的信息碎片化，且准确性不高，严重影响了监管人员的工作效率。同时，由于缺乏统一的信息获取渠道，容易造成对同一案件做出不同的执法决定。</w:t>
      </w:r>
    </w:p>
    <w:p w14:paraId="38B4FE53">
      <w:pPr>
        <w:rPr>
          <w:rFonts w:hint="eastAsia" w:cs="宋体"/>
        </w:rPr>
      </w:pPr>
      <w:r>
        <w:rPr>
          <w:rFonts w:hint="eastAsia" w:cs="宋体"/>
        </w:rPr>
        <w:t>为解决以上问题，亟需建立一个便于使用的药品监管知识库，聚焦药品安全监管，汇聚法律法规、政策文件、案例研判、技术指导、研究报告、计划总结、业务培训七大类文件和数据，建立内部统一的快速检索平台，实现高效知识检索、智能数据融合、个性化知识管理，提高药品监管人员的学习效率。</w:t>
      </w:r>
    </w:p>
    <w:p w14:paraId="128D77CB">
      <w:pPr>
        <w:pStyle w:val="4"/>
        <w:numPr>
          <w:ilvl w:val="2"/>
          <w:numId w:val="3"/>
        </w:numPr>
        <w:rPr>
          <w:rFonts w:hint="eastAsia" w:cs="宋体"/>
        </w:rPr>
      </w:pPr>
      <w:r>
        <w:rPr>
          <w:rFonts w:hint="eastAsia" w:cs="宋体"/>
        </w:rPr>
        <w:t>药品监管数字化档案室（新建）</w:t>
      </w:r>
    </w:p>
    <w:p w14:paraId="58395EB7">
      <w:pPr>
        <w:rPr>
          <w:rFonts w:hint="eastAsia" w:cs="宋体"/>
        </w:rPr>
      </w:pPr>
      <w:r>
        <w:rPr>
          <w:rFonts w:hint="eastAsia" w:cs="宋体"/>
        </w:rPr>
        <w:t>目前，上海市药品监督管理局还不具备数字档案管理系统，档案归档主要还是基于线下整理，音视频、照片等多媒体材料是使用共享网络存储的方式进行保存。存在着纸质档案管理占用物理空间、档案保存成本高、档案查询不便等不足。距离全面的电子化归档、数字档案馆建设还有不少差距。</w:t>
      </w:r>
    </w:p>
    <w:p w14:paraId="2BF3869F">
      <w:pPr>
        <w:rPr>
          <w:rFonts w:hint="eastAsia" w:cs="宋体"/>
        </w:rPr>
      </w:pPr>
      <w:r>
        <w:rPr>
          <w:rFonts w:hint="eastAsia" w:cs="宋体"/>
        </w:rPr>
        <w:t>根据《全国市场监管数字化试验区（上海）建设方案（2023—2024年）》中“专栏六 综合管理数智化建设——数字档案”的要求“全面推行电子化归档，深化数字档案馆建设，实现应归档电子文件的收集与采集、归档与整理、保存与利用、移交与接收等全程管理，采取有效的技术手段和管理措施确保信息安全，推动分层次、分类别、按需求、按权限的共享利用，拓展数字档案应用场景”的要求，建设市药监局数字档案室系统，完成各类档案的数字化服务，确保录入档案信息准确、可靠、安全，通过数据接口和局办公系统、“一网通办”系统连通，实现带归档的材料通过系统间接口进行同步，降低材料归档的复杂度，实现真正的资源共享，为药品监管工作提供坚实的信息化支撑。</w:t>
      </w:r>
    </w:p>
    <w:p w14:paraId="4C849B3A">
      <w:pPr>
        <w:pStyle w:val="3"/>
        <w:numPr>
          <w:ilvl w:val="1"/>
          <w:numId w:val="3"/>
        </w:numPr>
        <w:rPr>
          <w:rFonts w:hint="eastAsia" w:cs="宋体"/>
        </w:rPr>
      </w:pPr>
      <w:r>
        <w:rPr>
          <w:rFonts w:hint="eastAsia" w:cs="宋体"/>
        </w:rPr>
        <w:t>建设期限</w:t>
      </w:r>
    </w:p>
    <w:p w14:paraId="78EE672D">
      <w:pPr>
        <w:spacing w:line="560" w:lineRule="exact"/>
        <w:rPr>
          <w:rFonts w:hint="eastAsia" w:cs="宋体"/>
        </w:rPr>
      </w:pPr>
      <w:r>
        <w:rPr>
          <w:rFonts w:hint="eastAsia" w:cs="宋体"/>
        </w:rPr>
        <w:t>建设期限：自合同签订之日起6个月（包括1个月试运行）</w:t>
      </w:r>
    </w:p>
    <w:p w14:paraId="4C9829D2">
      <w:pPr>
        <w:pStyle w:val="3"/>
        <w:numPr>
          <w:ilvl w:val="1"/>
          <w:numId w:val="3"/>
        </w:numPr>
        <w:rPr>
          <w:rFonts w:hint="eastAsia" w:cs="宋体"/>
        </w:rPr>
      </w:pPr>
      <w:r>
        <w:rPr>
          <w:rFonts w:hint="eastAsia" w:cs="宋体"/>
        </w:rPr>
        <w:t>建设地点</w:t>
      </w:r>
    </w:p>
    <w:p w14:paraId="1CF82D30">
      <w:pPr>
        <w:spacing w:line="560" w:lineRule="exact"/>
        <w:rPr>
          <w:rFonts w:hint="eastAsia" w:cs="宋体"/>
        </w:rPr>
      </w:pPr>
      <w:r>
        <w:rPr>
          <w:rFonts w:hint="eastAsia" w:cs="宋体"/>
        </w:rPr>
        <w:t>建设地点：上海市药品监督管理局</w:t>
      </w:r>
    </w:p>
    <w:p w14:paraId="48265301">
      <w:pPr>
        <w:pStyle w:val="3"/>
        <w:numPr>
          <w:ilvl w:val="1"/>
          <w:numId w:val="3"/>
        </w:numPr>
        <w:rPr>
          <w:rFonts w:hint="eastAsia" w:cs="宋体"/>
        </w:rPr>
      </w:pPr>
      <w:r>
        <w:rPr>
          <w:rFonts w:hint="eastAsia" w:cs="宋体"/>
        </w:rPr>
        <w:t>预算金额</w:t>
      </w:r>
    </w:p>
    <w:p w14:paraId="135F9B2C">
      <w:pPr>
        <w:spacing w:line="560" w:lineRule="exact"/>
        <w:rPr>
          <w:rFonts w:hint="eastAsia" w:cs="宋体"/>
        </w:rPr>
      </w:pPr>
      <w:r>
        <w:rPr>
          <w:rFonts w:hint="eastAsia" w:cs="宋体"/>
        </w:rPr>
        <w:t>预算金额：1,287,500元</w:t>
      </w:r>
    </w:p>
    <w:p w14:paraId="7612FBBE">
      <w:pPr>
        <w:pStyle w:val="3"/>
        <w:numPr>
          <w:ilvl w:val="1"/>
          <w:numId w:val="3"/>
        </w:numPr>
        <w:rPr>
          <w:rFonts w:hint="eastAsia" w:cs="宋体"/>
        </w:rPr>
      </w:pPr>
      <w:r>
        <w:rPr>
          <w:rFonts w:hint="eastAsia" w:cs="宋体"/>
        </w:rPr>
        <w:t>采购金额（最高限价）</w:t>
      </w:r>
    </w:p>
    <w:p w14:paraId="1A83C60D">
      <w:pPr>
        <w:spacing w:line="560" w:lineRule="exact"/>
        <w:rPr>
          <w:rFonts w:hint="eastAsia" w:cs="宋体"/>
        </w:rPr>
      </w:pPr>
      <w:r>
        <w:rPr>
          <w:rFonts w:hint="eastAsia" w:cs="宋体"/>
        </w:rPr>
        <w:t>采购金额（最高限价）：1,287,500元</w:t>
      </w:r>
    </w:p>
    <w:p w14:paraId="22F67304">
      <w:pPr>
        <w:pStyle w:val="3"/>
        <w:numPr>
          <w:ilvl w:val="1"/>
          <w:numId w:val="3"/>
        </w:numPr>
        <w:rPr>
          <w:rFonts w:hint="eastAsia" w:cs="宋体"/>
        </w:rPr>
      </w:pPr>
      <w:r>
        <w:rPr>
          <w:rFonts w:hint="eastAsia" w:cs="宋体"/>
        </w:rPr>
        <w:t>组织形式</w:t>
      </w:r>
    </w:p>
    <w:p w14:paraId="1549D5C9">
      <w:pPr>
        <w:spacing w:line="560" w:lineRule="exact"/>
        <w:rPr>
          <w:rFonts w:hint="eastAsia" w:cs="宋体"/>
        </w:rPr>
      </w:pPr>
      <w:r>
        <w:rPr>
          <w:rFonts w:hint="eastAsia" w:cs="宋体"/>
        </w:rPr>
        <w:t>组织形式：集中采购</w:t>
      </w:r>
    </w:p>
    <w:p w14:paraId="6BC9D762">
      <w:pPr>
        <w:pStyle w:val="3"/>
        <w:numPr>
          <w:ilvl w:val="1"/>
          <w:numId w:val="3"/>
        </w:numPr>
        <w:rPr>
          <w:rFonts w:hint="eastAsia" w:cs="宋体"/>
        </w:rPr>
      </w:pPr>
      <w:r>
        <w:rPr>
          <w:rFonts w:hint="eastAsia" w:cs="宋体"/>
        </w:rPr>
        <w:t>采购方式</w:t>
      </w:r>
    </w:p>
    <w:p w14:paraId="70D15B8D">
      <w:pPr>
        <w:spacing w:line="560" w:lineRule="exact"/>
        <w:rPr>
          <w:rFonts w:hint="eastAsia" w:cs="宋体"/>
        </w:rPr>
      </w:pPr>
      <w:r>
        <w:rPr>
          <w:rFonts w:hint="eastAsia" w:cs="宋体"/>
        </w:rPr>
        <w:t>采购方式：竞争性磋商</w:t>
      </w:r>
    </w:p>
    <w:p w14:paraId="1929AB37">
      <w:pPr>
        <w:pStyle w:val="3"/>
        <w:numPr>
          <w:ilvl w:val="1"/>
          <w:numId w:val="3"/>
        </w:numPr>
        <w:rPr>
          <w:rFonts w:hint="eastAsia" w:cs="宋体"/>
        </w:rPr>
      </w:pPr>
      <w:r>
        <w:rPr>
          <w:rFonts w:hint="eastAsia" w:cs="宋体"/>
        </w:rPr>
        <w:t>是否接受联合体投标</w:t>
      </w:r>
    </w:p>
    <w:p w14:paraId="01B4264A">
      <w:pPr>
        <w:spacing w:line="560" w:lineRule="exact"/>
        <w:rPr>
          <w:rFonts w:hint="eastAsia" w:cs="宋体"/>
        </w:rPr>
      </w:pPr>
      <w:r>
        <w:rPr>
          <w:rFonts w:hint="eastAsia" w:cs="宋体"/>
        </w:rPr>
        <w:t>是否接受联合体投标：否</w:t>
      </w:r>
    </w:p>
    <w:p w14:paraId="38567CAD">
      <w:pPr>
        <w:pStyle w:val="3"/>
        <w:numPr>
          <w:ilvl w:val="1"/>
          <w:numId w:val="3"/>
        </w:numPr>
        <w:rPr>
          <w:rFonts w:hint="eastAsia" w:cs="宋体"/>
        </w:rPr>
      </w:pPr>
      <w:r>
        <w:rPr>
          <w:rFonts w:hint="eastAsia" w:cs="宋体"/>
        </w:rPr>
        <w:t>是否按信创要求建设</w:t>
      </w:r>
    </w:p>
    <w:p w14:paraId="374ADD20">
      <w:pPr>
        <w:spacing w:line="560" w:lineRule="exact"/>
        <w:rPr>
          <w:rFonts w:hint="eastAsia" w:cs="宋体"/>
        </w:rPr>
      </w:pPr>
      <w:r>
        <w:rPr>
          <w:rFonts w:hint="eastAsia" w:cs="宋体"/>
        </w:rPr>
        <w:t>是否按信创要求建设：是</w:t>
      </w:r>
    </w:p>
    <w:p w14:paraId="7C03D9A5">
      <w:pPr>
        <w:pStyle w:val="3"/>
        <w:numPr>
          <w:ilvl w:val="1"/>
          <w:numId w:val="3"/>
        </w:numPr>
        <w:rPr>
          <w:rFonts w:hint="eastAsia" w:cs="宋体"/>
        </w:rPr>
      </w:pPr>
      <w:r>
        <w:rPr>
          <w:rFonts w:hint="eastAsia" w:cs="宋体"/>
        </w:rPr>
        <w:t>运维后所属大系统</w:t>
      </w:r>
    </w:p>
    <w:p w14:paraId="69F190EC">
      <w:pPr>
        <w:spacing w:line="560" w:lineRule="exact"/>
        <w:rPr>
          <w:rFonts w:hint="eastAsia" w:cs="宋体"/>
        </w:rPr>
      </w:pPr>
      <w:r>
        <w:rPr>
          <w:rFonts w:hint="eastAsia" w:cs="宋体"/>
        </w:rPr>
        <w:t>运维后所属大系统：</w:t>
      </w:r>
      <w:r>
        <w:rPr>
          <w:rFonts w:hint="eastAsia" w:cs="宋体"/>
          <w:color w:val="000000"/>
          <w:szCs w:val="21"/>
        </w:rPr>
        <w:t>协同办公大系统</w:t>
      </w:r>
    </w:p>
    <w:p w14:paraId="2DB0F3A5">
      <w:pPr>
        <w:rPr>
          <w:rFonts w:hint="eastAsia" w:cs="宋体"/>
        </w:rPr>
      </w:pPr>
    </w:p>
    <w:p w14:paraId="795B0525">
      <w:pPr>
        <w:pStyle w:val="2"/>
        <w:numPr>
          <w:ilvl w:val="0"/>
          <w:numId w:val="3"/>
        </w:numPr>
        <w:rPr>
          <w:rFonts w:hint="eastAsia" w:eastAsia="宋体" w:cs="宋体"/>
        </w:rPr>
      </w:pPr>
      <w:r>
        <w:rPr>
          <w:rFonts w:hint="eastAsia" w:eastAsia="宋体" w:cs="宋体"/>
        </w:rPr>
        <w:t>建设目标</w:t>
      </w:r>
    </w:p>
    <w:p w14:paraId="034FF34A">
      <w:pPr>
        <w:pStyle w:val="3"/>
        <w:numPr>
          <w:ilvl w:val="1"/>
          <w:numId w:val="3"/>
        </w:numPr>
        <w:rPr>
          <w:rFonts w:hint="eastAsia" w:cs="宋体"/>
        </w:rPr>
      </w:pPr>
      <w:r>
        <w:rPr>
          <w:rFonts w:hint="eastAsia" w:cs="宋体"/>
        </w:rPr>
        <w:t>建设目标</w:t>
      </w:r>
    </w:p>
    <w:p w14:paraId="08E80DFD">
      <w:pPr>
        <w:pStyle w:val="4"/>
        <w:numPr>
          <w:ilvl w:val="2"/>
          <w:numId w:val="3"/>
        </w:numPr>
        <w:rPr>
          <w:rFonts w:hint="eastAsia" w:cs="宋体"/>
        </w:rPr>
      </w:pPr>
      <w:r>
        <w:rPr>
          <w:rFonts w:hint="eastAsia" w:cs="宋体"/>
        </w:rPr>
        <w:t>一员一档培训管理系统（升级）</w:t>
      </w:r>
    </w:p>
    <w:p w14:paraId="496D6B84">
      <w:pPr>
        <w:rPr>
          <w:rFonts w:hint="eastAsia" w:cs="宋体"/>
        </w:rPr>
      </w:pPr>
      <w:r>
        <w:rPr>
          <w:rFonts w:hint="eastAsia" w:cs="宋体"/>
        </w:rPr>
        <w:t>通过对职业化、专业化检查员管理系统进行升级改造，加强对检查员的检查工作、培训、考核等过程的全生命周期的管理，明确检查员的岗位职责、能力要求、培训管理、绩效考核等要求，全方位提高检查员的综合能力，从而提高药品检查的工作水平。</w:t>
      </w:r>
    </w:p>
    <w:p w14:paraId="05C2812C">
      <w:pPr>
        <w:pStyle w:val="4"/>
        <w:numPr>
          <w:ilvl w:val="2"/>
          <w:numId w:val="3"/>
        </w:numPr>
        <w:rPr>
          <w:rFonts w:hint="eastAsia" w:cs="宋体"/>
        </w:rPr>
      </w:pPr>
      <w:r>
        <w:rPr>
          <w:rFonts w:hint="eastAsia" w:cs="宋体"/>
        </w:rPr>
        <w:t>药品智慧监管知识库（新建）</w:t>
      </w:r>
    </w:p>
    <w:p w14:paraId="11E21CC6">
      <w:pPr>
        <w:rPr>
          <w:rFonts w:hint="eastAsia" w:cs="宋体"/>
        </w:rPr>
      </w:pPr>
      <w:r>
        <w:rPr>
          <w:rFonts w:hint="eastAsia" w:cs="宋体"/>
        </w:rPr>
        <w:t>面向态势规律、监督规则、实体关系、基础描述等各类知识应用，构建自动和人机结合的知识生成机制，形成药械化监督知识图谱等便于利用和分享的知识管理范式，利用自然语言处理等人工智能技术，</w:t>
      </w:r>
      <w:bookmarkStart w:id="0" w:name="_Hlk145189690"/>
      <w:r>
        <w:rPr>
          <w:rFonts w:hint="eastAsia" w:cs="宋体"/>
        </w:rPr>
        <w:t>建设知识生成与推理所需的监管人工智能综合引擎，形成包含多种来源和知识类型的药械化监管知识模型与知识库，并不断更新完善，持续推动知识积累与深度应用，</w:t>
      </w:r>
      <w:bookmarkEnd w:id="0"/>
      <w:bookmarkStart w:id="1" w:name="_Hlk145189641"/>
      <w:r>
        <w:rPr>
          <w:rFonts w:hint="eastAsia" w:cs="宋体"/>
        </w:rPr>
        <w:t>构建符合上海特色药械化监管知识模型与知识库</w:t>
      </w:r>
      <w:bookmarkEnd w:id="1"/>
      <w:r>
        <w:rPr>
          <w:rFonts w:hint="eastAsia" w:cs="宋体"/>
        </w:rPr>
        <w:t>。</w:t>
      </w:r>
    </w:p>
    <w:p w14:paraId="2A769CB7">
      <w:pPr>
        <w:pStyle w:val="4"/>
        <w:numPr>
          <w:ilvl w:val="2"/>
          <w:numId w:val="3"/>
        </w:numPr>
        <w:rPr>
          <w:rFonts w:hint="eastAsia" w:cs="宋体"/>
        </w:rPr>
      </w:pPr>
      <w:r>
        <w:rPr>
          <w:rFonts w:hint="eastAsia" w:cs="宋体"/>
        </w:rPr>
        <w:t>药品监管数字档案室（新建）</w:t>
      </w:r>
    </w:p>
    <w:p w14:paraId="2366E895">
      <w:pPr>
        <w:rPr>
          <w:rFonts w:hint="eastAsia" w:cs="宋体"/>
        </w:rPr>
      </w:pPr>
      <w:bookmarkStart w:id="2" w:name="_Hlk145189776"/>
      <w:r>
        <w:rPr>
          <w:rFonts w:hint="eastAsia" w:cs="宋体"/>
        </w:rPr>
        <w:t>根据《全国市场监管数字化试验区（上海）建设方案（2023—2024年）》中“专栏六 综合管理数智化建设——数字档案”的要求“全面推行电子化归档，深化数字档案馆建设，实现应归档电子文件的收集与采集、归档与整理、保存与利用、移交与接收等全程管理，采取有效的技术手段和管理措施确保信息安全，推动分层次、分类别、按需求、按权限的共享利用，拓展数字档案应用场景”。</w:t>
      </w:r>
    </w:p>
    <w:p w14:paraId="3DF55646">
      <w:pPr>
        <w:rPr>
          <w:rFonts w:hint="eastAsia" w:cs="宋体"/>
        </w:rPr>
      </w:pPr>
      <w:r>
        <w:rPr>
          <w:rFonts w:hint="eastAsia" w:cs="宋体"/>
        </w:rPr>
        <w:t>目前，上海市药品监督管理局还不具备数字档案管理系统，档案归档主要还是基于线下整理，音视频、照片等多媒体材料是使用共享网络存储的方式进行保存。存在着纸质档案管理占用物理空间、档案保存成本高、档案查询不便等不足。距离全面的电子化归档、数字档案馆建设还有不少差距。</w:t>
      </w:r>
    </w:p>
    <w:p w14:paraId="07FB9379">
      <w:pPr>
        <w:rPr>
          <w:rFonts w:hint="eastAsia" w:cs="宋体"/>
        </w:rPr>
      </w:pPr>
      <w:r>
        <w:rPr>
          <w:rFonts w:hint="eastAsia" w:cs="宋体"/>
        </w:rPr>
        <w:t>项目将建设市药监局数字档案室系统，按照试验区建设方案“专栏六 综合管理数智化建设 ——数字档案”和《机关档案管理规定》要求,对现有局机关各类非涉密电子档案进行归档和使用管理。</w:t>
      </w:r>
      <w:r>
        <w:rPr>
          <w:rFonts w:hint="eastAsia" w:cs="宋体"/>
        </w:rPr>
        <w:tab/>
      </w:r>
      <w:r>
        <w:rPr>
          <w:rFonts w:hint="eastAsia" w:cs="宋体"/>
        </w:rPr>
        <w:t>市药监局数字档案室系统建设归档事项管理、档案编号管理、档案封装、“四性检测”、档案移交、档案应用等功能模块。完成各类档案:“一网通办”档案、公文、图片、音视频的数字化服务，确保录入档案信息准确、可靠、安全。将现有的纸质档案文件资料实现数字化处理，降低档案利用成本，降低档案存储成本和备份成本，提高工作效率。通过数据接口和局办公系统、“一网通办”系统连通，实现带归档的材料通过系统间接口进行同步，降低材料归档的复杂度，实现真正的资源共享。</w:t>
      </w:r>
      <w:bookmarkEnd w:id="2"/>
    </w:p>
    <w:p w14:paraId="3FA40648">
      <w:pPr>
        <w:ind w:firstLine="482"/>
        <w:rPr>
          <w:rFonts w:hint="eastAsia" w:cs="宋体"/>
          <w:b/>
        </w:rPr>
      </w:pPr>
    </w:p>
    <w:p w14:paraId="74219226">
      <w:pPr>
        <w:pStyle w:val="3"/>
        <w:numPr>
          <w:ilvl w:val="1"/>
          <w:numId w:val="3"/>
        </w:numPr>
        <w:rPr>
          <w:rFonts w:hint="eastAsia" w:cs="宋体"/>
        </w:rPr>
      </w:pPr>
      <w:r>
        <w:rPr>
          <w:rFonts w:hint="eastAsia" w:cs="宋体"/>
        </w:rPr>
        <w:t>应用指标</w:t>
      </w:r>
    </w:p>
    <w:p w14:paraId="1EA3092F">
      <w:pPr>
        <w:pStyle w:val="136"/>
        <w:ind w:firstLine="480"/>
        <w:rPr>
          <w:rFonts w:hint="eastAsia" w:ascii="宋体" w:hAnsi="宋体" w:eastAsia="宋体" w:cs="宋体"/>
          <w:sz w:val="24"/>
          <w:szCs w:val="24"/>
        </w:rPr>
      </w:pPr>
      <w:r>
        <w:rPr>
          <w:rFonts w:hint="eastAsia" w:ascii="宋体" w:hAnsi="宋体" w:eastAsia="宋体" w:cs="宋体"/>
          <w:sz w:val="24"/>
          <w:szCs w:val="24"/>
        </w:rPr>
        <w:t>1、一员一档培训管理系统</w:t>
      </w:r>
    </w:p>
    <w:p w14:paraId="6FA405A5">
      <w:pPr>
        <w:pStyle w:val="136"/>
        <w:ind w:firstLine="480"/>
        <w:rPr>
          <w:rFonts w:hint="eastAsia" w:ascii="宋体" w:hAnsi="宋体" w:eastAsia="宋体" w:cs="宋体"/>
          <w:sz w:val="24"/>
          <w:szCs w:val="24"/>
        </w:rPr>
      </w:pPr>
      <w:r>
        <w:rPr>
          <w:rFonts w:hint="eastAsia" w:ascii="宋体" w:hAnsi="宋体" w:eastAsia="宋体" w:cs="宋体"/>
          <w:sz w:val="24"/>
          <w:szCs w:val="24"/>
        </w:rPr>
        <w:t>用户主要分为监管用户与企业用户。</w:t>
      </w:r>
    </w:p>
    <w:p w14:paraId="02798647">
      <w:pPr>
        <w:pStyle w:val="136"/>
        <w:ind w:firstLine="480"/>
        <w:rPr>
          <w:rFonts w:hint="eastAsia" w:ascii="宋体" w:hAnsi="宋体" w:eastAsia="宋体" w:cs="宋体"/>
          <w:sz w:val="24"/>
          <w:szCs w:val="24"/>
        </w:rPr>
      </w:pPr>
      <w:r>
        <w:rPr>
          <w:rFonts w:hint="eastAsia" w:ascii="宋体" w:hAnsi="宋体" w:eastAsia="宋体" w:cs="宋体"/>
          <w:sz w:val="24"/>
          <w:szCs w:val="24"/>
        </w:rPr>
        <w:t>监管用户范围包括：上海市药监局用户、药监局直属单位用户、区县市场局用户、区县监管所用户、市级药械化检验机构用户、区县食药检所用户。用户数量约500人。</w:t>
      </w:r>
    </w:p>
    <w:p w14:paraId="0B2104AC">
      <w:pPr>
        <w:pStyle w:val="136"/>
        <w:ind w:firstLine="480"/>
        <w:rPr>
          <w:rFonts w:hint="eastAsia" w:ascii="宋体" w:hAnsi="宋体" w:eastAsia="宋体" w:cs="宋体"/>
          <w:sz w:val="24"/>
          <w:szCs w:val="24"/>
        </w:rPr>
      </w:pPr>
      <w:r>
        <w:rPr>
          <w:rFonts w:hint="eastAsia" w:ascii="宋体" w:hAnsi="宋体" w:eastAsia="宋体" w:cs="宋体"/>
          <w:sz w:val="24"/>
          <w:szCs w:val="24"/>
        </w:rPr>
        <w:t>企业用户范围包括：企业关键人员用户，用户数约为2000人。</w:t>
      </w:r>
    </w:p>
    <w:p w14:paraId="0CBCFAC7">
      <w:pPr>
        <w:pStyle w:val="136"/>
        <w:ind w:firstLine="480"/>
        <w:rPr>
          <w:rFonts w:hint="eastAsia" w:ascii="宋体" w:hAnsi="宋体" w:eastAsia="宋体" w:cs="宋体"/>
          <w:sz w:val="24"/>
          <w:szCs w:val="24"/>
        </w:rPr>
      </w:pPr>
      <w:r>
        <w:rPr>
          <w:rFonts w:hint="eastAsia" w:ascii="宋体" w:hAnsi="宋体" w:eastAsia="宋体" w:cs="宋体"/>
          <w:sz w:val="24"/>
          <w:szCs w:val="24"/>
        </w:rPr>
        <w:t>2、药品智慧监管知识库</w:t>
      </w:r>
    </w:p>
    <w:p w14:paraId="48ED68EB">
      <w:pPr>
        <w:pStyle w:val="136"/>
        <w:ind w:firstLine="480"/>
        <w:rPr>
          <w:rFonts w:hint="eastAsia" w:ascii="宋体" w:hAnsi="宋体" w:eastAsia="宋体" w:cs="宋体"/>
          <w:sz w:val="24"/>
          <w:szCs w:val="24"/>
        </w:rPr>
      </w:pPr>
      <w:r>
        <w:rPr>
          <w:rFonts w:hint="eastAsia" w:ascii="宋体" w:hAnsi="宋体" w:eastAsia="宋体" w:cs="宋体"/>
          <w:sz w:val="24"/>
          <w:szCs w:val="24"/>
        </w:rPr>
        <w:t>药品智慧监管知识库为全市药品监管人员，包括局机关、稽查局、直属事业单位、区市场监管局等，监管角色群涉及到局领导、综合处、业务监督处、药品生产监管处、其他业务处室及直属单位、区县市场监管局用户，约500人。</w:t>
      </w:r>
    </w:p>
    <w:p w14:paraId="56DED8A3">
      <w:pPr>
        <w:pStyle w:val="136"/>
        <w:ind w:firstLine="480"/>
        <w:rPr>
          <w:rFonts w:hint="eastAsia" w:ascii="宋体" w:hAnsi="宋体" w:eastAsia="宋体" w:cs="宋体"/>
          <w:sz w:val="24"/>
          <w:szCs w:val="24"/>
        </w:rPr>
      </w:pPr>
      <w:r>
        <w:rPr>
          <w:rFonts w:hint="eastAsia" w:ascii="宋体" w:hAnsi="宋体" w:eastAsia="宋体" w:cs="宋体"/>
          <w:sz w:val="24"/>
          <w:szCs w:val="24"/>
        </w:rPr>
        <w:t>3、药品监管数字化档案室</w:t>
      </w:r>
    </w:p>
    <w:p w14:paraId="3E29D349">
      <w:pPr>
        <w:pStyle w:val="136"/>
        <w:ind w:firstLine="480"/>
        <w:rPr>
          <w:rFonts w:hint="eastAsia" w:ascii="宋体" w:hAnsi="宋体" w:eastAsia="宋体" w:cs="宋体"/>
          <w:sz w:val="24"/>
          <w:szCs w:val="24"/>
        </w:rPr>
      </w:pPr>
      <w:r>
        <w:rPr>
          <w:rFonts w:hint="eastAsia" w:ascii="宋体" w:hAnsi="宋体" w:eastAsia="宋体" w:cs="宋体"/>
          <w:sz w:val="24"/>
          <w:szCs w:val="24"/>
        </w:rPr>
        <w:t>用户为档案管理人员及监管工作人员，包括局机关、稽查局、直属事业单位约为100人。</w:t>
      </w:r>
    </w:p>
    <w:p w14:paraId="721855BB">
      <w:pPr>
        <w:pStyle w:val="3"/>
        <w:numPr>
          <w:ilvl w:val="1"/>
          <w:numId w:val="3"/>
        </w:numPr>
        <w:rPr>
          <w:rFonts w:hint="eastAsia" w:cs="宋体"/>
        </w:rPr>
      </w:pPr>
      <w:r>
        <w:rPr>
          <w:rFonts w:hint="eastAsia" w:cs="宋体"/>
        </w:rPr>
        <w:t>业务绩效目标</w:t>
      </w:r>
    </w:p>
    <w:p w14:paraId="35F818A8">
      <w:pPr>
        <w:pStyle w:val="136"/>
        <w:numPr>
          <w:ilvl w:val="0"/>
          <w:numId w:val="4"/>
        </w:numPr>
        <w:ind w:firstLineChars="0"/>
        <w:rPr>
          <w:rFonts w:hint="eastAsia" w:ascii="宋体" w:hAnsi="宋体" w:eastAsia="宋体" w:cs="宋体"/>
          <w:sz w:val="24"/>
          <w:szCs w:val="24"/>
        </w:rPr>
      </w:pPr>
      <w:r>
        <w:rPr>
          <w:rFonts w:hint="eastAsia" w:ascii="宋体" w:hAnsi="宋体" w:eastAsia="宋体" w:cs="宋体"/>
          <w:sz w:val="24"/>
          <w:szCs w:val="24"/>
        </w:rPr>
        <w:t>检查员能力综合评价体系：建立</w:t>
      </w:r>
    </w:p>
    <w:p w14:paraId="0E6B026E">
      <w:pPr>
        <w:pStyle w:val="136"/>
        <w:numPr>
          <w:ilvl w:val="0"/>
          <w:numId w:val="4"/>
        </w:numPr>
        <w:ind w:firstLineChars="0"/>
        <w:rPr>
          <w:rFonts w:hint="eastAsia" w:ascii="宋体" w:hAnsi="宋体" w:eastAsia="宋体" w:cs="宋体"/>
          <w:sz w:val="24"/>
          <w:szCs w:val="24"/>
        </w:rPr>
      </w:pPr>
      <w:r>
        <w:rPr>
          <w:rFonts w:hint="eastAsia" w:ascii="宋体" w:hAnsi="宋体" w:eastAsia="宋体" w:cs="宋体"/>
          <w:sz w:val="24"/>
          <w:szCs w:val="24"/>
        </w:rPr>
        <w:t>生产企业关键人员信息入档≥800人</w:t>
      </w:r>
    </w:p>
    <w:p w14:paraId="3A48E0BF">
      <w:pPr>
        <w:pStyle w:val="136"/>
        <w:numPr>
          <w:ilvl w:val="0"/>
          <w:numId w:val="4"/>
        </w:numPr>
        <w:ind w:firstLineChars="0"/>
        <w:rPr>
          <w:rFonts w:hint="eastAsia" w:ascii="宋体" w:hAnsi="宋体" w:eastAsia="宋体" w:cs="宋体"/>
          <w:sz w:val="24"/>
          <w:szCs w:val="24"/>
        </w:rPr>
      </w:pPr>
      <w:r>
        <w:rPr>
          <w:rFonts w:hint="eastAsia" w:ascii="宋体" w:hAnsi="宋体" w:eastAsia="宋体" w:cs="宋体"/>
          <w:sz w:val="24"/>
          <w:szCs w:val="24"/>
        </w:rPr>
        <w:t>药械化监管公开法律法规收录：全覆盖，每年更新</w:t>
      </w:r>
    </w:p>
    <w:p w14:paraId="18E2CE5D">
      <w:pPr>
        <w:pStyle w:val="136"/>
        <w:numPr>
          <w:ilvl w:val="0"/>
          <w:numId w:val="4"/>
        </w:numPr>
        <w:ind w:firstLineChars="0"/>
        <w:rPr>
          <w:rFonts w:hint="eastAsia" w:ascii="宋体" w:hAnsi="宋体" w:eastAsia="宋体" w:cs="宋体"/>
          <w:sz w:val="24"/>
          <w:szCs w:val="24"/>
        </w:rPr>
      </w:pPr>
      <w:r>
        <w:rPr>
          <w:rFonts w:hint="eastAsia" w:ascii="宋体" w:hAnsi="宋体" w:eastAsia="宋体" w:cs="宋体"/>
          <w:sz w:val="24"/>
          <w:szCs w:val="24"/>
        </w:rPr>
        <w:t>药械化相关指南、标准、指导原则收录≥10万条</w:t>
      </w:r>
    </w:p>
    <w:p w14:paraId="50138A7E">
      <w:pPr>
        <w:pStyle w:val="136"/>
        <w:numPr>
          <w:ilvl w:val="0"/>
          <w:numId w:val="4"/>
        </w:numPr>
        <w:ind w:firstLineChars="0"/>
        <w:rPr>
          <w:rFonts w:hint="eastAsia" w:ascii="宋体" w:hAnsi="宋体" w:eastAsia="宋体" w:cs="宋体"/>
          <w:sz w:val="24"/>
          <w:szCs w:val="24"/>
        </w:rPr>
      </w:pPr>
      <w:r>
        <w:rPr>
          <w:rFonts w:hint="eastAsia" w:ascii="宋体" w:hAnsi="宋体" w:eastAsia="宋体" w:cs="宋体"/>
          <w:sz w:val="24"/>
          <w:szCs w:val="24"/>
        </w:rPr>
        <w:t>本市监管系统课题研究、调查研究、出访、简报、工作总结等报告收录≥2000条每年</w:t>
      </w:r>
    </w:p>
    <w:p w14:paraId="18B4F345">
      <w:pPr>
        <w:pStyle w:val="136"/>
        <w:numPr>
          <w:ilvl w:val="0"/>
          <w:numId w:val="4"/>
        </w:numPr>
        <w:ind w:firstLineChars="0"/>
        <w:rPr>
          <w:rFonts w:hint="eastAsia" w:ascii="宋体" w:hAnsi="宋体" w:eastAsia="宋体" w:cs="宋体"/>
          <w:sz w:val="24"/>
          <w:szCs w:val="24"/>
        </w:rPr>
      </w:pPr>
      <w:r>
        <w:rPr>
          <w:rFonts w:hint="eastAsia" w:ascii="宋体" w:hAnsi="宋体" w:eastAsia="宋体" w:cs="宋体"/>
          <w:sz w:val="24"/>
          <w:szCs w:val="24"/>
        </w:rPr>
        <w:t>国家级、国家局、上海市政府、经信委、市局等单位的文件、规划、报告、方案等收录≥2000条每年</w:t>
      </w:r>
    </w:p>
    <w:p w14:paraId="70E55C54">
      <w:pPr>
        <w:pStyle w:val="136"/>
        <w:numPr>
          <w:ilvl w:val="0"/>
          <w:numId w:val="4"/>
        </w:numPr>
        <w:ind w:firstLineChars="0"/>
        <w:rPr>
          <w:rFonts w:hint="eastAsia" w:ascii="宋体" w:hAnsi="宋体" w:eastAsia="宋体" w:cs="宋体"/>
          <w:sz w:val="24"/>
          <w:szCs w:val="24"/>
        </w:rPr>
      </w:pPr>
      <w:r>
        <w:rPr>
          <w:rFonts w:hint="eastAsia" w:ascii="宋体" w:hAnsi="宋体" w:eastAsia="宋体" w:cs="宋体"/>
          <w:sz w:val="24"/>
          <w:szCs w:val="24"/>
        </w:rPr>
        <w:t>药监局“一网通办”事项电子档案归档率100%</w:t>
      </w:r>
    </w:p>
    <w:p w14:paraId="2A14008C">
      <w:pPr>
        <w:pStyle w:val="136"/>
        <w:numPr>
          <w:ilvl w:val="0"/>
          <w:numId w:val="4"/>
        </w:numPr>
        <w:ind w:firstLineChars="0"/>
        <w:rPr>
          <w:rFonts w:hint="eastAsia" w:ascii="宋体" w:hAnsi="宋体" w:eastAsia="宋体" w:cs="宋体"/>
          <w:sz w:val="24"/>
          <w:szCs w:val="24"/>
        </w:rPr>
      </w:pPr>
      <w:r>
        <w:rPr>
          <w:rFonts w:hint="eastAsia" w:ascii="宋体" w:hAnsi="宋体" w:eastAsia="宋体" w:cs="宋体"/>
          <w:sz w:val="24"/>
          <w:szCs w:val="24"/>
        </w:rPr>
        <w:t>公文电子归档数量≥500件</w:t>
      </w:r>
    </w:p>
    <w:p w14:paraId="799ADEFA">
      <w:pPr>
        <w:pStyle w:val="3"/>
        <w:numPr>
          <w:ilvl w:val="1"/>
          <w:numId w:val="3"/>
        </w:numPr>
        <w:rPr>
          <w:rFonts w:hint="eastAsia" w:cs="宋体"/>
        </w:rPr>
      </w:pPr>
      <w:r>
        <w:rPr>
          <w:rFonts w:hint="eastAsia" w:cs="宋体"/>
        </w:rPr>
        <w:t>技术绩效目标</w:t>
      </w:r>
    </w:p>
    <w:p w14:paraId="78667959">
      <w:pPr>
        <w:pStyle w:val="136"/>
        <w:numPr>
          <w:ilvl w:val="0"/>
          <w:numId w:val="4"/>
        </w:numPr>
        <w:ind w:firstLineChars="0"/>
        <w:rPr>
          <w:rFonts w:hint="eastAsia" w:ascii="宋体" w:hAnsi="宋体" w:eastAsia="宋体" w:cs="宋体"/>
          <w:sz w:val="24"/>
          <w:szCs w:val="24"/>
        </w:rPr>
      </w:pPr>
      <w:r>
        <w:rPr>
          <w:rFonts w:hint="eastAsia" w:ascii="宋体" w:hAnsi="宋体" w:eastAsia="宋体" w:cs="宋体"/>
          <w:sz w:val="24"/>
          <w:szCs w:val="24"/>
        </w:rPr>
        <w:t>软件开发完成率100%</w:t>
      </w:r>
    </w:p>
    <w:p w14:paraId="0E4A38E1">
      <w:pPr>
        <w:pStyle w:val="136"/>
        <w:numPr>
          <w:ilvl w:val="0"/>
          <w:numId w:val="4"/>
        </w:numPr>
        <w:ind w:firstLineChars="0"/>
        <w:rPr>
          <w:rFonts w:hint="eastAsia" w:ascii="宋体" w:hAnsi="宋体" w:eastAsia="宋体" w:cs="宋体"/>
          <w:sz w:val="24"/>
          <w:szCs w:val="24"/>
        </w:rPr>
      </w:pPr>
      <w:r>
        <w:rPr>
          <w:rFonts w:hint="eastAsia" w:ascii="宋体" w:hAnsi="宋体" w:eastAsia="宋体" w:cs="宋体"/>
          <w:sz w:val="24"/>
          <w:szCs w:val="24"/>
        </w:rPr>
        <w:t>系统可靠性100%</w:t>
      </w:r>
    </w:p>
    <w:p w14:paraId="5074D8CB">
      <w:pPr>
        <w:pStyle w:val="136"/>
        <w:numPr>
          <w:ilvl w:val="0"/>
          <w:numId w:val="4"/>
        </w:numPr>
        <w:ind w:firstLineChars="0"/>
        <w:rPr>
          <w:rFonts w:hint="eastAsia" w:ascii="宋体" w:hAnsi="宋体" w:eastAsia="宋体" w:cs="宋体"/>
          <w:sz w:val="24"/>
          <w:szCs w:val="24"/>
        </w:rPr>
      </w:pPr>
      <w:r>
        <w:rPr>
          <w:rFonts w:hint="eastAsia" w:ascii="宋体" w:hAnsi="宋体" w:eastAsia="宋体" w:cs="宋体"/>
          <w:sz w:val="24"/>
          <w:szCs w:val="24"/>
        </w:rPr>
        <w:t>软件测试达标</w:t>
      </w:r>
    </w:p>
    <w:p w14:paraId="2DADC168">
      <w:pPr>
        <w:pStyle w:val="136"/>
        <w:numPr>
          <w:ilvl w:val="0"/>
          <w:numId w:val="4"/>
        </w:numPr>
        <w:ind w:firstLineChars="0"/>
        <w:rPr>
          <w:rFonts w:hint="eastAsia" w:ascii="宋体" w:hAnsi="宋体" w:eastAsia="宋体" w:cs="宋体"/>
          <w:sz w:val="24"/>
          <w:szCs w:val="24"/>
        </w:rPr>
      </w:pPr>
      <w:r>
        <w:rPr>
          <w:rFonts w:hint="eastAsia" w:ascii="宋体" w:hAnsi="宋体" w:eastAsia="宋体" w:cs="宋体"/>
          <w:sz w:val="24"/>
          <w:szCs w:val="24"/>
        </w:rPr>
        <w:t>密码测试达标</w:t>
      </w:r>
    </w:p>
    <w:p w14:paraId="51273E12">
      <w:pPr>
        <w:pStyle w:val="136"/>
        <w:numPr>
          <w:ilvl w:val="0"/>
          <w:numId w:val="4"/>
        </w:numPr>
        <w:ind w:firstLineChars="0"/>
        <w:rPr>
          <w:rFonts w:hint="eastAsia" w:ascii="宋体" w:hAnsi="宋体" w:eastAsia="宋体" w:cs="宋体"/>
          <w:sz w:val="24"/>
          <w:szCs w:val="24"/>
        </w:rPr>
      </w:pPr>
      <w:r>
        <w:rPr>
          <w:rFonts w:hint="eastAsia" w:ascii="宋体" w:hAnsi="宋体" w:eastAsia="宋体" w:cs="宋体"/>
          <w:sz w:val="24"/>
          <w:szCs w:val="24"/>
        </w:rPr>
        <w:t>安全测试达标</w:t>
      </w:r>
    </w:p>
    <w:p w14:paraId="73AE5482">
      <w:pPr>
        <w:ind w:firstLine="482"/>
        <w:rPr>
          <w:rFonts w:hint="eastAsia" w:cs="宋体"/>
          <w:b/>
        </w:rPr>
      </w:pPr>
    </w:p>
    <w:p w14:paraId="6867384C">
      <w:pPr>
        <w:pStyle w:val="2"/>
        <w:numPr>
          <w:ilvl w:val="0"/>
          <w:numId w:val="3"/>
        </w:numPr>
        <w:rPr>
          <w:rFonts w:hint="eastAsia" w:eastAsia="宋体" w:cs="宋体"/>
        </w:rPr>
      </w:pPr>
      <w:r>
        <w:rPr>
          <w:rFonts w:hint="eastAsia" w:eastAsia="宋体" w:cs="宋体"/>
        </w:rPr>
        <w:t>项目建设内容</w:t>
      </w:r>
    </w:p>
    <w:p w14:paraId="384A829F">
      <w:pPr>
        <w:pStyle w:val="3"/>
        <w:numPr>
          <w:ilvl w:val="1"/>
          <w:numId w:val="3"/>
        </w:numPr>
        <w:rPr>
          <w:rFonts w:hint="eastAsia" w:cs="宋体"/>
        </w:rPr>
      </w:pPr>
      <w:r>
        <w:rPr>
          <w:rFonts w:hint="eastAsia" w:cs="宋体"/>
        </w:rPr>
        <w:t>项目建设内容</w:t>
      </w:r>
    </w:p>
    <w:p w14:paraId="69179AC2">
      <w:pPr>
        <w:pStyle w:val="4"/>
        <w:numPr>
          <w:ilvl w:val="2"/>
          <w:numId w:val="3"/>
        </w:numPr>
        <w:rPr>
          <w:rFonts w:hint="eastAsia" w:cs="宋体"/>
        </w:rPr>
      </w:pPr>
      <w:r>
        <w:rPr>
          <w:rFonts w:hint="eastAsia" w:cs="宋体"/>
        </w:rPr>
        <w:t>一员一档培训管理系统（升级）</w:t>
      </w:r>
    </w:p>
    <w:p w14:paraId="4998EEE0">
      <w:pPr>
        <w:pStyle w:val="136"/>
        <w:ind w:firstLine="480"/>
        <w:rPr>
          <w:rFonts w:hint="eastAsia" w:ascii="宋体" w:hAnsi="宋体" w:eastAsia="宋体" w:cs="宋体"/>
          <w:sz w:val="24"/>
          <w:szCs w:val="24"/>
        </w:rPr>
      </w:pPr>
      <w:r>
        <w:rPr>
          <w:rFonts w:hint="eastAsia" w:ascii="宋体" w:hAnsi="宋体" w:eastAsia="宋体" w:cs="宋体"/>
          <w:sz w:val="24"/>
          <w:szCs w:val="24"/>
        </w:rPr>
        <w:t>根据《国家药监局综合司关于做好申请加入药品检查合作计划有关工作的通知》、《“十四五”国家药品安全及促进高质量发展规划》、《国务院办公厅关于建立职业化专业化药品检查员队伍的意见》、《国家药监局关于加快推进职业化专业化药品检查员队伍建设的实施意见》等要求，，通过对职业化专业化检查员管理系统进行升级改造，加强对检查员的检查工作、培训、考核等过程的全生命周期的管理，明确检查员的岗位职责、能力要求、培训管理、绩效考核等要求，全方位提高检查员的综合能力，从而提高药品检查的工作水平。</w:t>
      </w:r>
    </w:p>
    <w:p w14:paraId="0B10DE85">
      <w:pPr>
        <w:pStyle w:val="4"/>
        <w:numPr>
          <w:ilvl w:val="2"/>
          <w:numId w:val="3"/>
        </w:numPr>
        <w:rPr>
          <w:rFonts w:hint="eastAsia" w:cs="宋体"/>
        </w:rPr>
      </w:pPr>
      <w:r>
        <w:rPr>
          <w:rFonts w:hint="eastAsia" w:cs="宋体"/>
        </w:rPr>
        <w:t>药品智慧监管知识库（新建）</w:t>
      </w:r>
    </w:p>
    <w:p w14:paraId="2135514F">
      <w:pPr>
        <w:pStyle w:val="136"/>
        <w:ind w:firstLine="480"/>
        <w:rPr>
          <w:rFonts w:hint="eastAsia" w:ascii="宋体" w:hAnsi="宋体" w:eastAsia="宋体" w:cs="宋体"/>
          <w:sz w:val="24"/>
          <w:szCs w:val="24"/>
        </w:rPr>
      </w:pPr>
      <w:r>
        <w:rPr>
          <w:rFonts w:hint="eastAsia" w:ascii="宋体" w:hAnsi="宋体" w:eastAsia="宋体" w:cs="宋体"/>
          <w:sz w:val="24"/>
          <w:szCs w:val="24"/>
        </w:rPr>
        <w:t>根据国家药监局《药品监管人工智能示范应用场景清单》要求建设药品智慧监管知识库，基于药械化监管相关知识图谱的构建，将药械化监管相关的法律法规、案例、工作文件、专业名词等纳入知识库，便于监管人员检索和运用，便利监管人员迅速、准确地获取药械化监管相关知识，提高学习效率和工作效率，辅助监管人员合法合理做出行政执法决定，提升监管人员专业化水平和依法行政能力，并进一步提升行政执法决定的统一性和可预期性，提升政府公信力，营造更好的营商环境。包括：一、建立快速查阅多方法规、文书、工作文件等数据的统一入口，提供全面、权威、准确的一体化体系，满足监管人员对各类基础法律规范、各类检索内容的汇集、整理和查阅需求。二、实现法律知识检索相关功能，基于扎实可靠的药械化法律知识图谱，辅助监管人员高效完成检索。三、提高数据的分析处理能力，真正做到对专项内容的智能研判、信息关联比、智能推送等。四、服务检索全程，满足监管人员对检索知识的自主管理需求。</w:t>
      </w:r>
    </w:p>
    <w:p w14:paraId="157D17FF">
      <w:pPr>
        <w:pStyle w:val="4"/>
        <w:numPr>
          <w:ilvl w:val="2"/>
          <w:numId w:val="3"/>
        </w:numPr>
        <w:rPr>
          <w:rFonts w:hint="eastAsia" w:cs="宋体"/>
        </w:rPr>
      </w:pPr>
      <w:r>
        <w:rPr>
          <w:rFonts w:hint="eastAsia" w:cs="宋体"/>
        </w:rPr>
        <w:t>药品监管数字化档案室（新建）</w:t>
      </w:r>
    </w:p>
    <w:p w14:paraId="7B0E525F">
      <w:pPr>
        <w:pStyle w:val="136"/>
        <w:ind w:firstLine="480"/>
        <w:rPr>
          <w:rFonts w:hint="eastAsia" w:ascii="宋体" w:hAnsi="宋体" w:eastAsia="宋体" w:cs="宋体"/>
          <w:sz w:val="24"/>
          <w:szCs w:val="24"/>
        </w:rPr>
      </w:pPr>
      <w:r>
        <w:rPr>
          <w:rFonts w:hint="eastAsia" w:ascii="宋体" w:hAnsi="宋体" w:eastAsia="宋体" w:cs="宋体"/>
          <w:sz w:val="24"/>
          <w:szCs w:val="24"/>
        </w:rPr>
        <w:t>依据《中华人民共和国档案法》、《中华人民共和国档案法实施条例》等法律法规，根据《全国市场监管数字化试验区（上海）建设方案（2023—2024年）》对于数字档案的要求，建设药监局数字档案室。主要实现对“一网通办”办件材料、公文办理、多媒体材料的归档和档案管理业务功能，业务流程主要为电子材料的收集、档案材料的整理、档案的封装和检查、档案的移交。涉及的业务功能还包括档案的应用、档案事项管理的配置等功能。</w:t>
      </w:r>
    </w:p>
    <w:p w14:paraId="38660E98">
      <w:pPr>
        <w:pStyle w:val="3"/>
        <w:numPr>
          <w:ilvl w:val="1"/>
          <w:numId w:val="3"/>
        </w:numPr>
        <w:rPr>
          <w:rFonts w:hint="eastAsia" w:cs="宋体"/>
        </w:rPr>
      </w:pPr>
      <w:r>
        <w:rPr>
          <w:rFonts w:hint="eastAsia" w:cs="宋体"/>
        </w:rPr>
        <w:t>系统架构图</w:t>
      </w:r>
    </w:p>
    <w:p w14:paraId="4FC5686F">
      <w:pPr>
        <w:pStyle w:val="4"/>
        <w:numPr>
          <w:ilvl w:val="2"/>
          <w:numId w:val="3"/>
        </w:numPr>
        <w:rPr>
          <w:rFonts w:hint="eastAsia" w:cs="宋体"/>
        </w:rPr>
      </w:pPr>
      <w:r>
        <w:rPr>
          <w:rFonts w:hint="eastAsia" w:cs="宋体"/>
        </w:rPr>
        <w:t>一员一档培训管理系统（升级）</w:t>
      </w:r>
    </w:p>
    <w:p w14:paraId="63445120">
      <w:pPr>
        <w:pStyle w:val="136"/>
        <w:ind w:firstLine="0" w:firstLineChars="0"/>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4353560" cy="4710430"/>
            <wp:effectExtent l="0" t="0" r="5080" b="13970"/>
            <wp:docPr id="117214003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140036" name="图片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4359868" cy="4717141"/>
                    </a:xfrm>
                    <a:prstGeom prst="rect">
                      <a:avLst/>
                    </a:prstGeom>
                    <a:noFill/>
                    <a:ln>
                      <a:noFill/>
                    </a:ln>
                  </pic:spPr>
                </pic:pic>
              </a:graphicData>
            </a:graphic>
          </wp:inline>
        </w:drawing>
      </w:r>
    </w:p>
    <w:p w14:paraId="4EE91A8E">
      <w:pPr>
        <w:pStyle w:val="4"/>
        <w:numPr>
          <w:ilvl w:val="2"/>
          <w:numId w:val="3"/>
        </w:numPr>
        <w:rPr>
          <w:rFonts w:hint="eastAsia" w:cs="宋体"/>
        </w:rPr>
      </w:pPr>
      <w:r>
        <w:rPr>
          <w:rFonts w:hint="eastAsia" w:cs="宋体"/>
        </w:rPr>
        <w:t>药品智慧监管知识库（新建）</w:t>
      </w:r>
    </w:p>
    <w:p w14:paraId="5FACA2EF">
      <w:pPr>
        <w:pStyle w:val="136"/>
        <w:ind w:firstLine="0" w:firstLineChars="0"/>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5275580" cy="5725795"/>
            <wp:effectExtent l="0" t="0" r="12700" b="4445"/>
            <wp:docPr id="109088498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884987" name="图片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5275580" cy="5725795"/>
                    </a:xfrm>
                    <a:prstGeom prst="rect">
                      <a:avLst/>
                    </a:prstGeom>
                    <a:noFill/>
                    <a:ln>
                      <a:noFill/>
                    </a:ln>
                  </pic:spPr>
                </pic:pic>
              </a:graphicData>
            </a:graphic>
          </wp:inline>
        </w:drawing>
      </w:r>
    </w:p>
    <w:p w14:paraId="7CF3937F">
      <w:pPr>
        <w:pStyle w:val="4"/>
        <w:numPr>
          <w:ilvl w:val="2"/>
          <w:numId w:val="3"/>
        </w:numPr>
        <w:rPr>
          <w:rFonts w:hint="eastAsia" w:cs="宋体"/>
        </w:rPr>
      </w:pPr>
      <w:r>
        <w:rPr>
          <w:rFonts w:hint="eastAsia" w:cs="宋体"/>
        </w:rPr>
        <w:t>数字化档案室（升级改造）</w:t>
      </w:r>
    </w:p>
    <w:p w14:paraId="276E65D3">
      <w:pPr>
        <w:pStyle w:val="136"/>
        <w:ind w:firstLine="0" w:firstLineChars="0"/>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5275580" cy="3369310"/>
            <wp:effectExtent l="0" t="0" r="0" b="0"/>
            <wp:docPr id="1576008468" name="图片 1" descr="电子档案架构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008468" name="图片 1" descr="电子档案架构图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275580" cy="3369310"/>
                    </a:xfrm>
                    <a:prstGeom prst="rect">
                      <a:avLst/>
                    </a:prstGeom>
                    <a:noFill/>
                    <a:ln>
                      <a:noFill/>
                    </a:ln>
                  </pic:spPr>
                </pic:pic>
              </a:graphicData>
            </a:graphic>
          </wp:inline>
        </w:drawing>
      </w:r>
    </w:p>
    <w:p w14:paraId="35A18A18">
      <w:pPr>
        <w:widowControl/>
        <w:snapToGrid w:val="0"/>
        <w:spacing w:line="440" w:lineRule="exact"/>
        <w:ind w:firstLine="482"/>
        <w:jc w:val="left"/>
        <w:rPr>
          <w:rFonts w:hint="eastAsia" w:cs="宋体"/>
          <w:b/>
        </w:rPr>
      </w:pPr>
    </w:p>
    <w:p w14:paraId="750653B3">
      <w:pPr>
        <w:pStyle w:val="3"/>
        <w:numPr>
          <w:ilvl w:val="1"/>
          <w:numId w:val="3"/>
        </w:numPr>
        <w:rPr>
          <w:rFonts w:hint="eastAsia" w:cs="宋体"/>
        </w:rPr>
      </w:pPr>
      <w:r>
        <w:rPr>
          <w:rFonts w:hint="eastAsia" w:cs="宋体"/>
        </w:rPr>
        <w:t>部署环境和网络拓扑</w:t>
      </w:r>
    </w:p>
    <w:p w14:paraId="06AEBF8F">
      <w:pPr>
        <w:rPr>
          <w:rFonts w:hint="eastAsia" w:cs="宋体"/>
        </w:rPr>
      </w:pPr>
      <w:r>
        <w:rPr>
          <w:rFonts w:hint="eastAsia" w:cs="宋体"/>
        </w:rPr>
        <w:t>本项目依托上海市电子政务云平台部署，主体部署在政务外网，并通过政务外网和互联网分别面向政府部门和企业公众提供访问。</w:t>
      </w:r>
    </w:p>
    <w:p w14:paraId="7DB4C665">
      <w:pPr>
        <w:ind w:firstLine="0" w:firstLineChars="0"/>
        <w:rPr>
          <w:rFonts w:hint="eastAsia" w:cs="宋体"/>
        </w:rPr>
      </w:pPr>
      <w:r>
        <w:rPr>
          <w:rFonts w:hint="eastAsia" w:cs="宋体"/>
        </w:rPr>
        <w:object>
          <v:shape id="_x0000_i1025" o:spt="75" type="#_x0000_t75" style="height:199.95pt;width:417.6pt;" o:ole="t" filled="f" o:preferrelative="t" stroked="f" coordsize="21600,21600">
            <v:path/>
            <v:fill on="f" focussize="0,0"/>
            <v:stroke on="f" joinstyle="miter"/>
            <v:imagedata r:id="rId16" o:title=""/>
            <o:lock v:ext="edit" aspectratio="t"/>
            <w10:wrap type="none"/>
            <w10:anchorlock/>
          </v:shape>
          <o:OLEObject Type="Embed" ProgID="Visio.Drawing.15" ShapeID="_x0000_i1025" DrawAspect="Content" ObjectID="_1468075725" r:id="rId15">
            <o:LockedField>false</o:LockedField>
          </o:OLEObject>
        </w:object>
      </w:r>
    </w:p>
    <w:p w14:paraId="798662B0">
      <w:pPr>
        <w:rPr>
          <w:rFonts w:hint="eastAsia" w:cs="宋体"/>
        </w:rPr>
      </w:pPr>
    </w:p>
    <w:p w14:paraId="67E0986E">
      <w:pPr>
        <w:pStyle w:val="3"/>
        <w:numPr>
          <w:ilvl w:val="1"/>
          <w:numId w:val="3"/>
        </w:numPr>
        <w:rPr>
          <w:rFonts w:hint="eastAsia" w:cs="宋体"/>
        </w:rPr>
      </w:pPr>
      <w:r>
        <w:rPr>
          <w:rFonts w:hint="eastAsia" w:cs="宋体"/>
        </w:rPr>
        <w:t>技术指标</w:t>
      </w:r>
    </w:p>
    <w:p w14:paraId="02C7AAFD">
      <w:pPr>
        <w:pStyle w:val="136"/>
        <w:numPr>
          <w:ilvl w:val="0"/>
          <w:numId w:val="5"/>
        </w:numPr>
        <w:ind w:firstLineChars="0"/>
        <w:rPr>
          <w:rFonts w:hint="eastAsia" w:ascii="宋体" w:hAnsi="宋体" w:eastAsia="宋体" w:cs="宋体"/>
          <w:sz w:val="24"/>
          <w:szCs w:val="24"/>
        </w:rPr>
      </w:pPr>
      <w:r>
        <w:rPr>
          <w:rFonts w:hint="eastAsia" w:ascii="宋体" w:hAnsi="宋体" w:eastAsia="宋体" w:cs="宋体"/>
          <w:sz w:val="24"/>
          <w:szCs w:val="24"/>
        </w:rPr>
        <w:t>同时在线用户数≥200；</w:t>
      </w:r>
    </w:p>
    <w:p w14:paraId="40F7580B">
      <w:pPr>
        <w:pStyle w:val="136"/>
        <w:numPr>
          <w:ilvl w:val="0"/>
          <w:numId w:val="5"/>
        </w:numPr>
        <w:ind w:firstLineChars="0"/>
        <w:rPr>
          <w:rFonts w:hint="eastAsia" w:ascii="宋体" w:hAnsi="宋体" w:eastAsia="宋体" w:cs="宋体"/>
          <w:sz w:val="24"/>
          <w:szCs w:val="24"/>
        </w:rPr>
      </w:pPr>
      <w:r>
        <w:rPr>
          <w:rFonts w:hint="eastAsia" w:ascii="宋体" w:hAnsi="宋体" w:eastAsia="宋体" w:cs="宋体"/>
          <w:sz w:val="24"/>
          <w:szCs w:val="24"/>
        </w:rPr>
        <w:t>并发用户数≥50；</w:t>
      </w:r>
    </w:p>
    <w:p w14:paraId="6BF97750">
      <w:pPr>
        <w:pStyle w:val="136"/>
        <w:numPr>
          <w:ilvl w:val="0"/>
          <w:numId w:val="5"/>
        </w:numPr>
        <w:ind w:firstLineChars="0"/>
        <w:rPr>
          <w:rFonts w:hint="eastAsia" w:ascii="宋体" w:hAnsi="宋体" w:eastAsia="宋体" w:cs="宋体"/>
          <w:sz w:val="24"/>
          <w:szCs w:val="24"/>
        </w:rPr>
      </w:pPr>
      <w:r>
        <w:rPr>
          <w:rFonts w:hint="eastAsia" w:ascii="宋体" w:hAnsi="宋体" w:eastAsia="宋体" w:cs="宋体"/>
          <w:sz w:val="24"/>
          <w:szCs w:val="24"/>
        </w:rPr>
        <w:t>系统登录时间≤1秒；</w:t>
      </w:r>
    </w:p>
    <w:p w14:paraId="5C631652">
      <w:pPr>
        <w:pStyle w:val="136"/>
        <w:numPr>
          <w:ilvl w:val="0"/>
          <w:numId w:val="5"/>
        </w:numPr>
        <w:ind w:firstLineChars="0"/>
        <w:rPr>
          <w:rFonts w:hint="eastAsia" w:ascii="宋体" w:hAnsi="宋体" w:eastAsia="宋体" w:cs="宋体"/>
          <w:sz w:val="24"/>
          <w:szCs w:val="24"/>
        </w:rPr>
      </w:pPr>
      <w:r>
        <w:rPr>
          <w:rFonts w:hint="eastAsia" w:ascii="宋体" w:hAnsi="宋体" w:eastAsia="宋体" w:cs="宋体"/>
          <w:sz w:val="24"/>
          <w:szCs w:val="24"/>
        </w:rPr>
        <w:t>一般查询和写入操作响应时间（90%的操作页面）≤3秒；</w:t>
      </w:r>
    </w:p>
    <w:p w14:paraId="605C351C">
      <w:pPr>
        <w:pStyle w:val="136"/>
        <w:numPr>
          <w:ilvl w:val="0"/>
          <w:numId w:val="5"/>
        </w:numPr>
        <w:ind w:firstLineChars="0"/>
        <w:rPr>
          <w:rFonts w:hint="eastAsia" w:ascii="宋体" w:hAnsi="宋体" w:eastAsia="宋体" w:cs="宋体"/>
          <w:sz w:val="24"/>
          <w:szCs w:val="24"/>
        </w:rPr>
      </w:pPr>
      <w:r>
        <w:rPr>
          <w:rFonts w:hint="eastAsia" w:ascii="宋体" w:hAnsi="宋体" w:eastAsia="宋体" w:cs="宋体"/>
          <w:sz w:val="24"/>
          <w:szCs w:val="24"/>
        </w:rPr>
        <w:t>搜索类操作响应时间≤5秒；</w:t>
      </w:r>
    </w:p>
    <w:p w14:paraId="4C6E4D89">
      <w:pPr>
        <w:pStyle w:val="136"/>
        <w:numPr>
          <w:ilvl w:val="0"/>
          <w:numId w:val="5"/>
        </w:numPr>
        <w:ind w:firstLineChars="0"/>
        <w:rPr>
          <w:rFonts w:hint="eastAsia" w:ascii="宋体" w:hAnsi="宋体" w:eastAsia="宋体" w:cs="宋体"/>
          <w:sz w:val="24"/>
          <w:szCs w:val="24"/>
        </w:rPr>
      </w:pPr>
      <w:r>
        <w:rPr>
          <w:rFonts w:hint="eastAsia" w:ascii="宋体" w:hAnsi="宋体" w:eastAsia="宋体" w:cs="宋体"/>
          <w:sz w:val="24"/>
          <w:szCs w:val="24"/>
        </w:rPr>
        <w:t>响应时间较长的操作页面应显示进度条。</w:t>
      </w:r>
    </w:p>
    <w:p w14:paraId="71073D24">
      <w:pPr>
        <w:widowControl/>
        <w:snapToGrid w:val="0"/>
        <w:spacing w:line="440" w:lineRule="exact"/>
        <w:ind w:firstLine="482"/>
        <w:jc w:val="left"/>
        <w:rPr>
          <w:rFonts w:hint="eastAsia" w:cs="宋体"/>
          <w:b/>
        </w:rPr>
      </w:pPr>
    </w:p>
    <w:p w14:paraId="63F35BB9">
      <w:pPr>
        <w:pStyle w:val="3"/>
        <w:numPr>
          <w:ilvl w:val="1"/>
          <w:numId w:val="3"/>
        </w:numPr>
        <w:rPr>
          <w:rFonts w:hint="eastAsia" w:cs="宋体"/>
        </w:rPr>
      </w:pPr>
      <w:r>
        <w:rPr>
          <w:rFonts w:hint="eastAsia" w:cs="宋体"/>
        </w:rPr>
        <w:t>软件开发清单</w:t>
      </w:r>
    </w:p>
    <w:tbl>
      <w:tblPr>
        <w:tblStyle w:val="35"/>
        <w:tblW w:w="849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1418"/>
        <w:gridCol w:w="2126"/>
        <w:gridCol w:w="4246"/>
      </w:tblGrid>
      <w:tr w14:paraId="2580FB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704" w:type="dxa"/>
            <w:shd w:val="clear" w:color="000000" w:fill="F3F8FC"/>
            <w:noWrap/>
            <w:vAlign w:val="center"/>
          </w:tcPr>
          <w:p w14:paraId="238044A2">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序号</w:t>
            </w:r>
          </w:p>
        </w:tc>
        <w:tc>
          <w:tcPr>
            <w:tcW w:w="1418" w:type="dxa"/>
            <w:shd w:val="clear" w:color="000000" w:fill="F3F8FC"/>
            <w:noWrap/>
            <w:vAlign w:val="center"/>
          </w:tcPr>
          <w:p w14:paraId="0AD5BD17">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应用系统名称</w:t>
            </w:r>
          </w:p>
        </w:tc>
        <w:tc>
          <w:tcPr>
            <w:tcW w:w="2126" w:type="dxa"/>
            <w:shd w:val="clear" w:color="000000" w:fill="F3F8FC"/>
            <w:noWrap/>
            <w:vAlign w:val="center"/>
          </w:tcPr>
          <w:p w14:paraId="44C3E4B6">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模块名称</w:t>
            </w:r>
          </w:p>
        </w:tc>
        <w:tc>
          <w:tcPr>
            <w:tcW w:w="4246" w:type="dxa"/>
            <w:shd w:val="clear" w:color="000000" w:fill="F3F8FC"/>
            <w:vAlign w:val="center"/>
          </w:tcPr>
          <w:p w14:paraId="2A29ED4A">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模块描述</w:t>
            </w:r>
          </w:p>
        </w:tc>
      </w:tr>
      <w:tr w14:paraId="10351D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603128F7">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1</w:t>
            </w:r>
          </w:p>
        </w:tc>
        <w:tc>
          <w:tcPr>
            <w:tcW w:w="1418" w:type="dxa"/>
            <w:shd w:val="clear" w:color="auto" w:fill="auto"/>
            <w:vAlign w:val="center"/>
          </w:tcPr>
          <w:p w14:paraId="58FD8556">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一员一档培训管理系统（升级）</w:t>
            </w:r>
          </w:p>
        </w:tc>
        <w:tc>
          <w:tcPr>
            <w:tcW w:w="2126" w:type="dxa"/>
            <w:shd w:val="clear" w:color="auto" w:fill="auto"/>
            <w:vAlign w:val="center"/>
          </w:tcPr>
          <w:p w14:paraId="10F12CE1">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检查员管理系统升级-数据对接</w:t>
            </w:r>
          </w:p>
        </w:tc>
        <w:tc>
          <w:tcPr>
            <w:tcW w:w="4246" w:type="dxa"/>
            <w:shd w:val="clear" w:color="auto" w:fill="auto"/>
            <w:vAlign w:val="center"/>
          </w:tcPr>
          <w:p w14:paraId="0F537827">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系统与上海药监监督检查系统对接，获取检查记录信息；与国家药监局数据共享交换平台对接，获取国家级检查专家基本信息和检查记录信息；与长三角各省市药监局监督检查系统对接，获取检查记录信息和检查员信息，同时打通跨区域检查员调派；与上海药监局培训立项系统对接，获取培训项目信息。</w:t>
            </w:r>
          </w:p>
        </w:tc>
      </w:tr>
      <w:tr w14:paraId="0AB96F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60B6AD58">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2</w:t>
            </w:r>
          </w:p>
        </w:tc>
        <w:tc>
          <w:tcPr>
            <w:tcW w:w="1418" w:type="dxa"/>
            <w:shd w:val="clear" w:color="auto" w:fill="auto"/>
            <w:vAlign w:val="center"/>
          </w:tcPr>
          <w:p w14:paraId="5B250580">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一员一档培训管理系统（升级）</w:t>
            </w:r>
          </w:p>
        </w:tc>
        <w:tc>
          <w:tcPr>
            <w:tcW w:w="2126" w:type="dxa"/>
            <w:shd w:val="clear" w:color="auto" w:fill="auto"/>
            <w:vAlign w:val="center"/>
          </w:tcPr>
          <w:p w14:paraId="3650D4FE">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检查员管理系统升级-检查员出入库</w:t>
            </w:r>
          </w:p>
        </w:tc>
        <w:tc>
          <w:tcPr>
            <w:tcW w:w="4246" w:type="dxa"/>
            <w:shd w:val="clear" w:color="auto" w:fill="auto"/>
            <w:vAlign w:val="center"/>
          </w:tcPr>
          <w:p w14:paraId="5607F7C7">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系统实现对检查员出库入库进行管理，包括检查员聘用、续聘、解聘等功能。现有系统已实现聘用管理，所以本项目主要建设续聘和解聘的功能。</w:t>
            </w:r>
          </w:p>
        </w:tc>
      </w:tr>
      <w:tr w14:paraId="5A96AD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06F8468B">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3</w:t>
            </w:r>
          </w:p>
        </w:tc>
        <w:tc>
          <w:tcPr>
            <w:tcW w:w="1418" w:type="dxa"/>
            <w:shd w:val="clear" w:color="auto" w:fill="auto"/>
            <w:vAlign w:val="center"/>
          </w:tcPr>
          <w:p w14:paraId="7DB6F452">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一员一档培训管理系统（升级）</w:t>
            </w:r>
          </w:p>
        </w:tc>
        <w:tc>
          <w:tcPr>
            <w:tcW w:w="2126" w:type="dxa"/>
            <w:shd w:val="clear" w:color="auto" w:fill="auto"/>
            <w:vAlign w:val="center"/>
          </w:tcPr>
          <w:p w14:paraId="6EC7E5F9">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检查员管理系统升级-奖惩信息管理</w:t>
            </w:r>
          </w:p>
        </w:tc>
        <w:tc>
          <w:tcPr>
            <w:tcW w:w="4246" w:type="dxa"/>
            <w:shd w:val="clear" w:color="auto" w:fill="auto"/>
            <w:vAlign w:val="center"/>
          </w:tcPr>
          <w:p w14:paraId="05CE68C9">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系统实现对检查员廉洁自律进行管理，包括检查员奖励、惩罚情况等内容，分为检查员登记检查员管理员审核和检查员管理员直接登记两种模式。</w:t>
            </w:r>
          </w:p>
        </w:tc>
      </w:tr>
      <w:tr w14:paraId="38A111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617AABBC">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4</w:t>
            </w:r>
          </w:p>
        </w:tc>
        <w:tc>
          <w:tcPr>
            <w:tcW w:w="1418" w:type="dxa"/>
            <w:shd w:val="clear" w:color="auto" w:fill="auto"/>
            <w:vAlign w:val="center"/>
          </w:tcPr>
          <w:p w14:paraId="3A1B3279">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一员一档培训管理系统（升级）</w:t>
            </w:r>
          </w:p>
        </w:tc>
        <w:tc>
          <w:tcPr>
            <w:tcW w:w="2126" w:type="dxa"/>
            <w:shd w:val="clear" w:color="auto" w:fill="auto"/>
            <w:vAlign w:val="center"/>
          </w:tcPr>
          <w:p w14:paraId="406C2A5E">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检查员管理系统升级-字段项调整</w:t>
            </w:r>
          </w:p>
        </w:tc>
        <w:tc>
          <w:tcPr>
            <w:tcW w:w="4246" w:type="dxa"/>
            <w:shd w:val="clear" w:color="auto" w:fill="auto"/>
            <w:vAlign w:val="center"/>
          </w:tcPr>
          <w:p w14:paraId="10A22CE5">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根据国家药监局发布的《检查员信息管理平台建设技术指南（征求意见稿）》中的数据规范要求，需要对现有的职业化专业化检查员管理系统进行字段调整。各省在系统建设过程中，可根据自身实际情况，进行扩展。</w:t>
            </w:r>
          </w:p>
        </w:tc>
      </w:tr>
      <w:tr w14:paraId="77356F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162474F5">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5</w:t>
            </w:r>
          </w:p>
        </w:tc>
        <w:tc>
          <w:tcPr>
            <w:tcW w:w="1418" w:type="dxa"/>
            <w:shd w:val="clear" w:color="auto" w:fill="auto"/>
            <w:vAlign w:val="center"/>
          </w:tcPr>
          <w:p w14:paraId="0FA78FC2">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一员一档培训管理系统（升级）</w:t>
            </w:r>
          </w:p>
        </w:tc>
        <w:tc>
          <w:tcPr>
            <w:tcW w:w="2126" w:type="dxa"/>
            <w:shd w:val="clear" w:color="auto" w:fill="auto"/>
            <w:vAlign w:val="center"/>
          </w:tcPr>
          <w:p w14:paraId="2A42B429">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检查员管理系统升级-分级分类管理</w:t>
            </w:r>
          </w:p>
        </w:tc>
        <w:tc>
          <w:tcPr>
            <w:tcW w:w="4246" w:type="dxa"/>
            <w:shd w:val="clear" w:color="auto" w:fill="auto"/>
            <w:vAlign w:val="center"/>
          </w:tcPr>
          <w:p w14:paraId="5C064297">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根据《职业化专业化药品检查员分级分类管理办法》的要求，需要对检查员进行分级分类管理。原有的职业化专业化检查员管理系统仅实现了对检查员层级认定进行申请和审批。本次升级将实现检查员序列管理、检查员层级管理、自定义检查员级别、检查员范围管理。</w:t>
            </w:r>
          </w:p>
        </w:tc>
      </w:tr>
      <w:tr w14:paraId="32916A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58016B63">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6</w:t>
            </w:r>
          </w:p>
        </w:tc>
        <w:tc>
          <w:tcPr>
            <w:tcW w:w="1418" w:type="dxa"/>
            <w:shd w:val="clear" w:color="auto" w:fill="auto"/>
            <w:vAlign w:val="center"/>
          </w:tcPr>
          <w:p w14:paraId="4981A249">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一员一档培训管理系统（升级）</w:t>
            </w:r>
          </w:p>
        </w:tc>
        <w:tc>
          <w:tcPr>
            <w:tcW w:w="2126" w:type="dxa"/>
            <w:shd w:val="clear" w:color="auto" w:fill="auto"/>
            <w:vAlign w:val="center"/>
          </w:tcPr>
          <w:p w14:paraId="0D3BA4E3">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检查员管理系统升级-检查记录管理</w:t>
            </w:r>
          </w:p>
        </w:tc>
        <w:tc>
          <w:tcPr>
            <w:tcW w:w="4246" w:type="dxa"/>
            <w:shd w:val="clear" w:color="auto" w:fill="auto"/>
            <w:vAlign w:val="center"/>
          </w:tcPr>
          <w:p w14:paraId="44314E30">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系统通过对接检查业务系统实现对检查员检查记录管理。检查信息包括姓名、身份证号、任务类型、检查开始日期、检查结束日期、被检查单位名称、检查范围、是否组长、日常考核、所属检查机构等信息。</w:t>
            </w:r>
          </w:p>
        </w:tc>
      </w:tr>
      <w:tr w14:paraId="4EFDA7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0FA982D2">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7</w:t>
            </w:r>
          </w:p>
        </w:tc>
        <w:tc>
          <w:tcPr>
            <w:tcW w:w="1418" w:type="dxa"/>
            <w:shd w:val="clear" w:color="auto" w:fill="auto"/>
            <w:vAlign w:val="center"/>
          </w:tcPr>
          <w:p w14:paraId="750C6563">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一员一档培训管理系统（升级）</w:t>
            </w:r>
          </w:p>
        </w:tc>
        <w:tc>
          <w:tcPr>
            <w:tcW w:w="2126" w:type="dxa"/>
            <w:shd w:val="clear" w:color="auto" w:fill="auto"/>
            <w:vAlign w:val="center"/>
          </w:tcPr>
          <w:p w14:paraId="779A8285">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检查员管理系统升级-综合查询</w:t>
            </w:r>
          </w:p>
        </w:tc>
        <w:tc>
          <w:tcPr>
            <w:tcW w:w="4246" w:type="dxa"/>
            <w:shd w:val="clear" w:color="auto" w:fill="auto"/>
            <w:vAlign w:val="center"/>
          </w:tcPr>
          <w:p w14:paraId="7D8E1662">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查询分析管理实现通过各种组合条件实现检查员各维度分类统计查询，支持excel表导出。</w:t>
            </w:r>
          </w:p>
        </w:tc>
      </w:tr>
      <w:tr w14:paraId="6E2382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740A54B4">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8</w:t>
            </w:r>
          </w:p>
        </w:tc>
        <w:tc>
          <w:tcPr>
            <w:tcW w:w="1418" w:type="dxa"/>
            <w:shd w:val="clear" w:color="auto" w:fill="auto"/>
            <w:vAlign w:val="center"/>
          </w:tcPr>
          <w:p w14:paraId="4B6066E4">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一员一档培训管理系统（升级）</w:t>
            </w:r>
          </w:p>
        </w:tc>
        <w:tc>
          <w:tcPr>
            <w:tcW w:w="2126" w:type="dxa"/>
            <w:shd w:val="clear" w:color="auto" w:fill="auto"/>
            <w:vAlign w:val="center"/>
          </w:tcPr>
          <w:p w14:paraId="4C580913">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检查员管理系统升级-国家局数据上报</w:t>
            </w:r>
          </w:p>
        </w:tc>
        <w:tc>
          <w:tcPr>
            <w:tcW w:w="4246" w:type="dxa"/>
            <w:shd w:val="clear" w:color="auto" w:fill="auto"/>
            <w:vAlign w:val="center"/>
          </w:tcPr>
          <w:p w14:paraId="68610C58">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根据国家药监局的数据上报要求，系统通过对接或数据导出导入的方式，完成检查员信息的数据上报。上报数据包括检查机构信息、检查员基本信息、检查业务信息、教育培训信息、考核信息等。</w:t>
            </w:r>
          </w:p>
        </w:tc>
      </w:tr>
      <w:tr w14:paraId="7B9604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634416FC">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9</w:t>
            </w:r>
          </w:p>
        </w:tc>
        <w:tc>
          <w:tcPr>
            <w:tcW w:w="1418" w:type="dxa"/>
            <w:shd w:val="clear" w:color="auto" w:fill="auto"/>
            <w:vAlign w:val="center"/>
          </w:tcPr>
          <w:p w14:paraId="4632AA12">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一员一档培训管理系统（升级）</w:t>
            </w:r>
          </w:p>
        </w:tc>
        <w:tc>
          <w:tcPr>
            <w:tcW w:w="2126" w:type="dxa"/>
            <w:shd w:val="clear" w:color="auto" w:fill="auto"/>
            <w:vAlign w:val="center"/>
          </w:tcPr>
          <w:p w14:paraId="20B35D4B">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检查员管理系统升级-国家局检查专家信息管理</w:t>
            </w:r>
          </w:p>
        </w:tc>
        <w:tc>
          <w:tcPr>
            <w:tcW w:w="4246" w:type="dxa"/>
            <w:shd w:val="clear" w:color="auto" w:fill="auto"/>
            <w:vAlign w:val="center"/>
          </w:tcPr>
          <w:p w14:paraId="1C0EB72D">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通过对接或数据导入的方式，获取国家局检查专家的信息。为检查员的调派提供备选人员库。支持对检查专家的历史检查记录的管理，后续如果国家药监局打通全国检查专家的检查记录信息，</w:t>
            </w:r>
          </w:p>
        </w:tc>
      </w:tr>
      <w:tr w14:paraId="73D146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452EE3D8">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10</w:t>
            </w:r>
          </w:p>
        </w:tc>
        <w:tc>
          <w:tcPr>
            <w:tcW w:w="1418" w:type="dxa"/>
            <w:shd w:val="clear" w:color="auto" w:fill="auto"/>
            <w:vAlign w:val="center"/>
          </w:tcPr>
          <w:p w14:paraId="32E7BD65">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一员一档培训管理系统（升级）</w:t>
            </w:r>
          </w:p>
        </w:tc>
        <w:tc>
          <w:tcPr>
            <w:tcW w:w="2126" w:type="dxa"/>
            <w:shd w:val="clear" w:color="auto" w:fill="auto"/>
            <w:vAlign w:val="center"/>
          </w:tcPr>
          <w:p w14:paraId="7F59A30E">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检查员管理系统升级-国家药监局点亮专区</w:t>
            </w:r>
          </w:p>
        </w:tc>
        <w:tc>
          <w:tcPr>
            <w:tcW w:w="4246" w:type="dxa"/>
            <w:shd w:val="clear" w:color="auto" w:fill="auto"/>
            <w:vAlign w:val="center"/>
          </w:tcPr>
          <w:p w14:paraId="2CD14859">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按照国家药监局要求完成药品信用档案点亮专区相关工作。</w:t>
            </w:r>
          </w:p>
        </w:tc>
      </w:tr>
      <w:tr w14:paraId="1DC671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3E844070">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11</w:t>
            </w:r>
          </w:p>
        </w:tc>
        <w:tc>
          <w:tcPr>
            <w:tcW w:w="1418" w:type="dxa"/>
            <w:shd w:val="clear" w:color="auto" w:fill="auto"/>
            <w:vAlign w:val="center"/>
          </w:tcPr>
          <w:p w14:paraId="72A8D171">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一员一档培训管理系统（升级）</w:t>
            </w:r>
          </w:p>
        </w:tc>
        <w:tc>
          <w:tcPr>
            <w:tcW w:w="2126" w:type="dxa"/>
            <w:shd w:val="clear" w:color="auto" w:fill="auto"/>
            <w:vAlign w:val="center"/>
          </w:tcPr>
          <w:p w14:paraId="5177C433">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检查员管理系统升级-长三角检查员信息管理</w:t>
            </w:r>
          </w:p>
        </w:tc>
        <w:tc>
          <w:tcPr>
            <w:tcW w:w="4246" w:type="dxa"/>
            <w:shd w:val="clear" w:color="auto" w:fill="auto"/>
            <w:vAlign w:val="center"/>
          </w:tcPr>
          <w:p w14:paraId="7AAEC4F2">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通过对接或数据导入的方式，获取长三角检查员的信息。为检查员的调派提供备选人员库。支持对检查员的历史检查记录的管理，后续如果打通长三角各地检查员的检查记录信息，将支持查看检查员在各地的检查记录情况。实现长三角各省市的检查员信息共享、人员调派。</w:t>
            </w:r>
          </w:p>
        </w:tc>
      </w:tr>
      <w:tr w14:paraId="7400A8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610693B6">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12</w:t>
            </w:r>
          </w:p>
        </w:tc>
        <w:tc>
          <w:tcPr>
            <w:tcW w:w="1418" w:type="dxa"/>
            <w:shd w:val="clear" w:color="auto" w:fill="auto"/>
            <w:vAlign w:val="center"/>
          </w:tcPr>
          <w:p w14:paraId="545D9976">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一员一档培训管理系统（升级）</w:t>
            </w:r>
          </w:p>
        </w:tc>
        <w:tc>
          <w:tcPr>
            <w:tcW w:w="2126" w:type="dxa"/>
            <w:shd w:val="clear" w:color="auto" w:fill="auto"/>
            <w:vAlign w:val="center"/>
          </w:tcPr>
          <w:p w14:paraId="25D536BC">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检查员管理系统升级-长三角调派</w:t>
            </w:r>
          </w:p>
        </w:tc>
        <w:tc>
          <w:tcPr>
            <w:tcW w:w="4246" w:type="dxa"/>
            <w:shd w:val="clear" w:color="auto" w:fill="auto"/>
            <w:vAlign w:val="center"/>
          </w:tcPr>
          <w:p w14:paraId="7FA18F3A">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检查员库展示</w:t>
            </w:r>
            <w:r>
              <w:rPr>
                <w:rFonts w:hint="eastAsia" w:cs="宋体"/>
                <w:color w:val="000000"/>
                <w:kern w:val="0"/>
                <w:sz w:val="21"/>
                <w:szCs w:val="21"/>
              </w:rPr>
              <w:br w:type="textWrapping"/>
            </w:r>
            <w:r>
              <w:rPr>
                <w:rFonts w:hint="eastAsia" w:cs="宋体"/>
                <w:color w:val="000000"/>
                <w:kern w:val="0"/>
                <w:sz w:val="21"/>
                <w:szCs w:val="21"/>
              </w:rPr>
              <w:t>给江苏、浙江、安徽开具相关账号，展示上海检查员库，可查询查看。</w:t>
            </w:r>
            <w:r>
              <w:rPr>
                <w:rFonts w:hint="eastAsia" w:cs="宋体"/>
                <w:color w:val="000000"/>
                <w:kern w:val="0"/>
                <w:sz w:val="21"/>
                <w:szCs w:val="21"/>
              </w:rPr>
              <w:br w:type="textWrapping"/>
            </w:r>
            <w:r>
              <w:rPr>
                <w:rFonts w:hint="eastAsia" w:cs="宋体"/>
                <w:color w:val="000000"/>
                <w:kern w:val="0"/>
                <w:sz w:val="21"/>
                <w:szCs w:val="21"/>
              </w:rPr>
              <w:t>调派发起</w:t>
            </w:r>
            <w:r>
              <w:rPr>
                <w:rFonts w:hint="eastAsia" w:cs="宋体"/>
                <w:color w:val="000000"/>
                <w:kern w:val="0"/>
                <w:sz w:val="21"/>
                <w:szCs w:val="21"/>
              </w:rPr>
              <w:br w:type="textWrapping"/>
            </w:r>
            <w:r>
              <w:rPr>
                <w:rFonts w:hint="eastAsia" w:cs="宋体"/>
                <w:color w:val="000000"/>
                <w:kern w:val="0"/>
                <w:sz w:val="21"/>
                <w:szCs w:val="21"/>
              </w:rPr>
              <w:t>江苏、浙江、安徽可向上海发起协查调派，由业务处室受理，检查员管理机构综合派遣，人事处可以进行相关内容查看。</w:t>
            </w:r>
          </w:p>
        </w:tc>
      </w:tr>
      <w:tr w14:paraId="087CFB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584BDBEF">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13</w:t>
            </w:r>
          </w:p>
        </w:tc>
        <w:tc>
          <w:tcPr>
            <w:tcW w:w="1418" w:type="dxa"/>
            <w:shd w:val="clear" w:color="auto" w:fill="auto"/>
            <w:vAlign w:val="center"/>
          </w:tcPr>
          <w:p w14:paraId="71413FA8">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一员一档培训管理系统（升级）</w:t>
            </w:r>
          </w:p>
        </w:tc>
        <w:tc>
          <w:tcPr>
            <w:tcW w:w="2126" w:type="dxa"/>
            <w:shd w:val="clear" w:color="auto" w:fill="auto"/>
            <w:vAlign w:val="center"/>
          </w:tcPr>
          <w:p w14:paraId="6F33F615">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检查员管理系统升级-重大任务调派</w:t>
            </w:r>
          </w:p>
        </w:tc>
        <w:tc>
          <w:tcPr>
            <w:tcW w:w="4246" w:type="dxa"/>
            <w:shd w:val="clear" w:color="auto" w:fill="auto"/>
            <w:vAlign w:val="center"/>
          </w:tcPr>
          <w:p w14:paraId="37746CC1">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在发生重大任务时，药品检查机构向指定单位发布紧急调派通知，明确调派的检查员基本要求或指定具体检查员，同时立刻与被调派检查员所在单位及本人进行沟通确认。</w:t>
            </w:r>
          </w:p>
        </w:tc>
      </w:tr>
      <w:tr w14:paraId="2E690B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3DDAC9A9">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14</w:t>
            </w:r>
          </w:p>
        </w:tc>
        <w:tc>
          <w:tcPr>
            <w:tcW w:w="1418" w:type="dxa"/>
            <w:shd w:val="clear" w:color="auto" w:fill="auto"/>
            <w:vAlign w:val="center"/>
          </w:tcPr>
          <w:p w14:paraId="0D772234">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一员一档培训管理系统（升级）</w:t>
            </w:r>
          </w:p>
        </w:tc>
        <w:tc>
          <w:tcPr>
            <w:tcW w:w="2126" w:type="dxa"/>
            <w:shd w:val="clear" w:color="auto" w:fill="auto"/>
            <w:vAlign w:val="center"/>
          </w:tcPr>
          <w:p w14:paraId="2E67D525">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检查员管理系统升级-调派机构完善</w:t>
            </w:r>
          </w:p>
        </w:tc>
        <w:tc>
          <w:tcPr>
            <w:tcW w:w="4246" w:type="dxa"/>
            <w:shd w:val="clear" w:color="auto" w:fill="auto"/>
            <w:vAlign w:val="center"/>
          </w:tcPr>
          <w:p w14:paraId="6068C561">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在发生重大任务时，药品检查机构向指定单位发布紧急调派通知，明确调派的检查员基本要求或指定具体检查员，同时立刻与被调派检查员所在单位及本人进行沟通确认。</w:t>
            </w:r>
          </w:p>
        </w:tc>
      </w:tr>
      <w:tr w14:paraId="5597E3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0EE66CB8">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15</w:t>
            </w:r>
          </w:p>
        </w:tc>
        <w:tc>
          <w:tcPr>
            <w:tcW w:w="1418" w:type="dxa"/>
            <w:shd w:val="clear" w:color="auto" w:fill="auto"/>
            <w:vAlign w:val="center"/>
          </w:tcPr>
          <w:p w14:paraId="38E59893">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一员一档培训管理系统（升级）</w:t>
            </w:r>
          </w:p>
        </w:tc>
        <w:tc>
          <w:tcPr>
            <w:tcW w:w="2126" w:type="dxa"/>
            <w:shd w:val="clear" w:color="auto" w:fill="auto"/>
            <w:vAlign w:val="center"/>
          </w:tcPr>
          <w:p w14:paraId="5B1B0F0D">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检查员管理系统升级-调派统计分析</w:t>
            </w:r>
          </w:p>
        </w:tc>
        <w:tc>
          <w:tcPr>
            <w:tcW w:w="4246" w:type="dxa"/>
            <w:shd w:val="clear" w:color="auto" w:fill="auto"/>
            <w:vAlign w:val="center"/>
          </w:tcPr>
          <w:p w14:paraId="381D42C9">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以时间为单位，定期统计检查员调派使用情况，结合检查员调派工作情况，定期分析、评估和通报调派使用工作情况。统计分析结果以柱状图、饼状图等方式展示。</w:t>
            </w:r>
          </w:p>
        </w:tc>
      </w:tr>
      <w:tr w14:paraId="5CA543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3EFC8E3C">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16</w:t>
            </w:r>
          </w:p>
        </w:tc>
        <w:tc>
          <w:tcPr>
            <w:tcW w:w="1418" w:type="dxa"/>
            <w:shd w:val="clear" w:color="auto" w:fill="auto"/>
            <w:vAlign w:val="center"/>
          </w:tcPr>
          <w:p w14:paraId="79E97221">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一员一档培训管理系统（升级）</w:t>
            </w:r>
          </w:p>
        </w:tc>
        <w:tc>
          <w:tcPr>
            <w:tcW w:w="2126" w:type="dxa"/>
            <w:shd w:val="clear" w:color="auto" w:fill="auto"/>
            <w:vAlign w:val="center"/>
          </w:tcPr>
          <w:p w14:paraId="0BCC5021">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检查员管理系统升级-关联企业调派数据升级</w:t>
            </w:r>
          </w:p>
        </w:tc>
        <w:tc>
          <w:tcPr>
            <w:tcW w:w="4246" w:type="dxa"/>
            <w:shd w:val="clear" w:color="auto" w:fill="auto"/>
            <w:vAlign w:val="center"/>
          </w:tcPr>
          <w:p w14:paraId="382ACA72">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支持查看被检查的经营主体信息，通过企业的行业等特征，匹配能力相适合的检查员或检查专家。</w:t>
            </w:r>
          </w:p>
        </w:tc>
      </w:tr>
      <w:tr w14:paraId="14F49C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4B22B3B1">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17</w:t>
            </w:r>
          </w:p>
        </w:tc>
        <w:tc>
          <w:tcPr>
            <w:tcW w:w="1418" w:type="dxa"/>
            <w:shd w:val="clear" w:color="auto" w:fill="auto"/>
            <w:vAlign w:val="center"/>
          </w:tcPr>
          <w:p w14:paraId="0D5477B4">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一员一档培训管理系统（升级）</w:t>
            </w:r>
          </w:p>
        </w:tc>
        <w:tc>
          <w:tcPr>
            <w:tcW w:w="2126" w:type="dxa"/>
            <w:shd w:val="clear" w:color="auto" w:fill="auto"/>
            <w:vAlign w:val="center"/>
          </w:tcPr>
          <w:p w14:paraId="7C80E52A">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检查员管理系统升级-调派流程完善</w:t>
            </w:r>
          </w:p>
        </w:tc>
        <w:tc>
          <w:tcPr>
            <w:tcW w:w="4246" w:type="dxa"/>
            <w:shd w:val="clear" w:color="auto" w:fill="auto"/>
            <w:vAlign w:val="center"/>
          </w:tcPr>
          <w:p w14:paraId="77E485F9">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针对同级调派，将新增抽取检查员、下达调派通知、调派接收、调派反馈等功能。药品检查机构根据检查任务需要，在符合本次任务要求的检查员中，随机抽取检查员执行检查任务。</w:t>
            </w:r>
          </w:p>
        </w:tc>
      </w:tr>
      <w:tr w14:paraId="5E49C0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071BAB75">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18</w:t>
            </w:r>
          </w:p>
        </w:tc>
        <w:tc>
          <w:tcPr>
            <w:tcW w:w="1418" w:type="dxa"/>
            <w:shd w:val="clear" w:color="auto" w:fill="auto"/>
            <w:vAlign w:val="center"/>
          </w:tcPr>
          <w:p w14:paraId="4B8D574F">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一员一档培训管理系统（升级）</w:t>
            </w:r>
          </w:p>
        </w:tc>
        <w:tc>
          <w:tcPr>
            <w:tcW w:w="2126" w:type="dxa"/>
            <w:shd w:val="clear" w:color="auto" w:fill="auto"/>
            <w:vAlign w:val="center"/>
          </w:tcPr>
          <w:p w14:paraId="085B4732">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检查员管理系统升级-附件容量升级</w:t>
            </w:r>
          </w:p>
        </w:tc>
        <w:tc>
          <w:tcPr>
            <w:tcW w:w="4246" w:type="dxa"/>
            <w:shd w:val="clear" w:color="auto" w:fill="auto"/>
            <w:vAlign w:val="center"/>
          </w:tcPr>
          <w:p w14:paraId="30C7064F">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升级原职业化专业化检查员管理系统的附件上传功能，调整附件容量上限。</w:t>
            </w:r>
          </w:p>
        </w:tc>
      </w:tr>
      <w:tr w14:paraId="132FC8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4E6D5989">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19</w:t>
            </w:r>
          </w:p>
        </w:tc>
        <w:tc>
          <w:tcPr>
            <w:tcW w:w="1418" w:type="dxa"/>
            <w:shd w:val="clear" w:color="auto" w:fill="auto"/>
            <w:vAlign w:val="center"/>
          </w:tcPr>
          <w:p w14:paraId="5410B4F6">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一员一档培训管理系统（升级）</w:t>
            </w:r>
          </w:p>
        </w:tc>
        <w:tc>
          <w:tcPr>
            <w:tcW w:w="2126" w:type="dxa"/>
            <w:shd w:val="clear" w:color="auto" w:fill="auto"/>
            <w:vAlign w:val="center"/>
          </w:tcPr>
          <w:p w14:paraId="1FFB1331">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检查员管理系统升级-培训管理平台</w:t>
            </w:r>
          </w:p>
        </w:tc>
        <w:tc>
          <w:tcPr>
            <w:tcW w:w="4246" w:type="dxa"/>
            <w:shd w:val="clear" w:color="auto" w:fill="auto"/>
            <w:vAlign w:val="center"/>
          </w:tcPr>
          <w:p w14:paraId="7E1BFFC3">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提供学习类型管理功能，学习类型包括四类，学习项目、网络课件、中心自主举办、参加外部培训。其中，学习项目由市局统一线下举办；网络课件作为辅助的培训形式，以线上为主；中心自主举办的培训，主要通过网站发布公告后，检查员自主报名参加培训；参加外部培训，也是通过网站发布公告，检查员自主报名后参加培训。</w:t>
            </w:r>
          </w:p>
        </w:tc>
      </w:tr>
      <w:tr w14:paraId="3C260B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2B1FA617">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20</w:t>
            </w:r>
          </w:p>
        </w:tc>
        <w:tc>
          <w:tcPr>
            <w:tcW w:w="1418" w:type="dxa"/>
            <w:shd w:val="clear" w:color="auto" w:fill="auto"/>
            <w:vAlign w:val="center"/>
          </w:tcPr>
          <w:p w14:paraId="78339339">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一员一档培训管理系统（升级）</w:t>
            </w:r>
          </w:p>
        </w:tc>
        <w:tc>
          <w:tcPr>
            <w:tcW w:w="2126" w:type="dxa"/>
            <w:shd w:val="clear" w:color="auto" w:fill="auto"/>
            <w:vAlign w:val="center"/>
          </w:tcPr>
          <w:p w14:paraId="6DA3EDDC">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检查员管理系统升级-考试管理</w:t>
            </w:r>
          </w:p>
        </w:tc>
        <w:tc>
          <w:tcPr>
            <w:tcW w:w="4246" w:type="dxa"/>
            <w:shd w:val="clear" w:color="auto" w:fill="auto"/>
            <w:vAlign w:val="center"/>
          </w:tcPr>
          <w:p w14:paraId="44E91060">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系统提供考试类型的设置管理功能，考试类型按照考试阶段包括岗前培训考试和继续教育培训考试，按照考试方式包括线上考试和线下考试。</w:t>
            </w:r>
          </w:p>
        </w:tc>
      </w:tr>
      <w:tr w14:paraId="23B675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1A9A5BF7">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21</w:t>
            </w:r>
          </w:p>
        </w:tc>
        <w:tc>
          <w:tcPr>
            <w:tcW w:w="1418" w:type="dxa"/>
            <w:shd w:val="clear" w:color="auto" w:fill="auto"/>
            <w:vAlign w:val="center"/>
          </w:tcPr>
          <w:p w14:paraId="2EC6D917">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一员一档培训管理系统（升级）</w:t>
            </w:r>
          </w:p>
        </w:tc>
        <w:tc>
          <w:tcPr>
            <w:tcW w:w="2126" w:type="dxa"/>
            <w:shd w:val="clear" w:color="auto" w:fill="auto"/>
            <w:vAlign w:val="center"/>
          </w:tcPr>
          <w:p w14:paraId="1D831057">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检查员管理系统升级-我的培训</w:t>
            </w:r>
          </w:p>
        </w:tc>
        <w:tc>
          <w:tcPr>
            <w:tcW w:w="4246" w:type="dxa"/>
            <w:shd w:val="clear" w:color="auto" w:fill="auto"/>
            <w:vAlign w:val="center"/>
          </w:tcPr>
          <w:p w14:paraId="481689EF">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检查员学员登录系统后，进入“我的培训”模块，查看参训材料信息、学习培训信息，并进行参训报名。</w:t>
            </w:r>
          </w:p>
        </w:tc>
      </w:tr>
      <w:tr w14:paraId="5F2958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29CF73F5">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22</w:t>
            </w:r>
          </w:p>
        </w:tc>
        <w:tc>
          <w:tcPr>
            <w:tcW w:w="1418" w:type="dxa"/>
            <w:shd w:val="clear" w:color="auto" w:fill="auto"/>
            <w:vAlign w:val="center"/>
          </w:tcPr>
          <w:p w14:paraId="16A03C7F">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一员一档培训管理系统（升级）</w:t>
            </w:r>
          </w:p>
        </w:tc>
        <w:tc>
          <w:tcPr>
            <w:tcW w:w="2126" w:type="dxa"/>
            <w:shd w:val="clear" w:color="auto" w:fill="auto"/>
            <w:vAlign w:val="center"/>
          </w:tcPr>
          <w:p w14:paraId="1C3D9A59">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检查员管理系统升级-企业关键人员在线培训</w:t>
            </w:r>
          </w:p>
        </w:tc>
        <w:tc>
          <w:tcPr>
            <w:tcW w:w="4246" w:type="dxa"/>
            <w:shd w:val="clear" w:color="auto" w:fill="auto"/>
            <w:vAlign w:val="center"/>
          </w:tcPr>
          <w:p w14:paraId="02570361">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企业关键人员在线学习市局安排的学习课程，系统自动记录学习课时，课时达标后才可进行相关考试。</w:t>
            </w:r>
          </w:p>
        </w:tc>
      </w:tr>
      <w:tr w14:paraId="5D28CD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5040DC5C">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23</w:t>
            </w:r>
          </w:p>
        </w:tc>
        <w:tc>
          <w:tcPr>
            <w:tcW w:w="1418" w:type="dxa"/>
            <w:shd w:val="clear" w:color="auto" w:fill="auto"/>
            <w:vAlign w:val="center"/>
          </w:tcPr>
          <w:p w14:paraId="63529A20">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一员一档培训管理系统（升级）</w:t>
            </w:r>
          </w:p>
        </w:tc>
        <w:tc>
          <w:tcPr>
            <w:tcW w:w="2126" w:type="dxa"/>
            <w:shd w:val="clear" w:color="auto" w:fill="auto"/>
            <w:vAlign w:val="center"/>
          </w:tcPr>
          <w:p w14:paraId="72EF9C42">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检查员管理系统升级-日常考核</w:t>
            </w:r>
          </w:p>
        </w:tc>
        <w:tc>
          <w:tcPr>
            <w:tcW w:w="4246" w:type="dxa"/>
            <w:shd w:val="clear" w:color="auto" w:fill="auto"/>
            <w:vAlign w:val="center"/>
          </w:tcPr>
          <w:p w14:paraId="6D4A799F">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检查员的日常考核一般包括检查组长对其现场检查情况的评价，检查组长的日常考核一般包括经办人对其的评价。</w:t>
            </w:r>
          </w:p>
        </w:tc>
      </w:tr>
      <w:tr w14:paraId="5EE727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015EF5B9">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24</w:t>
            </w:r>
          </w:p>
        </w:tc>
        <w:tc>
          <w:tcPr>
            <w:tcW w:w="1418" w:type="dxa"/>
            <w:shd w:val="clear" w:color="auto" w:fill="auto"/>
            <w:vAlign w:val="center"/>
          </w:tcPr>
          <w:p w14:paraId="3305631E">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一员一档培训管理系统（升级）</w:t>
            </w:r>
          </w:p>
        </w:tc>
        <w:tc>
          <w:tcPr>
            <w:tcW w:w="2126" w:type="dxa"/>
            <w:shd w:val="clear" w:color="auto" w:fill="auto"/>
            <w:vAlign w:val="center"/>
          </w:tcPr>
          <w:p w14:paraId="70B8567B">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检查员管理系统升级-年度考核</w:t>
            </w:r>
          </w:p>
        </w:tc>
        <w:tc>
          <w:tcPr>
            <w:tcW w:w="4246" w:type="dxa"/>
            <w:shd w:val="clear" w:color="auto" w:fill="auto"/>
            <w:vAlign w:val="center"/>
          </w:tcPr>
          <w:p w14:paraId="6ADA9731">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检查员年度考核包括年度检查工作完成情况、日常考核结果等。检查员年度考核一般在当年12月前完成。根据年度完成检查等情况，形成年度考核综合评定表，由相应业务处室确定考核结果。</w:t>
            </w:r>
          </w:p>
        </w:tc>
      </w:tr>
      <w:tr w14:paraId="787206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64E792C4">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25</w:t>
            </w:r>
          </w:p>
        </w:tc>
        <w:tc>
          <w:tcPr>
            <w:tcW w:w="1418" w:type="dxa"/>
            <w:shd w:val="clear" w:color="auto" w:fill="auto"/>
            <w:vAlign w:val="center"/>
          </w:tcPr>
          <w:p w14:paraId="22F65627">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一员一档培训管理系统（升级）</w:t>
            </w:r>
          </w:p>
        </w:tc>
        <w:tc>
          <w:tcPr>
            <w:tcW w:w="2126" w:type="dxa"/>
            <w:shd w:val="clear" w:color="auto" w:fill="auto"/>
            <w:vAlign w:val="center"/>
          </w:tcPr>
          <w:p w14:paraId="5F53CDB0">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检查员管理系统升级-聘期考核</w:t>
            </w:r>
          </w:p>
        </w:tc>
        <w:tc>
          <w:tcPr>
            <w:tcW w:w="4246" w:type="dxa"/>
            <w:shd w:val="clear" w:color="auto" w:fill="auto"/>
            <w:vAlign w:val="center"/>
          </w:tcPr>
          <w:p w14:paraId="2D06C9A2">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聘期届满时，由相应业务处室对其进行书面评议。评议内容包括：检查员历年年度考核情况、检查员日常考核情况、检查员教育培训情况、检查员廉政情况。</w:t>
            </w:r>
          </w:p>
        </w:tc>
      </w:tr>
      <w:tr w14:paraId="2270BD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4970FEC6">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26</w:t>
            </w:r>
          </w:p>
        </w:tc>
        <w:tc>
          <w:tcPr>
            <w:tcW w:w="1418" w:type="dxa"/>
            <w:shd w:val="clear" w:color="auto" w:fill="auto"/>
            <w:vAlign w:val="center"/>
          </w:tcPr>
          <w:p w14:paraId="0EEABF7C">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一员一档培训管理系统（升级）</w:t>
            </w:r>
          </w:p>
        </w:tc>
        <w:tc>
          <w:tcPr>
            <w:tcW w:w="2126" w:type="dxa"/>
            <w:shd w:val="clear" w:color="auto" w:fill="auto"/>
            <w:vAlign w:val="center"/>
          </w:tcPr>
          <w:p w14:paraId="5EC0AB72">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检查员管理系统升级-考核评价体系-药审中心专职GMP检查员考核评价体系</w:t>
            </w:r>
          </w:p>
        </w:tc>
        <w:tc>
          <w:tcPr>
            <w:tcW w:w="4246" w:type="dxa"/>
            <w:shd w:val="clear" w:color="auto" w:fill="auto"/>
            <w:vAlign w:val="center"/>
          </w:tcPr>
          <w:p w14:paraId="207E257C">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建设药审中心专职GMP检查员考核评价体系。</w:t>
            </w:r>
          </w:p>
        </w:tc>
      </w:tr>
      <w:tr w14:paraId="029CEC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5A16F503">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27</w:t>
            </w:r>
          </w:p>
        </w:tc>
        <w:tc>
          <w:tcPr>
            <w:tcW w:w="1418" w:type="dxa"/>
            <w:shd w:val="clear" w:color="auto" w:fill="auto"/>
            <w:vAlign w:val="center"/>
          </w:tcPr>
          <w:p w14:paraId="3DC269BA">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一员一档培训管理系统（升级）</w:t>
            </w:r>
          </w:p>
        </w:tc>
        <w:tc>
          <w:tcPr>
            <w:tcW w:w="2126" w:type="dxa"/>
            <w:shd w:val="clear" w:color="auto" w:fill="auto"/>
            <w:vAlign w:val="center"/>
          </w:tcPr>
          <w:p w14:paraId="665EE527">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检查员管理系统升级-考核评价体系-药审中心检查员考核评价指标体系</w:t>
            </w:r>
          </w:p>
        </w:tc>
        <w:tc>
          <w:tcPr>
            <w:tcW w:w="4246" w:type="dxa"/>
            <w:shd w:val="clear" w:color="auto" w:fill="auto"/>
            <w:vAlign w:val="center"/>
          </w:tcPr>
          <w:p w14:paraId="6189E82D">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建设药审中心检查员考核评价指标体系。</w:t>
            </w:r>
          </w:p>
        </w:tc>
      </w:tr>
      <w:tr w14:paraId="2DCE9A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5928CDE6">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28</w:t>
            </w:r>
          </w:p>
        </w:tc>
        <w:tc>
          <w:tcPr>
            <w:tcW w:w="1418" w:type="dxa"/>
            <w:shd w:val="clear" w:color="auto" w:fill="auto"/>
            <w:vAlign w:val="center"/>
          </w:tcPr>
          <w:p w14:paraId="0D6FD8A3">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一员一档培训管理系统（升级）</w:t>
            </w:r>
          </w:p>
        </w:tc>
        <w:tc>
          <w:tcPr>
            <w:tcW w:w="2126" w:type="dxa"/>
            <w:shd w:val="clear" w:color="auto" w:fill="auto"/>
            <w:vAlign w:val="center"/>
          </w:tcPr>
          <w:p w14:paraId="16D694CC">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检查员管理系统升级-考核评价体系-本市职业化专业化药品检查员考核评价指标体系</w:t>
            </w:r>
          </w:p>
        </w:tc>
        <w:tc>
          <w:tcPr>
            <w:tcW w:w="4246" w:type="dxa"/>
            <w:shd w:val="clear" w:color="auto" w:fill="auto"/>
            <w:vAlign w:val="center"/>
          </w:tcPr>
          <w:p w14:paraId="411716B3">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建设本市职业化专业化药品检查员考核评价指标体系。</w:t>
            </w:r>
          </w:p>
        </w:tc>
      </w:tr>
      <w:tr w14:paraId="64FA32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6A0B3483">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29</w:t>
            </w:r>
          </w:p>
        </w:tc>
        <w:tc>
          <w:tcPr>
            <w:tcW w:w="1418" w:type="dxa"/>
            <w:shd w:val="clear" w:color="auto" w:fill="auto"/>
            <w:vAlign w:val="center"/>
          </w:tcPr>
          <w:p w14:paraId="4AEA6F03">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一员一档培训管理系统（升级）</w:t>
            </w:r>
          </w:p>
        </w:tc>
        <w:tc>
          <w:tcPr>
            <w:tcW w:w="2126" w:type="dxa"/>
            <w:shd w:val="clear" w:color="auto" w:fill="auto"/>
            <w:vAlign w:val="center"/>
          </w:tcPr>
          <w:p w14:paraId="1EB1B5BC">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检查员管理系统升级-考核评价体系-高级专职药品检查员年度考核评价体系</w:t>
            </w:r>
          </w:p>
        </w:tc>
        <w:tc>
          <w:tcPr>
            <w:tcW w:w="4246" w:type="dxa"/>
            <w:shd w:val="clear" w:color="auto" w:fill="auto"/>
            <w:vAlign w:val="center"/>
          </w:tcPr>
          <w:p w14:paraId="2295B980">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建设高级专职药品检查员年度考核评价体系</w:t>
            </w:r>
          </w:p>
        </w:tc>
      </w:tr>
      <w:tr w14:paraId="733E02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6D807640">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30</w:t>
            </w:r>
          </w:p>
        </w:tc>
        <w:tc>
          <w:tcPr>
            <w:tcW w:w="1418" w:type="dxa"/>
            <w:shd w:val="clear" w:color="auto" w:fill="auto"/>
            <w:vAlign w:val="center"/>
          </w:tcPr>
          <w:p w14:paraId="74457261">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一员一档培训管理系统（升级）</w:t>
            </w:r>
          </w:p>
        </w:tc>
        <w:tc>
          <w:tcPr>
            <w:tcW w:w="2126" w:type="dxa"/>
            <w:shd w:val="clear" w:color="auto" w:fill="auto"/>
            <w:vAlign w:val="center"/>
          </w:tcPr>
          <w:p w14:paraId="2741DA44">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检查员管理系统升级-考核评价体系-中级专职药品检查员年度考核评价</w:t>
            </w:r>
          </w:p>
        </w:tc>
        <w:tc>
          <w:tcPr>
            <w:tcW w:w="4246" w:type="dxa"/>
            <w:shd w:val="clear" w:color="auto" w:fill="auto"/>
            <w:vAlign w:val="center"/>
          </w:tcPr>
          <w:p w14:paraId="245F3341">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建设中级专职药品检查员年度考核评价体系</w:t>
            </w:r>
          </w:p>
        </w:tc>
      </w:tr>
      <w:tr w14:paraId="37C71E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2CE76A92">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31</w:t>
            </w:r>
          </w:p>
        </w:tc>
        <w:tc>
          <w:tcPr>
            <w:tcW w:w="1418" w:type="dxa"/>
            <w:shd w:val="clear" w:color="auto" w:fill="auto"/>
            <w:vAlign w:val="center"/>
          </w:tcPr>
          <w:p w14:paraId="44F0293F">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一员一档培训管理系统（升级）</w:t>
            </w:r>
          </w:p>
        </w:tc>
        <w:tc>
          <w:tcPr>
            <w:tcW w:w="2126" w:type="dxa"/>
            <w:shd w:val="clear" w:color="auto" w:fill="auto"/>
            <w:vAlign w:val="center"/>
          </w:tcPr>
          <w:p w14:paraId="4C6B374B">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检查员管理系统升级-考核评价体系-初级专职药品检查员年度考核评价</w:t>
            </w:r>
          </w:p>
        </w:tc>
        <w:tc>
          <w:tcPr>
            <w:tcW w:w="4246" w:type="dxa"/>
            <w:shd w:val="clear" w:color="auto" w:fill="auto"/>
            <w:vAlign w:val="center"/>
          </w:tcPr>
          <w:p w14:paraId="4835172E">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建设初级专职药品检查员年度考核评价体系</w:t>
            </w:r>
          </w:p>
        </w:tc>
      </w:tr>
      <w:tr w14:paraId="76A4B6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6CF81EB6">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32</w:t>
            </w:r>
          </w:p>
        </w:tc>
        <w:tc>
          <w:tcPr>
            <w:tcW w:w="1418" w:type="dxa"/>
            <w:shd w:val="clear" w:color="auto" w:fill="auto"/>
            <w:vAlign w:val="center"/>
          </w:tcPr>
          <w:p w14:paraId="05BF13D2">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药品智慧监管知识库（新建）</w:t>
            </w:r>
          </w:p>
        </w:tc>
        <w:tc>
          <w:tcPr>
            <w:tcW w:w="2126" w:type="dxa"/>
            <w:shd w:val="clear" w:color="auto" w:fill="auto"/>
            <w:vAlign w:val="center"/>
          </w:tcPr>
          <w:p w14:paraId="0E6821C1">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公开数据采集-数据采集</w:t>
            </w:r>
          </w:p>
        </w:tc>
        <w:tc>
          <w:tcPr>
            <w:tcW w:w="4246" w:type="dxa"/>
            <w:shd w:val="clear" w:color="auto" w:fill="auto"/>
            <w:vAlign w:val="center"/>
          </w:tcPr>
          <w:p w14:paraId="4BE3A102">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采集终端多线程获取采集任务，根据任务信息反射到执行任务的类，进行采集任务。采集任务分为两种，即列表采集任务和详情采集任务。其中，列表采集任务指当该任务需要解密处理时，调用对应的解密函数获取页面信息，根据页面内容判断使用哪种匹配方式。</w:t>
            </w:r>
          </w:p>
        </w:tc>
      </w:tr>
      <w:tr w14:paraId="10834C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280961FC">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33</w:t>
            </w:r>
          </w:p>
        </w:tc>
        <w:tc>
          <w:tcPr>
            <w:tcW w:w="1418" w:type="dxa"/>
            <w:shd w:val="clear" w:color="auto" w:fill="auto"/>
            <w:vAlign w:val="center"/>
          </w:tcPr>
          <w:p w14:paraId="0B00BE84">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药品智慧监管知识库（新建）</w:t>
            </w:r>
          </w:p>
        </w:tc>
        <w:tc>
          <w:tcPr>
            <w:tcW w:w="2126" w:type="dxa"/>
            <w:shd w:val="clear" w:color="auto" w:fill="auto"/>
            <w:vAlign w:val="center"/>
          </w:tcPr>
          <w:p w14:paraId="369989BF">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公开数据采集-数据管理</w:t>
            </w:r>
          </w:p>
        </w:tc>
        <w:tc>
          <w:tcPr>
            <w:tcW w:w="4246" w:type="dxa"/>
            <w:shd w:val="clear" w:color="auto" w:fill="auto"/>
            <w:vAlign w:val="center"/>
          </w:tcPr>
          <w:p w14:paraId="3B463C47">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数据管理功能是数据采集平台的总后台，平台负责查看各个数据源入库数据的基本情况、所有采集终端的基本情况，进行各个采集任务的控制调整。</w:t>
            </w:r>
          </w:p>
        </w:tc>
      </w:tr>
      <w:tr w14:paraId="1444B7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180B7942">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34</w:t>
            </w:r>
          </w:p>
        </w:tc>
        <w:tc>
          <w:tcPr>
            <w:tcW w:w="1418" w:type="dxa"/>
            <w:shd w:val="clear" w:color="auto" w:fill="auto"/>
            <w:vAlign w:val="center"/>
          </w:tcPr>
          <w:p w14:paraId="0B379D77">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药品智慧监管知识库（新建）</w:t>
            </w:r>
          </w:p>
        </w:tc>
        <w:tc>
          <w:tcPr>
            <w:tcW w:w="2126" w:type="dxa"/>
            <w:shd w:val="clear" w:color="auto" w:fill="auto"/>
            <w:vAlign w:val="center"/>
          </w:tcPr>
          <w:p w14:paraId="6FA09274">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公开数据采集-数据转移</w:t>
            </w:r>
          </w:p>
        </w:tc>
        <w:tc>
          <w:tcPr>
            <w:tcW w:w="4246" w:type="dxa"/>
            <w:shd w:val="clear" w:color="auto" w:fill="auto"/>
            <w:vAlign w:val="center"/>
          </w:tcPr>
          <w:p w14:paraId="7E1F5D21">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数据转移功能支持将采集到的数据根据需要传输写入到药械化监管知识库。</w:t>
            </w:r>
          </w:p>
        </w:tc>
      </w:tr>
      <w:tr w14:paraId="5BD094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2B4F9E3D">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35</w:t>
            </w:r>
          </w:p>
        </w:tc>
        <w:tc>
          <w:tcPr>
            <w:tcW w:w="1418" w:type="dxa"/>
            <w:shd w:val="clear" w:color="auto" w:fill="auto"/>
            <w:vAlign w:val="center"/>
          </w:tcPr>
          <w:p w14:paraId="28766008">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药品智慧监管知识库（新建）</w:t>
            </w:r>
          </w:p>
        </w:tc>
        <w:tc>
          <w:tcPr>
            <w:tcW w:w="2126" w:type="dxa"/>
            <w:shd w:val="clear" w:color="auto" w:fill="auto"/>
            <w:vAlign w:val="center"/>
          </w:tcPr>
          <w:p w14:paraId="604ECC86">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内部文书获取-内部文书采集</w:t>
            </w:r>
          </w:p>
        </w:tc>
        <w:tc>
          <w:tcPr>
            <w:tcW w:w="4246" w:type="dxa"/>
            <w:shd w:val="clear" w:color="auto" w:fill="auto"/>
            <w:vAlign w:val="center"/>
          </w:tcPr>
          <w:p w14:paraId="4A0924AB">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药械化监管知识库中关于行政处罚决定书、行政复议决定书、上海市药械化监管系统课题研究、调查研究、出访、简报、工作总结等其他内部文件，需通过内部文书获取功能进行数据对接入库。</w:t>
            </w:r>
          </w:p>
        </w:tc>
      </w:tr>
      <w:tr w14:paraId="6BEA7F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6BEB5C24">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36</w:t>
            </w:r>
          </w:p>
        </w:tc>
        <w:tc>
          <w:tcPr>
            <w:tcW w:w="1418" w:type="dxa"/>
            <w:shd w:val="clear" w:color="auto" w:fill="auto"/>
            <w:vAlign w:val="center"/>
          </w:tcPr>
          <w:p w14:paraId="3F3AAEF7">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药品智慧监管知识库（新建）</w:t>
            </w:r>
          </w:p>
        </w:tc>
        <w:tc>
          <w:tcPr>
            <w:tcW w:w="2126" w:type="dxa"/>
            <w:shd w:val="clear" w:color="auto" w:fill="auto"/>
            <w:vAlign w:val="center"/>
          </w:tcPr>
          <w:p w14:paraId="49570422">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文本解析-调用识别引擎</w:t>
            </w:r>
          </w:p>
        </w:tc>
        <w:tc>
          <w:tcPr>
            <w:tcW w:w="4246" w:type="dxa"/>
            <w:shd w:val="clear" w:color="auto" w:fill="auto"/>
            <w:vAlign w:val="center"/>
          </w:tcPr>
          <w:p w14:paraId="2A46745B">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文本解析功能支持单独或灵活组合卷宗识别、图像识别、实体识别能力，支持根据不同文书类型、案由等具体分类进行调用，根据药械化监管知识库使用需求，将识别的结果做标准化、体系化处理。</w:t>
            </w:r>
          </w:p>
        </w:tc>
      </w:tr>
      <w:tr w14:paraId="081A50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1E1823AF">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37</w:t>
            </w:r>
          </w:p>
        </w:tc>
        <w:tc>
          <w:tcPr>
            <w:tcW w:w="1418" w:type="dxa"/>
            <w:shd w:val="clear" w:color="auto" w:fill="auto"/>
            <w:vAlign w:val="center"/>
          </w:tcPr>
          <w:p w14:paraId="1F1DB908">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药品智慧监管知识库（新建）</w:t>
            </w:r>
          </w:p>
        </w:tc>
        <w:tc>
          <w:tcPr>
            <w:tcW w:w="2126" w:type="dxa"/>
            <w:shd w:val="clear" w:color="auto" w:fill="auto"/>
            <w:vAlign w:val="center"/>
          </w:tcPr>
          <w:p w14:paraId="5250342F">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文本解析-标签分类体系</w:t>
            </w:r>
          </w:p>
        </w:tc>
        <w:tc>
          <w:tcPr>
            <w:tcW w:w="4246" w:type="dxa"/>
            <w:shd w:val="clear" w:color="auto" w:fill="auto"/>
            <w:vAlign w:val="center"/>
          </w:tcPr>
          <w:p w14:paraId="69EEC577">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基于通过文本解析功能识别出来的命名实体和语义理解等要素，支持对其按照标签体系进行分类，通过数据建模、关联分析、知识图谱等技术方式，将所有提取的要素构建成知识库标签体系，并可持续根据使用场景的扩展和专项知识库的构建需求拓展标签体系分类。</w:t>
            </w:r>
          </w:p>
        </w:tc>
      </w:tr>
      <w:tr w14:paraId="1FC9F3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749407A1">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38</w:t>
            </w:r>
          </w:p>
        </w:tc>
        <w:tc>
          <w:tcPr>
            <w:tcW w:w="1418" w:type="dxa"/>
            <w:shd w:val="clear" w:color="auto" w:fill="auto"/>
            <w:vAlign w:val="center"/>
          </w:tcPr>
          <w:p w14:paraId="6DF58ED7">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药品智慧监管知识库（新建）</w:t>
            </w:r>
          </w:p>
        </w:tc>
        <w:tc>
          <w:tcPr>
            <w:tcW w:w="2126" w:type="dxa"/>
            <w:shd w:val="clear" w:color="auto" w:fill="auto"/>
            <w:vAlign w:val="center"/>
          </w:tcPr>
          <w:p w14:paraId="0075C8EB">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文本解析-识别结果整合比对</w:t>
            </w:r>
          </w:p>
        </w:tc>
        <w:tc>
          <w:tcPr>
            <w:tcW w:w="4246" w:type="dxa"/>
            <w:shd w:val="clear" w:color="auto" w:fill="auto"/>
            <w:vAlign w:val="center"/>
          </w:tcPr>
          <w:p w14:paraId="41A987C2">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在药械化监管知识库实际使用过程中，会调用多款不同的卷宗识别、图像识别、实体识别能力引擎，需要对多引擎识别的结果进行比对分析和整合，通过分析覆盖值域及置信度等字段属性，提供字段结果分析的汇总，并可输出置信度结果定期反馈。</w:t>
            </w:r>
          </w:p>
        </w:tc>
      </w:tr>
      <w:tr w14:paraId="619150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2194E1E7">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39</w:t>
            </w:r>
          </w:p>
        </w:tc>
        <w:tc>
          <w:tcPr>
            <w:tcW w:w="1418" w:type="dxa"/>
            <w:shd w:val="clear" w:color="auto" w:fill="auto"/>
            <w:vAlign w:val="center"/>
          </w:tcPr>
          <w:p w14:paraId="67AB100A">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药品智慧监管知识库（新建）</w:t>
            </w:r>
          </w:p>
        </w:tc>
        <w:tc>
          <w:tcPr>
            <w:tcW w:w="2126" w:type="dxa"/>
            <w:shd w:val="clear" w:color="auto" w:fill="auto"/>
            <w:vAlign w:val="center"/>
          </w:tcPr>
          <w:p w14:paraId="28934785">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文本解析-质效分析</w:t>
            </w:r>
          </w:p>
        </w:tc>
        <w:tc>
          <w:tcPr>
            <w:tcW w:w="4246" w:type="dxa"/>
            <w:shd w:val="clear" w:color="auto" w:fill="auto"/>
            <w:vAlign w:val="center"/>
          </w:tcPr>
          <w:p w14:paraId="352B84C5">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支持建立质效分析体系，提供知识库使用情况查询功能，实现相关业务数据的汇集需求。应用指标用于知识库使用情况统计，具体统计项包括两个方面：应用调用次数和准确率。</w:t>
            </w:r>
          </w:p>
        </w:tc>
      </w:tr>
      <w:tr w14:paraId="48DCC9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1EB83446">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40</w:t>
            </w:r>
          </w:p>
        </w:tc>
        <w:tc>
          <w:tcPr>
            <w:tcW w:w="1418" w:type="dxa"/>
            <w:shd w:val="clear" w:color="auto" w:fill="auto"/>
            <w:vAlign w:val="center"/>
          </w:tcPr>
          <w:p w14:paraId="1BBA3474">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药品智慧监管知识库（新建）</w:t>
            </w:r>
          </w:p>
        </w:tc>
        <w:tc>
          <w:tcPr>
            <w:tcW w:w="2126" w:type="dxa"/>
            <w:shd w:val="clear" w:color="auto" w:fill="auto"/>
            <w:vAlign w:val="center"/>
          </w:tcPr>
          <w:p w14:paraId="517B0382">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案例研判-案例综合检索</w:t>
            </w:r>
          </w:p>
        </w:tc>
        <w:tc>
          <w:tcPr>
            <w:tcW w:w="4246" w:type="dxa"/>
            <w:shd w:val="clear" w:color="auto" w:fill="auto"/>
            <w:vAlign w:val="center"/>
          </w:tcPr>
          <w:p w14:paraId="774262FF">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将公开行政判决书、裁定书及行政处罚决定书、行政复议决定书进行汇总，支持多元的检索方式，满足监管人员在不同场景下灵活选用相应的检索方式进行案例检索，在机器语义理解能力的帮助下，解决传统检索场景下通过关键词检索无法得到希望获取的知识的问题。</w:t>
            </w:r>
          </w:p>
        </w:tc>
      </w:tr>
      <w:tr w14:paraId="53C46A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592AE686">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41</w:t>
            </w:r>
          </w:p>
        </w:tc>
        <w:tc>
          <w:tcPr>
            <w:tcW w:w="1418" w:type="dxa"/>
            <w:shd w:val="clear" w:color="auto" w:fill="auto"/>
            <w:vAlign w:val="center"/>
          </w:tcPr>
          <w:p w14:paraId="5DDA9744">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药品智慧监管知识库（新建）</w:t>
            </w:r>
          </w:p>
        </w:tc>
        <w:tc>
          <w:tcPr>
            <w:tcW w:w="2126" w:type="dxa"/>
            <w:shd w:val="clear" w:color="auto" w:fill="auto"/>
            <w:vAlign w:val="center"/>
          </w:tcPr>
          <w:p w14:paraId="25E9FDD2">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案例研判-要素检索</w:t>
            </w:r>
          </w:p>
        </w:tc>
        <w:tc>
          <w:tcPr>
            <w:tcW w:w="4246" w:type="dxa"/>
            <w:shd w:val="clear" w:color="auto" w:fill="auto"/>
            <w:vAlign w:val="center"/>
          </w:tcPr>
          <w:p w14:paraId="1CBB2D45">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支持基于要素进行语义理解式检索，即在传统的“关键字”、“案由”基础上进行升级，基于知识图谱与法律认知能力的“要素”以及“引导项”智能提示，实现从简单的关键词匹配升级到出现相同情节、概念的法规、案例推荐。</w:t>
            </w:r>
          </w:p>
        </w:tc>
      </w:tr>
      <w:tr w14:paraId="2C4CC1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3139D103">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42</w:t>
            </w:r>
          </w:p>
        </w:tc>
        <w:tc>
          <w:tcPr>
            <w:tcW w:w="1418" w:type="dxa"/>
            <w:shd w:val="clear" w:color="auto" w:fill="auto"/>
            <w:vAlign w:val="center"/>
          </w:tcPr>
          <w:p w14:paraId="121435BC">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药品智慧监管知识库（新建）</w:t>
            </w:r>
          </w:p>
        </w:tc>
        <w:tc>
          <w:tcPr>
            <w:tcW w:w="2126" w:type="dxa"/>
            <w:shd w:val="clear" w:color="auto" w:fill="auto"/>
            <w:vAlign w:val="center"/>
          </w:tcPr>
          <w:p w14:paraId="2C5E3860">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案例研判-热词排行</w:t>
            </w:r>
          </w:p>
        </w:tc>
        <w:tc>
          <w:tcPr>
            <w:tcW w:w="4246" w:type="dxa"/>
            <w:shd w:val="clear" w:color="auto" w:fill="auto"/>
            <w:vAlign w:val="center"/>
          </w:tcPr>
          <w:p w14:paraId="35A594DD">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后台通过大数据实时统计用户搜索频次，最终形成热点词云集合，可查看热词排行，点击热词可直接跳转检索结果页。</w:t>
            </w:r>
          </w:p>
        </w:tc>
      </w:tr>
      <w:tr w14:paraId="7F129E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17B73F57">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43</w:t>
            </w:r>
          </w:p>
        </w:tc>
        <w:tc>
          <w:tcPr>
            <w:tcW w:w="1418" w:type="dxa"/>
            <w:shd w:val="clear" w:color="auto" w:fill="auto"/>
            <w:vAlign w:val="center"/>
          </w:tcPr>
          <w:p w14:paraId="6C05BB94">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药品智慧监管知识库（新建）</w:t>
            </w:r>
          </w:p>
        </w:tc>
        <w:tc>
          <w:tcPr>
            <w:tcW w:w="2126" w:type="dxa"/>
            <w:shd w:val="clear" w:color="auto" w:fill="auto"/>
            <w:vAlign w:val="center"/>
          </w:tcPr>
          <w:p w14:paraId="32FA07D7">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案例研判-长文检索</w:t>
            </w:r>
          </w:p>
        </w:tc>
        <w:tc>
          <w:tcPr>
            <w:tcW w:w="4246" w:type="dxa"/>
            <w:shd w:val="clear" w:color="auto" w:fill="auto"/>
            <w:vAlign w:val="center"/>
          </w:tcPr>
          <w:p w14:paraId="3D0B8C50">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编写大段长文本或上传文档，系统将自动对输入的文本内容或上传的文档内容进行“案由”、 “要素”、“案情特征词”等的提取，并根据识别到的内容自动发起类案检索。</w:t>
            </w:r>
          </w:p>
        </w:tc>
      </w:tr>
      <w:tr w14:paraId="3A8769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084F9D28">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44</w:t>
            </w:r>
          </w:p>
        </w:tc>
        <w:tc>
          <w:tcPr>
            <w:tcW w:w="1418" w:type="dxa"/>
            <w:shd w:val="clear" w:color="auto" w:fill="auto"/>
            <w:vAlign w:val="center"/>
          </w:tcPr>
          <w:p w14:paraId="714CCF63">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药品智慧监管知识库（新建）</w:t>
            </w:r>
          </w:p>
        </w:tc>
        <w:tc>
          <w:tcPr>
            <w:tcW w:w="2126" w:type="dxa"/>
            <w:shd w:val="clear" w:color="auto" w:fill="auto"/>
            <w:vAlign w:val="center"/>
          </w:tcPr>
          <w:p w14:paraId="2ABCEA39">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案例研判-结果二次筛选</w:t>
            </w:r>
          </w:p>
        </w:tc>
        <w:tc>
          <w:tcPr>
            <w:tcW w:w="4246" w:type="dxa"/>
            <w:shd w:val="clear" w:color="auto" w:fill="auto"/>
            <w:vAlign w:val="center"/>
          </w:tcPr>
          <w:p w14:paraId="2C725DDB">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案例、文书的检索结果列表页面中，检索字段将被高亮显示在每个案例、文书摘要中。列表页按照相关性、裁判日期/处罚决定日期进行排序，用户可自行切换查看。</w:t>
            </w:r>
          </w:p>
        </w:tc>
      </w:tr>
      <w:tr w14:paraId="07A5BA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77E8717A">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45</w:t>
            </w:r>
          </w:p>
        </w:tc>
        <w:tc>
          <w:tcPr>
            <w:tcW w:w="1418" w:type="dxa"/>
            <w:shd w:val="clear" w:color="auto" w:fill="auto"/>
            <w:vAlign w:val="center"/>
          </w:tcPr>
          <w:p w14:paraId="2B5644D1">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药品智慧监管知识库（新建）</w:t>
            </w:r>
          </w:p>
        </w:tc>
        <w:tc>
          <w:tcPr>
            <w:tcW w:w="2126" w:type="dxa"/>
            <w:shd w:val="clear" w:color="auto" w:fill="auto"/>
            <w:vAlign w:val="center"/>
          </w:tcPr>
          <w:p w14:paraId="279AC431">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案例研判-全案视角展示</w:t>
            </w:r>
          </w:p>
        </w:tc>
        <w:tc>
          <w:tcPr>
            <w:tcW w:w="4246" w:type="dxa"/>
            <w:shd w:val="clear" w:color="auto" w:fill="auto"/>
            <w:vAlign w:val="center"/>
          </w:tcPr>
          <w:p w14:paraId="77656377">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案件文书的显示采用特有的全案视角，支持一体化显示案件的前审后续及关联文书，实现案情全面掌握。</w:t>
            </w:r>
          </w:p>
        </w:tc>
      </w:tr>
      <w:tr w14:paraId="4ACD28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7BDD6FE2">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46</w:t>
            </w:r>
          </w:p>
        </w:tc>
        <w:tc>
          <w:tcPr>
            <w:tcW w:w="1418" w:type="dxa"/>
            <w:shd w:val="clear" w:color="auto" w:fill="auto"/>
            <w:vAlign w:val="center"/>
          </w:tcPr>
          <w:p w14:paraId="791A21CA">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药品智慧监管知识库（新建）</w:t>
            </w:r>
          </w:p>
        </w:tc>
        <w:tc>
          <w:tcPr>
            <w:tcW w:w="2126" w:type="dxa"/>
            <w:shd w:val="clear" w:color="auto" w:fill="auto"/>
            <w:vAlign w:val="center"/>
          </w:tcPr>
          <w:p w14:paraId="7A8F49C6">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案例研判-引用法条分析</w:t>
            </w:r>
          </w:p>
        </w:tc>
        <w:tc>
          <w:tcPr>
            <w:tcW w:w="4246" w:type="dxa"/>
            <w:shd w:val="clear" w:color="auto" w:fill="auto"/>
            <w:vAlign w:val="center"/>
          </w:tcPr>
          <w:p w14:paraId="660E39D2">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引用法条分析，为列表中所有案例里所引用法条进行聚合分析，按照法条被引用的次数排列，可查看所引用全部法条及法条内容，并可针对法条发起新检索及结果中再检索。</w:t>
            </w:r>
          </w:p>
        </w:tc>
      </w:tr>
      <w:tr w14:paraId="5798C9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3B8815C2">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47</w:t>
            </w:r>
          </w:p>
        </w:tc>
        <w:tc>
          <w:tcPr>
            <w:tcW w:w="1418" w:type="dxa"/>
            <w:shd w:val="clear" w:color="auto" w:fill="auto"/>
            <w:vAlign w:val="center"/>
          </w:tcPr>
          <w:p w14:paraId="6EB782AC">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药品智慧监管知识库（新建）</w:t>
            </w:r>
          </w:p>
        </w:tc>
        <w:tc>
          <w:tcPr>
            <w:tcW w:w="2126" w:type="dxa"/>
            <w:shd w:val="clear" w:color="auto" w:fill="auto"/>
            <w:vAlign w:val="center"/>
          </w:tcPr>
          <w:p w14:paraId="111D0077">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案例研判-关联历史文书</w:t>
            </w:r>
          </w:p>
        </w:tc>
        <w:tc>
          <w:tcPr>
            <w:tcW w:w="4246" w:type="dxa"/>
            <w:shd w:val="clear" w:color="auto" w:fill="auto"/>
            <w:vAlign w:val="center"/>
          </w:tcPr>
          <w:p w14:paraId="20A79200">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案例详情页采取全案展示视角，若该案例/文书存在前审后续等相关文书，则会正在历审文书中进行展示，可按需查看。此外，详情页同时展示“相关案例”，可快速扩展阅读与当前文书同单位或上级单位的相关案件、文书。</w:t>
            </w:r>
          </w:p>
        </w:tc>
      </w:tr>
      <w:tr w14:paraId="5B588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1B72CE6F">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48</w:t>
            </w:r>
          </w:p>
        </w:tc>
        <w:tc>
          <w:tcPr>
            <w:tcW w:w="1418" w:type="dxa"/>
            <w:shd w:val="clear" w:color="auto" w:fill="auto"/>
            <w:vAlign w:val="center"/>
          </w:tcPr>
          <w:p w14:paraId="1E662848">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药品智慧监管知识库（新建）</w:t>
            </w:r>
          </w:p>
        </w:tc>
        <w:tc>
          <w:tcPr>
            <w:tcW w:w="2126" w:type="dxa"/>
            <w:shd w:val="clear" w:color="auto" w:fill="auto"/>
            <w:vAlign w:val="center"/>
          </w:tcPr>
          <w:p w14:paraId="50240F39">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案例研判-关联引用法条</w:t>
            </w:r>
          </w:p>
        </w:tc>
        <w:tc>
          <w:tcPr>
            <w:tcW w:w="4246" w:type="dxa"/>
            <w:shd w:val="clear" w:color="auto" w:fill="auto"/>
            <w:vAlign w:val="center"/>
          </w:tcPr>
          <w:p w14:paraId="1268D8F9">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以个案为视角，实现案例与法条的深度关联，可查看该案例所引用的全部法条，并支持点击查看法条详情。</w:t>
            </w:r>
          </w:p>
        </w:tc>
      </w:tr>
      <w:tr w14:paraId="43BE81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6DF601B7">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49</w:t>
            </w:r>
          </w:p>
        </w:tc>
        <w:tc>
          <w:tcPr>
            <w:tcW w:w="1418" w:type="dxa"/>
            <w:shd w:val="clear" w:color="auto" w:fill="auto"/>
            <w:vAlign w:val="center"/>
          </w:tcPr>
          <w:p w14:paraId="11ACC531">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药品智慧监管知识库（新建）</w:t>
            </w:r>
          </w:p>
        </w:tc>
        <w:tc>
          <w:tcPr>
            <w:tcW w:w="2126" w:type="dxa"/>
            <w:shd w:val="clear" w:color="auto" w:fill="auto"/>
            <w:vAlign w:val="center"/>
          </w:tcPr>
          <w:p w14:paraId="2C159815">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案例研判-时间线分析</w:t>
            </w:r>
          </w:p>
        </w:tc>
        <w:tc>
          <w:tcPr>
            <w:tcW w:w="4246" w:type="dxa"/>
            <w:shd w:val="clear" w:color="auto" w:fill="auto"/>
            <w:vAlign w:val="center"/>
          </w:tcPr>
          <w:p w14:paraId="537828B5">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在事实段落，提供时间线查看功能，从时间线的维度提取案情关键信息并进行展示，有助于快速了解案情，并支持导出。</w:t>
            </w:r>
          </w:p>
        </w:tc>
      </w:tr>
      <w:tr w14:paraId="28487E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7E8435A1">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50</w:t>
            </w:r>
          </w:p>
        </w:tc>
        <w:tc>
          <w:tcPr>
            <w:tcW w:w="1418" w:type="dxa"/>
            <w:shd w:val="clear" w:color="auto" w:fill="auto"/>
            <w:vAlign w:val="center"/>
          </w:tcPr>
          <w:p w14:paraId="310A5900">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药品智慧监管知识库（新建）</w:t>
            </w:r>
          </w:p>
        </w:tc>
        <w:tc>
          <w:tcPr>
            <w:tcW w:w="2126" w:type="dxa"/>
            <w:shd w:val="clear" w:color="auto" w:fill="auto"/>
            <w:vAlign w:val="center"/>
          </w:tcPr>
          <w:p w14:paraId="7505240C">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案例研判-案例对比</w:t>
            </w:r>
          </w:p>
        </w:tc>
        <w:tc>
          <w:tcPr>
            <w:tcW w:w="4246" w:type="dxa"/>
            <w:shd w:val="clear" w:color="auto" w:fill="auto"/>
            <w:vAlign w:val="center"/>
          </w:tcPr>
          <w:p w14:paraId="6144D266">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在案例检索场景中，支持将自己感兴趣的案件加入对比，最多可同时添加四个不同的案件进行对比分析，点击查看案例对比情况，将从证据、事实、法条、观点、结果五个维度快速发现相似案例间的差别。</w:t>
            </w:r>
          </w:p>
        </w:tc>
      </w:tr>
      <w:tr w14:paraId="417486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002CC059">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51</w:t>
            </w:r>
          </w:p>
        </w:tc>
        <w:tc>
          <w:tcPr>
            <w:tcW w:w="1418" w:type="dxa"/>
            <w:shd w:val="clear" w:color="auto" w:fill="auto"/>
            <w:vAlign w:val="center"/>
          </w:tcPr>
          <w:p w14:paraId="4FDBBBDF">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药品智慧监管知识库（新建）</w:t>
            </w:r>
          </w:p>
        </w:tc>
        <w:tc>
          <w:tcPr>
            <w:tcW w:w="2126" w:type="dxa"/>
            <w:shd w:val="clear" w:color="auto" w:fill="auto"/>
            <w:vAlign w:val="center"/>
          </w:tcPr>
          <w:p w14:paraId="3BC333ED">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法律法规检索-法律法规综合检索</w:t>
            </w:r>
          </w:p>
        </w:tc>
        <w:tc>
          <w:tcPr>
            <w:tcW w:w="4246" w:type="dxa"/>
            <w:shd w:val="clear" w:color="auto" w:fill="auto"/>
            <w:vAlign w:val="center"/>
          </w:tcPr>
          <w:p w14:paraId="4AABF220">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为满足精细化的检索需求，高级检索可以通过发布部门、效力级别、发文字号、发文日期、实施日期、时效性等进行精细检索，将各个字段项进行组合，实现精准定位能力。</w:t>
            </w:r>
          </w:p>
        </w:tc>
      </w:tr>
      <w:tr w14:paraId="6F937E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2E494A12">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52</w:t>
            </w:r>
          </w:p>
        </w:tc>
        <w:tc>
          <w:tcPr>
            <w:tcW w:w="1418" w:type="dxa"/>
            <w:shd w:val="clear" w:color="auto" w:fill="auto"/>
            <w:vAlign w:val="center"/>
          </w:tcPr>
          <w:p w14:paraId="4CAB57F9">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药品智慧监管知识库（新建）</w:t>
            </w:r>
          </w:p>
        </w:tc>
        <w:tc>
          <w:tcPr>
            <w:tcW w:w="2126" w:type="dxa"/>
            <w:shd w:val="clear" w:color="auto" w:fill="auto"/>
            <w:vAlign w:val="center"/>
          </w:tcPr>
          <w:p w14:paraId="645AD794">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法律法规检索-法律法规结果二次筛选</w:t>
            </w:r>
          </w:p>
        </w:tc>
        <w:tc>
          <w:tcPr>
            <w:tcW w:w="4246" w:type="dxa"/>
            <w:shd w:val="clear" w:color="auto" w:fill="auto"/>
            <w:vAlign w:val="center"/>
          </w:tcPr>
          <w:p w14:paraId="0C0D26BB">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对当前检索条件下的所有法律法规，还可以从“效力级别、发布部门、地域、时效性、发布年度、法规类别”等多个维度进行进一步筛选检索，每选一个条件后，该条件陈列在检索条件区，与其它检索条件以“且”的关系作用于检索结果。</w:t>
            </w:r>
          </w:p>
        </w:tc>
      </w:tr>
      <w:tr w14:paraId="7535A1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0876E790">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53</w:t>
            </w:r>
          </w:p>
        </w:tc>
        <w:tc>
          <w:tcPr>
            <w:tcW w:w="1418" w:type="dxa"/>
            <w:shd w:val="clear" w:color="auto" w:fill="auto"/>
            <w:vAlign w:val="center"/>
          </w:tcPr>
          <w:p w14:paraId="549E3BC7">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药品智慧监管知识库（新建）</w:t>
            </w:r>
          </w:p>
        </w:tc>
        <w:tc>
          <w:tcPr>
            <w:tcW w:w="2126" w:type="dxa"/>
            <w:shd w:val="clear" w:color="auto" w:fill="auto"/>
            <w:vAlign w:val="center"/>
          </w:tcPr>
          <w:p w14:paraId="55683189">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法律法规检索-法律法规检索结果批量管理</w:t>
            </w:r>
          </w:p>
        </w:tc>
        <w:tc>
          <w:tcPr>
            <w:tcW w:w="4246" w:type="dxa"/>
            <w:shd w:val="clear" w:color="auto" w:fill="auto"/>
            <w:vAlign w:val="center"/>
          </w:tcPr>
          <w:p w14:paraId="1941325C">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支持法律法规的检索结果进行批量下载。支持导出word、pdf和 excel三种形式。批量导出word、pdf，将法规文件完整内容以word、 pdf形式导出，支持标注版和纯净版 2两种模式</w:t>
            </w:r>
          </w:p>
        </w:tc>
      </w:tr>
      <w:tr w14:paraId="2D752D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258FFFE5">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54</w:t>
            </w:r>
          </w:p>
        </w:tc>
        <w:tc>
          <w:tcPr>
            <w:tcW w:w="1418" w:type="dxa"/>
            <w:shd w:val="clear" w:color="auto" w:fill="auto"/>
            <w:vAlign w:val="center"/>
          </w:tcPr>
          <w:p w14:paraId="2058AEDD">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药品智慧监管知识库（新建）</w:t>
            </w:r>
          </w:p>
        </w:tc>
        <w:tc>
          <w:tcPr>
            <w:tcW w:w="2126" w:type="dxa"/>
            <w:shd w:val="clear" w:color="auto" w:fill="auto"/>
            <w:vAlign w:val="center"/>
          </w:tcPr>
          <w:p w14:paraId="05391062">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法律法规检索-法律法规变迁历史</w:t>
            </w:r>
          </w:p>
        </w:tc>
        <w:tc>
          <w:tcPr>
            <w:tcW w:w="4246" w:type="dxa"/>
            <w:shd w:val="clear" w:color="auto" w:fill="auto"/>
            <w:vAlign w:val="center"/>
          </w:tcPr>
          <w:p w14:paraId="793626A3">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法律法规等文件的详情页，支持显示该法律法规、文件的全部内容及相应变迁史，支持法规级别及法条级别变迁历史的查看。</w:t>
            </w:r>
          </w:p>
        </w:tc>
      </w:tr>
      <w:tr w14:paraId="35908B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035BC1BB">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55</w:t>
            </w:r>
          </w:p>
        </w:tc>
        <w:tc>
          <w:tcPr>
            <w:tcW w:w="1418" w:type="dxa"/>
            <w:shd w:val="clear" w:color="auto" w:fill="auto"/>
            <w:vAlign w:val="center"/>
          </w:tcPr>
          <w:p w14:paraId="7223D954">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药品智慧监管知识库（新建）</w:t>
            </w:r>
          </w:p>
        </w:tc>
        <w:tc>
          <w:tcPr>
            <w:tcW w:w="2126" w:type="dxa"/>
            <w:shd w:val="clear" w:color="auto" w:fill="auto"/>
            <w:vAlign w:val="center"/>
          </w:tcPr>
          <w:p w14:paraId="645566C5">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法律法规检索-法规图谱</w:t>
            </w:r>
          </w:p>
        </w:tc>
        <w:tc>
          <w:tcPr>
            <w:tcW w:w="4246" w:type="dxa"/>
            <w:shd w:val="clear" w:color="auto" w:fill="auto"/>
            <w:vAlign w:val="center"/>
          </w:tcPr>
          <w:p w14:paraId="3B548C20">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法规详情支持查看该法规的关联图谱，关联图谱基于药械化法律法规知识图谱的构建，药械化法律法规知识图谱作为知识库底层图谱构建的一环，对大量的药械化法律法规进行实体定义与关系构建，形成可动态更新的法律法规适用图谱，支持法律法规版本比对适用、法律法条关联推荐、法规动态变化监测等。</w:t>
            </w:r>
          </w:p>
        </w:tc>
      </w:tr>
      <w:tr w14:paraId="6639F6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0541D2B5">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56</w:t>
            </w:r>
          </w:p>
        </w:tc>
        <w:tc>
          <w:tcPr>
            <w:tcW w:w="1418" w:type="dxa"/>
            <w:shd w:val="clear" w:color="auto" w:fill="auto"/>
            <w:vAlign w:val="center"/>
          </w:tcPr>
          <w:p w14:paraId="493D11C4">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药品智慧监管知识库（新建）</w:t>
            </w:r>
          </w:p>
        </w:tc>
        <w:tc>
          <w:tcPr>
            <w:tcW w:w="2126" w:type="dxa"/>
            <w:shd w:val="clear" w:color="auto" w:fill="auto"/>
            <w:vAlign w:val="center"/>
          </w:tcPr>
          <w:p w14:paraId="46DF65E4">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法律法规检索-查看法规引用</w:t>
            </w:r>
          </w:p>
        </w:tc>
        <w:tc>
          <w:tcPr>
            <w:tcW w:w="4246" w:type="dxa"/>
            <w:shd w:val="clear" w:color="auto" w:fill="auto"/>
            <w:vAlign w:val="center"/>
          </w:tcPr>
          <w:p w14:paraId="0354C5EE">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系统在法规和法规之间、法规和法条之间进行了深度关联，在法规详情中，可查看法规/法条被其他法规或法条引用的情况。</w:t>
            </w:r>
          </w:p>
        </w:tc>
      </w:tr>
      <w:tr w14:paraId="41A5C5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58BB3169">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57</w:t>
            </w:r>
          </w:p>
        </w:tc>
        <w:tc>
          <w:tcPr>
            <w:tcW w:w="1418" w:type="dxa"/>
            <w:shd w:val="clear" w:color="auto" w:fill="auto"/>
            <w:vAlign w:val="center"/>
          </w:tcPr>
          <w:p w14:paraId="206372F2">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药品智慧监管知识库（新建）</w:t>
            </w:r>
          </w:p>
        </w:tc>
        <w:tc>
          <w:tcPr>
            <w:tcW w:w="2126" w:type="dxa"/>
            <w:shd w:val="clear" w:color="auto" w:fill="auto"/>
            <w:vAlign w:val="center"/>
          </w:tcPr>
          <w:p w14:paraId="223D73AD">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法律法规检索-查看案例引用</w:t>
            </w:r>
          </w:p>
        </w:tc>
        <w:tc>
          <w:tcPr>
            <w:tcW w:w="4246" w:type="dxa"/>
            <w:shd w:val="clear" w:color="auto" w:fill="auto"/>
            <w:vAlign w:val="center"/>
          </w:tcPr>
          <w:p w14:paraId="2A8B6B72">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系统在法规案例之间、法条和案例之间进行了深度关联，在法规详情中，可查看法规/法条被其他案例引用的情况。</w:t>
            </w:r>
          </w:p>
        </w:tc>
      </w:tr>
      <w:tr w14:paraId="5AF7D7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0F9EB408">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58</w:t>
            </w:r>
          </w:p>
        </w:tc>
        <w:tc>
          <w:tcPr>
            <w:tcW w:w="1418" w:type="dxa"/>
            <w:shd w:val="clear" w:color="auto" w:fill="auto"/>
            <w:vAlign w:val="center"/>
          </w:tcPr>
          <w:p w14:paraId="566D535F">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药品智慧监管知识库（新建）</w:t>
            </w:r>
          </w:p>
        </w:tc>
        <w:tc>
          <w:tcPr>
            <w:tcW w:w="2126" w:type="dxa"/>
            <w:shd w:val="clear" w:color="auto" w:fill="auto"/>
            <w:vAlign w:val="center"/>
          </w:tcPr>
          <w:p w14:paraId="3B2453C1">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业务规范检索-技术规范文件综合检索</w:t>
            </w:r>
          </w:p>
        </w:tc>
        <w:tc>
          <w:tcPr>
            <w:tcW w:w="4246" w:type="dxa"/>
            <w:shd w:val="clear" w:color="auto" w:fill="auto"/>
            <w:vAlign w:val="center"/>
          </w:tcPr>
          <w:p w14:paraId="7BADF0B2">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针对药械化相关技术规范文件，建立化妆品禁用成分数据库、化妆品限用成分数据库和准用防腐剂、防晒剂、着色剂、染发剂成分数据库、成分标准中文名称和INCI数据库、检验报告加测项目数据库、化妆品高风险词语和禁用词数据库等，支持以标题检索、全文检索的形式进行综合检索，匹配描述相应内容的技术规范文件。</w:t>
            </w:r>
          </w:p>
        </w:tc>
      </w:tr>
      <w:tr w14:paraId="01B3C7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71206AFC">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59</w:t>
            </w:r>
          </w:p>
        </w:tc>
        <w:tc>
          <w:tcPr>
            <w:tcW w:w="1418" w:type="dxa"/>
            <w:shd w:val="clear" w:color="auto" w:fill="auto"/>
            <w:vAlign w:val="center"/>
          </w:tcPr>
          <w:p w14:paraId="03B52682">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药品智慧监管知识库（新建）</w:t>
            </w:r>
          </w:p>
        </w:tc>
        <w:tc>
          <w:tcPr>
            <w:tcW w:w="2126" w:type="dxa"/>
            <w:shd w:val="clear" w:color="auto" w:fill="auto"/>
            <w:vAlign w:val="center"/>
          </w:tcPr>
          <w:p w14:paraId="5792FE80">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业务规范检索-关键词联想检索</w:t>
            </w:r>
          </w:p>
        </w:tc>
        <w:tc>
          <w:tcPr>
            <w:tcW w:w="4246" w:type="dxa"/>
            <w:shd w:val="clear" w:color="auto" w:fill="auto"/>
            <w:vAlign w:val="center"/>
          </w:tcPr>
          <w:p w14:paraId="3D3A53F6">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支持以“关键词”的形式发起联想检索，在检索框中输入检索词条，系统自动联想匹配与之相关的“关键词”供监管人员进行选择并快速发起检索。</w:t>
            </w:r>
          </w:p>
        </w:tc>
      </w:tr>
      <w:tr w14:paraId="5AE3A6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68FC4FFB">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60</w:t>
            </w:r>
          </w:p>
        </w:tc>
        <w:tc>
          <w:tcPr>
            <w:tcW w:w="1418" w:type="dxa"/>
            <w:shd w:val="clear" w:color="auto" w:fill="auto"/>
            <w:vAlign w:val="center"/>
          </w:tcPr>
          <w:p w14:paraId="32953A83">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药品智慧监管知识库（新建）</w:t>
            </w:r>
          </w:p>
        </w:tc>
        <w:tc>
          <w:tcPr>
            <w:tcW w:w="2126" w:type="dxa"/>
            <w:shd w:val="clear" w:color="auto" w:fill="auto"/>
            <w:vAlign w:val="center"/>
          </w:tcPr>
          <w:p w14:paraId="21F27468">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业务规范检索-业务规范文件结果二次筛选</w:t>
            </w:r>
          </w:p>
        </w:tc>
        <w:tc>
          <w:tcPr>
            <w:tcW w:w="4246" w:type="dxa"/>
            <w:shd w:val="clear" w:color="auto" w:fill="auto"/>
            <w:vAlign w:val="center"/>
          </w:tcPr>
          <w:p w14:paraId="6D6871D3">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对当前检索条件下的所有业务规范文件，还可以从“发布部门、地域、发布年度、类别”等多个维度进行进一步筛选检索，每选一个条件后，该条件陈列在检索条件区，与其它检索条件以“且”的关系作用于检索结果。</w:t>
            </w:r>
          </w:p>
        </w:tc>
      </w:tr>
      <w:tr w14:paraId="69AAD4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6A814B19">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61</w:t>
            </w:r>
          </w:p>
        </w:tc>
        <w:tc>
          <w:tcPr>
            <w:tcW w:w="1418" w:type="dxa"/>
            <w:shd w:val="clear" w:color="auto" w:fill="auto"/>
            <w:vAlign w:val="center"/>
          </w:tcPr>
          <w:p w14:paraId="7D2AEA20">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药品智慧监管知识库（新建）</w:t>
            </w:r>
          </w:p>
        </w:tc>
        <w:tc>
          <w:tcPr>
            <w:tcW w:w="2126" w:type="dxa"/>
            <w:shd w:val="clear" w:color="auto" w:fill="auto"/>
            <w:vAlign w:val="center"/>
          </w:tcPr>
          <w:p w14:paraId="7264CAFA">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业务规范检索-业务规范文件智能推送</w:t>
            </w:r>
          </w:p>
        </w:tc>
        <w:tc>
          <w:tcPr>
            <w:tcW w:w="4246" w:type="dxa"/>
            <w:shd w:val="clear" w:color="auto" w:fill="auto"/>
            <w:vAlign w:val="center"/>
          </w:tcPr>
          <w:p w14:paraId="1FCBD4AE">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对接内部业务系统及人员数据，根据当前在办业务的文书、案由、案件要素、情节等内容，以及用户的角色、职责、搜索记录等，对数据库中的案件、法律法规、规范文件等进行相似度计算，推送最为相似的若干知识，供用户查看。</w:t>
            </w:r>
          </w:p>
        </w:tc>
      </w:tr>
      <w:tr w14:paraId="54E0D3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59A442CC">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62</w:t>
            </w:r>
          </w:p>
        </w:tc>
        <w:tc>
          <w:tcPr>
            <w:tcW w:w="1418" w:type="dxa"/>
            <w:shd w:val="clear" w:color="auto" w:fill="auto"/>
            <w:vAlign w:val="center"/>
          </w:tcPr>
          <w:p w14:paraId="0DA366DA">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药品智慧监管知识库（新建）</w:t>
            </w:r>
          </w:p>
        </w:tc>
        <w:tc>
          <w:tcPr>
            <w:tcW w:w="2126" w:type="dxa"/>
            <w:shd w:val="clear" w:color="auto" w:fill="auto"/>
            <w:vAlign w:val="center"/>
          </w:tcPr>
          <w:p w14:paraId="50AD6B66">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知识管理-主题管理</w:t>
            </w:r>
          </w:p>
        </w:tc>
        <w:tc>
          <w:tcPr>
            <w:tcW w:w="4246" w:type="dxa"/>
            <w:shd w:val="clear" w:color="auto" w:fill="auto"/>
            <w:vAlign w:val="center"/>
          </w:tcPr>
          <w:p w14:paraId="27FDF65B">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检索过程中，用户可随时将案例或法律法规等文件添加到某一主题下进行收藏，后期可随时通过【主题管理】查看案例或针对案例生成检索报告。</w:t>
            </w:r>
          </w:p>
        </w:tc>
      </w:tr>
      <w:tr w14:paraId="62A8AF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50296783">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63</w:t>
            </w:r>
          </w:p>
        </w:tc>
        <w:tc>
          <w:tcPr>
            <w:tcW w:w="1418" w:type="dxa"/>
            <w:shd w:val="clear" w:color="auto" w:fill="auto"/>
            <w:vAlign w:val="center"/>
          </w:tcPr>
          <w:p w14:paraId="5F74EDD8">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药品智慧监管知识库（新建）</w:t>
            </w:r>
          </w:p>
        </w:tc>
        <w:tc>
          <w:tcPr>
            <w:tcW w:w="2126" w:type="dxa"/>
            <w:shd w:val="clear" w:color="auto" w:fill="auto"/>
            <w:vAlign w:val="center"/>
          </w:tcPr>
          <w:p w14:paraId="23D56ED5">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知识管理-我的笔记</w:t>
            </w:r>
          </w:p>
        </w:tc>
        <w:tc>
          <w:tcPr>
            <w:tcW w:w="4246" w:type="dxa"/>
            <w:shd w:val="clear" w:color="auto" w:fill="auto"/>
            <w:vAlign w:val="center"/>
          </w:tcPr>
          <w:p w14:paraId="4E09A26B">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在查看检索结果的过程中，左键选中文书、法律法规或其他文件的正文内容，将弹出针对该部分内容的做笔记功能，可自由在弹窗页面添加笔记内容。</w:t>
            </w:r>
          </w:p>
        </w:tc>
      </w:tr>
      <w:tr w14:paraId="616DC7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7C6DFA08">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64</w:t>
            </w:r>
          </w:p>
        </w:tc>
        <w:tc>
          <w:tcPr>
            <w:tcW w:w="1418" w:type="dxa"/>
            <w:shd w:val="clear" w:color="auto" w:fill="auto"/>
            <w:vAlign w:val="center"/>
          </w:tcPr>
          <w:p w14:paraId="221DF095">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药品智慧监管知识库（新建）</w:t>
            </w:r>
          </w:p>
        </w:tc>
        <w:tc>
          <w:tcPr>
            <w:tcW w:w="2126" w:type="dxa"/>
            <w:shd w:val="clear" w:color="auto" w:fill="auto"/>
            <w:vAlign w:val="center"/>
          </w:tcPr>
          <w:p w14:paraId="71A3385A">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知识管理-检索报告</w:t>
            </w:r>
          </w:p>
        </w:tc>
        <w:tc>
          <w:tcPr>
            <w:tcW w:w="4246" w:type="dxa"/>
            <w:shd w:val="clear" w:color="auto" w:fill="auto"/>
            <w:vAlign w:val="center"/>
          </w:tcPr>
          <w:p w14:paraId="1DB5C5B1">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在检索过程中，可以随时将所查看的案例、法律法规或其他文件加入到检索报告中，并支持一键生成检索报告，系统将自动按照检索报告的形式对添加的内容进行展现。</w:t>
            </w:r>
          </w:p>
        </w:tc>
      </w:tr>
      <w:tr w14:paraId="199953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4B8A8BA8">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65</w:t>
            </w:r>
          </w:p>
        </w:tc>
        <w:tc>
          <w:tcPr>
            <w:tcW w:w="1418" w:type="dxa"/>
            <w:shd w:val="clear" w:color="auto" w:fill="auto"/>
            <w:vAlign w:val="center"/>
          </w:tcPr>
          <w:p w14:paraId="1D1C7AEF">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药品智慧监管知识库（新建）</w:t>
            </w:r>
          </w:p>
        </w:tc>
        <w:tc>
          <w:tcPr>
            <w:tcW w:w="2126" w:type="dxa"/>
            <w:shd w:val="clear" w:color="auto" w:fill="auto"/>
            <w:vAlign w:val="center"/>
          </w:tcPr>
          <w:p w14:paraId="68A4E090">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密码应用安全-应用系统重要数据签名验签模块、应用系统重要数据加解密模块、服务器虚拟机设备日志/访问控制信息完整性模块、业务重要数据安全传输模块、重要可执行程序签名验签模块</w:t>
            </w:r>
          </w:p>
        </w:tc>
        <w:tc>
          <w:tcPr>
            <w:tcW w:w="4246" w:type="dxa"/>
            <w:shd w:val="clear" w:color="auto" w:fill="auto"/>
            <w:vAlign w:val="center"/>
          </w:tcPr>
          <w:p w14:paraId="1847E7EE">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调用云平台提供的签名验签服务接口，实现登录用户身份鉴别数据、业务日志、重要业务数据的存储完整性保护。</w:t>
            </w:r>
          </w:p>
        </w:tc>
      </w:tr>
      <w:tr w14:paraId="747B0F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2A1F7EE2">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66</w:t>
            </w:r>
          </w:p>
        </w:tc>
        <w:tc>
          <w:tcPr>
            <w:tcW w:w="1418" w:type="dxa"/>
            <w:shd w:val="clear" w:color="auto" w:fill="auto"/>
            <w:vAlign w:val="center"/>
          </w:tcPr>
          <w:p w14:paraId="1553801E">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药品监管数字化档案室（新建）</w:t>
            </w:r>
          </w:p>
        </w:tc>
        <w:tc>
          <w:tcPr>
            <w:tcW w:w="2126" w:type="dxa"/>
            <w:shd w:val="clear" w:color="auto" w:fill="auto"/>
            <w:vAlign w:val="center"/>
          </w:tcPr>
          <w:p w14:paraId="3F66B479">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电子档案接收-归档事项管理</w:t>
            </w:r>
          </w:p>
        </w:tc>
        <w:tc>
          <w:tcPr>
            <w:tcW w:w="4246" w:type="dxa"/>
            <w:shd w:val="clear" w:color="auto" w:fill="auto"/>
            <w:vAlign w:val="center"/>
          </w:tcPr>
          <w:p w14:paraId="62265AED">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对事项归档范围、归档材料进行配置，可配置电子材料文件类型、归集范围、保存年限、是否必要上传等信息</w:t>
            </w:r>
          </w:p>
        </w:tc>
      </w:tr>
      <w:tr w14:paraId="041F59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30027D27">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67</w:t>
            </w:r>
          </w:p>
        </w:tc>
        <w:tc>
          <w:tcPr>
            <w:tcW w:w="1418" w:type="dxa"/>
            <w:shd w:val="clear" w:color="auto" w:fill="auto"/>
            <w:vAlign w:val="center"/>
          </w:tcPr>
          <w:p w14:paraId="6A881D67">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药品监管数字化档案室（新建）</w:t>
            </w:r>
          </w:p>
        </w:tc>
        <w:tc>
          <w:tcPr>
            <w:tcW w:w="2126" w:type="dxa"/>
            <w:shd w:val="clear" w:color="auto" w:fill="auto"/>
            <w:vAlign w:val="center"/>
          </w:tcPr>
          <w:p w14:paraId="02DCE944">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电子档案接收-档案接收处理</w:t>
            </w:r>
          </w:p>
        </w:tc>
        <w:tc>
          <w:tcPr>
            <w:tcW w:w="4246" w:type="dxa"/>
            <w:shd w:val="clear" w:color="auto" w:fill="auto"/>
            <w:vAlign w:val="center"/>
          </w:tcPr>
          <w:p w14:paraId="6FED77F1">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支持上传、录入、新建电子文件内容，查询查看归集的归档原文件、数据元等。</w:t>
            </w:r>
          </w:p>
        </w:tc>
      </w:tr>
      <w:tr w14:paraId="6B3F47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41AB2C37">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68</w:t>
            </w:r>
          </w:p>
        </w:tc>
        <w:tc>
          <w:tcPr>
            <w:tcW w:w="1418" w:type="dxa"/>
            <w:shd w:val="clear" w:color="auto" w:fill="auto"/>
            <w:vAlign w:val="center"/>
          </w:tcPr>
          <w:p w14:paraId="5ECC2307">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药品监管数字化档案室（新建）</w:t>
            </w:r>
          </w:p>
        </w:tc>
        <w:tc>
          <w:tcPr>
            <w:tcW w:w="2126" w:type="dxa"/>
            <w:shd w:val="clear" w:color="auto" w:fill="auto"/>
            <w:vAlign w:val="center"/>
          </w:tcPr>
          <w:p w14:paraId="5868B6B5">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电子档案接收-档案接收检查</w:t>
            </w:r>
          </w:p>
        </w:tc>
        <w:tc>
          <w:tcPr>
            <w:tcW w:w="4246" w:type="dxa"/>
            <w:shd w:val="clear" w:color="auto" w:fill="auto"/>
            <w:vAlign w:val="center"/>
          </w:tcPr>
          <w:p w14:paraId="44361E90">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对接收的问题检查、审核、退回等功能的模块。用来保障材料质量，和真实性、完整性、可用性、安全性的“四性”保障。</w:t>
            </w:r>
          </w:p>
        </w:tc>
      </w:tr>
      <w:tr w14:paraId="55A7AE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75B4C30C">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69</w:t>
            </w:r>
          </w:p>
        </w:tc>
        <w:tc>
          <w:tcPr>
            <w:tcW w:w="1418" w:type="dxa"/>
            <w:shd w:val="clear" w:color="auto" w:fill="auto"/>
            <w:vAlign w:val="center"/>
          </w:tcPr>
          <w:p w14:paraId="32AB9494">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药品监管数字化档案室（新建）</w:t>
            </w:r>
          </w:p>
        </w:tc>
        <w:tc>
          <w:tcPr>
            <w:tcW w:w="2126" w:type="dxa"/>
            <w:shd w:val="clear" w:color="auto" w:fill="auto"/>
            <w:vAlign w:val="center"/>
          </w:tcPr>
          <w:p w14:paraId="7B6FB6EC">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电子档案接收-电子档案登记</w:t>
            </w:r>
          </w:p>
        </w:tc>
        <w:tc>
          <w:tcPr>
            <w:tcW w:w="4246" w:type="dxa"/>
            <w:shd w:val="clear" w:color="auto" w:fill="auto"/>
            <w:vAlign w:val="center"/>
          </w:tcPr>
          <w:p w14:paraId="07C96EAE">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清点、核实电子文件的保管期限、数量等信息，并确认系统形成的归档目录清单，赋予电子档案唯一标识的档案登记整理功能。</w:t>
            </w:r>
          </w:p>
        </w:tc>
      </w:tr>
      <w:tr w14:paraId="3E56CD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1CED9568">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70</w:t>
            </w:r>
          </w:p>
        </w:tc>
        <w:tc>
          <w:tcPr>
            <w:tcW w:w="1418" w:type="dxa"/>
            <w:shd w:val="clear" w:color="auto" w:fill="auto"/>
            <w:vAlign w:val="center"/>
          </w:tcPr>
          <w:p w14:paraId="6189872D">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药品监管数字化档案室（新建）</w:t>
            </w:r>
          </w:p>
        </w:tc>
        <w:tc>
          <w:tcPr>
            <w:tcW w:w="2126" w:type="dxa"/>
            <w:shd w:val="clear" w:color="auto" w:fill="auto"/>
            <w:vAlign w:val="center"/>
          </w:tcPr>
          <w:p w14:paraId="7413C5BA">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电子档案整理-电子档案组织</w:t>
            </w:r>
          </w:p>
        </w:tc>
        <w:tc>
          <w:tcPr>
            <w:tcW w:w="4246" w:type="dxa"/>
            <w:shd w:val="clear" w:color="auto" w:fill="auto"/>
            <w:vAlign w:val="center"/>
          </w:tcPr>
          <w:p w14:paraId="35955E7E">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系统按照归档信息包组织结构对整理完毕的电子文件进行数据封装，形成归档信息包。使用数字签名、时间戳等技术手段对归档信息包进行固化。</w:t>
            </w:r>
          </w:p>
        </w:tc>
      </w:tr>
      <w:tr w14:paraId="2A8908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230C38E3">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71</w:t>
            </w:r>
          </w:p>
        </w:tc>
        <w:tc>
          <w:tcPr>
            <w:tcW w:w="1418" w:type="dxa"/>
            <w:shd w:val="clear" w:color="auto" w:fill="auto"/>
            <w:vAlign w:val="center"/>
          </w:tcPr>
          <w:p w14:paraId="26EF17E3">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药品监管数字化档案室（新建）</w:t>
            </w:r>
          </w:p>
        </w:tc>
        <w:tc>
          <w:tcPr>
            <w:tcW w:w="2126" w:type="dxa"/>
            <w:shd w:val="clear" w:color="auto" w:fill="auto"/>
            <w:vAlign w:val="center"/>
          </w:tcPr>
          <w:p w14:paraId="3D741484">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电子档案整理-电子档案编目</w:t>
            </w:r>
          </w:p>
        </w:tc>
        <w:tc>
          <w:tcPr>
            <w:tcW w:w="4246" w:type="dxa"/>
            <w:shd w:val="clear" w:color="auto" w:fill="auto"/>
            <w:vAlign w:val="center"/>
          </w:tcPr>
          <w:p w14:paraId="2943D682">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对每一件归档事项相关的、属于归档范围的电子文件进行组织、排序、储存。</w:t>
            </w:r>
          </w:p>
        </w:tc>
      </w:tr>
      <w:tr w14:paraId="701A29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66237690">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72</w:t>
            </w:r>
          </w:p>
        </w:tc>
        <w:tc>
          <w:tcPr>
            <w:tcW w:w="1418" w:type="dxa"/>
            <w:shd w:val="clear" w:color="auto" w:fill="auto"/>
            <w:vAlign w:val="center"/>
          </w:tcPr>
          <w:p w14:paraId="79886733">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药品监管数字化档案室（新建）</w:t>
            </w:r>
          </w:p>
        </w:tc>
        <w:tc>
          <w:tcPr>
            <w:tcW w:w="2126" w:type="dxa"/>
            <w:shd w:val="clear" w:color="auto" w:fill="auto"/>
            <w:vAlign w:val="center"/>
          </w:tcPr>
          <w:p w14:paraId="00EBF728">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电子档案整理-格式转换</w:t>
            </w:r>
          </w:p>
        </w:tc>
        <w:tc>
          <w:tcPr>
            <w:tcW w:w="4246" w:type="dxa"/>
            <w:shd w:val="clear" w:color="auto" w:fill="auto"/>
            <w:vAlign w:val="center"/>
          </w:tcPr>
          <w:p w14:paraId="77757519">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系统支持对电子档案批量格式转换的功能，生成符合国家、行业相关标准的用于长期保存和提供利用的电子档案。</w:t>
            </w:r>
          </w:p>
        </w:tc>
      </w:tr>
      <w:tr w14:paraId="65B53D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36B4552D">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73</w:t>
            </w:r>
          </w:p>
        </w:tc>
        <w:tc>
          <w:tcPr>
            <w:tcW w:w="1418" w:type="dxa"/>
            <w:shd w:val="clear" w:color="auto" w:fill="auto"/>
            <w:vAlign w:val="center"/>
          </w:tcPr>
          <w:p w14:paraId="3F346EB2">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药品监管数字化档案室（新建）</w:t>
            </w:r>
          </w:p>
        </w:tc>
        <w:tc>
          <w:tcPr>
            <w:tcW w:w="2126" w:type="dxa"/>
            <w:shd w:val="clear" w:color="auto" w:fill="auto"/>
            <w:vAlign w:val="center"/>
          </w:tcPr>
          <w:p w14:paraId="59878A37">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电子档案整理-电子档案入库</w:t>
            </w:r>
          </w:p>
        </w:tc>
        <w:tc>
          <w:tcPr>
            <w:tcW w:w="4246" w:type="dxa"/>
            <w:shd w:val="clear" w:color="auto" w:fill="auto"/>
            <w:vAlign w:val="center"/>
          </w:tcPr>
          <w:p w14:paraId="3FCE3ADE">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档案包文件入库，已入库档案包批量移交功能。</w:t>
            </w:r>
          </w:p>
        </w:tc>
      </w:tr>
      <w:tr w14:paraId="6FBAA3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74F7C739">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74</w:t>
            </w:r>
          </w:p>
        </w:tc>
        <w:tc>
          <w:tcPr>
            <w:tcW w:w="1418" w:type="dxa"/>
            <w:shd w:val="clear" w:color="auto" w:fill="auto"/>
            <w:vAlign w:val="center"/>
          </w:tcPr>
          <w:p w14:paraId="60A2CF8A">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药品监管数字化档案室（新建）</w:t>
            </w:r>
          </w:p>
        </w:tc>
        <w:tc>
          <w:tcPr>
            <w:tcW w:w="2126" w:type="dxa"/>
            <w:shd w:val="clear" w:color="auto" w:fill="auto"/>
            <w:vAlign w:val="center"/>
          </w:tcPr>
          <w:p w14:paraId="6100C875">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档案使用管理-档案检索</w:t>
            </w:r>
          </w:p>
        </w:tc>
        <w:tc>
          <w:tcPr>
            <w:tcW w:w="4246" w:type="dxa"/>
            <w:shd w:val="clear" w:color="auto" w:fill="auto"/>
            <w:vAlign w:val="center"/>
          </w:tcPr>
          <w:p w14:paraId="76171CD9">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对电子档案进行多条件的模糊检索、精确检索和全文检索等功能，支持跨全宗、跨门类和递进检索。</w:t>
            </w:r>
          </w:p>
        </w:tc>
      </w:tr>
      <w:tr w14:paraId="372518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6626CF09">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75</w:t>
            </w:r>
          </w:p>
        </w:tc>
        <w:tc>
          <w:tcPr>
            <w:tcW w:w="1418" w:type="dxa"/>
            <w:shd w:val="clear" w:color="auto" w:fill="auto"/>
            <w:vAlign w:val="center"/>
          </w:tcPr>
          <w:p w14:paraId="79E17158">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药品监管数字化档案室（新建）</w:t>
            </w:r>
          </w:p>
        </w:tc>
        <w:tc>
          <w:tcPr>
            <w:tcW w:w="2126" w:type="dxa"/>
            <w:shd w:val="clear" w:color="auto" w:fill="auto"/>
            <w:vAlign w:val="center"/>
          </w:tcPr>
          <w:p w14:paraId="58C63E72">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档案使用管理-档案借阅</w:t>
            </w:r>
          </w:p>
        </w:tc>
        <w:tc>
          <w:tcPr>
            <w:tcW w:w="4246" w:type="dxa"/>
            <w:shd w:val="clear" w:color="auto" w:fill="auto"/>
            <w:vAlign w:val="center"/>
          </w:tcPr>
          <w:p w14:paraId="48567075">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电子档案在线借阅服务功能，支持在线申请、在线审批、在线阅览、授权下载与打印等处理，并记录用户使用电子档案的意见和效果等信息。</w:t>
            </w:r>
          </w:p>
        </w:tc>
      </w:tr>
      <w:tr w14:paraId="6D1E41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252C20E9">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76</w:t>
            </w:r>
          </w:p>
        </w:tc>
        <w:tc>
          <w:tcPr>
            <w:tcW w:w="1418" w:type="dxa"/>
            <w:shd w:val="clear" w:color="auto" w:fill="auto"/>
            <w:vAlign w:val="center"/>
          </w:tcPr>
          <w:p w14:paraId="28F740E5">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药品监管数字化档案室（新建）</w:t>
            </w:r>
          </w:p>
        </w:tc>
        <w:tc>
          <w:tcPr>
            <w:tcW w:w="2126" w:type="dxa"/>
            <w:shd w:val="clear" w:color="auto" w:fill="auto"/>
            <w:vAlign w:val="center"/>
          </w:tcPr>
          <w:p w14:paraId="30815826">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数据接口-与OA办公系统对接</w:t>
            </w:r>
          </w:p>
        </w:tc>
        <w:tc>
          <w:tcPr>
            <w:tcW w:w="4246" w:type="dxa"/>
            <w:shd w:val="clear" w:color="auto" w:fill="auto"/>
            <w:vAlign w:val="center"/>
          </w:tcPr>
          <w:p w14:paraId="6D1F842A">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获取OA办公系统的归档数据</w:t>
            </w:r>
          </w:p>
        </w:tc>
      </w:tr>
      <w:tr w14:paraId="37145C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3CCB9FBC">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77</w:t>
            </w:r>
          </w:p>
        </w:tc>
        <w:tc>
          <w:tcPr>
            <w:tcW w:w="1418" w:type="dxa"/>
            <w:shd w:val="clear" w:color="auto" w:fill="auto"/>
            <w:vAlign w:val="center"/>
          </w:tcPr>
          <w:p w14:paraId="6ABBC72F">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药品监管数字化档案室（新建）</w:t>
            </w:r>
          </w:p>
        </w:tc>
        <w:tc>
          <w:tcPr>
            <w:tcW w:w="2126" w:type="dxa"/>
            <w:shd w:val="clear" w:color="auto" w:fill="auto"/>
            <w:vAlign w:val="center"/>
          </w:tcPr>
          <w:p w14:paraId="40D558C0">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数据接口-与一网通办对接</w:t>
            </w:r>
          </w:p>
        </w:tc>
        <w:tc>
          <w:tcPr>
            <w:tcW w:w="4246" w:type="dxa"/>
            <w:shd w:val="clear" w:color="auto" w:fill="auto"/>
            <w:vAlign w:val="center"/>
          </w:tcPr>
          <w:p w14:paraId="53BA8F32">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获取业务的归档数据</w:t>
            </w:r>
          </w:p>
        </w:tc>
      </w:tr>
      <w:tr w14:paraId="309574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04" w:type="dxa"/>
            <w:shd w:val="clear" w:color="auto" w:fill="auto"/>
            <w:vAlign w:val="center"/>
          </w:tcPr>
          <w:p w14:paraId="231AB9AE">
            <w:pPr>
              <w:widowControl/>
              <w:spacing w:line="240" w:lineRule="auto"/>
              <w:ind w:firstLine="0" w:firstLineChars="0"/>
              <w:jc w:val="center"/>
              <w:rPr>
                <w:rFonts w:hint="eastAsia" w:cs="宋体"/>
                <w:color w:val="000000"/>
                <w:kern w:val="0"/>
                <w:sz w:val="21"/>
                <w:szCs w:val="21"/>
              </w:rPr>
            </w:pPr>
            <w:r>
              <w:rPr>
                <w:rFonts w:hint="eastAsia" w:cs="宋体"/>
                <w:color w:val="000000"/>
                <w:sz w:val="22"/>
                <w:szCs w:val="22"/>
              </w:rPr>
              <w:t>78</w:t>
            </w:r>
          </w:p>
        </w:tc>
        <w:tc>
          <w:tcPr>
            <w:tcW w:w="1418" w:type="dxa"/>
            <w:shd w:val="clear" w:color="auto" w:fill="auto"/>
            <w:vAlign w:val="center"/>
          </w:tcPr>
          <w:p w14:paraId="535212D7">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药品监管数字化档案室（新建）</w:t>
            </w:r>
          </w:p>
        </w:tc>
        <w:tc>
          <w:tcPr>
            <w:tcW w:w="2126" w:type="dxa"/>
            <w:shd w:val="clear" w:color="auto" w:fill="auto"/>
            <w:vAlign w:val="center"/>
          </w:tcPr>
          <w:p w14:paraId="0EA998A7">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密码应用安全-应用系统重要数据签名验签模块、应用系统重要数据加解密模块、服务器虚拟机设备日志/访问控制信息完整性模块、业务重要数据安全传输模块、重要可执行程序签名验签模块</w:t>
            </w:r>
          </w:p>
        </w:tc>
        <w:tc>
          <w:tcPr>
            <w:tcW w:w="4246" w:type="dxa"/>
            <w:shd w:val="clear" w:color="auto" w:fill="auto"/>
            <w:vAlign w:val="center"/>
          </w:tcPr>
          <w:p w14:paraId="1B51EA47">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调用云平台提供的签名验签服务接口，实现登录用户身份鉴别数据、业务日志、重要业务数据的存储完整性保护。</w:t>
            </w:r>
          </w:p>
        </w:tc>
      </w:tr>
    </w:tbl>
    <w:p w14:paraId="5C622FF4">
      <w:pPr>
        <w:pStyle w:val="2"/>
        <w:numPr>
          <w:ilvl w:val="0"/>
          <w:numId w:val="3"/>
        </w:numPr>
        <w:rPr>
          <w:rFonts w:hint="eastAsia" w:eastAsia="宋体" w:cs="宋体"/>
        </w:rPr>
      </w:pPr>
      <w:r>
        <w:rPr>
          <w:rFonts w:hint="eastAsia" w:eastAsia="宋体" w:cs="宋体"/>
        </w:rPr>
        <w:t>电子政务云资源需求</w:t>
      </w:r>
    </w:p>
    <w:p w14:paraId="698E5D5F">
      <w:pPr>
        <w:rPr>
          <w:rFonts w:hint="eastAsia" w:cs="宋体"/>
        </w:rPr>
      </w:pPr>
      <w:r>
        <w:rPr>
          <w:rFonts w:hint="eastAsia" w:cs="宋体"/>
        </w:rPr>
        <w:t>根据项目前期资源现状，本次建设根据估算拟向电子政务云申请15台虚拟服务器，资源CPU184核 、内存400G、存储3.31T。</w:t>
      </w:r>
    </w:p>
    <w:tbl>
      <w:tblPr>
        <w:tblStyle w:val="35"/>
        <w:tblW w:w="835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851"/>
        <w:gridCol w:w="2126"/>
        <w:gridCol w:w="756"/>
        <w:gridCol w:w="1133"/>
        <w:gridCol w:w="1040"/>
        <w:gridCol w:w="1040"/>
        <w:gridCol w:w="850"/>
      </w:tblGrid>
      <w:tr w14:paraId="5C9BE1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62" w:type="dxa"/>
            <w:shd w:val="clear" w:color="auto" w:fill="auto"/>
            <w:vAlign w:val="center"/>
          </w:tcPr>
          <w:p w14:paraId="12A168F4">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序号</w:t>
            </w:r>
          </w:p>
        </w:tc>
        <w:tc>
          <w:tcPr>
            <w:tcW w:w="851" w:type="dxa"/>
            <w:shd w:val="clear" w:color="auto" w:fill="auto"/>
            <w:noWrap/>
            <w:vAlign w:val="center"/>
          </w:tcPr>
          <w:p w14:paraId="554423CB">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资源类型</w:t>
            </w:r>
          </w:p>
        </w:tc>
        <w:tc>
          <w:tcPr>
            <w:tcW w:w="2126" w:type="dxa"/>
            <w:shd w:val="clear" w:color="auto" w:fill="auto"/>
            <w:noWrap/>
            <w:vAlign w:val="center"/>
          </w:tcPr>
          <w:p w14:paraId="321E03B4">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资源名称</w:t>
            </w:r>
          </w:p>
        </w:tc>
        <w:tc>
          <w:tcPr>
            <w:tcW w:w="756" w:type="dxa"/>
            <w:shd w:val="clear" w:color="auto" w:fill="auto"/>
            <w:noWrap/>
            <w:vAlign w:val="center"/>
          </w:tcPr>
          <w:p w14:paraId="4480EBE1">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资源说明</w:t>
            </w:r>
          </w:p>
        </w:tc>
        <w:tc>
          <w:tcPr>
            <w:tcW w:w="1133" w:type="dxa"/>
            <w:shd w:val="clear" w:color="auto" w:fill="auto"/>
            <w:vAlign w:val="center"/>
          </w:tcPr>
          <w:p w14:paraId="20E5E843">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资源核心（核）</w:t>
            </w:r>
          </w:p>
        </w:tc>
        <w:tc>
          <w:tcPr>
            <w:tcW w:w="1040" w:type="dxa"/>
            <w:shd w:val="clear" w:color="auto" w:fill="auto"/>
            <w:noWrap/>
            <w:vAlign w:val="center"/>
          </w:tcPr>
          <w:p w14:paraId="2F0C1DCB">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资源内存(GB)</w:t>
            </w:r>
          </w:p>
        </w:tc>
        <w:tc>
          <w:tcPr>
            <w:tcW w:w="1040" w:type="dxa"/>
            <w:shd w:val="clear" w:color="auto" w:fill="auto"/>
            <w:noWrap/>
            <w:vAlign w:val="center"/>
          </w:tcPr>
          <w:p w14:paraId="7EDFCB36">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资源存储(GB)</w:t>
            </w:r>
          </w:p>
        </w:tc>
        <w:tc>
          <w:tcPr>
            <w:tcW w:w="850" w:type="dxa"/>
            <w:shd w:val="clear" w:color="auto" w:fill="auto"/>
            <w:noWrap/>
            <w:vAlign w:val="center"/>
          </w:tcPr>
          <w:p w14:paraId="6A83C7FB">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资源数量(台)</w:t>
            </w:r>
          </w:p>
        </w:tc>
      </w:tr>
      <w:tr w14:paraId="351589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62" w:type="dxa"/>
            <w:shd w:val="clear" w:color="auto" w:fill="auto"/>
            <w:vAlign w:val="center"/>
          </w:tcPr>
          <w:p w14:paraId="632C3B46">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1</w:t>
            </w:r>
          </w:p>
        </w:tc>
        <w:tc>
          <w:tcPr>
            <w:tcW w:w="851" w:type="dxa"/>
            <w:shd w:val="clear" w:color="auto" w:fill="auto"/>
            <w:vAlign w:val="center"/>
          </w:tcPr>
          <w:p w14:paraId="32EADF72">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虚拟机</w:t>
            </w:r>
          </w:p>
        </w:tc>
        <w:tc>
          <w:tcPr>
            <w:tcW w:w="2126" w:type="dxa"/>
            <w:shd w:val="clear" w:color="auto" w:fill="auto"/>
            <w:vAlign w:val="center"/>
          </w:tcPr>
          <w:p w14:paraId="778AEB48">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一员一档培训管理系统数据库服务器</w:t>
            </w:r>
          </w:p>
        </w:tc>
        <w:tc>
          <w:tcPr>
            <w:tcW w:w="756" w:type="dxa"/>
            <w:shd w:val="clear" w:color="auto" w:fill="auto"/>
            <w:vAlign w:val="center"/>
          </w:tcPr>
          <w:p w14:paraId="27712550">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政务外网</w:t>
            </w:r>
          </w:p>
        </w:tc>
        <w:tc>
          <w:tcPr>
            <w:tcW w:w="1133" w:type="dxa"/>
            <w:shd w:val="clear" w:color="auto" w:fill="auto"/>
            <w:vAlign w:val="center"/>
          </w:tcPr>
          <w:p w14:paraId="3AB14727">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16</w:t>
            </w:r>
          </w:p>
        </w:tc>
        <w:tc>
          <w:tcPr>
            <w:tcW w:w="1040" w:type="dxa"/>
            <w:shd w:val="clear" w:color="auto" w:fill="auto"/>
            <w:vAlign w:val="center"/>
          </w:tcPr>
          <w:p w14:paraId="3E037BE2">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32</w:t>
            </w:r>
          </w:p>
        </w:tc>
        <w:tc>
          <w:tcPr>
            <w:tcW w:w="1040" w:type="dxa"/>
            <w:shd w:val="clear" w:color="auto" w:fill="auto"/>
            <w:vAlign w:val="center"/>
          </w:tcPr>
          <w:p w14:paraId="26B46957">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600</w:t>
            </w:r>
          </w:p>
        </w:tc>
        <w:tc>
          <w:tcPr>
            <w:tcW w:w="850" w:type="dxa"/>
            <w:shd w:val="clear" w:color="auto" w:fill="auto"/>
            <w:vAlign w:val="center"/>
          </w:tcPr>
          <w:p w14:paraId="7239F915">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2</w:t>
            </w:r>
          </w:p>
        </w:tc>
      </w:tr>
      <w:tr w14:paraId="05AFE7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62" w:type="dxa"/>
            <w:shd w:val="clear" w:color="auto" w:fill="auto"/>
            <w:vAlign w:val="center"/>
          </w:tcPr>
          <w:p w14:paraId="164C8CE0">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2</w:t>
            </w:r>
          </w:p>
        </w:tc>
        <w:tc>
          <w:tcPr>
            <w:tcW w:w="851" w:type="dxa"/>
            <w:shd w:val="clear" w:color="auto" w:fill="auto"/>
            <w:vAlign w:val="center"/>
          </w:tcPr>
          <w:p w14:paraId="11C51C22">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虚拟机</w:t>
            </w:r>
          </w:p>
        </w:tc>
        <w:tc>
          <w:tcPr>
            <w:tcW w:w="2126" w:type="dxa"/>
            <w:shd w:val="clear" w:color="auto" w:fill="auto"/>
            <w:vAlign w:val="center"/>
          </w:tcPr>
          <w:p w14:paraId="51D50504">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一员一档培训管理系统应用服务器</w:t>
            </w:r>
          </w:p>
        </w:tc>
        <w:tc>
          <w:tcPr>
            <w:tcW w:w="756" w:type="dxa"/>
            <w:shd w:val="clear" w:color="auto" w:fill="auto"/>
            <w:vAlign w:val="center"/>
          </w:tcPr>
          <w:p w14:paraId="742E3AEC">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政务外网</w:t>
            </w:r>
          </w:p>
        </w:tc>
        <w:tc>
          <w:tcPr>
            <w:tcW w:w="1133" w:type="dxa"/>
            <w:shd w:val="clear" w:color="auto" w:fill="auto"/>
            <w:vAlign w:val="center"/>
          </w:tcPr>
          <w:p w14:paraId="2C977316">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8</w:t>
            </w:r>
          </w:p>
        </w:tc>
        <w:tc>
          <w:tcPr>
            <w:tcW w:w="1040" w:type="dxa"/>
            <w:shd w:val="clear" w:color="auto" w:fill="auto"/>
            <w:vAlign w:val="center"/>
          </w:tcPr>
          <w:p w14:paraId="4926D681">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16</w:t>
            </w:r>
          </w:p>
        </w:tc>
        <w:tc>
          <w:tcPr>
            <w:tcW w:w="1040" w:type="dxa"/>
            <w:shd w:val="clear" w:color="auto" w:fill="auto"/>
            <w:vAlign w:val="center"/>
          </w:tcPr>
          <w:p w14:paraId="71FFDF96">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200</w:t>
            </w:r>
          </w:p>
        </w:tc>
        <w:tc>
          <w:tcPr>
            <w:tcW w:w="850" w:type="dxa"/>
            <w:shd w:val="clear" w:color="auto" w:fill="auto"/>
            <w:vAlign w:val="center"/>
          </w:tcPr>
          <w:p w14:paraId="00317DB3">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1</w:t>
            </w:r>
          </w:p>
        </w:tc>
      </w:tr>
      <w:tr w14:paraId="27951E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62" w:type="dxa"/>
            <w:shd w:val="clear" w:color="auto" w:fill="auto"/>
            <w:vAlign w:val="center"/>
          </w:tcPr>
          <w:p w14:paraId="484D8781">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3</w:t>
            </w:r>
          </w:p>
        </w:tc>
        <w:tc>
          <w:tcPr>
            <w:tcW w:w="851" w:type="dxa"/>
            <w:shd w:val="clear" w:color="auto" w:fill="auto"/>
            <w:vAlign w:val="center"/>
          </w:tcPr>
          <w:p w14:paraId="61543856">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虚拟机</w:t>
            </w:r>
          </w:p>
        </w:tc>
        <w:tc>
          <w:tcPr>
            <w:tcW w:w="2126" w:type="dxa"/>
            <w:shd w:val="clear" w:color="auto" w:fill="auto"/>
            <w:vAlign w:val="center"/>
          </w:tcPr>
          <w:p w14:paraId="77023872">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一员一档培训管理系统在线培训应用服务器</w:t>
            </w:r>
          </w:p>
        </w:tc>
        <w:tc>
          <w:tcPr>
            <w:tcW w:w="756" w:type="dxa"/>
            <w:shd w:val="clear" w:color="auto" w:fill="auto"/>
            <w:vAlign w:val="center"/>
          </w:tcPr>
          <w:p w14:paraId="2B3C5B43">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政务外网</w:t>
            </w:r>
          </w:p>
        </w:tc>
        <w:tc>
          <w:tcPr>
            <w:tcW w:w="1133" w:type="dxa"/>
            <w:shd w:val="clear" w:color="auto" w:fill="auto"/>
            <w:vAlign w:val="center"/>
          </w:tcPr>
          <w:p w14:paraId="4585D7E8">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8</w:t>
            </w:r>
          </w:p>
        </w:tc>
        <w:tc>
          <w:tcPr>
            <w:tcW w:w="1040" w:type="dxa"/>
            <w:shd w:val="clear" w:color="auto" w:fill="auto"/>
            <w:vAlign w:val="center"/>
          </w:tcPr>
          <w:p w14:paraId="3AB8AC75">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16</w:t>
            </w:r>
          </w:p>
        </w:tc>
        <w:tc>
          <w:tcPr>
            <w:tcW w:w="1040" w:type="dxa"/>
            <w:shd w:val="clear" w:color="auto" w:fill="auto"/>
            <w:vAlign w:val="center"/>
          </w:tcPr>
          <w:p w14:paraId="59BCE1CA">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100</w:t>
            </w:r>
          </w:p>
        </w:tc>
        <w:tc>
          <w:tcPr>
            <w:tcW w:w="850" w:type="dxa"/>
            <w:shd w:val="clear" w:color="auto" w:fill="auto"/>
            <w:vAlign w:val="center"/>
          </w:tcPr>
          <w:p w14:paraId="3E2EE1B1">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4</w:t>
            </w:r>
          </w:p>
        </w:tc>
      </w:tr>
      <w:tr w14:paraId="07621A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62" w:type="dxa"/>
            <w:shd w:val="clear" w:color="auto" w:fill="auto"/>
            <w:vAlign w:val="center"/>
          </w:tcPr>
          <w:p w14:paraId="1ED0BCA6">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4</w:t>
            </w:r>
          </w:p>
        </w:tc>
        <w:tc>
          <w:tcPr>
            <w:tcW w:w="851" w:type="dxa"/>
            <w:shd w:val="clear" w:color="auto" w:fill="auto"/>
            <w:vAlign w:val="center"/>
          </w:tcPr>
          <w:p w14:paraId="48E1EF84">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虚拟机</w:t>
            </w:r>
          </w:p>
        </w:tc>
        <w:tc>
          <w:tcPr>
            <w:tcW w:w="2126" w:type="dxa"/>
            <w:shd w:val="clear" w:color="auto" w:fill="auto"/>
            <w:vAlign w:val="center"/>
          </w:tcPr>
          <w:p w14:paraId="1EAE722C">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一员一档培训管理系统在线培训数据库服务器</w:t>
            </w:r>
          </w:p>
        </w:tc>
        <w:tc>
          <w:tcPr>
            <w:tcW w:w="756" w:type="dxa"/>
            <w:shd w:val="clear" w:color="auto" w:fill="auto"/>
            <w:vAlign w:val="center"/>
          </w:tcPr>
          <w:p w14:paraId="255EC5F2">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政务外网</w:t>
            </w:r>
          </w:p>
        </w:tc>
        <w:tc>
          <w:tcPr>
            <w:tcW w:w="1133" w:type="dxa"/>
            <w:shd w:val="clear" w:color="auto" w:fill="auto"/>
            <w:vAlign w:val="center"/>
          </w:tcPr>
          <w:p w14:paraId="3FDCA516">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8</w:t>
            </w:r>
          </w:p>
        </w:tc>
        <w:tc>
          <w:tcPr>
            <w:tcW w:w="1040" w:type="dxa"/>
            <w:shd w:val="clear" w:color="auto" w:fill="auto"/>
            <w:vAlign w:val="center"/>
          </w:tcPr>
          <w:p w14:paraId="0EB62479">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16</w:t>
            </w:r>
          </w:p>
        </w:tc>
        <w:tc>
          <w:tcPr>
            <w:tcW w:w="1040" w:type="dxa"/>
            <w:shd w:val="clear" w:color="auto" w:fill="auto"/>
            <w:vAlign w:val="center"/>
          </w:tcPr>
          <w:p w14:paraId="7CA1E383">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600</w:t>
            </w:r>
          </w:p>
        </w:tc>
        <w:tc>
          <w:tcPr>
            <w:tcW w:w="850" w:type="dxa"/>
            <w:shd w:val="clear" w:color="auto" w:fill="auto"/>
            <w:vAlign w:val="center"/>
          </w:tcPr>
          <w:p w14:paraId="69A20336">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1</w:t>
            </w:r>
          </w:p>
        </w:tc>
      </w:tr>
      <w:tr w14:paraId="6D47D1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62" w:type="dxa"/>
            <w:shd w:val="clear" w:color="auto" w:fill="auto"/>
            <w:vAlign w:val="center"/>
          </w:tcPr>
          <w:p w14:paraId="59A8A29E">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5</w:t>
            </w:r>
          </w:p>
        </w:tc>
        <w:tc>
          <w:tcPr>
            <w:tcW w:w="851" w:type="dxa"/>
            <w:shd w:val="clear" w:color="auto" w:fill="auto"/>
            <w:vAlign w:val="center"/>
          </w:tcPr>
          <w:p w14:paraId="35737F0F">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虚拟机</w:t>
            </w:r>
          </w:p>
        </w:tc>
        <w:tc>
          <w:tcPr>
            <w:tcW w:w="2126" w:type="dxa"/>
            <w:shd w:val="clear" w:color="auto" w:fill="auto"/>
            <w:vAlign w:val="center"/>
          </w:tcPr>
          <w:p w14:paraId="2ADE3F5D">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一员一档培训管理系统视频、文件存储服务</w:t>
            </w:r>
          </w:p>
        </w:tc>
        <w:tc>
          <w:tcPr>
            <w:tcW w:w="756" w:type="dxa"/>
            <w:shd w:val="clear" w:color="auto" w:fill="auto"/>
            <w:vAlign w:val="center"/>
          </w:tcPr>
          <w:p w14:paraId="2B318F41">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政务外网</w:t>
            </w:r>
          </w:p>
        </w:tc>
        <w:tc>
          <w:tcPr>
            <w:tcW w:w="1133" w:type="dxa"/>
            <w:shd w:val="clear" w:color="auto" w:fill="auto"/>
            <w:vAlign w:val="center"/>
          </w:tcPr>
          <w:p w14:paraId="27517A7F">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0</w:t>
            </w:r>
          </w:p>
        </w:tc>
        <w:tc>
          <w:tcPr>
            <w:tcW w:w="1040" w:type="dxa"/>
            <w:shd w:val="clear" w:color="auto" w:fill="auto"/>
            <w:vAlign w:val="center"/>
          </w:tcPr>
          <w:p w14:paraId="7BD5115B">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0</w:t>
            </w:r>
          </w:p>
        </w:tc>
        <w:tc>
          <w:tcPr>
            <w:tcW w:w="1040" w:type="dxa"/>
            <w:shd w:val="clear" w:color="auto" w:fill="auto"/>
            <w:vAlign w:val="center"/>
          </w:tcPr>
          <w:p w14:paraId="3807CB3E">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7500</w:t>
            </w:r>
          </w:p>
        </w:tc>
        <w:tc>
          <w:tcPr>
            <w:tcW w:w="850" w:type="dxa"/>
            <w:shd w:val="clear" w:color="auto" w:fill="auto"/>
            <w:vAlign w:val="center"/>
          </w:tcPr>
          <w:p w14:paraId="1E0CD4AE">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1</w:t>
            </w:r>
          </w:p>
        </w:tc>
      </w:tr>
      <w:tr w14:paraId="28CCFA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62" w:type="dxa"/>
            <w:shd w:val="clear" w:color="auto" w:fill="auto"/>
            <w:vAlign w:val="center"/>
          </w:tcPr>
          <w:p w14:paraId="7748A752">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6</w:t>
            </w:r>
          </w:p>
        </w:tc>
        <w:tc>
          <w:tcPr>
            <w:tcW w:w="851" w:type="dxa"/>
            <w:shd w:val="clear" w:color="auto" w:fill="auto"/>
            <w:vAlign w:val="center"/>
          </w:tcPr>
          <w:p w14:paraId="3947ECC0">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虚拟机</w:t>
            </w:r>
          </w:p>
        </w:tc>
        <w:tc>
          <w:tcPr>
            <w:tcW w:w="2126" w:type="dxa"/>
            <w:shd w:val="clear" w:color="auto" w:fill="auto"/>
            <w:vAlign w:val="center"/>
          </w:tcPr>
          <w:p w14:paraId="17525440">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药品智慧监管知识库知识库计算服务器</w:t>
            </w:r>
          </w:p>
        </w:tc>
        <w:tc>
          <w:tcPr>
            <w:tcW w:w="756" w:type="dxa"/>
            <w:shd w:val="clear" w:color="auto" w:fill="auto"/>
            <w:vAlign w:val="center"/>
          </w:tcPr>
          <w:p w14:paraId="4C76CE33">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政务外网</w:t>
            </w:r>
          </w:p>
        </w:tc>
        <w:tc>
          <w:tcPr>
            <w:tcW w:w="1133" w:type="dxa"/>
            <w:shd w:val="clear" w:color="auto" w:fill="auto"/>
            <w:vAlign w:val="center"/>
          </w:tcPr>
          <w:p w14:paraId="04D16827">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24</w:t>
            </w:r>
          </w:p>
        </w:tc>
        <w:tc>
          <w:tcPr>
            <w:tcW w:w="1040" w:type="dxa"/>
            <w:shd w:val="clear" w:color="auto" w:fill="auto"/>
            <w:vAlign w:val="center"/>
          </w:tcPr>
          <w:p w14:paraId="709549AD">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48</w:t>
            </w:r>
          </w:p>
        </w:tc>
        <w:tc>
          <w:tcPr>
            <w:tcW w:w="1040" w:type="dxa"/>
            <w:shd w:val="clear" w:color="auto" w:fill="auto"/>
            <w:vAlign w:val="center"/>
          </w:tcPr>
          <w:p w14:paraId="2A3863D1">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4600</w:t>
            </w:r>
          </w:p>
        </w:tc>
        <w:tc>
          <w:tcPr>
            <w:tcW w:w="850" w:type="dxa"/>
            <w:shd w:val="clear" w:color="auto" w:fill="auto"/>
            <w:vAlign w:val="center"/>
          </w:tcPr>
          <w:p w14:paraId="505A070A">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1</w:t>
            </w:r>
          </w:p>
        </w:tc>
      </w:tr>
      <w:tr w14:paraId="78C4F4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62" w:type="dxa"/>
            <w:shd w:val="clear" w:color="auto" w:fill="auto"/>
            <w:vAlign w:val="center"/>
          </w:tcPr>
          <w:p w14:paraId="5ABB8138">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7</w:t>
            </w:r>
          </w:p>
        </w:tc>
        <w:tc>
          <w:tcPr>
            <w:tcW w:w="851" w:type="dxa"/>
            <w:shd w:val="clear" w:color="auto" w:fill="auto"/>
            <w:vAlign w:val="center"/>
          </w:tcPr>
          <w:p w14:paraId="66591E67">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虚拟机</w:t>
            </w:r>
          </w:p>
        </w:tc>
        <w:tc>
          <w:tcPr>
            <w:tcW w:w="2126" w:type="dxa"/>
            <w:shd w:val="clear" w:color="auto" w:fill="auto"/>
            <w:vAlign w:val="center"/>
          </w:tcPr>
          <w:p w14:paraId="03F04630">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药品智慧监管知识库知识库数据服务器</w:t>
            </w:r>
          </w:p>
        </w:tc>
        <w:tc>
          <w:tcPr>
            <w:tcW w:w="756" w:type="dxa"/>
            <w:shd w:val="clear" w:color="auto" w:fill="auto"/>
            <w:vAlign w:val="center"/>
          </w:tcPr>
          <w:p w14:paraId="33C16113">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政务外网</w:t>
            </w:r>
          </w:p>
        </w:tc>
        <w:tc>
          <w:tcPr>
            <w:tcW w:w="1133" w:type="dxa"/>
            <w:shd w:val="clear" w:color="auto" w:fill="auto"/>
            <w:vAlign w:val="center"/>
          </w:tcPr>
          <w:p w14:paraId="1CB5F43D">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24</w:t>
            </w:r>
          </w:p>
        </w:tc>
        <w:tc>
          <w:tcPr>
            <w:tcW w:w="1040" w:type="dxa"/>
            <w:shd w:val="clear" w:color="auto" w:fill="auto"/>
            <w:vAlign w:val="center"/>
          </w:tcPr>
          <w:p w14:paraId="0B6795F0">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64</w:t>
            </w:r>
          </w:p>
        </w:tc>
        <w:tc>
          <w:tcPr>
            <w:tcW w:w="1040" w:type="dxa"/>
            <w:shd w:val="clear" w:color="auto" w:fill="auto"/>
            <w:vAlign w:val="center"/>
          </w:tcPr>
          <w:p w14:paraId="1FEFE07F">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4600</w:t>
            </w:r>
          </w:p>
        </w:tc>
        <w:tc>
          <w:tcPr>
            <w:tcW w:w="850" w:type="dxa"/>
            <w:shd w:val="clear" w:color="auto" w:fill="auto"/>
            <w:vAlign w:val="center"/>
          </w:tcPr>
          <w:p w14:paraId="5084267A">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2</w:t>
            </w:r>
          </w:p>
        </w:tc>
      </w:tr>
      <w:tr w14:paraId="337568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62" w:type="dxa"/>
            <w:shd w:val="clear" w:color="auto" w:fill="auto"/>
            <w:vAlign w:val="center"/>
          </w:tcPr>
          <w:p w14:paraId="36F61E4A">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8</w:t>
            </w:r>
          </w:p>
        </w:tc>
        <w:tc>
          <w:tcPr>
            <w:tcW w:w="851" w:type="dxa"/>
            <w:shd w:val="clear" w:color="auto" w:fill="auto"/>
            <w:vAlign w:val="center"/>
          </w:tcPr>
          <w:p w14:paraId="1AF4DB38">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虚拟机</w:t>
            </w:r>
          </w:p>
        </w:tc>
        <w:tc>
          <w:tcPr>
            <w:tcW w:w="2126" w:type="dxa"/>
            <w:shd w:val="clear" w:color="auto" w:fill="auto"/>
            <w:vAlign w:val="center"/>
          </w:tcPr>
          <w:p w14:paraId="3E8AC11F">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档案电子化系统数据库服务器</w:t>
            </w:r>
          </w:p>
        </w:tc>
        <w:tc>
          <w:tcPr>
            <w:tcW w:w="756" w:type="dxa"/>
            <w:shd w:val="clear" w:color="auto" w:fill="auto"/>
            <w:vAlign w:val="center"/>
          </w:tcPr>
          <w:p w14:paraId="6C1F8A91">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政务外网</w:t>
            </w:r>
          </w:p>
        </w:tc>
        <w:tc>
          <w:tcPr>
            <w:tcW w:w="1133" w:type="dxa"/>
            <w:shd w:val="clear" w:color="auto" w:fill="auto"/>
            <w:vAlign w:val="center"/>
          </w:tcPr>
          <w:p w14:paraId="1113C162">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16</w:t>
            </w:r>
          </w:p>
        </w:tc>
        <w:tc>
          <w:tcPr>
            <w:tcW w:w="1040" w:type="dxa"/>
            <w:shd w:val="clear" w:color="auto" w:fill="auto"/>
            <w:vAlign w:val="center"/>
          </w:tcPr>
          <w:p w14:paraId="3DEE84E0">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32</w:t>
            </w:r>
          </w:p>
        </w:tc>
        <w:tc>
          <w:tcPr>
            <w:tcW w:w="1040" w:type="dxa"/>
            <w:shd w:val="clear" w:color="auto" w:fill="auto"/>
            <w:vAlign w:val="center"/>
          </w:tcPr>
          <w:p w14:paraId="026C48AA">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2200</w:t>
            </w:r>
          </w:p>
        </w:tc>
        <w:tc>
          <w:tcPr>
            <w:tcW w:w="850" w:type="dxa"/>
            <w:shd w:val="clear" w:color="auto" w:fill="auto"/>
            <w:vAlign w:val="center"/>
          </w:tcPr>
          <w:p w14:paraId="0F2C5995">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1</w:t>
            </w:r>
          </w:p>
        </w:tc>
      </w:tr>
      <w:tr w14:paraId="4D511A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62" w:type="dxa"/>
            <w:shd w:val="clear" w:color="auto" w:fill="auto"/>
            <w:vAlign w:val="center"/>
          </w:tcPr>
          <w:p w14:paraId="3A48D9A5">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9</w:t>
            </w:r>
          </w:p>
        </w:tc>
        <w:tc>
          <w:tcPr>
            <w:tcW w:w="851" w:type="dxa"/>
            <w:shd w:val="clear" w:color="auto" w:fill="auto"/>
            <w:vAlign w:val="center"/>
          </w:tcPr>
          <w:p w14:paraId="17D269D5">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虚拟机</w:t>
            </w:r>
          </w:p>
        </w:tc>
        <w:tc>
          <w:tcPr>
            <w:tcW w:w="2126" w:type="dxa"/>
            <w:shd w:val="clear" w:color="auto" w:fill="auto"/>
            <w:vAlign w:val="center"/>
          </w:tcPr>
          <w:p w14:paraId="7E32D084">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档案电子化系统应用服务器</w:t>
            </w:r>
          </w:p>
        </w:tc>
        <w:tc>
          <w:tcPr>
            <w:tcW w:w="756" w:type="dxa"/>
            <w:shd w:val="clear" w:color="auto" w:fill="auto"/>
            <w:vAlign w:val="center"/>
          </w:tcPr>
          <w:p w14:paraId="7E76445F">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政务外网</w:t>
            </w:r>
          </w:p>
        </w:tc>
        <w:tc>
          <w:tcPr>
            <w:tcW w:w="1133" w:type="dxa"/>
            <w:shd w:val="clear" w:color="auto" w:fill="auto"/>
            <w:vAlign w:val="center"/>
          </w:tcPr>
          <w:p w14:paraId="1A29EA6C">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16</w:t>
            </w:r>
          </w:p>
        </w:tc>
        <w:tc>
          <w:tcPr>
            <w:tcW w:w="1040" w:type="dxa"/>
            <w:shd w:val="clear" w:color="auto" w:fill="auto"/>
            <w:vAlign w:val="center"/>
          </w:tcPr>
          <w:p w14:paraId="5512F917">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32</w:t>
            </w:r>
          </w:p>
        </w:tc>
        <w:tc>
          <w:tcPr>
            <w:tcW w:w="1040" w:type="dxa"/>
            <w:shd w:val="clear" w:color="auto" w:fill="auto"/>
            <w:vAlign w:val="center"/>
          </w:tcPr>
          <w:p w14:paraId="53EAC89D">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2200</w:t>
            </w:r>
          </w:p>
        </w:tc>
        <w:tc>
          <w:tcPr>
            <w:tcW w:w="850" w:type="dxa"/>
            <w:shd w:val="clear" w:color="auto" w:fill="auto"/>
            <w:vAlign w:val="center"/>
          </w:tcPr>
          <w:p w14:paraId="711F0008">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1</w:t>
            </w:r>
          </w:p>
        </w:tc>
      </w:tr>
      <w:tr w14:paraId="0B2267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62" w:type="dxa"/>
            <w:shd w:val="clear" w:color="auto" w:fill="auto"/>
            <w:vAlign w:val="center"/>
          </w:tcPr>
          <w:p w14:paraId="3B6B15A7">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10</w:t>
            </w:r>
          </w:p>
        </w:tc>
        <w:tc>
          <w:tcPr>
            <w:tcW w:w="851" w:type="dxa"/>
            <w:shd w:val="clear" w:color="auto" w:fill="auto"/>
            <w:vAlign w:val="center"/>
          </w:tcPr>
          <w:p w14:paraId="162A700D">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虚拟机</w:t>
            </w:r>
          </w:p>
        </w:tc>
        <w:tc>
          <w:tcPr>
            <w:tcW w:w="2126" w:type="dxa"/>
            <w:shd w:val="clear" w:color="auto" w:fill="auto"/>
            <w:vAlign w:val="center"/>
          </w:tcPr>
          <w:p w14:paraId="75196807">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档案电子化系统存储资源</w:t>
            </w:r>
          </w:p>
        </w:tc>
        <w:tc>
          <w:tcPr>
            <w:tcW w:w="756" w:type="dxa"/>
            <w:shd w:val="clear" w:color="auto" w:fill="auto"/>
            <w:vAlign w:val="center"/>
          </w:tcPr>
          <w:p w14:paraId="6AB8D56B">
            <w:pPr>
              <w:widowControl/>
              <w:spacing w:line="240" w:lineRule="auto"/>
              <w:ind w:firstLine="0" w:firstLineChars="0"/>
              <w:jc w:val="left"/>
              <w:rPr>
                <w:rFonts w:hint="eastAsia" w:cs="宋体"/>
                <w:color w:val="000000"/>
                <w:kern w:val="0"/>
                <w:sz w:val="21"/>
                <w:szCs w:val="21"/>
              </w:rPr>
            </w:pPr>
            <w:r>
              <w:rPr>
                <w:rFonts w:hint="eastAsia" w:cs="宋体"/>
                <w:color w:val="000000"/>
                <w:kern w:val="0"/>
                <w:sz w:val="21"/>
                <w:szCs w:val="21"/>
              </w:rPr>
              <w:t>政务外网</w:t>
            </w:r>
          </w:p>
        </w:tc>
        <w:tc>
          <w:tcPr>
            <w:tcW w:w="1133" w:type="dxa"/>
            <w:shd w:val="clear" w:color="auto" w:fill="auto"/>
            <w:vAlign w:val="center"/>
          </w:tcPr>
          <w:p w14:paraId="4FE053E5">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0</w:t>
            </w:r>
          </w:p>
        </w:tc>
        <w:tc>
          <w:tcPr>
            <w:tcW w:w="1040" w:type="dxa"/>
            <w:shd w:val="clear" w:color="auto" w:fill="auto"/>
            <w:vAlign w:val="center"/>
          </w:tcPr>
          <w:p w14:paraId="6BFF52DA">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0</w:t>
            </w:r>
          </w:p>
        </w:tc>
        <w:tc>
          <w:tcPr>
            <w:tcW w:w="1040" w:type="dxa"/>
            <w:shd w:val="clear" w:color="auto" w:fill="auto"/>
            <w:vAlign w:val="center"/>
          </w:tcPr>
          <w:p w14:paraId="3D1A6D28">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5000</w:t>
            </w:r>
          </w:p>
        </w:tc>
        <w:tc>
          <w:tcPr>
            <w:tcW w:w="850" w:type="dxa"/>
            <w:shd w:val="clear" w:color="auto" w:fill="auto"/>
            <w:vAlign w:val="center"/>
          </w:tcPr>
          <w:p w14:paraId="39DA6A07">
            <w:pPr>
              <w:widowControl/>
              <w:spacing w:line="240" w:lineRule="auto"/>
              <w:ind w:firstLine="0" w:firstLineChars="0"/>
              <w:jc w:val="center"/>
              <w:rPr>
                <w:rFonts w:hint="eastAsia" w:cs="宋体"/>
                <w:color w:val="000000"/>
                <w:kern w:val="0"/>
                <w:sz w:val="21"/>
                <w:szCs w:val="21"/>
              </w:rPr>
            </w:pPr>
            <w:r>
              <w:rPr>
                <w:rFonts w:hint="eastAsia" w:cs="宋体"/>
                <w:color w:val="000000"/>
                <w:kern w:val="0"/>
                <w:sz w:val="21"/>
                <w:szCs w:val="21"/>
              </w:rPr>
              <w:t>1</w:t>
            </w:r>
          </w:p>
        </w:tc>
      </w:tr>
    </w:tbl>
    <w:p w14:paraId="607A4429">
      <w:pPr>
        <w:rPr>
          <w:rFonts w:hint="eastAsia" w:cs="宋体"/>
        </w:rPr>
      </w:pPr>
    </w:p>
    <w:p w14:paraId="58A20EBD">
      <w:pPr>
        <w:pStyle w:val="2"/>
        <w:numPr>
          <w:ilvl w:val="0"/>
          <w:numId w:val="3"/>
        </w:numPr>
        <w:rPr>
          <w:rFonts w:hint="eastAsia" w:eastAsia="宋体" w:cs="宋体"/>
        </w:rPr>
      </w:pPr>
      <w:r>
        <w:rPr>
          <w:rFonts w:hint="eastAsia" w:eastAsia="宋体" w:cs="宋体"/>
        </w:rPr>
        <w:t>其他工作要求</w:t>
      </w:r>
    </w:p>
    <w:p w14:paraId="418F33A3">
      <w:pPr>
        <w:keepNext/>
        <w:keepLines/>
        <w:numPr>
          <w:ilvl w:val="1"/>
          <w:numId w:val="6"/>
        </w:numPr>
        <w:tabs>
          <w:tab w:val="left" w:pos="360"/>
        </w:tabs>
        <w:spacing w:before="120" w:line="240" w:lineRule="auto"/>
        <w:ind w:left="0" w:firstLine="0" w:firstLineChars="0"/>
        <w:outlineLvl w:val="1"/>
        <w:rPr>
          <w:rFonts w:hint="eastAsia" w:cs="宋体"/>
          <w:b/>
          <w:vanish/>
          <w:color w:val="000000"/>
          <w:sz w:val="28"/>
          <w:szCs w:val="20"/>
        </w:rPr>
      </w:pPr>
    </w:p>
    <w:p w14:paraId="609F58DC">
      <w:pPr>
        <w:pStyle w:val="3"/>
        <w:numPr>
          <w:ilvl w:val="1"/>
          <w:numId w:val="3"/>
        </w:numPr>
        <w:rPr>
          <w:rFonts w:hint="eastAsia" w:cs="宋体"/>
        </w:rPr>
      </w:pPr>
      <w:r>
        <w:rPr>
          <w:rFonts w:hint="eastAsia" w:cs="宋体"/>
        </w:rPr>
        <w:t>售后服务要求</w:t>
      </w:r>
    </w:p>
    <w:p w14:paraId="33DA1C1F">
      <w:pPr>
        <w:pStyle w:val="106"/>
        <w:snapToGrid w:val="0"/>
        <w:spacing w:line="360" w:lineRule="auto"/>
        <w:ind w:firstLine="480"/>
        <w:rPr>
          <w:rFonts w:hint="eastAsia" w:ascii="宋体" w:hAnsi="宋体" w:cs="宋体"/>
          <w:sz w:val="24"/>
          <w:szCs w:val="24"/>
        </w:rPr>
      </w:pPr>
      <w:r>
        <w:rPr>
          <w:rFonts w:hint="eastAsia" w:ascii="宋体" w:hAnsi="宋体" w:cs="宋体"/>
          <w:sz w:val="24"/>
          <w:szCs w:val="24"/>
        </w:rPr>
        <w:t>本项目从系统验收通过之日起1年内提供7*24小时免费技术支持和售后服务，1年后进入有偿维护期。</w:t>
      </w:r>
    </w:p>
    <w:p w14:paraId="0135D5F9">
      <w:pPr>
        <w:pStyle w:val="106"/>
        <w:snapToGrid w:val="0"/>
        <w:spacing w:line="360" w:lineRule="auto"/>
        <w:ind w:firstLine="480"/>
        <w:rPr>
          <w:rFonts w:hint="eastAsia" w:ascii="宋体" w:hAnsi="宋体" w:cs="宋体"/>
          <w:sz w:val="24"/>
          <w:szCs w:val="24"/>
        </w:rPr>
      </w:pPr>
      <w:r>
        <w:rPr>
          <w:rFonts w:hint="eastAsia" w:ascii="宋体" w:hAnsi="宋体" w:cs="宋体"/>
          <w:sz w:val="24"/>
          <w:szCs w:val="24"/>
        </w:rPr>
        <w:t>在质量保证期内，供应商将按照售后服务的承诺提供保修和运行维护服务，如果厂商对信息系统中软、硬件设备等产品中的部分保修期超过上述期限的，则按照厂商的规定进行免费保修。</w:t>
      </w:r>
    </w:p>
    <w:p w14:paraId="2F99E4CA">
      <w:pPr>
        <w:pStyle w:val="106"/>
        <w:snapToGrid w:val="0"/>
        <w:spacing w:line="360" w:lineRule="auto"/>
        <w:ind w:firstLine="480"/>
        <w:rPr>
          <w:rFonts w:hint="eastAsia" w:ascii="宋体" w:hAnsi="宋体" w:cs="宋体"/>
          <w:sz w:val="24"/>
          <w:szCs w:val="24"/>
        </w:rPr>
      </w:pPr>
      <w:r>
        <w:rPr>
          <w:rFonts w:hint="eastAsia" w:ascii="宋体" w:hAnsi="宋体" w:cs="宋体"/>
          <w:sz w:val="24"/>
          <w:szCs w:val="24"/>
        </w:rPr>
        <w:t>在质量保证期内，供应商负责信息系统的运行维护工作，确保信息系统安全、稳定、可靠地运行。本项目涉及的运行维护工作范围为：系统定期巡检、系统安全补丁升级、系统和应用漏洞修复、Bug修复、功能优化。</w:t>
      </w:r>
    </w:p>
    <w:p w14:paraId="3C1A00BB">
      <w:pPr>
        <w:pStyle w:val="3"/>
        <w:numPr>
          <w:ilvl w:val="1"/>
          <w:numId w:val="3"/>
        </w:numPr>
        <w:rPr>
          <w:rFonts w:hint="eastAsia" w:cs="宋体"/>
        </w:rPr>
      </w:pPr>
      <w:r>
        <w:rPr>
          <w:rFonts w:hint="eastAsia" w:cs="宋体"/>
        </w:rPr>
        <w:t>应急响应要求</w:t>
      </w:r>
    </w:p>
    <w:p w14:paraId="6DA38490">
      <w:pPr>
        <w:pStyle w:val="106"/>
        <w:snapToGrid w:val="0"/>
        <w:spacing w:line="360" w:lineRule="auto"/>
        <w:ind w:firstLine="480"/>
        <w:rPr>
          <w:rFonts w:hint="eastAsia" w:ascii="宋体" w:hAnsi="宋体" w:cs="宋体"/>
          <w:sz w:val="24"/>
          <w:szCs w:val="24"/>
        </w:rPr>
      </w:pPr>
      <w:r>
        <w:rPr>
          <w:rFonts w:hint="eastAsia" w:ascii="宋体" w:hAnsi="宋体" w:cs="宋体"/>
          <w:sz w:val="24"/>
          <w:szCs w:val="24"/>
        </w:rPr>
        <w:t>供应商对系统故障应能够实时响应，若系统发生故障，接到通知后30分钟之内响应，专业工程师2小时内到达现场。特殊故障与客户沟通协商后，按照协商的方式制定解决方案并进行处理。</w:t>
      </w:r>
    </w:p>
    <w:p w14:paraId="7EC62263">
      <w:pPr>
        <w:pStyle w:val="106"/>
        <w:snapToGrid w:val="0"/>
        <w:spacing w:line="360" w:lineRule="auto"/>
        <w:ind w:firstLine="480"/>
        <w:rPr>
          <w:rFonts w:hint="eastAsia" w:ascii="宋体" w:hAnsi="宋体" w:cs="宋体"/>
          <w:sz w:val="24"/>
          <w:szCs w:val="24"/>
        </w:rPr>
      </w:pPr>
      <w:r>
        <w:rPr>
          <w:rFonts w:hint="eastAsia" w:ascii="宋体" w:hAnsi="宋体" w:cs="宋体"/>
          <w:sz w:val="24"/>
          <w:szCs w:val="24"/>
        </w:rPr>
        <w:t>具体故障级别及对应的应急响应要求如下：</w:t>
      </w:r>
    </w:p>
    <w:p w14:paraId="2E5BE06D">
      <w:pPr>
        <w:pStyle w:val="106"/>
        <w:snapToGrid w:val="0"/>
        <w:spacing w:line="360" w:lineRule="auto"/>
        <w:ind w:firstLine="480"/>
        <w:rPr>
          <w:rFonts w:hint="eastAsia" w:ascii="宋体" w:hAnsi="宋体" w:cs="宋体"/>
          <w:sz w:val="24"/>
          <w:szCs w:val="24"/>
        </w:rPr>
      </w:pPr>
      <w:r>
        <w:rPr>
          <w:rFonts w:hint="eastAsia" w:ascii="宋体" w:hAnsi="宋体" w:cs="宋体"/>
          <w:sz w:val="24"/>
          <w:szCs w:val="24"/>
        </w:rPr>
        <w:t>一级故障：在1小时内确诊，总故障解决时间不超过4小时。</w:t>
      </w:r>
    </w:p>
    <w:p w14:paraId="52B82594">
      <w:pPr>
        <w:pStyle w:val="106"/>
        <w:snapToGrid w:val="0"/>
        <w:spacing w:line="360" w:lineRule="auto"/>
        <w:ind w:firstLine="480"/>
        <w:rPr>
          <w:rFonts w:hint="eastAsia" w:ascii="宋体" w:hAnsi="宋体" w:cs="宋体"/>
          <w:sz w:val="24"/>
          <w:szCs w:val="24"/>
        </w:rPr>
      </w:pPr>
      <w:r>
        <w:rPr>
          <w:rFonts w:hint="eastAsia" w:ascii="宋体" w:hAnsi="宋体" w:cs="宋体"/>
          <w:sz w:val="24"/>
          <w:szCs w:val="24"/>
        </w:rPr>
        <w:t>二级故障：在2小时内确诊，并在4小时内由专家到达现场确诊并解决，总故障解决时间不超过8小时；</w:t>
      </w:r>
    </w:p>
    <w:p w14:paraId="731ABCAC">
      <w:pPr>
        <w:pStyle w:val="106"/>
        <w:snapToGrid w:val="0"/>
        <w:spacing w:line="360" w:lineRule="auto"/>
        <w:ind w:firstLine="480"/>
        <w:rPr>
          <w:rFonts w:hint="eastAsia" w:ascii="宋体" w:hAnsi="宋体" w:cs="宋体"/>
          <w:sz w:val="24"/>
          <w:szCs w:val="24"/>
        </w:rPr>
      </w:pPr>
      <w:r>
        <w:rPr>
          <w:rFonts w:hint="eastAsia" w:ascii="宋体" w:hAnsi="宋体" w:cs="宋体"/>
          <w:sz w:val="24"/>
          <w:szCs w:val="24"/>
        </w:rPr>
        <w:t>三、四级故障：在4小时内确诊故障，总故障解决时间不超过16小时。</w:t>
      </w:r>
    </w:p>
    <w:p w14:paraId="0A035FB2">
      <w:pPr>
        <w:pStyle w:val="3"/>
        <w:numPr>
          <w:ilvl w:val="1"/>
          <w:numId w:val="3"/>
        </w:numPr>
        <w:rPr>
          <w:rFonts w:hint="eastAsia" w:cs="宋体"/>
        </w:rPr>
      </w:pPr>
      <w:r>
        <w:rPr>
          <w:rFonts w:hint="eastAsia" w:cs="宋体"/>
        </w:rPr>
        <w:t>培训要求</w:t>
      </w:r>
    </w:p>
    <w:p w14:paraId="65DF8643">
      <w:pPr>
        <w:rPr>
          <w:rFonts w:hint="eastAsia" w:cs="宋体"/>
        </w:rPr>
      </w:pPr>
      <w:r>
        <w:rPr>
          <w:rFonts w:hint="eastAsia" w:cs="宋体"/>
        </w:rPr>
        <w:t>对系统使用单位提供业务操作培训，应提供详细培训方案。</w:t>
      </w:r>
    </w:p>
    <w:p w14:paraId="25302AB5">
      <w:pPr>
        <w:rPr>
          <w:rFonts w:hint="eastAsia" w:cs="宋体"/>
        </w:rPr>
      </w:pPr>
      <w:r>
        <w:rPr>
          <w:rFonts w:hint="eastAsia" w:cs="宋体"/>
        </w:rPr>
        <w:t>(1)在12个月的质量保证期内，提供2次与项目相关的必要培训。</w:t>
      </w:r>
    </w:p>
    <w:p w14:paraId="64C16B73">
      <w:pPr>
        <w:rPr>
          <w:rFonts w:hint="eastAsia" w:cs="宋体"/>
        </w:rPr>
      </w:pPr>
      <w:r>
        <w:rPr>
          <w:rFonts w:hint="eastAsia" w:cs="宋体"/>
        </w:rPr>
        <w:t>(2)供应商需要开展分层次的人员培训工作，每次培训后应对参加培训人员进行测试，评估培训成果。培训应具有培训教材、培训环境和高水平的培训讲师。</w:t>
      </w:r>
    </w:p>
    <w:p w14:paraId="54EC41CC">
      <w:pPr>
        <w:rPr>
          <w:rFonts w:hint="eastAsia" w:cs="宋体"/>
        </w:rPr>
      </w:pPr>
      <w:r>
        <w:rPr>
          <w:rFonts w:hint="eastAsia" w:cs="宋体"/>
        </w:rPr>
        <w:t>(3)供应商应提供一般用户的基础操作培训和部门信息管理员的日常应用维护的培训，确保用户对象能够掌握对应的操作技能。</w:t>
      </w:r>
    </w:p>
    <w:p w14:paraId="49FE36B3">
      <w:pPr>
        <w:pStyle w:val="3"/>
        <w:numPr>
          <w:ilvl w:val="1"/>
          <w:numId w:val="3"/>
        </w:numPr>
        <w:rPr>
          <w:rFonts w:hint="eastAsia" w:cs="宋体"/>
        </w:rPr>
      </w:pPr>
      <w:r>
        <w:rPr>
          <w:rFonts w:hint="eastAsia" w:cs="宋体"/>
        </w:rPr>
        <w:t>验收要求</w:t>
      </w:r>
    </w:p>
    <w:p w14:paraId="76AC717E">
      <w:pPr>
        <w:rPr>
          <w:rFonts w:hint="eastAsia" w:cs="宋体"/>
          <w:szCs w:val="21"/>
        </w:rPr>
      </w:pPr>
      <w:r>
        <w:rPr>
          <w:rFonts w:hint="eastAsia" w:cs="宋体"/>
          <w:szCs w:val="21"/>
        </w:rPr>
        <w:t>本项目按下述方式开展验收。</w:t>
      </w:r>
    </w:p>
    <w:p w14:paraId="02C85822">
      <w:pPr>
        <w:rPr>
          <w:rFonts w:hint="eastAsia" w:cs="宋体"/>
          <w:szCs w:val="21"/>
        </w:rPr>
      </w:pPr>
      <w:r>
        <w:rPr>
          <w:rFonts w:hint="eastAsia" w:cs="宋体"/>
          <w:szCs w:val="21"/>
        </w:rPr>
        <w:t>（1）验收分初验和终验。</w:t>
      </w:r>
    </w:p>
    <w:p w14:paraId="34721856">
      <w:pPr>
        <w:rPr>
          <w:rFonts w:hint="eastAsia" w:cs="宋体"/>
          <w:szCs w:val="21"/>
        </w:rPr>
      </w:pPr>
      <w:r>
        <w:rPr>
          <w:rFonts w:hint="eastAsia" w:cs="宋体"/>
          <w:szCs w:val="21"/>
        </w:rPr>
        <w:t>（2）初验前，供应商须完成软件开发、软硬件安装和信息系统的调试等，并对本项目进行功能和运行检测，确保所有信息系统功能模块能够正常运行且已达到本项目约定的各类标准要求。供应商应以书面形式向招标方递交初验通知书。招标方应当在接到通知后的5个工作日内确定初验的具体日期，由双方按照本项目的约定完成本项目的初验。招标方有权委托第三方检测机构进行验收，对此供应商应当配合。</w:t>
      </w:r>
    </w:p>
    <w:p w14:paraId="62DD5E5B">
      <w:pPr>
        <w:rPr>
          <w:rFonts w:hint="eastAsia" w:cs="宋体"/>
          <w:szCs w:val="21"/>
        </w:rPr>
      </w:pPr>
      <w:r>
        <w:rPr>
          <w:rFonts w:hint="eastAsia" w:cs="宋体"/>
          <w:szCs w:val="21"/>
        </w:rPr>
        <w:t>（3）初验时，供应商须提供软件文档包括《用户需求说明书》、《系统概要设计说明书》、《系统详细设计说明书》、《三方功能需求确认单》、《测试报告》、《用户使用手册》、《系统部署文档》等）及可安装的程序运行文件。所交付的文档与文件应当是可供自然人阅读的书面和电子文档。软件文档及可安装的程序运行文件验收通过后，视为初验通过。如有缺陷，招标方应向供应商出具书面报告，陈述需要改进的缺陷。供应商应立即严格依照招标方的书面报告中的要求改进缺陷，并再次进行初验。</w:t>
      </w:r>
    </w:p>
    <w:p w14:paraId="47F45830">
      <w:pPr>
        <w:rPr>
          <w:rFonts w:hint="eastAsia" w:cs="宋体"/>
          <w:szCs w:val="21"/>
        </w:rPr>
      </w:pPr>
      <w:r>
        <w:rPr>
          <w:rFonts w:hint="eastAsia" w:cs="宋体"/>
          <w:szCs w:val="21"/>
        </w:rPr>
        <w:t>（4）自初验通过之日起，招标方享有供应商免费提供的30天的信息系统试运行现场驻场服务期。该期间内，供应商应当按照招标方的要求提供现场技术支持服务，解决信息系统试运行期间可能出现的各类问题，或进一步提高与完善信息系统运行水平。</w:t>
      </w:r>
    </w:p>
    <w:p w14:paraId="4A1086D8">
      <w:pPr>
        <w:rPr>
          <w:rFonts w:hint="eastAsia" w:cs="宋体"/>
          <w:szCs w:val="21"/>
        </w:rPr>
      </w:pPr>
      <w:r>
        <w:rPr>
          <w:rFonts w:hint="eastAsia" w:cs="宋体"/>
          <w:szCs w:val="21"/>
        </w:rPr>
        <w:t>（5）初验通过且信息系统试运行期已经达到本项目约定的时间，经供应商确认信息系统具备正常运行条件，且信息系统通过运行测试，供应商应以书面形式通知招标方信息系统已准备就绪等待终验。招标方在收到终验通知后的20个工作日内发起组织专家验收会。</w:t>
      </w:r>
    </w:p>
    <w:p w14:paraId="3CDBB2FC">
      <w:pPr>
        <w:rPr>
          <w:rFonts w:hint="eastAsia" w:cs="宋体"/>
          <w:szCs w:val="21"/>
        </w:rPr>
      </w:pPr>
      <w:r>
        <w:rPr>
          <w:rFonts w:hint="eastAsia" w:cs="宋体"/>
          <w:szCs w:val="21"/>
        </w:rPr>
        <w:t>（6）如果属于供应商原因致使本项目未能通过终验，供应商应当排除缺陷，直至本项目完全符合验收标准，由上述情形而产生的相关费用应由供应商自行承担。</w:t>
      </w:r>
    </w:p>
    <w:p w14:paraId="10F5B5B0">
      <w:pPr>
        <w:rPr>
          <w:rFonts w:hint="eastAsia" w:cs="宋体"/>
          <w:szCs w:val="21"/>
        </w:rPr>
      </w:pPr>
      <w:r>
        <w:rPr>
          <w:rFonts w:hint="eastAsia" w:cs="宋体"/>
          <w:szCs w:val="21"/>
        </w:rPr>
        <w:t>（7）如果由于招标方原因导致本项目在终验通过前出现故障或问题，供应商应及时配合排除该方面的故障或问题。</w:t>
      </w:r>
    </w:p>
    <w:p w14:paraId="313133A2">
      <w:pPr>
        <w:rPr>
          <w:rFonts w:hint="eastAsia" w:cs="宋体"/>
          <w:szCs w:val="21"/>
        </w:rPr>
      </w:pPr>
      <w:r>
        <w:rPr>
          <w:rFonts w:hint="eastAsia" w:cs="宋体"/>
          <w:szCs w:val="21"/>
        </w:rPr>
        <w:t>（8）如本项目连续3次验收未通过（含初验未通过或终验未通过），招标方有权解除项目，并有权依照本项目约定的违约条款追究供应商的违约责任。</w:t>
      </w:r>
    </w:p>
    <w:p w14:paraId="32F83BE0">
      <w:pPr>
        <w:pStyle w:val="3"/>
        <w:numPr>
          <w:ilvl w:val="1"/>
          <w:numId w:val="3"/>
        </w:numPr>
        <w:rPr>
          <w:rFonts w:hint="eastAsia" w:cs="宋体"/>
        </w:rPr>
      </w:pPr>
      <w:r>
        <w:rPr>
          <w:rFonts w:hint="eastAsia" w:cs="宋体"/>
        </w:rPr>
        <w:t>进度要求</w:t>
      </w:r>
    </w:p>
    <w:p w14:paraId="322AAF6E">
      <w:pPr>
        <w:rPr>
          <w:rFonts w:hint="eastAsia" w:cs="宋体"/>
        </w:rPr>
      </w:pPr>
      <w:r>
        <w:rPr>
          <w:rFonts w:hint="eastAsia" w:cs="宋体"/>
        </w:rPr>
        <w:t>投标人应根据建设内容，分阶段制定合理的时间进度，并且应根据招标方要求进行调整和细化。</w:t>
      </w:r>
    </w:p>
    <w:p w14:paraId="6BD39C56">
      <w:pPr>
        <w:rPr>
          <w:rFonts w:hint="eastAsia" w:cs="宋体"/>
        </w:rPr>
      </w:pPr>
      <w:r>
        <w:rPr>
          <w:rFonts w:hint="eastAsia" w:cs="宋体"/>
        </w:rPr>
        <w:t>总建设周期为6个月，分为4个阶段。</w:t>
      </w:r>
    </w:p>
    <w:p w14:paraId="29BE163F">
      <w:pPr>
        <w:rPr>
          <w:rFonts w:hint="eastAsia" w:cs="宋体"/>
        </w:rPr>
      </w:pPr>
      <w:r>
        <w:rPr>
          <w:rFonts w:hint="eastAsia" w:cs="宋体"/>
        </w:rPr>
        <w:t>第一阶段为0.5个月，完成项目有关业务、系统和需求的调研，形成总体设计方案，完成系统架构、基础资源、功能等详细设计，并提供主体建设内容的部分系统原型。</w:t>
      </w:r>
    </w:p>
    <w:p w14:paraId="3B63E37E">
      <w:pPr>
        <w:rPr>
          <w:rFonts w:hint="eastAsia" w:cs="宋体"/>
        </w:rPr>
      </w:pPr>
      <w:r>
        <w:rPr>
          <w:rFonts w:hint="eastAsia" w:cs="宋体"/>
        </w:rPr>
        <w:t>第二阶段为3.5个月，完成数据归集整合、资源申请和各模块的开发与测试工作，完成系统联调与部署，发布beta测试版本。</w:t>
      </w:r>
    </w:p>
    <w:p w14:paraId="68417D42">
      <w:pPr>
        <w:rPr>
          <w:rFonts w:hint="eastAsia" w:cs="宋体"/>
        </w:rPr>
      </w:pPr>
      <w:r>
        <w:rPr>
          <w:rFonts w:hint="eastAsia" w:cs="宋体"/>
        </w:rPr>
        <w:t>第三阶段为1个月，完成项目功能试运行，修正各模块联调中出现的问题，完成系统完善和功能迭代，直至发布正式运行版本。</w:t>
      </w:r>
    </w:p>
    <w:p w14:paraId="3C5EBA34">
      <w:pPr>
        <w:rPr>
          <w:rFonts w:hint="eastAsia" w:cs="宋体"/>
        </w:rPr>
      </w:pPr>
      <w:r>
        <w:rPr>
          <w:rFonts w:hint="eastAsia" w:cs="宋体"/>
        </w:rPr>
        <w:t>第四阶段为1个月，完成项目验收并启动项目的正式运行，根据项目运行情况和验收要求开展项目测评、功能优化和绩效评价等工作。</w:t>
      </w:r>
    </w:p>
    <w:p w14:paraId="2388A82D">
      <w:pPr>
        <w:pStyle w:val="3"/>
        <w:numPr>
          <w:ilvl w:val="1"/>
          <w:numId w:val="3"/>
        </w:numPr>
        <w:rPr>
          <w:rFonts w:hint="eastAsia" w:cs="宋体"/>
        </w:rPr>
      </w:pPr>
      <w:r>
        <w:rPr>
          <w:rFonts w:hint="eastAsia" w:cs="宋体"/>
        </w:rPr>
        <w:t>项目团队及驻场人员要求</w:t>
      </w:r>
    </w:p>
    <w:p w14:paraId="22AE335C">
      <w:pPr>
        <w:rPr>
          <w:rFonts w:hint="eastAsia" w:cs="宋体"/>
        </w:rPr>
      </w:pPr>
      <w:r>
        <w:rPr>
          <w:rFonts w:hint="eastAsia" w:cs="宋体"/>
        </w:rPr>
        <w:t>1）投标人须具有稳定的在职技术保障力量，能够提供及时的技术支援或服务，应针对本项目提供不少于9人的项目服务团队（包括项目经理、产品经理、技术负责人、研发等），投标单位的相关服务人员需具备相应的服务能力，需提供相关证明。</w:t>
      </w:r>
    </w:p>
    <w:tbl>
      <w:tblPr>
        <w:tblStyle w:val="3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6"/>
        <w:gridCol w:w="1981"/>
        <w:gridCol w:w="1180"/>
        <w:gridCol w:w="2771"/>
        <w:gridCol w:w="1180"/>
      </w:tblGrid>
      <w:tr w14:paraId="780BC6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shd w:val="clear" w:color="auto" w:fill="auto"/>
            <w:noWrap/>
            <w:vAlign w:val="center"/>
          </w:tcPr>
          <w:p w14:paraId="33ECA023">
            <w:pPr>
              <w:widowControl/>
              <w:spacing w:line="240" w:lineRule="auto"/>
              <w:ind w:firstLine="0" w:firstLineChars="0"/>
              <w:jc w:val="center"/>
              <w:rPr>
                <w:rFonts w:hint="eastAsia" w:cs="宋体"/>
                <w:b/>
              </w:rPr>
            </w:pPr>
            <w:r>
              <w:rPr>
                <w:rFonts w:hint="eastAsia" w:cs="宋体"/>
                <w:b/>
              </w:rPr>
              <w:t>角色</w:t>
            </w:r>
          </w:p>
        </w:tc>
        <w:tc>
          <w:tcPr>
            <w:tcW w:w="1981" w:type="dxa"/>
            <w:shd w:val="clear" w:color="auto" w:fill="auto"/>
            <w:noWrap/>
            <w:vAlign w:val="center"/>
          </w:tcPr>
          <w:p w14:paraId="1CB99A11">
            <w:pPr>
              <w:widowControl/>
              <w:spacing w:line="240" w:lineRule="auto"/>
              <w:ind w:firstLine="0" w:firstLineChars="0"/>
              <w:jc w:val="center"/>
              <w:rPr>
                <w:rFonts w:hint="eastAsia" w:cs="宋体"/>
                <w:b/>
              </w:rPr>
            </w:pPr>
            <w:r>
              <w:rPr>
                <w:rFonts w:hint="eastAsia" w:cs="宋体"/>
                <w:b/>
              </w:rPr>
              <w:t>主要职责</w:t>
            </w:r>
          </w:p>
        </w:tc>
        <w:tc>
          <w:tcPr>
            <w:tcW w:w="0" w:type="auto"/>
            <w:shd w:val="clear" w:color="auto" w:fill="auto"/>
            <w:noWrap/>
            <w:vAlign w:val="center"/>
          </w:tcPr>
          <w:p w14:paraId="71745B22">
            <w:pPr>
              <w:widowControl/>
              <w:spacing w:line="240" w:lineRule="auto"/>
              <w:ind w:firstLine="0" w:firstLineChars="0"/>
              <w:jc w:val="center"/>
              <w:rPr>
                <w:rFonts w:hint="eastAsia" w:cs="宋体"/>
                <w:b/>
              </w:rPr>
            </w:pPr>
            <w:r>
              <w:rPr>
                <w:rFonts w:hint="eastAsia" w:cs="宋体"/>
                <w:b/>
              </w:rPr>
              <w:t>人员数量</w:t>
            </w:r>
          </w:p>
        </w:tc>
        <w:tc>
          <w:tcPr>
            <w:tcW w:w="0" w:type="auto"/>
            <w:vAlign w:val="center"/>
          </w:tcPr>
          <w:p w14:paraId="6544B73A">
            <w:pPr>
              <w:widowControl/>
              <w:spacing w:line="240" w:lineRule="auto"/>
              <w:ind w:firstLine="0" w:firstLineChars="0"/>
              <w:jc w:val="center"/>
              <w:rPr>
                <w:rFonts w:hint="eastAsia" w:cs="宋体"/>
                <w:b/>
              </w:rPr>
            </w:pPr>
            <w:r>
              <w:rPr>
                <w:rFonts w:hint="eastAsia" w:cs="宋体"/>
                <w:b/>
              </w:rPr>
              <w:t>人员要求</w:t>
            </w:r>
          </w:p>
        </w:tc>
        <w:tc>
          <w:tcPr>
            <w:tcW w:w="0" w:type="auto"/>
            <w:shd w:val="clear" w:color="auto" w:fill="auto"/>
            <w:noWrap/>
            <w:vAlign w:val="center"/>
          </w:tcPr>
          <w:p w14:paraId="1667CC7F">
            <w:pPr>
              <w:widowControl/>
              <w:spacing w:line="240" w:lineRule="auto"/>
              <w:ind w:firstLine="0" w:firstLineChars="0"/>
              <w:jc w:val="center"/>
              <w:rPr>
                <w:rFonts w:hint="eastAsia" w:cs="宋体"/>
                <w:b/>
              </w:rPr>
            </w:pPr>
            <w:r>
              <w:rPr>
                <w:rFonts w:hint="eastAsia" w:cs="宋体"/>
                <w:b/>
              </w:rPr>
              <w:t>驻场要求</w:t>
            </w:r>
          </w:p>
        </w:tc>
      </w:tr>
      <w:tr w14:paraId="593799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shd w:val="clear" w:color="auto" w:fill="auto"/>
            <w:noWrap/>
            <w:vAlign w:val="center"/>
          </w:tcPr>
          <w:p w14:paraId="2B1AA63E">
            <w:pPr>
              <w:widowControl/>
              <w:spacing w:line="240" w:lineRule="auto"/>
              <w:ind w:firstLine="0" w:firstLineChars="0"/>
              <w:jc w:val="center"/>
              <w:rPr>
                <w:rFonts w:hint="eastAsia" w:cs="宋体"/>
              </w:rPr>
            </w:pPr>
            <w:r>
              <w:rPr>
                <w:rFonts w:hint="eastAsia" w:cs="宋体"/>
              </w:rPr>
              <w:t>项目经理</w:t>
            </w:r>
          </w:p>
        </w:tc>
        <w:tc>
          <w:tcPr>
            <w:tcW w:w="1981" w:type="dxa"/>
            <w:shd w:val="clear" w:color="auto" w:fill="auto"/>
            <w:vAlign w:val="center"/>
          </w:tcPr>
          <w:p w14:paraId="4E519DA1">
            <w:pPr>
              <w:widowControl/>
              <w:spacing w:line="240" w:lineRule="auto"/>
              <w:ind w:firstLine="0" w:firstLineChars="0"/>
              <w:jc w:val="center"/>
              <w:rPr>
                <w:rFonts w:hint="eastAsia" w:cs="宋体"/>
              </w:rPr>
            </w:pPr>
            <w:r>
              <w:rPr>
                <w:rFonts w:hint="eastAsia" w:cs="宋体"/>
              </w:rPr>
              <w:t>负责项目质量和进度控制</w:t>
            </w:r>
          </w:p>
        </w:tc>
        <w:tc>
          <w:tcPr>
            <w:tcW w:w="0" w:type="auto"/>
            <w:shd w:val="clear" w:color="auto" w:fill="auto"/>
            <w:noWrap/>
            <w:vAlign w:val="center"/>
          </w:tcPr>
          <w:p w14:paraId="2778BEC1">
            <w:pPr>
              <w:widowControl/>
              <w:spacing w:line="240" w:lineRule="auto"/>
              <w:ind w:firstLine="0" w:firstLineChars="0"/>
              <w:jc w:val="center"/>
              <w:rPr>
                <w:rFonts w:hint="eastAsia" w:cs="宋体"/>
              </w:rPr>
            </w:pPr>
            <w:r>
              <w:rPr>
                <w:rFonts w:hint="eastAsia" w:cs="宋体"/>
              </w:rPr>
              <w:t>1人</w:t>
            </w:r>
          </w:p>
        </w:tc>
        <w:tc>
          <w:tcPr>
            <w:tcW w:w="0" w:type="auto"/>
          </w:tcPr>
          <w:p w14:paraId="4E4416B8">
            <w:pPr>
              <w:widowControl/>
              <w:spacing w:line="240" w:lineRule="auto"/>
              <w:ind w:firstLine="0" w:firstLineChars="0"/>
              <w:jc w:val="center"/>
              <w:rPr>
                <w:rFonts w:hint="eastAsia" w:cs="宋体"/>
              </w:rPr>
            </w:pPr>
            <w:r>
              <w:rPr>
                <w:rFonts w:hint="eastAsia" w:cs="宋体"/>
              </w:rPr>
              <w:t>本科及以上学历，且具有信息系统项目管理师（高级）证书</w:t>
            </w:r>
          </w:p>
        </w:tc>
        <w:tc>
          <w:tcPr>
            <w:tcW w:w="0" w:type="auto"/>
            <w:shd w:val="clear" w:color="auto" w:fill="auto"/>
            <w:noWrap/>
            <w:vAlign w:val="center"/>
          </w:tcPr>
          <w:p w14:paraId="40A3D9C8">
            <w:pPr>
              <w:widowControl/>
              <w:spacing w:line="240" w:lineRule="auto"/>
              <w:ind w:firstLine="0" w:firstLineChars="0"/>
              <w:jc w:val="center"/>
              <w:rPr>
                <w:rFonts w:hint="eastAsia" w:cs="宋体"/>
              </w:rPr>
            </w:pPr>
            <w:r>
              <w:rPr>
                <w:rFonts w:hint="eastAsia" w:cs="宋体"/>
              </w:rPr>
              <w:t>驻场</w:t>
            </w:r>
          </w:p>
        </w:tc>
      </w:tr>
      <w:tr w14:paraId="5CD4EB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shd w:val="clear" w:color="auto" w:fill="auto"/>
            <w:noWrap/>
          </w:tcPr>
          <w:p w14:paraId="648B84AA">
            <w:pPr>
              <w:widowControl/>
              <w:spacing w:line="240" w:lineRule="auto"/>
              <w:ind w:firstLine="0" w:firstLineChars="0"/>
              <w:jc w:val="center"/>
              <w:rPr>
                <w:rFonts w:hint="eastAsia" w:cs="宋体"/>
              </w:rPr>
            </w:pPr>
            <w:r>
              <w:rPr>
                <w:rFonts w:hint="eastAsia" w:cs="宋体"/>
              </w:rPr>
              <w:t>技术负责人</w:t>
            </w:r>
          </w:p>
        </w:tc>
        <w:tc>
          <w:tcPr>
            <w:tcW w:w="1981" w:type="dxa"/>
            <w:shd w:val="clear" w:color="auto" w:fill="auto"/>
          </w:tcPr>
          <w:p w14:paraId="1EB0D454">
            <w:pPr>
              <w:widowControl/>
              <w:spacing w:line="240" w:lineRule="auto"/>
              <w:ind w:firstLine="0" w:firstLineChars="0"/>
              <w:jc w:val="center"/>
              <w:rPr>
                <w:rFonts w:hint="eastAsia" w:cs="宋体"/>
              </w:rPr>
            </w:pPr>
            <w:r>
              <w:rPr>
                <w:rFonts w:hint="eastAsia" w:cs="宋体"/>
              </w:rPr>
              <w:t>负责项目具体开发、设计与实施</w:t>
            </w:r>
          </w:p>
        </w:tc>
        <w:tc>
          <w:tcPr>
            <w:tcW w:w="0" w:type="auto"/>
            <w:shd w:val="clear" w:color="auto" w:fill="auto"/>
            <w:noWrap/>
          </w:tcPr>
          <w:p w14:paraId="5F1C5A38">
            <w:pPr>
              <w:widowControl/>
              <w:spacing w:line="240" w:lineRule="auto"/>
              <w:ind w:firstLine="0" w:firstLineChars="0"/>
              <w:jc w:val="center"/>
              <w:rPr>
                <w:rFonts w:hint="eastAsia" w:cs="宋体"/>
              </w:rPr>
            </w:pPr>
            <w:r>
              <w:rPr>
                <w:rFonts w:hint="eastAsia" w:cs="宋体"/>
              </w:rPr>
              <w:t>1人</w:t>
            </w:r>
          </w:p>
        </w:tc>
        <w:tc>
          <w:tcPr>
            <w:tcW w:w="0" w:type="auto"/>
          </w:tcPr>
          <w:p w14:paraId="1D97CE29">
            <w:pPr>
              <w:widowControl/>
              <w:spacing w:line="240" w:lineRule="auto"/>
              <w:ind w:firstLine="0" w:firstLineChars="0"/>
              <w:jc w:val="center"/>
              <w:rPr>
                <w:rFonts w:hint="eastAsia" w:cs="宋体"/>
              </w:rPr>
            </w:pPr>
            <w:r>
              <w:rPr>
                <w:rFonts w:hint="eastAsia" w:cs="宋体"/>
              </w:rPr>
              <w:t>本科及以上学历，且具有计算机类高级工程师职称或信息安全工程师（中级）证书或系统集成项目管理工程师(中级)证书或信息安全保障人员认证证书</w:t>
            </w:r>
          </w:p>
        </w:tc>
        <w:tc>
          <w:tcPr>
            <w:tcW w:w="0" w:type="auto"/>
            <w:shd w:val="clear" w:color="auto" w:fill="auto"/>
            <w:noWrap/>
          </w:tcPr>
          <w:p w14:paraId="65F2D7DA">
            <w:pPr>
              <w:widowControl/>
              <w:spacing w:line="240" w:lineRule="auto"/>
              <w:ind w:firstLine="0" w:firstLineChars="0"/>
              <w:jc w:val="center"/>
              <w:rPr>
                <w:rFonts w:hint="eastAsia" w:cs="宋体"/>
              </w:rPr>
            </w:pPr>
            <w:r>
              <w:rPr>
                <w:rFonts w:hint="eastAsia" w:cs="宋体"/>
              </w:rPr>
              <w:t>驻场</w:t>
            </w:r>
          </w:p>
        </w:tc>
      </w:tr>
      <w:tr w14:paraId="386E74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shd w:val="clear" w:color="auto" w:fill="auto"/>
            <w:noWrap/>
            <w:vAlign w:val="center"/>
          </w:tcPr>
          <w:p w14:paraId="10D0F31C">
            <w:pPr>
              <w:widowControl/>
              <w:spacing w:line="240" w:lineRule="auto"/>
              <w:ind w:firstLine="0" w:firstLineChars="0"/>
              <w:jc w:val="center"/>
              <w:rPr>
                <w:rFonts w:hint="eastAsia" w:cs="宋体"/>
              </w:rPr>
            </w:pPr>
            <w:r>
              <w:rPr>
                <w:rFonts w:hint="eastAsia" w:cs="宋体"/>
              </w:rPr>
              <w:t>研发</w:t>
            </w:r>
          </w:p>
        </w:tc>
        <w:tc>
          <w:tcPr>
            <w:tcW w:w="1981" w:type="dxa"/>
            <w:shd w:val="clear" w:color="auto" w:fill="auto"/>
            <w:noWrap/>
            <w:vAlign w:val="center"/>
          </w:tcPr>
          <w:p w14:paraId="7C8AFD80">
            <w:pPr>
              <w:widowControl/>
              <w:spacing w:line="240" w:lineRule="auto"/>
              <w:ind w:firstLine="0" w:firstLineChars="0"/>
              <w:jc w:val="center"/>
              <w:rPr>
                <w:rFonts w:hint="eastAsia" w:cs="宋体"/>
              </w:rPr>
            </w:pPr>
            <w:r>
              <w:rPr>
                <w:rFonts w:hint="eastAsia" w:cs="宋体"/>
              </w:rPr>
              <w:t>负责项目具体开发与实施</w:t>
            </w:r>
          </w:p>
        </w:tc>
        <w:tc>
          <w:tcPr>
            <w:tcW w:w="0" w:type="auto"/>
            <w:shd w:val="clear" w:color="auto" w:fill="auto"/>
            <w:noWrap/>
            <w:vAlign w:val="center"/>
          </w:tcPr>
          <w:p w14:paraId="4485E034">
            <w:pPr>
              <w:widowControl/>
              <w:spacing w:line="240" w:lineRule="auto"/>
              <w:ind w:firstLine="0" w:firstLineChars="0"/>
              <w:jc w:val="center"/>
              <w:rPr>
                <w:rFonts w:hint="eastAsia" w:cs="宋体"/>
              </w:rPr>
            </w:pPr>
            <w:r>
              <w:rPr>
                <w:rFonts w:hint="eastAsia" w:cs="宋体"/>
              </w:rPr>
              <w:t>7人</w:t>
            </w:r>
          </w:p>
        </w:tc>
        <w:tc>
          <w:tcPr>
            <w:tcW w:w="0" w:type="auto"/>
          </w:tcPr>
          <w:p w14:paraId="36478451">
            <w:pPr>
              <w:widowControl/>
              <w:spacing w:line="240" w:lineRule="auto"/>
              <w:ind w:firstLine="0" w:firstLineChars="0"/>
              <w:jc w:val="center"/>
              <w:rPr>
                <w:rFonts w:hint="eastAsia" w:cs="宋体"/>
              </w:rPr>
            </w:pPr>
            <w:r>
              <w:rPr>
                <w:rFonts w:hint="eastAsia" w:cs="宋体"/>
              </w:rPr>
              <w:t>本科及以上学历</w:t>
            </w:r>
          </w:p>
        </w:tc>
        <w:tc>
          <w:tcPr>
            <w:tcW w:w="0" w:type="auto"/>
            <w:shd w:val="clear" w:color="auto" w:fill="auto"/>
            <w:noWrap/>
            <w:vAlign w:val="center"/>
          </w:tcPr>
          <w:p w14:paraId="2FD28812">
            <w:pPr>
              <w:widowControl/>
              <w:spacing w:line="240" w:lineRule="auto"/>
              <w:ind w:firstLine="0" w:firstLineChars="0"/>
              <w:jc w:val="center"/>
              <w:rPr>
                <w:rFonts w:hint="eastAsia" w:cs="宋体"/>
              </w:rPr>
            </w:pPr>
            <w:r>
              <w:rPr>
                <w:rFonts w:hint="eastAsia" w:cs="宋体"/>
              </w:rPr>
              <w:t>驻场3人</w:t>
            </w:r>
          </w:p>
        </w:tc>
      </w:tr>
    </w:tbl>
    <w:p w14:paraId="3EEDDB2A">
      <w:pPr>
        <w:rPr>
          <w:rFonts w:hint="eastAsia" w:cs="宋体"/>
        </w:rPr>
      </w:pPr>
      <w:r>
        <w:rPr>
          <w:rFonts w:hint="eastAsia" w:cs="宋体"/>
        </w:rPr>
        <w:t>2）投标人应针对本项目提供不少于5人的质保期间支撑团队（其中技术经理1人，产品经理1人，技术工程师不少于3人）；投标人的相关服务人员需具备相应的服务能力，需提供相关证明（最近一个季度依法缴纳社保费的证明）。</w:t>
      </w:r>
    </w:p>
    <w:tbl>
      <w:tblPr>
        <w:tblStyle w:val="3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6"/>
        <w:gridCol w:w="3118"/>
        <w:gridCol w:w="1180"/>
        <w:gridCol w:w="1634"/>
        <w:gridCol w:w="1180"/>
      </w:tblGrid>
      <w:tr w14:paraId="004200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shd w:val="clear" w:color="auto" w:fill="auto"/>
            <w:noWrap/>
            <w:vAlign w:val="center"/>
          </w:tcPr>
          <w:p w14:paraId="41ABE6DC">
            <w:pPr>
              <w:widowControl/>
              <w:spacing w:line="240" w:lineRule="auto"/>
              <w:ind w:firstLine="0" w:firstLineChars="0"/>
              <w:jc w:val="center"/>
              <w:rPr>
                <w:rFonts w:hint="eastAsia" w:cs="宋体"/>
                <w:b/>
              </w:rPr>
            </w:pPr>
            <w:r>
              <w:rPr>
                <w:rFonts w:hint="eastAsia" w:cs="宋体"/>
                <w:b/>
              </w:rPr>
              <w:t>角色</w:t>
            </w:r>
          </w:p>
        </w:tc>
        <w:tc>
          <w:tcPr>
            <w:tcW w:w="0" w:type="auto"/>
            <w:shd w:val="clear" w:color="auto" w:fill="auto"/>
            <w:noWrap/>
            <w:vAlign w:val="center"/>
          </w:tcPr>
          <w:p w14:paraId="4AF7D176">
            <w:pPr>
              <w:widowControl/>
              <w:spacing w:line="240" w:lineRule="auto"/>
              <w:ind w:firstLine="0" w:firstLineChars="0"/>
              <w:jc w:val="center"/>
              <w:rPr>
                <w:rFonts w:hint="eastAsia" w:cs="宋体"/>
                <w:b/>
              </w:rPr>
            </w:pPr>
            <w:r>
              <w:rPr>
                <w:rFonts w:hint="eastAsia" w:cs="宋体"/>
                <w:b/>
              </w:rPr>
              <w:t>主要职责</w:t>
            </w:r>
          </w:p>
        </w:tc>
        <w:tc>
          <w:tcPr>
            <w:tcW w:w="0" w:type="auto"/>
            <w:shd w:val="clear" w:color="auto" w:fill="auto"/>
            <w:noWrap/>
            <w:vAlign w:val="center"/>
          </w:tcPr>
          <w:p w14:paraId="0EA56B61">
            <w:pPr>
              <w:widowControl/>
              <w:spacing w:line="240" w:lineRule="auto"/>
              <w:ind w:firstLine="0" w:firstLineChars="0"/>
              <w:jc w:val="center"/>
              <w:rPr>
                <w:rFonts w:hint="eastAsia" w:cs="宋体"/>
                <w:b/>
              </w:rPr>
            </w:pPr>
            <w:r>
              <w:rPr>
                <w:rFonts w:hint="eastAsia" w:cs="宋体"/>
                <w:b/>
              </w:rPr>
              <w:t>人员数量</w:t>
            </w:r>
          </w:p>
        </w:tc>
        <w:tc>
          <w:tcPr>
            <w:tcW w:w="0" w:type="auto"/>
            <w:vAlign w:val="center"/>
          </w:tcPr>
          <w:p w14:paraId="76CDD430">
            <w:pPr>
              <w:widowControl/>
              <w:spacing w:line="240" w:lineRule="auto"/>
              <w:ind w:firstLine="0" w:firstLineChars="0"/>
              <w:jc w:val="center"/>
              <w:rPr>
                <w:rFonts w:hint="eastAsia" w:cs="宋体"/>
                <w:b/>
              </w:rPr>
            </w:pPr>
            <w:r>
              <w:rPr>
                <w:rFonts w:hint="eastAsia" w:cs="宋体"/>
                <w:b/>
              </w:rPr>
              <w:t>人员要求</w:t>
            </w:r>
          </w:p>
        </w:tc>
        <w:tc>
          <w:tcPr>
            <w:tcW w:w="0" w:type="auto"/>
            <w:shd w:val="clear" w:color="auto" w:fill="auto"/>
            <w:noWrap/>
            <w:vAlign w:val="center"/>
          </w:tcPr>
          <w:p w14:paraId="4889D1AC">
            <w:pPr>
              <w:widowControl/>
              <w:spacing w:line="240" w:lineRule="auto"/>
              <w:ind w:firstLine="0" w:firstLineChars="0"/>
              <w:jc w:val="center"/>
              <w:rPr>
                <w:rFonts w:hint="eastAsia" w:cs="宋体"/>
                <w:b/>
              </w:rPr>
            </w:pPr>
            <w:r>
              <w:rPr>
                <w:rFonts w:hint="eastAsia" w:cs="宋体"/>
                <w:b/>
              </w:rPr>
              <w:t>驻场要求</w:t>
            </w:r>
          </w:p>
        </w:tc>
      </w:tr>
      <w:tr w14:paraId="1B4E20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shd w:val="clear" w:color="auto" w:fill="auto"/>
            <w:noWrap/>
            <w:vAlign w:val="center"/>
          </w:tcPr>
          <w:p w14:paraId="26210088">
            <w:pPr>
              <w:widowControl/>
              <w:spacing w:line="240" w:lineRule="auto"/>
              <w:ind w:firstLine="0" w:firstLineChars="0"/>
              <w:jc w:val="center"/>
              <w:rPr>
                <w:rFonts w:hint="eastAsia" w:cs="宋体"/>
              </w:rPr>
            </w:pPr>
            <w:r>
              <w:rPr>
                <w:rFonts w:hint="eastAsia" w:cs="宋体"/>
              </w:rPr>
              <w:t>项目经理</w:t>
            </w:r>
          </w:p>
        </w:tc>
        <w:tc>
          <w:tcPr>
            <w:tcW w:w="0" w:type="auto"/>
            <w:shd w:val="clear" w:color="auto" w:fill="auto"/>
            <w:vAlign w:val="center"/>
          </w:tcPr>
          <w:p w14:paraId="5E3BB4DF">
            <w:pPr>
              <w:widowControl/>
              <w:spacing w:line="240" w:lineRule="auto"/>
              <w:ind w:firstLine="0" w:firstLineChars="0"/>
              <w:jc w:val="center"/>
              <w:rPr>
                <w:rFonts w:hint="eastAsia" w:cs="宋体"/>
              </w:rPr>
            </w:pPr>
            <w:r>
              <w:rPr>
                <w:rFonts w:hint="eastAsia" w:cs="宋体"/>
              </w:rPr>
              <w:t>负责项目质量和进度控制</w:t>
            </w:r>
          </w:p>
        </w:tc>
        <w:tc>
          <w:tcPr>
            <w:tcW w:w="0" w:type="auto"/>
            <w:shd w:val="clear" w:color="auto" w:fill="auto"/>
            <w:noWrap/>
            <w:vAlign w:val="center"/>
          </w:tcPr>
          <w:p w14:paraId="7D1AFE23">
            <w:pPr>
              <w:widowControl/>
              <w:spacing w:line="240" w:lineRule="auto"/>
              <w:ind w:firstLine="0" w:firstLineChars="0"/>
              <w:jc w:val="center"/>
              <w:rPr>
                <w:rFonts w:hint="eastAsia" w:cs="宋体"/>
              </w:rPr>
            </w:pPr>
            <w:r>
              <w:rPr>
                <w:rFonts w:hint="eastAsia" w:cs="宋体"/>
              </w:rPr>
              <w:t>1人</w:t>
            </w:r>
          </w:p>
        </w:tc>
        <w:tc>
          <w:tcPr>
            <w:tcW w:w="0" w:type="auto"/>
          </w:tcPr>
          <w:p w14:paraId="79E83501">
            <w:pPr>
              <w:widowControl/>
              <w:spacing w:line="240" w:lineRule="auto"/>
              <w:ind w:firstLine="0" w:firstLineChars="0"/>
              <w:jc w:val="center"/>
              <w:rPr>
                <w:rFonts w:hint="eastAsia" w:cs="宋体"/>
              </w:rPr>
            </w:pPr>
            <w:r>
              <w:rPr>
                <w:rFonts w:hint="eastAsia" w:cs="宋体"/>
              </w:rPr>
              <w:t>本科及以上学历</w:t>
            </w:r>
          </w:p>
        </w:tc>
        <w:tc>
          <w:tcPr>
            <w:tcW w:w="0" w:type="auto"/>
            <w:shd w:val="clear" w:color="auto" w:fill="auto"/>
            <w:noWrap/>
            <w:vAlign w:val="center"/>
          </w:tcPr>
          <w:p w14:paraId="78B03F1E">
            <w:pPr>
              <w:widowControl/>
              <w:spacing w:line="240" w:lineRule="auto"/>
              <w:ind w:firstLine="0" w:firstLineChars="0"/>
              <w:jc w:val="center"/>
              <w:rPr>
                <w:rFonts w:hint="eastAsia" w:cs="宋体"/>
              </w:rPr>
            </w:pPr>
            <w:r>
              <w:rPr>
                <w:rFonts w:hint="eastAsia" w:cs="宋体"/>
              </w:rPr>
              <w:t>不驻场</w:t>
            </w:r>
          </w:p>
        </w:tc>
      </w:tr>
      <w:tr w14:paraId="4B5D15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shd w:val="clear" w:color="auto" w:fill="auto"/>
            <w:noWrap/>
            <w:vAlign w:val="center"/>
          </w:tcPr>
          <w:p w14:paraId="09781E5B">
            <w:pPr>
              <w:widowControl/>
              <w:spacing w:line="240" w:lineRule="auto"/>
              <w:ind w:firstLine="0" w:firstLineChars="0"/>
              <w:jc w:val="center"/>
              <w:rPr>
                <w:rFonts w:hint="eastAsia" w:cs="宋体"/>
              </w:rPr>
            </w:pPr>
            <w:r>
              <w:rPr>
                <w:rFonts w:hint="eastAsia" w:cs="宋体"/>
              </w:rPr>
              <w:t>产品经理</w:t>
            </w:r>
          </w:p>
        </w:tc>
        <w:tc>
          <w:tcPr>
            <w:tcW w:w="0" w:type="auto"/>
            <w:shd w:val="clear" w:color="auto" w:fill="auto"/>
            <w:vAlign w:val="center"/>
          </w:tcPr>
          <w:p w14:paraId="370FD4E9">
            <w:pPr>
              <w:widowControl/>
              <w:spacing w:line="240" w:lineRule="auto"/>
              <w:ind w:firstLine="0" w:firstLineChars="0"/>
              <w:jc w:val="center"/>
              <w:rPr>
                <w:rFonts w:hint="eastAsia" w:cs="宋体"/>
              </w:rPr>
            </w:pPr>
            <w:r>
              <w:rPr>
                <w:rFonts w:hint="eastAsia" w:cs="宋体"/>
              </w:rPr>
              <w:t>负责项目需求评估与产品设计</w:t>
            </w:r>
          </w:p>
        </w:tc>
        <w:tc>
          <w:tcPr>
            <w:tcW w:w="0" w:type="auto"/>
            <w:shd w:val="clear" w:color="auto" w:fill="auto"/>
            <w:noWrap/>
            <w:vAlign w:val="center"/>
          </w:tcPr>
          <w:p w14:paraId="622E56FE">
            <w:pPr>
              <w:widowControl/>
              <w:spacing w:line="240" w:lineRule="auto"/>
              <w:ind w:firstLine="0" w:firstLineChars="0"/>
              <w:jc w:val="center"/>
              <w:rPr>
                <w:rFonts w:hint="eastAsia" w:cs="宋体"/>
              </w:rPr>
            </w:pPr>
            <w:r>
              <w:rPr>
                <w:rFonts w:hint="eastAsia" w:cs="宋体"/>
              </w:rPr>
              <w:t>1人</w:t>
            </w:r>
          </w:p>
        </w:tc>
        <w:tc>
          <w:tcPr>
            <w:tcW w:w="0" w:type="auto"/>
          </w:tcPr>
          <w:p w14:paraId="4E31E618">
            <w:pPr>
              <w:widowControl/>
              <w:spacing w:line="240" w:lineRule="auto"/>
              <w:ind w:firstLine="0" w:firstLineChars="0"/>
              <w:jc w:val="center"/>
              <w:rPr>
                <w:rFonts w:hint="eastAsia" w:cs="宋体"/>
              </w:rPr>
            </w:pPr>
            <w:r>
              <w:rPr>
                <w:rFonts w:hint="eastAsia" w:cs="宋体"/>
              </w:rPr>
              <w:t>本科及以上学历</w:t>
            </w:r>
          </w:p>
        </w:tc>
        <w:tc>
          <w:tcPr>
            <w:tcW w:w="0" w:type="auto"/>
            <w:shd w:val="clear" w:color="auto" w:fill="auto"/>
            <w:noWrap/>
            <w:vAlign w:val="center"/>
          </w:tcPr>
          <w:p w14:paraId="5D165095">
            <w:pPr>
              <w:widowControl/>
              <w:spacing w:line="240" w:lineRule="auto"/>
              <w:ind w:firstLine="0" w:firstLineChars="0"/>
              <w:jc w:val="center"/>
              <w:rPr>
                <w:rFonts w:hint="eastAsia" w:cs="宋体"/>
              </w:rPr>
            </w:pPr>
            <w:r>
              <w:rPr>
                <w:rFonts w:hint="eastAsia" w:cs="宋体"/>
              </w:rPr>
              <w:t>不驻场</w:t>
            </w:r>
          </w:p>
        </w:tc>
      </w:tr>
      <w:tr w14:paraId="71E6D4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shd w:val="clear" w:color="auto" w:fill="auto"/>
            <w:noWrap/>
            <w:vAlign w:val="center"/>
          </w:tcPr>
          <w:p w14:paraId="731C5543">
            <w:pPr>
              <w:widowControl/>
              <w:spacing w:line="240" w:lineRule="auto"/>
              <w:ind w:firstLine="0" w:firstLineChars="0"/>
              <w:jc w:val="center"/>
              <w:rPr>
                <w:rFonts w:hint="eastAsia" w:cs="宋体"/>
              </w:rPr>
            </w:pPr>
            <w:r>
              <w:rPr>
                <w:rFonts w:hint="eastAsia" w:cs="宋体"/>
              </w:rPr>
              <w:t>技术工程师</w:t>
            </w:r>
          </w:p>
        </w:tc>
        <w:tc>
          <w:tcPr>
            <w:tcW w:w="0" w:type="auto"/>
            <w:shd w:val="clear" w:color="auto" w:fill="auto"/>
            <w:noWrap/>
            <w:vAlign w:val="center"/>
          </w:tcPr>
          <w:p w14:paraId="7BC74128">
            <w:pPr>
              <w:widowControl/>
              <w:spacing w:line="240" w:lineRule="auto"/>
              <w:ind w:firstLine="0" w:firstLineChars="0"/>
              <w:jc w:val="center"/>
              <w:rPr>
                <w:rFonts w:hint="eastAsia" w:cs="宋体"/>
              </w:rPr>
            </w:pPr>
            <w:r>
              <w:rPr>
                <w:rFonts w:hint="eastAsia" w:cs="宋体"/>
              </w:rPr>
              <w:t>负责项目运行维护</w:t>
            </w:r>
          </w:p>
        </w:tc>
        <w:tc>
          <w:tcPr>
            <w:tcW w:w="0" w:type="auto"/>
            <w:shd w:val="clear" w:color="auto" w:fill="auto"/>
            <w:noWrap/>
            <w:vAlign w:val="center"/>
          </w:tcPr>
          <w:p w14:paraId="0C71FD10">
            <w:pPr>
              <w:widowControl/>
              <w:spacing w:line="240" w:lineRule="auto"/>
              <w:ind w:firstLine="0" w:firstLineChars="0"/>
              <w:jc w:val="center"/>
              <w:rPr>
                <w:rFonts w:hint="eastAsia" w:cs="宋体"/>
              </w:rPr>
            </w:pPr>
            <w:r>
              <w:rPr>
                <w:rFonts w:hint="eastAsia" w:cs="宋体"/>
              </w:rPr>
              <w:t>3人</w:t>
            </w:r>
          </w:p>
        </w:tc>
        <w:tc>
          <w:tcPr>
            <w:tcW w:w="0" w:type="auto"/>
          </w:tcPr>
          <w:p w14:paraId="68F76713">
            <w:pPr>
              <w:widowControl/>
              <w:spacing w:line="240" w:lineRule="auto"/>
              <w:ind w:firstLine="0" w:firstLineChars="0"/>
              <w:jc w:val="center"/>
              <w:rPr>
                <w:rFonts w:hint="eastAsia" w:cs="宋体"/>
              </w:rPr>
            </w:pPr>
            <w:r>
              <w:rPr>
                <w:rFonts w:hint="eastAsia" w:cs="宋体"/>
              </w:rPr>
              <w:t>本科及以上学历</w:t>
            </w:r>
          </w:p>
        </w:tc>
        <w:tc>
          <w:tcPr>
            <w:tcW w:w="0" w:type="auto"/>
            <w:shd w:val="clear" w:color="auto" w:fill="auto"/>
            <w:noWrap/>
            <w:vAlign w:val="center"/>
          </w:tcPr>
          <w:p w14:paraId="1C4D06A2">
            <w:pPr>
              <w:widowControl/>
              <w:spacing w:line="240" w:lineRule="auto"/>
              <w:ind w:firstLine="0" w:firstLineChars="0"/>
              <w:jc w:val="center"/>
              <w:rPr>
                <w:rFonts w:hint="eastAsia" w:cs="宋体"/>
              </w:rPr>
            </w:pPr>
            <w:r>
              <w:rPr>
                <w:rFonts w:hint="eastAsia" w:cs="宋体"/>
              </w:rPr>
              <w:t>驻场2人</w:t>
            </w:r>
          </w:p>
        </w:tc>
      </w:tr>
    </w:tbl>
    <w:p w14:paraId="38EFEBAC">
      <w:pPr>
        <w:pStyle w:val="3"/>
        <w:numPr>
          <w:ilvl w:val="1"/>
          <w:numId w:val="3"/>
        </w:numPr>
        <w:rPr>
          <w:rFonts w:hint="eastAsia" w:cs="宋体"/>
        </w:rPr>
      </w:pPr>
      <w:r>
        <w:rPr>
          <w:rFonts w:hint="eastAsia" w:cs="宋体"/>
        </w:rPr>
        <w:t>等级保护要求</w:t>
      </w:r>
    </w:p>
    <w:p w14:paraId="763E5C69">
      <w:pPr>
        <w:rPr>
          <w:rFonts w:hint="eastAsia" w:cs="宋体"/>
        </w:rPr>
      </w:pPr>
      <w:r>
        <w:rPr>
          <w:rFonts w:hint="eastAsia" w:cs="宋体"/>
        </w:rPr>
        <w:t>本项目等级保护要求： 参照等保三级要求建设。</w:t>
      </w:r>
    </w:p>
    <w:p w14:paraId="75C8AB1C">
      <w:pPr>
        <w:pStyle w:val="3"/>
        <w:numPr>
          <w:ilvl w:val="1"/>
          <w:numId w:val="3"/>
        </w:numPr>
        <w:rPr>
          <w:rFonts w:hint="eastAsia" w:cs="宋体"/>
        </w:rPr>
      </w:pPr>
      <w:r>
        <w:rPr>
          <w:rFonts w:hint="eastAsia" w:cs="宋体"/>
        </w:rPr>
        <w:t>商业密码应用需求</w:t>
      </w:r>
    </w:p>
    <w:p w14:paraId="4A90D2C4">
      <w:pPr>
        <w:rPr>
          <w:rFonts w:hint="eastAsia" w:cs="宋体"/>
        </w:rPr>
      </w:pPr>
      <w:r>
        <w:rPr>
          <w:rFonts w:hint="eastAsia" w:cs="宋体"/>
        </w:rPr>
        <w:t>满足商业密码应用建设要求，并通过商业密码应用安全测评，综合评分需达到75分。</w:t>
      </w:r>
    </w:p>
    <w:p w14:paraId="68A990FC">
      <w:pPr>
        <w:pStyle w:val="3"/>
        <w:numPr>
          <w:ilvl w:val="1"/>
          <w:numId w:val="3"/>
        </w:numPr>
        <w:rPr>
          <w:rFonts w:hint="eastAsia" w:cs="宋体"/>
        </w:rPr>
      </w:pPr>
      <w:r>
        <w:rPr>
          <w:rFonts w:hint="eastAsia" w:cs="宋体"/>
        </w:rPr>
        <w:t>技术文件要求</w:t>
      </w:r>
    </w:p>
    <w:p w14:paraId="2EA68D2E">
      <w:pPr>
        <w:rPr>
          <w:rFonts w:hint="eastAsia" w:cs="宋体"/>
        </w:rPr>
      </w:pPr>
      <w:r>
        <w:rPr>
          <w:rFonts w:hint="eastAsia" w:cs="宋体"/>
        </w:rPr>
        <w:t>投标人提供的书面技术资料应能确保系统正常运行所需的管理、运营及维护有关的全套文件。技术文件应该全面、完整、详细。投标人提供的技术文件至少应包括：</w:t>
      </w:r>
    </w:p>
    <w:p w14:paraId="067E855E">
      <w:pPr>
        <w:rPr>
          <w:rFonts w:hint="eastAsia" w:cs="宋体"/>
        </w:rPr>
      </w:pPr>
      <w:r>
        <w:rPr>
          <w:rFonts w:hint="eastAsia" w:cs="宋体"/>
        </w:rPr>
        <w:t xml:space="preserve">－ 系统说明文件； </w:t>
      </w:r>
    </w:p>
    <w:p w14:paraId="2BADDCA2">
      <w:pPr>
        <w:rPr>
          <w:rFonts w:hint="eastAsia" w:cs="宋体"/>
        </w:rPr>
      </w:pPr>
      <w:r>
        <w:rPr>
          <w:rFonts w:hint="eastAsia" w:cs="宋体"/>
        </w:rPr>
        <w:t xml:space="preserve">－ 技术手册(安装、测试、操作、维护、故障排除等)； </w:t>
      </w:r>
    </w:p>
    <w:p w14:paraId="582E0DE0">
      <w:pPr>
        <w:rPr>
          <w:rFonts w:hint="eastAsia" w:cs="宋体"/>
        </w:rPr>
      </w:pPr>
      <w:r>
        <w:rPr>
          <w:rFonts w:hint="eastAsia" w:cs="宋体"/>
        </w:rPr>
        <w:t>－ 项目文档，应该包括：</w:t>
      </w:r>
    </w:p>
    <w:p w14:paraId="38069984">
      <w:pPr>
        <w:ind w:left="360"/>
        <w:rPr>
          <w:rFonts w:hint="eastAsia" w:cs="宋体"/>
        </w:rPr>
      </w:pPr>
      <w:r>
        <w:rPr>
          <w:rFonts w:hint="eastAsia" w:cs="宋体"/>
        </w:rPr>
        <w:t>(1)软件需求说明书</w:t>
      </w:r>
    </w:p>
    <w:p w14:paraId="489864E5">
      <w:pPr>
        <w:ind w:left="360"/>
        <w:rPr>
          <w:rFonts w:hint="eastAsia" w:cs="宋体"/>
        </w:rPr>
      </w:pPr>
      <w:r>
        <w:rPr>
          <w:rFonts w:hint="eastAsia" w:cs="宋体"/>
        </w:rPr>
        <w:t>(2)</w:t>
      </w:r>
      <w:r>
        <w:rPr>
          <w:rFonts w:hint="eastAsia" w:cs="宋体"/>
        </w:rPr>
        <w:tab/>
      </w:r>
      <w:r>
        <w:rPr>
          <w:rFonts w:hint="eastAsia" w:cs="宋体"/>
        </w:rPr>
        <w:t>系统总体设计说明书</w:t>
      </w:r>
    </w:p>
    <w:p w14:paraId="0D79BCF3">
      <w:pPr>
        <w:ind w:left="360"/>
        <w:rPr>
          <w:rFonts w:hint="eastAsia" w:cs="宋体"/>
        </w:rPr>
      </w:pPr>
      <w:r>
        <w:rPr>
          <w:rFonts w:hint="eastAsia" w:cs="宋体"/>
        </w:rPr>
        <w:t>(3)</w:t>
      </w:r>
      <w:r>
        <w:rPr>
          <w:rFonts w:hint="eastAsia" w:cs="宋体"/>
        </w:rPr>
        <w:tab/>
      </w:r>
      <w:r>
        <w:rPr>
          <w:rFonts w:hint="eastAsia" w:cs="宋体"/>
        </w:rPr>
        <w:t>应用软件功能清单</w:t>
      </w:r>
    </w:p>
    <w:p w14:paraId="0B7746E5">
      <w:pPr>
        <w:rPr>
          <w:rFonts w:hint="eastAsia" w:cs="宋体"/>
        </w:rPr>
      </w:pPr>
      <w:r>
        <w:rPr>
          <w:rFonts w:hint="eastAsia" w:cs="宋体"/>
        </w:rPr>
        <w:t>提供全套技术文件纸介质3套以及电子文件1套。</w:t>
      </w:r>
    </w:p>
    <w:p w14:paraId="21712111">
      <w:pPr>
        <w:pStyle w:val="2"/>
        <w:numPr>
          <w:ilvl w:val="0"/>
          <w:numId w:val="3"/>
        </w:numPr>
        <w:rPr>
          <w:rFonts w:hint="eastAsia" w:eastAsia="宋体" w:cs="宋体"/>
        </w:rPr>
      </w:pPr>
      <w:r>
        <w:rPr>
          <w:rFonts w:hint="eastAsia" w:eastAsia="宋体" w:cs="宋体"/>
        </w:rPr>
        <w:t>供应商资质要求</w:t>
      </w:r>
    </w:p>
    <w:p w14:paraId="055D554E">
      <w:pPr>
        <w:rPr>
          <w:rFonts w:hint="eastAsia" w:cs="宋体"/>
        </w:rPr>
      </w:pPr>
      <w:r>
        <w:rPr>
          <w:rFonts w:hint="eastAsia" w:cs="宋体"/>
        </w:rPr>
        <w:t>1、符合《中华人民共和国政府采购法》第二十二条规定的供应商。</w:t>
      </w:r>
    </w:p>
    <w:p w14:paraId="4B63B934">
      <w:pPr>
        <w:rPr>
          <w:rFonts w:hint="eastAsia" w:cs="宋体"/>
        </w:rPr>
      </w:pPr>
      <w:r>
        <w:rPr>
          <w:rFonts w:hint="eastAsia" w:cs="宋体"/>
        </w:rPr>
        <w:t>2、根据《上海市政府采购供应商登记及诚信管理办法》已登记入库的供应商。</w:t>
      </w:r>
    </w:p>
    <w:p w14:paraId="28540ED3">
      <w:pPr>
        <w:rPr>
          <w:rFonts w:hint="eastAsia" w:cs="宋体"/>
        </w:rPr>
      </w:pPr>
      <w:r>
        <w:rPr>
          <w:rFonts w:hint="eastAsia" w:cs="宋体"/>
        </w:rPr>
        <w:t>3、其他资格要求：</w:t>
      </w:r>
    </w:p>
    <w:p w14:paraId="1E3BDC22">
      <w:pPr>
        <w:rPr>
          <w:rFonts w:hint="eastAsia" w:cs="宋体"/>
        </w:rPr>
      </w:pPr>
      <w:r>
        <w:rPr>
          <w:rFonts w:hint="eastAsia" w:cs="宋体"/>
        </w:rPr>
        <w:t>3.1本项目面向大、中、小、微型等各类供应商采购。</w:t>
      </w:r>
    </w:p>
    <w:p w14:paraId="57DD8D03">
      <w:pPr>
        <w:rPr>
          <w:rFonts w:cs="宋体"/>
        </w:rPr>
      </w:pPr>
      <w:r>
        <w:rPr>
          <w:rFonts w:hint="eastAsia" w:cs="宋体"/>
        </w:rPr>
        <w:t>3.2未被列入“信用中国”网站(www.creditchina.gov.cn)失信被执行人名单、重大税收违法案件当事人名单和中国政府采购网(www.ccgp.gov.cn)政府采购严重违法失信行为记录名单。</w:t>
      </w:r>
    </w:p>
    <w:p w14:paraId="5EBB6768">
      <w:pPr>
        <w:pStyle w:val="2"/>
        <w:numPr>
          <w:ilvl w:val="0"/>
          <w:numId w:val="3"/>
        </w:numPr>
        <w:ind w:left="425" w:hanging="425"/>
        <w:rPr>
          <w:rFonts w:eastAsia="宋体" w:cs="宋体"/>
        </w:rPr>
      </w:pPr>
      <w:r>
        <w:rPr>
          <w:rFonts w:hint="eastAsia" w:eastAsia="宋体" w:cs="宋体"/>
        </w:rPr>
        <w:t>供应商证书要求</w:t>
      </w:r>
    </w:p>
    <w:p w14:paraId="567AF6B8">
      <w:pPr>
        <w:rPr>
          <w:rFonts w:hint="eastAsia"/>
        </w:rPr>
      </w:pPr>
      <w:r>
        <w:rPr>
          <w:rFonts w:hint="eastAsia"/>
        </w:rPr>
        <w:t>供应商具有ISO27001信息安全管理体系认证证书、ISO20000信息技术服务管理体系认证证书、ISO9001 质量管理体系认证证书等证书</w:t>
      </w:r>
      <w:r>
        <w:rPr>
          <w:rFonts w:hint="eastAsia"/>
          <w:lang w:eastAsia="zh-CN"/>
        </w:rPr>
        <w:t>优先考虑</w:t>
      </w:r>
      <w:bookmarkStart w:id="3" w:name="_GoBack"/>
      <w:bookmarkEnd w:id="3"/>
      <w:r>
        <w:rPr>
          <w:rFonts w:hint="eastAsia"/>
        </w:rPr>
        <w:t>。</w:t>
      </w:r>
    </w:p>
    <w:p w14:paraId="09394727">
      <w:pPr>
        <w:pStyle w:val="2"/>
        <w:numPr>
          <w:ilvl w:val="0"/>
          <w:numId w:val="3"/>
        </w:numPr>
        <w:rPr>
          <w:rFonts w:hint="eastAsia" w:eastAsia="宋体" w:cs="宋体"/>
        </w:rPr>
      </w:pPr>
      <w:r>
        <w:rPr>
          <w:rFonts w:hint="eastAsia" w:eastAsia="宋体" w:cs="宋体"/>
        </w:rPr>
        <w:t>供应商管理要求</w:t>
      </w:r>
    </w:p>
    <w:p w14:paraId="5BD3561C">
      <w:pPr>
        <w:pStyle w:val="80"/>
        <w:ind w:firstLine="480"/>
        <w:rPr>
          <w:rFonts w:hint="eastAsia" w:cs="宋体"/>
          <w:sz w:val="24"/>
          <w:szCs w:val="24"/>
        </w:rPr>
      </w:pPr>
      <w:r>
        <w:rPr>
          <w:rFonts w:hint="eastAsia" w:cs="宋体"/>
          <w:sz w:val="24"/>
          <w:szCs w:val="24"/>
        </w:rPr>
        <w:t>1、在项目实施期间，中标人应严格执行国家、地方、行业有关本项目业务管理和安全作业的法律、法规和制度并按规定承担相应的费用。中标人因违反规定等原因造成的一切损失和责任由中标人自行承担。</w:t>
      </w:r>
    </w:p>
    <w:p w14:paraId="10935A0D">
      <w:pPr>
        <w:pStyle w:val="80"/>
        <w:ind w:firstLine="480"/>
        <w:rPr>
          <w:rFonts w:hint="eastAsia" w:cs="宋体"/>
          <w:sz w:val="24"/>
          <w:szCs w:val="24"/>
        </w:rPr>
      </w:pPr>
      <w:r>
        <w:rPr>
          <w:rFonts w:hint="eastAsia" w:cs="宋体"/>
          <w:sz w:val="24"/>
          <w:szCs w:val="24"/>
        </w:rPr>
        <w:t>2、中标人在投标书中承诺并经招标人认定的项目负责人及专业技术人员必须是本单位职工（在本单位缴纳社会保障金）和该项目实施现场的实际操作者，应具有类似本项目的实施经验，并应在软件应用调研、安装、试运行等期间常驻项目现场。未经采购人同意，中标人不得调换或撤离上述人员。如采购人认为有必要，可要求中标人对上述人员中的部分人员作出更好的调整。</w:t>
      </w:r>
    </w:p>
    <w:p w14:paraId="318D6F08">
      <w:pPr>
        <w:pStyle w:val="80"/>
        <w:ind w:firstLine="480"/>
        <w:rPr>
          <w:rFonts w:hint="eastAsia" w:cs="宋体"/>
          <w:sz w:val="24"/>
          <w:szCs w:val="24"/>
        </w:rPr>
      </w:pPr>
      <w:r>
        <w:rPr>
          <w:rFonts w:hint="eastAsia" w:cs="宋体"/>
          <w:sz w:val="24"/>
          <w:szCs w:val="24"/>
        </w:rPr>
        <w:t>3、中标人在项目实施期间，应按项目实际进度与环节落实所对应项目整体及各环节管理工作，按照规范做好项目实施期间相关管理与实施记录。</w:t>
      </w:r>
    </w:p>
    <w:p w14:paraId="07EE3DB0">
      <w:pPr>
        <w:pStyle w:val="80"/>
        <w:ind w:firstLine="480"/>
        <w:rPr>
          <w:rFonts w:hint="eastAsia" w:cs="宋体"/>
          <w:sz w:val="24"/>
          <w:szCs w:val="24"/>
        </w:rPr>
      </w:pPr>
      <w:r>
        <w:rPr>
          <w:rFonts w:hint="eastAsia" w:cs="宋体"/>
          <w:sz w:val="24"/>
          <w:szCs w:val="24"/>
        </w:rPr>
        <w:t>4、参与本项目的工作人员应严格遵循采购人的安全制度，保障采购人资料和设备的安全。中标方如需进入采购人机房工作，只能在采购人规定的工作区域内对项目涉及的设备进行操作，严禁触动与项目无关的任何设备（包括任何操作行为），如需跨区操作必须得到采购人项目联系人确认。</w:t>
      </w:r>
    </w:p>
    <w:p w14:paraId="2496405B">
      <w:pPr>
        <w:pStyle w:val="80"/>
        <w:ind w:firstLine="480"/>
        <w:rPr>
          <w:rFonts w:hint="eastAsia" w:cs="宋体"/>
          <w:sz w:val="24"/>
          <w:szCs w:val="24"/>
        </w:rPr>
      </w:pPr>
      <w:r>
        <w:rPr>
          <w:rFonts w:hint="eastAsia" w:cs="宋体"/>
          <w:sz w:val="24"/>
          <w:szCs w:val="24"/>
        </w:rPr>
        <w:t>5、中标人在项目实施期间必须遵守采购人的规章制度并提供实施人员名单。</w:t>
      </w:r>
    </w:p>
    <w:p w14:paraId="7F51DF68">
      <w:pPr>
        <w:pStyle w:val="80"/>
        <w:ind w:firstLine="480"/>
        <w:rPr>
          <w:rFonts w:hint="eastAsia" w:cs="宋体"/>
          <w:sz w:val="24"/>
          <w:szCs w:val="24"/>
        </w:rPr>
      </w:pPr>
      <w:r>
        <w:rPr>
          <w:rFonts w:hint="eastAsia" w:cs="宋体"/>
          <w:sz w:val="24"/>
          <w:szCs w:val="24"/>
        </w:rPr>
        <w:t>6、各投标人在投标文件中要结合本项目的特点和采购人上述的具体要求制定相应的管理措施，并在报价中列支相应的费用清单，投标人报价中未列支上述费用清单的，上述费用视为已包含在投标人的投标总报价中。</w:t>
      </w:r>
    </w:p>
    <w:p w14:paraId="5DAB2298">
      <w:pPr>
        <w:pStyle w:val="80"/>
        <w:ind w:firstLine="480"/>
        <w:rPr>
          <w:rFonts w:hint="eastAsia" w:cs="宋体"/>
        </w:rPr>
      </w:pPr>
      <w:r>
        <w:rPr>
          <w:rFonts w:hint="eastAsia" w:cs="宋体"/>
          <w:sz w:val="24"/>
          <w:szCs w:val="24"/>
        </w:rPr>
        <w:t>7、本项目软件开发及调试将纳入采购人的管理范围，中标人在此过程中须服从上述单位的管理协调。</w:t>
      </w:r>
    </w:p>
    <w:p w14:paraId="42A4C2C3">
      <w:pPr>
        <w:pStyle w:val="2"/>
        <w:numPr>
          <w:ilvl w:val="0"/>
          <w:numId w:val="3"/>
        </w:numPr>
        <w:rPr>
          <w:rFonts w:hint="eastAsia" w:eastAsia="宋体" w:cs="宋体"/>
        </w:rPr>
      </w:pPr>
      <w:r>
        <w:rPr>
          <w:rFonts w:hint="eastAsia" w:eastAsia="宋体" w:cs="宋体"/>
        </w:rPr>
        <w:t>关于转让和分包的规定</w:t>
      </w:r>
    </w:p>
    <w:p w14:paraId="1F8CF0B3">
      <w:pPr>
        <w:rPr>
          <w:rFonts w:hint="eastAsia" w:cs="宋体"/>
        </w:rPr>
      </w:pPr>
      <w:r>
        <w:rPr>
          <w:rFonts w:hint="eastAsia" w:cs="宋体"/>
        </w:rPr>
        <w:t>本项目不得转让不得分包。</w:t>
      </w:r>
    </w:p>
    <w:p w14:paraId="6C851F52">
      <w:pPr>
        <w:pStyle w:val="2"/>
        <w:numPr>
          <w:ilvl w:val="0"/>
          <w:numId w:val="3"/>
        </w:numPr>
        <w:rPr>
          <w:rFonts w:hint="eastAsia" w:eastAsia="宋体" w:cs="宋体"/>
        </w:rPr>
      </w:pPr>
      <w:r>
        <w:rPr>
          <w:rFonts w:hint="eastAsia" w:eastAsia="宋体" w:cs="宋体"/>
        </w:rPr>
        <w:t>知识产权及保密要求</w:t>
      </w:r>
    </w:p>
    <w:p w14:paraId="5A678875">
      <w:pPr>
        <w:ind w:firstLine="482"/>
        <w:rPr>
          <w:rFonts w:hint="eastAsia" w:cs="宋体"/>
          <w:b/>
        </w:rPr>
      </w:pPr>
      <w:r>
        <w:rPr>
          <w:rFonts w:hint="eastAsia" w:cs="宋体"/>
          <w:b/>
        </w:rPr>
        <w:t>1、中标人数据、文件、资料知识产权</w:t>
      </w:r>
    </w:p>
    <w:p w14:paraId="23B944CA">
      <w:pPr>
        <w:rPr>
          <w:rFonts w:hint="eastAsia" w:cs="宋体"/>
        </w:rPr>
      </w:pPr>
      <w:r>
        <w:rPr>
          <w:rFonts w:hint="eastAsia" w:cs="宋体"/>
        </w:rPr>
        <w:t>中标人保证其所提供的服务和交付的成果以及在履行本项目义务中使用到的所有数据、文件、信息不会引起任何第三方在专利权、著作权、商标权等知识产权方面向采购人或采购人的关联方及合作方（包括但不限于采购人的主管单位和采购人的合作单位等）发出侵权指控或提出索赔。若有，中标人应负责与第三方解决纠纷，若因此导致采购人损失的，采购人有权要求中标人赔偿采购人因此遭受的全部损失，包括但不限于直接损失、间接损失、诉讼费／仲裁费、律师费、公证费、鉴定费等。</w:t>
      </w:r>
    </w:p>
    <w:p w14:paraId="7D5486F5">
      <w:pPr>
        <w:rPr>
          <w:rFonts w:hint="eastAsia" w:cs="宋体"/>
        </w:rPr>
      </w:pPr>
      <w:r>
        <w:rPr>
          <w:rFonts w:hint="eastAsia" w:cs="宋体"/>
        </w:rPr>
        <w:t>中标人因履行本项目而产生的所有成果的知识产权等权利均归采购人所有，中标人应配合采购人进行相关权利登记或申请。未经采购人书面同意，中标人不得以任何形式使用或许可他人使用本项目成果的相关内容，不得擅自对外公开发表或向任何第三方透露。</w:t>
      </w:r>
    </w:p>
    <w:p w14:paraId="425419DA">
      <w:pPr>
        <w:rPr>
          <w:rFonts w:hint="eastAsia" w:cs="宋体"/>
        </w:rPr>
      </w:pPr>
      <w:r>
        <w:rPr>
          <w:rFonts w:hint="eastAsia" w:cs="宋体"/>
        </w:rPr>
        <w:t>在不影响上述条款规定的由采购人取得所有成果的知识产权的前提下，双方因履行本项目而被授权接触或使用对方之知识产权（包括但不限于商标、专利、著作权等），和/或任何其他相关资料、数据等涉及的任何权利，均不视为向另一方转让上述权利或在本项目范围外授权许可另一方使用上述权利，上述权利仍应属于提供方，并仅可使用于本项目，被授权接触或使用方未经提供方书面同意，不得擅自挪作他用。</w:t>
      </w:r>
    </w:p>
    <w:p w14:paraId="4A7A860F">
      <w:pPr>
        <w:ind w:firstLine="482"/>
        <w:rPr>
          <w:rFonts w:hint="eastAsia" w:cs="宋体"/>
          <w:b/>
        </w:rPr>
      </w:pPr>
      <w:r>
        <w:rPr>
          <w:rFonts w:hint="eastAsia" w:cs="宋体"/>
          <w:b/>
        </w:rPr>
        <w:t>2、项目保密要求</w:t>
      </w:r>
    </w:p>
    <w:p w14:paraId="689155F3">
      <w:pPr>
        <w:rPr>
          <w:rFonts w:hint="eastAsia" w:cs="宋体"/>
        </w:rPr>
      </w:pPr>
      <w:r>
        <w:rPr>
          <w:rFonts w:hint="eastAsia" w:cs="宋体"/>
        </w:rPr>
        <w:t>中标人因履行本项目而知悉的所有数据、信息和资料（包括但不限于账号信息、图表、文字、计算过程、任何形式的文件、访谈记录、现场实测数据、采购人相关工作程序等）以及因履行本项目而形成的数据、信息和任何形式的工作成果，均是采购人要求保密的信息。未经采购人书面同意，中标人不得对外泄露采购人要求保密的信息，不得用于其他用途，否则中标人需承担由此引起的法律责任和经济责任，包括但不限于直接损失、间接损失、律师费、诉讼费/仲裁费、调查费、公证费等。</w:t>
      </w:r>
    </w:p>
    <w:p w14:paraId="048637F6">
      <w:pPr>
        <w:rPr>
          <w:rFonts w:hint="eastAsia" w:cs="宋体"/>
        </w:rPr>
      </w:pPr>
      <w:r>
        <w:rPr>
          <w:rFonts w:hint="eastAsia" w:cs="宋体"/>
        </w:rPr>
        <w:t>中标人应采取必要的有效措施保证其参与本项目的人员（包括中标人聘用的人员、借调的人员、实习的人员）无论是在职或离职后，以及中标人的合作方无论是合作中或合作终止后，都能够履行本项目约定的保密义务。若中标人人员或中标人合作方违反保密规定，中标人应承担连带责任。</w:t>
      </w:r>
    </w:p>
    <w:p w14:paraId="121A2058">
      <w:pPr>
        <w:rPr>
          <w:rFonts w:hint="eastAsia" w:cs="宋体"/>
        </w:rPr>
      </w:pPr>
      <w:r>
        <w:rPr>
          <w:rFonts w:hint="eastAsia" w:cs="宋体"/>
        </w:rPr>
        <w:t>中标人（含中标人参与本项目的人员以及其合作方）未经采购方书面许可，不得以任何形式自行使用或以任何方式向第三方披露、转让、授权、出售与本项目有关的技术成果、计算机软件、源代码、策划文档、技术诀窍、秘密信息、技术资料和其他文件。</w:t>
      </w:r>
    </w:p>
    <w:p w14:paraId="4DF8D383">
      <w:pPr>
        <w:rPr>
          <w:rFonts w:hint="eastAsia" w:cs="宋体"/>
        </w:rPr>
      </w:pPr>
      <w:r>
        <w:rPr>
          <w:rFonts w:hint="eastAsia" w:cs="宋体"/>
        </w:rPr>
        <w:t>以上内容的保密期限自中标人知悉保密信息起始至保密信息被合法公开之日止。</w:t>
      </w:r>
    </w:p>
    <w:p w14:paraId="28BD038C">
      <w:pPr>
        <w:ind w:firstLine="482"/>
        <w:rPr>
          <w:rFonts w:hint="eastAsia" w:cs="宋体"/>
          <w:b/>
        </w:rPr>
      </w:pPr>
      <w:r>
        <w:rPr>
          <w:rFonts w:hint="eastAsia" w:cs="宋体"/>
          <w:b/>
        </w:rPr>
        <w:t>3、临时账号等使用要求</w:t>
      </w:r>
    </w:p>
    <w:p w14:paraId="5CCA8DFB">
      <w:pPr>
        <w:rPr>
          <w:rFonts w:hint="eastAsia" w:cs="宋体"/>
        </w:rPr>
      </w:pPr>
      <w:r>
        <w:rPr>
          <w:rFonts w:hint="eastAsia" w:cs="宋体"/>
        </w:rPr>
        <w:t>中标人对采购人提拱的临时使用账号要保密，不得公开，对组件开发的账号密码需进行加密，避免信息安全的泄露。未经采购人的同意不得利用采购人的网络及平台进行短信、彩信、微信发送,造成的一切后果由中标人负责。</w:t>
      </w:r>
    </w:p>
    <w:p w14:paraId="62473729">
      <w:pPr>
        <w:pStyle w:val="2"/>
        <w:numPr>
          <w:ilvl w:val="0"/>
          <w:numId w:val="3"/>
        </w:numPr>
        <w:rPr>
          <w:rFonts w:hint="eastAsia" w:eastAsia="宋体" w:cs="宋体"/>
        </w:rPr>
      </w:pPr>
      <w:r>
        <w:rPr>
          <w:rFonts w:hint="eastAsia" w:eastAsia="宋体" w:cs="宋体"/>
        </w:rPr>
        <w:t>项目的变更、</w:t>
      </w:r>
      <w:r>
        <w:rPr>
          <w:rFonts w:hint="eastAsia" w:eastAsia="宋体" w:cs="宋体"/>
          <w:lang w:val="en-US" w:eastAsia="zh-CN"/>
        </w:rPr>
        <w:t xml:space="preserve"> </w:t>
      </w:r>
      <w:r>
        <w:rPr>
          <w:rFonts w:hint="eastAsia" w:eastAsia="宋体" w:cs="宋体"/>
        </w:rPr>
        <w:t>解除和终止</w:t>
      </w:r>
    </w:p>
    <w:p w14:paraId="7AD289C1">
      <w:pPr>
        <w:rPr>
          <w:rFonts w:hint="eastAsia" w:cs="宋体"/>
        </w:rPr>
      </w:pPr>
      <w:r>
        <w:rPr>
          <w:rFonts w:hint="eastAsia" w:cs="宋体"/>
        </w:rPr>
        <w:t>如果中标人丧失履约能力、发生资不抵债或进入破产程序，采购人可在任何时候以书面形式通知中标人终止本项目的执行而不给予中标人补偿。该终止本项目将不损害或影响采购人已经采取或将要采取任何行动或补救措施的权利。</w:t>
      </w:r>
    </w:p>
    <w:p w14:paraId="440B089F">
      <w:pPr>
        <w:rPr>
          <w:rFonts w:hint="eastAsia" w:cs="宋体"/>
        </w:rPr>
      </w:pPr>
      <w:r>
        <w:rPr>
          <w:rFonts w:hint="eastAsia" w:cs="宋体"/>
        </w:rPr>
        <w:t>如遇国家、行业管理部门等机构的有关标准和规定调整的，导致本项目内容须做相应调整时，双方应按照公平、合理的原则共同协商修改本项目对应的合同的相关条款。</w:t>
      </w:r>
    </w:p>
    <w:p w14:paraId="2DB7AFA3">
      <w:pPr>
        <w:pStyle w:val="2"/>
        <w:numPr>
          <w:ilvl w:val="0"/>
          <w:numId w:val="3"/>
        </w:numPr>
        <w:rPr>
          <w:rFonts w:hint="eastAsia" w:eastAsia="宋体" w:cs="宋体"/>
        </w:rPr>
      </w:pPr>
      <w:r>
        <w:rPr>
          <w:rFonts w:hint="eastAsia" w:eastAsia="宋体" w:cs="宋体"/>
        </w:rPr>
        <w:t>付款方式</w:t>
      </w:r>
    </w:p>
    <w:p w14:paraId="7EFC7B50">
      <w:pPr>
        <w:rPr>
          <w:rFonts w:hint="eastAsia" w:cs="宋体"/>
        </w:rPr>
      </w:pPr>
      <w:r>
        <w:rPr>
          <w:rFonts w:hint="eastAsia" w:cs="宋体"/>
          <w:bCs/>
        </w:rPr>
        <w:t>本项目</w:t>
      </w:r>
      <w:r>
        <w:rPr>
          <w:rFonts w:hint="eastAsia" w:cs="宋体"/>
        </w:rPr>
        <w:t>采用两期分期付款：</w:t>
      </w:r>
    </w:p>
    <w:p w14:paraId="77C66B71">
      <w:pPr>
        <w:rPr>
          <w:rFonts w:hint="eastAsia" w:cs="宋体"/>
        </w:rPr>
      </w:pPr>
      <w:r>
        <w:rPr>
          <w:rFonts w:hint="eastAsia" w:cs="宋体"/>
          <w:color w:val="000000"/>
        </w:rPr>
        <w:t>合同签订生效且收到发票后10个工作日内</w:t>
      </w:r>
      <w:r>
        <w:rPr>
          <w:rFonts w:hint="eastAsia" w:cs="宋体"/>
        </w:rPr>
        <w:t>，支付合同总价款的70%；</w:t>
      </w:r>
    </w:p>
    <w:p w14:paraId="1214C557">
      <w:pPr>
        <w:rPr>
          <w:rFonts w:hint="eastAsia" w:cs="宋体"/>
        </w:rPr>
      </w:pPr>
      <w:r>
        <w:rPr>
          <w:rFonts w:hint="eastAsia" w:cs="宋体"/>
          <w:color w:val="000000"/>
        </w:rPr>
        <w:t>本项目通过最终验收且收到发票后10个工作日内</w:t>
      </w:r>
      <w:r>
        <w:rPr>
          <w:rFonts w:hint="eastAsia" w:cs="宋体"/>
        </w:rPr>
        <w:t>，支付合同总价款的30%。</w:t>
      </w:r>
    </w:p>
    <w:p w14:paraId="734B0097">
      <w:pPr>
        <w:rPr>
          <w:rFonts w:hint="eastAsia" w:cs="宋体"/>
        </w:rPr>
      </w:pPr>
      <w:r>
        <w:rPr>
          <w:rFonts w:hint="eastAsia" w:cs="宋体"/>
        </w:rPr>
        <w:t>付款条件备注：服务提供方应当在采购方每次付款前提前至少20个工作日向采购方提供有效发票。</w:t>
      </w:r>
    </w:p>
    <w:p w14:paraId="0ED1A648">
      <w:pPr>
        <w:rPr>
          <w:rFonts w:hint="eastAsia" w:cs="宋体"/>
        </w:rPr>
      </w:pPr>
    </w:p>
    <w:p w14:paraId="687D0924">
      <w:pPr>
        <w:pStyle w:val="2"/>
        <w:numPr>
          <w:ilvl w:val="0"/>
          <w:numId w:val="3"/>
        </w:numPr>
        <w:rPr>
          <w:rFonts w:hint="eastAsia" w:eastAsia="宋体" w:cs="宋体"/>
        </w:rPr>
      </w:pPr>
      <w:r>
        <w:rPr>
          <w:rFonts w:hint="eastAsia" w:eastAsia="宋体" w:cs="宋体"/>
        </w:rPr>
        <w:t>附录</w:t>
      </w:r>
    </w:p>
    <w:p w14:paraId="255EC6F3">
      <w:pPr>
        <w:ind w:firstLine="482"/>
        <w:rPr>
          <w:rFonts w:hint="eastAsia" w:cs="宋体"/>
          <w:b/>
        </w:rPr>
      </w:pPr>
      <w:r>
        <w:rPr>
          <w:rFonts w:hint="eastAsia" w:cs="宋体"/>
          <w:b/>
        </w:rPr>
        <w:t>若项目建设过程中需符合相关技术标准或规范文件的要求，请将相关文件作为附件列出。</w:t>
      </w:r>
    </w:p>
    <w:p w14:paraId="1CD3EAA5">
      <w:pPr>
        <w:ind w:firstLine="482"/>
        <w:rPr>
          <w:rFonts w:hint="eastAsia" w:cs="宋体"/>
        </w:rPr>
      </w:pPr>
      <w:r>
        <w:rPr>
          <w:rFonts w:hint="eastAsia" w:cs="宋体"/>
          <w:b/>
        </w:rPr>
        <w:t>参考如下：</w:t>
      </w:r>
    </w:p>
    <w:p w14:paraId="16EB7A64">
      <w:pPr>
        <w:ind w:firstLine="0" w:firstLineChars="0"/>
        <w:rPr>
          <w:rFonts w:hint="eastAsia" w:cs="宋体"/>
        </w:rPr>
      </w:pPr>
      <w:r>
        <w:rPr>
          <w:rFonts w:hint="eastAsia" w:cs="宋体"/>
        </w:rPr>
        <w:t>1、《政务网络安全监测平台总体技术要求》</w:t>
      </w:r>
    </w:p>
    <w:p w14:paraId="01808A07">
      <w:pPr>
        <w:ind w:firstLine="0" w:firstLineChars="0"/>
        <w:rPr>
          <w:rFonts w:hint="eastAsia" w:cs="宋体"/>
        </w:rPr>
      </w:pPr>
      <w:r>
        <w:rPr>
          <w:rFonts w:hint="eastAsia" w:cs="宋体"/>
        </w:rPr>
        <w:object>
          <v:shape id="_x0000_i1026" o:spt="75" type="#_x0000_t75" style="height:54.85pt;width:77pt;" o:ole="t" filled="f" o:preferrelative="t" stroked="f" coordsize="21600,21600">
            <v:path/>
            <v:fill on="f" focussize="0,0"/>
            <v:stroke on="f" joinstyle="miter"/>
            <v:imagedata r:id="rId18" o:title=""/>
            <o:lock v:ext="edit" aspectratio="t"/>
            <w10:wrap type="none"/>
            <w10:anchorlock/>
          </v:shape>
          <o:OLEObject Type="Embed" ProgID="Package" ShapeID="_x0000_i1026" DrawAspect="Icon" ObjectID="_1468075726" r:id="rId17">
            <o:LockedField>false</o:LockedField>
          </o:OLEObject>
        </w:object>
      </w:r>
    </w:p>
    <w:p w14:paraId="3062CC8F">
      <w:pPr>
        <w:ind w:firstLine="0" w:firstLineChars="0"/>
        <w:rPr>
          <w:rFonts w:hint="eastAsia" w:cs="宋体"/>
        </w:rPr>
      </w:pPr>
    </w:p>
    <w:p w14:paraId="7806AE4F">
      <w:pPr>
        <w:ind w:firstLine="0" w:firstLineChars="0"/>
        <w:jc w:val="left"/>
        <w:rPr>
          <w:rFonts w:hint="eastAsia" w:cs="宋体"/>
        </w:rPr>
      </w:pPr>
      <w:r>
        <w:rPr>
          <w:rFonts w:hint="eastAsia" w:cs="宋体"/>
        </w:rPr>
        <w:t>2、《上海市电子政务外网建设和运行管理指南（试行）》</w:t>
      </w:r>
    </w:p>
    <w:p w14:paraId="67763AFC">
      <w:pPr>
        <w:ind w:firstLine="0" w:firstLineChars="0"/>
        <w:jc w:val="left"/>
        <w:rPr>
          <w:rFonts w:hint="eastAsia" w:cs="宋体"/>
        </w:rPr>
      </w:pPr>
      <w:r>
        <w:rPr>
          <w:rFonts w:hint="eastAsia" w:cs="宋体"/>
        </w:rPr>
        <w:object>
          <v:shape id="_x0000_i1027" o:spt="75" type="#_x0000_t75" style="height:54.85pt;width:77pt;" o:ole="t" filled="f" o:preferrelative="t" stroked="f" coordsize="21600,21600">
            <v:path/>
            <v:fill on="f" focussize="0,0"/>
            <v:stroke on="f" joinstyle="miter"/>
            <v:imagedata r:id="rId20" o:title=""/>
            <o:lock v:ext="edit" aspectratio="t"/>
            <w10:wrap type="none"/>
            <w10:anchorlock/>
          </v:shape>
          <o:OLEObject Type="Embed" ProgID="Package" ShapeID="_x0000_i1027" DrawAspect="Icon" ObjectID="_1468075727" r:id="rId19">
            <o:LockedField>false</o:LockedField>
          </o:OLEObject>
        </w:object>
      </w:r>
    </w:p>
    <w:p w14:paraId="55EE5771">
      <w:pPr>
        <w:ind w:firstLine="0" w:firstLineChars="0"/>
        <w:jc w:val="left"/>
        <w:rPr>
          <w:rFonts w:hint="eastAsia" w:cs="宋体"/>
          <w:b/>
          <w:bCs/>
        </w:rPr>
      </w:pPr>
      <w:r>
        <w:rPr>
          <w:rFonts w:hint="eastAsia" w:cs="宋体"/>
        </w:rPr>
        <w:t>3、其他标准</w:t>
      </w:r>
    </w:p>
    <w:p w14:paraId="0B0256A4">
      <w:pPr>
        <w:spacing w:line="240" w:lineRule="auto"/>
        <w:ind w:firstLine="0" w:firstLineChars="0"/>
        <w:jc w:val="left"/>
        <w:rPr>
          <w:rFonts w:hint="eastAsia" w:cs="宋体"/>
        </w:rPr>
      </w:pPr>
    </w:p>
    <w:p w14:paraId="6EF9A004">
      <w:pPr>
        <w:spacing w:line="240" w:lineRule="auto"/>
        <w:ind w:firstLine="0" w:firstLineChars="0"/>
        <w:jc w:val="left"/>
        <w:rPr>
          <w:rFonts w:hint="eastAsia" w:cs="宋体"/>
        </w:rPr>
      </w:pPr>
    </w:p>
    <w:p w14:paraId="3D473108">
      <w:pPr>
        <w:spacing w:line="240" w:lineRule="auto"/>
        <w:ind w:firstLine="0" w:firstLineChars="0"/>
        <w:jc w:val="left"/>
        <w:rPr>
          <w:rFonts w:hint="eastAsia" w:cs="宋体"/>
        </w:rPr>
      </w:pPr>
    </w:p>
    <w:p w14:paraId="5B17713F">
      <w:pPr>
        <w:spacing w:line="240" w:lineRule="auto"/>
        <w:ind w:firstLine="0" w:firstLineChars="0"/>
        <w:jc w:val="left"/>
        <w:rPr>
          <w:rFonts w:hint="eastAsia" w:cs="宋体"/>
        </w:rPr>
      </w:pPr>
    </w:p>
    <w:p w14:paraId="76318FBB">
      <w:pPr>
        <w:spacing w:line="240" w:lineRule="auto"/>
        <w:ind w:firstLine="0" w:firstLineChars="0"/>
        <w:jc w:val="left"/>
        <w:rPr>
          <w:rFonts w:hint="eastAsia" w:cs="宋体"/>
        </w:rPr>
      </w:pPr>
    </w:p>
    <w:p w14:paraId="203EDAB9">
      <w:pPr>
        <w:spacing w:line="240" w:lineRule="auto"/>
        <w:ind w:firstLine="0" w:firstLineChars="0"/>
        <w:jc w:val="left"/>
        <w:rPr>
          <w:rFonts w:hint="eastAsia" w:cs="宋体"/>
        </w:rPr>
      </w:pPr>
    </w:p>
    <w:p w14:paraId="5CFF8CA5">
      <w:pPr>
        <w:spacing w:line="240" w:lineRule="auto"/>
        <w:ind w:firstLine="0" w:firstLineChars="0"/>
        <w:jc w:val="left"/>
        <w:rPr>
          <w:rFonts w:hint="eastAsia" w:cs="宋体"/>
        </w:rPr>
      </w:pPr>
    </w:p>
    <w:p w14:paraId="7AA27BAF">
      <w:pPr>
        <w:spacing w:line="240" w:lineRule="auto"/>
        <w:ind w:firstLine="0" w:firstLineChars="0"/>
        <w:jc w:val="left"/>
        <w:rPr>
          <w:rFonts w:hint="eastAsia" w:cs="宋体"/>
        </w:rPr>
      </w:pPr>
    </w:p>
    <w:p w14:paraId="06F40A4C">
      <w:pPr>
        <w:spacing w:line="240" w:lineRule="auto"/>
        <w:ind w:firstLine="0" w:firstLineChars="0"/>
        <w:jc w:val="left"/>
        <w:rPr>
          <w:rFonts w:hint="eastAsia" w:cs="宋体"/>
        </w:rPr>
      </w:pPr>
    </w:p>
    <w:p w14:paraId="62A0478E">
      <w:pPr>
        <w:spacing w:line="240" w:lineRule="auto"/>
        <w:ind w:firstLine="0" w:firstLineChars="0"/>
        <w:jc w:val="left"/>
        <w:rPr>
          <w:rFonts w:hint="eastAsia" w:cs="宋体"/>
        </w:rPr>
      </w:pPr>
    </w:p>
    <w:p w14:paraId="766E5192">
      <w:pPr>
        <w:spacing w:line="240" w:lineRule="auto"/>
        <w:ind w:firstLine="0" w:firstLineChars="0"/>
        <w:jc w:val="left"/>
        <w:rPr>
          <w:rFonts w:hint="eastAsia" w:cs="宋体"/>
        </w:rPr>
      </w:pPr>
    </w:p>
    <w:p w14:paraId="49FD4531">
      <w:pPr>
        <w:spacing w:line="240" w:lineRule="auto"/>
        <w:ind w:firstLine="0" w:firstLineChars="0"/>
        <w:jc w:val="left"/>
        <w:rPr>
          <w:rFonts w:hint="eastAsia" w:cs="宋体"/>
        </w:rPr>
      </w:pPr>
    </w:p>
    <w:p w14:paraId="12770FBD">
      <w:pPr>
        <w:spacing w:line="240" w:lineRule="auto"/>
        <w:ind w:firstLine="0" w:firstLineChars="0"/>
        <w:jc w:val="left"/>
        <w:rPr>
          <w:rFonts w:hint="eastAsia" w:cs="宋体"/>
        </w:rPr>
      </w:pPr>
    </w:p>
    <w:p w14:paraId="606CB2E0">
      <w:pPr>
        <w:spacing w:line="240" w:lineRule="auto"/>
        <w:ind w:firstLine="0" w:firstLineChars="0"/>
        <w:jc w:val="left"/>
        <w:rPr>
          <w:rFonts w:hint="eastAsia" w:cs="宋体"/>
        </w:rPr>
      </w:pPr>
    </w:p>
    <w:p w14:paraId="4074E503">
      <w:pPr>
        <w:spacing w:line="240" w:lineRule="auto"/>
        <w:ind w:firstLine="0" w:firstLineChars="0"/>
        <w:jc w:val="left"/>
        <w:rPr>
          <w:rFonts w:hint="eastAsia" w:cs="宋体"/>
        </w:rPr>
      </w:pPr>
    </w:p>
    <w:p w14:paraId="2C51FEF1">
      <w:pPr>
        <w:spacing w:line="240" w:lineRule="auto"/>
        <w:ind w:firstLine="0" w:firstLineChars="0"/>
        <w:jc w:val="left"/>
        <w:rPr>
          <w:rFonts w:hint="eastAsia" w:cs="宋体"/>
        </w:rPr>
      </w:pPr>
    </w:p>
    <w:p w14:paraId="2BA5E4C2">
      <w:pPr>
        <w:spacing w:line="240" w:lineRule="auto"/>
        <w:ind w:firstLine="0" w:firstLineChars="0"/>
        <w:jc w:val="left"/>
        <w:rPr>
          <w:rFonts w:hint="eastAsia" w:cs="宋体"/>
        </w:rPr>
      </w:pPr>
    </w:p>
    <w:p w14:paraId="1AF25A29">
      <w:pPr>
        <w:spacing w:line="240" w:lineRule="auto"/>
        <w:ind w:firstLine="0" w:firstLineChars="0"/>
        <w:jc w:val="left"/>
        <w:rPr>
          <w:rFonts w:hint="eastAsia" w:cs="宋体"/>
        </w:rPr>
      </w:pPr>
    </w:p>
    <w:p w14:paraId="43E35392">
      <w:pPr>
        <w:spacing w:line="240" w:lineRule="auto"/>
        <w:ind w:firstLine="0" w:firstLineChars="0"/>
        <w:jc w:val="left"/>
        <w:rPr>
          <w:rFonts w:hint="eastAsia" w:cs="宋体"/>
        </w:rPr>
      </w:pPr>
    </w:p>
    <w:p w14:paraId="6B4F0777">
      <w:pPr>
        <w:spacing w:line="240" w:lineRule="auto"/>
        <w:ind w:firstLine="0" w:firstLineChars="0"/>
        <w:jc w:val="left"/>
        <w:rPr>
          <w:rFonts w:hint="eastAsia" w:cs="宋体"/>
        </w:rPr>
      </w:pPr>
    </w:p>
    <w:p w14:paraId="6A5F13B7">
      <w:pPr>
        <w:spacing w:line="240" w:lineRule="auto"/>
        <w:ind w:firstLine="0" w:firstLineChars="0"/>
        <w:jc w:val="left"/>
        <w:rPr>
          <w:rFonts w:hint="eastAsia" w:cs="宋体"/>
        </w:rPr>
      </w:pPr>
    </w:p>
    <w:p w14:paraId="375154BA">
      <w:pPr>
        <w:spacing w:line="240" w:lineRule="auto"/>
        <w:ind w:firstLine="0" w:firstLineChars="0"/>
        <w:jc w:val="left"/>
        <w:rPr>
          <w:rFonts w:hint="eastAsia" w:cs="宋体"/>
        </w:rPr>
      </w:pPr>
    </w:p>
    <w:p w14:paraId="0E802E68">
      <w:pPr>
        <w:spacing w:line="240" w:lineRule="auto"/>
        <w:ind w:firstLine="0" w:firstLineChars="0"/>
        <w:jc w:val="left"/>
        <w:rPr>
          <w:rFonts w:hint="eastAsia" w:cs="宋体"/>
        </w:rPr>
      </w:pPr>
    </w:p>
    <w:p w14:paraId="3B927D9C">
      <w:pPr>
        <w:spacing w:line="240" w:lineRule="auto"/>
        <w:ind w:firstLine="0" w:firstLineChars="0"/>
        <w:jc w:val="left"/>
        <w:rPr>
          <w:rFonts w:hint="eastAsia" w:cs="宋体"/>
        </w:rPr>
      </w:pPr>
    </w:p>
    <w:p w14:paraId="08CD2C82">
      <w:pPr>
        <w:spacing w:line="240" w:lineRule="auto"/>
        <w:ind w:firstLine="0" w:firstLineChars="0"/>
        <w:jc w:val="left"/>
        <w:rPr>
          <w:rFonts w:hint="eastAsia" w:cs="宋体"/>
        </w:rPr>
      </w:pPr>
    </w:p>
    <w:p w14:paraId="43FF3110">
      <w:pPr>
        <w:spacing w:line="240" w:lineRule="auto"/>
        <w:ind w:firstLine="0" w:firstLineChars="0"/>
        <w:jc w:val="left"/>
        <w:rPr>
          <w:rFonts w:hint="eastAsia" w:cs="宋体"/>
        </w:rPr>
      </w:pPr>
    </w:p>
    <w:p w14:paraId="316CC147">
      <w:pPr>
        <w:spacing w:line="240" w:lineRule="auto"/>
        <w:ind w:firstLine="0" w:firstLineChars="0"/>
        <w:jc w:val="left"/>
        <w:rPr>
          <w:rFonts w:hint="eastAsia" w:cs="宋体"/>
        </w:rPr>
      </w:pPr>
    </w:p>
    <w:p w14:paraId="0C12DBF8">
      <w:pPr>
        <w:spacing w:line="240" w:lineRule="auto"/>
        <w:ind w:firstLine="0" w:firstLineChars="0"/>
        <w:jc w:val="left"/>
        <w:rPr>
          <w:rFonts w:hint="eastAsia" w:cs="宋体"/>
        </w:rPr>
      </w:pPr>
    </w:p>
    <w:p w14:paraId="3145E00E">
      <w:pPr>
        <w:spacing w:line="240" w:lineRule="auto"/>
        <w:ind w:firstLine="0" w:firstLineChars="0"/>
        <w:jc w:val="left"/>
        <w:rPr>
          <w:rFonts w:hint="eastAsia" w:cs="宋体"/>
        </w:rPr>
      </w:pPr>
    </w:p>
    <w:p w14:paraId="227C58D4">
      <w:pPr>
        <w:spacing w:line="240" w:lineRule="auto"/>
        <w:ind w:firstLine="0" w:firstLineChars="0"/>
        <w:jc w:val="left"/>
        <w:rPr>
          <w:rFonts w:hint="eastAsia" w:cs="宋体"/>
        </w:rPr>
      </w:pPr>
    </w:p>
    <w:p w14:paraId="25CF6347">
      <w:pPr>
        <w:spacing w:line="240" w:lineRule="auto"/>
        <w:ind w:firstLine="0" w:firstLineChars="0"/>
        <w:jc w:val="left"/>
        <w:rPr>
          <w:rFonts w:hint="eastAsia" w:cs="宋体"/>
        </w:rPr>
      </w:pPr>
    </w:p>
    <w:p w14:paraId="6A3EB7DD">
      <w:pPr>
        <w:spacing w:line="240" w:lineRule="auto"/>
        <w:ind w:firstLine="0" w:firstLineChars="0"/>
        <w:jc w:val="left"/>
        <w:rPr>
          <w:rFonts w:hint="eastAsia" w:cs="宋体"/>
        </w:rPr>
      </w:pPr>
    </w:p>
    <w:sectPr>
      <w:headerReference r:id="rId7" w:type="first"/>
      <w:footerReference r:id="rId10" w:type="first"/>
      <w:headerReference r:id="rId5" w:type="default"/>
      <w:footerReference r:id="rId8" w:type="default"/>
      <w:headerReference r:id="rId6" w:type="even"/>
      <w:footerReference r:id="rId9" w:type="even"/>
      <w:pgSz w:w="11906" w:h="16838"/>
      <w:pgMar w:top="1134" w:right="1797" w:bottom="1135" w:left="1797" w:header="340" w:footer="7" w:gutter="0"/>
      <w:cols w:space="720" w:num="1"/>
      <w:titlePg/>
      <w:docGrid w:type="linesAndChars" w:linePitch="32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方正书宋_GBK"/>
    <w:panose1 w:val="00000000000000000000"/>
    <w:charset w:val="86"/>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altName w:val="DejaVu Sans"/>
    <w:panose1 w:val="020B0604020202020204"/>
    <w:charset w:val="01"/>
    <w:family w:val="swiss"/>
    <w:pitch w:val="default"/>
    <w:sig w:usb0="E0002AFF" w:usb1="C0007843" w:usb2="00000009" w:usb3="00000000" w:csb0="400001FF" w:csb1="FFFF0000"/>
  </w:font>
  <w:font w:name="黑体">
    <w:altName w:val="方正黑体_GBK"/>
    <w:panose1 w:val="02010609060101010101"/>
    <w:charset w:val="86"/>
    <w:family w:val="auto"/>
    <w:pitch w:val="default"/>
    <w:sig w:usb0="800002BF" w:usb1="38CF7CFA" w:usb2="00000016" w:usb3="00000000" w:csb0="00040001" w:csb1="00000000"/>
  </w:font>
  <w:font w:name="Courier New">
    <w:altName w:val="DejaVu Sans"/>
    <w:panose1 w:val="02070309020205020404"/>
    <w:charset w:val="01"/>
    <w:family w:val="modern"/>
    <w:pitch w:val="default"/>
    <w:sig w:usb0="E0002AFF" w:usb1="C0007843" w:usb2="00000009" w:usb3="00000000" w:csb0="400001FF" w:csb1="FFFF0000"/>
  </w:font>
  <w:font w:name="Symbol">
    <w:panose1 w:val="02000609000000000000"/>
    <w:charset w:val="02"/>
    <w:family w:val="roman"/>
    <w:pitch w:val="default"/>
    <w:sig w:usb0="800000AF" w:usb1="4000204A" w:usb2="00000000" w:usb3="00000000" w:csb0="20000000" w:csb1="00000000"/>
  </w:font>
  <w:font w:name="DejaVu Sans">
    <w:panose1 w:val="020B0603030804020204"/>
    <w:charset w:val="00"/>
    <w:family w:val="auto"/>
    <w:pitch w:val="default"/>
    <w:sig w:usb0="E7006EFF" w:usb1="D200FDFF" w:usb2="0A246029" w:usb3="0400200C" w:csb0="600001FF" w:csb1="DFFF0000"/>
  </w:font>
  <w:font w:name="Calibri">
    <w:altName w:val="DejaVu Sans"/>
    <w:panose1 w:val="020F0502020204030204"/>
    <w:charset w:val="00"/>
    <w:family w:val="swiss"/>
    <w:pitch w:val="default"/>
    <w:sig w:usb0="00000000" w:usb1="00000000" w:usb2="00000001" w:usb3="00000000" w:csb0="0000019F" w:csb1="00000000"/>
  </w:font>
  <w:font w:name="方正书宋_GBK">
    <w:panose1 w:val="02000000000000000000"/>
    <w:charset w:val="86"/>
    <w:family w:val="auto"/>
    <w:pitch w:val="default"/>
    <w:sig w:usb0="00000001" w:usb1="08000000" w:usb2="00000000" w:usb3="00000000" w:csb0="00040000" w:csb1="00000000"/>
  </w:font>
  <w:font w:name="方正黑体_GBK">
    <w:panose1 w:val="02000000000000000000"/>
    <w:charset w:val="86"/>
    <w:family w:val="auto"/>
    <w:pitch w:val="default"/>
    <w:sig w:usb0="00000001" w:usb1="08000000" w:usb2="00000000" w:usb3="00000000" w:csb0="00040000" w:csb1="00000000"/>
  </w:font>
  <w:font w:name="Cambria">
    <w:altName w:val="Noto Sans Syriac Eastern"/>
    <w:panose1 w:val="02040503050406030204"/>
    <w:charset w:val="00"/>
    <w:family w:val="roman"/>
    <w:pitch w:val="default"/>
    <w:sig w:usb0="00000000" w:usb1="00000000" w:usb2="02000000" w:usb3="00000000" w:csb0="0000019F" w:csb1="00000000"/>
  </w:font>
  <w:font w:name="Noto Sans Syriac Eastern">
    <w:panose1 w:val="02040503050306020203"/>
    <w:charset w:val="86"/>
    <w:family w:val="auto"/>
    <w:pitch w:val="default"/>
    <w:sig w:usb0="00000000" w:usb1="00000000" w:usb2="00000080" w:usb3="00000000" w:csb0="203E0161" w:csb1="D7FF0000"/>
  </w:font>
  <w:font w:name="等线">
    <w:altName w:val="汉仪中宋简"/>
    <w:panose1 w:val="02010600030101010101"/>
    <w:charset w:val="86"/>
    <w:family w:val="auto"/>
    <w:pitch w:val="default"/>
    <w:sig w:usb0="00000000" w:usb1="00000000" w:usb2="00000016" w:usb3="00000000" w:csb0="0004000F" w:csb1="00000000"/>
  </w:font>
  <w:font w:name="汉仪中宋简">
    <w:panose1 w:val="02010600000101010101"/>
    <w:charset w:val="86"/>
    <w:family w:val="auto"/>
    <w:pitch w:val="default"/>
    <w:sig w:usb0="00000001" w:usb1="080E0800" w:usb2="00000002" w:usb3="00000000" w:csb0="00040000" w:csb1="00000000"/>
  </w:font>
  <w:font w:name="仿宋">
    <w:altName w:val="方正仿宋_GBK"/>
    <w:panose1 w:val="02010609060101010101"/>
    <w:charset w:val="86"/>
    <w:family w:val="modern"/>
    <w:pitch w:val="default"/>
    <w:sig w:usb0="00000000" w:usb1="00000000" w:usb2="00000016" w:usb3="00000000" w:csb0="00040001" w:csb1="00000000"/>
  </w:font>
  <w:font w:name="方正仿宋_GBK">
    <w:panose1 w:val="02000000000000000000"/>
    <w:charset w:val="86"/>
    <w:family w:val="auto"/>
    <w:pitch w:val="default"/>
    <w:sig w:usb0="00000001" w:usb1="08000000" w:usb2="00000000" w:usb3="00000000" w:csb0="00040000" w:csb1="00000000"/>
  </w:font>
  <w:font w:name="Calibri Light">
    <w:altName w:val="DejaVu Sans"/>
    <w:panose1 w:val="020F0302020204030204"/>
    <w:charset w:val="00"/>
    <w:family w:val="swiss"/>
    <w:pitch w:val="default"/>
    <w:sig w:usb0="00000000" w:usb1="00000000" w:usb2="00000009" w:usb3="00000000" w:csb0="000001FF" w:csb1="00000000"/>
  </w:font>
  <w:font w:name="Arial Unicode MS">
    <w:altName w:val="DejaVu Sans"/>
    <w:panose1 w:val="020B0604020202020204"/>
    <w:charset w:val="86"/>
    <w:family w:val="swiss"/>
    <w:pitch w:val="default"/>
    <w:sig w:usb0="00000000" w:usb1="00000000" w:usb2="0000003F" w:usb3="00000000" w:csb0="003F01FF" w:csb1="00000000"/>
  </w:font>
  <w:font w:name="等线 Light">
    <w:altName w:val="汉仪中宋简"/>
    <w:panose1 w:val="02010600030101010101"/>
    <w:charset w:val="86"/>
    <w:family w:val="auto"/>
    <w:pitch w:val="default"/>
    <w:sig w:usb0="00000000" w:usb1="00000000" w:usb2="00000016" w:usb3="00000000" w:csb0="0004000F" w:csb1="00000000"/>
  </w:font>
  <w:font w:name="time">
    <w:altName w:val="思源宋体"/>
    <w:panose1 w:val="00000000000000000000"/>
    <w:charset w:val="00"/>
    <w:family w:val="roman"/>
    <w:pitch w:val="default"/>
    <w:sig w:usb0="00000000" w:usb1="00000000" w:usb2="00000000" w:usb3="00000000" w:csb0="00040001" w:csb1="00000000"/>
  </w:font>
  <w:font w:name="思源宋体">
    <w:panose1 w:val="02020400000000000000"/>
    <w:charset w:val="86"/>
    <w:family w:val="auto"/>
    <w:pitch w:val="default"/>
    <w:sig w:usb0="30000083" w:usb1="2BDF3C10" w:usb2="00000016" w:usb3="00000000" w:csb0="602E0107" w:csb1="00000000"/>
  </w:font>
  <w:font w:name="Microsoft YaHei UI">
    <w:altName w:val="文泉驿微米黑"/>
    <w:panose1 w:val="020B0503020204020204"/>
    <w:charset w:val="86"/>
    <w:family w:val="swiss"/>
    <w:pitch w:val="default"/>
    <w:sig w:usb0="00000000" w:usb1="00000000" w:usb2="00000016" w:usb3="00000000" w:csb0="0004001F" w:csb1="00000000"/>
  </w:font>
  <w:font w:name="文泉驿微米黑">
    <w:panose1 w:val="020B0606030804020204"/>
    <w:charset w:val="86"/>
    <w:family w:val="auto"/>
    <w:pitch w:val="default"/>
    <w:sig w:usb0="E10002EF" w:usb1="6BDFFCFB" w:usb2="00800036" w:usb3="00000000" w:csb0="603E019F" w:csb1="DFD70000"/>
  </w:font>
  <w:font w:name="Microsoft Sans Serif">
    <w:altName w:val="Liberation Sans"/>
    <w:panose1 w:val="020B0604020202020204"/>
    <w:charset w:val="00"/>
    <w:family w:val="swiss"/>
    <w:pitch w:val="default"/>
    <w:sig w:usb0="00000000" w:usb1="00000000" w:usb2="00000029" w:usb3="00000000" w:csb0="000101FF" w:csb1="00000000"/>
  </w:font>
  <w:font w:name="Liberation Sans">
    <w:panose1 w:val="020B0604020202020204"/>
    <w:charset w:val="00"/>
    <w:family w:val="auto"/>
    <w:pitch w:val="default"/>
    <w:sig w:usb0="A00002AF" w:usb1="500078FB" w:usb2="00000000" w:usb3="00000000" w:csb0="6000009F" w:csb1="DFD70000"/>
  </w:font>
  <w:font w:name="楷体_GB2312">
    <w:panose1 w:val="02010609030101010101"/>
    <w:charset w:val="86"/>
    <w:family w:val="modern"/>
    <w:pitch w:val="default"/>
    <w:sig w:usb0="00000001" w:usb1="080E0000" w:usb2="00000000" w:usb3="00000000" w:csb0="00040000" w:csb1="00000000"/>
  </w:font>
  <w:font w:name="仿宋_GB2312">
    <w:panose1 w:val="02010609030101010101"/>
    <w:charset w:val="86"/>
    <w:family w:val="modern"/>
    <w:pitch w:val="default"/>
    <w:sig w:usb0="00000001" w:usb1="080E0000" w:usb2="00000000" w:usb3="00000000" w:csb0="00040000" w:csb1="00000000"/>
  </w:font>
  <w:font w:name="LiberationSans">
    <w:altName w:val="仿宋_GB2312"/>
    <w:panose1 w:val="00000000000000000000"/>
    <w:charset w:val="00"/>
    <w:family w:val="roman"/>
    <w:pitch w:val="default"/>
    <w:sig w:usb0="00000000" w:usb1="00000000" w:usb2="00000000" w:usb3="00000000" w:csb0="00000000" w:csb1="00000000"/>
  </w:font>
  <w:font w:name="微软雅黑">
    <w:altName w:val="方正黑体_GBK"/>
    <w:panose1 w:val="00000000000000000000"/>
    <w:charset w:val="00"/>
    <w:family w:val="auto"/>
    <w:pitch w:val="default"/>
    <w:sig w:usb0="00000000" w:usb1="00000000" w:usb2="00000000" w:usb3="00000000" w:csb0="00000000" w:csb1="00000000"/>
  </w:font>
  <w:font w:name="Tahoma">
    <w:altName w:val="DejaVu Sans"/>
    <w:panose1 w:val="00000000000000000000"/>
    <w:charset w:val="00"/>
    <w:family w:val="auto"/>
    <w:pitch w:val="default"/>
    <w:sig w:usb0="00000000" w:usb1="00000000" w:usb2="00000000" w:usb3="00000000" w:csb0="00000000" w:csb1="00000000"/>
  </w:font>
  <w:font w:name="Arial">
    <w:altName w:val="DejaVu Sans"/>
    <w:panose1 w:val="000000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5BDBA6">
    <w:pPr>
      <w:ind w:firstLine="0" w:firstLineChars="0"/>
      <w:jc w:val="center"/>
      <w:rPr>
        <w:rFonts w:hint="eastAsia"/>
      </w:rP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FAAC4E4">
                          <w:pPr>
                            <w:ind w:firstLine="0" w:firstLineChars="0"/>
                            <w:jc w:val="center"/>
                            <w:rPr>
                              <w:rFonts w:hint="eastAsia"/>
                            </w:rPr>
                          </w:pPr>
                          <w:r>
                            <w:fldChar w:fldCharType="begin"/>
                          </w:r>
                          <w:r>
                            <w:instrText xml:space="preserve">PAGE   \* MERGEFORMAT</w:instrText>
                          </w:r>
                          <w:r>
                            <w:fldChar w:fldCharType="separate"/>
                          </w:r>
                          <w:r>
                            <w:rPr>
                              <w:lang w:val="zh-CN"/>
                            </w:rPr>
                            <w:t>11</w:t>
                          </w:r>
                          <w:r>
                            <w:rPr>
                              <w:lang w:val="zh-CN"/>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rd1wwqAgAAVw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Mrd1wwqAgAAVwQAAA4AAAAAAAAAAQAgAAAAHwEAAGRycy9lMm9Eb2MueG1sUEsFBgAAAAAGAAYA&#10;WQEAALsFAAAAAA==&#10;">
              <v:fill on="f" focussize="0,0"/>
              <v:stroke on="f" weight="0.5pt"/>
              <v:imagedata o:title=""/>
              <o:lock v:ext="edit" aspectratio="f"/>
              <v:textbox inset="0mm,0mm,0mm,0mm" style="mso-fit-shape-to-text:t;">
                <w:txbxContent>
                  <w:p w14:paraId="5FAAC4E4">
                    <w:pPr>
                      <w:ind w:firstLine="0" w:firstLineChars="0"/>
                      <w:jc w:val="center"/>
                      <w:rPr>
                        <w:rFonts w:hint="eastAsia"/>
                      </w:rPr>
                    </w:pPr>
                    <w:r>
                      <w:fldChar w:fldCharType="begin"/>
                    </w:r>
                    <w:r>
                      <w:instrText xml:space="preserve">PAGE   \* MERGEFORMAT</w:instrText>
                    </w:r>
                    <w:r>
                      <w:fldChar w:fldCharType="separate"/>
                    </w:r>
                    <w:r>
                      <w:rPr>
                        <w:lang w:val="zh-CN"/>
                      </w:rPr>
                      <w:t>11</w:t>
                    </w:r>
                    <w:r>
                      <w:rPr>
                        <w:lang w:val="zh-CN"/>
                      </w:rPr>
                      <w:fldChar w:fldCharType="end"/>
                    </w:r>
                  </w:p>
                </w:txbxContent>
              </v:textbox>
            </v:shape>
          </w:pict>
        </mc:Fallback>
      </mc:AlternateContent>
    </w:r>
  </w:p>
  <w:p w14:paraId="7DC699ED">
    <w:pPr>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5885F8">
    <w:pPr>
      <w:pStyle w:val="24"/>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6E72C8">
    <w:pPr>
      <w:ind w:firstLine="0" w:firstLineChars="0"/>
      <w:jc w:val="center"/>
      <w:rPr>
        <w:rFonts w:hint="eastAsia"/>
        <w:lang w:val="zh-CN"/>
      </w:rP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F6A5D8A">
                          <w:pPr>
                            <w:ind w:firstLine="0" w:firstLineChars="0"/>
                            <w:jc w:val="center"/>
                            <w:rPr>
                              <w:rFonts w:hint="eastAsia"/>
                            </w:rPr>
                          </w:pPr>
                          <w:r>
                            <w:rPr>
                              <w:lang w:val="zh-CN"/>
                            </w:rPr>
                            <w:fldChar w:fldCharType="begin"/>
                          </w:r>
                          <w:r>
                            <w:rPr>
                              <w:lang w:val="zh-CN"/>
                            </w:rPr>
                            <w:instrText xml:space="preserve">PAGE   \* MERGEFORMAT</w:instrText>
                          </w:r>
                          <w:r>
                            <w:rPr>
                              <w:lang w:val="zh-CN"/>
                            </w:rPr>
                            <w:fldChar w:fldCharType="separate"/>
                          </w:r>
                          <w:r>
                            <w:rPr>
                              <w:lang w:val="zh-CN"/>
                            </w:rPr>
                            <w:t>1</w:t>
                          </w:r>
                          <w:r>
                            <w:rPr>
                              <w:lang w:val="zh-CN"/>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BikIRMKwIAAFcEAAAOAAAAAAAAAAEAIAAAAB8BAABkcnMvZTJvRG9jLnhtbFBLBQYAAAAABgAG&#10;AFkBAAC8BQAAAAA=&#10;">
              <v:fill on="f" focussize="0,0"/>
              <v:stroke on="f" weight="0.5pt"/>
              <v:imagedata o:title=""/>
              <o:lock v:ext="edit" aspectratio="f"/>
              <v:textbox inset="0mm,0mm,0mm,0mm" style="mso-fit-shape-to-text:t;">
                <w:txbxContent>
                  <w:p w14:paraId="3F6A5D8A">
                    <w:pPr>
                      <w:ind w:firstLine="0" w:firstLineChars="0"/>
                      <w:jc w:val="center"/>
                      <w:rPr>
                        <w:rFonts w:hint="eastAsia"/>
                      </w:rPr>
                    </w:pPr>
                    <w:r>
                      <w:rPr>
                        <w:lang w:val="zh-CN"/>
                      </w:rPr>
                      <w:fldChar w:fldCharType="begin"/>
                    </w:r>
                    <w:r>
                      <w:rPr>
                        <w:lang w:val="zh-CN"/>
                      </w:rPr>
                      <w:instrText xml:space="preserve">PAGE   \* MERGEFORMAT</w:instrText>
                    </w:r>
                    <w:r>
                      <w:rPr>
                        <w:lang w:val="zh-CN"/>
                      </w:rPr>
                      <w:fldChar w:fldCharType="separate"/>
                    </w:r>
                    <w:r>
                      <w:rPr>
                        <w:lang w:val="zh-CN"/>
                      </w:rPr>
                      <w:t>1</w:t>
                    </w:r>
                    <w:r>
                      <w:rPr>
                        <w:lang w:val="zh-CN"/>
                      </w:rPr>
                      <w:fldChar w:fldCharType="end"/>
                    </w:r>
                  </w:p>
                </w:txbxContent>
              </v:textbox>
            </v:shape>
          </w:pict>
        </mc:Fallback>
      </mc:AlternateContent>
    </w:r>
  </w:p>
  <w:p w14:paraId="7A364C4D">
    <w:pPr>
      <w:rPr>
        <w:rFonts w:hint="eastAsia"/>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48B842">
    <w:pPr>
      <w:pStyle w:val="25"/>
      <w:pBdr>
        <w:bottom w:val="none" w:color="auto" w:sz="0" w:space="0"/>
      </w:pBdr>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D505F6">
    <w:pPr>
      <w:pStyle w:val="25"/>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375998">
    <w:pPr>
      <w:pStyle w:val="25"/>
      <w:pBdr>
        <w:bottom w:val="none" w:color="auto" w:sz="0" w:space="0"/>
      </w:pBdr>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ABCC7CA"/>
    <w:multiLevelType w:val="singleLevel"/>
    <w:tmpl w:val="8ABCC7CA"/>
    <w:lvl w:ilvl="0" w:tentative="0">
      <w:start w:val="1"/>
      <w:numFmt w:val="decimal"/>
      <w:lvlText w:val="%1)"/>
      <w:lvlJc w:val="left"/>
      <w:pPr>
        <w:ind w:left="425" w:hanging="425"/>
      </w:pPr>
      <w:rPr>
        <w:rFonts w:hint="default"/>
      </w:rPr>
    </w:lvl>
  </w:abstractNum>
  <w:abstractNum w:abstractNumId="1">
    <w:nsid w:val="9D083D99"/>
    <w:multiLevelType w:val="singleLevel"/>
    <w:tmpl w:val="9D083D99"/>
    <w:lvl w:ilvl="0" w:tentative="0">
      <w:start w:val="1"/>
      <w:numFmt w:val="bullet"/>
      <w:lvlText w:val=""/>
      <w:lvlJc w:val="left"/>
      <w:pPr>
        <w:tabs>
          <w:tab w:val="left" w:pos="420"/>
        </w:tabs>
        <w:ind w:left="840" w:hanging="420"/>
      </w:pPr>
      <w:rPr>
        <w:rFonts w:hint="default" w:ascii="Wingdings" w:hAnsi="Wingdings"/>
      </w:rPr>
    </w:lvl>
  </w:abstractNum>
  <w:abstractNum w:abstractNumId="2">
    <w:nsid w:val="43D33190"/>
    <w:multiLevelType w:val="multilevel"/>
    <w:tmpl w:val="43D33190"/>
    <w:lvl w:ilvl="0" w:tentative="0">
      <w:start w:val="1"/>
      <w:numFmt w:val="bullet"/>
      <w:lvlText w:val=""/>
      <w:lvlJc w:val="left"/>
      <w:pPr>
        <w:ind w:left="980" w:hanging="420"/>
      </w:pPr>
      <w:rPr>
        <w:rFonts w:hint="default" w:ascii="Wingdings" w:hAnsi="Wingdings"/>
      </w:rPr>
    </w:lvl>
    <w:lvl w:ilvl="1" w:tentative="0">
      <w:start w:val="1"/>
      <w:numFmt w:val="bullet"/>
      <w:lvlText w:val=""/>
      <w:lvlJc w:val="left"/>
      <w:pPr>
        <w:ind w:left="1400" w:hanging="420"/>
      </w:pPr>
      <w:rPr>
        <w:rFonts w:hint="default" w:ascii="Wingdings" w:hAnsi="Wingdings"/>
      </w:rPr>
    </w:lvl>
    <w:lvl w:ilvl="2" w:tentative="0">
      <w:start w:val="1"/>
      <w:numFmt w:val="bullet"/>
      <w:lvlText w:val=""/>
      <w:lvlJc w:val="left"/>
      <w:pPr>
        <w:ind w:left="1820" w:hanging="420"/>
      </w:pPr>
      <w:rPr>
        <w:rFonts w:hint="default" w:ascii="Wingdings" w:hAnsi="Wingdings"/>
      </w:rPr>
    </w:lvl>
    <w:lvl w:ilvl="3" w:tentative="0">
      <w:start w:val="1"/>
      <w:numFmt w:val="bullet"/>
      <w:lvlText w:val=""/>
      <w:lvlJc w:val="left"/>
      <w:pPr>
        <w:ind w:left="2240" w:hanging="420"/>
      </w:pPr>
      <w:rPr>
        <w:rFonts w:hint="default" w:ascii="Wingdings" w:hAnsi="Wingdings"/>
      </w:rPr>
    </w:lvl>
    <w:lvl w:ilvl="4" w:tentative="0">
      <w:start w:val="1"/>
      <w:numFmt w:val="bullet"/>
      <w:lvlText w:val=""/>
      <w:lvlJc w:val="left"/>
      <w:pPr>
        <w:ind w:left="2660" w:hanging="420"/>
      </w:pPr>
      <w:rPr>
        <w:rFonts w:hint="default" w:ascii="Wingdings" w:hAnsi="Wingdings"/>
      </w:rPr>
    </w:lvl>
    <w:lvl w:ilvl="5" w:tentative="0">
      <w:start w:val="1"/>
      <w:numFmt w:val="bullet"/>
      <w:lvlText w:val=""/>
      <w:lvlJc w:val="left"/>
      <w:pPr>
        <w:ind w:left="3080" w:hanging="420"/>
      </w:pPr>
      <w:rPr>
        <w:rFonts w:hint="default" w:ascii="Wingdings" w:hAnsi="Wingdings"/>
      </w:rPr>
    </w:lvl>
    <w:lvl w:ilvl="6" w:tentative="0">
      <w:start w:val="1"/>
      <w:numFmt w:val="bullet"/>
      <w:lvlText w:val=""/>
      <w:lvlJc w:val="left"/>
      <w:pPr>
        <w:ind w:left="3500" w:hanging="420"/>
      </w:pPr>
      <w:rPr>
        <w:rFonts w:hint="default" w:ascii="Wingdings" w:hAnsi="Wingdings"/>
      </w:rPr>
    </w:lvl>
    <w:lvl w:ilvl="7" w:tentative="0">
      <w:start w:val="1"/>
      <w:numFmt w:val="bullet"/>
      <w:lvlText w:val=""/>
      <w:lvlJc w:val="left"/>
      <w:pPr>
        <w:ind w:left="3920" w:hanging="420"/>
      </w:pPr>
      <w:rPr>
        <w:rFonts w:hint="default" w:ascii="Wingdings" w:hAnsi="Wingdings"/>
      </w:rPr>
    </w:lvl>
    <w:lvl w:ilvl="8" w:tentative="0">
      <w:start w:val="1"/>
      <w:numFmt w:val="bullet"/>
      <w:lvlText w:val=""/>
      <w:lvlJc w:val="left"/>
      <w:pPr>
        <w:ind w:left="4340" w:hanging="420"/>
      </w:pPr>
      <w:rPr>
        <w:rFonts w:hint="default" w:ascii="Wingdings" w:hAnsi="Wingdings"/>
      </w:rPr>
    </w:lvl>
  </w:abstractNum>
  <w:abstractNum w:abstractNumId="3">
    <w:nsid w:val="6350366A"/>
    <w:multiLevelType w:val="multilevel"/>
    <w:tmpl w:val="6350366A"/>
    <w:lvl w:ilvl="0" w:tentative="0">
      <w:start w:val="1"/>
      <w:numFmt w:val="none"/>
      <w:pStyle w:val="112"/>
      <w:lvlText w:val="%1●　"/>
      <w:lvlJc w:val="left"/>
      <w:pPr>
        <w:tabs>
          <w:tab w:val="left" w:pos="760"/>
        </w:tabs>
        <w:ind w:left="717" w:hanging="317"/>
      </w:pPr>
      <w:rPr>
        <w:rFonts w:hint="eastAsia" w:ascii="宋体" w:hAnsi="Times New Roman" w:eastAsia="宋体"/>
        <w:b w:val="0"/>
        <w:i w:val="0"/>
        <w:position w:val="4"/>
        <w:sz w:val="13"/>
      </w:rPr>
    </w:lvl>
    <w:lvl w:ilvl="1" w:tentative="0">
      <w:start w:val="1"/>
      <w:numFmt w:val="lowerLetter"/>
      <w:lvlText w:val="%2)"/>
      <w:lvlJc w:val="left"/>
      <w:pPr>
        <w:tabs>
          <w:tab w:val="left" w:pos="780"/>
        </w:tabs>
        <w:ind w:left="780" w:hanging="360"/>
      </w:pPr>
      <w:rPr>
        <w:rFonts w:hint="eastAsia"/>
      </w:rPr>
    </w:lvl>
    <w:lvl w:ilvl="2" w:tentative="0">
      <w:start w:val="1"/>
      <w:numFmt w:val="decimal"/>
      <w:lvlText w:val="%3)"/>
      <w:lvlJc w:val="left"/>
      <w:pPr>
        <w:tabs>
          <w:tab w:val="left" w:pos="1200"/>
        </w:tabs>
        <w:ind w:left="1200" w:hanging="360"/>
      </w:pPr>
      <w:rPr>
        <w:rFonts w:hint="eastAsia"/>
      </w:r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4">
    <w:nsid w:val="6A2F4AB3"/>
    <w:multiLevelType w:val="multilevel"/>
    <w:tmpl w:val="6A2F4AB3"/>
    <w:lvl w:ilvl="0" w:tentative="0">
      <w:start w:val="1"/>
      <w:numFmt w:val="chineseCountingThousand"/>
      <w:pStyle w:val="2"/>
      <w:suff w:val="nothing"/>
      <w:lvlText w:val="%1、"/>
      <w:lvlJc w:val="left"/>
      <w:pPr>
        <w:ind w:left="425" w:hanging="425"/>
      </w:pPr>
      <w:rPr>
        <w:rFonts w:hint="eastAsia"/>
        <w:sz w:val="32"/>
        <w:szCs w:val="32"/>
      </w:rPr>
    </w:lvl>
    <w:lvl w:ilvl="1" w:tentative="0">
      <w:start w:val="1"/>
      <w:numFmt w:val="decimal"/>
      <w:pStyle w:val="3"/>
      <w:isLgl/>
      <w:suff w:val="nothing"/>
      <w:lvlText w:val="%1.%2、"/>
      <w:lvlJc w:val="left"/>
      <w:pPr>
        <w:ind w:left="1135" w:hanging="567"/>
      </w:pPr>
    </w:lvl>
    <w:lvl w:ilvl="2" w:tentative="0">
      <w:start w:val="1"/>
      <w:numFmt w:val="decimal"/>
      <w:pStyle w:val="4"/>
      <w:isLgl/>
      <w:suff w:val="nothing"/>
      <w:lvlText w:val="%1.%2.%3、"/>
      <w:lvlJc w:val="left"/>
      <w:pPr>
        <w:ind w:left="1069" w:hanging="1069"/>
      </w:pPr>
      <w:rPr>
        <w:rFonts w:hint="default" w:ascii="宋体" w:hAnsi="宋体" w:eastAsia="宋体" w:cs="Arial"/>
      </w:rPr>
    </w:lvl>
    <w:lvl w:ilvl="3" w:tentative="0">
      <w:start w:val="1"/>
      <w:numFmt w:val="decimal"/>
      <w:pStyle w:val="5"/>
      <w:isLgl/>
      <w:suff w:val="nothing"/>
      <w:lvlText w:val="%1.%2.%3.%4、"/>
      <w:lvlJc w:val="left"/>
      <w:pPr>
        <w:ind w:left="3403" w:hanging="851"/>
      </w:pPr>
    </w:lvl>
    <w:lvl w:ilvl="4" w:tentative="0">
      <w:start w:val="1"/>
      <w:numFmt w:val="decimal"/>
      <w:pStyle w:val="6"/>
      <w:isLgl/>
      <w:suff w:val="nothing"/>
      <w:lvlText w:val="%1.%2.%3.%4.%5、"/>
      <w:lvlJc w:val="left"/>
      <w:pPr>
        <w:ind w:left="3544" w:hanging="992"/>
      </w:pPr>
      <w:rPr>
        <w:rFonts w:hint="eastAsia"/>
      </w:rPr>
    </w:lvl>
    <w:lvl w:ilvl="5" w:tentative="0">
      <w:start w:val="1"/>
      <w:numFmt w:val="decimal"/>
      <w:pStyle w:val="7"/>
      <w:isLgl/>
      <w:suff w:val="nothing"/>
      <w:lvlText w:val="%1.%2.%3.%4.%5.%6、"/>
      <w:lvlJc w:val="left"/>
      <w:pPr>
        <w:ind w:left="1134" w:hanging="1134"/>
      </w:pPr>
      <w:rPr>
        <w:rFonts w:hint="eastAsia"/>
      </w:rPr>
    </w:lvl>
    <w:lvl w:ilvl="6" w:tentative="0">
      <w:start w:val="1"/>
      <w:numFmt w:val="decimal"/>
      <w:isLgl/>
      <w:lvlText w:val="%1.%2.%3.%4.%5.%6.%7"/>
      <w:lvlJc w:val="left"/>
      <w:pPr>
        <w:tabs>
          <w:tab w:val="left" w:pos="1800"/>
        </w:tabs>
        <w:ind w:left="1276" w:hanging="1276"/>
      </w:pPr>
      <w:rPr>
        <w:rFonts w:hint="eastAsia"/>
      </w:rPr>
    </w:lvl>
    <w:lvl w:ilvl="7" w:tentative="0">
      <w:start w:val="1"/>
      <w:numFmt w:val="decimal"/>
      <w:isLgl/>
      <w:lvlText w:val="%1.%2.%3.%4.%5.%6.%7.%8"/>
      <w:lvlJc w:val="left"/>
      <w:pPr>
        <w:tabs>
          <w:tab w:val="left" w:pos="1800"/>
        </w:tabs>
        <w:ind w:left="1418" w:hanging="1418"/>
      </w:pPr>
      <w:rPr>
        <w:rFonts w:hint="eastAsia"/>
      </w:rPr>
    </w:lvl>
    <w:lvl w:ilvl="8" w:tentative="0">
      <w:start w:val="1"/>
      <w:numFmt w:val="decimal"/>
      <w:isLgl/>
      <w:lvlText w:val="%1.%2.%3.%4.%5.%6.%7.%8.%9"/>
      <w:lvlJc w:val="left"/>
      <w:pPr>
        <w:tabs>
          <w:tab w:val="left" w:pos="2160"/>
        </w:tabs>
        <w:ind w:left="1559" w:hanging="1559"/>
      </w:pPr>
      <w:rPr>
        <w:rFonts w:hint="eastAsia"/>
      </w:rPr>
    </w:lvl>
  </w:abstractNum>
  <w:num w:numId="1">
    <w:abstractNumId w:val="4"/>
  </w:num>
  <w:num w:numId="2">
    <w:abstractNumId w:val="3"/>
  </w:num>
  <w:num w:numId="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num>
  <w:num w:numId="5">
    <w:abstractNumId w:val="2"/>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1"/>
  <w:documentProtection w:enforcement="0"/>
  <w:defaultTabStop w:val="420"/>
  <w:drawingGridHorizontalSpacing w:val="120"/>
  <w:drawingGridVerticalSpacing w:val="163"/>
  <w:displayHorizontalDrawingGridEvery w:val="2"/>
  <w:displayVerticalDrawingGridEvery w:val="2"/>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910C0"/>
    <w:rsid w:val="0000005A"/>
    <w:rsid w:val="00000AED"/>
    <w:rsid w:val="000024C7"/>
    <w:rsid w:val="00003516"/>
    <w:rsid w:val="0000380E"/>
    <w:rsid w:val="00005AFD"/>
    <w:rsid w:val="00006563"/>
    <w:rsid w:val="000074F1"/>
    <w:rsid w:val="00007A41"/>
    <w:rsid w:val="00007DA7"/>
    <w:rsid w:val="00012EF0"/>
    <w:rsid w:val="000156DE"/>
    <w:rsid w:val="000165AD"/>
    <w:rsid w:val="000179E9"/>
    <w:rsid w:val="00020C18"/>
    <w:rsid w:val="00021279"/>
    <w:rsid w:val="00021EE6"/>
    <w:rsid w:val="0002280E"/>
    <w:rsid w:val="00022C74"/>
    <w:rsid w:val="00023C17"/>
    <w:rsid w:val="00025122"/>
    <w:rsid w:val="000252D5"/>
    <w:rsid w:val="00025F1B"/>
    <w:rsid w:val="00026997"/>
    <w:rsid w:val="00027A64"/>
    <w:rsid w:val="00032B1E"/>
    <w:rsid w:val="00032D27"/>
    <w:rsid w:val="00035325"/>
    <w:rsid w:val="00035D5B"/>
    <w:rsid w:val="000378D0"/>
    <w:rsid w:val="00037F2C"/>
    <w:rsid w:val="00042C2A"/>
    <w:rsid w:val="000430EC"/>
    <w:rsid w:val="000447CB"/>
    <w:rsid w:val="00047915"/>
    <w:rsid w:val="00047D06"/>
    <w:rsid w:val="00050FBD"/>
    <w:rsid w:val="0005107A"/>
    <w:rsid w:val="0005192C"/>
    <w:rsid w:val="00052929"/>
    <w:rsid w:val="0005299F"/>
    <w:rsid w:val="000541D7"/>
    <w:rsid w:val="000545C0"/>
    <w:rsid w:val="0005586D"/>
    <w:rsid w:val="00056C0E"/>
    <w:rsid w:val="00056C44"/>
    <w:rsid w:val="000574A8"/>
    <w:rsid w:val="000574F8"/>
    <w:rsid w:val="00057A49"/>
    <w:rsid w:val="0006231F"/>
    <w:rsid w:val="00062A05"/>
    <w:rsid w:val="00062EE6"/>
    <w:rsid w:val="0006344E"/>
    <w:rsid w:val="000649E6"/>
    <w:rsid w:val="0006794B"/>
    <w:rsid w:val="00067DCA"/>
    <w:rsid w:val="00070063"/>
    <w:rsid w:val="0007087A"/>
    <w:rsid w:val="000710EC"/>
    <w:rsid w:val="00072237"/>
    <w:rsid w:val="000724BD"/>
    <w:rsid w:val="00072ABE"/>
    <w:rsid w:val="00080B39"/>
    <w:rsid w:val="00083950"/>
    <w:rsid w:val="0008452F"/>
    <w:rsid w:val="00084E8E"/>
    <w:rsid w:val="00085A68"/>
    <w:rsid w:val="00090625"/>
    <w:rsid w:val="00090948"/>
    <w:rsid w:val="00091CD1"/>
    <w:rsid w:val="0009460E"/>
    <w:rsid w:val="000951D4"/>
    <w:rsid w:val="000A2146"/>
    <w:rsid w:val="000A2930"/>
    <w:rsid w:val="000A3276"/>
    <w:rsid w:val="000A3C35"/>
    <w:rsid w:val="000A3E30"/>
    <w:rsid w:val="000A5876"/>
    <w:rsid w:val="000A61D0"/>
    <w:rsid w:val="000A6C67"/>
    <w:rsid w:val="000A6DB8"/>
    <w:rsid w:val="000A7596"/>
    <w:rsid w:val="000B11A8"/>
    <w:rsid w:val="000B1959"/>
    <w:rsid w:val="000B2E1C"/>
    <w:rsid w:val="000B4459"/>
    <w:rsid w:val="000B4B46"/>
    <w:rsid w:val="000B5363"/>
    <w:rsid w:val="000B53BA"/>
    <w:rsid w:val="000B642F"/>
    <w:rsid w:val="000B6C99"/>
    <w:rsid w:val="000C2E6D"/>
    <w:rsid w:val="000C3F3C"/>
    <w:rsid w:val="000C5A75"/>
    <w:rsid w:val="000C75F7"/>
    <w:rsid w:val="000D0AB2"/>
    <w:rsid w:val="000D225C"/>
    <w:rsid w:val="000D36F2"/>
    <w:rsid w:val="000D4B26"/>
    <w:rsid w:val="000D74DB"/>
    <w:rsid w:val="000E24D6"/>
    <w:rsid w:val="000E6072"/>
    <w:rsid w:val="000E6D61"/>
    <w:rsid w:val="000E7A23"/>
    <w:rsid w:val="000F1C29"/>
    <w:rsid w:val="000F1E9E"/>
    <w:rsid w:val="000F2885"/>
    <w:rsid w:val="000F2B10"/>
    <w:rsid w:val="000F3F72"/>
    <w:rsid w:val="00100585"/>
    <w:rsid w:val="0010212C"/>
    <w:rsid w:val="001055B2"/>
    <w:rsid w:val="001068F0"/>
    <w:rsid w:val="00106AB8"/>
    <w:rsid w:val="00106C9E"/>
    <w:rsid w:val="00106E16"/>
    <w:rsid w:val="0010768B"/>
    <w:rsid w:val="00111701"/>
    <w:rsid w:val="00112A29"/>
    <w:rsid w:val="001167F6"/>
    <w:rsid w:val="00116C86"/>
    <w:rsid w:val="001172E9"/>
    <w:rsid w:val="00121ACF"/>
    <w:rsid w:val="00121D8F"/>
    <w:rsid w:val="00122037"/>
    <w:rsid w:val="0012210C"/>
    <w:rsid w:val="00122A7F"/>
    <w:rsid w:val="00123F98"/>
    <w:rsid w:val="001242A5"/>
    <w:rsid w:val="00124531"/>
    <w:rsid w:val="00126EDF"/>
    <w:rsid w:val="00127BBE"/>
    <w:rsid w:val="00131D52"/>
    <w:rsid w:val="001329C1"/>
    <w:rsid w:val="00132C16"/>
    <w:rsid w:val="001350D3"/>
    <w:rsid w:val="00136320"/>
    <w:rsid w:val="00136FFA"/>
    <w:rsid w:val="00137AC6"/>
    <w:rsid w:val="00145512"/>
    <w:rsid w:val="001465BD"/>
    <w:rsid w:val="00147B45"/>
    <w:rsid w:val="00150803"/>
    <w:rsid w:val="00151D83"/>
    <w:rsid w:val="001546C9"/>
    <w:rsid w:val="00154FAE"/>
    <w:rsid w:val="00155E77"/>
    <w:rsid w:val="001564C0"/>
    <w:rsid w:val="00156A70"/>
    <w:rsid w:val="00160A61"/>
    <w:rsid w:val="00160FC0"/>
    <w:rsid w:val="0016429B"/>
    <w:rsid w:val="00164525"/>
    <w:rsid w:val="00164C50"/>
    <w:rsid w:val="00165CB2"/>
    <w:rsid w:val="00166767"/>
    <w:rsid w:val="001707CB"/>
    <w:rsid w:val="00171477"/>
    <w:rsid w:val="00172A1A"/>
    <w:rsid w:val="00172AB1"/>
    <w:rsid w:val="00173251"/>
    <w:rsid w:val="00176BED"/>
    <w:rsid w:val="0017759D"/>
    <w:rsid w:val="001804A5"/>
    <w:rsid w:val="00181C94"/>
    <w:rsid w:val="00182C84"/>
    <w:rsid w:val="00185A22"/>
    <w:rsid w:val="00187031"/>
    <w:rsid w:val="00191EA4"/>
    <w:rsid w:val="00192B6C"/>
    <w:rsid w:val="00192C30"/>
    <w:rsid w:val="00192E49"/>
    <w:rsid w:val="0019381E"/>
    <w:rsid w:val="00194CF5"/>
    <w:rsid w:val="0019503C"/>
    <w:rsid w:val="00195D94"/>
    <w:rsid w:val="00196F7B"/>
    <w:rsid w:val="001971CB"/>
    <w:rsid w:val="0019795C"/>
    <w:rsid w:val="001A053A"/>
    <w:rsid w:val="001A22A2"/>
    <w:rsid w:val="001A2971"/>
    <w:rsid w:val="001A3D52"/>
    <w:rsid w:val="001A460A"/>
    <w:rsid w:val="001A4A4C"/>
    <w:rsid w:val="001A73DC"/>
    <w:rsid w:val="001B0230"/>
    <w:rsid w:val="001B13AB"/>
    <w:rsid w:val="001B3907"/>
    <w:rsid w:val="001B3B49"/>
    <w:rsid w:val="001B4907"/>
    <w:rsid w:val="001B4DC5"/>
    <w:rsid w:val="001B5505"/>
    <w:rsid w:val="001C2180"/>
    <w:rsid w:val="001C29CC"/>
    <w:rsid w:val="001C3217"/>
    <w:rsid w:val="001C3B98"/>
    <w:rsid w:val="001C581F"/>
    <w:rsid w:val="001C6028"/>
    <w:rsid w:val="001C6365"/>
    <w:rsid w:val="001C7F57"/>
    <w:rsid w:val="001D0E79"/>
    <w:rsid w:val="001D6049"/>
    <w:rsid w:val="001D7339"/>
    <w:rsid w:val="001E2750"/>
    <w:rsid w:val="001E4343"/>
    <w:rsid w:val="001E52BB"/>
    <w:rsid w:val="001E660A"/>
    <w:rsid w:val="001F05D6"/>
    <w:rsid w:val="001F5B0A"/>
    <w:rsid w:val="001F640F"/>
    <w:rsid w:val="001F6794"/>
    <w:rsid w:val="001F6F65"/>
    <w:rsid w:val="002002DF"/>
    <w:rsid w:val="0020325F"/>
    <w:rsid w:val="00203A6F"/>
    <w:rsid w:val="00205646"/>
    <w:rsid w:val="002063F7"/>
    <w:rsid w:val="00206802"/>
    <w:rsid w:val="002129E5"/>
    <w:rsid w:val="00212AA4"/>
    <w:rsid w:val="00212E13"/>
    <w:rsid w:val="002163C8"/>
    <w:rsid w:val="002179FE"/>
    <w:rsid w:val="00220CC0"/>
    <w:rsid w:val="00221A36"/>
    <w:rsid w:val="0022313C"/>
    <w:rsid w:val="00223296"/>
    <w:rsid w:val="0022329B"/>
    <w:rsid w:val="002240F7"/>
    <w:rsid w:val="0022486F"/>
    <w:rsid w:val="00225314"/>
    <w:rsid w:val="00225DF4"/>
    <w:rsid w:val="00226C70"/>
    <w:rsid w:val="00230C8A"/>
    <w:rsid w:val="00230CAB"/>
    <w:rsid w:val="00231F98"/>
    <w:rsid w:val="002324F8"/>
    <w:rsid w:val="002345E4"/>
    <w:rsid w:val="002348B0"/>
    <w:rsid w:val="00235CDC"/>
    <w:rsid w:val="00237E76"/>
    <w:rsid w:val="00240BBE"/>
    <w:rsid w:val="00241525"/>
    <w:rsid w:val="00241D87"/>
    <w:rsid w:val="00243C55"/>
    <w:rsid w:val="00243D5E"/>
    <w:rsid w:val="002451EC"/>
    <w:rsid w:val="00245ED4"/>
    <w:rsid w:val="00246B41"/>
    <w:rsid w:val="0025002B"/>
    <w:rsid w:val="002500DE"/>
    <w:rsid w:val="00252457"/>
    <w:rsid w:val="00252581"/>
    <w:rsid w:val="002535B5"/>
    <w:rsid w:val="002538CB"/>
    <w:rsid w:val="002542BD"/>
    <w:rsid w:val="002569ED"/>
    <w:rsid w:val="0025774E"/>
    <w:rsid w:val="00257D64"/>
    <w:rsid w:val="0026340A"/>
    <w:rsid w:val="002654EA"/>
    <w:rsid w:val="00267772"/>
    <w:rsid w:val="002704EA"/>
    <w:rsid w:val="0027061A"/>
    <w:rsid w:val="002717CF"/>
    <w:rsid w:val="002719CC"/>
    <w:rsid w:val="002730C5"/>
    <w:rsid w:val="0027337C"/>
    <w:rsid w:val="0027602B"/>
    <w:rsid w:val="00277F5E"/>
    <w:rsid w:val="00280084"/>
    <w:rsid w:val="00280490"/>
    <w:rsid w:val="002860B8"/>
    <w:rsid w:val="0029206E"/>
    <w:rsid w:val="00293382"/>
    <w:rsid w:val="00294F51"/>
    <w:rsid w:val="002A2342"/>
    <w:rsid w:val="002A279E"/>
    <w:rsid w:val="002A4FA3"/>
    <w:rsid w:val="002B3606"/>
    <w:rsid w:val="002B3D80"/>
    <w:rsid w:val="002B4402"/>
    <w:rsid w:val="002B4946"/>
    <w:rsid w:val="002B4C41"/>
    <w:rsid w:val="002B588D"/>
    <w:rsid w:val="002C1839"/>
    <w:rsid w:val="002C214A"/>
    <w:rsid w:val="002C28E8"/>
    <w:rsid w:val="002C3027"/>
    <w:rsid w:val="002C5914"/>
    <w:rsid w:val="002C674D"/>
    <w:rsid w:val="002C7648"/>
    <w:rsid w:val="002C7DC4"/>
    <w:rsid w:val="002D0821"/>
    <w:rsid w:val="002D1929"/>
    <w:rsid w:val="002D1B73"/>
    <w:rsid w:val="002D3CB0"/>
    <w:rsid w:val="002D4800"/>
    <w:rsid w:val="002D5B21"/>
    <w:rsid w:val="002D6F6D"/>
    <w:rsid w:val="002E1FE6"/>
    <w:rsid w:val="002E2EA7"/>
    <w:rsid w:val="002E36D2"/>
    <w:rsid w:val="002E748B"/>
    <w:rsid w:val="002F2002"/>
    <w:rsid w:val="002F335D"/>
    <w:rsid w:val="002F4E32"/>
    <w:rsid w:val="002F503F"/>
    <w:rsid w:val="002F51DD"/>
    <w:rsid w:val="002F5D08"/>
    <w:rsid w:val="002F6895"/>
    <w:rsid w:val="002F6D13"/>
    <w:rsid w:val="002F76DB"/>
    <w:rsid w:val="003038D3"/>
    <w:rsid w:val="003049C7"/>
    <w:rsid w:val="00305F0E"/>
    <w:rsid w:val="0030667A"/>
    <w:rsid w:val="003106DE"/>
    <w:rsid w:val="00311530"/>
    <w:rsid w:val="00312D31"/>
    <w:rsid w:val="00315216"/>
    <w:rsid w:val="0031691C"/>
    <w:rsid w:val="00317AEF"/>
    <w:rsid w:val="00317F49"/>
    <w:rsid w:val="0032089B"/>
    <w:rsid w:val="00323450"/>
    <w:rsid w:val="00323D93"/>
    <w:rsid w:val="0032489B"/>
    <w:rsid w:val="0032525B"/>
    <w:rsid w:val="00326A7A"/>
    <w:rsid w:val="00326FEE"/>
    <w:rsid w:val="003315D7"/>
    <w:rsid w:val="00334DE6"/>
    <w:rsid w:val="0033536D"/>
    <w:rsid w:val="003353FF"/>
    <w:rsid w:val="003366D2"/>
    <w:rsid w:val="00337135"/>
    <w:rsid w:val="00337C79"/>
    <w:rsid w:val="00337FEF"/>
    <w:rsid w:val="0034084C"/>
    <w:rsid w:val="00340D5E"/>
    <w:rsid w:val="003420B5"/>
    <w:rsid w:val="00343646"/>
    <w:rsid w:val="00344CCB"/>
    <w:rsid w:val="00345897"/>
    <w:rsid w:val="00351BFC"/>
    <w:rsid w:val="0035575E"/>
    <w:rsid w:val="003565B4"/>
    <w:rsid w:val="00362E75"/>
    <w:rsid w:val="003631AA"/>
    <w:rsid w:val="003632D5"/>
    <w:rsid w:val="00363575"/>
    <w:rsid w:val="00364EF9"/>
    <w:rsid w:val="00367579"/>
    <w:rsid w:val="0036795B"/>
    <w:rsid w:val="00370A29"/>
    <w:rsid w:val="003722F9"/>
    <w:rsid w:val="00372349"/>
    <w:rsid w:val="00372CBC"/>
    <w:rsid w:val="00373A61"/>
    <w:rsid w:val="00374A98"/>
    <w:rsid w:val="00374BDE"/>
    <w:rsid w:val="00376B39"/>
    <w:rsid w:val="003772C0"/>
    <w:rsid w:val="00377BAC"/>
    <w:rsid w:val="00380142"/>
    <w:rsid w:val="00380558"/>
    <w:rsid w:val="00381D3C"/>
    <w:rsid w:val="0038223E"/>
    <w:rsid w:val="00382D92"/>
    <w:rsid w:val="00385AEF"/>
    <w:rsid w:val="003860EA"/>
    <w:rsid w:val="0038781A"/>
    <w:rsid w:val="0039080B"/>
    <w:rsid w:val="0039326E"/>
    <w:rsid w:val="00394E22"/>
    <w:rsid w:val="003967A4"/>
    <w:rsid w:val="00397FA3"/>
    <w:rsid w:val="003A1596"/>
    <w:rsid w:val="003A317E"/>
    <w:rsid w:val="003A345B"/>
    <w:rsid w:val="003A49EE"/>
    <w:rsid w:val="003A674D"/>
    <w:rsid w:val="003A7123"/>
    <w:rsid w:val="003B102E"/>
    <w:rsid w:val="003B2167"/>
    <w:rsid w:val="003B5F5D"/>
    <w:rsid w:val="003B62C8"/>
    <w:rsid w:val="003C0C62"/>
    <w:rsid w:val="003C12DC"/>
    <w:rsid w:val="003C2CDA"/>
    <w:rsid w:val="003D000A"/>
    <w:rsid w:val="003D31E9"/>
    <w:rsid w:val="003D413A"/>
    <w:rsid w:val="003D544E"/>
    <w:rsid w:val="003D5980"/>
    <w:rsid w:val="003E0842"/>
    <w:rsid w:val="003E13B0"/>
    <w:rsid w:val="003E2580"/>
    <w:rsid w:val="003E3DEE"/>
    <w:rsid w:val="003E3EBB"/>
    <w:rsid w:val="003E46F0"/>
    <w:rsid w:val="003E4A4C"/>
    <w:rsid w:val="003E4CBA"/>
    <w:rsid w:val="003E4D2F"/>
    <w:rsid w:val="003E4EDC"/>
    <w:rsid w:val="003E599D"/>
    <w:rsid w:val="003E5C81"/>
    <w:rsid w:val="003E6965"/>
    <w:rsid w:val="003F00E8"/>
    <w:rsid w:val="003F1936"/>
    <w:rsid w:val="003F1BDD"/>
    <w:rsid w:val="003F3BA3"/>
    <w:rsid w:val="003F3BD5"/>
    <w:rsid w:val="003F400E"/>
    <w:rsid w:val="003F6F35"/>
    <w:rsid w:val="003F7768"/>
    <w:rsid w:val="00400E8C"/>
    <w:rsid w:val="004017DC"/>
    <w:rsid w:val="00401B53"/>
    <w:rsid w:val="00402668"/>
    <w:rsid w:val="00404FEC"/>
    <w:rsid w:val="0040534D"/>
    <w:rsid w:val="00405FAD"/>
    <w:rsid w:val="004117AB"/>
    <w:rsid w:val="00412B2F"/>
    <w:rsid w:val="00415281"/>
    <w:rsid w:val="00415716"/>
    <w:rsid w:val="0041604D"/>
    <w:rsid w:val="00417842"/>
    <w:rsid w:val="00417A6E"/>
    <w:rsid w:val="0042285D"/>
    <w:rsid w:val="00427D2B"/>
    <w:rsid w:val="00430B13"/>
    <w:rsid w:val="00430CE5"/>
    <w:rsid w:val="0043153C"/>
    <w:rsid w:val="00431D0F"/>
    <w:rsid w:val="0043481C"/>
    <w:rsid w:val="00435E0C"/>
    <w:rsid w:val="00444307"/>
    <w:rsid w:val="0044436F"/>
    <w:rsid w:val="004443EB"/>
    <w:rsid w:val="00444432"/>
    <w:rsid w:val="00444673"/>
    <w:rsid w:val="004447D1"/>
    <w:rsid w:val="0044621E"/>
    <w:rsid w:val="00447BF1"/>
    <w:rsid w:val="00450BA4"/>
    <w:rsid w:val="004511FC"/>
    <w:rsid w:val="00452F1E"/>
    <w:rsid w:val="00456784"/>
    <w:rsid w:val="00456DCA"/>
    <w:rsid w:val="00461140"/>
    <w:rsid w:val="004611DB"/>
    <w:rsid w:val="004658B0"/>
    <w:rsid w:val="0046614B"/>
    <w:rsid w:val="004667A7"/>
    <w:rsid w:val="00467FD7"/>
    <w:rsid w:val="00470073"/>
    <w:rsid w:val="004730F8"/>
    <w:rsid w:val="00474353"/>
    <w:rsid w:val="00474555"/>
    <w:rsid w:val="004750F4"/>
    <w:rsid w:val="00476CB1"/>
    <w:rsid w:val="00480A48"/>
    <w:rsid w:val="00482501"/>
    <w:rsid w:val="00482E7D"/>
    <w:rsid w:val="00484395"/>
    <w:rsid w:val="004865FB"/>
    <w:rsid w:val="00486C03"/>
    <w:rsid w:val="00491AB3"/>
    <w:rsid w:val="00497A33"/>
    <w:rsid w:val="004A1112"/>
    <w:rsid w:val="004A1DA0"/>
    <w:rsid w:val="004A1F20"/>
    <w:rsid w:val="004A2393"/>
    <w:rsid w:val="004A3569"/>
    <w:rsid w:val="004A3A2F"/>
    <w:rsid w:val="004A452A"/>
    <w:rsid w:val="004A4A67"/>
    <w:rsid w:val="004A5F2C"/>
    <w:rsid w:val="004A6E4F"/>
    <w:rsid w:val="004A720D"/>
    <w:rsid w:val="004B00D0"/>
    <w:rsid w:val="004B1D69"/>
    <w:rsid w:val="004B2CA2"/>
    <w:rsid w:val="004B6084"/>
    <w:rsid w:val="004B7AE0"/>
    <w:rsid w:val="004B7AF1"/>
    <w:rsid w:val="004C0BC4"/>
    <w:rsid w:val="004C260D"/>
    <w:rsid w:val="004C2D47"/>
    <w:rsid w:val="004C4357"/>
    <w:rsid w:val="004C4477"/>
    <w:rsid w:val="004C4574"/>
    <w:rsid w:val="004C5730"/>
    <w:rsid w:val="004C6397"/>
    <w:rsid w:val="004C668F"/>
    <w:rsid w:val="004C682B"/>
    <w:rsid w:val="004D142C"/>
    <w:rsid w:val="004D29F7"/>
    <w:rsid w:val="004D36D8"/>
    <w:rsid w:val="004D4C5C"/>
    <w:rsid w:val="004D5AB0"/>
    <w:rsid w:val="004D5EAE"/>
    <w:rsid w:val="004D7A0E"/>
    <w:rsid w:val="004E06E7"/>
    <w:rsid w:val="004E0AE3"/>
    <w:rsid w:val="004E20D3"/>
    <w:rsid w:val="004E2C82"/>
    <w:rsid w:val="004E4FAE"/>
    <w:rsid w:val="004E62C7"/>
    <w:rsid w:val="004E68FF"/>
    <w:rsid w:val="004E7A1B"/>
    <w:rsid w:val="004F0B7F"/>
    <w:rsid w:val="004F1193"/>
    <w:rsid w:val="004F11DC"/>
    <w:rsid w:val="004F2124"/>
    <w:rsid w:val="004F271B"/>
    <w:rsid w:val="004F3A52"/>
    <w:rsid w:val="004F449F"/>
    <w:rsid w:val="004F4E7E"/>
    <w:rsid w:val="004F63AB"/>
    <w:rsid w:val="004F6B76"/>
    <w:rsid w:val="004F6C7C"/>
    <w:rsid w:val="004F7905"/>
    <w:rsid w:val="004F7F1A"/>
    <w:rsid w:val="004F7FBB"/>
    <w:rsid w:val="005042B3"/>
    <w:rsid w:val="005045AB"/>
    <w:rsid w:val="00507D43"/>
    <w:rsid w:val="005103F2"/>
    <w:rsid w:val="00510E2C"/>
    <w:rsid w:val="00511FDC"/>
    <w:rsid w:val="005124C6"/>
    <w:rsid w:val="00513EBC"/>
    <w:rsid w:val="00514CE1"/>
    <w:rsid w:val="00517155"/>
    <w:rsid w:val="00517DB3"/>
    <w:rsid w:val="005200DC"/>
    <w:rsid w:val="005200F2"/>
    <w:rsid w:val="0052369D"/>
    <w:rsid w:val="005271DB"/>
    <w:rsid w:val="00527C96"/>
    <w:rsid w:val="00530D2F"/>
    <w:rsid w:val="0053487C"/>
    <w:rsid w:val="005356E1"/>
    <w:rsid w:val="00536A8B"/>
    <w:rsid w:val="00540418"/>
    <w:rsid w:val="00541A96"/>
    <w:rsid w:val="00541C6A"/>
    <w:rsid w:val="00542C54"/>
    <w:rsid w:val="0054615E"/>
    <w:rsid w:val="00546A43"/>
    <w:rsid w:val="00546C70"/>
    <w:rsid w:val="00547258"/>
    <w:rsid w:val="00550CF0"/>
    <w:rsid w:val="005559FE"/>
    <w:rsid w:val="005560D6"/>
    <w:rsid w:val="00556D07"/>
    <w:rsid w:val="005611F2"/>
    <w:rsid w:val="00561734"/>
    <w:rsid w:val="00561952"/>
    <w:rsid w:val="00564B9A"/>
    <w:rsid w:val="00565694"/>
    <w:rsid w:val="00566DD6"/>
    <w:rsid w:val="005714EF"/>
    <w:rsid w:val="00571CEC"/>
    <w:rsid w:val="00572FCE"/>
    <w:rsid w:val="005750DB"/>
    <w:rsid w:val="005759FC"/>
    <w:rsid w:val="00575B85"/>
    <w:rsid w:val="00576DB9"/>
    <w:rsid w:val="0057738F"/>
    <w:rsid w:val="005805E4"/>
    <w:rsid w:val="0058202F"/>
    <w:rsid w:val="00584221"/>
    <w:rsid w:val="00584EB6"/>
    <w:rsid w:val="005853B9"/>
    <w:rsid w:val="00586B68"/>
    <w:rsid w:val="0058774E"/>
    <w:rsid w:val="005878CF"/>
    <w:rsid w:val="00590CA0"/>
    <w:rsid w:val="005912C1"/>
    <w:rsid w:val="00595B01"/>
    <w:rsid w:val="00596D98"/>
    <w:rsid w:val="005979A5"/>
    <w:rsid w:val="005A0021"/>
    <w:rsid w:val="005A017B"/>
    <w:rsid w:val="005A2AEC"/>
    <w:rsid w:val="005A412D"/>
    <w:rsid w:val="005A5212"/>
    <w:rsid w:val="005B002D"/>
    <w:rsid w:val="005B0FFF"/>
    <w:rsid w:val="005B19AF"/>
    <w:rsid w:val="005B258C"/>
    <w:rsid w:val="005B61DD"/>
    <w:rsid w:val="005B6735"/>
    <w:rsid w:val="005B6A6E"/>
    <w:rsid w:val="005B7831"/>
    <w:rsid w:val="005C0CD6"/>
    <w:rsid w:val="005C12D9"/>
    <w:rsid w:val="005C2146"/>
    <w:rsid w:val="005C309D"/>
    <w:rsid w:val="005C544B"/>
    <w:rsid w:val="005C5916"/>
    <w:rsid w:val="005C5AEE"/>
    <w:rsid w:val="005C774A"/>
    <w:rsid w:val="005D3734"/>
    <w:rsid w:val="005D44A7"/>
    <w:rsid w:val="005D4F16"/>
    <w:rsid w:val="005D5415"/>
    <w:rsid w:val="005D5A53"/>
    <w:rsid w:val="005D5DA0"/>
    <w:rsid w:val="005D7FBD"/>
    <w:rsid w:val="005E19B4"/>
    <w:rsid w:val="005E1D6B"/>
    <w:rsid w:val="005E227A"/>
    <w:rsid w:val="005E2CF8"/>
    <w:rsid w:val="005E3126"/>
    <w:rsid w:val="005E7075"/>
    <w:rsid w:val="005E75A7"/>
    <w:rsid w:val="005E76AC"/>
    <w:rsid w:val="005F38E2"/>
    <w:rsid w:val="005F3EE6"/>
    <w:rsid w:val="005F6736"/>
    <w:rsid w:val="00602C10"/>
    <w:rsid w:val="00602EBD"/>
    <w:rsid w:val="00604CF2"/>
    <w:rsid w:val="00606DFF"/>
    <w:rsid w:val="00606FB7"/>
    <w:rsid w:val="00607209"/>
    <w:rsid w:val="00610533"/>
    <w:rsid w:val="006110F6"/>
    <w:rsid w:val="00611FA1"/>
    <w:rsid w:val="00612522"/>
    <w:rsid w:val="00612DA6"/>
    <w:rsid w:val="0061365B"/>
    <w:rsid w:val="006138B6"/>
    <w:rsid w:val="00614BC6"/>
    <w:rsid w:val="00614E33"/>
    <w:rsid w:val="006158B8"/>
    <w:rsid w:val="0061706D"/>
    <w:rsid w:val="006173DA"/>
    <w:rsid w:val="00617EF9"/>
    <w:rsid w:val="00620295"/>
    <w:rsid w:val="006211CE"/>
    <w:rsid w:val="00622F8E"/>
    <w:rsid w:val="00626AC8"/>
    <w:rsid w:val="00627912"/>
    <w:rsid w:val="0063195F"/>
    <w:rsid w:val="00636C0A"/>
    <w:rsid w:val="00637EC6"/>
    <w:rsid w:val="0064240C"/>
    <w:rsid w:val="00642FF5"/>
    <w:rsid w:val="006430FB"/>
    <w:rsid w:val="00643992"/>
    <w:rsid w:val="00644DBC"/>
    <w:rsid w:val="00646FE6"/>
    <w:rsid w:val="006474CD"/>
    <w:rsid w:val="00647744"/>
    <w:rsid w:val="006479A0"/>
    <w:rsid w:val="006500D9"/>
    <w:rsid w:val="00653B54"/>
    <w:rsid w:val="006541A3"/>
    <w:rsid w:val="00654FAD"/>
    <w:rsid w:val="006554A5"/>
    <w:rsid w:val="00655C9F"/>
    <w:rsid w:val="006567FF"/>
    <w:rsid w:val="00656867"/>
    <w:rsid w:val="0066109F"/>
    <w:rsid w:val="00664B26"/>
    <w:rsid w:val="0066596B"/>
    <w:rsid w:val="00670295"/>
    <w:rsid w:val="006704F5"/>
    <w:rsid w:val="00672894"/>
    <w:rsid w:val="00674B47"/>
    <w:rsid w:val="0067609E"/>
    <w:rsid w:val="00677749"/>
    <w:rsid w:val="00680E07"/>
    <w:rsid w:val="00682B9D"/>
    <w:rsid w:val="00683806"/>
    <w:rsid w:val="00686AF9"/>
    <w:rsid w:val="00687AA5"/>
    <w:rsid w:val="006910C0"/>
    <w:rsid w:val="00691954"/>
    <w:rsid w:val="0069320E"/>
    <w:rsid w:val="00693D13"/>
    <w:rsid w:val="00694F58"/>
    <w:rsid w:val="006955BC"/>
    <w:rsid w:val="006959E2"/>
    <w:rsid w:val="00696920"/>
    <w:rsid w:val="00697EB9"/>
    <w:rsid w:val="006A20D4"/>
    <w:rsid w:val="006A268D"/>
    <w:rsid w:val="006A313B"/>
    <w:rsid w:val="006A350F"/>
    <w:rsid w:val="006A3957"/>
    <w:rsid w:val="006A39A4"/>
    <w:rsid w:val="006A41D6"/>
    <w:rsid w:val="006A669D"/>
    <w:rsid w:val="006A6E41"/>
    <w:rsid w:val="006B012F"/>
    <w:rsid w:val="006B27CF"/>
    <w:rsid w:val="006B41BD"/>
    <w:rsid w:val="006B44E1"/>
    <w:rsid w:val="006B5678"/>
    <w:rsid w:val="006B62B2"/>
    <w:rsid w:val="006C1C57"/>
    <w:rsid w:val="006C5760"/>
    <w:rsid w:val="006C6D6F"/>
    <w:rsid w:val="006D0D78"/>
    <w:rsid w:val="006D1128"/>
    <w:rsid w:val="006D2848"/>
    <w:rsid w:val="006D30E0"/>
    <w:rsid w:val="006D3413"/>
    <w:rsid w:val="006D5521"/>
    <w:rsid w:val="006D5FE9"/>
    <w:rsid w:val="006D6CBB"/>
    <w:rsid w:val="006D76A9"/>
    <w:rsid w:val="006D77F4"/>
    <w:rsid w:val="006E0898"/>
    <w:rsid w:val="006E41CD"/>
    <w:rsid w:val="006F3BEC"/>
    <w:rsid w:val="00703C00"/>
    <w:rsid w:val="00704662"/>
    <w:rsid w:val="007057CC"/>
    <w:rsid w:val="007066F2"/>
    <w:rsid w:val="00706AE5"/>
    <w:rsid w:val="00707300"/>
    <w:rsid w:val="0070740A"/>
    <w:rsid w:val="00711F93"/>
    <w:rsid w:val="00712940"/>
    <w:rsid w:val="0071428C"/>
    <w:rsid w:val="00715A16"/>
    <w:rsid w:val="007164B0"/>
    <w:rsid w:val="007166FF"/>
    <w:rsid w:val="007260CC"/>
    <w:rsid w:val="00726543"/>
    <w:rsid w:val="0073353E"/>
    <w:rsid w:val="00736633"/>
    <w:rsid w:val="00741EE7"/>
    <w:rsid w:val="00743A79"/>
    <w:rsid w:val="007444D4"/>
    <w:rsid w:val="0074594D"/>
    <w:rsid w:val="007459F3"/>
    <w:rsid w:val="00746E35"/>
    <w:rsid w:val="007470E2"/>
    <w:rsid w:val="0075232F"/>
    <w:rsid w:val="00753132"/>
    <w:rsid w:val="007550B3"/>
    <w:rsid w:val="00760451"/>
    <w:rsid w:val="0077182A"/>
    <w:rsid w:val="00771913"/>
    <w:rsid w:val="00772718"/>
    <w:rsid w:val="00775BCF"/>
    <w:rsid w:val="007818AA"/>
    <w:rsid w:val="00783140"/>
    <w:rsid w:val="007838B6"/>
    <w:rsid w:val="00783E77"/>
    <w:rsid w:val="007906F1"/>
    <w:rsid w:val="0079243D"/>
    <w:rsid w:val="00794A9B"/>
    <w:rsid w:val="0079583B"/>
    <w:rsid w:val="00796602"/>
    <w:rsid w:val="00797185"/>
    <w:rsid w:val="007976B7"/>
    <w:rsid w:val="00797A7E"/>
    <w:rsid w:val="00797D6F"/>
    <w:rsid w:val="007A6130"/>
    <w:rsid w:val="007B014B"/>
    <w:rsid w:val="007B0D88"/>
    <w:rsid w:val="007B306F"/>
    <w:rsid w:val="007B4714"/>
    <w:rsid w:val="007B4E82"/>
    <w:rsid w:val="007C1996"/>
    <w:rsid w:val="007C3773"/>
    <w:rsid w:val="007C3F1F"/>
    <w:rsid w:val="007D2D0D"/>
    <w:rsid w:val="007D3325"/>
    <w:rsid w:val="007D3818"/>
    <w:rsid w:val="007D6DC5"/>
    <w:rsid w:val="007D7425"/>
    <w:rsid w:val="007E320E"/>
    <w:rsid w:val="007E3280"/>
    <w:rsid w:val="007E4A02"/>
    <w:rsid w:val="007E595C"/>
    <w:rsid w:val="007E59A5"/>
    <w:rsid w:val="007F1616"/>
    <w:rsid w:val="007F3B8C"/>
    <w:rsid w:val="007F41D0"/>
    <w:rsid w:val="007F4B8B"/>
    <w:rsid w:val="007F5957"/>
    <w:rsid w:val="007F70B6"/>
    <w:rsid w:val="007F74CA"/>
    <w:rsid w:val="00800F1E"/>
    <w:rsid w:val="0080195A"/>
    <w:rsid w:val="0080239C"/>
    <w:rsid w:val="00802841"/>
    <w:rsid w:val="008037D5"/>
    <w:rsid w:val="00805447"/>
    <w:rsid w:val="008054FA"/>
    <w:rsid w:val="0080717A"/>
    <w:rsid w:val="00807DFA"/>
    <w:rsid w:val="0081009F"/>
    <w:rsid w:val="00810152"/>
    <w:rsid w:val="008115AB"/>
    <w:rsid w:val="00812D2C"/>
    <w:rsid w:val="0081408E"/>
    <w:rsid w:val="008159F4"/>
    <w:rsid w:val="008167C1"/>
    <w:rsid w:val="008167C6"/>
    <w:rsid w:val="00816B8F"/>
    <w:rsid w:val="00820331"/>
    <w:rsid w:val="00820BF5"/>
    <w:rsid w:val="008212B1"/>
    <w:rsid w:val="0082155A"/>
    <w:rsid w:val="0082209F"/>
    <w:rsid w:val="008223C2"/>
    <w:rsid w:val="00822B98"/>
    <w:rsid w:val="008250A2"/>
    <w:rsid w:val="00825D64"/>
    <w:rsid w:val="0082650B"/>
    <w:rsid w:val="008301CE"/>
    <w:rsid w:val="008312E3"/>
    <w:rsid w:val="00831D5B"/>
    <w:rsid w:val="00832DD6"/>
    <w:rsid w:val="00832F0C"/>
    <w:rsid w:val="008336F2"/>
    <w:rsid w:val="008345D9"/>
    <w:rsid w:val="008347CB"/>
    <w:rsid w:val="00835647"/>
    <w:rsid w:val="008379F6"/>
    <w:rsid w:val="00837A2E"/>
    <w:rsid w:val="00841558"/>
    <w:rsid w:val="00842A68"/>
    <w:rsid w:val="008435BA"/>
    <w:rsid w:val="0084558B"/>
    <w:rsid w:val="0084654A"/>
    <w:rsid w:val="00846DCA"/>
    <w:rsid w:val="00847654"/>
    <w:rsid w:val="00851064"/>
    <w:rsid w:val="00855543"/>
    <w:rsid w:val="008566B3"/>
    <w:rsid w:val="008576B7"/>
    <w:rsid w:val="00857F7B"/>
    <w:rsid w:val="0086086C"/>
    <w:rsid w:val="00863DA1"/>
    <w:rsid w:val="008654A6"/>
    <w:rsid w:val="00865D86"/>
    <w:rsid w:val="00866958"/>
    <w:rsid w:val="00870495"/>
    <w:rsid w:val="00870EA1"/>
    <w:rsid w:val="008710C5"/>
    <w:rsid w:val="00874438"/>
    <w:rsid w:val="00874E75"/>
    <w:rsid w:val="008767F3"/>
    <w:rsid w:val="00876CEF"/>
    <w:rsid w:val="00877342"/>
    <w:rsid w:val="008803C3"/>
    <w:rsid w:val="00881450"/>
    <w:rsid w:val="008817C7"/>
    <w:rsid w:val="00881875"/>
    <w:rsid w:val="008848A3"/>
    <w:rsid w:val="00884AF1"/>
    <w:rsid w:val="00885F7A"/>
    <w:rsid w:val="0088776A"/>
    <w:rsid w:val="00890712"/>
    <w:rsid w:val="00890D81"/>
    <w:rsid w:val="00892955"/>
    <w:rsid w:val="00893628"/>
    <w:rsid w:val="008941EB"/>
    <w:rsid w:val="0089545A"/>
    <w:rsid w:val="00895A02"/>
    <w:rsid w:val="008A01EE"/>
    <w:rsid w:val="008A0DAC"/>
    <w:rsid w:val="008A3B78"/>
    <w:rsid w:val="008A4166"/>
    <w:rsid w:val="008A7DBF"/>
    <w:rsid w:val="008B136C"/>
    <w:rsid w:val="008B1C05"/>
    <w:rsid w:val="008B55EF"/>
    <w:rsid w:val="008B6910"/>
    <w:rsid w:val="008C0B5C"/>
    <w:rsid w:val="008C1343"/>
    <w:rsid w:val="008C3912"/>
    <w:rsid w:val="008C5598"/>
    <w:rsid w:val="008C69EA"/>
    <w:rsid w:val="008C6F8B"/>
    <w:rsid w:val="008C7AB7"/>
    <w:rsid w:val="008C7FB4"/>
    <w:rsid w:val="008D0C1E"/>
    <w:rsid w:val="008D2C8C"/>
    <w:rsid w:val="008D3040"/>
    <w:rsid w:val="008D3ECD"/>
    <w:rsid w:val="008D5C03"/>
    <w:rsid w:val="008D7580"/>
    <w:rsid w:val="008D7C35"/>
    <w:rsid w:val="008E5698"/>
    <w:rsid w:val="008E5733"/>
    <w:rsid w:val="008E673A"/>
    <w:rsid w:val="008E77D2"/>
    <w:rsid w:val="008E78FD"/>
    <w:rsid w:val="008F199D"/>
    <w:rsid w:val="008F38A0"/>
    <w:rsid w:val="008F39C9"/>
    <w:rsid w:val="008F5EB5"/>
    <w:rsid w:val="008F678C"/>
    <w:rsid w:val="008F75A7"/>
    <w:rsid w:val="008F7E5A"/>
    <w:rsid w:val="00900A7F"/>
    <w:rsid w:val="009036EE"/>
    <w:rsid w:val="00905815"/>
    <w:rsid w:val="00905D1D"/>
    <w:rsid w:val="0091016D"/>
    <w:rsid w:val="00910C98"/>
    <w:rsid w:val="00911910"/>
    <w:rsid w:val="00912A58"/>
    <w:rsid w:val="00913908"/>
    <w:rsid w:val="00913D26"/>
    <w:rsid w:val="0091438B"/>
    <w:rsid w:val="009147E3"/>
    <w:rsid w:val="009155AE"/>
    <w:rsid w:val="00920FD2"/>
    <w:rsid w:val="00923A43"/>
    <w:rsid w:val="0092439C"/>
    <w:rsid w:val="0092498E"/>
    <w:rsid w:val="00925B91"/>
    <w:rsid w:val="00934461"/>
    <w:rsid w:val="00934F7E"/>
    <w:rsid w:val="00936A1C"/>
    <w:rsid w:val="00943E35"/>
    <w:rsid w:val="00945278"/>
    <w:rsid w:val="009457DF"/>
    <w:rsid w:val="0094658D"/>
    <w:rsid w:val="00947678"/>
    <w:rsid w:val="00947878"/>
    <w:rsid w:val="009504C2"/>
    <w:rsid w:val="0095254A"/>
    <w:rsid w:val="0095273B"/>
    <w:rsid w:val="009559E1"/>
    <w:rsid w:val="009568D5"/>
    <w:rsid w:val="00957CD3"/>
    <w:rsid w:val="0096269B"/>
    <w:rsid w:val="00963FB0"/>
    <w:rsid w:val="00964C86"/>
    <w:rsid w:val="00965E82"/>
    <w:rsid w:val="009664BB"/>
    <w:rsid w:val="009669F8"/>
    <w:rsid w:val="00966F89"/>
    <w:rsid w:val="009710AA"/>
    <w:rsid w:val="00973B5D"/>
    <w:rsid w:val="0097755E"/>
    <w:rsid w:val="00981467"/>
    <w:rsid w:val="00981C24"/>
    <w:rsid w:val="009852F6"/>
    <w:rsid w:val="00985DE5"/>
    <w:rsid w:val="00986254"/>
    <w:rsid w:val="0098729E"/>
    <w:rsid w:val="00990067"/>
    <w:rsid w:val="00992977"/>
    <w:rsid w:val="009937D4"/>
    <w:rsid w:val="00993C78"/>
    <w:rsid w:val="009948C7"/>
    <w:rsid w:val="00995850"/>
    <w:rsid w:val="0099796C"/>
    <w:rsid w:val="009A194E"/>
    <w:rsid w:val="009A1EA2"/>
    <w:rsid w:val="009A209E"/>
    <w:rsid w:val="009A3FD7"/>
    <w:rsid w:val="009A6652"/>
    <w:rsid w:val="009A74FD"/>
    <w:rsid w:val="009B25D8"/>
    <w:rsid w:val="009B42E3"/>
    <w:rsid w:val="009B5859"/>
    <w:rsid w:val="009C6D07"/>
    <w:rsid w:val="009C7CEC"/>
    <w:rsid w:val="009D154D"/>
    <w:rsid w:val="009D18EF"/>
    <w:rsid w:val="009D3BE8"/>
    <w:rsid w:val="009D44E0"/>
    <w:rsid w:val="009D573B"/>
    <w:rsid w:val="009D59A0"/>
    <w:rsid w:val="009D716A"/>
    <w:rsid w:val="009E10DF"/>
    <w:rsid w:val="009E1AC4"/>
    <w:rsid w:val="009E20B8"/>
    <w:rsid w:val="009E29A0"/>
    <w:rsid w:val="009E41B5"/>
    <w:rsid w:val="009E55D7"/>
    <w:rsid w:val="009E627C"/>
    <w:rsid w:val="009F110B"/>
    <w:rsid w:val="009F1498"/>
    <w:rsid w:val="009F1E9F"/>
    <w:rsid w:val="009F3793"/>
    <w:rsid w:val="009F54F2"/>
    <w:rsid w:val="009F74CD"/>
    <w:rsid w:val="00A0056B"/>
    <w:rsid w:val="00A01657"/>
    <w:rsid w:val="00A01C65"/>
    <w:rsid w:val="00A0213D"/>
    <w:rsid w:val="00A04C73"/>
    <w:rsid w:val="00A0679A"/>
    <w:rsid w:val="00A07A2B"/>
    <w:rsid w:val="00A12375"/>
    <w:rsid w:val="00A125B8"/>
    <w:rsid w:val="00A13124"/>
    <w:rsid w:val="00A15370"/>
    <w:rsid w:val="00A156AB"/>
    <w:rsid w:val="00A16B8D"/>
    <w:rsid w:val="00A21293"/>
    <w:rsid w:val="00A2134B"/>
    <w:rsid w:val="00A21623"/>
    <w:rsid w:val="00A220EB"/>
    <w:rsid w:val="00A22302"/>
    <w:rsid w:val="00A25F1B"/>
    <w:rsid w:val="00A325F3"/>
    <w:rsid w:val="00A33103"/>
    <w:rsid w:val="00A33294"/>
    <w:rsid w:val="00A35DCB"/>
    <w:rsid w:val="00A3690E"/>
    <w:rsid w:val="00A37751"/>
    <w:rsid w:val="00A406B1"/>
    <w:rsid w:val="00A4113E"/>
    <w:rsid w:val="00A42435"/>
    <w:rsid w:val="00A43113"/>
    <w:rsid w:val="00A43624"/>
    <w:rsid w:val="00A438BA"/>
    <w:rsid w:val="00A446FD"/>
    <w:rsid w:val="00A46F46"/>
    <w:rsid w:val="00A52CB6"/>
    <w:rsid w:val="00A52F99"/>
    <w:rsid w:val="00A538BB"/>
    <w:rsid w:val="00A54164"/>
    <w:rsid w:val="00A56737"/>
    <w:rsid w:val="00A60002"/>
    <w:rsid w:val="00A603D8"/>
    <w:rsid w:val="00A60AE2"/>
    <w:rsid w:val="00A61834"/>
    <w:rsid w:val="00A618B0"/>
    <w:rsid w:val="00A62790"/>
    <w:rsid w:val="00A6291F"/>
    <w:rsid w:val="00A63F53"/>
    <w:rsid w:val="00A7111E"/>
    <w:rsid w:val="00A755B6"/>
    <w:rsid w:val="00A75B1A"/>
    <w:rsid w:val="00A80ED4"/>
    <w:rsid w:val="00A816C4"/>
    <w:rsid w:val="00A82981"/>
    <w:rsid w:val="00A86F10"/>
    <w:rsid w:val="00A87AF2"/>
    <w:rsid w:val="00A900C3"/>
    <w:rsid w:val="00A90B23"/>
    <w:rsid w:val="00A93193"/>
    <w:rsid w:val="00A93C2B"/>
    <w:rsid w:val="00A94556"/>
    <w:rsid w:val="00A974CB"/>
    <w:rsid w:val="00AA1EAC"/>
    <w:rsid w:val="00AA45E2"/>
    <w:rsid w:val="00AA7AC1"/>
    <w:rsid w:val="00AB18E4"/>
    <w:rsid w:val="00AB2E36"/>
    <w:rsid w:val="00AB6327"/>
    <w:rsid w:val="00AB6B8F"/>
    <w:rsid w:val="00AC0C65"/>
    <w:rsid w:val="00AC0FB2"/>
    <w:rsid w:val="00AC3721"/>
    <w:rsid w:val="00AC41C6"/>
    <w:rsid w:val="00AC4696"/>
    <w:rsid w:val="00AC670D"/>
    <w:rsid w:val="00AC70C7"/>
    <w:rsid w:val="00AC76B7"/>
    <w:rsid w:val="00AD0223"/>
    <w:rsid w:val="00AD123A"/>
    <w:rsid w:val="00AD15FF"/>
    <w:rsid w:val="00AD1AA5"/>
    <w:rsid w:val="00AD2920"/>
    <w:rsid w:val="00AD2CD5"/>
    <w:rsid w:val="00AD2DFC"/>
    <w:rsid w:val="00AD38C4"/>
    <w:rsid w:val="00AD5A4A"/>
    <w:rsid w:val="00AD60EE"/>
    <w:rsid w:val="00AD6A2B"/>
    <w:rsid w:val="00AD73D4"/>
    <w:rsid w:val="00AE1EA2"/>
    <w:rsid w:val="00AE2874"/>
    <w:rsid w:val="00AE2F98"/>
    <w:rsid w:val="00AE3602"/>
    <w:rsid w:val="00AE5342"/>
    <w:rsid w:val="00AE5987"/>
    <w:rsid w:val="00AE6472"/>
    <w:rsid w:val="00AF1345"/>
    <w:rsid w:val="00AF38A8"/>
    <w:rsid w:val="00AF63EB"/>
    <w:rsid w:val="00AF7D77"/>
    <w:rsid w:val="00B016D2"/>
    <w:rsid w:val="00B018EC"/>
    <w:rsid w:val="00B060C7"/>
    <w:rsid w:val="00B11AB7"/>
    <w:rsid w:val="00B12213"/>
    <w:rsid w:val="00B13710"/>
    <w:rsid w:val="00B169BE"/>
    <w:rsid w:val="00B205C0"/>
    <w:rsid w:val="00B22881"/>
    <w:rsid w:val="00B23EFC"/>
    <w:rsid w:val="00B24B72"/>
    <w:rsid w:val="00B25DB8"/>
    <w:rsid w:val="00B2656C"/>
    <w:rsid w:val="00B266E6"/>
    <w:rsid w:val="00B3094D"/>
    <w:rsid w:val="00B30B04"/>
    <w:rsid w:val="00B311BC"/>
    <w:rsid w:val="00B31810"/>
    <w:rsid w:val="00B31C10"/>
    <w:rsid w:val="00B3446D"/>
    <w:rsid w:val="00B34652"/>
    <w:rsid w:val="00B34F89"/>
    <w:rsid w:val="00B358C8"/>
    <w:rsid w:val="00B36185"/>
    <w:rsid w:val="00B3662F"/>
    <w:rsid w:val="00B373CD"/>
    <w:rsid w:val="00B377C8"/>
    <w:rsid w:val="00B400B8"/>
    <w:rsid w:val="00B404DE"/>
    <w:rsid w:val="00B40765"/>
    <w:rsid w:val="00B4232D"/>
    <w:rsid w:val="00B42682"/>
    <w:rsid w:val="00B43065"/>
    <w:rsid w:val="00B44784"/>
    <w:rsid w:val="00B449D0"/>
    <w:rsid w:val="00B456AB"/>
    <w:rsid w:val="00B46C2A"/>
    <w:rsid w:val="00B47E8B"/>
    <w:rsid w:val="00B51C67"/>
    <w:rsid w:val="00B53F86"/>
    <w:rsid w:val="00B53FDC"/>
    <w:rsid w:val="00B55431"/>
    <w:rsid w:val="00B55CAE"/>
    <w:rsid w:val="00B576C6"/>
    <w:rsid w:val="00B615F2"/>
    <w:rsid w:val="00B61A28"/>
    <w:rsid w:val="00B63BAB"/>
    <w:rsid w:val="00B654FA"/>
    <w:rsid w:val="00B65C6D"/>
    <w:rsid w:val="00B66B06"/>
    <w:rsid w:val="00B67862"/>
    <w:rsid w:val="00B70634"/>
    <w:rsid w:val="00B70BE4"/>
    <w:rsid w:val="00B73880"/>
    <w:rsid w:val="00B73CF1"/>
    <w:rsid w:val="00B745B3"/>
    <w:rsid w:val="00B74C0D"/>
    <w:rsid w:val="00B7595C"/>
    <w:rsid w:val="00B7599D"/>
    <w:rsid w:val="00B7648F"/>
    <w:rsid w:val="00B76E13"/>
    <w:rsid w:val="00B771EE"/>
    <w:rsid w:val="00B7765B"/>
    <w:rsid w:val="00B77B4B"/>
    <w:rsid w:val="00B80ABC"/>
    <w:rsid w:val="00B814C2"/>
    <w:rsid w:val="00B900FE"/>
    <w:rsid w:val="00B9064C"/>
    <w:rsid w:val="00BA0A14"/>
    <w:rsid w:val="00BA116F"/>
    <w:rsid w:val="00BA228D"/>
    <w:rsid w:val="00BA398D"/>
    <w:rsid w:val="00BA39D3"/>
    <w:rsid w:val="00BA5C56"/>
    <w:rsid w:val="00BA776F"/>
    <w:rsid w:val="00BB0C0D"/>
    <w:rsid w:val="00BB0D69"/>
    <w:rsid w:val="00BB366E"/>
    <w:rsid w:val="00BB3AF0"/>
    <w:rsid w:val="00BB4F70"/>
    <w:rsid w:val="00BB67FF"/>
    <w:rsid w:val="00BC11B9"/>
    <w:rsid w:val="00BC138C"/>
    <w:rsid w:val="00BC14CF"/>
    <w:rsid w:val="00BC1659"/>
    <w:rsid w:val="00BC2C91"/>
    <w:rsid w:val="00BC3A9C"/>
    <w:rsid w:val="00BC5288"/>
    <w:rsid w:val="00BC6A71"/>
    <w:rsid w:val="00BC6B2F"/>
    <w:rsid w:val="00BC7695"/>
    <w:rsid w:val="00BD0637"/>
    <w:rsid w:val="00BD08A8"/>
    <w:rsid w:val="00BD1BAC"/>
    <w:rsid w:val="00BD1FA8"/>
    <w:rsid w:val="00BD25A6"/>
    <w:rsid w:val="00BD46AF"/>
    <w:rsid w:val="00BD4C95"/>
    <w:rsid w:val="00BD65FC"/>
    <w:rsid w:val="00BD7660"/>
    <w:rsid w:val="00BE0666"/>
    <w:rsid w:val="00BE24B9"/>
    <w:rsid w:val="00BE2AE8"/>
    <w:rsid w:val="00BE2D55"/>
    <w:rsid w:val="00BE38DD"/>
    <w:rsid w:val="00BE4AB1"/>
    <w:rsid w:val="00BF16C3"/>
    <w:rsid w:val="00BF38E0"/>
    <w:rsid w:val="00BF44FA"/>
    <w:rsid w:val="00BF57E1"/>
    <w:rsid w:val="00BF5EA0"/>
    <w:rsid w:val="00C003B4"/>
    <w:rsid w:val="00C00A5F"/>
    <w:rsid w:val="00C02303"/>
    <w:rsid w:val="00C042E0"/>
    <w:rsid w:val="00C051D9"/>
    <w:rsid w:val="00C06333"/>
    <w:rsid w:val="00C06F68"/>
    <w:rsid w:val="00C075BA"/>
    <w:rsid w:val="00C10A3A"/>
    <w:rsid w:val="00C11E20"/>
    <w:rsid w:val="00C15D16"/>
    <w:rsid w:val="00C20015"/>
    <w:rsid w:val="00C247DD"/>
    <w:rsid w:val="00C25B43"/>
    <w:rsid w:val="00C26A54"/>
    <w:rsid w:val="00C3261C"/>
    <w:rsid w:val="00C3318B"/>
    <w:rsid w:val="00C33C20"/>
    <w:rsid w:val="00C35362"/>
    <w:rsid w:val="00C357EA"/>
    <w:rsid w:val="00C37995"/>
    <w:rsid w:val="00C379F8"/>
    <w:rsid w:val="00C37A1C"/>
    <w:rsid w:val="00C42323"/>
    <w:rsid w:val="00C4316E"/>
    <w:rsid w:val="00C453A9"/>
    <w:rsid w:val="00C465D5"/>
    <w:rsid w:val="00C4756A"/>
    <w:rsid w:val="00C47C39"/>
    <w:rsid w:val="00C50649"/>
    <w:rsid w:val="00C50E1F"/>
    <w:rsid w:val="00C51C09"/>
    <w:rsid w:val="00C52BB6"/>
    <w:rsid w:val="00C53471"/>
    <w:rsid w:val="00C55143"/>
    <w:rsid w:val="00C5611B"/>
    <w:rsid w:val="00C5695E"/>
    <w:rsid w:val="00C61528"/>
    <w:rsid w:val="00C63457"/>
    <w:rsid w:val="00C64964"/>
    <w:rsid w:val="00C6631E"/>
    <w:rsid w:val="00C67473"/>
    <w:rsid w:val="00C67AA4"/>
    <w:rsid w:val="00C7148C"/>
    <w:rsid w:val="00C72192"/>
    <w:rsid w:val="00C732E5"/>
    <w:rsid w:val="00C73D0B"/>
    <w:rsid w:val="00C75017"/>
    <w:rsid w:val="00C765B4"/>
    <w:rsid w:val="00C813EA"/>
    <w:rsid w:val="00C81496"/>
    <w:rsid w:val="00C82CE6"/>
    <w:rsid w:val="00C82E22"/>
    <w:rsid w:val="00C85144"/>
    <w:rsid w:val="00C86738"/>
    <w:rsid w:val="00C86A27"/>
    <w:rsid w:val="00C91517"/>
    <w:rsid w:val="00C929BD"/>
    <w:rsid w:val="00C931A2"/>
    <w:rsid w:val="00CA02E1"/>
    <w:rsid w:val="00CA15DA"/>
    <w:rsid w:val="00CA224E"/>
    <w:rsid w:val="00CA41C5"/>
    <w:rsid w:val="00CA42B7"/>
    <w:rsid w:val="00CA4A53"/>
    <w:rsid w:val="00CA51F5"/>
    <w:rsid w:val="00CB218A"/>
    <w:rsid w:val="00CB225A"/>
    <w:rsid w:val="00CB69E6"/>
    <w:rsid w:val="00CB761B"/>
    <w:rsid w:val="00CC13DF"/>
    <w:rsid w:val="00CC1EEE"/>
    <w:rsid w:val="00CC411F"/>
    <w:rsid w:val="00CC5288"/>
    <w:rsid w:val="00CC562B"/>
    <w:rsid w:val="00CC6C15"/>
    <w:rsid w:val="00CC7FCF"/>
    <w:rsid w:val="00CD2749"/>
    <w:rsid w:val="00CD2A60"/>
    <w:rsid w:val="00CD306F"/>
    <w:rsid w:val="00CD3971"/>
    <w:rsid w:val="00CD3DAB"/>
    <w:rsid w:val="00CE0DF1"/>
    <w:rsid w:val="00CE3786"/>
    <w:rsid w:val="00CE4027"/>
    <w:rsid w:val="00CE47CC"/>
    <w:rsid w:val="00CE4ED1"/>
    <w:rsid w:val="00CE67F7"/>
    <w:rsid w:val="00CE68F6"/>
    <w:rsid w:val="00CE7E27"/>
    <w:rsid w:val="00CF22AC"/>
    <w:rsid w:val="00CF2F0A"/>
    <w:rsid w:val="00CF79E8"/>
    <w:rsid w:val="00D015AA"/>
    <w:rsid w:val="00D021B8"/>
    <w:rsid w:val="00D036B6"/>
    <w:rsid w:val="00D03D90"/>
    <w:rsid w:val="00D04024"/>
    <w:rsid w:val="00D043EB"/>
    <w:rsid w:val="00D06705"/>
    <w:rsid w:val="00D06A9B"/>
    <w:rsid w:val="00D0750D"/>
    <w:rsid w:val="00D07DD8"/>
    <w:rsid w:val="00D1038F"/>
    <w:rsid w:val="00D10BF7"/>
    <w:rsid w:val="00D10FEB"/>
    <w:rsid w:val="00D140A0"/>
    <w:rsid w:val="00D177B2"/>
    <w:rsid w:val="00D203D1"/>
    <w:rsid w:val="00D2057A"/>
    <w:rsid w:val="00D2092B"/>
    <w:rsid w:val="00D21D98"/>
    <w:rsid w:val="00D2317F"/>
    <w:rsid w:val="00D231A9"/>
    <w:rsid w:val="00D24391"/>
    <w:rsid w:val="00D2472B"/>
    <w:rsid w:val="00D253DD"/>
    <w:rsid w:val="00D26FFA"/>
    <w:rsid w:val="00D31C9E"/>
    <w:rsid w:val="00D3215D"/>
    <w:rsid w:val="00D33352"/>
    <w:rsid w:val="00D3447A"/>
    <w:rsid w:val="00D347D9"/>
    <w:rsid w:val="00D35565"/>
    <w:rsid w:val="00D36A19"/>
    <w:rsid w:val="00D40DCF"/>
    <w:rsid w:val="00D41075"/>
    <w:rsid w:val="00D4186F"/>
    <w:rsid w:val="00D41C76"/>
    <w:rsid w:val="00D41DD8"/>
    <w:rsid w:val="00D4222C"/>
    <w:rsid w:val="00D425CE"/>
    <w:rsid w:val="00D42F40"/>
    <w:rsid w:val="00D4396C"/>
    <w:rsid w:val="00D4446F"/>
    <w:rsid w:val="00D44B55"/>
    <w:rsid w:val="00D45490"/>
    <w:rsid w:val="00D457B8"/>
    <w:rsid w:val="00D457E1"/>
    <w:rsid w:val="00D47BEB"/>
    <w:rsid w:val="00D50487"/>
    <w:rsid w:val="00D50563"/>
    <w:rsid w:val="00D50F50"/>
    <w:rsid w:val="00D5235F"/>
    <w:rsid w:val="00D52F50"/>
    <w:rsid w:val="00D55A98"/>
    <w:rsid w:val="00D56B49"/>
    <w:rsid w:val="00D6053F"/>
    <w:rsid w:val="00D6073D"/>
    <w:rsid w:val="00D618D6"/>
    <w:rsid w:val="00D62426"/>
    <w:rsid w:val="00D62804"/>
    <w:rsid w:val="00D70F55"/>
    <w:rsid w:val="00D70FA5"/>
    <w:rsid w:val="00D74171"/>
    <w:rsid w:val="00D7474C"/>
    <w:rsid w:val="00D74C1A"/>
    <w:rsid w:val="00D8032C"/>
    <w:rsid w:val="00D80CE2"/>
    <w:rsid w:val="00D83080"/>
    <w:rsid w:val="00D84D5F"/>
    <w:rsid w:val="00D851E2"/>
    <w:rsid w:val="00D87FFA"/>
    <w:rsid w:val="00D91419"/>
    <w:rsid w:val="00D92A09"/>
    <w:rsid w:val="00D92D2A"/>
    <w:rsid w:val="00D92EEC"/>
    <w:rsid w:val="00D93470"/>
    <w:rsid w:val="00D9395F"/>
    <w:rsid w:val="00D93D55"/>
    <w:rsid w:val="00D941FA"/>
    <w:rsid w:val="00D94B59"/>
    <w:rsid w:val="00D95315"/>
    <w:rsid w:val="00D95EAB"/>
    <w:rsid w:val="00DA0B39"/>
    <w:rsid w:val="00DA1203"/>
    <w:rsid w:val="00DA2316"/>
    <w:rsid w:val="00DA25E0"/>
    <w:rsid w:val="00DA2700"/>
    <w:rsid w:val="00DA3001"/>
    <w:rsid w:val="00DA3C5D"/>
    <w:rsid w:val="00DA3EFF"/>
    <w:rsid w:val="00DA7769"/>
    <w:rsid w:val="00DB08C6"/>
    <w:rsid w:val="00DB0D83"/>
    <w:rsid w:val="00DB1BC2"/>
    <w:rsid w:val="00DB1CBB"/>
    <w:rsid w:val="00DB31ED"/>
    <w:rsid w:val="00DB4124"/>
    <w:rsid w:val="00DB4511"/>
    <w:rsid w:val="00DB4F0C"/>
    <w:rsid w:val="00DC0176"/>
    <w:rsid w:val="00DC043F"/>
    <w:rsid w:val="00DC093E"/>
    <w:rsid w:val="00DC0E29"/>
    <w:rsid w:val="00DC0E7A"/>
    <w:rsid w:val="00DC2A65"/>
    <w:rsid w:val="00DC2A86"/>
    <w:rsid w:val="00DC3631"/>
    <w:rsid w:val="00DC37F7"/>
    <w:rsid w:val="00DC6F54"/>
    <w:rsid w:val="00DC7393"/>
    <w:rsid w:val="00DD0C00"/>
    <w:rsid w:val="00DD0F8C"/>
    <w:rsid w:val="00DD116C"/>
    <w:rsid w:val="00DD23D5"/>
    <w:rsid w:val="00DD2AF1"/>
    <w:rsid w:val="00DD46DA"/>
    <w:rsid w:val="00DD6072"/>
    <w:rsid w:val="00DD62BE"/>
    <w:rsid w:val="00DD77D9"/>
    <w:rsid w:val="00DD7CA4"/>
    <w:rsid w:val="00DE167C"/>
    <w:rsid w:val="00DE3B70"/>
    <w:rsid w:val="00DE5813"/>
    <w:rsid w:val="00DF10B1"/>
    <w:rsid w:val="00DF1FDA"/>
    <w:rsid w:val="00DF3DD0"/>
    <w:rsid w:val="00DF4D50"/>
    <w:rsid w:val="00DF538C"/>
    <w:rsid w:val="00DF543D"/>
    <w:rsid w:val="00E021C2"/>
    <w:rsid w:val="00E024A3"/>
    <w:rsid w:val="00E0423D"/>
    <w:rsid w:val="00E057B5"/>
    <w:rsid w:val="00E0581E"/>
    <w:rsid w:val="00E079C5"/>
    <w:rsid w:val="00E07CBD"/>
    <w:rsid w:val="00E07F56"/>
    <w:rsid w:val="00E10A16"/>
    <w:rsid w:val="00E1112F"/>
    <w:rsid w:val="00E1318F"/>
    <w:rsid w:val="00E13B3B"/>
    <w:rsid w:val="00E13E29"/>
    <w:rsid w:val="00E16857"/>
    <w:rsid w:val="00E16C3A"/>
    <w:rsid w:val="00E20651"/>
    <w:rsid w:val="00E2107C"/>
    <w:rsid w:val="00E21E70"/>
    <w:rsid w:val="00E224DE"/>
    <w:rsid w:val="00E22D6A"/>
    <w:rsid w:val="00E23DCE"/>
    <w:rsid w:val="00E26363"/>
    <w:rsid w:val="00E272A4"/>
    <w:rsid w:val="00E305F9"/>
    <w:rsid w:val="00E306AC"/>
    <w:rsid w:val="00E34446"/>
    <w:rsid w:val="00E3633B"/>
    <w:rsid w:val="00E36870"/>
    <w:rsid w:val="00E374E1"/>
    <w:rsid w:val="00E417AB"/>
    <w:rsid w:val="00E43D48"/>
    <w:rsid w:val="00E4542D"/>
    <w:rsid w:val="00E45BE0"/>
    <w:rsid w:val="00E46CAD"/>
    <w:rsid w:val="00E47521"/>
    <w:rsid w:val="00E4760C"/>
    <w:rsid w:val="00E507A6"/>
    <w:rsid w:val="00E5103C"/>
    <w:rsid w:val="00E51904"/>
    <w:rsid w:val="00E5375C"/>
    <w:rsid w:val="00E561AD"/>
    <w:rsid w:val="00E57FAF"/>
    <w:rsid w:val="00E60BA9"/>
    <w:rsid w:val="00E63510"/>
    <w:rsid w:val="00E635EA"/>
    <w:rsid w:val="00E655E5"/>
    <w:rsid w:val="00E65F4E"/>
    <w:rsid w:val="00E662E0"/>
    <w:rsid w:val="00E67D5D"/>
    <w:rsid w:val="00E71C7A"/>
    <w:rsid w:val="00E73119"/>
    <w:rsid w:val="00E73E1E"/>
    <w:rsid w:val="00E74F9B"/>
    <w:rsid w:val="00E767FF"/>
    <w:rsid w:val="00E84C91"/>
    <w:rsid w:val="00E84E60"/>
    <w:rsid w:val="00E8556E"/>
    <w:rsid w:val="00E86B2D"/>
    <w:rsid w:val="00E86F4D"/>
    <w:rsid w:val="00E87D08"/>
    <w:rsid w:val="00E90D0E"/>
    <w:rsid w:val="00E91B2D"/>
    <w:rsid w:val="00E92FCA"/>
    <w:rsid w:val="00E95CAA"/>
    <w:rsid w:val="00EA0A39"/>
    <w:rsid w:val="00EA0EB2"/>
    <w:rsid w:val="00EA236F"/>
    <w:rsid w:val="00EA3023"/>
    <w:rsid w:val="00EA3E49"/>
    <w:rsid w:val="00EA3FC8"/>
    <w:rsid w:val="00EA5B8C"/>
    <w:rsid w:val="00EB0DC9"/>
    <w:rsid w:val="00EB1383"/>
    <w:rsid w:val="00EB252D"/>
    <w:rsid w:val="00EB29FA"/>
    <w:rsid w:val="00EB2A93"/>
    <w:rsid w:val="00EB2CCE"/>
    <w:rsid w:val="00EB385F"/>
    <w:rsid w:val="00EB3E49"/>
    <w:rsid w:val="00EB5FC3"/>
    <w:rsid w:val="00EB6DA9"/>
    <w:rsid w:val="00EC1561"/>
    <w:rsid w:val="00EC462E"/>
    <w:rsid w:val="00EC6CD8"/>
    <w:rsid w:val="00EC786F"/>
    <w:rsid w:val="00ED1866"/>
    <w:rsid w:val="00ED3134"/>
    <w:rsid w:val="00ED38E2"/>
    <w:rsid w:val="00ED5C44"/>
    <w:rsid w:val="00ED635B"/>
    <w:rsid w:val="00EE139E"/>
    <w:rsid w:val="00EE742D"/>
    <w:rsid w:val="00EF0A22"/>
    <w:rsid w:val="00EF1267"/>
    <w:rsid w:val="00EF180C"/>
    <w:rsid w:val="00EF3B6B"/>
    <w:rsid w:val="00EF4B43"/>
    <w:rsid w:val="00EF6750"/>
    <w:rsid w:val="00EF770B"/>
    <w:rsid w:val="00F02836"/>
    <w:rsid w:val="00F02FB5"/>
    <w:rsid w:val="00F0534E"/>
    <w:rsid w:val="00F05C30"/>
    <w:rsid w:val="00F05FBC"/>
    <w:rsid w:val="00F068F3"/>
    <w:rsid w:val="00F10F1B"/>
    <w:rsid w:val="00F14179"/>
    <w:rsid w:val="00F15786"/>
    <w:rsid w:val="00F16297"/>
    <w:rsid w:val="00F167C5"/>
    <w:rsid w:val="00F1791E"/>
    <w:rsid w:val="00F20B5A"/>
    <w:rsid w:val="00F2124C"/>
    <w:rsid w:val="00F21F0B"/>
    <w:rsid w:val="00F22390"/>
    <w:rsid w:val="00F236AB"/>
    <w:rsid w:val="00F24EA4"/>
    <w:rsid w:val="00F27087"/>
    <w:rsid w:val="00F2773C"/>
    <w:rsid w:val="00F300B3"/>
    <w:rsid w:val="00F30DB9"/>
    <w:rsid w:val="00F30FB8"/>
    <w:rsid w:val="00F31D68"/>
    <w:rsid w:val="00F31E97"/>
    <w:rsid w:val="00F33152"/>
    <w:rsid w:val="00F338F2"/>
    <w:rsid w:val="00F349D3"/>
    <w:rsid w:val="00F3533E"/>
    <w:rsid w:val="00F35B84"/>
    <w:rsid w:val="00F402B5"/>
    <w:rsid w:val="00F4072F"/>
    <w:rsid w:val="00F42839"/>
    <w:rsid w:val="00F44CC0"/>
    <w:rsid w:val="00F450BA"/>
    <w:rsid w:val="00F4684B"/>
    <w:rsid w:val="00F46BE9"/>
    <w:rsid w:val="00F47C3B"/>
    <w:rsid w:val="00F506CA"/>
    <w:rsid w:val="00F52CEE"/>
    <w:rsid w:val="00F53A7A"/>
    <w:rsid w:val="00F54FCD"/>
    <w:rsid w:val="00F5785C"/>
    <w:rsid w:val="00F603BA"/>
    <w:rsid w:val="00F6178B"/>
    <w:rsid w:val="00F65E3C"/>
    <w:rsid w:val="00F67076"/>
    <w:rsid w:val="00F677FA"/>
    <w:rsid w:val="00F7115A"/>
    <w:rsid w:val="00F717AA"/>
    <w:rsid w:val="00F72714"/>
    <w:rsid w:val="00F744C3"/>
    <w:rsid w:val="00F75EE2"/>
    <w:rsid w:val="00F75F69"/>
    <w:rsid w:val="00F76014"/>
    <w:rsid w:val="00F802D3"/>
    <w:rsid w:val="00F80F94"/>
    <w:rsid w:val="00F81BA2"/>
    <w:rsid w:val="00F823A4"/>
    <w:rsid w:val="00F8412F"/>
    <w:rsid w:val="00F84791"/>
    <w:rsid w:val="00F85995"/>
    <w:rsid w:val="00F85FC5"/>
    <w:rsid w:val="00F86C22"/>
    <w:rsid w:val="00F87EF7"/>
    <w:rsid w:val="00F90CB3"/>
    <w:rsid w:val="00F912A2"/>
    <w:rsid w:val="00F913A3"/>
    <w:rsid w:val="00F925C3"/>
    <w:rsid w:val="00FA0109"/>
    <w:rsid w:val="00FA458B"/>
    <w:rsid w:val="00FA5EC5"/>
    <w:rsid w:val="00FA7016"/>
    <w:rsid w:val="00FA7174"/>
    <w:rsid w:val="00FA793D"/>
    <w:rsid w:val="00FB020E"/>
    <w:rsid w:val="00FB0F17"/>
    <w:rsid w:val="00FB4B9D"/>
    <w:rsid w:val="00FB50ED"/>
    <w:rsid w:val="00FB56ED"/>
    <w:rsid w:val="00FB6E18"/>
    <w:rsid w:val="00FC144B"/>
    <w:rsid w:val="00FC2169"/>
    <w:rsid w:val="00FC28E2"/>
    <w:rsid w:val="00FC3BF6"/>
    <w:rsid w:val="00FC3D22"/>
    <w:rsid w:val="00FC6FE1"/>
    <w:rsid w:val="00FD0C3D"/>
    <w:rsid w:val="00FD16C2"/>
    <w:rsid w:val="00FD2F6B"/>
    <w:rsid w:val="00FD49C2"/>
    <w:rsid w:val="00FE064A"/>
    <w:rsid w:val="00FE0B55"/>
    <w:rsid w:val="00FE1E98"/>
    <w:rsid w:val="00FE2452"/>
    <w:rsid w:val="00FE4955"/>
    <w:rsid w:val="00FE5469"/>
    <w:rsid w:val="00FE66C2"/>
    <w:rsid w:val="00FE684A"/>
    <w:rsid w:val="00FE6868"/>
    <w:rsid w:val="00FE6F23"/>
    <w:rsid w:val="00FF0F8C"/>
    <w:rsid w:val="00FF408B"/>
    <w:rsid w:val="00FF43E1"/>
    <w:rsid w:val="03430854"/>
    <w:rsid w:val="039F5FA6"/>
    <w:rsid w:val="09305ADA"/>
    <w:rsid w:val="0E8013B7"/>
    <w:rsid w:val="10D604C6"/>
    <w:rsid w:val="11061BF8"/>
    <w:rsid w:val="11B515E0"/>
    <w:rsid w:val="128D77EE"/>
    <w:rsid w:val="13A53267"/>
    <w:rsid w:val="13F970D2"/>
    <w:rsid w:val="14AA4136"/>
    <w:rsid w:val="163A420B"/>
    <w:rsid w:val="19413B26"/>
    <w:rsid w:val="1C6D3688"/>
    <w:rsid w:val="1CC63D0A"/>
    <w:rsid w:val="1DC2081A"/>
    <w:rsid w:val="1DD94266"/>
    <w:rsid w:val="1F9D0947"/>
    <w:rsid w:val="1FFB29C6"/>
    <w:rsid w:val="22AF3620"/>
    <w:rsid w:val="22E70AD4"/>
    <w:rsid w:val="24F1508D"/>
    <w:rsid w:val="266F634F"/>
    <w:rsid w:val="291059EA"/>
    <w:rsid w:val="2BBF12EC"/>
    <w:rsid w:val="2BC649D9"/>
    <w:rsid w:val="2EBD0D27"/>
    <w:rsid w:val="3515160D"/>
    <w:rsid w:val="35F952D4"/>
    <w:rsid w:val="3B6E5054"/>
    <w:rsid w:val="3C7D00D8"/>
    <w:rsid w:val="3CA06C0C"/>
    <w:rsid w:val="3EA25851"/>
    <w:rsid w:val="3F6C3757"/>
    <w:rsid w:val="3FAAB452"/>
    <w:rsid w:val="405D6A10"/>
    <w:rsid w:val="41DA6594"/>
    <w:rsid w:val="444C1A75"/>
    <w:rsid w:val="44A3526F"/>
    <w:rsid w:val="44B032F4"/>
    <w:rsid w:val="457D25F7"/>
    <w:rsid w:val="468341CD"/>
    <w:rsid w:val="472C2589"/>
    <w:rsid w:val="4A760AEB"/>
    <w:rsid w:val="4CAE4727"/>
    <w:rsid w:val="4F3162CA"/>
    <w:rsid w:val="50D95873"/>
    <w:rsid w:val="526102AF"/>
    <w:rsid w:val="528444DA"/>
    <w:rsid w:val="537745D5"/>
    <w:rsid w:val="551C5139"/>
    <w:rsid w:val="552306F6"/>
    <w:rsid w:val="56E352D5"/>
    <w:rsid w:val="57E435FE"/>
    <w:rsid w:val="582D0655"/>
    <w:rsid w:val="5951205C"/>
    <w:rsid w:val="59D079E8"/>
    <w:rsid w:val="59D40847"/>
    <w:rsid w:val="5AE37F25"/>
    <w:rsid w:val="5CB23D47"/>
    <w:rsid w:val="5E5F177C"/>
    <w:rsid w:val="5FAF09C4"/>
    <w:rsid w:val="608C4642"/>
    <w:rsid w:val="62795572"/>
    <w:rsid w:val="64DD6417"/>
    <w:rsid w:val="66004745"/>
    <w:rsid w:val="6A567F20"/>
    <w:rsid w:val="6CD97953"/>
    <w:rsid w:val="6ED30FD7"/>
    <w:rsid w:val="727D78FD"/>
    <w:rsid w:val="73CC655F"/>
    <w:rsid w:val="75957445"/>
    <w:rsid w:val="75D01AE1"/>
    <w:rsid w:val="76554E37"/>
    <w:rsid w:val="77524363"/>
    <w:rsid w:val="77B917B5"/>
    <w:rsid w:val="78703975"/>
    <w:rsid w:val="7BE420FD"/>
    <w:rsid w:val="7BF305B4"/>
    <w:rsid w:val="7D0D296B"/>
    <w:rsid w:val="7D4E0B54"/>
    <w:rsid w:val="7D503E78"/>
    <w:rsid w:val="7E0160D4"/>
    <w:rsid w:val="BEFF0157"/>
    <w:rsid w:val="D739BFAD"/>
    <w:rsid w:val="DF3F9B22"/>
    <w:rsid w:val="DFC6D649"/>
    <w:rsid w:val="E7FDDF75"/>
    <w:rsid w:val="F5E83F1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nhideWhenUsed="0" w:uiPriority="9" w:semiHidden="0" w:name="heading 3"/>
    <w:lsdException w:qFormat="1" w:unhideWhenUsed="0" w:uiPriority="9" w:semiHidden="0" w:name="heading 4"/>
    <w:lsdException w:qFormat="1" w:unhideWhenUsed="0" w:uiPriority="9" w:semiHidden="0" w:name="heading 5"/>
    <w:lsdException w:qFormat="1" w:unhideWhenUsed="0" w:uiPriority="9" w:semiHidden="0" w:name="heading 6"/>
    <w:lsdException w:qFormat="1" w:unhideWhenUsed="0" w:uiPriority="9" w:semiHidden="0" w:name="heading 7"/>
    <w:lsdException w:qFormat="1" w:unhideWhenUsed="0" w:uiPriority="9" w:semiHidden="0" w:name="heading 8"/>
    <w:lsdException w:qFormat="1" w:unhideWhenUsed="0" w:uiPriority="9" w:semiHidden="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qFormat="1" w:uiPriority="99" w:semiHidden="0" w:name="Normal Indent"/>
    <w:lsdException w:uiPriority="0" w:name="footnote text"/>
    <w:lsdException w:qFormat="1" w:unhideWhenUsed="0" w:uiPriority="0" w:semiHidden="0" w:name="annotation text"/>
    <w:lsdException w:qFormat="1" w:unhideWhenUsed="0" w:uiPriority="99" w:semiHidden="0" w:name="header"/>
    <w:lsdException w:qFormat="1" w:unhideWhenUsed="0" w:uiPriority="99" w:semiHidden="0" w:name="footer"/>
    <w:lsdException w:uiPriority="0" w:name="index heading"/>
    <w:lsdException w:qFormat="1" w:unhideWhenUsed="0" w:uiPriority="0" w:semiHidden="0" w:name="caption"/>
    <w:lsdException w:uiPriority="0" w:name="table of figures"/>
    <w:lsdException w:uiPriority="0" w:name="envelope address"/>
    <w:lsdException w:uiPriority="0" w:name="envelope return"/>
    <w:lsdException w:uiPriority="0" w:name="footnote reference"/>
    <w:lsdException w:qFormat="1" w:unhideWhenUsed="0" w:uiPriority="0" w:semiHidden="0" w:name="annotation reference"/>
    <w:lsdException w:uiPriority="0" w:name="line number"/>
    <w:lsdException w:qFormat="1" w:unhideWhenUsed="0" w:uiPriority="0" w:semiHidden="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iPriority="0" w:semiHidden="0" w:name="Body Text"/>
    <w:lsdException w:qFormat="1" w:unhideWhenUsed="0" w:uiPriority="0" w:semiHidden="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qFormat="1" w:unhideWhenUsed="0" w:uiPriority="0" w:semiHidden="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99" w:semiHidden="0" w:name="Hyperlink"/>
    <w:lsdException w:qFormat="1" w:uiPriority="99"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iPriority="0" w:name="E-mail Signature"/>
    <w:lsdException w:qFormat="1" w:unhideWhenUsed="0"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ind w:firstLine="480" w:firstLineChars="200"/>
      <w:jc w:val="both"/>
    </w:pPr>
    <w:rPr>
      <w:rFonts w:ascii="宋体" w:hAnsi="宋体" w:eastAsia="宋体" w:cs="Times New Roman"/>
      <w:kern w:val="2"/>
      <w:sz w:val="24"/>
      <w:szCs w:val="24"/>
      <w:lang w:val="en-US" w:eastAsia="zh-CN" w:bidi="ar-SA"/>
    </w:rPr>
  </w:style>
  <w:style w:type="paragraph" w:styleId="2">
    <w:name w:val="heading 1"/>
    <w:basedOn w:val="1"/>
    <w:next w:val="1"/>
    <w:link w:val="75"/>
    <w:qFormat/>
    <w:uiPriority w:val="9"/>
    <w:pPr>
      <w:keepNext/>
      <w:keepLines/>
      <w:numPr>
        <w:ilvl w:val="0"/>
        <w:numId w:val="1"/>
      </w:numPr>
      <w:spacing w:before="120" w:after="120"/>
      <w:ind w:firstLineChars="0"/>
      <w:outlineLvl w:val="0"/>
    </w:pPr>
    <w:rPr>
      <w:rFonts w:eastAsia="黑体"/>
      <w:b/>
      <w:bCs/>
      <w:kern w:val="44"/>
      <w:sz w:val="32"/>
      <w:szCs w:val="28"/>
    </w:rPr>
  </w:style>
  <w:style w:type="paragraph" w:styleId="3">
    <w:name w:val="heading 2"/>
    <w:basedOn w:val="1"/>
    <w:next w:val="1"/>
    <w:link w:val="88"/>
    <w:qFormat/>
    <w:uiPriority w:val="9"/>
    <w:pPr>
      <w:keepNext/>
      <w:keepLines/>
      <w:numPr>
        <w:ilvl w:val="1"/>
        <w:numId w:val="1"/>
      </w:numPr>
      <w:spacing w:before="120" w:after="120"/>
      <w:ind w:firstLine="0" w:firstLineChars="0"/>
      <w:outlineLvl w:val="1"/>
    </w:pPr>
    <w:rPr>
      <w:b/>
      <w:bCs/>
      <w:sz w:val="30"/>
      <w:szCs w:val="32"/>
    </w:rPr>
  </w:style>
  <w:style w:type="paragraph" w:styleId="4">
    <w:name w:val="heading 3"/>
    <w:basedOn w:val="1"/>
    <w:next w:val="1"/>
    <w:link w:val="81"/>
    <w:qFormat/>
    <w:uiPriority w:val="9"/>
    <w:pPr>
      <w:keepNext/>
      <w:keepLines/>
      <w:numPr>
        <w:ilvl w:val="2"/>
        <w:numId w:val="1"/>
      </w:numPr>
      <w:spacing w:before="120" w:after="120"/>
      <w:ind w:firstLine="0" w:firstLineChars="0"/>
      <w:outlineLvl w:val="2"/>
    </w:pPr>
    <w:rPr>
      <w:b/>
      <w:bCs/>
      <w:sz w:val="28"/>
      <w:szCs w:val="28"/>
    </w:rPr>
  </w:style>
  <w:style w:type="paragraph" w:styleId="5">
    <w:name w:val="heading 4"/>
    <w:basedOn w:val="1"/>
    <w:next w:val="1"/>
    <w:link w:val="58"/>
    <w:qFormat/>
    <w:uiPriority w:val="9"/>
    <w:pPr>
      <w:keepNext/>
      <w:keepLines/>
      <w:numPr>
        <w:ilvl w:val="3"/>
        <w:numId w:val="1"/>
      </w:numPr>
      <w:spacing w:before="120" w:after="120"/>
      <w:ind w:left="851" w:firstLine="0" w:firstLineChars="0"/>
      <w:outlineLvl w:val="3"/>
    </w:pPr>
    <w:rPr>
      <w:b/>
      <w:bCs/>
      <w:sz w:val="30"/>
      <w:szCs w:val="30"/>
    </w:rPr>
  </w:style>
  <w:style w:type="paragraph" w:styleId="6">
    <w:name w:val="heading 5"/>
    <w:basedOn w:val="1"/>
    <w:next w:val="1"/>
    <w:link w:val="86"/>
    <w:qFormat/>
    <w:uiPriority w:val="9"/>
    <w:pPr>
      <w:keepNext/>
      <w:keepLines/>
      <w:numPr>
        <w:ilvl w:val="4"/>
        <w:numId w:val="1"/>
      </w:numPr>
      <w:spacing w:before="120" w:after="120"/>
      <w:ind w:left="0" w:firstLine="0" w:firstLineChars="0"/>
      <w:outlineLvl w:val="4"/>
    </w:pPr>
    <w:rPr>
      <w:b/>
      <w:bCs/>
      <w:szCs w:val="28"/>
    </w:rPr>
  </w:style>
  <w:style w:type="paragraph" w:styleId="7">
    <w:name w:val="heading 6"/>
    <w:basedOn w:val="1"/>
    <w:next w:val="1"/>
    <w:link w:val="99"/>
    <w:qFormat/>
    <w:uiPriority w:val="9"/>
    <w:pPr>
      <w:keepNext/>
      <w:keepLines/>
      <w:numPr>
        <w:ilvl w:val="5"/>
        <w:numId w:val="1"/>
      </w:numPr>
      <w:spacing w:before="120" w:after="120"/>
      <w:ind w:firstLine="0" w:firstLineChars="0"/>
      <w:outlineLvl w:val="5"/>
    </w:pPr>
    <w:rPr>
      <w:rFonts w:ascii="Cambria" w:hAnsi="Cambria"/>
      <w:b/>
      <w:bCs/>
    </w:rPr>
  </w:style>
  <w:style w:type="paragraph" w:styleId="8">
    <w:name w:val="heading 7"/>
    <w:basedOn w:val="1"/>
    <w:next w:val="1"/>
    <w:link w:val="72"/>
    <w:qFormat/>
    <w:uiPriority w:val="9"/>
    <w:pPr>
      <w:keepNext/>
      <w:keepLines/>
      <w:spacing w:before="240" w:after="64" w:line="319" w:lineRule="auto"/>
      <w:ind w:firstLine="0" w:firstLineChars="0"/>
      <w:outlineLvl w:val="6"/>
    </w:pPr>
    <w:rPr>
      <w:rFonts w:ascii="Times New Roman" w:hAnsi="Times New Roman"/>
      <w:b/>
      <w:bCs/>
      <w:sz w:val="21"/>
    </w:rPr>
  </w:style>
  <w:style w:type="paragraph" w:styleId="9">
    <w:name w:val="heading 8"/>
    <w:basedOn w:val="1"/>
    <w:next w:val="1"/>
    <w:link w:val="98"/>
    <w:qFormat/>
    <w:uiPriority w:val="9"/>
    <w:pPr>
      <w:keepNext/>
      <w:keepLines/>
      <w:spacing w:before="240" w:after="64" w:line="319" w:lineRule="auto"/>
      <w:ind w:firstLine="0" w:firstLineChars="0"/>
      <w:outlineLvl w:val="7"/>
    </w:pPr>
    <w:rPr>
      <w:rFonts w:ascii="Cambria" w:hAnsi="Cambria"/>
      <w:sz w:val="21"/>
    </w:rPr>
  </w:style>
  <w:style w:type="paragraph" w:styleId="10">
    <w:name w:val="heading 9"/>
    <w:basedOn w:val="1"/>
    <w:next w:val="1"/>
    <w:link w:val="48"/>
    <w:qFormat/>
    <w:uiPriority w:val="9"/>
    <w:pPr>
      <w:keepNext/>
      <w:keepLines/>
      <w:spacing w:before="240" w:after="64" w:line="319" w:lineRule="auto"/>
      <w:ind w:firstLine="0" w:firstLineChars="0"/>
      <w:outlineLvl w:val="8"/>
    </w:pPr>
    <w:rPr>
      <w:rFonts w:ascii="Cambria" w:hAnsi="Cambria"/>
      <w:sz w:val="21"/>
      <w:szCs w:val="21"/>
    </w:rPr>
  </w:style>
  <w:style w:type="character" w:default="1" w:styleId="37">
    <w:name w:val="Default Paragraph Font"/>
    <w:semiHidden/>
    <w:unhideWhenUsed/>
    <w:qFormat/>
    <w:uiPriority w:val="1"/>
  </w:style>
  <w:style w:type="table" w:default="1" w:styleId="35">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unhideWhenUsed/>
    <w:qFormat/>
    <w:uiPriority w:val="39"/>
    <w:pPr>
      <w:ind w:left="2520" w:leftChars="1200"/>
    </w:pPr>
    <w:rPr>
      <w:rFonts w:ascii="等线" w:hAnsi="等线" w:eastAsia="等线"/>
      <w:szCs w:val="22"/>
    </w:rPr>
  </w:style>
  <w:style w:type="paragraph" w:styleId="12">
    <w:name w:val="Normal Indent"/>
    <w:basedOn w:val="1"/>
    <w:unhideWhenUsed/>
    <w:qFormat/>
    <w:uiPriority w:val="99"/>
    <w:pPr>
      <w:spacing w:line="240" w:lineRule="auto"/>
      <w:ind w:firstLine="420"/>
    </w:pPr>
    <w:rPr>
      <w:rFonts w:ascii="Calibri" w:hAnsi="Calibri"/>
      <w:sz w:val="21"/>
    </w:rPr>
  </w:style>
  <w:style w:type="paragraph" w:styleId="13">
    <w:name w:val="caption"/>
    <w:basedOn w:val="1"/>
    <w:next w:val="1"/>
    <w:link w:val="54"/>
    <w:qFormat/>
    <w:uiPriority w:val="0"/>
    <w:pPr>
      <w:spacing w:afterLines="50"/>
      <w:ind w:firstLine="200"/>
    </w:pPr>
    <w:rPr>
      <w:rFonts w:ascii="Arial" w:hAnsi="Arial" w:eastAsia="黑体"/>
      <w:sz w:val="20"/>
      <w:szCs w:val="20"/>
    </w:rPr>
  </w:style>
  <w:style w:type="paragraph" w:styleId="14">
    <w:name w:val="Document Map"/>
    <w:basedOn w:val="1"/>
    <w:link w:val="91"/>
    <w:qFormat/>
    <w:uiPriority w:val="0"/>
    <w:rPr>
      <w:rFonts w:hAnsi="Times New Roman"/>
      <w:sz w:val="18"/>
      <w:szCs w:val="18"/>
    </w:rPr>
  </w:style>
  <w:style w:type="paragraph" w:styleId="15">
    <w:name w:val="annotation text"/>
    <w:basedOn w:val="1"/>
    <w:link w:val="45"/>
    <w:qFormat/>
    <w:uiPriority w:val="0"/>
    <w:pPr>
      <w:jc w:val="left"/>
    </w:pPr>
    <w:rPr>
      <w:rFonts w:ascii="Times New Roman" w:hAnsi="Times New Roman" w:eastAsia="仿宋"/>
      <w:sz w:val="28"/>
    </w:rPr>
  </w:style>
  <w:style w:type="paragraph" w:styleId="16">
    <w:name w:val="Body Text"/>
    <w:basedOn w:val="1"/>
    <w:link w:val="59"/>
    <w:unhideWhenUsed/>
    <w:qFormat/>
    <w:uiPriority w:val="0"/>
    <w:pPr>
      <w:spacing w:after="120" w:line="240" w:lineRule="auto"/>
      <w:ind w:firstLine="0" w:firstLineChars="0"/>
    </w:pPr>
    <w:rPr>
      <w:rFonts w:ascii="Times New Roman" w:hAnsi="Times New Roman"/>
      <w:sz w:val="21"/>
    </w:rPr>
  </w:style>
  <w:style w:type="paragraph" w:styleId="17">
    <w:name w:val="Body Text Indent"/>
    <w:basedOn w:val="1"/>
    <w:link w:val="85"/>
    <w:qFormat/>
    <w:uiPriority w:val="0"/>
    <w:pPr>
      <w:spacing w:after="120"/>
      <w:ind w:firstLine="200"/>
    </w:pPr>
    <w:rPr>
      <w:rFonts w:ascii="Times New Roman" w:hAnsi="Times New Roman"/>
      <w:sz w:val="21"/>
      <w:szCs w:val="20"/>
    </w:rPr>
  </w:style>
  <w:style w:type="paragraph" w:styleId="18">
    <w:name w:val="toc 5"/>
    <w:basedOn w:val="1"/>
    <w:next w:val="1"/>
    <w:unhideWhenUsed/>
    <w:qFormat/>
    <w:uiPriority w:val="39"/>
    <w:pPr>
      <w:ind w:left="1680" w:leftChars="800"/>
    </w:pPr>
    <w:rPr>
      <w:rFonts w:ascii="等线" w:hAnsi="等线" w:eastAsia="等线"/>
      <w:szCs w:val="22"/>
    </w:rPr>
  </w:style>
  <w:style w:type="paragraph" w:styleId="19">
    <w:name w:val="toc 3"/>
    <w:basedOn w:val="1"/>
    <w:next w:val="1"/>
    <w:qFormat/>
    <w:uiPriority w:val="39"/>
    <w:pPr>
      <w:tabs>
        <w:tab w:val="right" w:leader="dot" w:pos="8302"/>
      </w:tabs>
      <w:ind w:left="840" w:leftChars="400"/>
    </w:pPr>
  </w:style>
  <w:style w:type="paragraph" w:styleId="20">
    <w:name w:val="Plain Text"/>
    <w:basedOn w:val="1"/>
    <w:link w:val="66"/>
    <w:qFormat/>
    <w:uiPriority w:val="0"/>
    <w:pPr>
      <w:spacing w:line="240" w:lineRule="auto"/>
      <w:ind w:firstLine="0" w:firstLineChars="0"/>
    </w:pPr>
    <w:rPr>
      <w:rFonts w:hAnsi="Courier New"/>
      <w:sz w:val="21"/>
      <w:szCs w:val="20"/>
    </w:rPr>
  </w:style>
  <w:style w:type="paragraph" w:styleId="21">
    <w:name w:val="toc 8"/>
    <w:basedOn w:val="1"/>
    <w:next w:val="1"/>
    <w:unhideWhenUsed/>
    <w:qFormat/>
    <w:uiPriority w:val="39"/>
    <w:pPr>
      <w:ind w:left="2940" w:leftChars="1400"/>
    </w:pPr>
    <w:rPr>
      <w:rFonts w:ascii="等线" w:hAnsi="等线" w:eastAsia="等线"/>
      <w:szCs w:val="22"/>
    </w:rPr>
  </w:style>
  <w:style w:type="paragraph" w:styleId="22">
    <w:name w:val="Date"/>
    <w:basedOn w:val="1"/>
    <w:next w:val="1"/>
    <w:link w:val="47"/>
    <w:qFormat/>
    <w:uiPriority w:val="0"/>
    <w:pPr>
      <w:ind w:left="100" w:leftChars="2500"/>
    </w:pPr>
    <w:rPr>
      <w:rFonts w:ascii="Times New Roman" w:hAnsi="Times New Roman"/>
      <w:sz w:val="21"/>
    </w:rPr>
  </w:style>
  <w:style w:type="paragraph" w:styleId="23">
    <w:name w:val="Balloon Text"/>
    <w:basedOn w:val="1"/>
    <w:link w:val="96"/>
    <w:qFormat/>
    <w:uiPriority w:val="0"/>
    <w:rPr>
      <w:rFonts w:ascii="Times New Roman" w:hAnsi="Times New Roman"/>
      <w:sz w:val="18"/>
      <w:szCs w:val="18"/>
    </w:rPr>
  </w:style>
  <w:style w:type="paragraph" w:styleId="24">
    <w:name w:val="footer"/>
    <w:basedOn w:val="1"/>
    <w:link w:val="89"/>
    <w:qFormat/>
    <w:uiPriority w:val="99"/>
    <w:pPr>
      <w:tabs>
        <w:tab w:val="center" w:pos="4153"/>
        <w:tab w:val="right" w:pos="8306"/>
      </w:tabs>
      <w:snapToGrid w:val="0"/>
      <w:jc w:val="center"/>
    </w:pPr>
    <w:rPr>
      <w:rFonts w:ascii="Times New Roman" w:hAnsi="Times New Roman"/>
      <w:sz w:val="18"/>
      <w:szCs w:val="18"/>
    </w:rPr>
  </w:style>
  <w:style w:type="paragraph" w:styleId="25">
    <w:name w:val="header"/>
    <w:basedOn w:val="1"/>
    <w:link w:val="97"/>
    <w:qFormat/>
    <w:uiPriority w:val="99"/>
    <w:pPr>
      <w:pBdr>
        <w:bottom w:val="single" w:color="auto" w:sz="4" w:space="0"/>
      </w:pBdr>
      <w:tabs>
        <w:tab w:val="center" w:pos="4153"/>
        <w:tab w:val="right" w:pos="8306"/>
      </w:tabs>
      <w:snapToGrid w:val="0"/>
      <w:jc w:val="center"/>
    </w:pPr>
    <w:rPr>
      <w:rFonts w:ascii="Times New Roman" w:hAnsi="Times New Roman"/>
      <w:sz w:val="18"/>
      <w:szCs w:val="18"/>
    </w:rPr>
  </w:style>
  <w:style w:type="paragraph" w:styleId="26">
    <w:name w:val="toc 1"/>
    <w:basedOn w:val="1"/>
    <w:next w:val="1"/>
    <w:qFormat/>
    <w:uiPriority w:val="39"/>
  </w:style>
  <w:style w:type="paragraph" w:styleId="27">
    <w:name w:val="toc 4"/>
    <w:basedOn w:val="1"/>
    <w:next w:val="1"/>
    <w:unhideWhenUsed/>
    <w:qFormat/>
    <w:uiPriority w:val="39"/>
    <w:pPr>
      <w:ind w:left="1260" w:leftChars="600"/>
    </w:pPr>
    <w:rPr>
      <w:rFonts w:ascii="等线" w:hAnsi="等线" w:eastAsia="等线"/>
      <w:szCs w:val="22"/>
    </w:rPr>
  </w:style>
  <w:style w:type="paragraph" w:styleId="28">
    <w:name w:val="Subtitle"/>
    <w:basedOn w:val="1"/>
    <w:next w:val="1"/>
    <w:link w:val="87"/>
    <w:qFormat/>
    <w:uiPriority w:val="0"/>
    <w:pPr>
      <w:spacing w:before="240" w:after="60" w:line="312" w:lineRule="auto"/>
      <w:jc w:val="center"/>
      <w:outlineLvl w:val="1"/>
    </w:pPr>
    <w:rPr>
      <w:rFonts w:ascii="Calibri Light" w:hAnsi="Calibri Light"/>
      <w:b/>
      <w:bCs/>
      <w:kern w:val="28"/>
      <w:sz w:val="32"/>
      <w:szCs w:val="32"/>
    </w:rPr>
  </w:style>
  <w:style w:type="paragraph" w:styleId="29">
    <w:name w:val="toc 6"/>
    <w:basedOn w:val="1"/>
    <w:next w:val="1"/>
    <w:unhideWhenUsed/>
    <w:qFormat/>
    <w:uiPriority w:val="39"/>
    <w:pPr>
      <w:ind w:left="2100" w:leftChars="1000"/>
    </w:pPr>
    <w:rPr>
      <w:rFonts w:ascii="等线" w:hAnsi="等线" w:eastAsia="等线"/>
      <w:szCs w:val="22"/>
    </w:rPr>
  </w:style>
  <w:style w:type="paragraph" w:styleId="30">
    <w:name w:val="toc 2"/>
    <w:basedOn w:val="1"/>
    <w:next w:val="1"/>
    <w:qFormat/>
    <w:uiPriority w:val="39"/>
    <w:pPr>
      <w:tabs>
        <w:tab w:val="right" w:leader="dot" w:pos="8302"/>
      </w:tabs>
      <w:ind w:left="420" w:leftChars="200"/>
    </w:pPr>
  </w:style>
  <w:style w:type="paragraph" w:styleId="31">
    <w:name w:val="toc 9"/>
    <w:basedOn w:val="1"/>
    <w:next w:val="1"/>
    <w:unhideWhenUsed/>
    <w:qFormat/>
    <w:uiPriority w:val="39"/>
    <w:pPr>
      <w:ind w:left="3360" w:leftChars="1600"/>
    </w:pPr>
    <w:rPr>
      <w:rFonts w:ascii="等线" w:hAnsi="等线" w:eastAsia="等线"/>
      <w:szCs w:val="22"/>
    </w:rPr>
  </w:style>
  <w:style w:type="paragraph" w:styleId="32">
    <w:name w:val="Normal (Web)"/>
    <w:basedOn w:val="1"/>
    <w:qFormat/>
    <w:uiPriority w:val="99"/>
    <w:pPr>
      <w:widowControl/>
      <w:spacing w:before="100" w:after="100"/>
      <w:jc w:val="left"/>
    </w:pPr>
    <w:rPr>
      <w:rFonts w:hint="eastAsia" w:ascii="Arial Unicode MS" w:hAnsi="Arial Unicode MS" w:eastAsia="Arial Unicode MS"/>
      <w:kern w:val="0"/>
    </w:rPr>
  </w:style>
  <w:style w:type="paragraph" w:styleId="33">
    <w:name w:val="Title"/>
    <w:basedOn w:val="1"/>
    <w:next w:val="1"/>
    <w:link w:val="95"/>
    <w:qFormat/>
    <w:uiPriority w:val="0"/>
    <w:pPr>
      <w:spacing w:before="240" w:after="60" w:line="960" w:lineRule="auto"/>
      <w:jc w:val="center"/>
    </w:pPr>
    <w:rPr>
      <w:rFonts w:ascii="Cambria" w:hAnsi="Cambria" w:eastAsia="黑体"/>
      <w:b/>
      <w:bCs/>
      <w:sz w:val="52"/>
      <w:szCs w:val="32"/>
    </w:rPr>
  </w:style>
  <w:style w:type="paragraph" w:styleId="34">
    <w:name w:val="annotation subject"/>
    <w:basedOn w:val="15"/>
    <w:next w:val="15"/>
    <w:link w:val="83"/>
    <w:qFormat/>
    <w:uiPriority w:val="0"/>
    <w:rPr>
      <w:b/>
      <w:bCs/>
      <w:sz w:val="21"/>
    </w:rPr>
  </w:style>
  <w:style w:type="table" w:styleId="36">
    <w:name w:val="Table Grid"/>
    <w:basedOn w:val="35"/>
    <w:qFormat/>
    <w:uiPriority w:val="39"/>
    <w:pPr>
      <w:widowControl w:val="0"/>
      <w:jc w:val="both"/>
    </w:pPr>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8">
    <w:name w:val="page number"/>
    <w:basedOn w:val="37"/>
    <w:qFormat/>
    <w:uiPriority w:val="0"/>
  </w:style>
  <w:style w:type="character" w:styleId="39">
    <w:name w:val="FollowedHyperlink"/>
    <w:unhideWhenUsed/>
    <w:qFormat/>
    <w:uiPriority w:val="99"/>
    <w:rPr>
      <w:color w:val="954F72"/>
      <w:u w:val="single"/>
    </w:rPr>
  </w:style>
  <w:style w:type="character" w:styleId="40">
    <w:name w:val="Hyperlink"/>
    <w:qFormat/>
    <w:uiPriority w:val="99"/>
    <w:rPr>
      <w:color w:val="0000FF"/>
      <w:u w:val="single"/>
    </w:rPr>
  </w:style>
  <w:style w:type="character" w:styleId="41">
    <w:name w:val="annotation reference"/>
    <w:qFormat/>
    <w:uiPriority w:val="0"/>
    <w:rPr>
      <w:sz w:val="21"/>
      <w:szCs w:val="21"/>
    </w:rPr>
  </w:style>
  <w:style w:type="character" w:customStyle="1" w:styleId="42">
    <w:name w:val="标题 3 字符1"/>
    <w:qFormat/>
    <w:uiPriority w:val="0"/>
    <w:rPr>
      <w:rFonts w:ascii="宋体" w:hAnsi="宋体"/>
      <w:b/>
      <w:bCs/>
      <w:kern w:val="2"/>
      <w:sz w:val="28"/>
      <w:szCs w:val="28"/>
    </w:rPr>
  </w:style>
  <w:style w:type="character" w:customStyle="1" w:styleId="43">
    <w:name w:val="首行缩进正文 Char"/>
    <w:link w:val="44"/>
    <w:qFormat/>
    <w:uiPriority w:val="0"/>
    <w:rPr>
      <w:kern w:val="2"/>
      <w:sz w:val="24"/>
    </w:rPr>
  </w:style>
  <w:style w:type="paragraph" w:customStyle="1" w:styleId="44">
    <w:name w:val="首行缩进正文"/>
    <w:basedOn w:val="1"/>
    <w:link w:val="43"/>
    <w:qFormat/>
    <w:uiPriority w:val="0"/>
    <w:pPr>
      <w:widowControl/>
      <w:adjustRightInd w:val="0"/>
      <w:snapToGrid w:val="0"/>
      <w:spacing w:afterLines="50" w:line="276" w:lineRule="auto"/>
      <w:ind w:firstLine="420" w:firstLineChars="0"/>
      <w:jc w:val="left"/>
    </w:pPr>
    <w:rPr>
      <w:rFonts w:ascii="Times New Roman" w:hAnsi="Times New Roman"/>
      <w:szCs w:val="20"/>
    </w:rPr>
  </w:style>
  <w:style w:type="character" w:customStyle="1" w:styleId="45">
    <w:name w:val="批注文字 字符1"/>
    <w:link w:val="15"/>
    <w:qFormat/>
    <w:uiPriority w:val="99"/>
    <w:rPr>
      <w:rFonts w:eastAsia="仿宋"/>
      <w:kern w:val="2"/>
      <w:sz w:val="28"/>
      <w:szCs w:val="24"/>
    </w:rPr>
  </w:style>
  <w:style w:type="character" w:customStyle="1" w:styleId="46">
    <w:name w:val="日期 字符"/>
    <w:semiHidden/>
    <w:qFormat/>
    <w:uiPriority w:val="99"/>
    <w:rPr>
      <w:rFonts w:ascii="宋体" w:hAnsi="宋体"/>
      <w:kern w:val="2"/>
      <w:sz w:val="24"/>
      <w:szCs w:val="24"/>
    </w:rPr>
  </w:style>
  <w:style w:type="character" w:customStyle="1" w:styleId="47">
    <w:name w:val="日期 字符1"/>
    <w:link w:val="22"/>
    <w:qFormat/>
    <w:uiPriority w:val="0"/>
    <w:rPr>
      <w:kern w:val="2"/>
      <w:sz w:val="21"/>
      <w:szCs w:val="24"/>
    </w:rPr>
  </w:style>
  <w:style w:type="character" w:customStyle="1" w:styleId="48">
    <w:name w:val="标题 9 字符"/>
    <w:link w:val="10"/>
    <w:qFormat/>
    <w:uiPriority w:val="9"/>
    <w:rPr>
      <w:rFonts w:ascii="Cambria" w:hAnsi="Cambria"/>
      <w:kern w:val="2"/>
      <w:sz w:val="21"/>
      <w:szCs w:val="21"/>
    </w:rPr>
  </w:style>
  <w:style w:type="character" w:customStyle="1" w:styleId="49">
    <w:name w:val="未处理的提及1"/>
    <w:unhideWhenUsed/>
    <w:qFormat/>
    <w:uiPriority w:val="99"/>
    <w:rPr>
      <w:color w:val="605E5C"/>
      <w:shd w:val="clear" w:color="auto" w:fill="E1DFDD"/>
    </w:rPr>
  </w:style>
  <w:style w:type="character" w:customStyle="1" w:styleId="50">
    <w:name w:val="标题 1 字符"/>
    <w:qFormat/>
    <w:uiPriority w:val="9"/>
    <w:rPr>
      <w:rFonts w:ascii="宋体" w:hAnsi="宋体"/>
      <w:b/>
      <w:bCs/>
      <w:kern w:val="44"/>
      <w:sz w:val="44"/>
      <w:szCs w:val="44"/>
    </w:rPr>
  </w:style>
  <w:style w:type="character" w:customStyle="1" w:styleId="51">
    <w:name w:val="标题 3 字符"/>
    <w:semiHidden/>
    <w:qFormat/>
    <w:uiPriority w:val="9"/>
    <w:rPr>
      <w:rFonts w:ascii="宋体" w:hAnsi="宋体"/>
      <w:b/>
      <w:bCs/>
      <w:kern w:val="2"/>
      <w:sz w:val="32"/>
      <w:szCs w:val="32"/>
    </w:rPr>
  </w:style>
  <w:style w:type="character" w:customStyle="1" w:styleId="52">
    <w:name w:val="页脚 字符"/>
    <w:qFormat/>
    <w:uiPriority w:val="99"/>
  </w:style>
  <w:style w:type="character" w:customStyle="1" w:styleId="53">
    <w:name w:val="标题 5 字符"/>
    <w:semiHidden/>
    <w:qFormat/>
    <w:uiPriority w:val="9"/>
    <w:rPr>
      <w:rFonts w:ascii="宋体" w:hAnsi="宋体"/>
      <w:b/>
      <w:bCs/>
      <w:kern w:val="2"/>
      <w:sz w:val="28"/>
      <w:szCs w:val="28"/>
    </w:rPr>
  </w:style>
  <w:style w:type="character" w:customStyle="1" w:styleId="54">
    <w:name w:val="题注 字符"/>
    <w:link w:val="13"/>
    <w:qFormat/>
    <w:locked/>
    <w:uiPriority w:val="0"/>
    <w:rPr>
      <w:rFonts w:ascii="Arial" w:hAnsi="Arial" w:eastAsia="黑体"/>
      <w:kern w:val="2"/>
    </w:rPr>
  </w:style>
  <w:style w:type="character" w:customStyle="1" w:styleId="55">
    <w:name w:val="标题 2 字符"/>
    <w:semiHidden/>
    <w:qFormat/>
    <w:uiPriority w:val="9"/>
    <w:rPr>
      <w:rFonts w:ascii="等线 Light" w:hAnsi="等线 Light" w:eastAsia="等线 Light" w:cs="Times New Roman"/>
      <w:b/>
      <w:bCs/>
      <w:kern w:val="2"/>
      <w:sz w:val="32"/>
      <w:szCs w:val="32"/>
    </w:rPr>
  </w:style>
  <w:style w:type="character" w:customStyle="1" w:styleId="56">
    <w:name w:val="纯文本 字符"/>
    <w:qFormat/>
    <w:uiPriority w:val="0"/>
    <w:rPr>
      <w:rFonts w:ascii="宋体" w:hAnsi="Courier New" w:cs="Courier New"/>
      <w:kern w:val="2"/>
      <w:sz w:val="21"/>
      <w:szCs w:val="21"/>
    </w:rPr>
  </w:style>
  <w:style w:type="character" w:customStyle="1" w:styleId="57">
    <w:name w:val="列表段落 字符"/>
    <w:qFormat/>
    <w:uiPriority w:val="34"/>
    <w:rPr>
      <w:kern w:val="2"/>
      <w:sz w:val="21"/>
      <w:szCs w:val="22"/>
    </w:rPr>
  </w:style>
  <w:style w:type="character" w:customStyle="1" w:styleId="58">
    <w:name w:val="标题 4 字符1"/>
    <w:link w:val="5"/>
    <w:qFormat/>
    <w:uiPriority w:val="0"/>
    <w:rPr>
      <w:rFonts w:ascii="宋体" w:hAnsi="宋体"/>
      <w:b/>
      <w:bCs/>
      <w:kern w:val="2"/>
      <w:sz w:val="30"/>
      <w:szCs w:val="30"/>
    </w:rPr>
  </w:style>
  <w:style w:type="character" w:customStyle="1" w:styleId="59">
    <w:name w:val="正文文本 字符"/>
    <w:link w:val="16"/>
    <w:qFormat/>
    <w:uiPriority w:val="0"/>
    <w:rPr>
      <w:kern w:val="2"/>
      <w:sz w:val="21"/>
      <w:szCs w:val="24"/>
    </w:rPr>
  </w:style>
  <w:style w:type="character" w:customStyle="1" w:styleId="60">
    <w:name w:val="列表段落 字符1"/>
    <w:link w:val="61"/>
    <w:qFormat/>
    <w:uiPriority w:val="34"/>
    <w:rPr>
      <w:kern w:val="2"/>
      <w:sz w:val="21"/>
      <w:szCs w:val="24"/>
    </w:rPr>
  </w:style>
  <w:style w:type="paragraph" w:styleId="61">
    <w:name w:val="List Paragraph"/>
    <w:basedOn w:val="1"/>
    <w:link w:val="60"/>
    <w:qFormat/>
    <w:uiPriority w:val="34"/>
    <w:pPr>
      <w:ind w:firstLine="420"/>
    </w:pPr>
    <w:rPr>
      <w:rFonts w:ascii="Times New Roman" w:hAnsi="Times New Roman"/>
      <w:sz w:val="21"/>
    </w:rPr>
  </w:style>
  <w:style w:type="character" w:customStyle="1" w:styleId="62">
    <w:name w:val="font21"/>
    <w:qFormat/>
    <w:uiPriority w:val="0"/>
    <w:rPr>
      <w:rFonts w:ascii="Calibri" w:hAnsi="Calibri" w:cs="Calibri"/>
      <w:color w:val="000000"/>
      <w:sz w:val="21"/>
      <w:szCs w:val="21"/>
      <w:u w:val="none"/>
    </w:rPr>
  </w:style>
  <w:style w:type="character" w:customStyle="1" w:styleId="63">
    <w:name w:val="*正文 Char"/>
    <w:link w:val="64"/>
    <w:qFormat/>
    <w:uiPriority w:val="0"/>
    <w:rPr>
      <w:rFonts w:ascii="time" w:hAnsi="time"/>
      <w:sz w:val="24"/>
      <w:szCs w:val="24"/>
      <w:lang w:bidi="en-US"/>
    </w:rPr>
  </w:style>
  <w:style w:type="paragraph" w:customStyle="1" w:styleId="64">
    <w:name w:val="*正文"/>
    <w:basedOn w:val="1"/>
    <w:link w:val="63"/>
    <w:qFormat/>
    <w:uiPriority w:val="0"/>
    <w:pPr>
      <w:widowControl/>
      <w:ind w:firstLine="200"/>
      <w:contextualSpacing/>
    </w:pPr>
    <w:rPr>
      <w:rFonts w:ascii="time" w:hAnsi="time"/>
      <w:kern w:val="0"/>
      <w:lang w:bidi="en-US"/>
    </w:rPr>
  </w:style>
  <w:style w:type="character" w:customStyle="1" w:styleId="65">
    <w:name w:val="正文文本缩进 字符"/>
    <w:semiHidden/>
    <w:qFormat/>
    <w:uiPriority w:val="99"/>
    <w:rPr>
      <w:rFonts w:ascii="宋体" w:hAnsi="宋体"/>
      <w:kern w:val="2"/>
      <w:sz w:val="24"/>
      <w:szCs w:val="24"/>
    </w:rPr>
  </w:style>
  <w:style w:type="character" w:customStyle="1" w:styleId="66">
    <w:name w:val="纯文本 字符1"/>
    <w:link w:val="20"/>
    <w:qFormat/>
    <w:locked/>
    <w:uiPriority w:val="0"/>
    <w:rPr>
      <w:rFonts w:ascii="宋体" w:hAnsi="Courier New"/>
      <w:kern w:val="2"/>
      <w:sz w:val="21"/>
    </w:rPr>
  </w:style>
  <w:style w:type="character" w:customStyle="1" w:styleId="67">
    <w:name w:val="my正文 Char"/>
    <w:link w:val="68"/>
    <w:qFormat/>
    <w:uiPriority w:val="0"/>
    <w:rPr>
      <w:kern w:val="2"/>
      <w:sz w:val="21"/>
      <w:szCs w:val="24"/>
    </w:rPr>
  </w:style>
  <w:style w:type="paragraph" w:customStyle="1" w:styleId="68">
    <w:name w:val="my正文"/>
    <w:basedOn w:val="1"/>
    <w:link w:val="67"/>
    <w:qFormat/>
    <w:uiPriority w:val="0"/>
    <w:pPr>
      <w:spacing w:line="240" w:lineRule="auto"/>
      <w:ind w:firstLine="0" w:firstLineChars="0"/>
    </w:pPr>
    <w:rPr>
      <w:rFonts w:ascii="Times New Roman" w:hAnsi="Times New Roman"/>
      <w:sz w:val="21"/>
    </w:rPr>
  </w:style>
  <w:style w:type="character" w:customStyle="1" w:styleId="69">
    <w:name w:val="正文2 字符"/>
    <w:link w:val="70"/>
    <w:qFormat/>
    <w:uiPriority w:val="0"/>
    <w:rPr>
      <w:kern w:val="2"/>
      <w:sz w:val="21"/>
      <w:szCs w:val="24"/>
    </w:rPr>
  </w:style>
  <w:style w:type="paragraph" w:customStyle="1" w:styleId="70">
    <w:name w:val="正文2"/>
    <w:basedOn w:val="1"/>
    <w:link w:val="69"/>
    <w:qFormat/>
    <w:uiPriority w:val="0"/>
    <w:pPr>
      <w:ind w:firstLine="420"/>
    </w:pPr>
    <w:rPr>
      <w:rFonts w:ascii="Times New Roman" w:hAnsi="Times New Roman"/>
      <w:sz w:val="21"/>
    </w:rPr>
  </w:style>
  <w:style w:type="character" w:customStyle="1" w:styleId="71">
    <w:name w:val="font41"/>
    <w:qFormat/>
    <w:uiPriority w:val="0"/>
    <w:rPr>
      <w:rFonts w:hint="eastAsia" w:ascii="宋体" w:hAnsi="宋体" w:eastAsia="宋体" w:cs="宋体"/>
      <w:color w:val="000000"/>
      <w:sz w:val="21"/>
      <w:szCs w:val="21"/>
      <w:u w:val="none"/>
    </w:rPr>
  </w:style>
  <w:style w:type="character" w:customStyle="1" w:styleId="72">
    <w:name w:val="标题 7 字符"/>
    <w:link w:val="8"/>
    <w:qFormat/>
    <w:uiPriority w:val="9"/>
    <w:rPr>
      <w:b/>
      <w:bCs/>
      <w:kern w:val="2"/>
      <w:sz w:val="21"/>
      <w:szCs w:val="24"/>
    </w:rPr>
  </w:style>
  <w:style w:type="character" w:customStyle="1" w:styleId="73">
    <w:name w:val="批注框文本 字符"/>
    <w:semiHidden/>
    <w:qFormat/>
    <w:uiPriority w:val="99"/>
    <w:rPr>
      <w:rFonts w:ascii="宋体" w:hAnsi="宋体"/>
      <w:kern w:val="2"/>
      <w:sz w:val="18"/>
      <w:szCs w:val="18"/>
    </w:rPr>
  </w:style>
  <w:style w:type="character" w:customStyle="1" w:styleId="74">
    <w:name w:val="副标题 Char1"/>
    <w:qFormat/>
    <w:uiPriority w:val="0"/>
    <w:rPr>
      <w:rFonts w:ascii="Calibri Light" w:hAnsi="Calibri Light" w:cs="Times New Roman"/>
      <w:b/>
      <w:bCs/>
      <w:kern w:val="28"/>
      <w:sz w:val="32"/>
      <w:szCs w:val="32"/>
    </w:rPr>
  </w:style>
  <w:style w:type="character" w:customStyle="1" w:styleId="75">
    <w:name w:val="标题 1 字符1"/>
    <w:link w:val="2"/>
    <w:qFormat/>
    <w:uiPriority w:val="0"/>
    <w:rPr>
      <w:rFonts w:ascii="宋体" w:hAnsi="宋体" w:eastAsia="黑体"/>
      <w:b/>
      <w:bCs/>
      <w:kern w:val="44"/>
      <w:sz w:val="32"/>
      <w:szCs w:val="28"/>
    </w:rPr>
  </w:style>
  <w:style w:type="character" w:customStyle="1" w:styleId="76">
    <w:name w:val="批注文字 字符"/>
    <w:qFormat/>
    <w:uiPriority w:val="0"/>
    <w:rPr>
      <w:rFonts w:ascii="宋体" w:hAnsi="宋体"/>
      <w:kern w:val="2"/>
      <w:sz w:val="24"/>
      <w:szCs w:val="24"/>
    </w:rPr>
  </w:style>
  <w:style w:type="character" w:customStyle="1" w:styleId="77">
    <w:name w:val="文档结构图 字符"/>
    <w:semiHidden/>
    <w:qFormat/>
    <w:uiPriority w:val="99"/>
    <w:rPr>
      <w:rFonts w:ascii="Microsoft YaHei UI" w:hAnsi="宋体" w:eastAsia="Microsoft YaHei UI"/>
      <w:kern w:val="2"/>
      <w:sz w:val="18"/>
      <w:szCs w:val="18"/>
    </w:rPr>
  </w:style>
  <w:style w:type="character" w:customStyle="1" w:styleId="78">
    <w:name w:val="标题 6 字符"/>
    <w:semiHidden/>
    <w:qFormat/>
    <w:uiPriority w:val="9"/>
    <w:rPr>
      <w:rFonts w:ascii="等线 Light" w:hAnsi="等线 Light" w:eastAsia="等线 Light" w:cs="Times New Roman"/>
      <w:b/>
      <w:bCs/>
      <w:kern w:val="2"/>
      <w:sz w:val="24"/>
      <w:szCs w:val="24"/>
    </w:rPr>
  </w:style>
  <w:style w:type="character" w:customStyle="1" w:styleId="79">
    <w:name w:val="正文正文2 Char"/>
    <w:link w:val="80"/>
    <w:qFormat/>
    <w:uiPriority w:val="0"/>
    <w:rPr>
      <w:rFonts w:ascii="宋体" w:hAnsi="宋体"/>
      <w:kern w:val="2"/>
      <w:sz w:val="21"/>
      <w:szCs w:val="21"/>
    </w:rPr>
  </w:style>
  <w:style w:type="paragraph" w:customStyle="1" w:styleId="80">
    <w:name w:val="正文正文2"/>
    <w:basedOn w:val="1"/>
    <w:link w:val="79"/>
    <w:qFormat/>
    <w:uiPriority w:val="0"/>
    <w:pPr>
      <w:ind w:firstLine="460"/>
    </w:pPr>
    <w:rPr>
      <w:sz w:val="21"/>
      <w:szCs w:val="21"/>
    </w:rPr>
  </w:style>
  <w:style w:type="character" w:customStyle="1" w:styleId="81">
    <w:name w:val="标题 3 字符2"/>
    <w:link w:val="4"/>
    <w:qFormat/>
    <w:uiPriority w:val="0"/>
    <w:rPr>
      <w:rFonts w:ascii="宋体" w:hAnsi="宋体"/>
      <w:b/>
      <w:bCs/>
      <w:kern w:val="2"/>
      <w:sz w:val="28"/>
      <w:szCs w:val="28"/>
    </w:rPr>
  </w:style>
  <w:style w:type="character" w:customStyle="1" w:styleId="82">
    <w:name w:val="标题 4 字符"/>
    <w:semiHidden/>
    <w:qFormat/>
    <w:uiPriority w:val="9"/>
    <w:rPr>
      <w:rFonts w:ascii="等线 Light" w:hAnsi="等线 Light" w:eastAsia="等线 Light" w:cs="Times New Roman"/>
      <w:b/>
      <w:bCs/>
      <w:kern w:val="2"/>
      <w:sz w:val="28"/>
      <w:szCs w:val="28"/>
    </w:rPr>
  </w:style>
  <w:style w:type="character" w:customStyle="1" w:styleId="83">
    <w:name w:val="批注主题 字符1"/>
    <w:link w:val="34"/>
    <w:qFormat/>
    <w:uiPriority w:val="0"/>
    <w:rPr>
      <w:rFonts w:eastAsia="仿宋"/>
      <w:b/>
      <w:bCs/>
      <w:kern w:val="2"/>
      <w:sz w:val="21"/>
      <w:szCs w:val="24"/>
    </w:rPr>
  </w:style>
  <w:style w:type="character" w:customStyle="1" w:styleId="84">
    <w:name w:val="页眉 字符"/>
    <w:semiHidden/>
    <w:qFormat/>
    <w:uiPriority w:val="99"/>
    <w:rPr>
      <w:rFonts w:ascii="宋体" w:hAnsi="宋体"/>
      <w:kern w:val="2"/>
      <w:sz w:val="18"/>
      <w:szCs w:val="18"/>
    </w:rPr>
  </w:style>
  <w:style w:type="character" w:customStyle="1" w:styleId="85">
    <w:name w:val="正文文本缩进 字符1"/>
    <w:link w:val="17"/>
    <w:qFormat/>
    <w:uiPriority w:val="0"/>
    <w:rPr>
      <w:kern w:val="2"/>
      <w:sz w:val="21"/>
    </w:rPr>
  </w:style>
  <w:style w:type="character" w:customStyle="1" w:styleId="86">
    <w:name w:val="标题 5 字符1"/>
    <w:link w:val="6"/>
    <w:qFormat/>
    <w:uiPriority w:val="0"/>
    <w:rPr>
      <w:rFonts w:ascii="宋体" w:hAnsi="宋体"/>
      <w:b/>
      <w:bCs/>
      <w:kern w:val="2"/>
      <w:sz w:val="24"/>
      <w:szCs w:val="28"/>
    </w:rPr>
  </w:style>
  <w:style w:type="character" w:customStyle="1" w:styleId="87">
    <w:name w:val="副标题 字符1"/>
    <w:link w:val="28"/>
    <w:qFormat/>
    <w:uiPriority w:val="0"/>
    <w:rPr>
      <w:rFonts w:ascii="Calibri Light" w:hAnsi="Calibri Light"/>
      <w:b/>
      <w:bCs/>
      <w:kern w:val="28"/>
      <w:sz w:val="32"/>
      <w:szCs w:val="32"/>
    </w:rPr>
  </w:style>
  <w:style w:type="character" w:customStyle="1" w:styleId="88">
    <w:name w:val="标题 2 字符1"/>
    <w:link w:val="3"/>
    <w:qFormat/>
    <w:uiPriority w:val="9"/>
    <w:rPr>
      <w:rFonts w:ascii="宋体" w:hAnsi="宋体"/>
      <w:b/>
      <w:bCs/>
      <w:kern w:val="2"/>
      <w:sz w:val="30"/>
      <w:szCs w:val="32"/>
    </w:rPr>
  </w:style>
  <w:style w:type="character" w:customStyle="1" w:styleId="89">
    <w:name w:val="页脚 字符1"/>
    <w:link w:val="24"/>
    <w:qFormat/>
    <w:uiPriority w:val="99"/>
    <w:rPr>
      <w:kern w:val="2"/>
      <w:sz w:val="18"/>
      <w:szCs w:val="18"/>
    </w:rPr>
  </w:style>
  <w:style w:type="character" w:customStyle="1" w:styleId="90">
    <w:name w:val="批注主题 字符"/>
    <w:semiHidden/>
    <w:qFormat/>
    <w:uiPriority w:val="99"/>
    <w:rPr>
      <w:rFonts w:ascii="宋体" w:hAnsi="宋体"/>
      <w:b/>
      <w:bCs/>
      <w:kern w:val="2"/>
      <w:sz w:val="24"/>
      <w:szCs w:val="24"/>
    </w:rPr>
  </w:style>
  <w:style w:type="character" w:customStyle="1" w:styleId="91">
    <w:name w:val="文档结构图 字符1"/>
    <w:link w:val="14"/>
    <w:qFormat/>
    <w:uiPriority w:val="0"/>
    <w:rPr>
      <w:rFonts w:ascii="宋体"/>
      <w:kern w:val="2"/>
      <w:sz w:val="18"/>
      <w:szCs w:val="18"/>
    </w:rPr>
  </w:style>
  <w:style w:type="character" w:customStyle="1" w:styleId="92">
    <w:name w:val="font31"/>
    <w:qFormat/>
    <w:uiPriority w:val="0"/>
    <w:rPr>
      <w:rFonts w:hint="eastAsia" w:ascii="宋体" w:hAnsi="宋体" w:eastAsia="宋体" w:cs="宋体"/>
      <w:color w:val="000000"/>
      <w:sz w:val="21"/>
      <w:szCs w:val="21"/>
      <w:u w:val="none"/>
    </w:rPr>
  </w:style>
  <w:style w:type="character" w:customStyle="1" w:styleId="93">
    <w:name w:val="标准正文 Char"/>
    <w:link w:val="94"/>
    <w:qFormat/>
    <w:uiPriority w:val="0"/>
    <w:rPr>
      <w:rFonts w:ascii="Arial" w:hAnsi="Arial"/>
      <w:kern w:val="2"/>
      <w:sz w:val="24"/>
    </w:rPr>
  </w:style>
  <w:style w:type="paragraph" w:customStyle="1" w:styleId="94">
    <w:name w:val="标准正文"/>
    <w:basedOn w:val="17"/>
    <w:link w:val="93"/>
    <w:qFormat/>
    <w:uiPriority w:val="0"/>
    <w:pPr>
      <w:spacing w:before="60" w:after="60"/>
      <w:ind w:firstLine="482" w:firstLineChars="0"/>
    </w:pPr>
    <w:rPr>
      <w:rFonts w:ascii="Arial" w:hAnsi="Arial"/>
      <w:sz w:val="24"/>
    </w:rPr>
  </w:style>
  <w:style w:type="character" w:customStyle="1" w:styleId="95">
    <w:name w:val="标题 字符1"/>
    <w:link w:val="33"/>
    <w:qFormat/>
    <w:uiPriority w:val="0"/>
    <w:rPr>
      <w:rFonts w:ascii="Cambria" w:hAnsi="Cambria" w:eastAsia="黑体"/>
      <w:b/>
      <w:bCs/>
      <w:kern w:val="2"/>
      <w:sz w:val="52"/>
      <w:szCs w:val="32"/>
    </w:rPr>
  </w:style>
  <w:style w:type="character" w:customStyle="1" w:styleId="96">
    <w:name w:val="批注框文本 字符1"/>
    <w:link w:val="23"/>
    <w:qFormat/>
    <w:uiPriority w:val="0"/>
    <w:rPr>
      <w:kern w:val="2"/>
      <w:sz w:val="18"/>
      <w:szCs w:val="18"/>
    </w:rPr>
  </w:style>
  <w:style w:type="character" w:customStyle="1" w:styleId="97">
    <w:name w:val="页眉 字符1"/>
    <w:link w:val="25"/>
    <w:qFormat/>
    <w:uiPriority w:val="99"/>
    <w:rPr>
      <w:kern w:val="2"/>
      <w:sz w:val="18"/>
      <w:szCs w:val="18"/>
    </w:rPr>
  </w:style>
  <w:style w:type="character" w:customStyle="1" w:styleId="98">
    <w:name w:val="标题 8 字符"/>
    <w:link w:val="9"/>
    <w:qFormat/>
    <w:uiPriority w:val="9"/>
    <w:rPr>
      <w:rFonts w:ascii="Cambria" w:hAnsi="Cambria"/>
      <w:kern w:val="2"/>
      <w:sz w:val="21"/>
      <w:szCs w:val="24"/>
    </w:rPr>
  </w:style>
  <w:style w:type="character" w:customStyle="1" w:styleId="99">
    <w:name w:val="标题 6 字符1"/>
    <w:link w:val="7"/>
    <w:qFormat/>
    <w:uiPriority w:val="0"/>
    <w:rPr>
      <w:rFonts w:ascii="Cambria" w:hAnsi="Cambria"/>
      <w:b/>
      <w:bCs/>
      <w:kern w:val="2"/>
      <w:sz w:val="24"/>
      <w:szCs w:val="24"/>
    </w:rPr>
  </w:style>
  <w:style w:type="character" w:customStyle="1" w:styleId="100">
    <w:name w:val="标题 字符"/>
    <w:qFormat/>
    <w:uiPriority w:val="10"/>
    <w:rPr>
      <w:rFonts w:ascii="等线 Light" w:hAnsi="等线 Light" w:eastAsia="等线 Light" w:cs="Times New Roman"/>
      <w:b/>
      <w:bCs/>
      <w:kern w:val="2"/>
      <w:sz w:val="32"/>
      <w:szCs w:val="32"/>
    </w:rPr>
  </w:style>
  <w:style w:type="character" w:customStyle="1" w:styleId="101">
    <w:name w:val="副标题 字符"/>
    <w:qFormat/>
    <w:uiPriority w:val="11"/>
    <w:rPr>
      <w:rFonts w:ascii="等线" w:hAnsi="等线" w:eastAsia="等线" w:cs="Times New Roman"/>
      <w:b/>
      <w:bCs/>
      <w:kern w:val="28"/>
      <w:sz w:val="32"/>
      <w:szCs w:val="32"/>
    </w:rPr>
  </w:style>
  <w:style w:type="paragraph" w:customStyle="1" w:styleId="102">
    <w:name w:val="xl72"/>
    <w:basedOn w:val="1"/>
    <w:qFormat/>
    <w:uiPriority w:val="0"/>
    <w:pPr>
      <w:widowControl/>
      <w:spacing w:before="100" w:beforeAutospacing="1" w:after="100" w:afterAutospacing="1" w:line="240" w:lineRule="auto"/>
      <w:ind w:firstLine="0" w:firstLineChars="0"/>
      <w:jc w:val="center"/>
    </w:pPr>
    <w:rPr>
      <w:rFonts w:cs="宋体"/>
      <w:kern w:val="0"/>
    </w:rPr>
  </w:style>
  <w:style w:type="paragraph" w:customStyle="1" w:styleId="103">
    <w:name w:val="正文（深信服）"/>
    <w:qFormat/>
    <w:uiPriority w:val="0"/>
    <w:pPr>
      <w:spacing w:line="360" w:lineRule="auto"/>
      <w:ind w:firstLine="420"/>
    </w:pPr>
    <w:rPr>
      <w:rFonts w:ascii="Arial" w:hAnsi="Arial" w:eastAsia="宋体" w:cs="Times New Roman"/>
      <w:sz w:val="24"/>
      <w:szCs w:val="21"/>
      <w:shd w:val="clear" w:color="auto" w:fill="FFFFFF"/>
      <w:lang w:val="en-US" w:eastAsia="zh-CN" w:bidi="ar-SA"/>
    </w:rPr>
  </w:style>
  <w:style w:type="paragraph" w:customStyle="1" w:styleId="104">
    <w:name w:val="xl70"/>
    <w:basedOn w:val="1"/>
    <w:qFormat/>
    <w:uiPriority w:val="0"/>
    <w:pPr>
      <w:widowControl/>
      <w:pBdr>
        <w:bottom w:val="single" w:color="auto" w:sz="4" w:space="0"/>
        <w:right w:val="single" w:color="auto" w:sz="4" w:space="0"/>
      </w:pBdr>
      <w:spacing w:before="100" w:beforeAutospacing="1" w:after="100" w:afterAutospacing="1" w:line="240" w:lineRule="auto"/>
      <w:ind w:firstLine="0" w:firstLineChars="0"/>
      <w:jc w:val="right"/>
      <w:textAlignment w:val="center"/>
    </w:pPr>
    <w:rPr>
      <w:rFonts w:ascii="Microsoft Sans Serif" w:hAnsi="Microsoft Sans Serif" w:cs="Microsoft Sans Serif"/>
      <w:kern w:val="0"/>
      <w:sz w:val="18"/>
      <w:szCs w:val="18"/>
    </w:rPr>
  </w:style>
  <w:style w:type="paragraph" w:customStyle="1" w:styleId="105">
    <w:name w:val="_Style 2"/>
    <w:basedOn w:val="2"/>
    <w:next w:val="1"/>
    <w:qFormat/>
    <w:uiPriority w:val="39"/>
    <w:pPr>
      <w:widowControl/>
      <w:numPr>
        <w:numId w:val="0"/>
      </w:numPr>
      <w:spacing w:before="480" w:after="0" w:line="276" w:lineRule="auto"/>
      <w:jc w:val="left"/>
      <w:outlineLvl w:val="9"/>
    </w:pPr>
    <w:rPr>
      <w:rFonts w:ascii="Cambria" w:hAnsi="Cambria" w:eastAsia="宋体"/>
      <w:color w:val="365F91"/>
      <w:kern w:val="0"/>
      <w:sz w:val="28"/>
    </w:rPr>
  </w:style>
  <w:style w:type="paragraph" w:customStyle="1" w:styleId="106">
    <w:name w:val="正文缩进1"/>
    <w:basedOn w:val="1"/>
    <w:qFormat/>
    <w:uiPriority w:val="0"/>
    <w:pPr>
      <w:spacing w:line="240" w:lineRule="auto"/>
      <w:ind w:firstLine="420"/>
    </w:pPr>
    <w:rPr>
      <w:rFonts w:ascii="Times New Roman" w:hAnsi="Times New Roman"/>
      <w:sz w:val="21"/>
      <w:szCs w:val="20"/>
    </w:rPr>
  </w:style>
  <w:style w:type="paragraph" w:customStyle="1" w:styleId="107">
    <w:name w:val="xl68"/>
    <w:basedOn w:val="1"/>
    <w:qFormat/>
    <w:uiPriority w:val="0"/>
    <w:pPr>
      <w:widowControl/>
      <w:pBdr>
        <w:bottom w:val="single" w:color="auto" w:sz="4" w:space="0"/>
        <w:right w:val="single" w:color="auto" w:sz="4" w:space="0"/>
      </w:pBdr>
      <w:spacing w:before="100" w:beforeAutospacing="1" w:after="100" w:afterAutospacing="1" w:line="240" w:lineRule="auto"/>
      <w:ind w:firstLine="0" w:firstLineChars="0"/>
      <w:jc w:val="left"/>
      <w:textAlignment w:val="center"/>
    </w:pPr>
    <w:rPr>
      <w:rFonts w:ascii="Microsoft Sans Serif" w:hAnsi="Microsoft Sans Serif" w:cs="Microsoft Sans Serif"/>
      <w:kern w:val="0"/>
      <w:sz w:val="18"/>
      <w:szCs w:val="18"/>
    </w:rPr>
  </w:style>
  <w:style w:type="paragraph" w:customStyle="1" w:styleId="108">
    <w:name w:val="前言、引言标题"/>
    <w:next w:val="1"/>
    <w:qFormat/>
    <w:uiPriority w:val="99"/>
    <w:pPr>
      <w:shd w:val="clear" w:color="FFFFFF" w:fill="FFFFFF"/>
      <w:tabs>
        <w:tab w:val="left" w:pos="425"/>
      </w:tabs>
      <w:spacing w:before="640" w:after="560"/>
      <w:jc w:val="center"/>
      <w:outlineLvl w:val="0"/>
    </w:pPr>
    <w:rPr>
      <w:rFonts w:ascii="黑体" w:hAnsi="Times New Roman" w:eastAsia="黑体" w:cs="Times New Roman"/>
      <w:sz w:val="32"/>
      <w:lang w:val="en-US" w:eastAsia="zh-CN" w:bidi="ar-SA"/>
    </w:rPr>
  </w:style>
  <w:style w:type="paragraph" w:customStyle="1" w:styleId="109">
    <w:name w:val="Indent Normal"/>
    <w:basedOn w:val="1"/>
    <w:qFormat/>
    <w:uiPriority w:val="0"/>
    <w:pPr>
      <w:ind w:firstLine="150" w:firstLineChars="150"/>
    </w:pPr>
  </w:style>
  <w:style w:type="paragraph" w:customStyle="1" w:styleId="110">
    <w:name w:val="msonormal"/>
    <w:basedOn w:val="1"/>
    <w:qFormat/>
    <w:uiPriority w:val="0"/>
    <w:pPr>
      <w:widowControl/>
      <w:spacing w:before="100" w:beforeAutospacing="1" w:after="100" w:afterAutospacing="1" w:line="240" w:lineRule="auto"/>
      <w:ind w:firstLine="0" w:firstLineChars="0"/>
      <w:jc w:val="left"/>
    </w:pPr>
    <w:rPr>
      <w:rFonts w:cs="宋体"/>
      <w:kern w:val="0"/>
    </w:rPr>
  </w:style>
  <w:style w:type="paragraph" w:customStyle="1" w:styleId="111">
    <w:name w:val="正文 缩进2字符"/>
    <w:basedOn w:val="1"/>
    <w:qFormat/>
    <w:uiPriority w:val="0"/>
    <w:pPr>
      <w:spacing w:afterLines="50" w:line="240" w:lineRule="auto"/>
      <w:ind w:firstLine="0" w:firstLineChars="0"/>
    </w:pPr>
    <w:rPr>
      <w:rFonts w:ascii="Times New Roman" w:hAnsi="Times New Roman" w:cs="宋体"/>
      <w:sz w:val="21"/>
      <w:szCs w:val="20"/>
    </w:rPr>
  </w:style>
  <w:style w:type="paragraph" w:customStyle="1" w:styleId="112">
    <w:name w:val="列项●（二级）"/>
    <w:qFormat/>
    <w:uiPriority w:val="0"/>
    <w:pPr>
      <w:numPr>
        <w:ilvl w:val="0"/>
        <w:numId w:val="2"/>
      </w:numPr>
      <w:tabs>
        <w:tab w:val="left" w:pos="840"/>
      </w:tabs>
      <w:ind w:left="600" w:leftChars="400" w:hanging="200" w:hangingChars="200"/>
      <w:jc w:val="both"/>
    </w:pPr>
    <w:rPr>
      <w:rFonts w:ascii="宋体" w:hAnsi="Times New Roman" w:eastAsia="宋体" w:cs="Times New Roman"/>
      <w:sz w:val="21"/>
      <w:lang w:val="en-US" w:eastAsia="zh-CN" w:bidi="ar-SA"/>
    </w:rPr>
  </w:style>
  <w:style w:type="paragraph" w:customStyle="1" w:styleId="113">
    <w:name w:val="助手文本"/>
    <w:basedOn w:val="1"/>
    <w:qFormat/>
    <w:uiPriority w:val="0"/>
    <w:pPr>
      <w:autoSpaceDE w:val="0"/>
      <w:autoSpaceDN w:val="0"/>
      <w:adjustRightInd w:val="0"/>
      <w:spacing w:beforeLines="50" w:afterLines="50"/>
      <w:ind w:left="14" w:firstLine="434"/>
      <w:textAlignment w:val="baseline"/>
    </w:pPr>
    <w:rPr>
      <w:rFonts w:ascii="楷体_GB2312" w:eastAsia="楷体_GB2312"/>
      <w:kern w:val="0"/>
      <w:szCs w:val="20"/>
      <w:u w:val="single"/>
    </w:rPr>
  </w:style>
  <w:style w:type="paragraph" w:customStyle="1" w:styleId="114">
    <w:name w:val="xl67"/>
    <w:basedOn w:val="1"/>
    <w:qFormat/>
    <w:uiPriority w:val="0"/>
    <w:pPr>
      <w:widowControl/>
      <w:pBdr>
        <w:top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Microsoft Sans Serif" w:hAnsi="Microsoft Sans Serif" w:cs="Microsoft Sans Serif"/>
      <w:b/>
      <w:bCs/>
      <w:kern w:val="0"/>
      <w:sz w:val="18"/>
      <w:szCs w:val="18"/>
    </w:rPr>
  </w:style>
  <w:style w:type="paragraph" w:customStyle="1" w:styleId="115">
    <w:name w:val="段"/>
    <w:qFormat/>
    <w:uiPriority w:val="0"/>
    <w:pPr>
      <w:autoSpaceDE w:val="0"/>
      <w:autoSpaceDN w:val="0"/>
      <w:ind w:firstLine="200" w:firstLineChars="200"/>
      <w:jc w:val="both"/>
    </w:pPr>
    <w:rPr>
      <w:rFonts w:ascii="宋体" w:hAnsi="Times New Roman" w:eastAsia="宋体" w:cs="Calibri"/>
      <w:sz w:val="21"/>
      <w:lang w:val="en-US" w:eastAsia="zh-CN" w:bidi="ar-SA"/>
    </w:rPr>
  </w:style>
  <w:style w:type="paragraph" w:customStyle="1" w:styleId="116">
    <w:name w:val="xl7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cs="宋体"/>
      <w:kern w:val="0"/>
    </w:rPr>
  </w:style>
  <w:style w:type="paragraph" w:customStyle="1" w:styleId="117">
    <w:name w:val="Char Char Char Char Char Char1 Char"/>
    <w:basedOn w:val="1"/>
    <w:qFormat/>
    <w:uiPriority w:val="0"/>
    <w:pPr>
      <w:widowControl/>
      <w:spacing w:after="160" w:line="240" w:lineRule="exact"/>
      <w:jc w:val="left"/>
    </w:pPr>
  </w:style>
  <w:style w:type="paragraph" w:customStyle="1" w:styleId="118">
    <w:name w:val="PM_Body"/>
    <w:basedOn w:val="1"/>
    <w:qFormat/>
    <w:locked/>
    <w:uiPriority w:val="0"/>
    <w:rPr>
      <w:szCs w:val="21"/>
    </w:rPr>
  </w:style>
  <w:style w:type="paragraph" w:customStyle="1" w:styleId="119">
    <w:name w:val="Char Char1"/>
    <w:basedOn w:val="1"/>
    <w:qFormat/>
    <w:uiPriority w:val="0"/>
    <w:pPr>
      <w:widowControl/>
      <w:spacing w:before="120" w:after="120"/>
    </w:pPr>
    <w:rPr>
      <w:rFonts w:ascii="Times New Roman" w:hAnsi="Times New Roman" w:cs="宋体"/>
    </w:rPr>
  </w:style>
  <w:style w:type="paragraph" w:customStyle="1" w:styleId="120">
    <w:name w:val="xl71"/>
    <w:basedOn w:val="1"/>
    <w:qFormat/>
    <w:uiPriority w:val="0"/>
    <w:pPr>
      <w:widowControl/>
      <w:spacing w:before="100" w:beforeAutospacing="1" w:after="100" w:afterAutospacing="1" w:line="240" w:lineRule="auto"/>
      <w:ind w:firstLine="0" w:firstLineChars="0"/>
      <w:jc w:val="right"/>
      <w:textAlignment w:val="center"/>
    </w:pPr>
    <w:rPr>
      <w:rFonts w:ascii="Microsoft Sans Serif" w:hAnsi="Microsoft Sans Serif" w:cs="Microsoft Sans Serif"/>
      <w:kern w:val="0"/>
      <w:sz w:val="18"/>
      <w:szCs w:val="18"/>
    </w:rPr>
  </w:style>
  <w:style w:type="paragraph" w:customStyle="1" w:styleId="121">
    <w:name w:val="修订1"/>
    <w:unhideWhenUsed/>
    <w:qFormat/>
    <w:uiPriority w:val="99"/>
    <w:rPr>
      <w:rFonts w:ascii="宋体" w:hAnsi="宋体" w:eastAsia="宋体" w:cs="Times New Roman"/>
      <w:kern w:val="2"/>
      <w:sz w:val="24"/>
      <w:szCs w:val="24"/>
      <w:lang w:val="en-US" w:eastAsia="zh-CN" w:bidi="ar-SA"/>
    </w:rPr>
  </w:style>
  <w:style w:type="paragraph" w:customStyle="1" w:styleId="122">
    <w:name w:val="列出段落2"/>
    <w:basedOn w:val="1"/>
    <w:qFormat/>
    <w:uiPriority w:val="0"/>
    <w:pPr>
      <w:spacing w:line="240" w:lineRule="auto"/>
      <w:ind w:firstLine="420"/>
    </w:pPr>
    <w:rPr>
      <w:rFonts w:ascii="等线" w:hAnsi="等线" w:eastAsia="等线" w:cs="等线"/>
      <w:sz w:val="21"/>
      <w:szCs w:val="21"/>
    </w:rPr>
  </w:style>
  <w:style w:type="paragraph" w:customStyle="1" w:styleId="123">
    <w:name w:val="xl69"/>
    <w:basedOn w:val="1"/>
    <w:qFormat/>
    <w:uiPriority w:val="0"/>
    <w:pPr>
      <w:widowControl/>
      <w:pBdr>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Microsoft Sans Serif" w:hAnsi="Microsoft Sans Serif" w:cs="Microsoft Sans Serif"/>
      <w:kern w:val="0"/>
      <w:sz w:val="18"/>
      <w:szCs w:val="18"/>
    </w:rPr>
  </w:style>
  <w:style w:type="paragraph" w:customStyle="1" w:styleId="124">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Microsoft Sans Serif" w:hAnsi="Microsoft Sans Serif" w:cs="Microsoft Sans Serif"/>
      <w:b/>
      <w:bCs/>
      <w:kern w:val="0"/>
      <w:sz w:val="18"/>
      <w:szCs w:val="18"/>
    </w:rPr>
  </w:style>
  <w:style w:type="paragraph" w:customStyle="1" w:styleId="125">
    <w:name w:val="文档正文文本（中安网脉）"/>
    <w:basedOn w:val="1"/>
    <w:qFormat/>
    <w:uiPriority w:val="0"/>
    <w:pPr>
      <w:ind w:firstLine="200"/>
    </w:pPr>
    <w:rPr>
      <w:rFonts w:ascii="Times New Roman" w:hAnsi="Times New Roman" w:eastAsia="仿宋_GB2312"/>
      <w:color w:val="000000"/>
      <w:szCs w:val="28"/>
    </w:rPr>
  </w:style>
  <w:style w:type="paragraph" w:customStyle="1" w:styleId="126">
    <w:name w:val="xl65"/>
    <w:basedOn w:val="1"/>
    <w:qFormat/>
    <w:uiPriority w:val="0"/>
    <w:pPr>
      <w:widowControl/>
      <w:pBdr>
        <w:left w:val="single" w:color="auto" w:sz="4" w:space="0"/>
        <w:bottom w:val="single" w:color="auto" w:sz="4" w:space="0"/>
        <w:right w:val="single" w:color="auto" w:sz="4" w:space="0"/>
      </w:pBdr>
      <w:spacing w:before="100" w:beforeAutospacing="1" w:after="100" w:afterAutospacing="1" w:line="240" w:lineRule="auto"/>
      <w:ind w:firstLine="0" w:firstLineChars="0"/>
      <w:jc w:val="left"/>
      <w:textAlignment w:val="center"/>
    </w:pPr>
    <w:rPr>
      <w:rFonts w:ascii="Microsoft Sans Serif" w:hAnsi="Microsoft Sans Serif" w:cs="Microsoft Sans Serif"/>
      <w:kern w:val="0"/>
      <w:sz w:val="18"/>
      <w:szCs w:val="18"/>
    </w:rPr>
  </w:style>
  <w:style w:type="paragraph" w:customStyle="1" w:styleId="127">
    <w:name w:val="正文样式"/>
    <w:unhideWhenUsed/>
    <w:qFormat/>
    <w:uiPriority w:val="0"/>
    <w:pPr>
      <w:widowControl w:val="0"/>
      <w:adjustRightInd w:val="0"/>
      <w:snapToGrid w:val="0"/>
      <w:spacing w:line="360" w:lineRule="auto"/>
      <w:ind w:firstLine="200" w:firstLineChars="200"/>
      <w:jc w:val="both"/>
    </w:pPr>
    <w:rPr>
      <w:rFonts w:ascii="Times New Roman" w:hAnsi="Times New Roman" w:eastAsia="宋体" w:cs="Times New Roman"/>
      <w:bCs/>
      <w:snapToGrid w:val="0"/>
      <w:sz w:val="24"/>
      <w:szCs w:val="44"/>
      <w:lang w:val="en-US" w:eastAsia="zh-CN" w:bidi="ar-SA"/>
    </w:rPr>
  </w:style>
  <w:style w:type="paragraph" w:customStyle="1" w:styleId="128">
    <w:name w:val="样式 行距: 1.5 倍行距 首行缩进:  2 字符"/>
    <w:basedOn w:val="1"/>
    <w:qFormat/>
    <w:uiPriority w:val="0"/>
    <w:pPr>
      <w:ind w:firstLine="560"/>
      <w:jc w:val="left"/>
    </w:pPr>
    <w:rPr>
      <w:rFonts w:ascii="仿宋" w:hAnsi="仿宋" w:eastAsia="仿宋" w:cs="宋体"/>
      <w:sz w:val="28"/>
      <w:szCs w:val="20"/>
    </w:rPr>
  </w:style>
  <w:style w:type="paragraph" w:customStyle="1" w:styleId="129">
    <w:name w:val="TOC 标题1"/>
    <w:basedOn w:val="2"/>
    <w:next w:val="1"/>
    <w:qFormat/>
    <w:uiPriority w:val="39"/>
    <w:pPr>
      <w:widowControl/>
      <w:numPr>
        <w:numId w:val="0"/>
      </w:numPr>
      <w:spacing w:before="480" w:after="0" w:line="276" w:lineRule="auto"/>
      <w:jc w:val="left"/>
      <w:outlineLvl w:val="9"/>
    </w:pPr>
    <w:rPr>
      <w:rFonts w:ascii="Cambria" w:hAnsi="Cambria" w:eastAsia="宋体"/>
      <w:color w:val="365F91"/>
      <w:kern w:val="0"/>
      <w:sz w:val="28"/>
    </w:rPr>
  </w:style>
  <w:style w:type="table" w:customStyle="1" w:styleId="130">
    <w:name w:val="!我的表格1"/>
    <w:basedOn w:val="35"/>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
    <w:name w:val="网格型1"/>
    <w:basedOn w:val="35"/>
    <w:unhideWhenUsed/>
    <w:qFormat/>
    <w:uiPriority w:val="59"/>
    <w:rPr>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32">
    <w:name w:val="标题 1 Char"/>
    <w:qFormat/>
    <w:uiPriority w:val="0"/>
    <w:rPr>
      <w:rFonts w:ascii="宋体" w:hAnsi="宋体" w:eastAsia="黑体"/>
      <w:b/>
      <w:bCs/>
      <w:kern w:val="44"/>
      <w:sz w:val="32"/>
      <w:szCs w:val="28"/>
    </w:rPr>
  </w:style>
  <w:style w:type="character" w:customStyle="1" w:styleId="133">
    <w:name w:val="纯文本 Char2"/>
    <w:qFormat/>
    <w:uiPriority w:val="0"/>
    <w:rPr>
      <w:rFonts w:ascii="宋体" w:hAnsi="宋体" w:eastAsia="宋体" w:cs="Times New Roman"/>
      <w:color w:val="000000"/>
      <w:kern w:val="0"/>
      <w:sz w:val="24"/>
      <w:szCs w:val="24"/>
    </w:rPr>
  </w:style>
  <w:style w:type="character" w:customStyle="1" w:styleId="134">
    <w:name w:val="fontstyle01"/>
    <w:basedOn w:val="37"/>
    <w:qFormat/>
    <w:uiPriority w:val="0"/>
    <w:rPr>
      <w:rFonts w:hint="eastAsia" w:ascii="宋体" w:hAnsi="宋体" w:eastAsia="宋体"/>
      <w:color w:val="000000"/>
      <w:sz w:val="22"/>
      <w:szCs w:val="22"/>
    </w:rPr>
  </w:style>
  <w:style w:type="character" w:customStyle="1" w:styleId="135">
    <w:name w:val="fontstyle11"/>
    <w:basedOn w:val="37"/>
    <w:qFormat/>
    <w:uiPriority w:val="0"/>
    <w:rPr>
      <w:rFonts w:hint="default" w:ascii="LiberationSans" w:hAnsi="LiberationSans"/>
      <w:color w:val="000000"/>
      <w:sz w:val="22"/>
      <w:szCs w:val="22"/>
    </w:rPr>
  </w:style>
  <w:style w:type="paragraph" w:customStyle="1" w:styleId="136">
    <w:name w:val="可研正文"/>
    <w:basedOn w:val="1"/>
    <w:link w:val="137"/>
    <w:qFormat/>
    <w:uiPriority w:val="0"/>
    <w:pPr>
      <w:ind w:firstLine="200"/>
    </w:pPr>
    <w:rPr>
      <w:rFonts w:ascii="仿宋" w:hAnsi="仿宋" w:eastAsia="仿宋" w:cstheme="minorBidi"/>
      <w:sz w:val="28"/>
      <w:szCs w:val="28"/>
    </w:rPr>
  </w:style>
  <w:style w:type="character" w:customStyle="1" w:styleId="137">
    <w:name w:val="可研正文 Char"/>
    <w:link w:val="136"/>
    <w:qFormat/>
    <w:uiPriority w:val="0"/>
    <w:rPr>
      <w:rFonts w:ascii="仿宋" w:hAnsi="仿宋" w:eastAsia="仿宋" w:cstheme="minorBidi"/>
      <w:kern w:val="2"/>
      <w:sz w:val="28"/>
      <w:szCs w:val="28"/>
    </w:rPr>
  </w:style>
  <w:style w:type="paragraph" w:customStyle="1" w:styleId="138">
    <w:name w:val="B-表正文"/>
    <w:qFormat/>
    <w:uiPriority w:val="0"/>
    <w:rPr>
      <w:rFonts w:ascii="Times New Roman" w:hAnsi="Times New Roman" w:eastAsia="仿宋" w:cstheme="minorBidi"/>
      <w:kern w:val="2"/>
      <w:sz w:val="21"/>
      <w:szCs w:val="24"/>
      <w:lang w:val="en-US" w:eastAsia="zh-CN" w:bidi="ar-SA"/>
    </w:rPr>
  </w:style>
  <w:style w:type="paragraph" w:customStyle="1" w:styleId="139">
    <w:name w:val="样式2"/>
    <w:basedOn w:val="1"/>
    <w:qFormat/>
    <w:uiPriority w:val="0"/>
    <w:pPr>
      <w:widowControl/>
      <w:adjustRightInd w:val="0"/>
    </w:pPr>
    <w:rPr>
      <w:kern w:val="0"/>
      <w:lang w:eastAsia="en-US"/>
    </w:rPr>
  </w:style>
  <w:style w:type="paragraph" w:customStyle="1" w:styleId="140">
    <w:name w:val="Revision"/>
    <w:hidden/>
    <w:unhideWhenUsed/>
    <w:qFormat/>
    <w:uiPriority w:val="99"/>
    <w:rPr>
      <w:rFonts w:ascii="宋体" w:hAnsi="宋体" w:eastAsia="宋体" w:cs="Times New Roman"/>
      <w:kern w:val="2"/>
      <w:sz w:val="24"/>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3" Type="http://schemas.openxmlformats.org/officeDocument/2006/relationships/fontTable" Target="fontTable.xml"/><Relationship Id="rId22" Type="http://schemas.openxmlformats.org/officeDocument/2006/relationships/numbering" Target="numbering.xml"/><Relationship Id="rId21" Type="http://schemas.openxmlformats.org/officeDocument/2006/relationships/customXml" Target="../customXml/item1.xml"/><Relationship Id="rId20" Type="http://schemas.openxmlformats.org/officeDocument/2006/relationships/image" Target="media/image6.emf"/><Relationship Id="rId2" Type="http://schemas.openxmlformats.org/officeDocument/2006/relationships/settings" Target="settings.xml"/><Relationship Id="rId19" Type="http://schemas.openxmlformats.org/officeDocument/2006/relationships/oleObject" Target="embeddings/oleObject2.bin"/><Relationship Id="rId18" Type="http://schemas.openxmlformats.org/officeDocument/2006/relationships/image" Target="media/image5.emf"/><Relationship Id="rId17" Type="http://schemas.openxmlformats.org/officeDocument/2006/relationships/oleObject" Target="embeddings/oleObject1.bin"/><Relationship Id="rId16" Type="http://schemas.openxmlformats.org/officeDocument/2006/relationships/image" Target="media/image4.emf"/><Relationship Id="rId15" Type="http://schemas.openxmlformats.org/officeDocument/2006/relationships/package" Target="embeddings/Microsoft_Visio___1.vsdx"/><Relationship Id="rId14" Type="http://schemas.openxmlformats.org/officeDocument/2006/relationships/image" Target="media/image3.png"/><Relationship Id="rId13" Type="http://schemas.openxmlformats.org/officeDocument/2006/relationships/image" Target="media/image2.jpe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HP Inc.</Company>
  <Pages>34</Pages>
  <Words>3241</Words>
  <Characters>18478</Characters>
  <Lines>153</Lines>
  <Paragraphs>43</Paragraphs>
  <TotalTime>128</TotalTime>
  <ScaleCrop>false</ScaleCrop>
  <LinksUpToDate>false</LinksUpToDate>
  <CharactersWithSpaces>21676</CharactersWithSpaces>
  <Application>WPS Office_12.8.2.1116_F1E327BC-269C-435d-A152-05C5408002CA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2025-01-23T15:38:00Z</dcterms:created>
  <dc:creator>gtig_tzb</dc:creator>
  <cp:lastModifiedBy>郭田恬</cp:lastModifiedBy>
  <cp:lastPrinted>2020-08-08T20:08:00Z</cp:lastPrinted>
  <dcterms:modified xsi:type="dcterms:W3CDTF">2025-02-06T13:56:10Z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2052-12.8.2.1116</vt:lpwstr>
  </property>
  <property fmtid="{D5CDD505-2E9C-101B-9397-08002B2CF9AE}" pid="3" name="ICV">
    <vt:lpwstr>21E249F250734D6D849B02316C866682_12</vt:lpwstr>
  </property>
  <property fmtid="{D5CDD505-2E9C-101B-9397-08002B2CF9AE}" pid="4" name="KSOTemplateDocerSaveRecord">
    <vt:lpwstr>eyJoZGlkIjoiMjNiNGRhYjJhNmEzMzY3MDU5Y2Y5MDM4MmI4Y2I3YjAiLCJ1c2VySWQiOiI0MTU2NTkwNDUifQ==</vt:lpwstr>
  </property>
</Properties>
</file>