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黑体" w:hAnsi="黑体" w:eastAsia="黑体"/>
          <w:sz w:val="48"/>
          <w:szCs w:val="48"/>
        </w:rPr>
      </w:pPr>
    </w:p>
    <w:p>
      <w:pPr>
        <w:ind w:firstLine="0" w:firstLineChars="0"/>
        <w:jc w:val="center"/>
        <w:rPr>
          <w:rFonts w:hint="eastAsia" w:ascii="黑体" w:hAnsi="黑体" w:eastAsia="黑体"/>
          <w:sz w:val="48"/>
          <w:szCs w:val="48"/>
        </w:rPr>
      </w:pPr>
    </w:p>
    <w:p>
      <w:pPr>
        <w:ind w:firstLine="0" w:firstLineChars="0"/>
        <w:jc w:val="center"/>
        <w:rPr>
          <w:rFonts w:hint="eastAsia" w:ascii="黑体" w:hAnsi="黑体" w:eastAsia="黑体"/>
          <w:sz w:val="52"/>
          <w:szCs w:val="52"/>
        </w:rPr>
      </w:pPr>
      <w:r>
        <w:rPr>
          <w:rFonts w:hint="eastAsia" w:ascii="黑体" w:hAnsi="黑体" w:eastAsia="黑体"/>
          <w:sz w:val="52"/>
          <w:szCs w:val="52"/>
        </w:rPr>
        <w:t>市机管局基础设施子系统</w:t>
      </w:r>
    </w:p>
    <w:p>
      <w:pPr>
        <w:ind w:firstLine="0" w:firstLineChars="0"/>
        <w:jc w:val="center"/>
        <w:rPr>
          <w:rFonts w:hint="eastAsia" w:ascii="黑体" w:hAnsi="黑体" w:eastAsia="黑体"/>
          <w:sz w:val="52"/>
          <w:szCs w:val="52"/>
        </w:rPr>
      </w:pPr>
      <w:r>
        <w:rPr>
          <w:rFonts w:hint="eastAsia" w:ascii="黑体" w:hAnsi="黑体" w:eastAsia="黑体"/>
          <w:sz w:val="52"/>
          <w:szCs w:val="52"/>
        </w:rPr>
        <w:t>建设项目</w:t>
      </w:r>
    </w:p>
    <w:p>
      <w:pPr>
        <w:ind w:firstLine="0" w:firstLineChars="0"/>
        <w:jc w:val="center"/>
        <w:rPr>
          <w:rFonts w:hint="eastAsia" w:ascii="黑体" w:hAnsi="黑体" w:eastAsia="黑体"/>
          <w:sz w:val="52"/>
          <w:szCs w:val="52"/>
        </w:rPr>
      </w:pPr>
      <w:r>
        <w:rPr>
          <w:rFonts w:hint="eastAsia" w:ascii="黑体" w:hAnsi="黑体" w:eastAsia="黑体"/>
          <w:sz w:val="52"/>
          <w:szCs w:val="52"/>
        </w:rPr>
        <w:t>采购需求</w:t>
      </w:r>
    </w:p>
    <w:p>
      <w:pPr>
        <w:ind w:firstLine="0" w:firstLineChars="0"/>
        <w:jc w:val="center"/>
        <w:rPr>
          <w:rFonts w:hint="eastAsia" w:ascii="黑体" w:hAnsi="黑体" w:eastAsia="黑体"/>
          <w:sz w:val="72"/>
          <w:szCs w:val="72"/>
        </w:rPr>
      </w:pPr>
    </w:p>
    <w:p>
      <w:pPr>
        <w:ind w:firstLine="0" w:firstLineChars="0"/>
        <w:jc w:val="center"/>
        <w:rPr>
          <w:rFonts w:hint="eastAsia" w:ascii="黑体" w:hAnsi="黑体" w:eastAsia="黑体"/>
          <w:sz w:val="48"/>
          <w:szCs w:val="48"/>
        </w:rPr>
      </w:pPr>
    </w:p>
    <w:p>
      <w:pPr>
        <w:ind w:firstLine="0" w:firstLineChars="0"/>
        <w:jc w:val="center"/>
        <w:rPr>
          <w:rFonts w:hint="eastAsia" w:ascii="黑体" w:hAnsi="黑体" w:eastAsia="黑体"/>
          <w:sz w:val="52"/>
          <w:szCs w:val="52"/>
        </w:rPr>
      </w:pPr>
    </w:p>
    <w:p>
      <w:pPr>
        <w:ind w:firstLine="1040"/>
        <w:rPr>
          <w:rFonts w:hint="eastAsia" w:ascii="黑体" w:hAnsi="黑体" w:eastAsia="黑体"/>
          <w:sz w:val="52"/>
          <w:szCs w:val="52"/>
        </w:rPr>
      </w:pPr>
    </w:p>
    <w:p>
      <w:pPr>
        <w:rPr>
          <w:rFonts w:hint="eastAsia"/>
        </w:rPr>
      </w:pPr>
    </w:p>
    <w:p>
      <w:pPr>
        <w:rPr>
          <w:rFonts w:hint="eastAsia"/>
        </w:rPr>
      </w:pPr>
    </w:p>
    <w:p>
      <w:pPr>
        <w:rPr>
          <w:rFonts w:hint="eastAsia"/>
        </w:rPr>
      </w:pPr>
    </w:p>
    <w:p>
      <w:pPr>
        <w:rPr>
          <w:rFonts w:hint="eastAsia"/>
        </w:rPr>
      </w:pPr>
    </w:p>
    <w:p>
      <w:pPr>
        <w:rPr>
          <w:rFonts w:hint="eastAsia"/>
        </w:rPr>
      </w:pPr>
    </w:p>
    <w:p>
      <w:pPr>
        <w:ind w:firstLine="1040"/>
        <w:rPr>
          <w:rFonts w:hint="eastAsia" w:ascii="黑体" w:hAnsi="黑体" w:eastAsia="黑体"/>
          <w:sz w:val="52"/>
          <w:szCs w:val="52"/>
        </w:rPr>
      </w:pPr>
    </w:p>
    <w:p>
      <w:pPr>
        <w:jc w:val="center"/>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1134" w:right="1797" w:bottom="1135" w:left="1797" w:header="340" w:footer="7" w:gutter="0"/>
          <w:pgNumType w:start="1"/>
          <w:cols w:space="720" w:num="1"/>
          <w:titlePg/>
          <w:docGrid w:type="linesAndChars" w:linePitch="326" w:charSpace="0"/>
        </w:sectPr>
      </w:pPr>
    </w:p>
    <w:p>
      <w:pPr>
        <w:pStyle w:val="2"/>
        <w:rPr>
          <w:rFonts w:hint="eastAsia"/>
          <w:szCs w:val="32"/>
        </w:rPr>
      </w:pPr>
      <w:bookmarkStart w:id="0" w:name="_Toc63785461"/>
      <w:r>
        <w:rPr>
          <w:rFonts w:hint="eastAsia"/>
          <w:szCs w:val="32"/>
        </w:rPr>
        <w:t>项目概况</w:t>
      </w:r>
      <w:bookmarkEnd w:id="0"/>
    </w:p>
    <w:p>
      <w:pPr>
        <w:pStyle w:val="190"/>
        <w:spacing w:before="0" w:after="0"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随着市机管局“智慧机管局”业务大系统下的各应用子系统充分依托本市电子政务网络、电子政务云、大数据资源平台进行信息系统部署，市机管局办公人员通过政务外网和互联网实现对系统进行维护管理和办公，对局内部网络的健壮性和安全性以及终端用户的安全管控都提出了更高的要求。</w:t>
      </w:r>
    </w:p>
    <w:p>
      <w:pPr>
        <w:pStyle w:val="190"/>
        <w:spacing w:before="0" w:after="0"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2017年6月，《网络安全法》正式实施，其中第二十一条规定“国家实行网络安全等级保护制度”。2019年5月，国家标准化管理委员会正式发布了网络安全等级保护2.0核心技术标准。根据《信息安全技术网络安全等级保护基本要求》（GB/T 22239-2019）的有关规定，市机管局政务外网需要按照等级保护2.0第三级要求进行安全建设。对网络资产进行区域划分，对不同的网络资产从通信网络防护、区域边界防护、计算环境防护等各方面进行不同级别的安全防护设计。</w:t>
      </w:r>
    </w:p>
    <w:p>
      <w:pPr>
        <w:pStyle w:val="190"/>
        <w:spacing w:before="0" w:after="0"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参照《上海市电子政务外网建设和运行管理指南》中网络安全设计规范的要求，政务外网各接入单位应在符合国家安全等级保护要求的前提下方能接入政务外网，并参照等保2</w:t>
      </w:r>
      <w:r>
        <w:rPr>
          <w:rFonts w:ascii="仿宋" w:hAnsi="仿宋" w:eastAsia="仿宋" w:cs="Times New Roman"/>
          <w:sz w:val="24"/>
          <w:szCs w:val="24"/>
        </w:rPr>
        <w:t>.0</w:t>
      </w:r>
      <w:r>
        <w:rPr>
          <w:rFonts w:hint="eastAsia" w:ascii="仿宋" w:hAnsi="仿宋" w:eastAsia="仿宋" w:cs="Times New Roman"/>
          <w:sz w:val="24"/>
          <w:szCs w:val="24"/>
        </w:rPr>
        <w:t>的等级防护能力要求，匹配相应的网络安全防护措施。对于各单位网络接入到政务外网，应在政务外网边界设置安全接入区，需实现网络访问控制、入侵检测和防御、防病毒、APT检测、日志审计等功能。</w:t>
      </w:r>
    </w:p>
    <w:p>
      <w:pPr>
        <w:pStyle w:val="190"/>
        <w:spacing w:before="0" w:after="0"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需根据《信息安全技术网络安全等级保护基本要求》、《上海市电子政务外网建设和运行管理指南》对本单位信息系统进行升级改造。</w:t>
      </w:r>
    </w:p>
    <w:p>
      <w:pPr>
        <w:rPr>
          <w:rFonts w:hint="eastAsia" w:ascii="仿宋" w:hAnsi="仿宋" w:eastAsia="仿宋"/>
        </w:rPr>
      </w:pPr>
      <w:r>
        <w:rPr>
          <w:rFonts w:hint="eastAsia" w:ascii="仿宋" w:hAnsi="仿宋" w:eastAsia="仿宋"/>
        </w:rPr>
        <w:t>建设期限：本项目于合同签订后6个月内完成</w:t>
      </w:r>
    </w:p>
    <w:p>
      <w:pPr>
        <w:rPr>
          <w:rFonts w:hint="eastAsia" w:ascii="仿宋" w:hAnsi="仿宋" w:eastAsia="仿宋"/>
        </w:rPr>
      </w:pPr>
      <w:r>
        <w:rPr>
          <w:rFonts w:hint="eastAsia" w:ascii="仿宋" w:hAnsi="仿宋" w:eastAsia="仿宋"/>
        </w:rPr>
        <w:t>建设地点：黄浦区人民大道</w:t>
      </w:r>
      <w:r>
        <w:rPr>
          <w:rFonts w:ascii="仿宋" w:hAnsi="仿宋" w:eastAsia="仿宋"/>
        </w:rPr>
        <w:t>200号</w:t>
      </w:r>
    </w:p>
    <w:p>
      <w:pPr>
        <w:rPr>
          <w:rFonts w:hint="eastAsia" w:ascii="仿宋" w:hAnsi="仿宋" w:eastAsia="仿宋"/>
        </w:rPr>
      </w:pPr>
      <w:r>
        <w:rPr>
          <w:rFonts w:hint="eastAsia" w:ascii="仿宋" w:hAnsi="仿宋" w:eastAsia="仿宋"/>
        </w:rPr>
        <w:t>预算金额：1,613,932元</w:t>
      </w:r>
    </w:p>
    <w:p>
      <w:pPr>
        <w:rPr>
          <w:rFonts w:hint="eastAsia" w:ascii="仿宋" w:hAnsi="仿宋" w:eastAsia="仿宋"/>
        </w:rPr>
      </w:pPr>
      <w:r>
        <w:rPr>
          <w:rFonts w:hint="eastAsia" w:ascii="仿宋" w:hAnsi="仿宋" w:eastAsia="仿宋"/>
        </w:rPr>
        <w:t>采购金额（最高限价）：1,613,932元</w:t>
      </w:r>
    </w:p>
    <w:p>
      <w:pPr>
        <w:rPr>
          <w:rFonts w:hint="eastAsia" w:ascii="仿宋" w:hAnsi="仿宋" w:eastAsia="仿宋"/>
        </w:rPr>
      </w:pPr>
      <w:r>
        <w:rPr>
          <w:rFonts w:hint="eastAsia" w:ascii="仿宋" w:hAnsi="仿宋" w:eastAsia="仿宋"/>
        </w:rPr>
        <w:t>组织形式：集中采购</w:t>
      </w:r>
    </w:p>
    <w:p>
      <w:pPr>
        <w:rPr>
          <w:rFonts w:hint="eastAsia" w:ascii="仿宋" w:hAnsi="仿宋" w:eastAsia="仿宋"/>
        </w:rPr>
      </w:pPr>
      <w:r>
        <w:rPr>
          <w:rFonts w:hint="eastAsia" w:ascii="仿宋" w:hAnsi="仿宋" w:eastAsia="仿宋"/>
        </w:rPr>
        <w:t>采购方式：</w:t>
      </w:r>
      <w:r>
        <w:rPr>
          <w:rFonts w:hint="eastAsia" w:ascii="仿宋" w:hAnsi="仿宋" w:eastAsia="仿宋"/>
          <w:highlight w:val="yellow"/>
        </w:rPr>
        <w:t>公开招标</w:t>
      </w:r>
    </w:p>
    <w:p>
      <w:pPr>
        <w:rPr>
          <w:rFonts w:hint="eastAsia" w:ascii="仿宋" w:hAnsi="仿宋" w:eastAsia="仿宋"/>
        </w:rPr>
      </w:pPr>
      <w:r>
        <w:rPr>
          <w:rFonts w:hint="eastAsia" w:ascii="仿宋" w:hAnsi="仿宋" w:eastAsia="仿宋"/>
        </w:rPr>
        <w:t>是否接受联合体投标：否</w:t>
      </w:r>
    </w:p>
    <w:p>
      <w:pPr>
        <w:rPr>
          <w:rFonts w:hint="eastAsia" w:ascii="仿宋" w:hAnsi="仿宋" w:eastAsia="仿宋"/>
        </w:rPr>
      </w:pPr>
      <w:r>
        <w:rPr>
          <w:rFonts w:hint="eastAsia" w:ascii="仿宋" w:hAnsi="仿宋" w:eastAsia="仿宋"/>
        </w:rPr>
        <w:t>是否按信创要求建设：是</w:t>
      </w:r>
    </w:p>
    <w:p>
      <w:pPr>
        <w:rPr>
          <w:rFonts w:hint="eastAsia" w:ascii="仿宋" w:hAnsi="仿宋" w:eastAsia="仿宋"/>
        </w:rPr>
      </w:pPr>
      <w:r>
        <w:rPr>
          <w:rFonts w:hint="eastAsia" w:ascii="仿宋" w:hAnsi="仿宋" w:eastAsia="仿宋"/>
        </w:rPr>
        <w:t>运维后所属大系统：市机管局基础设施</w:t>
      </w:r>
    </w:p>
    <w:p>
      <w:pPr>
        <w:pStyle w:val="2"/>
        <w:rPr>
          <w:rFonts w:hint="eastAsia"/>
        </w:rPr>
      </w:pPr>
      <w:bookmarkStart w:id="1" w:name="_Toc47531634"/>
      <w:bookmarkEnd w:id="1"/>
      <w:bookmarkStart w:id="2" w:name="_Toc47537134"/>
      <w:bookmarkEnd w:id="2"/>
      <w:bookmarkStart w:id="3" w:name="_Toc47539070"/>
      <w:bookmarkEnd w:id="3"/>
      <w:bookmarkStart w:id="4" w:name="_Toc47536644"/>
      <w:bookmarkEnd w:id="4"/>
      <w:bookmarkStart w:id="5" w:name="_Toc47532255"/>
      <w:bookmarkEnd w:id="5"/>
      <w:bookmarkStart w:id="6" w:name="_Toc47532891"/>
      <w:bookmarkEnd w:id="6"/>
      <w:bookmarkStart w:id="7" w:name="_Toc47536272"/>
      <w:bookmarkEnd w:id="7"/>
      <w:bookmarkStart w:id="8" w:name="_Toc47533256"/>
      <w:bookmarkEnd w:id="8"/>
      <w:bookmarkStart w:id="9" w:name="_Toc63785463"/>
      <w:bookmarkStart w:id="10" w:name="_Toc48223882"/>
      <w:r>
        <w:rPr>
          <w:rFonts w:hint="eastAsia"/>
        </w:rPr>
        <w:t>建设目标</w:t>
      </w:r>
      <w:bookmarkEnd w:id="9"/>
      <w:bookmarkEnd w:id="10"/>
    </w:p>
    <w:p>
      <w:pPr>
        <w:pStyle w:val="3"/>
        <w:ind w:left="0" w:firstLine="600" w:firstLineChars="200"/>
        <w:rPr>
          <w:rFonts w:hint="eastAsia" w:ascii="仿宋" w:hAnsi="仿宋" w:eastAsia="仿宋"/>
        </w:rPr>
      </w:pPr>
      <w:r>
        <w:rPr>
          <w:rFonts w:hint="eastAsia" w:ascii="仿宋" w:hAnsi="仿宋" w:eastAsia="仿宋"/>
        </w:rPr>
        <w:t>建设目标</w:t>
      </w:r>
    </w:p>
    <w:p>
      <w:pPr>
        <w:rPr>
          <w:rFonts w:hint="eastAsia" w:ascii="仿宋" w:hAnsi="仿宋" w:eastAsia="仿宋"/>
        </w:rPr>
      </w:pPr>
      <w:r>
        <w:rPr>
          <w:rFonts w:hint="eastAsia" w:ascii="仿宋" w:hAnsi="仿宋" w:eastAsia="仿宋"/>
        </w:rPr>
        <w:t>考虑到上海市机关事务管理局信息系统即将面临的安全风险，本次项目进行机房及网络安全加固，建设完成后可具备以下能力：</w:t>
      </w:r>
    </w:p>
    <w:p>
      <w:pPr>
        <w:pStyle w:val="62"/>
        <w:numPr>
          <w:ilvl w:val="0"/>
          <w:numId w:val="7"/>
        </w:numPr>
        <w:ind w:firstLineChars="0"/>
        <w:rPr>
          <w:rFonts w:hint="eastAsia" w:ascii="仿宋" w:hAnsi="仿宋" w:eastAsia="仿宋"/>
          <w:sz w:val="24"/>
        </w:rPr>
      </w:pPr>
      <w:r>
        <w:rPr>
          <w:rFonts w:hint="eastAsia" w:ascii="仿宋" w:hAnsi="仿宋" w:eastAsia="仿宋"/>
          <w:sz w:val="24"/>
        </w:rPr>
        <w:t>在统一的安全防护策略下具有抵御大规模、较强恶意攻击的能力，防范计算机病毒和恶意代码危害的能力；具有检测、发现、报警及记录入侵行为的能力；具有对终端用户进行集中管控的能力。</w:t>
      </w:r>
    </w:p>
    <w:p>
      <w:pPr>
        <w:pStyle w:val="62"/>
        <w:numPr>
          <w:ilvl w:val="0"/>
          <w:numId w:val="7"/>
        </w:numPr>
        <w:ind w:firstLineChars="0"/>
        <w:rPr>
          <w:rFonts w:hint="eastAsia" w:ascii="仿宋" w:hAnsi="仿宋" w:eastAsia="仿宋"/>
          <w:sz w:val="24"/>
        </w:rPr>
      </w:pPr>
      <w:r>
        <w:rPr>
          <w:rFonts w:hint="eastAsia" w:ascii="仿宋" w:hAnsi="仿宋" w:eastAsia="仿宋"/>
          <w:sz w:val="24"/>
        </w:rPr>
        <w:t>实现对综合楼4</w:t>
      </w:r>
      <w:r>
        <w:rPr>
          <w:rFonts w:ascii="仿宋" w:hAnsi="仿宋" w:eastAsia="仿宋"/>
          <w:sz w:val="24"/>
        </w:rPr>
        <w:t>25</w:t>
      </w:r>
      <w:r>
        <w:rPr>
          <w:rFonts w:hint="eastAsia" w:ascii="仿宋" w:hAnsi="仿宋" w:eastAsia="仿宋"/>
          <w:sz w:val="24"/>
        </w:rPr>
        <w:t>机房的UPS、</w:t>
      </w:r>
      <w:r>
        <w:rPr>
          <w:rFonts w:ascii="仿宋" w:hAnsi="仿宋" w:eastAsia="仿宋"/>
          <w:sz w:val="24"/>
        </w:rPr>
        <w:t>环境等设备进行集中联网监控</w:t>
      </w:r>
      <w:r>
        <w:rPr>
          <w:rFonts w:hint="eastAsia" w:ascii="仿宋" w:hAnsi="仿宋" w:eastAsia="仿宋"/>
          <w:sz w:val="24"/>
        </w:rPr>
        <w:t>；</w:t>
      </w:r>
    </w:p>
    <w:p>
      <w:pPr>
        <w:pStyle w:val="62"/>
        <w:numPr>
          <w:ilvl w:val="0"/>
          <w:numId w:val="7"/>
        </w:numPr>
        <w:ind w:firstLineChars="0"/>
        <w:rPr>
          <w:rFonts w:hint="eastAsia" w:ascii="仿宋" w:hAnsi="仿宋" w:eastAsia="仿宋"/>
          <w:sz w:val="24"/>
        </w:rPr>
      </w:pPr>
      <w:r>
        <w:rPr>
          <w:rFonts w:hint="eastAsia" w:ascii="仿宋" w:hAnsi="仿宋" w:eastAsia="仿宋"/>
          <w:sz w:val="24"/>
        </w:rPr>
        <w:t>更换UPS主机以及机柜接入UPS设备，实现机房重要设备临时供电；</w:t>
      </w:r>
    </w:p>
    <w:p>
      <w:pPr>
        <w:pStyle w:val="62"/>
        <w:numPr>
          <w:ilvl w:val="0"/>
          <w:numId w:val="7"/>
        </w:numPr>
        <w:ind w:firstLineChars="0"/>
        <w:rPr>
          <w:rFonts w:hint="eastAsia" w:ascii="仿宋" w:hAnsi="仿宋" w:eastAsia="仿宋"/>
          <w:sz w:val="24"/>
        </w:rPr>
      </w:pPr>
      <w:r>
        <w:rPr>
          <w:rFonts w:hint="eastAsia" w:ascii="仿宋" w:hAnsi="仿宋" w:eastAsia="仿宋"/>
          <w:sz w:val="24"/>
        </w:rPr>
        <w:t>参照网络安全等级保护2</w:t>
      </w:r>
      <w:r>
        <w:rPr>
          <w:rFonts w:ascii="仿宋" w:hAnsi="仿宋" w:eastAsia="仿宋"/>
          <w:sz w:val="24"/>
        </w:rPr>
        <w:t>.0</w:t>
      </w:r>
      <w:r>
        <w:rPr>
          <w:rFonts w:hint="eastAsia" w:ascii="仿宋" w:hAnsi="仿宋" w:eastAsia="仿宋"/>
          <w:sz w:val="24"/>
        </w:rPr>
        <w:t>三级的标准进行建设。</w:t>
      </w:r>
    </w:p>
    <w:p>
      <w:pPr>
        <w:pStyle w:val="62"/>
        <w:numPr>
          <w:ilvl w:val="255"/>
          <w:numId w:val="0"/>
        </w:numPr>
        <w:ind w:left="480"/>
        <w:rPr>
          <w:rFonts w:hint="eastAsia" w:ascii="仿宋" w:hAnsi="仿宋" w:eastAsia="仿宋"/>
          <w:sz w:val="24"/>
        </w:rPr>
      </w:pPr>
    </w:p>
    <w:p>
      <w:pPr>
        <w:ind w:firstLine="602"/>
        <w:rPr>
          <w:rFonts w:hint="eastAsia" w:ascii="仿宋" w:hAnsi="仿宋" w:eastAsia="仿宋"/>
          <w:b/>
          <w:bCs/>
          <w:sz w:val="30"/>
          <w:szCs w:val="32"/>
        </w:rPr>
      </w:pPr>
      <w:bookmarkStart w:id="11" w:name="_Toc12041"/>
      <w:r>
        <w:rPr>
          <w:rFonts w:hint="eastAsia" w:ascii="仿宋" w:hAnsi="仿宋" w:eastAsia="仿宋"/>
          <w:b/>
          <w:bCs/>
          <w:sz w:val="30"/>
          <w:szCs w:val="32"/>
        </w:rPr>
        <w:t>2.2、业务绩效考核目标</w:t>
      </w:r>
      <w:bookmarkEnd w:id="11"/>
    </w:p>
    <w:p>
      <w:pPr>
        <w:spacing w:before="190" w:after="190"/>
        <w:rPr>
          <w:rFonts w:hint="eastAsia"/>
        </w:rPr>
      </w:pPr>
      <w:r>
        <w:rPr>
          <w:rFonts w:hint="eastAsia"/>
        </w:rPr>
        <w:t>本项目建成后业务绩效考核目标须满足以下指标：</w:t>
      </w:r>
    </w:p>
    <w:p>
      <w:pPr>
        <w:pStyle w:val="194"/>
        <w:spacing w:before="156" w:after="156"/>
        <w:ind w:firstLine="360"/>
        <w:rPr>
          <w:sz w:val="28"/>
          <w:szCs w:val="56"/>
        </w:rPr>
      </w:pPr>
      <w:r>
        <w:rPr>
          <w:rFonts w:hint="eastAsia"/>
          <w:sz w:val="28"/>
          <w:szCs w:val="56"/>
        </w:rPr>
        <w:t>业务绩效考核指标参数表</w:t>
      </w:r>
    </w:p>
    <w:tbl>
      <w:tblPr>
        <w:tblStyle w:val="35"/>
        <w:tblW w:w="835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709"/>
        <w:gridCol w:w="1388"/>
        <w:gridCol w:w="1559"/>
        <w:gridCol w:w="1701"/>
        <w:gridCol w:w="1444"/>
        <w:gridCol w:w="155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09" w:type="dxa"/>
            <w:vAlign w:val="center"/>
          </w:tcPr>
          <w:p>
            <w:pPr>
              <w:pStyle w:val="195"/>
              <w:rPr>
                <w:rFonts w:hint="eastAsia" w:ascii="宋体" w:hAnsi="宋体" w:eastAsia="宋体" w:cs="宋体"/>
                <w:sz w:val="24"/>
              </w:rPr>
            </w:pPr>
            <w:r>
              <w:rPr>
                <w:rFonts w:hint="eastAsia" w:ascii="宋体" w:hAnsi="宋体" w:eastAsia="宋体" w:cs="宋体"/>
                <w:sz w:val="24"/>
              </w:rPr>
              <w:t>序号</w:t>
            </w:r>
          </w:p>
        </w:tc>
        <w:tc>
          <w:tcPr>
            <w:tcW w:w="1388" w:type="dxa"/>
            <w:vAlign w:val="center"/>
          </w:tcPr>
          <w:p>
            <w:pPr>
              <w:pStyle w:val="195"/>
              <w:ind w:firstLine="36"/>
              <w:rPr>
                <w:rFonts w:hint="eastAsia" w:ascii="宋体" w:hAnsi="宋体" w:eastAsia="宋体" w:cs="宋体"/>
                <w:sz w:val="24"/>
              </w:rPr>
            </w:pPr>
            <w:r>
              <w:rPr>
                <w:rFonts w:hint="eastAsia" w:ascii="宋体" w:hAnsi="宋体" w:eastAsia="宋体" w:cs="宋体"/>
                <w:sz w:val="24"/>
              </w:rPr>
              <w:t>一级指标</w:t>
            </w:r>
          </w:p>
        </w:tc>
        <w:tc>
          <w:tcPr>
            <w:tcW w:w="1559" w:type="dxa"/>
            <w:vAlign w:val="center"/>
          </w:tcPr>
          <w:p>
            <w:pPr>
              <w:pStyle w:val="195"/>
              <w:rPr>
                <w:rFonts w:hint="eastAsia" w:ascii="宋体" w:hAnsi="宋体" w:eastAsia="宋体" w:cs="宋体"/>
                <w:sz w:val="24"/>
              </w:rPr>
            </w:pPr>
            <w:r>
              <w:rPr>
                <w:rFonts w:hint="eastAsia" w:ascii="宋体" w:hAnsi="宋体" w:eastAsia="宋体" w:cs="宋体"/>
                <w:sz w:val="24"/>
              </w:rPr>
              <w:t>二级指标</w:t>
            </w:r>
          </w:p>
        </w:tc>
        <w:tc>
          <w:tcPr>
            <w:tcW w:w="1701" w:type="dxa"/>
            <w:vAlign w:val="center"/>
          </w:tcPr>
          <w:p>
            <w:pPr>
              <w:pStyle w:val="195"/>
              <w:rPr>
                <w:rFonts w:hint="eastAsia" w:ascii="宋体" w:hAnsi="宋体" w:eastAsia="宋体" w:cs="宋体"/>
                <w:sz w:val="24"/>
              </w:rPr>
            </w:pPr>
            <w:r>
              <w:rPr>
                <w:rFonts w:hint="eastAsia" w:ascii="宋体" w:hAnsi="宋体" w:eastAsia="宋体" w:cs="宋体"/>
                <w:sz w:val="24"/>
              </w:rPr>
              <w:t>三级指标</w:t>
            </w:r>
          </w:p>
        </w:tc>
        <w:tc>
          <w:tcPr>
            <w:tcW w:w="1444" w:type="dxa"/>
          </w:tcPr>
          <w:p>
            <w:pPr>
              <w:pStyle w:val="195"/>
              <w:rPr>
                <w:rFonts w:hint="eastAsia" w:ascii="宋体" w:hAnsi="宋体" w:eastAsia="宋体" w:cs="宋体"/>
                <w:sz w:val="24"/>
              </w:rPr>
            </w:pPr>
            <w:r>
              <w:rPr>
                <w:rFonts w:hint="eastAsia" w:ascii="宋体" w:hAnsi="宋体" w:eastAsia="宋体" w:cs="宋体"/>
                <w:sz w:val="24"/>
              </w:rPr>
              <w:t>四级指标</w:t>
            </w:r>
          </w:p>
        </w:tc>
        <w:tc>
          <w:tcPr>
            <w:tcW w:w="1551" w:type="dxa"/>
            <w:vAlign w:val="center"/>
          </w:tcPr>
          <w:p>
            <w:pPr>
              <w:pStyle w:val="195"/>
              <w:ind w:firstLine="360"/>
              <w:rPr>
                <w:rFonts w:hint="eastAsia" w:ascii="宋体" w:hAnsi="宋体" w:eastAsia="宋体" w:cs="宋体"/>
                <w:sz w:val="24"/>
              </w:rPr>
            </w:pPr>
            <w:r>
              <w:rPr>
                <w:rFonts w:hint="eastAsia" w:ascii="宋体" w:hAnsi="宋体" w:eastAsia="宋体" w:cs="宋体"/>
                <w:sz w:val="24"/>
              </w:rPr>
              <w:t>指标值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09" w:type="dxa"/>
            <w:vAlign w:val="center"/>
          </w:tcPr>
          <w:p>
            <w:pPr>
              <w:pStyle w:val="195"/>
              <w:ind w:firstLine="360"/>
              <w:rPr>
                <w:rFonts w:hint="eastAsia" w:ascii="宋体" w:hAnsi="宋体" w:eastAsia="宋体" w:cs="宋体"/>
                <w:sz w:val="24"/>
              </w:rPr>
            </w:pPr>
            <w:r>
              <w:rPr>
                <w:rFonts w:hint="eastAsia" w:ascii="宋体" w:hAnsi="宋体" w:eastAsia="宋体" w:cs="宋体"/>
                <w:sz w:val="24"/>
              </w:rPr>
              <w:t>1</w:t>
            </w:r>
          </w:p>
        </w:tc>
        <w:tc>
          <w:tcPr>
            <w:tcW w:w="1388" w:type="dxa"/>
            <w:vMerge w:val="restart"/>
            <w:vAlign w:val="center"/>
          </w:tcPr>
          <w:p>
            <w:pPr>
              <w:pStyle w:val="195"/>
              <w:ind w:firstLine="36"/>
              <w:rPr>
                <w:rFonts w:hint="eastAsia" w:ascii="宋体" w:hAnsi="宋体" w:eastAsia="宋体" w:cs="宋体"/>
                <w:sz w:val="24"/>
              </w:rPr>
            </w:pPr>
            <w:r>
              <w:rPr>
                <w:rFonts w:hint="eastAsia" w:ascii="宋体" w:hAnsi="宋体" w:eastAsia="宋体" w:cs="宋体"/>
                <w:sz w:val="24"/>
              </w:rPr>
              <w:t>通用指标</w:t>
            </w:r>
          </w:p>
        </w:tc>
        <w:tc>
          <w:tcPr>
            <w:tcW w:w="1559" w:type="dxa"/>
            <w:vAlign w:val="center"/>
          </w:tcPr>
          <w:p>
            <w:pPr>
              <w:pStyle w:val="195"/>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rPr>
                <w:rFonts w:hint="eastAsia" w:ascii="宋体" w:hAnsi="宋体" w:eastAsia="宋体" w:cs="宋体"/>
                <w:sz w:val="24"/>
              </w:rPr>
            </w:pPr>
            <w:r>
              <w:rPr>
                <w:rFonts w:hint="eastAsia" w:ascii="宋体" w:hAnsi="宋体" w:eastAsia="宋体" w:cs="宋体"/>
                <w:sz w:val="24"/>
              </w:rPr>
              <w:t>产出数量</w:t>
            </w:r>
          </w:p>
        </w:tc>
        <w:tc>
          <w:tcPr>
            <w:tcW w:w="1444" w:type="dxa"/>
          </w:tcPr>
          <w:p>
            <w:pPr>
              <w:pStyle w:val="195"/>
              <w:rPr>
                <w:rFonts w:hint="eastAsia" w:ascii="宋体" w:hAnsi="宋体" w:eastAsia="宋体" w:cs="宋体"/>
                <w:sz w:val="24"/>
              </w:rPr>
            </w:pPr>
            <w:r>
              <w:rPr>
                <w:rFonts w:hint="eastAsia" w:ascii="宋体" w:hAnsi="宋体" w:eastAsia="宋体" w:cs="宋体"/>
                <w:sz w:val="24"/>
              </w:rPr>
              <w:t>一次性验收合格率</w:t>
            </w:r>
          </w:p>
        </w:tc>
        <w:tc>
          <w:tcPr>
            <w:tcW w:w="1551" w:type="dxa"/>
            <w:vAlign w:val="center"/>
          </w:tcPr>
          <w:p>
            <w:pPr>
              <w:pStyle w:val="195"/>
              <w:ind w:firstLine="360"/>
              <w:rPr>
                <w:rFonts w:hint="eastAsia" w:ascii="宋体" w:hAnsi="宋体" w:eastAsia="宋体" w:cs="宋体"/>
                <w:sz w:val="24"/>
              </w:rPr>
            </w:pPr>
            <w:r>
              <w:rPr>
                <w:rFonts w:hint="eastAsia" w:ascii="宋体" w:hAnsi="宋体" w:eastAsia="宋体" w:cs="宋体"/>
                <w:sz w:val="24"/>
              </w:rPr>
              <w:t>100%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09" w:type="dxa"/>
            <w:vAlign w:val="center"/>
          </w:tcPr>
          <w:p>
            <w:pPr>
              <w:pStyle w:val="195"/>
              <w:ind w:firstLine="360"/>
              <w:rPr>
                <w:rFonts w:hint="eastAsia" w:ascii="宋体" w:hAnsi="宋体" w:eastAsia="宋体" w:cs="宋体"/>
                <w:sz w:val="24"/>
              </w:rPr>
            </w:pPr>
            <w:r>
              <w:rPr>
                <w:rFonts w:hint="eastAsia" w:ascii="宋体" w:hAnsi="宋体" w:eastAsia="宋体" w:cs="宋体"/>
                <w:sz w:val="24"/>
              </w:rPr>
              <w:t>2</w:t>
            </w:r>
          </w:p>
        </w:tc>
        <w:tc>
          <w:tcPr>
            <w:tcW w:w="1388" w:type="dxa"/>
            <w:vMerge w:val="continue"/>
            <w:vAlign w:val="center"/>
          </w:tcPr>
          <w:p>
            <w:pPr>
              <w:pStyle w:val="195"/>
              <w:ind w:firstLine="360"/>
              <w:rPr>
                <w:rFonts w:hint="eastAsia" w:ascii="宋体" w:hAnsi="宋体" w:eastAsia="宋体" w:cs="宋体"/>
                <w:sz w:val="24"/>
              </w:rPr>
            </w:pPr>
          </w:p>
        </w:tc>
        <w:tc>
          <w:tcPr>
            <w:tcW w:w="1559" w:type="dxa"/>
            <w:vAlign w:val="center"/>
          </w:tcPr>
          <w:p>
            <w:pPr>
              <w:pStyle w:val="195"/>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rPr>
                <w:rFonts w:hint="eastAsia" w:ascii="宋体" w:hAnsi="宋体" w:eastAsia="宋体" w:cs="宋体"/>
                <w:sz w:val="24"/>
              </w:rPr>
            </w:pPr>
            <w:r>
              <w:rPr>
                <w:rFonts w:hint="eastAsia" w:ascii="宋体" w:hAnsi="宋体" w:eastAsia="宋体" w:cs="宋体"/>
                <w:sz w:val="24"/>
              </w:rPr>
              <w:t>产出质量</w:t>
            </w:r>
          </w:p>
        </w:tc>
        <w:tc>
          <w:tcPr>
            <w:tcW w:w="1444" w:type="dxa"/>
          </w:tcPr>
          <w:p>
            <w:pPr>
              <w:pStyle w:val="195"/>
              <w:rPr>
                <w:rFonts w:hint="eastAsia" w:ascii="宋体" w:hAnsi="宋体" w:eastAsia="宋体" w:cs="宋体"/>
                <w:sz w:val="24"/>
              </w:rPr>
            </w:pPr>
            <w:r>
              <w:rPr>
                <w:rFonts w:hint="eastAsia" w:ascii="宋体" w:hAnsi="宋体" w:eastAsia="宋体" w:cs="宋体"/>
                <w:sz w:val="24"/>
              </w:rPr>
              <w:t>安全事件发生次数</w:t>
            </w:r>
          </w:p>
        </w:tc>
        <w:tc>
          <w:tcPr>
            <w:tcW w:w="1551" w:type="dxa"/>
            <w:vAlign w:val="center"/>
          </w:tcPr>
          <w:p>
            <w:pPr>
              <w:pStyle w:val="195"/>
              <w:ind w:firstLine="360"/>
              <w:rPr>
                <w:rFonts w:hint="eastAsia" w:ascii="宋体" w:hAnsi="宋体" w:eastAsia="宋体" w:cs="宋体"/>
                <w:sz w:val="24"/>
              </w:rPr>
            </w:pPr>
            <w:r>
              <w:rPr>
                <w:rFonts w:hint="eastAsia" w:ascii="宋体" w:hAnsi="宋体" w:eastAsia="宋体" w:cs="宋体"/>
                <w:sz w:val="24"/>
              </w:rPr>
              <w:t>1次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09" w:type="dxa"/>
            <w:vAlign w:val="center"/>
          </w:tcPr>
          <w:p>
            <w:pPr>
              <w:pStyle w:val="195"/>
              <w:ind w:firstLine="360"/>
              <w:rPr>
                <w:rFonts w:hint="eastAsia" w:ascii="宋体" w:hAnsi="宋体" w:eastAsia="宋体" w:cs="宋体"/>
                <w:sz w:val="24"/>
              </w:rPr>
            </w:pPr>
            <w:r>
              <w:rPr>
                <w:rFonts w:hint="eastAsia" w:ascii="宋体" w:hAnsi="宋体" w:eastAsia="宋体" w:cs="宋体"/>
                <w:sz w:val="24"/>
              </w:rPr>
              <w:t>3</w:t>
            </w:r>
          </w:p>
        </w:tc>
        <w:tc>
          <w:tcPr>
            <w:tcW w:w="1388" w:type="dxa"/>
            <w:vMerge w:val="continue"/>
            <w:vAlign w:val="center"/>
          </w:tcPr>
          <w:p>
            <w:pPr>
              <w:pStyle w:val="195"/>
              <w:ind w:firstLine="360"/>
              <w:rPr>
                <w:rFonts w:hint="eastAsia" w:ascii="宋体" w:hAnsi="宋体" w:eastAsia="宋体" w:cs="宋体"/>
                <w:sz w:val="24"/>
              </w:rPr>
            </w:pPr>
          </w:p>
        </w:tc>
        <w:tc>
          <w:tcPr>
            <w:tcW w:w="1559" w:type="dxa"/>
            <w:vAlign w:val="center"/>
          </w:tcPr>
          <w:p>
            <w:pPr>
              <w:pStyle w:val="195"/>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rPr>
                <w:rFonts w:hint="eastAsia" w:ascii="宋体" w:hAnsi="宋体" w:eastAsia="宋体" w:cs="宋体"/>
                <w:sz w:val="24"/>
              </w:rPr>
            </w:pPr>
            <w:r>
              <w:rPr>
                <w:rFonts w:hint="eastAsia" w:ascii="宋体" w:hAnsi="宋体" w:eastAsia="宋体" w:cs="宋体"/>
                <w:sz w:val="24"/>
              </w:rPr>
              <w:t>产出时效</w:t>
            </w:r>
          </w:p>
        </w:tc>
        <w:tc>
          <w:tcPr>
            <w:tcW w:w="1444" w:type="dxa"/>
          </w:tcPr>
          <w:p>
            <w:pPr>
              <w:pStyle w:val="195"/>
              <w:rPr>
                <w:rFonts w:hint="eastAsia" w:ascii="宋体" w:hAnsi="宋体" w:eastAsia="宋体" w:cs="宋体"/>
                <w:sz w:val="24"/>
              </w:rPr>
            </w:pPr>
            <w:r>
              <w:rPr>
                <w:rFonts w:hint="eastAsia" w:ascii="宋体" w:hAnsi="宋体" w:eastAsia="宋体" w:cs="宋体"/>
                <w:sz w:val="24"/>
              </w:rPr>
              <w:t>项目建设周期</w:t>
            </w:r>
          </w:p>
        </w:tc>
        <w:tc>
          <w:tcPr>
            <w:tcW w:w="1551" w:type="dxa"/>
            <w:vAlign w:val="center"/>
          </w:tcPr>
          <w:p>
            <w:pPr>
              <w:pStyle w:val="195"/>
              <w:ind w:firstLine="360"/>
              <w:rPr>
                <w:rFonts w:hint="eastAsia" w:ascii="宋体" w:hAnsi="宋体" w:eastAsia="宋体" w:cs="宋体"/>
                <w:sz w:val="24"/>
              </w:rPr>
            </w:pPr>
            <w:r>
              <w:rPr>
                <w:rFonts w:hint="eastAsia" w:ascii="宋体" w:hAnsi="宋体" w:eastAsia="宋体" w:cs="宋体"/>
                <w:sz w:val="24"/>
              </w:rPr>
              <w:t>6个月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09" w:type="dxa"/>
            <w:vAlign w:val="center"/>
          </w:tcPr>
          <w:p>
            <w:pPr>
              <w:pStyle w:val="195"/>
              <w:ind w:firstLine="360"/>
              <w:rPr>
                <w:rFonts w:hint="eastAsia" w:ascii="宋体" w:hAnsi="宋体" w:eastAsia="宋体" w:cs="宋体"/>
                <w:sz w:val="24"/>
              </w:rPr>
            </w:pPr>
            <w:r>
              <w:rPr>
                <w:rFonts w:hint="eastAsia" w:ascii="宋体" w:hAnsi="宋体" w:eastAsia="宋体" w:cs="宋体"/>
                <w:sz w:val="24"/>
              </w:rPr>
              <w:t>4</w:t>
            </w:r>
          </w:p>
        </w:tc>
        <w:tc>
          <w:tcPr>
            <w:tcW w:w="1388" w:type="dxa"/>
            <w:vMerge w:val="continue"/>
            <w:vAlign w:val="center"/>
          </w:tcPr>
          <w:p>
            <w:pPr>
              <w:pStyle w:val="195"/>
              <w:ind w:firstLine="360"/>
              <w:rPr>
                <w:rFonts w:hint="eastAsia" w:ascii="宋体" w:hAnsi="宋体" w:eastAsia="宋体" w:cs="宋体"/>
                <w:sz w:val="24"/>
              </w:rPr>
            </w:pPr>
          </w:p>
        </w:tc>
        <w:tc>
          <w:tcPr>
            <w:tcW w:w="1559" w:type="dxa"/>
            <w:vAlign w:val="center"/>
          </w:tcPr>
          <w:p>
            <w:pPr>
              <w:pStyle w:val="195"/>
              <w:rPr>
                <w:rFonts w:hint="eastAsia" w:ascii="宋体" w:hAnsi="宋体" w:eastAsia="宋体" w:cs="宋体"/>
                <w:sz w:val="24"/>
              </w:rPr>
            </w:pPr>
            <w:r>
              <w:rPr>
                <w:rFonts w:hint="eastAsia" w:ascii="宋体" w:hAnsi="宋体" w:eastAsia="宋体" w:cs="宋体"/>
                <w:sz w:val="24"/>
              </w:rPr>
              <w:t>安全体系</w:t>
            </w:r>
          </w:p>
        </w:tc>
        <w:tc>
          <w:tcPr>
            <w:tcW w:w="1701" w:type="dxa"/>
            <w:vAlign w:val="center"/>
          </w:tcPr>
          <w:p>
            <w:pPr>
              <w:pStyle w:val="195"/>
              <w:rPr>
                <w:rFonts w:hint="eastAsia" w:ascii="宋体" w:hAnsi="宋体" w:eastAsia="宋体" w:cs="宋体"/>
                <w:sz w:val="24"/>
              </w:rPr>
            </w:pPr>
            <w:r>
              <w:rPr>
                <w:rFonts w:hint="eastAsia" w:ascii="宋体" w:hAnsi="宋体" w:eastAsia="宋体" w:cs="宋体"/>
                <w:sz w:val="24"/>
              </w:rPr>
              <w:t>安全建设水平</w:t>
            </w:r>
          </w:p>
        </w:tc>
        <w:tc>
          <w:tcPr>
            <w:tcW w:w="1444" w:type="dxa"/>
          </w:tcPr>
          <w:p>
            <w:pPr>
              <w:pStyle w:val="195"/>
              <w:rPr>
                <w:rFonts w:hint="eastAsia" w:ascii="宋体" w:hAnsi="宋体" w:eastAsia="宋体" w:cs="宋体"/>
                <w:sz w:val="24"/>
              </w:rPr>
            </w:pPr>
            <w:r>
              <w:rPr>
                <w:rFonts w:hint="eastAsia" w:ascii="宋体" w:hAnsi="宋体" w:eastAsia="宋体" w:cs="宋体"/>
                <w:sz w:val="24"/>
              </w:rPr>
              <w:t>网络安全措施</w:t>
            </w:r>
          </w:p>
        </w:tc>
        <w:tc>
          <w:tcPr>
            <w:tcW w:w="1551" w:type="dxa"/>
            <w:vAlign w:val="center"/>
          </w:tcPr>
          <w:p>
            <w:pPr>
              <w:pStyle w:val="195"/>
              <w:ind w:firstLine="360"/>
              <w:rPr>
                <w:rFonts w:hint="eastAsia" w:ascii="宋体" w:hAnsi="宋体" w:eastAsia="宋体" w:cs="宋体"/>
                <w:sz w:val="24"/>
              </w:rPr>
            </w:pPr>
            <w:r>
              <w:rPr>
                <w:rFonts w:hint="eastAsia" w:ascii="宋体" w:hAnsi="宋体" w:eastAsia="宋体" w:cs="宋体"/>
                <w:sz w:val="24"/>
              </w:rPr>
              <w:t>达标</w:t>
            </w:r>
          </w:p>
        </w:tc>
      </w:tr>
    </w:tbl>
    <w:p>
      <w:pPr>
        <w:rPr>
          <w:rFonts w:hint="eastAsia"/>
        </w:rPr>
      </w:pPr>
    </w:p>
    <w:p>
      <w:pPr>
        <w:widowControl/>
        <w:spacing w:line="240" w:lineRule="auto"/>
        <w:ind w:firstLine="0" w:firstLineChars="0"/>
        <w:jc w:val="left"/>
        <w:rPr>
          <w:rFonts w:hint="eastAsia"/>
        </w:rPr>
      </w:pPr>
      <w:r>
        <w:rPr>
          <w:rFonts w:hint="eastAsia"/>
        </w:rPr>
        <w:br w:type="page"/>
      </w:r>
    </w:p>
    <w:p>
      <w:pPr>
        <w:ind w:firstLine="602"/>
        <w:rPr>
          <w:rFonts w:hint="eastAsia" w:ascii="仿宋" w:hAnsi="仿宋" w:eastAsia="仿宋"/>
          <w:b/>
          <w:bCs/>
          <w:sz w:val="30"/>
          <w:szCs w:val="32"/>
        </w:rPr>
      </w:pPr>
      <w:bookmarkStart w:id="12" w:name="_Toc22967"/>
      <w:r>
        <w:rPr>
          <w:rFonts w:hint="eastAsia" w:ascii="仿宋" w:hAnsi="仿宋" w:eastAsia="仿宋"/>
          <w:b/>
          <w:bCs/>
          <w:sz w:val="30"/>
          <w:szCs w:val="32"/>
        </w:rPr>
        <w:t>2.3 技术绩效考核目标</w:t>
      </w:r>
      <w:bookmarkEnd w:id="12"/>
    </w:p>
    <w:p>
      <w:pPr>
        <w:pStyle w:val="194"/>
        <w:spacing w:before="156" w:after="156"/>
        <w:ind w:firstLine="360"/>
        <w:rPr>
          <w:sz w:val="28"/>
          <w:szCs w:val="56"/>
        </w:rPr>
      </w:pPr>
      <w:r>
        <w:rPr>
          <w:sz w:val="28"/>
          <w:szCs w:val="56"/>
        </w:rPr>
        <w:t>技术</w:t>
      </w:r>
      <w:r>
        <w:rPr>
          <w:rFonts w:hint="eastAsia"/>
          <w:sz w:val="28"/>
          <w:szCs w:val="56"/>
        </w:rPr>
        <w:t>绩效考核指标参数表</w:t>
      </w:r>
    </w:p>
    <w:tbl>
      <w:tblPr>
        <w:tblStyle w:val="35"/>
        <w:tblW w:w="850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750"/>
        <w:gridCol w:w="1515"/>
        <w:gridCol w:w="1480"/>
        <w:gridCol w:w="1701"/>
        <w:gridCol w:w="1781"/>
        <w:gridCol w:w="127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序号</w:t>
            </w:r>
          </w:p>
        </w:tc>
        <w:tc>
          <w:tcPr>
            <w:tcW w:w="1515"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一级指标</w:t>
            </w:r>
          </w:p>
        </w:tc>
        <w:tc>
          <w:tcPr>
            <w:tcW w:w="148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二级指标</w:t>
            </w:r>
          </w:p>
        </w:tc>
        <w:tc>
          <w:tcPr>
            <w:tcW w:w="1701" w:type="dxa"/>
            <w:vAlign w:val="center"/>
          </w:tcPr>
          <w:p>
            <w:pPr>
              <w:pStyle w:val="195"/>
              <w:widowControl w:val="0"/>
              <w:ind w:hanging="23"/>
              <w:jc w:val="center"/>
              <w:rPr>
                <w:rFonts w:hint="eastAsia" w:ascii="宋体" w:hAnsi="宋体" w:eastAsia="宋体" w:cs="宋体"/>
                <w:sz w:val="24"/>
              </w:rPr>
            </w:pPr>
            <w:r>
              <w:rPr>
                <w:rFonts w:hint="eastAsia" w:ascii="宋体" w:hAnsi="宋体" w:eastAsia="宋体" w:cs="宋体"/>
                <w:sz w:val="24"/>
              </w:rPr>
              <w:t>三级指标</w:t>
            </w:r>
          </w:p>
        </w:tc>
        <w:tc>
          <w:tcPr>
            <w:tcW w:w="1781" w:type="dxa"/>
          </w:tcPr>
          <w:p>
            <w:pPr>
              <w:pStyle w:val="195"/>
              <w:widowControl w:val="0"/>
              <w:jc w:val="center"/>
              <w:rPr>
                <w:rFonts w:hint="eastAsia" w:ascii="宋体" w:hAnsi="宋体" w:eastAsia="宋体" w:cs="宋体"/>
                <w:sz w:val="24"/>
              </w:rPr>
            </w:pPr>
            <w:r>
              <w:rPr>
                <w:rFonts w:hint="eastAsia" w:ascii="宋体" w:hAnsi="宋体" w:eastAsia="宋体" w:cs="宋体"/>
                <w:sz w:val="24"/>
              </w:rPr>
              <w:t>四级指标</w:t>
            </w:r>
          </w:p>
        </w:tc>
        <w:tc>
          <w:tcPr>
            <w:tcW w:w="1275"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rPr>
              <w:t>指标值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1</w:t>
            </w:r>
          </w:p>
        </w:tc>
        <w:tc>
          <w:tcPr>
            <w:tcW w:w="1515" w:type="dxa"/>
            <w:vMerge w:val="restart"/>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通用指标</w:t>
            </w:r>
          </w:p>
        </w:tc>
        <w:tc>
          <w:tcPr>
            <w:tcW w:w="148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widowControl w:val="0"/>
              <w:ind w:hanging="23"/>
              <w:jc w:val="center"/>
              <w:rPr>
                <w:rFonts w:hint="eastAsia" w:ascii="宋体" w:hAnsi="宋体" w:eastAsia="宋体" w:cs="宋体"/>
                <w:sz w:val="24"/>
              </w:rPr>
            </w:pPr>
            <w:r>
              <w:rPr>
                <w:rFonts w:hint="eastAsia" w:ascii="宋体" w:hAnsi="宋体" w:eastAsia="宋体" w:cs="宋体"/>
                <w:sz w:val="24"/>
              </w:rPr>
              <w:t>产出数量</w:t>
            </w:r>
          </w:p>
        </w:tc>
        <w:tc>
          <w:tcPr>
            <w:tcW w:w="1781"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rPr>
              <w:t>硬件设备购置完成率</w:t>
            </w:r>
          </w:p>
        </w:tc>
        <w:tc>
          <w:tcPr>
            <w:tcW w:w="1275"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rPr>
              <w:t>100%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2</w:t>
            </w:r>
          </w:p>
        </w:tc>
        <w:tc>
          <w:tcPr>
            <w:tcW w:w="1515" w:type="dxa"/>
            <w:vMerge w:val="continue"/>
            <w:vAlign w:val="center"/>
          </w:tcPr>
          <w:p>
            <w:pPr>
              <w:pStyle w:val="195"/>
              <w:widowControl w:val="0"/>
              <w:ind w:firstLine="32"/>
              <w:jc w:val="center"/>
              <w:rPr>
                <w:rFonts w:hint="eastAsia" w:ascii="宋体" w:hAnsi="宋体" w:eastAsia="宋体" w:cs="宋体"/>
                <w:sz w:val="24"/>
              </w:rPr>
            </w:pPr>
          </w:p>
        </w:tc>
        <w:tc>
          <w:tcPr>
            <w:tcW w:w="148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widowControl w:val="0"/>
              <w:ind w:hanging="23"/>
              <w:jc w:val="center"/>
              <w:rPr>
                <w:rFonts w:hint="eastAsia" w:ascii="宋体" w:hAnsi="宋体" w:eastAsia="宋体" w:cs="宋体"/>
                <w:sz w:val="24"/>
              </w:rPr>
            </w:pPr>
            <w:r>
              <w:rPr>
                <w:rFonts w:hint="eastAsia" w:ascii="宋体" w:hAnsi="宋体" w:eastAsia="宋体" w:cs="宋体"/>
                <w:sz w:val="24"/>
              </w:rPr>
              <w:t>产出质量</w:t>
            </w:r>
          </w:p>
        </w:tc>
        <w:tc>
          <w:tcPr>
            <w:tcW w:w="1781" w:type="dxa"/>
          </w:tcPr>
          <w:p>
            <w:pPr>
              <w:pStyle w:val="195"/>
              <w:widowControl w:val="0"/>
              <w:jc w:val="center"/>
              <w:rPr>
                <w:rFonts w:hint="eastAsia" w:ascii="宋体" w:hAnsi="宋体" w:eastAsia="宋体" w:cs="宋体"/>
                <w:sz w:val="24"/>
              </w:rPr>
            </w:pPr>
            <w:r>
              <w:rPr>
                <w:rFonts w:hint="eastAsia" w:ascii="宋体" w:hAnsi="宋体" w:eastAsia="宋体" w:cs="宋体"/>
                <w:sz w:val="24"/>
                <w:lang w:bidi="ar"/>
              </w:rPr>
              <w:t>网络安全等级达标</w:t>
            </w:r>
          </w:p>
        </w:tc>
        <w:tc>
          <w:tcPr>
            <w:tcW w:w="1275"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lang w:bidi="ar"/>
              </w:rPr>
              <w:t>完成等保三级备案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3</w:t>
            </w:r>
          </w:p>
        </w:tc>
        <w:tc>
          <w:tcPr>
            <w:tcW w:w="1515" w:type="dxa"/>
            <w:vMerge w:val="continue"/>
            <w:vAlign w:val="center"/>
          </w:tcPr>
          <w:p>
            <w:pPr>
              <w:pStyle w:val="195"/>
              <w:widowControl w:val="0"/>
              <w:ind w:firstLine="32"/>
              <w:jc w:val="center"/>
              <w:rPr>
                <w:rFonts w:hint="eastAsia" w:ascii="宋体" w:hAnsi="宋体" w:eastAsia="宋体" w:cs="宋体"/>
                <w:sz w:val="24"/>
              </w:rPr>
            </w:pPr>
          </w:p>
        </w:tc>
        <w:tc>
          <w:tcPr>
            <w:tcW w:w="148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产出指标</w:t>
            </w:r>
          </w:p>
        </w:tc>
        <w:tc>
          <w:tcPr>
            <w:tcW w:w="1701" w:type="dxa"/>
            <w:vAlign w:val="center"/>
          </w:tcPr>
          <w:p>
            <w:pPr>
              <w:pStyle w:val="195"/>
              <w:widowControl w:val="0"/>
              <w:ind w:hanging="23"/>
              <w:jc w:val="center"/>
              <w:rPr>
                <w:rFonts w:hint="eastAsia" w:ascii="宋体" w:hAnsi="宋体" w:eastAsia="宋体" w:cs="宋体"/>
                <w:sz w:val="24"/>
              </w:rPr>
            </w:pPr>
            <w:r>
              <w:rPr>
                <w:rFonts w:hint="eastAsia" w:ascii="宋体" w:hAnsi="宋体" w:eastAsia="宋体" w:cs="宋体"/>
                <w:sz w:val="24"/>
              </w:rPr>
              <w:t>产出质量</w:t>
            </w:r>
          </w:p>
        </w:tc>
        <w:tc>
          <w:tcPr>
            <w:tcW w:w="1781" w:type="dxa"/>
          </w:tcPr>
          <w:p>
            <w:pPr>
              <w:pStyle w:val="195"/>
              <w:widowControl w:val="0"/>
              <w:jc w:val="center"/>
              <w:rPr>
                <w:rFonts w:hint="eastAsia" w:ascii="宋体" w:hAnsi="宋体" w:eastAsia="宋体" w:cs="宋体"/>
                <w:sz w:val="24"/>
              </w:rPr>
            </w:pPr>
            <w:r>
              <w:rPr>
                <w:rFonts w:hint="eastAsia" w:ascii="宋体" w:hAnsi="宋体" w:eastAsia="宋体" w:cs="宋体"/>
                <w:sz w:val="24"/>
              </w:rPr>
              <w:t>安全测试达标</w:t>
            </w:r>
          </w:p>
        </w:tc>
        <w:tc>
          <w:tcPr>
            <w:tcW w:w="1275"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rPr>
              <w:t>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4</w:t>
            </w:r>
          </w:p>
        </w:tc>
        <w:tc>
          <w:tcPr>
            <w:tcW w:w="1515" w:type="dxa"/>
            <w:vMerge w:val="continue"/>
            <w:vAlign w:val="center"/>
          </w:tcPr>
          <w:p>
            <w:pPr>
              <w:pStyle w:val="195"/>
              <w:widowControl w:val="0"/>
              <w:ind w:firstLine="32"/>
              <w:jc w:val="center"/>
              <w:rPr>
                <w:rFonts w:hint="eastAsia" w:ascii="宋体" w:hAnsi="宋体" w:eastAsia="宋体" w:cs="宋体"/>
                <w:sz w:val="24"/>
              </w:rPr>
            </w:pPr>
          </w:p>
        </w:tc>
        <w:tc>
          <w:tcPr>
            <w:tcW w:w="148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安全体系</w:t>
            </w:r>
          </w:p>
        </w:tc>
        <w:tc>
          <w:tcPr>
            <w:tcW w:w="1701" w:type="dxa"/>
            <w:vAlign w:val="center"/>
          </w:tcPr>
          <w:p>
            <w:pPr>
              <w:pStyle w:val="195"/>
              <w:widowControl w:val="0"/>
              <w:ind w:hanging="23"/>
              <w:jc w:val="center"/>
              <w:rPr>
                <w:rFonts w:hint="eastAsia" w:ascii="宋体" w:hAnsi="宋体" w:eastAsia="宋体" w:cs="宋体"/>
                <w:sz w:val="24"/>
              </w:rPr>
            </w:pPr>
            <w:r>
              <w:rPr>
                <w:rFonts w:hint="eastAsia" w:ascii="宋体" w:hAnsi="宋体" w:eastAsia="宋体" w:cs="宋体"/>
                <w:sz w:val="24"/>
              </w:rPr>
              <w:t>安全建设水平</w:t>
            </w:r>
          </w:p>
        </w:tc>
        <w:tc>
          <w:tcPr>
            <w:tcW w:w="1781" w:type="dxa"/>
          </w:tcPr>
          <w:p>
            <w:pPr>
              <w:pStyle w:val="195"/>
              <w:widowControl w:val="0"/>
              <w:jc w:val="center"/>
              <w:rPr>
                <w:rFonts w:hint="eastAsia" w:ascii="宋体" w:hAnsi="宋体" w:eastAsia="宋体" w:cs="宋体"/>
                <w:sz w:val="24"/>
              </w:rPr>
            </w:pPr>
            <w:r>
              <w:rPr>
                <w:rFonts w:hint="eastAsia" w:ascii="宋体" w:hAnsi="宋体" w:eastAsia="宋体" w:cs="宋体"/>
                <w:sz w:val="24"/>
              </w:rPr>
              <w:t>安全设备购置完成率</w:t>
            </w:r>
          </w:p>
        </w:tc>
        <w:tc>
          <w:tcPr>
            <w:tcW w:w="1275" w:type="dxa"/>
            <w:vAlign w:val="center"/>
          </w:tcPr>
          <w:p>
            <w:pPr>
              <w:pStyle w:val="195"/>
              <w:widowControl w:val="0"/>
              <w:jc w:val="center"/>
              <w:rPr>
                <w:rFonts w:hint="eastAsia" w:ascii="宋体" w:hAnsi="宋体" w:eastAsia="宋体" w:cs="宋体"/>
                <w:sz w:val="24"/>
              </w:rPr>
            </w:pPr>
            <w:r>
              <w:rPr>
                <w:rFonts w:hint="eastAsia" w:ascii="宋体" w:hAnsi="宋体" w:eastAsia="宋体" w:cs="宋体"/>
                <w:sz w:val="24"/>
              </w:rPr>
              <w:t>100%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8" w:hRule="atLeast"/>
          <w:jc w:val="center"/>
        </w:trPr>
        <w:tc>
          <w:tcPr>
            <w:tcW w:w="750"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5</w:t>
            </w:r>
          </w:p>
        </w:tc>
        <w:tc>
          <w:tcPr>
            <w:tcW w:w="1515" w:type="dxa"/>
            <w:vAlign w:val="center"/>
          </w:tcPr>
          <w:p>
            <w:pPr>
              <w:pStyle w:val="195"/>
              <w:widowControl w:val="0"/>
              <w:ind w:firstLine="32"/>
              <w:jc w:val="center"/>
              <w:rPr>
                <w:rFonts w:hint="eastAsia" w:ascii="宋体" w:hAnsi="宋体" w:eastAsia="宋体" w:cs="宋体"/>
                <w:sz w:val="24"/>
              </w:rPr>
            </w:pPr>
            <w:r>
              <w:rPr>
                <w:rFonts w:hint="eastAsia" w:ascii="宋体" w:hAnsi="宋体" w:eastAsia="宋体" w:cs="宋体"/>
                <w:sz w:val="24"/>
              </w:rPr>
              <w:t>自定义指标</w:t>
            </w:r>
          </w:p>
        </w:tc>
        <w:tc>
          <w:tcPr>
            <w:tcW w:w="6237" w:type="dxa"/>
            <w:gridSpan w:val="4"/>
            <w:vAlign w:val="center"/>
          </w:tcPr>
          <w:p>
            <w:pPr>
              <w:pStyle w:val="195"/>
              <w:widowControl w:val="0"/>
              <w:ind w:firstLine="32"/>
              <w:rPr>
                <w:rFonts w:hint="eastAsia" w:ascii="宋体" w:hAnsi="宋体" w:eastAsia="宋体" w:cs="宋体"/>
                <w:sz w:val="24"/>
              </w:rPr>
            </w:pPr>
            <w:r>
              <w:rPr>
                <w:rFonts w:hint="eastAsia" w:ascii="宋体" w:hAnsi="宋体" w:eastAsia="宋体" w:cs="宋体"/>
                <w:sz w:val="24"/>
              </w:rPr>
              <w:t>(1)设备计划采购完成率100%，性能不低于系统软硬件配置清单中列出的配置参数；</w:t>
            </w:r>
          </w:p>
          <w:p>
            <w:pPr>
              <w:pStyle w:val="195"/>
              <w:widowControl w:val="0"/>
              <w:ind w:firstLine="32"/>
              <w:rPr>
                <w:rFonts w:hint="eastAsia" w:ascii="宋体" w:hAnsi="宋体" w:eastAsia="宋体" w:cs="宋体"/>
                <w:sz w:val="24"/>
              </w:rPr>
            </w:pPr>
            <w:r>
              <w:rPr>
                <w:rFonts w:hint="eastAsia" w:ascii="宋体" w:hAnsi="宋体" w:eastAsia="宋体" w:cs="宋体"/>
                <w:sz w:val="24"/>
              </w:rPr>
              <w:t>(2)设备按时到货率100%</w:t>
            </w:r>
          </w:p>
        </w:tc>
      </w:tr>
    </w:tbl>
    <w:p>
      <w:pPr>
        <w:pStyle w:val="62"/>
        <w:numPr>
          <w:ilvl w:val="255"/>
          <w:numId w:val="0"/>
        </w:numPr>
        <w:ind w:left="480"/>
        <w:rPr>
          <w:rFonts w:hint="eastAsia" w:ascii="仿宋" w:hAnsi="仿宋" w:eastAsia="仿宋"/>
          <w:sz w:val="24"/>
        </w:rPr>
      </w:pPr>
    </w:p>
    <w:p>
      <w:pPr>
        <w:pStyle w:val="2"/>
        <w:rPr>
          <w:rFonts w:hint="eastAsia"/>
        </w:rPr>
      </w:pPr>
      <w:r>
        <w:rPr>
          <w:rFonts w:hint="eastAsia"/>
        </w:rPr>
        <w:t>项目建设内容</w:t>
      </w:r>
    </w:p>
    <w:p>
      <w:pPr>
        <w:ind w:firstLine="0" w:firstLineChars="0"/>
        <w:rPr>
          <w:rFonts w:hint="eastAsia" w:ascii="仿宋" w:hAnsi="仿宋" w:eastAsia="仿宋"/>
        </w:rPr>
      </w:pPr>
      <w:r>
        <w:rPr>
          <w:rFonts w:hint="eastAsia" w:ascii="仿宋" w:hAnsi="仿宋" w:eastAsia="仿宋"/>
        </w:rPr>
        <w:t>本项目需采购网络安全设备、机房环控系统、机房监控系统和</w:t>
      </w:r>
      <w:r>
        <w:rPr>
          <w:rFonts w:ascii="仿宋" w:hAnsi="仿宋" w:eastAsia="仿宋"/>
        </w:rPr>
        <w:t>UPS</w:t>
      </w:r>
      <w:r>
        <w:rPr>
          <w:rFonts w:hint="eastAsia" w:ascii="仿宋" w:hAnsi="仿宋" w:eastAsia="仿宋"/>
        </w:rPr>
        <w:t>系统所需的软硬件设备，并进行安装调试、集成测试等工作。</w:t>
      </w:r>
    </w:p>
    <w:p>
      <w:pPr>
        <w:pStyle w:val="62"/>
        <w:widowControl/>
        <w:numPr>
          <w:ilvl w:val="0"/>
          <w:numId w:val="8"/>
        </w:numPr>
        <w:ind w:left="1042" w:leftChars="250" w:hanging="442" w:firstLineChars="0"/>
        <w:jc w:val="left"/>
        <w:rPr>
          <w:rFonts w:hint="eastAsia" w:ascii="宋体" w:hAnsi="宋体"/>
          <w:b/>
          <w:bCs/>
          <w:sz w:val="24"/>
        </w:rPr>
      </w:pPr>
      <w:bookmarkStart w:id="13" w:name="_Toc168042546"/>
      <w:r>
        <w:rPr>
          <w:rFonts w:hint="eastAsia" w:ascii="宋体" w:hAnsi="宋体"/>
          <w:b/>
          <w:bCs/>
          <w:sz w:val="24"/>
        </w:rPr>
        <w:t>网络安全</w:t>
      </w:r>
      <w:bookmarkEnd w:id="13"/>
      <w:r>
        <w:rPr>
          <w:rFonts w:hint="eastAsia" w:ascii="宋体" w:hAnsi="宋体"/>
          <w:b/>
          <w:bCs/>
          <w:sz w:val="24"/>
        </w:rPr>
        <w:t>设备</w:t>
      </w:r>
    </w:p>
    <w:p>
      <w:pPr>
        <w:pStyle w:val="62"/>
        <w:widowControl/>
        <w:numPr>
          <w:ilvl w:val="0"/>
          <w:numId w:val="9"/>
        </w:numPr>
        <w:ind w:left="1104" w:leftChars="276" w:hanging="442" w:firstLineChars="0"/>
        <w:jc w:val="left"/>
        <w:rPr>
          <w:rFonts w:hint="eastAsia" w:ascii="宋体" w:hAnsi="宋体"/>
          <w:sz w:val="24"/>
        </w:rPr>
      </w:pPr>
      <w:r>
        <w:rPr>
          <w:rFonts w:hint="eastAsia" w:ascii="宋体" w:hAnsi="宋体"/>
          <w:sz w:val="24"/>
        </w:rPr>
        <w:t>新增两台下一代防火墙设备；</w:t>
      </w:r>
    </w:p>
    <w:p>
      <w:pPr>
        <w:pStyle w:val="62"/>
        <w:widowControl/>
        <w:numPr>
          <w:ilvl w:val="0"/>
          <w:numId w:val="9"/>
        </w:numPr>
        <w:ind w:left="1104" w:leftChars="276" w:hanging="442" w:firstLineChars="0"/>
        <w:jc w:val="left"/>
        <w:rPr>
          <w:rFonts w:hint="eastAsia" w:ascii="宋体" w:hAnsi="宋体"/>
          <w:sz w:val="24"/>
        </w:rPr>
      </w:pPr>
      <w:r>
        <w:rPr>
          <w:rFonts w:hint="eastAsia" w:ascii="宋体" w:hAnsi="宋体"/>
          <w:sz w:val="24"/>
        </w:rPr>
        <w:t>新增一台上网行为管理设备；</w:t>
      </w:r>
    </w:p>
    <w:p>
      <w:pPr>
        <w:pStyle w:val="62"/>
        <w:widowControl/>
        <w:numPr>
          <w:ilvl w:val="0"/>
          <w:numId w:val="9"/>
        </w:numPr>
        <w:ind w:left="1104" w:leftChars="276" w:hanging="442" w:firstLineChars="0"/>
        <w:jc w:val="left"/>
        <w:rPr>
          <w:rFonts w:hint="eastAsia" w:ascii="宋体" w:hAnsi="宋体"/>
          <w:sz w:val="24"/>
        </w:rPr>
      </w:pPr>
      <w:r>
        <w:rPr>
          <w:rFonts w:hint="eastAsia" w:ascii="宋体" w:hAnsi="宋体"/>
          <w:sz w:val="24"/>
        </w:rPr>
        <w:t>新增运维管理区域：部署一台日志审计、一台堡垒机、一套安全感知平台、一套网管系统；</w:t>
      </w:r>
    </w:p>
    <w:p>
      <w:pPr>
        <w:pStyle w:val="62"/>
        <w:widowControl/>
        <w:numPr>
          <w:ilvl w:val="0"/>
          <w:numId w:val="9"/>
        </w:numPr>
        <w:ind w:left="1104" w:leftChars="276" w:hanging="442" w:firstLineChars="0"/>
        <w:jc w:val="left"/>
        <w:rPr>
          <w:rFonts w:hint="eastAsia" w:ascii="宋体" w:hAnsi="宋体"/>
          <w:sz w:val="24"/>
        </w:rPr>
      </w:pPr>
      <w:r>
        <w:rPr>
          <w:rFonts w:hint="eastAsia" w:ascii="宋体" w:hAnsi="宋体"/>
          <w:sz w:val="24"/>
        </w:rPr>
        <w:t>新增核心交换机及接入交换机设备。</w:t>
      </w:r>
    </w:p>
    <w:p>
      <w:pPr>
        <w:pStyle w:val="62"/>
        <w:widowControl/>
        <w:numPr>
          <w:ilvl w:val="0"/>
          <w:numId w:val="8"/>
        </w:numPr>
        <w:ind w:left="1042" w:leftChars="250" w:hanging="442" w:firstLineChars="0"/>
        <w:jc w:val="left"/>
        <w:rPr>
          <w:rFonts w:hint="eastAsia" w:ascii="宋体" w:hAnsi="宋体"/>
          <w:b/>
          <w:bCs/>
          <w:sz w:val="24"/>
        </w:rPr>
      </w:pPr>
      <w:bookmarkStart w:id="14" w:name="_Toc168042547"/>
      <w:bookmarkStart w:id="15" w:name="_Toc162970363"/>
      <w:r>
        <w:rPr>
          <w:rFonts w:hint="eastAsia" w:ascii="宋体" w:hAnsi="宋体"/>
          <w:b/>
          <w:bCs/>
          <w:sz w:val="24"/>
        </w:rPr>
        <w:t>机房环控系统</w:t>
      </w:r>
      <w:bookmarkEnd w:id="14"/>
      <w:bookmarkEnd w:id="15"/>
    </w:p>
    <w:p>
      <w:pPr>
        <w:ind w:left="180" w:leftChars="75"/>
        <w:rPr>
          <w:rFonts w:hint="eastAsia"/>
        </w:rPr>
      </w:pPr>
      <w:r>
        <w:rPr>
          <w:rFonts w:hint="eastAsia"/>
        </w:rPr>
        <w:t>新增机房环控系统，</w:t>
      </w:r>
      <w:r>
        <w:t>对</w:t>
      </w:r>
      <w:r>
        <w:rPr>
          <w:rFonts w:hint="eastAsia"/>
        </w:rPr>
        <w:t>市机管局局本部</w:t>
      </w:r>
      <w:r>
        <w:t>机房内的</w:t>
      </w:r>
      <w:r>
        <w:rPr>
          <w:rFonts w:hint="eastAsia"/>
        </w:rPr>
        <w:t>UPS</w:t>
      </w:r>
      <w:r>
        <w:t>、环境</w:t>
      </w:r>
      <w:r>
        <w:rPr>
          <w:rFonts w:hint="eastAsia"/>
        </w:rPr>
        <w:t>类</w:t>
      </w:r>
      <w:r>
        <w:t>等设备进行集中联网监控，并具备远程监控管理功能</w:t>
      </w:r>
      <w:r>
        <w:rPr>
          <w:rFonts w:hint="eastAsia"/>
        </w:rPr>
        <w:t>。</w:t>
      </w:r>
    </w:p>
    <w:p>
      <w:pPr>
        <w:pStyle w:val="62"/>
        <w:widowControl/>
        <w:numPr>
          <w:ilvl w:val="0"/>
          <w:numId w:val="8"/>
        </w:numPr>
        <w:ind w:left="1042" w:leftChars="250" w:hanging="442" w:firstLineChars="0"/>
        <w:jc w:val="left"/>
        <w:rPr>
          <w:rFonts w:hint="eastAsia" w:ascii="宋体" w:hAnsi="宋体"/>
          <w:b/>
          <w:bCs/>
          <w:sz w:val="24"/>
        </w:rPr>
      </w:pPr>
      <w:bookmarkStart w:id="16" w:name="_Toc162970364"/>
      <w:bookmarkStart w:id="17" w:name="_Toc168042548"/>
      <w:r>
        <w:rPr>
          <w:rFonts w:hint="eastAsia" w:ascii="宋体" w:hAnsi="宋体"/>
          <w:b/>
          <w:bCs/>
          <w:sz w:val="24"/>
        </w:rPr>
        <w:t>机房监控系统</w:t>
      </w:r>
      <w:bookmarkEnd w:id="16"/>
      <w:bookmarkEnd w:id="17"/>
    </w:p>
    <w:p>
      <w:pPr>
        <w:ind w:left="180" w:leftChars="75"/>
        <w:rPr>
          <w:rFonts w:hint="eastAsia"/>
        </w:rPr>
      </w:pPr>
      <w:r>
        <w:rPr>
          <w:rFonts w:hint="eastAsia"/>
        </w:rPr>
        <w:t>对市机管局局本部机房监控系统升级改造，替换现有监控主机、监控摄像头，满足</w:t>
      </w:r>
      <w:r>
        <w:t>6</w:t>
      </w:r>
      <w:r>
        <w:rPr>
          <w:rFonts w:hint="eastAsia"/>
        </w:rPr>
        <w:t>个月视频存储需求。</w:t>
      </w:r>
    </w:p>
    <w:p>
      <w:pPr>
        <w:pStyle w:val="62"/>
        <w:widowControl/>
        <w:numPr>
          <w:ilvl w:val="0"/>
          <w:numId w:val="8"/>
        </w:numPr>
        <w:ind w:left="1042" w:leftChars="250" w:hanging="442" w:firstLineChars="0"/>
        <w:jc w:val="left"/>
        <w:rPr>
          <w:rFonts w:hint="eastAsia" w:ascii="宋体" w:hAnsi="宋体"/>
          <w:b/>
          <w:bCs/>
          <w:sz w:val="24"/>
        </w:rPr>
      </w:pPr>
      <w:bookmarkStart w:id="18" w:name="_Toc168042549"/>
      <w:bookmarkStart w:id="19" w:name="_Toc162970366"/>
      <w:r>
        <w:rPr>
          <w:rFonts w:hint="eastAsia" w:ascii="宋体" w:hAnsi="宋体"/>
          <w:b/>
          <w:bCs/>
          <w:sz w:val="24"/>
        </w:rPr>
        <w:t>UPS系统</w:t>
      </w:r>
      <w:bookmarkEnd w:id="18"/>
      <w:bookmarkEnd w:id="19"/>
    </w:p>
    <w:p>
      <w:pPr>
        <w:ind w:left="180" w:leftChars="75"/>
        <w:rPr>
          <w:rFonts w:hint="eastAsia"/>
        </w:rPr>
      </w:pPr>
      <w:r>
        <w:rPr>
          <w:rFonts w:hint="eastAsia"/>
        </w:rPr>
        <w:t>对市机管局4</w:t>
      </w:r>
      <w:r>
        <w:t>25</w:t>
      </w:r>
      <w:r>
        <w:rPr>
          <w:rFonts w:hint="eastAsia"/>
        </w:rPr>
        <w:t>机房UPS主机设备进行替换，</w:t>
      </w:r>
      <w:r>
        <w:rPr>
          <w:rFonts w:hint="eastAsia" w:ascii="仿宋" w:hAnsi="仿宋" w:eastAsia="仿宋"/>
        </w:rPr>
        <w:t>新增接入3个机柜的PDU</w:t>
      </w:r>
      <w:r>
        <w:rPr>
          <w:rFonts w:hint="eastAsia"/>
        </w:rPr>
        <w:t>。</w:t>
      </w:r>
    </w:p>
    <w:p>
      <w:pPr>
        <w:pStyle w:val="3"/>
        <w:ind w:left="0" w:firstLine="600" w:firstLineChars="200"/>
        <w:rPr>
          <w:rFonts w:hint="eastAsia" w:ascii="仿宋" w:hAnsi="仿宋" w:eastAsia="仿宋"/>
        </w:rPr>
      </w:pPr>
      <w:r>
        <w:rPr>
          <w:rFonts w:hint="eastAsia" w:ascii="仿宋" w:hAnsi="仿宋" w:eastAsia="仿宋"/>
        </w:rPr>
        <w:t>硬件购置清单</w:t>
      </w:r>
    </w:p>
    <w:tbl>
      <w:tblPr>
        <w:tblStyle w:val="35"/>
        <w:tblW w:w="5000" w:type="pct"/>
        <w:tblInd w:w="0" w:type="dxa"/>
        <w:tblLayout w:type="autofit"/>
        <w:tblCellMar>
          <w:top w:w="0" w:type="dxa"/>
          <w:left w:w="108" w:type="dxa"/>
          <w:bottom w:w="0" w:type="dxa"/>
          <w:right w:w="108" w:type="dxa"/>
        </w:tblCellMar>
      </w:tblPr>
      <w:tblGrid>
        <w:gridCol w:w="825"/>
        <w:gridCol w:w="778"/>
        <w:gridCol w:w="1305"/>
        <w:gridCol w:w="3507"/>
        <w:gridCol w:w="706"/>
        <w:gridCol w:w="706"/>
        <w:gridCol w:w="701"/>
      </w:tblGrid>
      <w:tr>
        <w:tblPrEx>
          <w:tblCellMar>
            <w:top w:w="0" w:type="dxa"/>
            <w:left w:w="108" w:type="dxa"/>
            <w:bottom w:w="0" w:type="dxa"/>
            <w:right w:w="108" w:type="dxa"/>
          </w:tblCellMar>
        </w:tblPrEx>
        <w:trPr>
          <w:trHeight w:val="480" w:hRule="atLeast"/>
          <w:tblHeader/>
        </w:trPr>
        <w:tc>
          <w:tcPr>
            <w:tcW w:w="48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序号</w:t>
            </w:r>
          </w:p>
        </w:tc>
        <w:tc>
          <w:tcPr>
            <w:tcW w:w="456"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名称</w:t>
            </w:r>
          </w:p>
        </w:tc>
        <w:tc>
          <w:tcPr>
            <w:tcW w:w="765"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类别</w:t>
            </w:r>
          </w:p>
        </w:tc>
        <w:tc>
          <w:tcPr>
            <w:tcW w:w="2056"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产品配置</w:t>
            </w:r>
          </w:p>
        </w:tc>
        <w:tc>
          <w:tcPr>
            <w:tcW w:w="414"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保修年限</w:t>
            </w:r>
          </w:p>
        </w:tc>
        <w:tc>
          <w:tcPr>
            <w:tcW w:w="414"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数量</w:t>
            </w:r>
          </w:p>
        </w:tc>
        <w:tc>
          <w:tcPr>
            <w:tcW w:w="412" w:type="pct"/>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单位</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网络型数据采集机：</w:t>
            </w:r>
            <w:r>
              <w:rPr>
                <w:rFonts w:hint="eastAsia" w:ascii="仿宋" w:hAnsi="仿宋" w:eastAsia="仿宋"/>
                <w:color w:val="000000"/>
              </w:rPr>
              <w:br w:type="textWrapping"/>
            </w:r>
            <w:r>
              <w:rPr>
                <w:rFonts w:hint="eastAsia" w:ascii="仿宋" w:hAnsi="仿宋" w:eastAsia="仿宋"/>
                <w:color w:val="000000"/>
              </w:rPr>
              <w:t>8路光电隔离遥信接口输入</w:t>
            </w:r>
            <w:r>
              <w:rPr>
                <w:rFonts w:hint="eastAsia" w:ascii="仿宋" w:hAnsi="仿宋" w:eastAsia="仿宋"/>
                <w:color w:val="000000"/>
              </w:rPr>
              <w:br w:type="textWrapping"/>
            </w:r>
            <w:r>
              <w:rPr>
                <w:rFonts w:hint="eastAsia" w:ascii="仿宋" w:hAnsi="仿宋" w:eastAsia="仿宋"/>
                <w:color w:val="000000"/>
              </w:rPr>
              <w:t>8路光电隔离继电器遥控输出，8路模拟信号遥测接口输入</w:t>
            </w:r>
            <w:r>
              <w:rPr>
                <w:rFonts w:hint="eastAsia" w:ascii="仿宋" w:hAnsi="仿宋" w:eastAsia="仿宋"/>
                <w:color w:val="000000"/>
              </w:rPr>
              <w:br w:type="textWrapping"/>
            </w:r>
            <w:r>
              <w:rPr>
                <w:rFonts w:hint="eastAsia" w:ascii="仿宋" w:hAnsi="仿宋" w:eastAsia="仿宋"/>
                <w:color w:val="000000"/>
              </w:rPr>
              <w:t>1个100M全双工 以太口（物理接口：RJ-45插座）</w:t>
            </w:r>
            <w:r>
              <w:rPr>
                <w:rFonts w:hint="eastAsia" w:ascii="仿宋" w:hAnsi="仿宋" w:eastAsia="仿宋"/>
                <w:color w:val="000000"/>
              </w:rPr>
              <w:br w:type="textWrapping"/>
            </w:r>
            <w:r>
              <w:rPr>
                <w:rFonts w:hint="eastAsia" w:ascii="仿宋" w:hAnsi="仿宋" w:eastAsia="仿宋"/>
                <w:color w:val="000000"/>
              </w:rPr>
              <w:t>4路RS485-422或RS232独立串口的协议以太转换接口（DB9，公 头）</w:t>
            </w:r>
            <w:r>
              <w:rPr>
                <w:rFonts w:hint="eastAsia" w:ascii="仿宋" w:hAnsi="仿宋" w:eastAsia="仿宋"/>
                <w:color w:val="000000"/>
              </w:rPr>
              <w:br w:type="textWrapping"/>
            </w:r>
            <w:r>
              <w:rPr>
                <w:rFonts w:hint="eastAsia" w:ascii="仿宋" w:hAnsi="仿宋" w:eastAsia="仿宋"/>
                <w:color w:val="000000"/>
              </w:rPr>
              <w:t>1个4路DIP拨码开关</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2</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温湿度传感器：</w:t>
            </w:r>
            <w:r>
              <w:rPr>
                <w:rFonts w:hint="eastAsia" w:ascii="仿宋" w:hAnsi="仿宋" w:eastAsia="仿宋"/>
                <w:color w:val="000000"/>
              </w:rPr>
              <w:br w:type="textWrapping"/>
            </w:r>
            <w:r>
              <w:rPr>
                <w:rFonts w:hint="eastAsia" w:ascii="仿宋" w:hAnsi="仿宋" w:eastAsia="仿宋"/>
                <w:color w:val="000000"/>
              </w:rPr>
              <w:t>额定电压 DC12V(10-24V AC/DC)</w:t>
            </w:r>
            <w:r>
              <w:rPr>
                <w:rFonts w:hint="eastAsia" w:ascii="仿宋" w:hAnsi="仿宋" w:eastAsia="仿宋"/>
                <w:color w:val="000000"/>
              </w:rPr>
              <w:br w:type="textWrapping"/>
            </w:r>
            <w:r>
              <w:rPr>
                <w:rFonts w:hint="eastAsia" w:ascii="仿宋" w:hAnsi="仿宋" w:eastAsia="仿宋"/>
                <w:color w:val="000000"/>
              </w:rPr>
              <w:t xml:space="preserve">测量范围 温度：0℃～50℃ </w:t>
            </w:r>
            <w:r>
              <w:rPr>
                <w:rFonts w:hint="eastAsia" w:ascii="仿宋" w:hAnsi="仿宋" w:eastAsia="仿宋"/>
                <w:color w:val="000000"/>
              </w:rPr>
              <w:br w:type="textWrapping"/>
            </w:r>
            <w:r>
              <w:rPr>
                <w:rFonts w:hint="eastAsia" w:ascii="仿宋" w:hAnsi="仿宋" w:eastAsia="仿宋"/>
                <w:color w:val="000000"/>
              </w:rPr>
              <w:t>湿度：0～100%rh</w:t>
            </w:r>
            <w:r>
              <w:rPr>
                <w:rFonts w:hint="eastAsia" w:ascii="仿宋" w:hAnsi="仿宋" w:eastAsia="仿宋"/>
                <w:color w:val="000000"/>
              </w:rPr>
              <w:br w:type="textWrapping"/>
            </w:r>
            <w:r>
              <w:rPr>
                <w:rFonts w:hint="eastAsia" w:ascii="仿宋" w:hAnsi="仿宋" w:eastAsia="仿宋"/>
                <w:color w:val="000000"/>
              </w:rPr>
              <w:t>测量精度 温度：±0.5℃</w:t>
            </w:r>
            <w:r>
              <w:rPr>
                <w:rFonts w:hint="eastAsia" w:ascii="仿宋" w:hAnsi="仿宋" w:eastAsia="仿宋"/>
                <w:color w:val="000000"/>
              </w:rPr>
              <w:br w:type="textWrapping"/>
            </w:r>
            <w:r>
              <w:rPr>
                <w:rFonts w:hint="eastAsia" w:ascii="仿宋" w:hAnsi="仿宋" w:eastAsia="仿宋"/>
                <w:color w:val="000000"/>
              </w:rPr>
              <w:t xml:space="preserve">湿度：±3%rh </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4</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只</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烟雾传感器：</w:t>
            </w:r>
            <w:r>
              <w:rPr>
                <w:rFonts w:hint="eastAsia" w:ascii="仿宋" w:hAnsi="仿宋" w:eastAsia="仿宋"/>
                <w:color w:val="000000"/>
              </w:rPr>
              <w:br w:type="textWrapping"/>
            </w:r>
            <w:r>
              <w:rPr>
                <w:rFonts w:hint="eastAsia" w:ascii="仿宋" w:hAnsi="仿宋" w:eastAsia="仿宋"/>
                <w:color w:val="000000"/>
              </w:rPr>
              <w:t>电源：12～60V DC</w:t>
            </w:r>
            <w:r>
              <w:rPr>
                <w:rFonts w:hint="eastAsia" w:ascii="仿宋" w:hAnsi="仿宋" w:eastAsia="仿宋"/>
                <w:color w:val="000000"/>
              </w:rPr>
              <w:br w:type="textWrapping"/>
            </w:r>
            <w:r>
              <w:rPr>
                <w:rFonts w:hint="eastAsia" w:ascii="仿宋" w:hAnsi="仿宋" w:eastAsia="仿宋"/>
                <w:color w:val="000000"/>
              </w:rPr>
              <w:t>工作电流：&lt;10 mA</w:t>
            </w:r>
            <w:r>
              <w:rPr>
                <w:rFonts w:hint="eastAsia" w:ascii="仿宋" w:hAnsi="仿宋" w:eastAsia="仿宋"/>
                <w:color w:val="000000"/>
              </w:rPr>
              <w:br w:type="textWrapping"/>
            </w:r>
            <w:r>
              <w:rPr>
                <w:rFonts w:hint="eastAsia" w:ascii="仿宋" w:hAnsi="仿宋" w:eastAsia="仿宋"/>
                <w:color w:val="000000"/>
              </w:rPr>
              <w:t>输出形式：缺省设置警戒状态输出开路</w:t>
            </w:r>
            <w:r>
              <w:rPr>
                <w:rFonts w:hint="eastAsia" w:ascii="仿宋" w:hAnsi="仿宋" w:eastAsia="仿宋"/>
                <w:color w:val="000000"/>
              </w:rPr>
              <w:br w:type="textWrapping"/>
            </w:r>
            <w:r>
              <w:rPr>
                <w:rFonts w:hint="eastAsia" w:ascii="仿宋" w:hAnsi="仿宋" w:eastAsia="仿宋"/>
                <w:color w:val="000000"/>
              </w:rPr>
              <w:t>烟雾灵敏度：符合UL217号标准</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4</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只</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4</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水浸传感器：</w:t>
            </w:r>
            <w:r>
              <w:rPr>
                <w:rFonts w:hint="eastAsia" w:ascii="仿宋" w:hAnsi="仿宋" w:eastAsia="仿宋"/>
                <w:color w:val="000000"/>
              </w:rPr>
              <w:br w:type="textWrapping"/>
            </w:r>
            <w:r>
              <w:rPr>
                <w:rFonts w:hint="eastAsia" w:ascii="仿宋" w:hAnsi="仿宋" w:eastAsia="仿宋"/>
                <w:color w:val="000000"/>
              </w:rPr>
              <w:t>供电电源：12-60V</w:t>
            </w:r>
            <w:r>
              <w:rPr>
                <w:rFonts w:ascii="仿宋" w:hAnsi="仿宋" w:eastAsia="仿宋"/>
                <w:color w:val="000000"/>
              </w:rPr>
              <w:t xml:space="preserve"> </w:t>
            </w:r>
            <w:r>
              <w:rPr>
                <w:rFonts w:hint="eastAsia" w:ascii="仿宋" w:hAnsi="仿宋" w:eastAsia="仿宋"/>
                <w:color w:val="000000"/>
              </w:rPr>
              <w:t>DC</w:t>
            </w:r>
            <w:r>
              <w:rPr>
                <w:rFonts w:hint="eastAsia" w:ascii="仿宋" w:hAnsi="仿宋" w:eastAsia="仿宋"/>
                <w:color w:val="000000"/>
              </w:rPr>
              <w:br w:type="textWrapping"/>
            </w:r>
            <w:r>
              <w:rPr>
                <w:rFonts w:hint="eastAsia" w:ascii="仿宋" w:hAnsi="仿宋" w:eastAsia="仿宋"/>
                <w:color w:val="000000"/>
              </w:rPr>
              <w:t xml:space="preserve">灵敏度范围                                                                                                                                  </w:t>
            </w:r>
            <w:r>
              <w:rPr>
                <w:rFonts w:hint="eastAsia" w:ascii="仿宋" w:hAnsi="仿宋" w:eastAsia="仿宋"/>
                <w:color w:val="000000"/>
              </w:rPr>
              <w:br w:type="textWrapping"/>
            </w:r>
            <w:r>
              <w:rPr>
                <w:rFonts w:hint="eastAsia" w:ascii="仿宋" w:hAnsi="仿宋" w:eastAsia="仿宋"/>
                <w:color w:val="000000"/>
              </w:rPr>
              <w:t xml:space="preserve">档位1：0-250KΩ                                                 </w:t>
            </w:r>
            <w:r>
              <w:rPr>
                <w:rFonts w:hint="eastAsia" w:ascii="仿宋" w:hAnsi="仿宋" w:eastAsia="仿宋"/>
                <w:color w:val="000000"/>
              </w:rPr>
              <w:br w:type="textWrapping"/>
            </w:r>
            <w:r>
              <w:rPr>
                <w:rFonts w:hint="eastAsia" w:ascii="仿宋" w:hAnsi="仿宋" w:eastAsia="仿宋"/>
                <w:color w:val="000000"/>
              </w:rPr>
              <w:t xml:space="preserve">档位2：0-600KΩ                                                   </w:t>
            </w:r>
            <w:r>
              <w:rPr>
                <w:rFonts w:hint="eastAsia" w:ascii="仿宋" w:hAnsi="仿宋" w:eastAsia="仿宋"/>
                <w:color w:val="000000"/>
              </w:rPr>
              <w:br w:type="textWrapping"/>
            </w:r>
            <w:r>
              <w:rPr>
                <w:rFonts w:hint="eastAsia" w:ascii="仿宋" w:hAnsi="仿宋" w:eastAsia="仿宋"/>
                <w:color w:val="000000"/>
              </w:rPr>
              <w:t xml:space="preserve">档位3：0-5MΩ                                                       </w:t>
            </w:r>
            <w:r>
              <w:rPr>
                <w:rFonts w:hint="eastAsia" w:ascii="仿宋" w:hAnsi="仿宋" w:eastAsia="仿宋"/>
                <w:color w:val="000000"/>
              </w:rPr>
              <w:br w:type="textWrapping"/>
            </w:r>
            <w:r>
              <w:rPr>
                <w:rFonts w:hint="eastAsia" w:ascii="仿宋" w:hAnsi="仿宋" w:eastAsia="仿宋"/>
                <w:color w:val="000000"/>
              </w:rPr>
              <w:t xml:space="preserve">档位4：0-50MΩ（高灵敏档，遇到极少水即可告警）                              </w:t>
            </w:r>
            <w:r>
              <w:rPr>
                <w:rFonts w:hint="eastAsia" w:ascii="仿宋" w:hAnsi="仿宋" w:eastAsia="仿宋"/>
                <w:color w:val="000000"/>
              </w:rPr>
              <w:br w:type="textWrapping"/>
            </w:r>
            <w:r>
              <w:rPr>
                <w:rFonts w:hint="eastAsia" w:ascii="仿宋" w:hAnsi="仿宋" w:eastAsia="仿宋"/>
                <w:color w:val="000000"/>
              </w:rPr>
              <w:t>输出形式：干接点，水浸检出时输出ON/OFF可跳线选</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只</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5</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GSM网络型短信报警机：</w:t>
            </w:r>
            <w:r>
              <w:rPr>
                <w:rFonts w:hint="eastAsia" w:ascii="仿宋" w:hAnsi="仿宋" w:eastAsia="仿宋"/>
                <w:color w:val="000000"/>
              </w:rPr>
              <w:br w:type="textWrapping"/>
            </w:r>
            <w:r>
              <w:rPr>
                <w:rFonts w:hint="eastAsia" w:ascii="仿宋" w:hAnsi="仿宋" w:eastAsia="仿宋"/>
                <w:color w:val="000000"/>
              </w:rPr>
              <w:t>通过以太网收发短信</w:t>
            </w:r>
            <w:r>
              <w:rPr>
                <w:rFonts w:hint="eastAsia" w:ascii="仿宋" w:hAnsi="仿宋" w:eastAsia="仿宋"/>
                <w:color w:val="000000"/>
              </w:rPr>
              <w:br w:type="textWrapping"/>
            </w:r>
            <w:r>
              <w:rPr>
                <w:rFonts w:hint="eastAsia" w:ascii="仿宋" w:hAnsi="仿宋" w:eastAsia="仿宋"/>
                <w:color w:val="000000"/>
              </w:rPr>
              <w:t>内置4G模块</w:t>
            </w:r>
            <w:r>
              <w:rPr>
                <w:rFonts w:hint="eastAsia" w:ascii="仿宋" w:hAnsi="仿宋" w:eastAsia="仿宋"/>
                <w:color w:val="000000"/>
              </w:rPr>
              <w:br w:type="textWrapping"/>
            </w:r>
            <w:r>
              <w:rPr>
                <w:rFonts w:hint="eastAsia" w:ascii="仿宋" w:hAnsi="仿宋" w:eastAsia="仿宋"/>
                <w:color w:val="000000"/>
              </w:rPr>
              <w:t>12V电源供电</w:t>
            </w:r>
            <w:r>
              <w:rPr>
                <w:rFonts w:hint="eastAsia" w:ascii="仿宋" w:hAnsi="仿宋" w:eastAsia="仿宋"/>
                <w:color w:val="000000"/>
              </w:rPr>
              <w:br w:type="textWrapping"/>
            </w:r>
            <w:r>
              <w:rPr>
                <w:rFonts w:hint="eastAsia" w:ascii="仿宋" w:hAnsi="仿宋" w:eastAsia="仿宋"/>
                <w:color w:val="000000"/>
              </w:rPr>
              <w:t>支持UDP/TCP网络协议</w:t>
            </w:r>
            <w:r>
              <w:rPr>
                <w:rFonts w:hint="eastAsia" w:ascii="仿宋" w:hAnsi="仿宋" w:eastAsia="仿宋"/>
                <w:color w:val="000000"/>
              </w:rPr>
              <w:br w:type="textWrapping"/>
            </w:r>
            <w:r>
              <w:rPr>
                <w:rFonts w:hint="eastAsia" w:ascii="仿宋" w:hAnsi="仿宋" w:eastAsia="仿宋"/>
                <w:color w:val="000000"/>
              </w:rPr>
              <w:t>支持Windows、Linux等流行操作系统</w:t>
            </w:r>
            <w:r>
              <w:rPr>
                <w:rFonts w:hint="eastAsia" w:ascii="仿宋" w:hAnsi="仿宋" w:eastAsia="仿宋"/>
                <w:color w:val="000000"/>
              </w:rPr>
              <w:br w:type="textWrapping"/>
            </w:r>
            <w:r>
              <w:rPr>
                <w:rFonts w:hint="eastAsia" w:ascii="仿宋" w:hAnsi="仿宋" w:eastAsia="仿宋"/>
                <w:color w:val="000000"/>
              </w:rPr>
              <w:t>接口：10Base-T Ethernet RJ45网口</w:t>
            </w:r>
            <w:r>
              <w:rPr>
                <w:rFonts w:hint="eastAsia" w:ascii="仿宋" w:hAnsi="仿宋" w:eastAsia="仿宋"/>
                <w:color w:val="000000"/>
              </w:rPr>
              <w:br w:type="textWrapping"/>
            </w:r>
            <w:r>
              <w:rPr>
                <w:rFonts w:hint="eastAsia" w:ascii="仿宋" w:hAnsi="仿宋" w:eastAsia="仿宋"/>
                <w:color w:val="000000"/>
              </w:rPr>
              <w:t>协议：UDP/TCP</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6</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环境监控系统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监控服务终端：网卡支持网络唤醒</w:t>
            </w:r>
            <w:r>
              <w:rPr>
                <w:rFonts w:ascii="仿宋" w:hAnsi="仿宋" w:eastAsia="仿宋"/>
                <w:color w:val="000000"/>
              </w:rPr>
              <w:t>/PXE功能2*WGI211AT千兆网卡芯片</w:t>
            </w:r>
            <w:r>
              <w:rPr>
                <w:rFonts w:ascii="仿宋" w:hAnsi="仿宋" w:eastAsia="仿宋"/>
                <w:color w:val="000000"/>
              </w:rPr>
              <w:br w:type="textWrapping"/>
            </w:r>
            <w:r>
              <w:rPr>
                <w:rFonts w:hint="eastAsia" w:ascii="仿宋" w:hAnsi="仿宋" w:eastAsia="仿宋"/>
                <w:color w:val="000000"/>
              </w:rPr>
              <w:t>操作系统</w:t>
            </w:r>
            <w:r>
              <w:rPr>
                <w:rFonts w:ascii="仿宋" w:hAnsi="仿宋" w:eastAsia="仿宋"/>
                <w:color w:val="000000"/>
              </w:rPr>
              <w:t xml:space="preserve">Linux主板位 ITX(9.6*9.6寸)、M-ATX </w:t>
            </w:r>
            <w:r>
              <w:rPr>
                <w:rFonts w:ascii="仿宋" w:hAnsi="仿宋" w:eastAsia="仿宋"/>
                <w:color w:val="000000"/>
              </w:rPr>
              <w:br w:type="textWrapping"/>
            </w:r>
            <w:r>
              <w:rPr>
                <w:rFonts w:ascii="仿宋" w:hAnsi="仿宋" w:eastAsia="仿宋"/>
                <w:color w:val="000000"/>
              </w:rPr>
              <w:t>COM串口2* DB9 RS232串口(1*485)</w:t>
            </w:r>
            <w:r>
              <w:rPr>
                <w:rFonts w:ascii="仿宋" w:hAnsi="仿宋" w:eastAsia="仿宋"/>
                <w:color w:val="000000"/>
              </w:rPr>
              <w:br w:type="textWrapping"/>
            </w:r>
            <w:r>
              <w:rPr>
                <w:rFonts w:hint="eastAsia" w:ascii="仿宋" w:hAnsi="仿宋" w:eastAsia="仿宋"/>
                <w:color w:val="000000"/>
              </w:rPr>
              <w:t>显示接口</w:t>
            </w:r>
            <w:r>
              <w:rPr>
                <w:rFonts w:ascii="仿宋" w:hAnsi="仿宋" w:eastAsia="仿宋"/>
                <w:color w:val="000000"/>
              </w:rPr>
              <w:t xml:space="preserve"> 1*VGA，1*HDMI</w:t>
            </w:r>
            <w:r>
              <w:rPr>
                <w:rFonts w:ascii="仿宋" w:hAnsi="仿宋" w:eastAsia="仿宋"/>
                <w:color w:val="000000"/>
              </w:rPr>
              <w:br w:type="textWrapping"/>
            </w:r>
            <w:r>
              <w:rPr>
                <w:rFonts w:ascii="仿宋" w:hAnsi="仿宋" w:eastAsia="仿宋"/>
                <w:color w:val="000000"/>
              </w:rPr>
              <w:t xml:space="preserve">M.SATA 1*MSATA插槽,支持SSD(默认) </w:t>
            </w:r>
            <w:r>
              <w:rPr>
                <w:rFonts w:ascii="仿宋" w:hAnsi="仿宋" w:eastAsia="仿宋"/>
                <w:color w:val="000000"/>
              </w:rPr>
              <w:br w:type="textWrapping"/>
            </w:r>
            <w:r>
              <w:rPr>
                <w:rFonts w:hint="eastAsia" w:ascii="仿宋" w:hAnsi="仿宋" w:eastAsia="仿宋"/>
                <w:color w:val="000000"/>
              </w:rPr>
              <w:t>网络接口</w:t>
            </w:r>
            <w:r>
              <w:rPr>
                <w:rFonts w:ascii="仿宋" w:hAnsi="仿宋" w:eastAsia="仿宋"/>
                <w:color w:val="000000"/>
              </w:rPr>
              <w:t xml:space="preserve"> 2*RJ-45</w:t>
            </w:r>
            <w:r>
              <w:rPr>
                <w:rFonts w:ascii="仿宋" w:hAnsi="仿宋" w:eastAsia="仿宋"/>
                <w:color w:val="000000"/>
              </w:rPr>
              <w:br w:type="textWrapping"/>
            </w:r>
            <w:r>
              <w:rPr>
                <w:rFonts w:hint="eastAsia" w:ascii="仿宋" w:hAnsi="仿宋" w:eastAsia="仿宋"/>
                <w:color w:val="000000"/>
              </w:rPr>
              <w:t>动力环境模块：实现直观显示环境温湿度、漏水、</w:t>
            </w:r>
            <w:r>
              <w:rPr>
                <w:rFonts w:ascii="仿宋" w:hAnsi="仿宋" w:eastAsia="仿宋"/>
                <w:color w:val="000000"/>
              </w:rPr>
              <w:t xml:space="preserve">UPS，通知报警事件，报警确认等，包括： 主页、当前告警、集中预警、分组显示、远程控制等功能项； </w:t>
            </w:r>
            <w:r>
              <w:rPr>
                <w:rFonts w:ascii="仿宋" w:hAnsi="仿宋" w:eastAsia="仿宋"/>
                <w:color w:val="000000"/>
              </w:rPr>
              <w:br w:type="textWrapping"/>
            </w:r>
            <w:r>
              <w:rPr>
                <w:rFonts w:hint="eastAsia" w:ascii="仿宋" w:hAnsi="仿宋" w:eastAsia="仿宋"/>
                <w:color w:val="000000"/>
              </w:rPr>
              <w:t>数据分析模块：对于所有采集参数做报警事件查询和统计，历史数据分类查询和统计，报表和打印管理，数据过滤统计，曲线比较分析，报警确认记录、报警日志记录等功能项；</w:t>
            </w:r>
            <w:r>
              <w:rPr>
                <w:rFonts w:ascii="仿宋" w:hAnsi="仿宋" w:eastAsia="仿宋"/>
                <w:color w:val="000000"/>
              </w:rPr>
              <w:t xml:space="preserve"> </w:t>
            </w:r>
            <w:r>
              <w:rPr>
                <w:rFonts w:ascii="仿宋" w:hAnsi="仿宋" w:eastAsia="仿宋"/>
                <w:color w:val="000000"/>
              </w:rPr>
              <w:br w:type="textWrapping"/>
            </w:r>
            <w:r>
              <w:rPr>
                <w:rFonts w:hint="eastAsia" w:ascii="仿宋" w:hAnsi="仿宋" w:eastAsia="仿宋"/>
                <w:color w:val="000000"/>
              </w:rPr>
              <w:t>监控管理模块、系统管理模块等</w:t>
            </w:r>
            <w:r>
              <w:rPr>
                <w:rFonts w:ascii="仿宋" w:hAnsi="仿宋" w:eastAsia="仿宋"/>
                <w:color w:val="000000"/>
              </w:rPr>
              <w:br w:type="textWrapping"/>
            </w:r>
            <w:r>
              <w:rPr>
                <w:rFonts w:hint="eastAsia" w:ascii="仿宋" w:hAnsi="仿宋" w:eastAsia="仿宋"/>
                <w:color w:val="000000"/>
              </w:rPr>
              <w:t>含物联网关软件：利用带智能监控接口的设备，比如</w:t>
            </w:r>
            <w:r>
              <w:rPr>
                <w:rFonts w:ascii="仿宋" w:hAnsi="仿宋" w:eastAsia="仿宋"/>
                <w:color w:val="000000"/>
              </w:rPr>
              <w:t>UPS、精密空调上自带的RS485/232/网络通讯接口，读取电流表、电压表里的数据，或者设备的运行数据、实时显示并保存各监测参数的数值。实时设定修</w:t>
            </w:r>
            <w:r>
              <w:rPr>
                <w:rFonts w:hint="eastAsia" w:ascii="仿宋" w:hAnsi="仿宋" w:eastAsia="仿宋"/>
                <w:color w:val="000000"/>
              </w:rPr>
              <w:t>改电压、电流的上限值与下限值，当监测的电压或电流超过设定的允许值时，系统诊断为有故障（报警）事件发生，监控主系统发出报警。</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套</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7</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视频监控系统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高清摄像头：</w:t>
            </w:r>
            <w:r>
              <w:rPr>
                <w:rFonts w:hint="eastAsia" w:ascii="仿宋" w:hAnsi="仿宋" w:eastAsia="仿宋"/>
                <w:color w:val="000000"/>
              </w:rPr>
              <w:br w:type="textWrapping"/>
            </w:r>
            <w:r>
              <w:rPr>
                <w:rFonts w:hint="eastAsia" w:ascii="仿宋" w:hAnsi="仿宋" w:eastAsia="仿宋"/>
                <w:color w:val="000000"/>
              </w:rPr>
              <w:t>400万像素半球网络摄像机</w:t>
            </w:r>
            <w:r>
              <w:rPr>
                <w:rFonts w:hint="eastAsia" w:ascii="仿宋" w:hAnsi="仿宋" w:eastAsia="仿宋"/>
                <w:color w:val="000000"/>
              </w:rPr>
              <w:br w:type="textWrapping"/>
            </w:r>
            <w:r>
              <w:rPr>
                <w:rFonts w:hint="eastAsia" w:ascii="仿宋" w:hAnsi="仿宋" w:eastAsia="仿宋"/>
                <w:color w:val="000000"/>
              </w:rPr>
              <w:t>最大图像尺寸：2560*1440</w:t>
            </w:r>
            <w:r>
              <w:rPr>
                <w:rFonts w:hint="eastAsia" w:ascii="仿宋" w:hAnsi="仿宋" w:eastAsia="仿宋"/>
                <w:color w:val="000000"/>
              </w:rPr>
              <w:br w:type="textWrapping"/>
            </w:r>
            <w:r>
              <w:rPr>
                <w:rFonts w:hint="eastAsia" w:ascii="仿宋" w:hAnsi="仿宋" w:eastAsia="仿宋"/>
                <w:color w:val="000000"/>
              </w:rPr>
              <w:t>支持H.265/H.264</w:t>
            </w:r>
            <w:r>
              <w:rPr>
                <w:rFonts w:hint="eastAsia" w:ascii="仿宋" w:hAnsi="仿宋" w:eastAsia="仿宋"/>
                <w:color w:val="000000"/>
              </w:rPr>
              <w:br w:type="textWrapping"/>
            </w:r>
            <w:r>
              <w:rPr>
                <w:rFonts w:hint="eastAsia" w:ascii="仿宋" w:hAnsi="仿宋" w:eastAsia="仿宋"/>
                <w:color w:val="000000"/>
              </w:rPr>
              <w:t>1个RJ45 10M/100M自适应以太网口</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5</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只</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8</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视频监控系统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硬盘录像机：</w:t>
            </w:r>
            <w:r>
              <w:rPr>
                <w:rFonts w:hint="eastAsia" w:ascii="仿宋" w:hAnsi="仿宋" w:eastAsia="仿宋"/>
                <w:color w:val="000000"/>
              </w:rPr>
              <w:br w:type="textWrapping"/>
            </w:r>
            <w:r>
              <w:rPr>
                <w:rFonts w:hint="eastAsia" w:ascii="仿宋" w:hAnsi="仿宋" w:eastAsia="仿宋"/>
                <w:color w:val="000000"/>
              </w:rPr>
              <w:t>存储接口：8个SATA接口</w:t>
            </w:r>
            <w:r>
              <w:rPr>
                <w:rFonts w:hint="eastAsia" w:ascii="仿宋" w:hAnsi="仿宋" w:eastAsia="仿宋"/>
                <w:color w:val="000000"/>
              </w:rPr>
              <w:br w:type="textWrapping"/>
            </w:r>
            <w:r>
              <w:rPr>
                <w:rFonts w:hint="eastAsia" w:ascii="仿宋" w:hAnsi="仿宋" w:eastAsia="仿宋"/>
                <w:color w:val="000000"/>
              </w:rPr>
              <w:t>视频接口：1×HDMI，1×VGA</w:t>
            </w:r>
            <w:r>
              <w:rPr>
                <w:rFonts w:hint="eastAsia" w:ascii="仿宋" w:hAnsi="仿宋" w:eastAsia="仿宋"/>
                <w:color w:val="000000"/>
              </w:rPr>
              <w:br w:type="textWrapping"/>
            </w:r>
            <w:r>
              <w:rPr>
                <w:rFonts w:hint="eastAsia" w:ascii="仿宋" w:hAnsi="仿宋" w:eastAsia="仿宋"/>
                <w:color w:val="000000"/>
              </w:rPr>
              <w:t>网络接口：2×RJ45 10/100/1000Mbps自适应以太网口</w:t>
            </w:r>
            <w:r>
              <w:rPr>
                <w:rFonts w:hint="eastAsia" w:ascii="仿宋" w:hAnsi="仿宋" w:eastAsia="仿宋"/>
                <w:color w:val="000000"/>
              </w:rPr>
              <w:br w:type="textWrapping"/>
            </w:r>
            <w:r>
              <w:rPr>
                <w:rFonts w:hint="eastAsia" w:ascii="仿宋" w:hAnsi="仿宋" w:eastAsia="仿宋"/>
                <w:color w:val="000000"/>
              </w:rPr>
              <w:t>接入能力：8路H.264、H.265格式高清码流接入</w:t>
            </w:r>
            <w:r>
              <w:rPr>
                <w:rFonts w:hint="eastAsia" w:ascii="仿宋" w:hAnsi="仿宋" w:eastAsia="仿宋"/>
                <w:color w:val="000000"/>
              </w:rPr>
              <w:br w:type="textWrapping"/>
            </w:r>
            <w:r>
              <w:rPr>
                <w:rFonts w:hint="eastAsia" w:ascii="仿宋" w:hAnsi="仿宋" w:eastAsia="仿宋"/>
                <w:color w:val="000000"/>
              </w:rPr>
              <w:t>显示能力：最大支持4K输出</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9</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视频监控系统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监控硬盘：</w:t>
            </w:r>
            <w:r>
              <w:rPr>
                <w:rFonts w:hint="eastAsia" w:ascii="仿宋" w:hAnsi="仿宋" w:eastAsia="仿宋"/>
                <w:color w:val="000000"/>
              </w:rPr>
              <w:br w:type="textWrapping"/>
            </w:r>
            <w:r>
              <w:rPr>
                <w:rFonts w:hint="eastAsia" w:ascii="仿宋" w:hAnsi="仿宋" w:eastAsia="仿宋"/>
                <w:color w:val="000000"/>
              </w:rPr>
              <w:t>6T，SATA硬盘</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8</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块</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10</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视频监控系统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POE交换机：</w:t>
            </w:r>
            <w:r>
              <w:rPr>
                <w:rFonts w:hint="eastAsia" w:ascii="仿宋" w:hAnsi="仿宋" w:eastAsia="仿宋"/>
                <w:color w:val="000000"/>
              </w:rPr>
              <w:br w:type="textWrapping"/>
            </w:r>
            <w:r>
              <w:rPr>
                <w:rFonts w:hint="eastAsia" w:ascii="仿宋" w:hAnsi="仿宋" w:eastAsia="仿宋"/>
                <w:color w:val="000000"/>
              </w:rPr>
              <w:t>提供8个千兆PoE电口、2个千兆光口</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r>
      <w:tr>
        <w:tblPrEx>
          <w:tblCellMar>
            <w:top w:w="0" w:type="dxa"/>
            <w:left w:w="108" w:type="dxa"/>
            <w:bottom w:w="0" w:type="dxa"/>
            <w:right w:w="108" w:type="dxa"/>
          </w:tblCellMar>
        </w:tblPrEx>
        <w:trPr>
          <w:trHeight w:val="552"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11</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机房建设</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视频监控系统</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视频监控系统 辅材：</w:t>
            </w:r>
            <w:r>
              <w:rPr>
                <w:rFonts w:hint="eastAsia" w:ascii="仿宋" w:hAnsi="仿宋" w:eastAsia="仿宋"/>
                <w:color w:val="000000"/>
              </w:rPr>
              <w:br w:type="textWrapping"/>
            </w:r>
            <w:r>
              <w:rPr>
                <w:rFonts w:hint="eastAsia" w:ascii="仿宋" w:hAnsi="仿宋" w:eastAsia="仿宋"/>
                <w:color w:val="000000"/>
              </w:rPr>
              <w:t>网线、水晶头等辅材</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项</w:t>
            </w:r>
          </w:p>
        </w:tc>
      </w:tr>
      <w:tr>
        <w:tblPrEx>
          <w:tblCellMar>
            <w:top w:w="0" w:type="dxa"/>
            <w:left w:w="108" w:type="dxa"/>
            <w:bottom w:w="0" w:type="dxa"/>
            <w:right w:w="108" w:type="dxa"/>
          </w:tblCellMar>
        </w:tblPrEx>
        <w:trPr>
          <w:trHeight w:val="276"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12</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动力设备</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UPS</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UPS主机：</w:t>
            </w:r>
            <w:r>
              <w:rPr>
                <w:rFonts w:hint="eastAsia" w:ascii="仿宋" w:hAnsi="仿宋" w:eastAsia="仿宋"/>
                <w:color w:val="000000"/>
              </w:rPr>
              <w:br w:type="textWrapping"/>
            </w:r>
            <w:r>
              <w:rPr>
                <w:rFonts w:hint="eastAsia" w:ascii="仿宋" w:hAnsi="仿宋" w:eastAsia="仿宋"/>
                <w:color w:val="000000"/>
              </w:rPr>
              <w:t>支持20kw</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r>
      <w:tr>
        <w:tblPrEx>
          <w:tblCellMar>
            <w:top w:w="0" w:type="dxa"/>
            <w:left w:w="108" w:type="dxa"/>
            <w:bottom w:w="0" w:type="dxa"/>
            <w:right w:w="108" w:type="dxa"/>
          </w:tblCellMar>
        </w:tblPrEx>
        <w:trPr>
          <w:trHeight w:val="276" w:hRule="atLeast"/>
        </w:trPr>
        <w:tc>
          <w:tcPr>
            <w:tcW w:w="484"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13</w:t>
            </w:r>
          </w:p>
        </w:tc>
        <w:tc>
          <w:tcPr>
            <w:tcW w:w="456"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动力设备</w:t>
            </w:r>
          </w:p>
        </w:tc>
        <w:tc>
          <w:tcPr>
            <w:tcW w:w="7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UPS</w:t>
            </w:r>
          </w:p>
        </w:tc>
        <w:tc>
          <w:tcPr>
            <w:tcW w:w="2056"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机柜配套PDU及线材：包含8位10A及10位16A PDU、3*2.5PDU线材等</w:t>
            </w:r>
          </w:p>
        </w:tc>
        <w:tc>
          <w:tcPr>
            <w:tcW w:w="414"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3</w:t>
            </w:r>
          </w:p>
        </w:tc>
        <w:tc>
          <w:tcPr>
            <w:tcW w:w="414"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412"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项</w:t>
            </w:r>
          </w:p>
        </w:tc>
      </w:tr>
    </w:tbl>
    <w:p>
      <w:pPr>
        <w:rPr>
          <w:rFonts w:hint="eastAsia"/>
        </w:rPr>
      </w:pPr>
    </w:p>
    <w:p>
      <w:pPr>
        <w:pStyle w:val="3"/>
        <w:ind w:left="0" w:firstLine="600" w:firstLineChars="200"/>
        <w:rPr>
          <w:rFonts w:hint="eastAsia"/>
        </w:rPr>
      </w:pPr>
      <w:r>
        <w:rPr>
          <w:rFonts w:hint="eastAsia"/>
        </w:rPr>
        <w:t>安全产品购置清单</w:t>
      </w:r>
    </w:p>
    <w:tbl>
      <w:tblPr>
        <w:tblStyle w:val="35"/>
        <w:tblW w:w="5000" w:type="pct"/>
        <w:tblInd w:w="0" w:type="dxa"/>
        <w:tblLayout w:type="autofit"/>
        <w:tblCellMar>
          <w:top w:w="0" w:type="dxa"/>
          <w:left w:w="108" w:type="dxa"/>
          <w:bottom w:w="0" w:type="dxa"/>
          <w:right w:w="108" w:type="dxa"/>
        </w:tblCellMar>
      </w:tblPr>
      <w:tblGrid>
        <w:gridCol w:w="576"/>
        <w:gridCol w:w="645"/>
        <w:gridCol w:w="964"/>
        <w:gridCol w:w="2898"/>
        <w:gridCol w:w="577"/>
        <w:gridCol w:w="684"/>
        <w:gridCol w:w="1092"/>
        <w:gridCol w:w="1092"/>
      </w:tblGrid>
      <w:tr>
        <w:tblPrEx>
          <w:tblCellMar>
            <w:top w:w="0" w:type="dxa"/>
            <w:left w:w="108" w:type="dxa"/>
            <w:bottom w:w="0" w:type="dxa"/>
            <w:right w:w="108" w:type="dxa"/>
          </w:tblCellMar>
        </w:tblPrEx>
        <w:trPr>
          <w:trHeight w:val="480" w:hRule="atLeast"/>
          <w:tblHeader/>
        </w:trPr>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序号</w:t>
            </w:r>
          </w:p>
        </w:tc>
        <w:tc>
          <w:tcPr>
            <w:tcW w:w="378"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hint="eastAsia" w:ascii="仿宋" w:hAnsi="仿宋" w:eastAsia="仿宋"/>
                <w:b/>
                <w:bCs/>
                <w:color w:val="000000"/>
              </w:rPr>
            </w:pPr>
            <w:r>
              <w:rPr>
                <w:rFonts w:hint="eastAsia" w:ascii="仿宋" w:hAnsi="仿宋" w:eastAsia="仿宋"/>
                <w:b/>
                <w:bCs/>
                <w:color w:val="000000"/>
              </w:rPr>
              <w:t>名称</w:t>
            </w:r>
          </w:p>
        </w:tc>
        <w:tc>
          <w:tcPr>
            <w:tcW w:w="565"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类别</w:t>
            </w:r>
          </w:p>
        </w:tc>
        <w:tc>
          <w:tcPr>
            <w:tcW w:w="1699"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产品配置</w:t>
            </w:r>
          </w:p>
        </w:tc>
        <w:tc>
          <w:tcPr>
            <w:tcW w:w="338"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保修年限</w:t>
            </w:r>
          </w:p>
        </w:tc>
        <w:tc>
          <w:tcPr>
            <w:tcW w:w="401"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数量</w:t>
            </w:r>
          </w:p>
        </w:tc>
        <w:tc>
          <w:tcPr>
            <w:tcW w:w="640" w:type="pct"/>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单位</w:t>
            </w:r>
          </w:p>
        </w:tc>
        <w:tc>
          <w:tcPr>
            <w:tcW w:w="640" w:type="pct"/>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eastAsia" w:ascii="仿宋" w:hAnsi="仿宋" w:eastAsia="仿宋"/>
                <w:b/>
                <w:bCs/>
                <w:color w:val="000000"/>
              </w:rPr>
            </w:pPr>
            <w:r>
              <w:rPr>
                <w:rFonts w:hint="eastAsia" w:ascii="仿宋" w:hAnsi="仿宋" w:eastAsia="仿宋"/>
                <w:b/>
                <w:bCs/>
                <w:color w:val="000000"/>
              </w:rPr>
              <w:t>关键设备详细技术参数</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边界安全</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防火墙</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性能参数：网络层吞吐量：39Gbps，应用层吞吐量：9Gbps，并发连接数：4000万，新建连接数（CPS）：23万。</w:t>
            </w:r>
            <w:r>
              <w:rPr>
                <w:rFonts w:hint="eastAsia" w:ascii="仿宋" w:hAnsi="仿宋" w:eastAsia="仿宋"/>
                <w:color w:val="000000"/>
              </w:rPr>
              <w:br w:type="textWrapping"/>
            </w:r>
            <w:r>
              <w:rPr>
                <w:rFonts w:hint="eastAsia" w:ascii="仿宋" w:hAnsi="仿宋" w:eastAsia="仿宋"/>
                <w:color w:val="000000"/>
              </w:rPr>
              <w:t>尺寸：2U，内存16G，128GB SSD，冗余电源，6千兆电口+4千兆光口SFP+4万兆光口SFP+。</w:t>
            </w:r>
            <w:r>
              <w:rPr>
                <w:rFonts w:hint="eastAsia" w:ascii="仿宋" w:hAnsi="仿宋" w:eastAsia="仿宋"/>
                <w:color w:val="000000"/>
              </w:rPr>
              <w:br w:type="textWrapping"/>
            </w:r>
            <w:r>
              <w:rPr>
                <w:rFonts w:hint="eastAsia" w:ascii="仿宋" w:hAnsi="仿宋" w:eastAsia="仿宋"/>
                <w:color w:val="000000"/>
              </w:rPr>
              <w:t>三年硬件质保。三年防火墙的入侵防御、防病毒规则库更新、软件升级，原厂上门服务。</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2</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.1</w:t>
            </w:r>
          </w:p>
        </w:tc>
      </w:tr>
      <w:tr>
        <w:tblPrEx>
          <w:tblCellMar>
            <w:top w:w="0" w:type="dxa"/>
            <w:left w:w="108" w:type="dxa"/>
            <w:bottom w:w="0" w:type="dxa"/>
            <w:right w:w="108" w:type="dxa"/>
          </w:tblCellMar>
        </w:tblPrEx>
        <w:trPr>
          <w:trHeight w:val="828"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2</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主机及计算机环境安全</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上网行为管理产品</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性能参数：网络层吞吐量（大包）：5.8Gb，应用层吞吐量：750Mb，带宽性能：500Mb，</w:t>
            </w:r>
            <w:r>
              <w:rPr>
                <w:rFonts w:hint="eastAsia" w:ascii="仿宋" w:hAnsi="仿宋" w:eastAsia="仿宋"/>
                <w:color w:val="000000"/>
              </w:rPr>
              <w:br w:type="textWrapping"/>
            </w:r>
            <w:r>
              <w:rPr>
                <w:rFonts w:hint="eastAsia" w:ascii="仿宋" w:hAnsi="仿宋" w:eastAsia="仿宋"/>
                <w:color w:val="000000"/>
              </w:rPr>
              <w:t>内存8G，1T SATA，单电源，6千兆电口+4千兆光口SFP。含三年上网行为管理的应用识别库更新、软件升级，原厂上门服务，三年硬件质保服务。</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.2</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安全管理与支持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堡垒机</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包含50点授权</w:t>
            </w:r>
            <w:r>
              <w:rPr>
                <w:rFonts w:hint="eastAsia" w:ascii="仿宋" w:hAnsi="仿宋" w:eastAsia="仿宋"/>
                <w:color w:val="000000"/>
              </w:rPr>
              <w:br w:type="textWrapping"/>
            </w:r>
            <w:r>
              <w:rPr>
                <w:rFonts w:hint="eastAsia" w:ascii="仿宋" w:hAnsi="仿宋" w:eastAsia="仿宋"/>
                <w:color w:val="000000"/>
              </w:rPr>
              <w:t>尺寸：1U，内存16G，硬盘：64GB SSD+1TB SATA，单电源，6千兆电口+4千兆光口SFP。</w:t>
            </w:r>
            <w:r>
              <w:rPr>
                <w:rFonts w:hint="eastAsia" w:ascii="仿宋" w:hAnsi="仿宋" w:eastAsia="仿宋"/>
                <w:color w:val="000000"/>
              </w:rPr>
              <w:br w:type="textWrapping"/>
            </w:r>
            <w:r>
              <w:rPr>
                <w:rFonts w:hint="eastAsia" w:ascii="仿宋" w:hAnsi="仿宋" w:eastAsia="仿宋"/>
                <w:color w:val="000000"/>
              </w:rPr>
              <w:t>三年硬件质保服务</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.3</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4</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安全管理与支持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日志审计</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性能参数：包含主机审计许可证书数量：100，可用存储量：4TB（RAID0 模式）</w:t>
            </w:r>
            <w:r>
              <w:rPr>
                <w:rFonts w:hint="eastAsia" w:ascii="仿宋" w:hAnsi="仿宋" w:eastAsia="仿宋"/>
                <w:color w:val="000000"/>
              </w:rPr>
              <w:br w:type="textWrapping"/>
            </w:r>
            <w:r>
              <w:rPr>
                <w:rFonts w:hint="eastAsia" w:ascii="仿宋" w:hAnsi="仿宋" w:eastAsia="仿宋"/>
                <w:color w:val="000000"/>
              </w:rPr>
              <w:t>内存16G，硬盘容量：128G SSD+4T SATA，电源：冗余电源，接口：6千兆电口+2万兆光口SFP+。</w:t>
            </w:r>
            <w:r>
              <w:rPr>
                <w:rFonts w:hint="eastAsia" w:ascii="仿宋" w:hAnsi="仿宋" w:eastAsia="仿宋"/>
                <w:color w:val="000000"/>
              </w:rPr>
              <w:br w:type="textWrapping"/>
            </w:r>
            <w:r>
              <w:rPr>
                <w:rFonts w:hint="eastAsia" w:ascii="仿宋" w:hAnsi="仿宋" w:eastAsia="仿宋"/>
                <w:color w:val="000000"/>
              </w:rPr>
              <w:t>含：三年软硬件质保服务。</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.4</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5</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其他安全产品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APT</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性能参数：网络层吞吐量：500Mbps。</w:t>
            </w:r>
          </w:p>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内存16G，硬盘：128G MSATA+4T SATA，单电源，接口：6千兆电口+2万兆光口SFP+。</w:t>
            </w:r>
            <w:r>
              <w:rPr>
                <w:rFonts w:hint="eastAsia" w:ascii="仿宋" w:hAnsi="仿宋" w:eastAsia="仿宋"/>
                <w:color w:val="000000"/>
              </w:rPr>
              <w:br w:type="textWrapping"/>
            </w:r>
            <w:r>
              <w:rPr>
                <w:rFonts w:hint="eastAsia" w:ascii="仿宋" w:hAnsi="仿宋" w:eastAsia="仿宋"/>
                <w:color w:val="000000"/>
              </w:rPr>
              <w:t>三年APT威胁检测系统特征库升级，三年软硬件质保服务。</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.5</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6</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其他安全产品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核心交换机</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核心交换机：</w:t>
            </w:r>
            <w:r>
              <w:rPr>
                <w:rFonts w:hint="eastAsia" w:ascii="仿宋" w:hAnsi="仿宋" w:eastAsia="仿宋"/>
                <w:color w:val="000000"/>
              </w:rPr>
              <w:br w:type="textWrapping"/>
            </w:r>
            <w:r>
              <w:rPr>
                <w:rFonts w:hint="eastAsia" w:ascii="仿宋" w:hAnsi="仿宋" w:eastAsia="仿宋"/>
                <w:color w:val="000000"/>
              </w:rPr>
              <w:t>交换容量：76.8/336Tbps，48个电口，4个万兆集群端口*2，24个万兆光口+24个千兆光口，双电源，含SFP+-10G-高速电缆-3m，2个万兆多摸光模块，2个万兆单模光模块，硬件质保三年</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2</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.6</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7</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其他安全产品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接入交换机</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接入交换机：</w:t>
            </w:r>
            <w:r>
              <w:rPr>
                <w:rFonts w:hint="eastAsia" w:ascii="仿宋" w:hAnsi="仿宋" w:eastAsia="仿宋"/>
                <w:color w:val="000000"/>
              </w:rPr>
              <w:br w:type="textWrapping"/>
            </w:r>
            <w:r>
              <w:rPr>
                <w:rFonts w:hint="eastAsia" w:ascii="仿宋" w:hAnsi="仿宋" w:eastAsia="仿宋"/>
                <w:color w:val="000000"/>
              </w:rPr>
              <w:t>48个电口,4个万兆光口，含SFP+-10G-高速电缆-3m，1个万兆多模光模块/硬件质保三年</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10</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台</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.7</w:t>
            </w:r>
          </w:p>
        </w:tc>
      </w:tr>
      <w:tr>
        <w:tblPrEx>
          <w:tblCellMar>
            <w:top w:w="0" w:type="dxa"/>
            <w:left w:w="108" w:type="dxa"/>
            <w:bottom w:w="0" w:type="dxa"/>
            <w:right w:w="108" w:type="dxa"/>
          </w:tblCellMar>
        </w:tblPrEx>
        <w:trPr>
          <w:trHeight w:val="552" w:hRule="atLeast"/>
        </w:trPr>
        <w:tc>
          <w:tcPr>
            <w:tcW w:w="338" w:type="pct"/>
            <w:tcBorders>
              <w:top w:val="nil"/>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8</w:t>
            </w:r>
          </w:p>
        </w:tc>
        <w:tc>
          <w:tcPr>
            <w:tcW w:w="37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安全管理与支持</w:t>
            </w:r>
          </w:p>
        </w:tc>
        <w:tc>
          <w:tcPr>
            <w:tcW w:w="565"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rPr>
                <w:rFonts w:hint="eastAsia" w:ascii="仿宋" w:hAnsi="仿宋" w:eastAsia="仿宋"/>
                <w:color w:val="000000"/>
              </w:rPr>
            </w:pPr>
            <w:r>
              <w:rPr>
                <w:rFonts w:hint="eastAsia" w:ascii="仿宋" w:hAnsi="仿宋" w:eastAsia="仿宋"/>
                <w:color w:val="000000"/>
              </w:rPr>
              <w:t>网管系统</w:t>
            </w:r>
          </w:p>
        </w:tc>
        <w:tc>
          <w:tcPr>
            <w:tcW w:w="169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left"/>
              <w:rPr>
                <w:rFonts w:hint="eastAsia" w:ascii="仿宋" w:hAnsi="仿宋" w:eastAsia="仿宋"/>
                <w:color w:val="000000"/>
              </w:rPr>
            </w:pPr>
            <w:r>
              <w:rPr>
                <w:rFonts w:hint="eastAsia" w:ascii="仿宋" w:hAnsi="仿宋" w:eastAsia="仿宋"/>
                <w:color w:val="000000"/>
              </w:rPr>
              <w:t xml:space="preserve">硬件配置：V2.7G主频 四核心 四线程，内存 32G，系统盘 固态128G 机械盘1T。   </w:t>
            </w:r>
            <w:r>
              <w:rPr>
                <w:rFonts w:hint="eastAsia" w:ascii="仿宋" w:hAnsi="仿宋" w:eastAsia="仿宋"/>
                <w:color w:val="000000"/>
              </w:rPr>
              <w:br w:type="textWrapping"/>
            </w:r>
            <w:r>
              <w:rPr>
                <w:rFonts w:hint="eastAsia" w:ascii="仿宋" w:hAnsi="仿宋" w:eastAsia="仿宋"/>
                <w:color w:val="000000"/>
              </w:rPr>
              <w:t>基本功能：提供系统基本平台处理和展现功能，包括用户管理、网络拓扑管理、综合监控,故障告警管理(包含告警规则设置、实时告警查看、告警日志分析、多种告警通知方式）监控范围：包括对各类网络设备、安全设备实现监控管理的授权；支持50个授权点，质保三年</w:t>
            </w:r>
          </w:p>
        </w:tc>
        <w:tc>
          <w:tcPr>
            <w:tcW w:w="338"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3</w:t>
            </w:r>
          </w:p>
        </w:tc>
        <w:tc>
          <w:tcPr>
            <w:tcW w:w="401" w:type="pct"/>
            <w:tcBorders>
              <w:top w:val="nil"/>
              <w:left w:val="nil"/>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1</w:t>
            </w:r>
          </w:p>
        </w:tc>
        <w:tc>
          <w:tcPr>
            <w:tcW w:w="640" w:type="pct"/>
            <w:tcBorders>
              <w:top w:val="nil"/>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套</w:t>
            </w:r>
          </w:p>
        </w:tc>
        <w:tc>
          <w:tcPr>
            <w:tcW w:w="640" w:type="pct"/>
            <w:tcBorders>
              <w:top w:val="nil"/>
              <w:left w:val="nil"/>
              <w:bottom w:val="single" w:color="000000" w:sz="4" w:space="0"/>
              <w:right w:val="single" w:color="000000" w:sz="4" w:space="0"/>
            </w:tcBorders>
            <w:vAlign w:val="center"/>
          </w:tcPr>
          <w:p>
            <w:pPr>
              <w:spacing w:line="240" w:lineRule="auto"/>
              <w:ind w:firstLine="0" w:firstLineChars="0"/>
              <w:jc w:val="center"/>
              <w:rPr>
                <w:rFonts w:hint="eastAsia" w:ascii="仿宋" w:hAnsi="仿宋" w:eastAsia="仿宋"/>
                <w:color w:val="000000"/>
              </w:rPr>
            </w:pPr>
            <w:r>
              <w:rPr>
                <w:rFonts w:hint="eastAsia" w:ascii="仿宋" w:hAnsi="仿宋" w:eastAsia="仿宋"/>
                <w:color w:val="000000"/>
              </w:rPr>
              <w:t>详见4</w:t>
            </w:r>
            <w:r>
              <w:rPr>
                <w:rFonts w:ascii="仿宋" w:hAnsi="仿宋" w:eastAsia="仿宋"/>
                <w:color w:val="000000"/>
              </w:rPr>
              <w:t>.8</w:t>
            </w:r>
          </w:p>
        </w:tc>
      </w:tr>
    </w:tbl>
    <w:p>
      <w:pPr>
        <w:ind w:firstLine="0" w:firstLineChars="0"/>
        <w:rPr>
          <w:rFonts w:hint="eastAsia"/>
        </w:rPr>
      </w:pPr>
    </w:p>
    <w:p>
      <w:pPr>
        <w:pStyle w:val="2"/>
        <w:rPr>
          <w:rFonts w:hint="eastAsia"/>
        </w:rPr>
      </w:pPr>
      <w:r>
        <w:rPr>
          <w:rFonts w:hint="eastAsia"/>
        </w:rPr>
        <w:t>关键设备详细技术参数要求</w:t>
      </w:r>
    </w:p>
    <w:p>
      <w:pPr>
        <w:pStyle w:val="3"/>
        <w:rPr>
          <w:rFonts w:hint="eastAsia"/>
        </w:rPr>
      </w:pPr>
      <w:r>
        <w:rPr>
          <w:rFonts w:hint="eastAsia"/>
        </w:rPr>
        <w:t>防火墙</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7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blHeader/>
          <w:jc w:val="center"/>
        </w:trPr>
        <w:tc>
          <w:tcPr>
            <w:tcW w:w="1203" w:type="dxa"/>
            <w:shd w:val="clear" w:color="auto" w:fill="D9D9D9"/>
          </w:tcPr>
          <w:p>
            <w:pPr>
              <w:ind w:firstLine="0" w:firstLineChars="0"/>
              <w:rPr>
                <w:rFonts w:hint="eastAsia"/>
              </w:rPr>
            </w:pPr>
            <w:r>
              <w:rPr>
                <w:rFonts w:hint="eastAsia"/>
              </w:rPr>
              <w:t>功能项</w:t>
            </w:r>
          </w:p>
        </w:tc>
        <w:tc>
          <w:tcPr>
            <w:tcW w:w="7014" w:type="dxa"/>
            <w:shd w:val="clear" w:color="auto" w:fill="D9D9D9"/>
          </w:tcPr>
          <w:p>
            <w:pPr>
              <w:ind w:firstLine="0" w:firstLineChars="0"/>
              <w:rPr>
                <w:rFonts w:hint="eastAsia"/>
              </w:rPr>
            </w:pPr>
            <w:r>
              <w:rPr>
                <w:rFonts w:hint="eastAsia"/>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color w:val="000000"/>
              </w:rPr>
            </w:pPr>
            <w:r>
              <w:rPr>
                <w:rFonts w:hint="eastAsia"/>
                <w:color w:val="000000"/>
              </w:rPr>
              <w:t>硬件要求</w:t>
            </w:r>
          </w:p>
        </w:tc>
        <w:tc>
          <w:tcPr>
            <w:tcW w:w="7014" w:type="dxa"/>
          </w:tcPr>
          <w:p>
            <w:pPr>
              <w:ind w:firstLine="0" w:firstLineChars="0"/>
              <w:rPr>
                <w:rFonts w:hint="eastAsia"/>
              </w:rPr>
            </w:pPr>
            <w:r>
              <w:rPr>
                <w:rFonts w:hint="eastAsia"/>
              </w:rPr>
              <w:t>产品不少于</w:t>
            </w:r>
            <w:r>
              <w:t>6</w:t>
            </w:r>
            <w:r>
              <w:rPr>
                <w:rFonts w:hint="eastAsia"/>
              </w:rPr>
              <w:t>个千兆电口，</w:t>
            </w:r>
            <w:r>
              <w:t>4</w:t>
            </w:r>
            <w:r>
              <w:rPr>
                <w:rFonts w:hint="eastAsia"/>
              </w:rPr>
              <w:t>个千兆光口，4个万兆光口；内存≥16G，硬盘容量≥128GB，冗余电源。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color w:val="000000"/>
              </w:rPr>
            </w:pPr>
            <w:r>
              <w:rPr>
                <w:rFonts w:hint="eastAsia"/>
                <w:color w:val="000000"/>
              </w:rPr>
              <w:t>硬件平台</w:t>
            </w:r>
          </w:p>
        </w:tc>
        <w:tc>
          <w:tcPr>
            <w:tcW w:w="7014" w:type="dxa"/>
          </w:tcPr>
          <w:p>
            <w:pPr>
              <w:ind w:firstLine="0" w:firstLineChars="0"/>
              <w:rPr>
                <w:rFonts w:hint="eastAsia"/>
              </w:rPr>
            </w:pPr>
            <w:r>
              <w:rPr>
                <w:rFonts w:hint="eastAsia"/>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color w:val="000000"/>
              </w:rPr>
            </w:pPr>
            <w:r>
              <w:rPr>
                <w:rFonts w:hint="eastAsia"/>
              </w:rPr>
              <w:t>链路状态探测</w:t>
            </w:r>
          </w:p>
        </w:tc>
        <w:tc>
          <w:tcPr>
            <w:tcW w:w="7014" w:type="dxa"/>
          </w:tcPr>
          <w:p>
            <w:pPr>
              <w:ind w:firstLine="0" w:firstLineChars="0"/>
              <w:rPr>
                <w:rFonts w:hint="eastAsia"/>
              </w:rPr>
            </w:pPr>
            <w:r>
              <w:rPr>
                <w:rFonts w:hint="eastAsia"/>
              </w:rPr>
              <w:t>产品支持链路健康检查功能，支持基于多种协议对链路可用性进行探测，探测协议至少包括D</w:t>
            </w:r>
            <w:r>
              <w:t>NS</w:t>
            </w:r>
            <w:r>
              <w:rPr>
                <w:rFonts w:hint="eastAsia"/>
              </w:rPr>
              <w:t>解析、A</w:t>
            </w:r>
            <w:r>
              <w:t>RP</w:t>
            </w:r>
            <w:r>
              <w:rPr>
                <w:rFonts w:hint="eastAsia"/>
              </w:rPr>
              <w:t>探测和P</w:t>
            </w:r>
            <w:r>
              <w:t>ING</w:t>
            </w:r>
            <w:r>
              <w:rPr>
                <w:rFonts w:hint="eastAsia"/>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rPr>
            </w:pPr>
            <w:r>
              <w:rPr>
                <w:rFonts w:hint="eastAsia"/>
              </w:rPr>
              <w:t>路由功能</w:t>
            </w:r>
          </w:p>
        </w:tc>
        <w:tc>
          <w:tcPr>
            <w:tcW w:w="7014" w:type="dxa"/>
          </w:tcPr>
          <w:p>
            <w:pPr>
              <w:ind w:firstLine="0" w:firstLineChars="0"/>
              <w:rPr>
                <w:rFonts w:hint="eastAsia"/>
              </w:rPr>
            </w:pPr>
            <w:r>
              <w:rPr>
                <w:rFonts w:hint="eastAsia"/>
              </w:rPr>
              <w:t>产品支持静态路由、策略路由和多播路由协议，并支持</w:t>
            </w:r>
            <w:r>
              <w:t>BGP</w:t>
            </w:r>
            <w:r>
              <w:rPr>
                <w:rFonts w:hint="eastAsia"/>
              </w:rPr>
              <w:t>、R</w:t>
            </w:r>
            <w:r>
              <w:t>IP</w:t>
            </w:r>
            <w:r>
              <w:rPr>
                <w:rFonts w:hint="eastAsia"/>
              </w:rPr>
              <w:t>、OSPF等动态路由协议。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rPr>
            </w:pPr>
            <w:r>
              <w:rPr>
                <w:rFonts w:hint="eastAsia"/>
              </w:rPr>
              <w:t>地址转换</w:t>
            </w:r>
          </w:p>
        </w:tc>
        <w:tc>
          <w:tcPr>
            <w:tcW w:w="7014" w:type="dxa"/>
          </w:tcPr>
          <w:p>
            <w:pPr>
              <w:ind w:firstLine="0" w:firstLineChars="0"/>
              <w:rPr>
                <w:rFonts w:hint="eastAsia"/>
              </w:rPr>
            </w:pPr>
            <w:r>
              <w:rPr>
                <w:rFonts w:hint="eastAsia"/>
              </w:rPr>
              <w:t>产品支持多种地址转换功能，支持源地址转换S</w:t>
            </w:r>
            <w:r>
              <w:t>NAT</w:t>
            </w:r>
            <w:r>
              <w:rPr>
                <w:rFonts w:hint="eastAsia"/>
              </w:rPr>
              <w:t>，目的地址转换D</w:t>
            </w:r>
            <w:r>
              <w:t>NAT</w:t>
            </w:r>
            <w:r>
              <w:rPr>
                <w:rFonts w:hint="eastAsia"/>
              </w:rPr>
              <w:t>和双向地址转换双向N</w:t>
            </w:r>
            <w:r>
              <w:t>AT</w:t>
            </w:r>
            <w:r>
              <w:rPr>
                <w:rFonts w:hint="eastAsia"/>
              </w:rPr>
              <w:t>，支持IPv4／I</w:t>
            </w:r>
            <w:r>
              <w:t>P</w:t>
            </w:r>
            <w:r>
              <w:rPr>
                <w:rFonts w:hint="eastAsia"/>
              </w:rPr>
              <w:t>v6下地址转换。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rPr>
            </w:pPr>
            <w:r>
              <w:rPr>
                <w:rFonts w:hint="eastAsia"/>
              </w:rPr>
              <w:t>访问控制策略</w:t>
            </w:r>
          </w:p>
        </w:tc>
        <w:tc>
          <w:tcPr>
            <w:tcW w:w="7014" w:type="dxa"/>
          </w:tcPr>
          <w:p>
            <w:pPr>
              <w:ind w:firstLine="0" w:firstLineChars="0"/>
              <w:rPr>
                <w:rFonts w:hint="eastAsia"/>
              </w:rPr>
            </w:pPr>
            <w:r>
              <w:rPr>
                <w:rFonts w:hint="eastAsia"/>
              </w:rPr>
              <w:t>产品支持多维度安全策略设置，可基于时间、用户、应用、I</w:t>
            </w:r>
            <w:r>
              <w:t>P</w:t>
            </w:r>
            <w:r>
              <w:rPr>
                <w:rFonts w:hint="eastAsia"/>
              </w:rPr>
              <w:t>、域名等内容进行安全策略设置。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restart"/>
            <w:vAlign w:val="center"/>
          </w:tcPr>
          <w:p>
            <w:pPr>
              <w:ind w:firstLine="0" w:firstLineChars="0"/>
              <w:rPr>
                <w:rFonts w:hint="eastAsia"/>
              </w:rPr>
            </w:pPr>
            <w:r>
              <w:rPr>
                <w:rFonts w:hint="eastAsia"/>
              </w:rPr>
              <w:t xml:space="preserve"> </w:t>
            </w:r>
          </w:p>
        </w:tc>
        <w:tc>
          <w:tcPr>
            <w:tcW w:w="7014" w:type="dxa"/>
          </w:tcPr>
          <w:p>
            <w:pPr>
              <w:ind w:firstLine="0" w:firstLineChars="0"/>
              <w:rPr>
                <w:rFonts w:hint="eastAsia"/>
                <w:highlight w:val="green"/>
              </w:rPr>
            </w:pPr>
            <w:r>
              <w:rPr>
                <w:rFonts w:hint="eastAsia"/>
              </w:rPr>
              <w:t>产品具备至少对ARP</w:t>
            </w:r>
            <w:r>
              <w:t xml:space="preserve"> Flood</w:t>
            </w:r>
            <w:r>
              <w:rPr>
                <w:rFonts w:hint="eastAsia"/>
              </w:rPr>
              <w:t>、ICMP Flood、SYN Flood、DNS Flood、UDP Flood等泛洪类攻击防护的能力，并支持</w:t>
            </w:r>
            <w:r>
              <w:t>IP</w:t>
            </w:r>
            <w:r>
              <w:rPr>
                <w:rFonts w:hint="eastAsia"/>
              </w:rPr>
              <w:t>地址扫描和端口扫描攻击防护。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color w:val="000000"/>
              </w:rPr>
            </w:pPr>
            <w:r>
              <w:rPr>
                <w:rFonts w:hint="eastAsia"/>
                <w:color w:val="000000"/>
              </w:rPr>
              <w:t>产品支持对S</w:t>
            </w:r>
            <w:r>
              <w:rPr>
                <w:color w:val="000000"/>
              </w:rPr>
              <w:t>MTP</w:t>
            </w:r>
            <w:r>
              <w:rPr>
                <w:rFonts w:hint="eastAsia"/>
                <w:color w:val="000000"/>
              </w:rPr>
              <w:t>、HTTP、FTP、S</w:t>
            </w:r>
            <w:r>
              <w:rPr>
                <w:color w:val="000000"/>
              </w:rPr>
              <w:t>MB</w:t>
            </w:r>
            <w:r>
              <w:rPr>
                <w:rFonts w:hint="eastAsia"/>
                <w:color w:val="000000"/>
              </w:rPr>
              <w:t>、POP3、</w:t>
            </w:r>
            <w:r>
              <w:rPr>
                <w:rFonts w:hint="eastAsia"/>
              </w:rPr>
              <w:t>H</w:t>
            </w:r>
            <w:r>
              <w:t>TTPS</w:t>
            </w:r>
            <w:r>
              <w:rPr>
                <w:rFonts w:hint="eastAsia"/>
              </w:rPr>
              <w:t>、</w:t>
            </w:r>
            <w:r>
              <w:rPr>
                <w:rFonts w:hint="eastAsia"/>
                <w:color w:val="000000"/>
              </w:rPr>
              <w:t>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rFonts w:hint="eastAsia"/>
                <w:color w:val="000000"/>
              </w:rPr>
              <w:t>产品支持对多重压缩文件的病毒检测能力。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rFonts w:hint="eastAsia"/>
              </w:rPr>
              <w:t>产品具备入侵防御检测引擎，支持对各类漏洞利用攻击进行检测与防护。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color w:val="000000"/>
              </w:rPr>
              <w:t>▲</w:t>
            </w:r>
            <w:r>
              <w:rPr>
                <w:rFonts w:hint="eastAsia"/>
                <w:color w:val="000000"/>
              </w:rPr>
              <w:t>1</w:t>
            </w:r>
            <w:r>
              <w:rPr>
                <w:rFonts w:hint="eastAsia"/>
              </w:rPr>
              <w:t>产品支持僵尸网络检测功能，防止失陷主机威胁内网扩散，需提供相关证明。</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rFonts w:hint="eastAsia"/>
              </w:rPr>
              <w:t>产品具备W</w:t>
            </w:r>
            <w:r>
              <w:t>eb</w:t>
            </w:r>
            <w:r>
              <w:rPr>
                <w:rFonts w:hint="eastAsia"/>
              </w:rPr>
              <w:t>应用攻击检测引擎，支持文件包含攻击、抵御注入式攻击（包含</w:t>
            </w:r>
            <w:r>
              <w:t>SQL</w:t>
            </w:r>
            <w:r>
              <w:rPr>
                <w:rFonts w:hint="eastAsia"/>
              </w:rPr>
              <w:t>注入、系统命令注入）、信息泄露攻击、跨站脚本（</w:t>
            </w:r>
            <w:r>
              <w:t>XSS</w:t>
            </w:r>
            <w:r>
              <w:rPr>
                <w:rFonts w:hint="eastAsia"/>
              </w:rPr>
              <w:t>）、网站扫描、W</w:t>
            </w:r>
            <w:r>
              <w:t>EBSHELL</w:t>
            </w:r>
            <w:r>
              <w:rPr>
                <w:rFonts w:hint="eastAsia"/>
              </w:rPr>
              <w:t>后门攻击、跨站请求伪造、目录遍历攻击、W</w:t>
            </w:r>
            <w:r>
              <w:t>EB</w:t>
            </w:r>
            <w:r>
              <w:rPr>
                <w:rFonts w:hint="eastAsia"/>
              </w:rPr>
              <w:t>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color w:val="000000"/>
              </w:rPr>
              <w:t>▲</w:t>
            </w:r>
            <w:r>
              <w:rPr>
                <w:rFonts w:hint="eastAsia"/>
                <w:color w:val="000000"/>
              </w:rPr>
              <w:t>2</w:t>
            </w:r>
            <w:r>
              <w:rPr>
                <w:rFonts w:hint="eastAsia"/>
              </w:rPr>
              <w:t>具备识别与阻断外部扫描器发起的服务器恶意扫描行为，可对扫描器地址进行自定义封堵，需提相关证明。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color w:val="000000"/>
              </w:rPr>
            </w:pPr>
            <w:r>
              <w:rPr>
                <w:rFonts w:hint="eastAsia"/>
                <w:color w:val="000000"/>
              </w:rPr>
              <w:t>产品</w:t>
            </w:r>
            <w:r>
              <w:rPr>
                <w:rFonts w:hint="eastAsia"/>
              </w:rPr>
              <w:t>支持对HTTP异常请求协议检测和防护攻击，检测内容包含H</w:t>
            </w:r>
            <w:r>
              <w:t>TTP</w:t>
            </w:r>
            <w:r>
              <w:rPr>
                <w:rFonts w:hint="eastAsia"/>
              </w:rPr>
              <w:t>请求信息的方法及参数长度等。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restart"/>
            <w:vAlign w:val="center"/>
          </w:tcPr>
          <w:p>
            <w:pPr>
              <w:ind w:firstLine="0" w:firstLineChars="0"/>
              <w:rPr>
                <w:rFonts w:hint="eastAsia"/>
              </w:rPr>
            </w:pPr>
            <w:r>
              <w:rPr>
                <w:rFonts w:hint="eastAsia"/>
              </w:rPr>
              <w:t>安全策略管理</w:t>
            </w:r>
          </w:p>
        </w:tc>
        <w:tc>
          <w:tcPr>
            <w:tcW w:w="7014" w:type="dxa"/>
          </w:tcPr>
          <w:p>
            <w:pPr>
              <w:ind w:firstLine="0" w:firstLineChars="0"/>
              <w:rPr>
                <w:rFonts w:hint="eastAsia"/>
              </w:rPr>
            </w:pPr>
            <w:r>
              <w:rPr>
                <w:rFonts w:hint="eastAsia"/>
              </w:rPr>
              <w:t>产品支持在安全策略中可同时启用入侵防御、防病毒、U</w:t>
            </w:r>
            <w:r>
              <w:t>RL</w:t>
            </w:r>
            <w:r>
              <w:rPr>
                <w:rFonts w:hint="eastAsia"/>
              </w:rPr>
              <w:t>过滤、文件过滤、</w:t>
            </w:r>
            <w:r>
              <w:t>W</w:t>
            </w:r>
            <w:r>
              <w:rPr>
                <w:rFonts w:hint="eastAsia"/>
              </w:rPr>
              <w:t>eb应用防护等安全功能，简化安全策略部署。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Merge w:val="continue"/>
            <w:vAlign w:val="center"/>
          </w:tcPr>
          <w:p>
            <w:pPr>
              <w:ind w:firstLine="0" w:firstLineChars="0"/>
              <w:rPr>
                <w:rFonts w:hint="eastAsia"/>
              </w:rPr>
            </w:pPr>
          </w:p>
        </w:tc>
        <w:tc>
          <w:tcPr>
            <w:tcW w:w="7014" w:type="dxa"/>
          </w:tcPr>
          <w:p>
            <w:pPr>
              <w:ind w:firstLine="0" w:firstLineChars="0"/>
              <w:rPr>
                <w:rFonts w:hint="eastAsia"/>
              </w:rPr>
            </w:pPr>
            <w:r>
              <w:rPr>
                <w:color w:val="000000"/>
              </w:rPr>
              <w:t>▲</w:t>
            </w:r>
            <w:r>
              <w:rPr>
                <w:rFonts w:hint="eastAsia"/>
                <w:color w:val="000000"/>
              </w:rPr>
              <w:t>3产品支持应用控制策略生命周期管理，包含安全策略的变更时间、变更类型和策略变更用户，并对变更内容记录日志，方便安全策略管控，</w:t>
            </w:r>
            <w:r>
              <w:rPr>
                <w:rFonts w:hint="eastAsia"/>
              </w:rPr>
              <w:t>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03" w:type="dxa"/>
            <w:vAlign w:val="center"/>
          </w:tcPr>
          <w:p>
            <w:pPr>
              <w:ind w:firstLine="0" w:firstLineChars="0"/>
              <w:rPr>
                <w:rFonts w:hint="eastAsia"/>
              </w:rPr>
            </w:pPr>
            <w:r>
              <w:rPr>
                <w:rFonts w:hint="eastAsia"/>
              </w:rPr>
              <w:t>用户管理</w:t>
            </w:r>
          </w:p>
        </w:tc>
        <w:tc>
          <w:tcPr>
            <w:tcW w:w="7014" w:type="dxa"/>
          </w:tcPr>
          <w:p>
            <w:pPr>
              <w:ind w:firstLine="0" w:firstLineChars="0"/>
              <w:rPr>
                <w:rFonts w:hint="eastAsia"/>
              </w:rPr>
            </w:pPr>
            <w:r>
              <w:rPr>
                <w:rFonts w:hint="eastAsia"/>
              </w:rPr>
              <w:t>产品支持三权分立功能，根据用户权限可设置为安全管理员、审计员和系统管理员三种角色。</w:t>
            </w:r>
          </w:p>
        </w:tc>
      </w:tr>
    </w:tbl>
    <w:p>
      <w:pPr>
        <w:ind w:firstLine="0" w:firstLineChars="0"/>
        <w:rPr>
          <w:rFonts w:hint="eastAsia"/>
          <w:b/>
          <w:bCs/>
        </w:rPr>
      </w:pPr>
    </w:p>
    <w:p>
      <w:pPr>
        <w:pStyle w:val="3"/>
        <w:rPr>
          <w:rFonts w:hint="eastAsia"/>
        </w:rPr>
      </w:pPr>
      <w:r>
        <w:rPr>
          <w:rFonts w:hint="eastAsia"/>
          <w:color w:val="000000"/>
        </w:rPr>
        <w:t>上网行为管理</w:t>
      </w:r>
    </w:p>
    <w:tbl>
      <w:tblPr>
        <w:tblStyle w:val="35"/>
        <w:tblW w:w="8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blHeader/>
          <w:jc w:val="center"/>
        </w:trPr>
        <w:tc>
          <w:tcPr>
            <w:tcW w:w="1242" w:type="dxa"/>
            <w:shd w:val="clear" w:color="auto" w:fill="D9D9D9"/>
          </w:tcPr>
          <w:p>
            <w:pPr>
              <w:ind w:firstLine="0" w:firstLineChars="0"/>
              <w:rPr>
                <w:rFonts w:hint="eastAsia"/>
              </w:rPr>
            </w:pPr>
            <w:r>
              <w:rPr>
                <w:rFonts w:hint="eastAsia"/>
              </w:rPr>
              <w:t>功能项</w:t>
            </w:r>
          </w:p>
        </w:tc>
        <w:tc>
          <w:tcPr>
            <w:tcW w:w="7059" w:type="dxa"/>
            <w:shd w:val="clear" w:color="auto" w:fill="D9D9D9"/>
          </w:tcPr>
          <w:p>
            <w:pPr>
              <w:ind w:firstLine="0" w:firstLineChars="0"/>
              <w:rPr>
                <w:rFonts w:hint="eastAsia"/>
              </w:rPr>
            </w:pPr>
            <w:r>
              <w:rPr>
                <w:rFonts w:hint="eastAsia"/>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Align w:val="center"/>
          </w:tcPr>
          <w:p>
            <w:pPr>
              <w:ind w:firstLine="0" w:firstLineChars="0"/>
              <w:rPr>
                <w:rFonts w:hint="eastAsia"/>
                <w:color w:val="000000"/>
              </w:rPr>
            </w:pPr>
            <w:r>
              <w:rPr>
                <w:color w:val="000000"/>
              </w:rPr>
              <w:t>硬件</w:t>
            </w:r>
            <w:r>
              <w:rPr>
                <w:rFonts w:hint="eastAsia"/>
                <w:color w:val="000000"/>
              </w:rPr>
              <w:t>和性能</w:t>
            </w:r>
            <w:r>
              <w:rPr>
                <w:color w:val="000000"/>
              </w:rPr>
              <w:t>参数</w:t>
            </w:r>
          </w:p>
        </w:tc>
        <w:tc>
          <w:tcPr>
            <w:tcW w:w="7059" w:type="dxa"/>
            <w:vAlign w:val="center"/>
          </w:tcPr>
          <w:p>
            <w:pPr>
              <w:ind w:firstLine="0" w:firstLineChars="0"/>
              <w:rPr>
                <w:rFonts w:hint="eastAsia"/>
              </w:rPr>
            </w:pPr>
            <w:r>
              <w:t>不少于6个千兆电口，</w:t>
            </w:r>
            <w:r>
              <w:rPr>
                <w:rFonts w:hint="eastAsia"/>
              </w:rPr>
              <w:t>4个千兆光口，内存</w:t>
            </w:r>
            <w:r>
              <w:t>≥</w:t>
            </w:r>
            <w:r>
              <w:rPr>
                <w:rFonts w:hint="eastAsia"/>
              </w:rPr>
              <w:t>8G，硬盘容量</w:t>
            </w:r>
            <w:r>
              <w:t>≥</w:t>
            </w:r>
            <w:r>
              <w:rPr>
                <w:rFonts w:hint="eastAsia"/>
              </w:rPr>
              <w:t>1T SATA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Align w:val="center"/>
          </w:tcPr>
          <w:p>
            <w:pPr>
              <w:ind w:firstLine="0" w:firstLineChars="0"/>
              <w:rPr>
                <w:rFonts w:hint="eastAsia"/>
                <w:color w:val="000000"/>
              </w:rPr>
            </w:pPr>
            <w:r>
              <w:rPr>
                <w:rFonts w:hint="eastAsia"/>
                <w:color w:val="000000"/>
              </w:rPr>
              <w:t>国产化</w:t>
            </w:r>
          </w:p>
        </w:tc>
        <w:tc>
          <w:tcPr>
            <w:tcW w:w="7059" w:type="dxa"/>
            <w:vAlign w:val="center"/>
          </w:tcPr>
          <w:p>
            <w:pPr>
              <w:ind w:firstLine="0" w:firstLineChars="0"/>
              <w:rPr>
                <w:rFonts w:hint="eastAsia"/>
              </w:rPr>
            </w:pPr>
            <w:r>
              <w:rPr>
                <w:rFonts w:hint="eastAsia"/>
              </w:rPr>
              <w:t>产品采用国产处理器和国产操作系统。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Align w:val="center"/>
          </w:tcPr>
          <w:p>
            <w:pPr>
              <w:ind w:firstLine="0" w:firstLineChars="0"/>
              <w:rPr>
                <w:rFonts w:hint="eastAsia"/>
                <w:color w:val="000000"/>
              </w:rPr>
            </w:pPr>
            <w:r>
              <w:rPr>
                <w:rFonts w:hint="eastAsia"/>
                <w:color w:val="000000"/>
              </w:rPr>
              <w:t>系统管理</w:t>
            </w:r>
          </w:p>
        </w:tc>
        <w:tc>
          <w:tcPr>
            <w:tcW w:w="7059" w:type="dxa"/>
            <w:vAlign w:val="center"/>
          </w:tcPr>
          <w:p>
            <w:pPr>
              <w:ind w:firstLine="0" w:firstLineChars="0"/>
              <w:rPr>
                <w:rFonts w:hint="eastAsia"/>
              </w:rPr>
            </w:pPr>
            <w:r>
              <w:rPr>
                <w:rFonts w:hint="eastAsia"/>
                <w:color w:val="000000"/>
              </w:rPr>
              <w:t>支持攻击、双机切换告警、移动终端管理告警、web关键字过滤告警、杀毒告警、设备流量超限告警、磁盘/CPU/内存异常告警等；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restart"/>
            <w:vAlign w:val="center"/>
          </w:tcPr>
          <w:p>
            <w:pPr>
              <w:ind w:firstLine="0" w:firstLineChars="0"/>
              <w:rPr>
                <w:rFonts w:hint="eastAsia"/>
                <w:color w:val="000000"/>
              </w:rPr>
            </w:pPr>
            <w:r>
              <w:rPr>
                <w:rFonts w:hint="eastAsia"/>
                <w:color w:val="000000"/>
              </w:rPr>
              <w:t>实时监控</w:t>
            </w:r>
          </w:p>
        </w:tc>
        <w:tc>
          <w:tcPr>
            <w:tcW w:w="7059" w:type="dxa"/>
            <w:vAlign w:val="center"/>
          </w:tcPr>
          <w:p>
            <w:pPr>
              <w:ind w:firstLine="0" w:firstLineChars="0"/>
              <w:rPr>
                <w:rFonts w:hint="eastAsia"/>
              </w:rPr>
            </w:pPr>
            <w:r>
              <w:rPr>
                <w:rFonts w:hint="eastAsia"/>
                <w:color w:val="000000"/>
              </w:rPr>
              <w:t>▲4</w:t>
            </w:r>
            <w:r>
              <w:rPr>
                <w:rFonts w:hint="eastAsia"/>
              </w:rPr>
              <w:t>支持首页分析显示接入用户人数、终端类型、认证方式；带宽质量分析、实时流量排名；</w:t>
            </w:r>
            <w:r>
              <w:rPr>
                <w:color w:val="000000"/>
              </w:rPr>
              <w:t>（需提供产品功能截图证明）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rPr>
            </w:pPr>
            <w:r>
              <w:rPr>
                <w:rFonts w:hint="eastAsia"/>
              </w:rPr>
              <w:t>实时显示设置过滤条件的用户上网行为监控，支持手动设置刷新时间；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rPr>
            </w:pPr>
            <w:r>
              <w:rPr>
                <w:rFonts w:hint="eastAsia"/>
              </w:rPr>
              <w:t>实时提供用户流量排名、应用流量排名、连接监控信息；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restart"/>
            <w:vAlign w:val="center"/>
          </w:tcPr>
          <w:p>
            <w:pPr>
              <w:ind w:firstLine="0" w:firstLineChars="0"/>
              <w:rPr>
                <w:rFonts w:hint="eastAsia"/>
              </w:rPr>
            </w:pPr>
            <w:r>
              <w:rPr>
                <w:rFonts w:hint="eastAsia"/>
              </w:rPr>
              <w:t>审计策略</w:t>
            </w:r>
          </w:p>
        </w:tc>
        <w:tc>
          <w:tcPr>
            <w:tcW w:w="7059" w:type="dxa"/>
            <w:vAlign w:val="center"/>
          </w:tcPr>
          <w:p>
            <w:pPr>
              <w:ind w:firstLine="0" w:firstLineChars="0"/>
              <w:rPr>
                <w:rFonts w:hint="eastAsia"/>
              </w:rPr>
            </w:pPr>
            <w:r>
              <w:rPr>
                <w:rFonts w:hint="eastAsia"/>
              </w:rPr>
              <w:t>支持对网页过滤和网页审计分开控制；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rPr>
            </w:pPr>
          </w:p>
        </w:tc>
        <w:tc>
          <w:tcPr>
            <w:tcW w:w="7059" w:type="dxa"/>
            <w:vAlign w:val="center"/>
          </w:tcPr>
          <w:p>
            <w:pPr>
              <w:ind w:firstLine="0" w:firstLineChars="0"/>
              <w:rPr>
                <w:rFonts w:hint="eastAsia"/>
              </w:rPr>
            </w:pPr>
            <w:r>
              <w:rPr>
                <w:rFonts w:hint="eastAsia"/>
              </w:rPr>
              <w:t>支持审计指定类型的URL，其他URL类型不予审计，以提高审计效率；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rPr>
            </w:pPr>
          </w:p>
        </w:tc>
        <w:tc>
          <w:tcPr>
            <w:tcW w:w="7059" w:type="dxa"/>
            <w:vAlign w:val="center"/>
          </w:tcPr>
          <w:p>
            <w:pPr>
              <w:ind w:firstLine="0" w:firstLineChars="0"/>
              <w:rPr>
                <w:rFonts w:hint="eastAsia"/>
              </w:rPr>
            </w:pPr>
            <w:r>
              <w:rPr>
                <w:rFonts w:hint="eastAsia"/>
              </w:rPr>
              <w:t>支持免除审计指定IP、指定域名的上网行为；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restart"/>
            <w:vAlign w:val="center"/>
          </w:tcPr>
          <w:p>
            <w:pPr>
              <w:ind w:firstLine="0" w:firstLineChars="0"/>
              <w:rPr>
                <w:rFonts w:hint="eastAsia"/>
              </w:rPr>
            </w:pPr>
            <w:r>
              <w:rPr>
                <w:rFonts w:hint="eastAsia"/>
              </w:rPr>
              <w:t>安全审计</w:t>
            </w:r>
          </w:p>
        </w:tc>
        <w:tc>
          <w:tcPr>
            <w:tcW w:w="7059" w:type="dxa"/>
            <w:vAlign w:val="center"/>
          </w:tcPr>
          <w:p>
            <w:pPr>
              <w:ind w:firstLine="0" w:firstLineChars="0"/>
              <w:rPr>
                <w:rFonts w:hint="eastAsia"/>
              </w:rPr>
            </w:pPr>
            <w:r>
              <w:rPr>
                <w:rFonts w:hint="eastAsia"/>
              </w:rPr>
              <w:t>支持记录全部或者指定类别URL、网页标题等信息；审计记录网页正文内容；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rPr>
            </w:pPr>
          </w:p>
        </w:tc>
        <w:tc>
          <w:tcPr>
            <w:tcW w:w="7059" w:type="dxa"/>
            <w:vAlign w:val="center"/>
          </w:tcPr>
          <w:p>
            <w:pPr>
              <w:ind w:firstLine="0" w:firstLineChars="0"/>
              <w:rPr>
                <w:rFonts w:hint="eastAsia"/>
              </w:rPr>
            </w:pPr>
            <w:r>
              <w:rPr>
                <w:rFonts w:hint="eastAsia"/>
              </w:rPr>
              <w:t>支持网页内容审计后的网页快照功能；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支持审计Webmail邮件外发行为，支持webmail形式发送的附件审计，并能精准到原始邮件；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支持记录用户在指定时间段内使用指定应用的总时长，并统计在指定时间段内网络应用产生的总流量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支持审计通过FTP上传的文件名和内容以及支持通过FTP下载的文件名；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restart"/>
            <w:vAlign w:val="center"/>
          </w:tcPr>
          <w:p>
            <w:pPr>
              <w:ind w:firstLine="0" w:firstLineChars="0"/>
              <w:rPr>
                <w:rFonts w:hint="eastAsia"/>
                <w:color w:val="000000"/>
              </w:rPr>
            </w:pPr>
            <w:r>
              <w:rPr>
                <w:rFonts w:hint="eastAsia"/>
                <w:color w:val="000000"/>
              </w:rPr>
              <w:t>日志管理</w:t>
            </w:r>
          </w:p>
        </w:tc>
        <w:tc>
          <w:tcPr>
            <w:tcW w:w="7059" w:type="dxa"/>
            <w:vAlign w:val="center"/>
          </w:tcPr>
          <w:p>
            <w:pPr>
              <w:ind w:firstLine="0" w:firstLineChars="0"/>
              <w:rPr>
                <w:rFonts w:hint="eastAsia"/>
                <w:color w:val="000000"/>
              </w:rPr>
            </w:pPr>
            <w:r>
              <w:rPr>
                <w:rFonts w:hint="eastAsia"/>
                <w:color w:val="000000"/>
              </w:rPr>
              <w:t>▲5支持日志高性能模式处理，精简冗余日志；</w:t>
            </w:r>
            <w:r>
              <w:rPr>
                <w:color w:val="000000"/>
              </w:rPr>
              <w:t>（需提供产品功能截图证明）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支持查询和导出基于指定时间段/用户/用户组的防共享接入日志、移动终端发现日志、准入日志、登录注销日志等行为日志；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支持基于时间段/用户/用户组的热门应用类型或热门具体应用的行为次数排行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日志中心所有导出都有对应管理员操作日志、系统日志的日志清理中记录数据删除日志、规则库升级有对应升级日志；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restart"/>
            <w:vAlign w:val="center"/>
          </w:tcPr>
          <w:p>
            <w:pPr>
              <w:ind w:firstLine="0" w:firstLineChars="0"/>
              <w:rPr>
                <w:rFonts w:hint="eastAsia"/>
                <w:color w:val="000000"/>
              </w:rPr>
            </w:pPr>
            <w:r>
              <w:rPr>
                <w:rFonts w:hint="eastAsia"/>
                <w:color w:val="000000"/>
              </w:rPr>
              <w:t>流量管理</w:t>
            </w:r>
          </w:p>
        </w:tc>
        <w:tc>
          <w:tcPr>
            <w:tcW w:w="7059" w:type="dxa"/>
            <w:vAlign w:val="center"/>
          </w:tcPr>
          <w:p>
            <w:pPr>
              <w:ind w:firstLine="0" w:firstLineChars="0"/>
              <w:rPr>
                <w:rFonts w:hint="eastAsia"/>
                <w:color w:val="000000"/>
              </w:rPr>
            </w:pPr>
            <w:r>
              <w:rPr>
                <w:rFonts w:hint="eastAsia"/>
                <w:color w:val="000000"/>
              </w:rPr>
              <w:t>支持在设置流量策略后，根据整体线路或者某流量通道内的空闲情况，自动启用和停止使用流量控制策略，以提升带宽的高使用率；空闲值可自定义；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42" w:type="dxa"/>
            <w:vMerge w:val="continue"/>
            <w:vAlign w:val="center"/>
          </w:tcPr>
          <w:p>
            <w:pPr>
              <w:ind w:firstLine="0" w:firstLineChars="0"/>
              <w:rPr>
                <w:rFonts w:hint="eastAsia"/>
                <w:color w:val="000000"/>
              </w:rPr>
            </w:pPr>
          </w:p>
        </w:tc>
        <w:tc>
          <w:tcPr>
            <w:tcW w:w="7059" w:type="dxa"/>
            <w:vAlign w:val="center"/>
          </w:tcPr>
          <w:p>
            <w:pPr>
              <w:ind w:firstLine="0" w:firstLineChars="0"/>
              <w:rPr>
                <w:rFonts w:hint="eastAsia"/>
                <w:color w:val="000000"/>
              </w:rPr>
            </w:pPr>
            <w:r>
              <w:rPr>
                <w:rFonts w:hint="eastAsia"/>
                <w:color w:val="000000"/>
              </w:rPr>
              <w:t>▲6支持通过抑制P2P的下行丢包，来减缓P2P的下行流量，从而解决网络出口在做流控后仍然压力较大的问题；</w:t>
            </w:r>
            <w:r>
              <w:rPr>
                <w:color w:val="000000"/>
              </w:rPr>
              <w:t>（需提供产品功能截图证明）</w:t>
            </w:r>
          </w:p>
        </w:tc>
      </w:tr>
    </w:tbl>
    <w:p>
      <w:pPr>
        <w:ind w:firstLine="0" w:firstLineChars="0"/>
        <w:rPr>
          <w:rFonts w:hint="eastAsia"/>
          <w:color w:val="000000"/>
        </w:rPr>
      </w:pPr>
    </w:p>
    <w:p>
      <w:pPr>
        <w:pStyle w:val="3"/>
        <w:rPr>
          <w:rFonts w:hint="eastAsia"/>
          <w:color w:val="000000"/>
        </w:rPr>
      </w:pPr>
      <w:r>
        <w:rPr>
          <w:rFonts w:hint="eastAsia"/>
          <w:color w:val="000000"/>
        </w:rPr>
        <w:t>堡垒机</w:t>
      </w:r>
    </w:p>
    <w:tbl>
      <w:tblPr>
        <w:tblStyle w:val="35"/>
        <w:tblW w:w="8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7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blHeader/>
          <w:jc w:val="center"/>
        </w:trPr>
        <w:tc>
          <w:tcPr>
            <w:tcW w:w="1179" w:type="dxa"/>
            <w:shd w:val="clear" w:color="auto" w:fill="D9D9D9"/>
          </w:tcPr>
          <w:p>
            <w:pPr>
              <w:ind w:firstLine="0" w:firstLineChars="0"/>
              <w:rPr>
                <w:rFonts w:hint="eastAsia"/>
              </w:rPr>
            </w:pPr>
            <w:r>
              <w:rPr>
                <w:rFonts w:hint="eastAsia"/>
              </w:rPr>
              <w:t>功能项</w:t>
            </w:r>
          </w:p>
        </w:tc>
        <w:tc>
          <w:tcPr>
            <w:tcW w:w="7124" w:type="dxa"/>
            <w:shd w:val="clear" w:color="auto" w:fill="D9D9D9"/>
          </w:tcPr>
          <w:p>
            <w:pPr>
              <w:ind w:firstLine="0" w:firstLineChars="0"/>
              <w:rPr>
                <w:rFonts w:hint="eastAsia"/>
              </w:rPr>
            </w:pPr>
            <w:r>
              <w:rPr>
                <w:rFonts w:hint="eastAsia"/>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color w:val="000000"/>
              </w:rPr>
            </w:pPr>
            <w:r>
              <w:rPr>
                <w:rFonts w:hint="eastAsia"/>
                <w:color w:val="000000"/>
              </w:rPr>
              <w:t>硬件要求</w:t>
            </w:r>
          </w:p>
        </w:tc>
        <w:tc>
          <w:tcPr>
            <w:tcW w:w="7124" w:type="dxa"/>
          </w:tcPr>
          <w:p>
            <w:pPr>
              <w:ind w:firstLine="0" w:firstLineChars="0"/>
              <w:rPr>
                <w:rFonts w:hint="eastAsia"/>
              </w:rPr>
            </w:pPr>
            <w:r>
              <w:rPr>
                <w:rFonts w:hint="eastAsia"/>
              </w:rPr>
              <w:t>不少于6个千兆电口，4个千兆光口，内存≥16G，硬盘容量≥64GB SSD+1TB SATA。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color w:val="000000"/>
              </w:rPr>
            </w:pPr>
            <w:r>
              <w:rPr>
                <w:rFonts w:hint="eastAsia"/>
                <w:color w:val="000000"/>
              </w:rPr>
              <w:t>性能要求</w:t>
            </w:r>
          </w:p>
        </w:tc>
        <w:tc>
          <w:tcPr>
            <w:tcW w:w="7124" w:type="dxa"/>
          </w:tcPr>
          <w:p>
            <w:pPr>
              <w:ind w:firstLine="0" w:firstLineChars="0"/>
              <w:rPr>
                <w:rFonts w:hint="eastAsia"/>
              </w:rPr>
            </w:pPr>
            <w:r>
              <w:rPr>
                <w:rFonts w:hint="eastAsia"/>
              </w:rPr>
              <w:t>资产授权≥50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color w:val="000000"/>
              </w:rPr>
            </w:pPr>
            <w:r>
              <w:rPr>
                <w:rFonts w:hint="eastAsia"/>
                <w:color w:val="000000"/>
              </w:rPr>
              <w:t>国产化</w:t>
            </w:r>
          </w:p>
        </w:tc>
        <w:tc>
          <w:tcPr>
            <w:tcW w:w="7124" w:type="dxa"/>
          </w:tcPr>
          <w:p>
            <w:pPr>
              <w:ind w:firstLine="0" w:firstLineChars="0"/>
              <w:rPr>
                <w:rFonts w:hint="eastAsia"/>
              </w:rPr>
            </w:pPr>
            <w:r>
              <w:rPr>
                <w:rFonts w:hint="eastAsia"/>
                <w:color w:val="000000" w:themeColor="text1"/>
                <w14:textFill>
                  <w14:solidFill>
                    <w14:schemeClr w14:val="tx1"/>
                  </w14:solidFill>
                </w14:textFill>
              </w:rPr>
              <w:t>产品采用国产化芯片和操作系统。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restart"/>
            <w:vAlign w:val="center"/>
          </w:tcPr>
          <w:p>
            <w:pPr>
              <w:ind w:firstLine="0" w:firstLineChars="0"/>
              <w:rPr>
                <w:rFonts w:hint="eastAsia"/>
                <w:color w:val="000000"/>
              </w:rPr>
            </w:pPr>
            <w:r>
              <w:rPr>
                <w:rFonts w:hint="eastAsia"/>
              </w:rPr>
              <w:t>支持协议</w:t>
            </w:r>
          </w:p>
        </w:tc>
        <w:tc>
          <w:tcPr>
            <w:tcW w:w="7124" w:type="dxa"/>
            <w:vAlign w:val="center"/>
          </w:tcPr>
          <w:p>
            <w:pPr>
              <w:ind w:firstLine="0" w:firstLineChars="0"/>
              <w:rPr>
                <w:rFonts w:hint="eastAsia"/>
              </w:rPr>
            </w:pPr>
            <w:r>
              <w:rPr>
                <w:rFonts w:hint="eastAsia"/>
              </w:rPr>
              <w:t>字符协议：SSHv</w:t>
            </w:r>
            <w:r>
              <w:t>1</w:t>
            </w:r>
            <w:r>
              <w:rPr>
                <w:rFonts w:hint="eastAsia"/>
              </w:rPr>
              <w:t>、SSHv</w:t>
            </w:r>
            <w:r>
              <w:t>2</w:t>
            </w:r>
            <w:r>
              <w:rPr>
                <w:rFonts w:hint="eastAsia"/>
              </w:rPr>
              <w:t>、TELNET；图形协议：RDP、VNC；文件传输协议：FTP、SFTP、RDP磁盘映射、RDP剪切板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continue"/>
            <w:vAlign w:val="center"/>
          </w:tcPr>
          <w:p>
            <w:pPr>
              <w:ind w:firstLine="0" w:firstLineChars="0"/>
              <w:rPr>
                <w:rFonts w:hint="eastAsia"/>
              </w:rPr>
            </w:pPr>
          </w:p>
        </w:tc>
        <w:tc>
          <w:tcPr>
            <w:tcW w:w="7124" w:type="dxa"/>
            <w:vAlign w:val="center"/>
          </w:tcPr>
          <w:p>
            <w:pPr>
              <w:ind w:firstLine="0" w:firstLineChars="0"/>
              <w:rPr>
                <w:rFonts w:hint="eastAsia"/>
              </w:rPr>
            </w:pPr>
            <w:r>
              <w:rPr>
                <w:rFonts w:hint="eastAsia"/>
              </w:rPr>
              <w:t>支持通过协议前置机进行协议扩展，至少支持扩展KVM、Vmware、数据库、http/https、CS应用等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rPr>
            </w:pPr>
            <w:r>
              <w:rPr>
                <w:rFonts w:hint="eastAsia"/>
              </w:rPr>
              <w:t>动作流</w:t>
            </w:r>
          </w:p>
        </w:tc>
        <w:tc>
          <w:tcPr>
            <w:tcW w:w="7124" w:type="dxa"/>
            <w:vAlign w:val="center"/>
          </w:tcPr>
          <w:p>
            <w:pPr>
              <w:ind w:firstLine="0" w:firstLineChars="0"/>
              <w:rPr>
                <w:rFonts w:hint="eastAsia"/>
              </w:rPr>
            </w:pPr>
            <w:r>
              <w:rPr>
                <w:rFonts w:hint="eastAsia" w:cs="微软雅黑"/>
              </w:rPr>
              <w:t>▲7支持</w:t>
            </w:r>
            <w:r>
              <w:rPr>
                <w:rFonts w:cs="微软雅黑"/>
              </w:rPr>
              <w:t>通过动作流配置提供广泛的应用接入支持，无论被接入的资源如何设计登录动作，通过动作流</w:t>
            </w:r>
            <w:r>
              <w:rPr>
                <w:rFonts w:hint="eastAsia" w:cs="微软雅黑"/>
              </w:rPr>
              <w:t>配置都可以实现单点登陆和审计接入（提供截图）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restart"/>
            <w:vAlign w:val="center"/>
          </w:tcPr>
          <w:p>
            <w:pPr>
              <w:ind w:firstLine="0" w:firstLineChars="0"/>
              <w:rPr>
                <w:rFonts w:hint="eastAsia"/>
              </w:rPr>
            </w:pPr>
            <w:r>
              <w:rPr>
                <w:rFonts w:hint="eastAsia"/>
              </w:rPr>
              <w:t>用户管理</w:t>
            </w:r>
          </w:p>
        </w:tc>
        <w:tc>
          <w:tcPr>
            <w:tcW w:w="7124" w:type="dxa"/>
            <w:vAlign w:val="center"/>
          </w:tcPr>
          <w:p>
            <w:pPr>
              <w:ind w:firstLine="0" w:firstLineChars="0"/>
              <w:rPr>
                <w:rFonts w:hint="eastAsia" w:cs="微软雅黑"/>
              </w:rPr>
            </w:pPr>
            <w:r>
              <w:rPr>
                <w:rFonts w:hint="eastAsia"/>
              </w:rPr>
              <w:t>支持批量导入、导出用户信息；支持用户手动添加、删除、编辑、设定角色、单独指定登陆认证方式、设定用户有效期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continue"/>
            <w:vAlign w:val="center"/>
          </w:tcPr>
          <w:p>
            <w:pPr>
              <w:ind w:firstLine="0" w:firstLineChars="0"/>
              <w:rPr>
                <w:rFonts w:hint="eastAsia"/>
              </w:rPr>
            </w:pPr>
          </w:p>
        </w:tc>
        <w:tc>
          <w:tcPr>
            <w:tcW w:w="7124" w:type="dxa"/>
            <w:vAlign w:val="center"/>
          </w:tcPr>
          <w:p>
            <w:pPr>
              <w:ind w:firstLine="0" w:firstLineChars="0"/>
              <w:rPr>
                <w:rFonts w:hint="eastAsia" w:cs="微软雅黑"/>
              </w:rPr>
            </w:pPr>
            <w:r>
              <w:rPr>
                <w:rFonts w:hint="eastAsia" w:cs="微软雅黑"/>
              </w:rPr>
              <w:t>内置三员角色的同时支持角色灵活自定义，可根据用户实际的管理特性或特殊的安全管理组织架构，划分管理角色的管理范畴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restart"/>
            <w:vAlign w:val="center"/>
          </w:tcPr>
          <w:p>
            <w:pPr>
              <w:ind w:firstLine="0" w:firstLineChars="0"/>
              <w:rPr>
                <w:rFonts w:hint="eastAsia"/>
              </w:rPr>
            </w:pPr>
            <w:r>
              <w:rPr>
                <w:rFonts w:hint="eastAsia"/>
              </w:rPr>
              <w:t>运维授权</w:t>
            </w:r>
          </w:p>
        </w:tc>
        <w:tc>
          <w:tcPr>
            <w:tcW w:w="7124" w:type="dxa"/>
            <w:vAlign w:val="center"/>
          </w:tcPr>
          <w:p>
            <w:pPr>
              <w:ind w:firstLine="0" w:firstLineChars="0"/>
              <w:rPr>
                <w:rFonts w:hint="eastAsia" w:cs="微软雅黑"/>
              </w:rPr>
            </w:pPr>
            <w:r>
              <w:rPr>
                <w:rFonts w:hint="eastAsia"/>
              </w:rPr>
              <w:t>支持一对一、一对多、多对多授权，如将单个资产授权多个用户，一个用户授予多个资产，用户组向资产组授权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continue"/>
            <w:vAlign w:val="center"/>
          </w:tcPr>
          <w:p>
            <w:pPr>
              <w:ind w:firstLine="0" w:firstLineChars="0"/>
              <w:rPr>
                <w:rFonts w:hint="eastAsia"/>
              </w:rPr>
            </w:pPr>
          </w:p>
        </w:tc>
        <w:tc>
          <w:tcPr>
            <w:tcW w:w="7124" w:type="dxa"/>
            <w:vAlign w:val="center"/>
          </w:tcPr>
          <w:p>
            <w:pPr>
              <w:ind w:firstLine="0" w:firstLineChars="0"/>
              <w:rPr>
                <w:rFonts w:hint="eastAsia"/>
              </w:rPr>
            </w:pPr>
            <w:r>
              <w:rPr>
                <w:rFonts w:hint="eastAsia"/>
              </w:rPr>
              <w:t>支持在授权基础上自定义访问审批流程，可设置一级或多级审批人，每级审批可指定通过投票数，需逐级审批通过才可最终发起运维操作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rPr>
            </w:pPr>
            <w:r>
              <w:rPr>
                <w:rFonts w:hint="eastAsia"/>
              </w:rPr>
              <w:t>访问控制</w:t>
            </w:r>
          </w:p>
        </w:tc>
        <w:tc>
          <w:tcPr>
            <w:tcW w:w="7124" w:type="dxa"/>
            <w:vAlign w:val="center"/>
          </w:tcPr>
          <w:p>
            <w:pPr>
              <w:ind w:firstLine="0" w:firstLineChars="0"/>
              <w:rPr>
                <w:rFonts w:hint="eastAsia"/>
              </w:rPr>
            </w:pPr>
            <w:r>
              <w:rPr>
                <w:rFonts w:hint="eastAsia"/>
              </w:rPr>
              <w:t>支持命令黑命单，对字符型设备（如linux/unix/网络设备）的高危命令执行进行阻断，如rm、shutdown、reboot等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rPr>
            </w:pPr>
            <w:r>
              <w:rPr>
                <w:rFonts w:hint="eastAsia"/>
              </w:rPr>
              <w:t>运维方式</w:t>
            </w:r>
          </w:p>
        </w:tc>
        <w:tc>
          <w:tcPr>
            <w:tcW w:w="7124" w:type="dxa"/>
            <w:vAlign w:val="center"/>
          </w:tcPr>
          <w:p>
            <w:pPr>
              <w:ind w:firstLine="0" w:firstLineChars="0"/>
              <w:rPr>
                <w:rFonts w:hint="eastAsia"/>
              </w:rPr>
            </w:pPr>
            <w:r>
              <w:rPr>
                <w:rFonts w:hint="eastAsia" w:cs="微软雅黑"/>
              </w:rPr>
              <w:t>▲8支持web页面直接发起运维，无需安装任何控件，并同时支持调用</w:t>
            </w:r>
            <w:r>
              <w:rPr>
                <w:rFonts w:cs="微软雅黑"/>
              </w:rPr>
              <w:t>SecureCRT、Xshell、Putty、WinSCP、FileZilla、RDP等客户端工具实现单点登陆</w:t>
            </w:r>
            <w:r>
              <w:rPr>
                <w:rFonts w:hint="eastAsia" w:cs="微软雅黑"/>
              </w:rPr>
              <w:t>（提供功能截图）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restart"/>
            <w:vAlign w:val="center"/>
          </w:tcPr>
          <w:p>
            <w:pPr>
              <w:ind w:firstLine="0" w:firstLineChars="0"/>
              <w:rPr>
                <w:rFonts w:hint="eastAsia"/>
              </w:rPr>
            </w:pPr>
            <w:r>
              <w:rPr>
                <w:rFonts w:hint="eastAsia"/>
              </w:rPr>
              <w:t>审计日志</w:t>
            </w:r>
          </w:p>
        </w:tc>
        <w:tc>
          <w:tcPr>
            <w:tcW w:w="7124" w:type="dxa"/>
            <w:vAlign w:val="center"/>
          </w:tcPr>
          <w:p>
            <w:pPr>
              <w:ind w:firstLine="0" w:firstLineChars="0"/>
              <w:rPr>
                <w:rFonts w:hint="eastAsia" w:cs="微软雅黑"/>
              </w:rPr>
            </w:pPr>
            <w:r>
              <w:rPr>
                <w:rFonts w:hint="eastAsia"/>
              </w:rPr>
              <w:t>支持监控正在运维的会话，信息包括运维用户、运维客户端地址、资源地址、协议、开始时间等，并可以实时阻断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continue"/>
            <w:vAlign w:val="center"/>
          </w:tcPr>
          <w:p>
            <w:pPr>
              <w:ind w:firstLine="0" w:firstLineChars="0"/>
              <w:rPr>
                <w:rFonts w:hint="eastAsia"/>
              </w:rPr>
            </w:pPr>
          </w:p>
        </w:tc>
        <w:tc>
          <w:tcPr>
            <w:tcW w:w="7124" w:type="dxa"/>
            <w:vAlign w:val="center"/>
          </w:tcPr>
          <w:p>
            <w:pPr>
              <w:ind w:firstLine="0" w:firstLineChars="0"/>
              <w:rPr>
                <w:rFonts w:hint="eastAsia"/>
              </w:rPr>
            </w:pPr>
            <w:r>
              <w:rPr>
                <w:rFonts w:hint="eastAsia"/>
              </w:rPr>
              <w:t>支持</w:t>
            </w:r>
            <w:r>
              <w:t>对</w:t>
            </w:r>
            <w:r>
              <w:rPr>
                <w:rFonts w:hint="eastAsia"/>
              </w:rPr>
              <w:t>常见设备</w:t>
            </w:r>
            <w:r>
              <w:t>运维操作进行记录</w:t>
            </w:r>
            <w:r>
              <w:rPr>
                <w:rFonts w:hint="eastAsia"/>
              </w:rPr>
              <w:t>（至少</w:t>
            </w:r>
            <w:r>
              <w:t>包括linux</w:t>
            </w:r>
            <w:r>
              <w:rPr>
                <w:rFonts w:hint="eastAsia"/>
              </w:rPr>
              <w:t>/</w:t>
            </w:r>
            <w:r>
              <w:t>unix</w:t>
            </w:r>
            <w:r>
              <w:rPr>
                <w:rFonts w:hint="eastAsia"/>
              </w:rPr>
              <w:t>主机</w:t>
            </w:r>
            <w:r>
              <w:t>、网络设备</w:t>
            </w:r>
            <w:r>
              <w:rPr>
                <w:rFonts w:hint="eastAsia"/>
              </w:rPr>
              <w:t>等），审计</w:t>
            </w:r>
            <w:r>
              <w:t>信息</w:t>
            </w:r>
            <w:r>
              <w:rPr>
                <w:rFonts w:hint="eastAsia"/>
              </w:rPr>
              <w:t>至少包括以下内容：用户账户、起止</w:t>
            </w:r>
            <w:r>
              <w:t>时间</w:t>
            </w:r>
            <w:r>
              <w:rPr>
                <w:rFonts w:hint="eastAsia"/>
              </w:rPr>
              <w:t>、登陆IP、设备IP、设备名称、设备类型、访问账号、访问协议等</w:t>
            </w:r>
            <w: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Merge w:val="continue"/>
            <w:vAlign w:val="center"/>
          </w:tcPr>
          <w:p>
            <w:pPr>
              <w:ind w:firstLine="0" w:firstLineChars="0"/>
              <w:rPr>
                <w:rFonts w:hint="eastAsia"/>
              </w:rPr>
            </w:pPr>
          </w:p>
        </w:tc>
        <w:tc>
          <w:tcPr>
            <w:tcW w:w="7124" w:type="dxa"/>
            <w:vAlign w:val="center"/>
          </w:tcPr>
          <w:p>
            <w:pPr>
              <w:ind w:firstLine="0" w:firstLineChars="0"/>
              <w:rPr>
                <w:rFonts w:hint="eastAsia" w:cs="微软雅黑"/>
              </w:rPr>
            </w:pPr>
            <w:r>
              <w:rPr>
                <w:rFonts w:hint="eastAsia" w:cs="微软雅黑"/>
              </w:rPr>
              <w:t>支持标准S</w:t>
            </w:r>
            <w:r>
              <w:rPr>
                <w:rFonts w:cs="微软雅黑"/>
              </w:rPr>
              <w:t>NMP v1</w:t>
            </w:r>
            <w:r>
              <w:rPr>
                <w:rFonts w:hint="eastAsia" w:cs="微软雅黑"/>
              </w:rPr>
              <w:t>、</w:t>
            </w:r>
            <w:r>
              <w:rPr>
                <w:rFonts w:cs="微软雅黑"/>
              </w:rPr>
              <w:t>v2</w:t>
            </w:r>
            <w:r>
              <w:rPr>
                <w:rFonts w:hint="eastAsia" w:cs="微软雅黑"/>
              </w:rPr>
              <w:t>、</w:t>
            </w:r>
            <w:r>
              <w:rPr>
                <w:rFonts w:cs="微软雅黑"/>
              </w:rPr>
              <w:t>v3</w:t>
            </w:r>
            <w:r>
              <w:rPr>
                <w:rFonts w:hint="eastAsia" w:cs="微软雅黑"/>
              </w:rPr>
              <w:t>管理协议，支持syslog等标准日志格式外发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79" w:type="dxa"/>
            <w:vAlign w:val="center"/>
          </w:tcPr>
          <w:p>
            <w:pPr>
              <w:ind w:firstLine="0" w:firstLineChars="0"/>
              <w:rPr>
                <w:rFonts w:hint="eastAsia"/>
              </w:rPr>
            </w:pPr>
            <w:r>
              <w:rPr>
                <w:rFonts w:hint="eastAsia"/>
              </w:rPr>
              <w:t>客户端兼容</w:t>
            </w:r>
          </w:p>
        </w:tc>
        <w:tc>
          <w:tcPr>
            <w:tcW w:w="7124" w:type="dxa"/>
            <w:vAlign w:val="center"/>
          </w:tcPr>
          <w:p>
            <w:pPr>
              <w:ind w:firstLine="0" w:firstLineChars="0"/>
              <w:rPr>
                <w:rFonts w:hint="eastAsia" w:cstheme="minorBidi"/>
              </w:rPr>
            </w:pPr>
            <w:r>
              <w:rPr>
                <w:rFonts w:hint="eastAsia" w:cs="微软雅黑"/>
              </w:rPr>
              <w:t>▲9全面支持Windows、linux、国产麒麟系统、Android、IOS等客户端操作系统下的H5页面一站式运维，实现跨终端适应性</w:t>
            </w:r>
            <w:r>
              <w:rPr>
                <w:rFonts w:cs="微软雅黑"/>
              </w:rPr>
              <w:t>BYOD</w:t>
            </w:r>
            <w:r>
              <w:rPr>
                <w:rFonts w:hint="eastAsia" w:cs="微软雅黑"/>
              </w:rPr>
              <w:t>（</w:t>
            </w:r>
            <w:r>
              <w:rPr>
                <w:rFonts w:cs="微软雅黑"/>
              </w:rPr>
              <w:t>Bring Your Own Device</w:t>
            </w:r>
            <w:r>
              <w:rPr>
                <w:rFonts w:hint="eastAsia" w:cs="微软雅黑"/>
              </w:rPr>
              <w:t>）（提供功能截图）</w:t>
            </w:r>
          </w:p>
        </w:tc>
      </w:tr>
    </w:tbl>
    <w:p>
      <w:pPr>
        <w:ind w:firstLine="0" w:firstLineChars="0"/>
        <w:rPr>
          <w:rFonts w:hint="eastAsia"/>
          <w:b/>
          <w:bCs/>
        </w:rPr>
      </w:pPr>
    </w:p>
    <w:p>
      <w:pPr>
        <w:pStyle w:val="3"/>
        <w:rPr>
          <w:rFonts w:hint="eastAsia"/>
          <w:color w:val="000000"/>
        </w:rPr>
      </w:pPr>
      <w:r>
        <w:rPr>
          <w:rFonts w:hint="eastAsia"/>
          <w:color w:val="000000"/>
        </w:rPr>
        <w:t>日志审计</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blHeader/>
          <w:jc w:val="center"/>
        </w:trPr>
        <w:tc>
          <w:tcPr>
            <w:tcW w:w="1107" w:type="dxa"/>
            <w:shd w:val="clear" w:color="auto" w:fill="D9D9D9"/>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功能项</w:t>
            </w:r>
          </w:p>
        </w:tc>
        <w:tc>
          <w:tcPr>
            <w:tcW w:w="7110" w:type="dxa"/>
            <w:shd w:val="clear" w:color="auto" w:fill="D9D9D9"/>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硬件要求</w:t>
            </w:r>
          </w:p>
        </w:tc>
        <w:tc>
          <w:tcPr>
            <w:tcW w:w="7110" w:type="dxa"/>
            <w:vAlign w:val="center"/>
          </w:tcPr>
          <w:p>
            <w:pPr>
              <w:ind w:firstLine="0" w:firstLineChars="0"/>
              <w:rPr>
                <w:rFonts w:hint="eastAsia"/>
                <w:color w:val="000000" w:themeColor="text1"/>
                <w14:textFill>
                  <w14:solidFill>
                    <w14:schemeClr w14:val="tx1"/>
                  </w14:solidFill>
                </w14:textFill>
              </w:rPr>
            </w:pPr>
            <w:r>
              <w:rPr>
                <w:rFonts w:hint="eastAsia"/>
              </w:rPr>
              <w:t>不少于6个千兆电口，2个万兆光口，内存≥16G，硬盘容量≥128G SSD+4TB SATA，冗余电源。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性能要求</w:t>
            </w:r>
          </w:p>
        </w:tc>
        <w:tc>
          <w:tcPr>
            <w:tcW w:w="7110"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可用存储量</w:t>
            </w:r>
            <w:r>
              <w:rPr>
                <w:rFonts w:hint="eastAsia"/>
              </w:rPr>
              <w:t>≥4TB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国产化</w:t>
            </w:r>
          </w:p>
        </w:tc>
        <w:tc>
          <w:tcPr>
            <w:tcW w:w="7110"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产品采用国产化芯片和操作系统。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Merge w:val="restart"/>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日志采集</w:t>
            </w:r>
          </w:p>
        </w:tc>
        <w:tc>
          <w:tcPr>
            <w:tcW w:w="7110"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支持主动、被动相结合的数据采集方式，支持通过Agent采集日志数据，支持通过syslog、SNMP Trap、JDBC、WMI、webservice、FTP、文件\文件夹读取、Kafka等多种方式完成日志收集；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Merge w:val="continue"/>
            <w:vAlign w:val="center"/>
          </w:tcPr>
          <w:p>
            <w:pPr>
              <w:ind w:firstLine="0" w:firstLineChars="0"/>
              <w:rPr>
                <w:rFonts w:hint="eastAsia"/>
                <w:color w:val="000000" w:themeColor="text1"/>
                <w14:textFill>
                  <w14:solidFill>
                    <w14:schemeClr w14:val="tx1"/>
                  </w14:solidFill>
                </w14:textFill>
              </w:rPr>
            </w:pPr>
          </w:p>
        </w:tc>
        <w:tc>
          <w:tcPr>
            <w:tcW w:w="7110" w:type="dxa"/>
            <w:vAlign w:val="center"/>
          </w:tcPr>
          <w:p>
            <w:pPr>
              <w:ind w:firstLine="0" w:firstLineChars="0"/>
              <w:rPr>
                <w:rFonts w:hint="eastAsia"/>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10支持接入TLS加密方式的日志，支持对日志传输状态、最近同步时间进行监控，可统计每个日志源的今日传输量和传输总量。（需提供截图证明）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日志标准化</w:t>
            </w:r>
          </w:p>
        </w:tc>
        <w:tc>
          <w:tcPr>
            <w:tcW w:w="7110" w:type="dxa"/>
            <w:vAlign w:val="center"/>
          </w:tcPr>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支持通过正则、分隔符、json、xml的可视方式进行自定义规则解析，支持对解析结果字段的新增、合并、映射。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日志过滤</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支持对每个日志源设置过滤条件规则，自动过滤无用日志，满足根据实际业务需求减少采集对象发送到核心服务器的安全事件数，减少对网络带宽和数据库存储空间的占用。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日志转发</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支持对单个/多个日志源批量转发，支持定时转发，可通过syslog和kafka方式转发到第三方平台，并且支持转发原始日志和已解析日志的两种日志。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日志存储</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11支持日志文件备份到外置存储节点，支持ISCSI存储方式，并可查看外置存储容量、状态等信息。支持以FTP方式将日志数据备份至外部存储空间，支持备份数据的恢复和查询；（需提供截图证明）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Merge w:val="restart"/>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全文检索</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12支持通配符、范围搜索、字段等多种输入方式、搜索框模糊搜索、指定语段进行语法搜索；可根据时间、严重等级等进行组合查询；可根据具体设备、来源/目的所属（可具体到外网、内网资产等）、IP地址、特征ID、URL进行具体条件搜索；支持可设置定时刷新频率，根据刷新时间显示实时接入日志事件；（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Merge w:val="continue"/>
            <w:vAlign w:val="center"/>
          </w:tcPr>
          <w:p>
            <w:pPr>
              <w:ind w:firstLine="0" w:firstLineChars="0"/>
              <w:rPr>
                <w:rFonts w:hint="eastAsia"/>
                <w:color w:val="000000" w:themeColor="text1"/>
                <w:highlight w:val="green"/>
                <w14:textFill>
                  <w14:solidFill>
                    <w14:schemeClr w14:val="tx1"/>
                  </w14:solidFill>
                </w14:textFill>
              </w:rPr>
            </w:pP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支持解码小工具，按照不同的解码方式解码成不同的目标内容，编码格式包括base64、Unicode、GBK、HEX、UTF-8等；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日志分析</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支持自定义审计规则与关联规则，支持网站攻击、漏洞利用、C&amp;C通信、暴力破解、拒绝服务、主机脆弱性、主机异常、恶意软件、账号异常、权限异常、侦查探测等内置关联分析规则，内置关联分析规则数量达到350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日志告警</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支持告警事件归并、告警确认和告警归档，支持基于频率、频次、时间的设定条件。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107"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系统管理</w:t>
            </w:r>
          </w:p>
        </w:tc>
        <w:tc>
          <w:tcPr>
            <w:tcW w:w="7110" w:type="dxa"/>
            <w:vAlign w:val="center"/>
          </w:tcPr>
          <w:p>
            <w:pPr>
              <w:ind w:firstLine="0" w:firstLineChars="0"/>
              <w:rPr>
                <w:rFonts w:hint="eastAsia"/>
                <w:color w:val="000000" w:themeColor="text1"/>
                <w:highlight w:val="green"/>
                <w14:textFill>
                  <w14:solidFill>
                    <w14:schemeClr w14:val="tx1"/>
                  </w14:solidFill>
                </w14:textFill>
              </w:rPr>
            </w:pPr>
            <w:r>
              <w:rPr>
                <w:rFonts w:hint="eastAsia"/>
                <w:color w:val="000000" w:themeColor="text1"/>
                <w14:textFill>
                  <w14:solidFill>
                    <w14:schemeClr w14:val="tx1"/>
                  </w14:solidFill>
                </w14:textFill>
              </w:rPr>
              <w:t>提供管理员账号创建、修改、删除，并可针对创建的管理员进行权限设置；支持IP免登录，指定IP免认证直接进入平台；支持只允许某些IP登录平台；支持页面权限配置和资产范围配置，用于管理账号权限，满足用户三权分立的需求；支持usb-key认证。</w:t>
            </w:r>
          </w:p>
        </w:tc>
      </w:tr>
    </w:tbl>
    <w:p>
      <w:pPr>
        <w:ind w:firstLine="0" w:firstLineChars="0"/>
        <w:rPr>
          <w:rFonts w:hint="eastAsia"/>
        </w:rPr>
      </w:pPr>
    </w:p>
    <w:p>
      <w:pPr>
        <w:pStyle w:val="3"/>
        <w:rPr>
          <w:rFonts w:hint="eastAsia"/>
          <w:color w:val="000000"/>
        </w:rPr>
      </w:pPr>
      <w:r>
        <w:rPr>
          <w:rFonts w:hint="eastAsia"/>
          <w:color w:val="000000"/>
        </w:rPr>
        <w:t>APT</w:t>
      </w:r>
    </w:p>
    <w:tbl>
      <w:tblPr>
        <w:tblStyle w:val="35"/>
        <w:tblW w:w="82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6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05" w:type="dxa"/>
            <w:tcBorders>
              <w:top w:val="single" w:color="auto" w:sz="4" w:space="0"/>
              <w:left w:val="single" w:color="auto" w:sz="4" w:space="0"/>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b/>
                <w:bCs/>
                <w:color w:val="000000"/>
              </w:rPr>
              <w:t>功能</w:t>
            </w:r>
            <w:r>
              <w:rPr>
                <w:rFonts w:hint="eastAsia"/>
                <w:b/>
                <w:bCs/>
                <w:color w:val="000000"/>
              </w:rPr>
              <w:t>项</w:t>
            </w:r>
          </w:p>
        </w:tc>
        <w:tc>
          <w:tcPr>
            <w:tcW w:w="6991" w:type="dxa"/>
            <w:tcBorders>
              <w:top w:val="single" w:color="auto" w:sz="4" w:space="0"/>
              <w:left w:val="nil"/>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rFonts w:hint="eastAsia"/>
                <w:b/>
                <w:bCs/>
                <w:color w:val="000000"/>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bCs/>
              </w:rPr>
              <w:t>硬件</w:t>
            </w:r>
            <w:r>
              <w:rPr>
                <w:rFonts w:hint="eastAsia"/>
                <w:bCs/>
              </w:rPr>
              <w:t>性能</w:t>
            </w:r>
            <w:r>
              <w:rPr>
                <w:bCs/>
              </w:rPr>
              <w:t>参数</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不少于6个千兆电口，不少于2个</w:t>
            </w:r>
            <w:r>
              <w:rPr>
                <w:rFonts w:hint="eastAsia"/>
                <w:bCs/>
              </w:rPr>
              <w:t>万</w:t>
            </w:r>
            <w:r>
              <w:rPr>
                <w:bCs/>
              </w:rPr>
              <w:t>兆光口</w:t>
            </w:r>
            <w:r>
              <w:rPr>
                <w:rFonts w:hint="eastAsia"/>
                <w:bCs/>
              </w:rPr>
              <w:t>；内存</w:t>
            </w:r>
            <w:r>
              <w:rPr>
                <w:bCs/>
              </w:rPr>
              <w:t>≥16G</w:t>
            </w:r>
            <w:r>
              <w:rPr>
                <w:rFonts w:hint="eastAsia"/>
                <w:bCs/>
              </w:rPr>
              <w:t>，硬盘容量</w:t>
            </w:r>
            <w:r>
              <w:rPr>
                <w:bCs/>
              </w:rPr>
              <w:t>≥4T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5" w:type="dxa"/>
            <w:tcBorders>
              <w:top w:val="nil"/>
              <w:left w:val="single" w:color="auto" w:sz="4" w:space="0"/>
              <w:right w:val="single" w:color="auto" w:sz="4" w:space="0"/>
            </w:tcBorders>
            <w:vAlign w:val="center"/>
          </w:tcPr>
          <w:p>
            <w:pPr>
              <w:ind w:firstLine="0" w:firstLineChars="0"/>
              <w:jc w:val="center"/>
              <w:rPr>
                <w:rFonts w:hint="eastAsia"/>
                <w:bCs/>
              </w:rPr>
            </w:pPr>
            <w:r>
              <w:rPr>
                <w:bCs/>
              </w:rPr>
              <w:t>安全分析大屏</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w:t>
            </w:r>
            <w:r>
              <w:rPr>
                <w:rFonts w:hint="eastAsia"/>
                <w:bCs/>
              </w:rPr>
              <w:t>13支持安全态势的可视化呈现，以大屏的方式从全网安全态势感知大屏、安全事件态势、资产监控大屏、脆弱性态势、全球网络攻击态势、外联风险监控大屏、横向威胁态势等提供不少于7块大屏展示界面（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vMerge w:val="restart"/>
            <w:tcBorders>
              <w:top w:val="nil"/>
              <w:left w:val="single" w:color="auto" w:sz="4" w:space="0"/>
              <w:right w:val="single" w:color="auto" w:sz="4" w:space="0"/>
            </w:tcBorders>
            <w:vAlign w:val="center"/>
          </w:tcPr>
          <w:p>
            <w:pPr>
              <w:ind w:firstLine="0" w:firstLineChars="0"/>
              <w:jc w:val="center"/>
              <w:rPr>
                <w:rFonts w:hint="eastAsia"/>
                <w:bCs/>
              </w:rPr>
            </w:pPr>
            <w:r>
              <w:rPr>
                <w:rFonts w:hint="eastAsia"/>
                <w:bCs/>
              </w:rPr>
              <w:t>资产中心</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rFonts w:hint="eastAsia"/>
                <w:bCs/>
              </w:rPr>
              <w:t>支持主机类资产识别，能够识别资产数据来源、IP地址、主机名、MAC地址、操作系统、操作系统详请、主机类型、服务与端口、状态、责任人、EDR状态、标签、最近上线时间、所属资产组、资产名称、应用、IP类型、识别方式、首次发现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305" w:type="dxa"/>
            <w:vMerge w:val="continue"/>
            <w:tcBorders>
              <w:left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w:t>
            </w:r>
            <w:r>
              <w:rPr>
                <w:rFonts w:hint="eastAsia"/>
                <w:bCs/>
              </w:rPr>
              <w:t>14支持自定义资产多级分支管理，最多可至15级分支。支持责任人管理功能，可对资产进行全生命周期管理，包括自动识别资产、入库审核、离线资产识别、数据更新、主机资产退库、自定义资产名称等（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restart"/>
            <w:tcBorders>
              <w:top w:val="nil"/>
              <w:left w:val="single" w:color="auto" w:sz="4" w:space="0"/>
              <w:right w:val="single" w:color="auto" w:sz="4" w:space="0"/>
            </w:tcBorders>
            <w:vAlign w:val="center"/>
          </w:tcPr>
          <w:p>
            <w:pPr>
              <w:ind w:firstLine="0" w:firstLineChars="0"/>
              <w:jc w:val="center"/>
              <w:rPr>
                <w:rFonts w:hint="eastAsia"/>
                <w:bCs/>
              </w:rPr>
            </w:pPr>
            <w:r>
              <w:rPr>
                <w:bCs/>
              </w:rPr>
              <w:t>告警中心</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支持待处置安全事件描述、事件标签、攻击阶段、事件分类、失陷确定性、威胁等级、风险主机统计、发生时间、处理状态以及自定义待处置事件；支持攻击阶段分布和事件类型分布，热点事件统计。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continue"/>
            <w:tcBorders>
              <w:left w:val="single" w:color="auto" w:sz="4" w:space="0"/>
              <w:bottom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rFonts w:hint="eastAsia"/>
                <w:bCs/>
              </w:rPr>
              <w:t>支持将发生的所有安全事件默认按照处置状态，威胁等级，确定性等级，时间这四个字段排序，并结合事件类型、攻击结果、攻击阶段、处置状态、事件统计和事件趋势等进行统计和过滤显示、可设置关注的安全事件，可实时监控发生的安全事件，能复制攻击</w:t>
            </w:r>
            <w:r>
              <w:rPr>
                <w:bCs/>
              </w:rPr>
              <w:t>IP、XFF代理，并能够基于HTTP状态码进行事件筛选。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restart"/>
            <w:tcBorders>
              <w:top w:val="nil"/>
              <w:left w:val="single" w:color="auto" w:sz="4" w:space="0"/>
              <w:right w:val="single" w:color="auto" w:sz="4" w:space="0"/>
            </w:tcBorders>
            <w:vAlign w:val="center"/>
          </w:tcPr>
          <w:p>
            <w:pPr>
              <w:ind w:firstLine="0" w:firstLineChars="0"/>
              <w:jc w:val="center"/>
              <w:rPr>
                <w:rFonts w:hint="eastAsia"/>
                <w:bCs/>
              </w:rPr>
            </w:pPr>
            <w:r>
              <w:rPr>
                <w:bCs/>
              </w:rPr>
              <w:t>分析中心</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rFonts w:hint="eastAsia"/>
                <w:bCs/>
              </w:rPr>
              <w:t>支持安全检测日志，日志类型包括脆弱性风险、访问风险、服务探测、主机探测、网站攻击、后门通信、暴力破解、攻击利用、邮件攻击、DOS攻击、黑链、漏洞攻击、黑客工具、数据库攻击利用、访问恶意文件、感染病毒、主机异常、网络行为异常、流量异常、登录异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continue"/>
            <w:tcBorders>
              <w:left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tcPr>
          <w:p>
            <w:pPr>
              <w:ind w:firstLine="0" w:firstLineChars="0"/>
              <w:rPr>
                <w:rFonts w:hint="eastAsia"/>
                <w:bCs/>
              </w:rPr>
            </w:pPr>
            <w:r>
              <w:rPr>
                <w:rFonts w:hint="eastAsia"/>
                <w:bCs/>
              </w:rPr>
              <w:t>支持勒索专项检测页面，对勒索主题的安全告警进行展示和管理，支持以勒索病毒的感染途径/方式为维度进行分类，包括勒索常用端口、勒索常用漏洞、RDP爆破、感染勒索病毒、黑客勒索攻击、勒索C&amp;C通信等维度，支持展示受害资产以及受害资产攻击数Top5，支持以列表的形式展示勒索事件，包括最近发生时间、威胁描述、勒索风险、攻击阶段、威胁等级、受害者IP、受害者资产类型、攻击者IP、攻击次数、处置状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continue"/>
            <w:tcBorders>
              <w:left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tcPr>
          <w:p>
            <w:pPr>
              <w:ind w:firstLine="0" w:firstLineChars="0"/>
              <w:rPr>
                <w:rFonts w:hint="eastAsia"/>
                <w:bCs/>
              </w:rPr>
            </w:pPr>
            <w:r>
              <w:rPr>
                <w:rFonts w:hint="eastAsia"/>
                <w:bCs/>
              </w:rPr>
              <w:t>▲15支持挖矿专项检测页面，支持基于规则的本地挖矿检测和基于主动探测技术的云端挖矿检测，支持挖矿实时检测播报本地和云端的挖矿检测分析结果，支持基于攻击阶段展示挖矿主机数量，支持以列表的形式展示挖矿事件，包括最近发生时间、威胁描述、挖矿阶段、攻击阶段、威胁等级、受害者IP、受害者资产类型、攻击者IP、攻击次数、威胁情报、处置状态等（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305" w:type="dxa"/>
            <w:vMerge w:val="continue"/>
            <w:tcBorders>
              <w:left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rFonts w:hint="eastAsia"/>
                <w:bCs/>
              </w:rPr>
              <w:t>支持对威胁情报的安全告警做专项性分析，比如通过情报匹配的风险主机分布、威胁趋势分析，将发生的所有安全事件默认按照处置状态，威胁等级，确定性等级，攻击结果、事件类型等维度进行筛选展示，并结合攻击阶段、事件统计和事件趋势等进行统计和显示、可实时监控发生的安全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5" w:type="dxa"/>
            <w:vMerge w:val="continue"/>
            <w:tcBorders>
              <w:left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支持文件威胁分析，可展示文件分析过程、文件检测趋势、恶意文件TOP5；支持恶意文件的详情分析，包括支持记录恶意文件感染的主机、所属IP、文件名、病毒名称、传输协议等；支持导出文件威胁分析结果。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5" w:type="dxa"/>
            <w:vMerge w:val="restart"/>
            <w:tcBorders>
              <w:top w:val="nil"/>
              <w:left w:val="single" w:color="auto" w:sz="4" w:space="0"/>
              <w:right w:val="single" w:color="auto" w:sz="4" w:space="0"/>
            </w:tcBorders>
            <w:vAlign w:val="center"/>
          </w:tcPr>
          <w:p>
            <w:pPr>
              <w:ind w:firstLine="0" w:firstLineChars="0"/>
              <w:jc w:val="center"/>
              <w:rPr>
                <w:rFonts w:hint="eastAsia"/>
                <w:bCs/>
              </w:rPr>
            </w:pPr>
            <w:r>
              <w:rPr>
                <w:bCs/>
              </w:rPr>
              <w:t>溯源中心</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支持安全检测日志、审计日志存储；日志类型包括漏洞利用攻击、网站攻击、僵尸网络、业务弱点、DOS攻击、邮件安全、文件安全、网络流量、DNS、HTTP、POP3、SMTP、IMAP等。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05" w:type="dxa"/>
            <w:vMerge w:val="continue"/>
            <w:tcBorders>
              <w:left w:val="single" w:color="auto" w:sz="4" w:space="0"/>
              <w:bottom w:val="single" w:color="auto" w:sz="4" w:space="0"/>
              <w:right w:val="single" w:color="auto" w:sz="4" w:space="0"/>
            </w:tcBorders>
            <w:vAlign w:val="center"/>
          </w:tcPr>
          <w:p>
            <w:pPr>
              <w:ind w:firstLine="0" w:firstLineChars="0"/>
              <w:jc w:val="center"/>
              <w:rPr>
                <w:rFonts w:hint="eastAsia"/>
                <w:bCs/>
              </w:rPr>
            </w:pP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日志检索：可根据时间、攻击类型、严重等级等选择项进行组合查询；根据具体设备、来源/目的所属（可具体到外网、内网资产等）、IP地址、特征ID、URL进行具体条件搜索。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bCs/>
              </w:rPr>
              <w:t>报表中心</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支持展示需要处理的风险主机与风险状况报告，报告内容包括业务与终端风险、业务风险与终端详情分析，提供危害解释和参考解决方案；适用于日常处理安全问题的运维人员。</w:t>
            </w:r>
          </w:p>
        </w:tc>
      </w:tr>
    </w:tbl>
    <w:p>
      <w:pPr>
        <w:ind w:firstLine="0" w:firstLineChars="0"/>
        <w:rPr>
          <w:rFonts w:hint="eastAsia"/>
        </w:rPr>
      </w:pPr>
    </w:p>
    <w:p>
      <w:pPr>
        <w:pStyle w:val="3"/>
        <w:rPr>
          <w:rFonts w:hint="eastAsia"/>
          <w:color w:val="000000"/>
        </w:rPr>
      </w:pPr>
      <w:r>
        <w:rPr>
          <w:rFonts w:hint="eastAsia"/>
          <w:color w:val="000000"/>
        </w:rPr>
        <w:t>核心交换机</w:t>
      </w:r>
    </w:p>
    <w:tbl>
      <w:tblPr>
        <w:tblStyle w:val="35"/>
        <w:tblW w:w="82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6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05" w:type="dxa"/>
            <w:tcBorders>
              <w:top w:val="single" w:color="auto" w:sz="4" w:space="0"/>
              <w:left w:val="single" w:color="auto" w:sz="4" w:space="0"/>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b/>
                <w:bCs/>
                <w:color w:val="000000"/>
              </w:rPr>
              <w:t>功能</w:t>
            </w:r>
            <w:r>
              <w:rPr>
                <w:rFonts w:hint="eastAsia"/>
                <w:b/>
                <w:bCs/>
                <w:color w:val="000000"/>
              </w:rPr>
              <w:t>项</w:t>
            </w:r>
          </w:p>
        </w:tc>
        <w:tc>
          <w:tcPr>
            <w:tcW w:w="6991" w:type="dxa"/>
            <w:tcBorders>
              <w:top w:val="single" w:color="auto" w:sz="4" w:space="0"/>
              <w:left w:val="nil"/>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rFonts w:hint="eastAsia"/>
                <w:b/>
                <w:bCs/>
                <w:color w:val="000000"/>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硬件参数</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t>48个电口，4个万兆集群端口*2，24个万兆光口+24个千兆光口，双电源，含SFP+-10G-高速电缆-3m，2个万兆多摸光模块，2个万兆单模光模块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交换容量</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t>76.8/336Tbps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VLAN</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4K 个 VLAN</w:t>
            </w:r>
          </w:p>
          <w:p>
            <w:pPr>
              <w:ind w:firstLine="0" w:firstLineChars="0"/>
              <w:rPr>
                <w:rFonts w:hint="eastAsia"/>
                <w:bCs/>
              </w:rPr>
            </w:pPr>
            <w:r>
              <w:rPr>
                <w:bCs/>
              </w:rPr>
              <w:t>支持 Access、Trunk、Hybrid 方式，支持 LNP 链路类型自协商</w:t>
            </w:r>
          </w:p>
          <w:p>
            <w:pPr>
              <w:ind w:firstLine="0" w:firstLineChars="0"/>
              <w:rPr>
                <w:rFonts w:hint="eastAsia"/>
                <w:bCs/>
              </w:rPr>
            </w:pPr>
            <w:r>
              <w:rPr>
                <w:bCs/>
              </w:rPr>
              <w:t>支持 VLAN 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ARP</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ARP Snooping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环网保护技术</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STP（IEEE 802.1d），RSTP（IEEE 802.1w）和 MSTP（IEEE 802.1s）</w:t>
            </w:r>
          </w:p>
          <w:p>
            <w:pPr>
              <w:ind w:firstLine="0" w:firstLineChars="0"/>
              <w:rPr>
                <w:rFonts w:hint="eastAsia"/>
                <w:bCs/>
              </w:rPr>
            </w:pPr>
            <w:r>
              <w:rPr>
                <w:bCs/>
              </w:rPr>
              <w:t>支持 BPDU 保护、Root 保护、环路保护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IP路由</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RIP、OSPF、ISIS、BGP 等 IPv4 动态路由协议</w:t>
            </w:r>
          </w:p>
          <w:p>
            <w:pPr>
              <w:ind w:firstLine="0" w:firstLineChars="0"/>
              <w:rPr>
                <w:rFonts w:hint="eastAsia"/>
                <w:bCs/>
              </w:rPr>
            </w:pPr>
            <w:r>
              <w:rPr>
                <w:bCs/>
              </w:rPr>
              <w:t>支持 RIPng、OSPFv3、ISISv6、BGP4+等 IPv6 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bCs/>
              </w:rPr>
              <w:t>可靠性</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LACP、支持跨设备 E-Trunk</w:t>
            </w:r>
          </w:p>
          <w:p>
            <w:pPr>
              <w:ind w:firstLine="0" w:firstLineChars="0"/>
              <w:rPr>
                <w:rFonts w:hint="eastAsia"/>
                <w:bCs/>
              </w:rPr>
            </w:pPr>
            <w:r>
              <w:rPr>
                <w:bCs/>
              </w:rPr>
              <w:t>支持 VRRP、BFD for VRRP</w:t>
            </w:r>
          </w:p>
          <w:p>
            <w:pPr>
              <w:ind w:firstLine="0" w:firstLineChars="0"/>
              <w:rPr>
                <w:rFonts w:hint="eastAsia"/>
                <w:bCs/>
              </w:rPr>
            </w:pPr>
            <w:r>
              <w:rPr>
                <w:bCs/>
              </w:rPr>
              <w:t>支持 BFD for BGP/IS-IS/OSPF/静态路由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bCs/>
              </w:rPr>
              <w:t>安全和管理</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802.1x 认证，Portal 认证</w:t>
            </w:r>
          </w:p>
          <w:p>
            <w:pPr>
              <w:ind w:firstLine="0" w:firstLineChars="0"/>
              <w:rPr>
                <w:rFonts w:hint="eastAsia"/>
                <w:bCs/>
              </w:rPr>
            </w:pPr>
            <w:r>
              <w:rPr>
                <w:bCs/>
              </w:rPr>
              <w:t>支持防范 DoS 攻击、TCP 的 SYN Flood 攻击、UDP Flood 攻击、广播风暴攻击、大流量攻击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质保</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rPr>
            </w:pPr>
            <w:r>
              <w:rPr>
                <w:rFonts w:hint="eastAsia"/>
              </w:rPr>
              <w:t>硬件质保三年</w:t>
            </w:r>
          </w:p>
        </w:tc>
      </w:tr>
    </w:tbl>
    <w:p>
      <w:pPr>
        <w:rPr>
          <w:rFonts w:hint="eastAsia"/>
        </w:rPr>
      </w:pPr>
    </w:p>
    <w:p>
      <w:pPr>
        <w:pStyle w:val="3"/>
        <w:rPr>
          <w:rFonts w:hint="eastAsia"/>
          <w:color w:val="000000"/>
        </w:rPr>
      </w:pPr>
      <w:r>
        <w:rPr>
          <w:rFonts w:hint="eastAsia"/>
          <w:color w:val="000000"/>
        </w:rPr>
        <w:t>接入交换机</w:t>
      </w:r>
    </w:p>
    <w:tbl>
      <w:tblPr>
        <w:tblStyle w:val="35"/>
        <w:tblW w:w="82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6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05" w:type="dxa"/>
            <w:tcBorders>
              <w:top w:val="single" w:color="auto" w:sz="4" w:space="0"/>
              <w:left w:val="single" w:color="auto" w:sz="4" w:space="0"/>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b/>
                <w:bCs/>
                <w:color w:val="000000"/>
              </w:rPr>
              <w:t>功能</w:t>
            </w:r>
            <w:r>
              <w:rPr>
                <w:rFonts w:hint="eastAsia"/>
                <w:b/>
                <w:bCs/>
                <w:color w:val="000000"/>
              </w:rPr>
              <w:t>项</w:t>
            </w:r>
          </w:p>
        </w:tc>
        <w:tc>
          <w:tcPr>
            <w:tcW w:w="6991" w:type="dxa"/>
            <w:tcBorders>
              <w:top w:val="single" w:color="auto" w:sz="4" w:space="0"/>
              <w:left w:val="nil"/>
              <w:bottom w:val="single" w:color="auto" w:sz="4" w:space="0"/>
              <w:right w:val="single" w:color="auto" w:sz="4" w:space="0"/>
            </w:tcBorders>
            <w:shd w:val="clear" w:color="auto" w:fill="D9D9D9"/>
            <w:vAlign w:val="center"/>
          </w:tcPr>
          <w:p>
            <w:pPr>
              <w:ind w:firstLine="0" w:firstLineChars="0"/>
              <w:jc w:val="center"/>
              <w:rPr>
                <w:rFonts w:hint="eastAsia"/>
                <w:b/>
                <w:bCs/>
                <w:color w:val="000000"/>
              </w:rPr>
            </w:pPr>
            <w:r>
              <w:rPr>
                <w:rFonts w:hint="eastAsia"/>
                <w:b/>
                <w:bCs/>
                <w:color w:val="000000"/>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硬件参数</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t>48个电口,4个万兆光口，含SFP+-10G-高速电缆-3m，1个万兆多模光模块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bCs/>
              </w:rPr>
              <w:t>VLAN 特性</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4K VLAN</w:t>
            </w:r>
          </w:p>
          <w:p>
            <w:pPr>
              <w:ind w:firstLine="0" w:firstLineChars="0"/>
              <w:rPr>
                <w:rFonts w:hint="eastAsia"/>
                <w:bCs/>
              </w:rPr>
            </w:pPr>
            <w:r>
              <w:rPr>
                <w:bCs/>
              </w:rPr>
              <w:t>支持基于 MAC/协议/IP 子网/策略/端口的 VLAN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IP路由</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rPr>
            </w:pPr>
            <w:r>
              <w:t>静态路由、RIPv1/2、RIPng、OSPF、OSPFv3、ECMP、ISIS、ISISv6、BGP、BGP4+、VRRP、VRRP6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IPv</w:t>
            </w:r>
            <w:r>
              <w:rPr>
                <w:bCs/>
              </w:rPr>
              <w:t>6</w:t>
            </w:r>
            <w:r>
              <w:rPr>
                <w:rFonts w:hint="eastAsia"/>
                <w:bCs/>
              </w:rPr>
              <w:t>特性</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支持 IPv6 Ping、IPv6 Tracert、IPv6 Telnet</w:t>
            </w:r>
          </w:p>
          <w:p>
            <w:pPr>
              <w:ind w:firstLine="0" w:firstLineChars="0"/>
              <w:rPr>
                <w:rFonts w:hint="eastAsia"/>
                <w:bCs/>
              </w:rPr>
            </w:pPr>
            <w:r>
              <w:rPr>
                <w:bCs/>
              </w:rPr>
              <w:t>支持 6to4、ISATAP、手动配置 tunnel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安全特性</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bCs/>
              </w:rPr>
            </w:pPr>
            <w:r>
              <w:rPr>
                <w:bCs/>
              </w:rPr>
              <w:t>用户分级管理和口令保护</w:t>
            </w:r>
          </w:p>
          <w:p>
            <w:pPr>
              <w:ind w:firstLine="0" w:firstLineChars="0"/>
              <w:rPr>
                <w:rFonts w:hint="eastAsia"/>
                <w:bCs/>
              </w:rPr>
            </w:pPr>
            <w:r>
              <w:rPr>
                <w:bCs/>
              </w:rPr>
              <w:t>支持防止 DOS、ARP 攻击功能、ICMP 防攻击</w:t>
            </w:r>
          </w:p>
          <w:p>
            <w:pPr>
              <w:ind w:firstLine="0" w:firstLineChars="0"/>
              <w:rPr>
                <w:rFonts w:hint="eastAsia"/>
                <w:bCs/>
              </w:rPr>
            </w:pPr>
            <w:r>
              <w:rPr>
                <w:bCs/>
              </w:rPr>
              <w:t>支持 IP、MAC、端口、VLAN 的组合绑定</w:t>
            </w:r>
          </w:p>
          <w:p>
            <w:pPr>
              <w:ind w:firstLine="0" w:firstLineChars="0"/>
              <w:rPr>
                <w:rFonts w:hint="eastAsia"/>
                <w:bCs/>
              </w:rPr>
            </w:pPr>
            <w:r>
              <w:rPr>
                <w:bCs/>
              </w:rPr>
              <w:t>支持端口隔离、端口安全、Sticky MAC</w:t>
            </w:r>
          </w:p>
          <w:p>
            <w:pPr>
              <w:ind w:firstLine="0" w:firstLineChars="0"/>
              <w:rPr>
                <w:rFonts w:hint="eastAsia"/>
                <w:bCs/>
              </w:rPr>
            </w:pPr>
            <w:r>
              <w:rPr>
                <w:bCs/>
              </w:rPr>
              <w:t>支持 AAA 认证，支持 Radius、HWTACACS、NAC 等多种方式</w:t>
            </w:r>
          </w:p>
          <w:p>
            <w:pPr>
              <w:ind w:firstLine="0" w:firstLineChars="0"/>
              <w:rPr>
                <w:rFonts w:hint="eastAsia"/>
                <w:bCs/>
              </w:rPr>
            </w:pPr>
            <w:r>
              <w:rPr>
                <w:bCs/>
              </w:rPr>
              <w:t>支持 SSH V2.0</w:t>
            </w:r>
          </w:p>
          <w:p>
            <w:pPr>
              <w:ind w:firstLine="0" w:firstLineChars="0"/>
              <w:rPr>
                <w:rFonts w:hint="eastAsia"/>
                <w:bCs/>
              </w:rPr>
            </w:pPr>
            <w:r>
              <w:rPr>
                <w:bCs/>
              </w:rPr>
              <w:t>支持 HTTPS</w:t>
            </w:r>
          </w:p>
          <w:p>
            <w:pPr>
              <w:ind w:firstLine="0" w:firstLineChars="0"/>
              <w:rPr>
                <w:rFonts w:hint="eastAsia"/>
              </w:rPr>
            </w:pPr>
            <w:r>
              <w:rPr>
                <w:bCs/>
              </w:rPr>
              <w:t>支持 DHCPv4/v6 Client/Relay/Server/Snooping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rPr>
            </w:pPr>
            <w:r>
              <w:rPr>
                <w:rFonts w:hint="eastAsia"/>
                <w:bCs/>
              </w:rPr>
              <w:t>质保</w:t>
            </w:r>
          </w:p>
        </w:tc>
        <w:tc>
          <w:tcPr>
            <w:tcW w:w="6991" w:type="dxa"/>
            <w:tcBorders>
              <w:top w:val="single" w:color="auto" w:sz="4" w:space="0"/>
              <w:left w:val="nil"/>
              <w:bottom w:val="single" w:color="auto" w:sz="4" w:space="0"/>
              <w:right w:val="single" w:color="auto" w:sz="4" w:space="0"/>
            </w:tcBorders>
            <w:vAlign w:val="center"/>
          </w:tcPr>
          <w:p>
            <w:pPr>
              <w:ind w:firstLine="0" w:firstLineChars="0"/>
              <w:rPr>
                <w:rFonts w:hint="eastAsia"/>
              </w:rPr>
            </w:pPr>
            <w:r>
              <w:rPr>
                <w:rFonts w:hint="eastAsia"/>
              </w:rPr>
              <w:t>硬件质保三年</w:t>
            </w:r>
          </w:p>
        </w:tc>
      </w:tr>
    </w:tbl>
    <w:p>
      <w:pPr>
        <w:ind w:firstLine="0" w:firstLineChars="0"/>
        <w:rPr>
          <w:rFonts w:hint="eastAsia"/>
        </w:rPr>
      </w:pPr>
    </w:p>
    <w:p>
      <w:pPr>
        <w:pStyle w:val="3"/>
        <w:rPr>
          <w:rFonts w:hint="eastAsia"/>
          <w:color w:val="000000"/>
        </w:rPr>
      </w:pPr>
      <w:r>
        <w:rPr>
          <w:rFonts w:hint="eastAsia"/>
          <w:color w:val="000000"/>
        </w:rPr>
        <w:t>网管系统</w:t>
      </w:r>
    </w:p>
    <w:p>
      <w:pPr>
        <w:rPr>
          <w:rFonts w:hint="eastAsia"/>
        </w:rPr>
      </w:pPr>
      <w:r>
        <w:t xml:space="preserve">硬件配置：V2.7G主频 四核心 四线程，内存 32G，系统盘 固态128G 机械盘1T。   </w:t>
      </w:r>
    </w:p>
    <w:p>
      <w:pPr>
        <w:rPr>
          <w:rFonts w:hint="eastAsia"/>
        </w:rPr>
      </w:pPr>
      <w:r>
        <w:t>基本功能：提供系统基本平台处理和展现功能，包括用户管理、网络拓扑管理、综合监控,故障告警管理(包含告警规则设置、实时告警查看、告警日志分析、多种告警通知方式）监控范围：包括对各类网络设备、安全设备实现监控管理的授权；支持50个授权点，质保三年</w:t>
      </w:r>
      <w:r>
        <w:rPr>
          <w:rFonts w:hint="eastAsia"/>
        </w:rPr>
        <w:t>。</w:t>
      </w:r>
    </w:p>
    <w:p>
      <w:pPr>
        <w:ind w:firstLine="0" w:firstLineChars="0"/>
        <w:rPr>
          <w:rFonts w:hint="eastAsia"/>
        </w:rPr>
      </w:pPr>
    </w:p>
    <w:p>
      <w:pPr>
        <w:pStyle w:val="2"/>
        <w:rPr>
          <w:rFonts w:hint="eastAsia"/>
        </w:rPr>
      </w:pPr>
      <w:bookmarkStart w:id="20" w:name="_Toc63785503"/>
      <w:r>
        <w:rPr>
          <w:rFonts w:hint="eastAsia"/>
        </w:rPr>
        <w:t>其他工作要求</w:t>
      </w:r>
      <w:bookmarkEnd w:id="20"/>
    </w:p>
    <w:p>
      <w:pPr>
        <w:keepNext/>
        <w:keepLines/>
        <w:numPr>
          <w:ilvl w:val="1"/>
          <w:numId w:val="10"/>
        </w:numPr>
        <w:tabs>
          <w:tab w:val="left" w:pos="360"/>
        </w:tabs>
        <w:spacing w:before="120" w:line="240" w:lineRule="auto"/>
        <w:ind w:left="0" w:firstLine="0" w:firstLineChars="0"/>
        <w:outlineLvl w:val="1"/>
        <w:rPr>
          <w:rFonts w:hint="eastAsia" w:ascii="仿宋" w:hAnsi="仿宋" w:eastAsia="仿宋"/>
          <w:b/>
          <w:vanish/>
          <w:sz w:val="28"/>
          <w:szCs w:val="20"/>
        </w:rPr>
      </w:pPr>
      <w:bookmarkStart w:id="21" w:name="_Toc61968111"/>
      <w:bookmarkEnd w:id="21"/>
      <w:bookmarkStart w:id="22" w:name="_Toc62219358"/>
      <w:bookmarkEnd w:id="22"/>
      <w:bookmarkStart w:id="23" w:name="_Toc63785439"/>
      <w:bookmarkEnd w:id="23"/>
      <w:bookmarkStart w:id="24" w:name="_Toc63762370"/>
      <w:bookmarkEnd w:id="24"/>
      <w:bookmarkStart w:id="25" w:name="_Toc63151871"/>
      <w:bookmarkEnd w:id="25"/>
      <w:bookmarkStart w:id="26" w:name="_Toc63785504"/>
      <w:bookmarkEnd w:id="26"/>
      <w:bookmarkStart w:id="27" w:name="_Toc63585480"/>
      <w:bookmarkEnd w:id="27"/>
      <w:bookmarkStart w:id="28" w:name="_Toc62209488"/>
      <w:bookmarkEnd w:id="28"/>
    </w:p>
    <w:p>
      <w:pPr>
        <w:pStyle w:val="3"/>
        <w:ind w:left="0" w:firstLine="600" w:firstLineChars="200"/>
        <w:rPr>
          <w:rFonts w:hint="eastAsia"/>
        </w:rPr>
      </w:pPr>
      <w:bookmarkStart w:id="29" w:name="_Toc63785505"/>
      <w:r>
        <w:rPr>
          <w:rFonts w:hint="eastAsia"/>
        </w:rPr>
        <w:t>售后服务要求</w:t>
      </w:r>
      <w:bookmarkEnd w:id="29"/>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本项目软硬件设备到货验收通过后，提供三年的质保服务；从系统验收通过之日起3年内提供</w:t>
      </w:r>
      <w:r>
        <w:rPr>
          <w:rFonts w:ascii="仿宋" w:hAnsi="仿宋" w:eastAsia="仿宋"/>
          <w:sz w:val="24"/>
          <w:szCs w:val="24"/>
        </w:rPr>
        <w:t>7*24小时免费技术支持</w:t>
      </w:r>
      <w:r>
        <w:rPr>
          <w:rFonts w:hint="eastAsia" w:ascii="仿宋" w:hAnsi="仿宋" w:eastAsia="仿宋"/>
          <w:sz w:val="24"/>
          <w:szCs w:val="24"/>
        </w:rPr>
        <w:t>和售后服务。</w:t>
      </w:r>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在质量保证期内，供应商将按照售后服务的承诺提供保修和运行维护服务，如果厂商对信息系统中的软硬件设备等产品中的部分保修期超过上述期限的，则按照厂商的规定进行免费保修。</w:t>
      </w:r>
    </w:p>
    <w:p>
      <w:pPr>
        <w:pStyle w:val="107"/>
        <w:snapToGrid w:val="0"/>
        <w:spacing w:line="360" w:lineRule="auto"/>
        <w:ind w:firstLine="480"/>
        <w:jc w:val="left"/>
        <w:rPr>
          <w:rFonts w:hint="eastAsia" w:ascii="宋体" w:hAnsi="宋体"/>
          <w:color w:val="auto"/>
          <w:sz w:val="24"/>
          <w:szCs w:val="24"/>
        </w:rPr>
      </w:pPr>
      <w:r>
        <w:rPr>
          <w:rFonts w:hint="eastAsia" w:ascii="仿宋" w:hAnsi="仿宋" w:eastAsia="仿宋"/>
          <w:sz w:val="24"/>
          <w:szCs w:val="24"/>
        </w:rPr>
        <w:t>在质量保证期内，对本次招标需求范围内的设备提供季度巡检服务。</w:t>
      </w:r>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在质量保证期内，供应商负责信息系统的运行维护工作，确保信息系统安全、稳定、可靠地运行。本项目涉及的运行维护工作范围为：本次招标的需求范围。</w:t>
      </w:r>
    </w:p>
    <w:p>
      <w:pPr>
        <w:pStyle w:val="3"/>
        <w:ind w:left="0" w:firstLine="600" w:firstLineChars="200"/>
        <w:rPr>
          <w:rFonts w:hint="eastAsia"/>
        </w:rPr>
      </w:pPr>
      <w:bookmarkStart w:id="30" w:name="_Toc63785506"/>
      <w:r>
        <w:rPr>
          <w:rFonts w:hint="eastAsia"/>
        </w:rPr>
        <w:t>应急响应要求</w:t>
      </w:r>
      <w:bookmarkEnd w:id="30"/>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供应商对系统故障应能够实时响应，若系统发生故障，接到通知后</w:t>
      </w:r>
      <w:r>
        <w:rPr>
          <w:rFonts w:ascii="仿宋" w:hAnsi="仿宋" w:eastAsia="仿宋"/>
          <w:sz w:val="24"/>
          <w:szCs w:val="24"/>
        </w:rPr>
        <w:t>30分钟之内响应，专业工程师2小时内到达现场</w:t>
      </w:r>
      <w:r>
        <w:rPr>
          <w:rFonts w:hint="eastAsia" w:ascii="仿宋" w:hAnsi="仿宋" w:eastAsia="仿宋"/>
          <w:sz w:val="24"/>
          <w:szCs w:val="24"/>
        </w:rPr>
        <w:t>。特殊故障与客户沟通协商后，按照协商的方式制定解决方案并进行处理。</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具体故障级别及对应的应急响应要求如下：</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一级故障：在</w:t>
      </w:r>
      <w:r>
        <w:rPr>
          <w:rFonts w:ascii="仿宋" w:hAnsi="仿宋" w:eastAsia="仿宋"/>
          <w:sz w:val="24"/>
          <w:szCs w:val="24"/>
        </w:rPr>
        <w:t>1小时内确诊，总故障解决时间不超过4小时。</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二级故障：在</w:t>
      </w:r>
      <w:r>
        <w:rPr>
          <w:rFonts w:ascii="仿宋" w:hAnsi="仿宋" w:eastAsia="仿宋"/>
          <w:sz w:val="24"/>
          <w:szCs w:val="24"/>
        </w:rPr>
        <w:t>2小时内确诊，并在4小时内由专家到达现场确诊并解决，总故障解决时间不超过8小时；</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三、四级故障：在</w:t>
      </w:r>
      <w:r>
        <w:rPr>
          <w:rFonts w:ascii="仿宋" w:hAnsi="仿宋" w:eastAsia="仿宋"/>
          <w:sz w:val="24"/>
          <w:szCs w:val="24"/>
        </w:rPr>
        <w:t>4小时内确诊故障，总故障解决时间不超过16小时。</w:t>
      </w:r>
    </w:p>
    <w:p>
      <w:pPr>
        <w:pStyle w:val="3"/>
        <w:ind w:left="0" w:firstLine="600" w:firstLineChars="200"/>
        <w:rPr>
          <w:rFonts w:hint="eastAsia"/>
        </w:rPr>
      </w:pPr>
      <w:bookmarkStart w:id="31" w:name="_Toc63785507"/>
      <w:r>
        <w:rPr>
          <w:rFonts w:hint="eastAsia"/>
        </w:rPr>
        <w:t>培训要求</w:t>
      </w:r>
      <w:bookmarkEnd w:id="31"/>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对系统使用单位提供业务操作培训，应提供详细培训方案。</w:t>
      </w:r>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(1)</w:t>
      </w:r>
      <w:r>
        <w:rPr>
          <w:rFonts w:hint="eastAsia" w:ascii="宋体" w:hAnsi="宋体"/>
          <w:sz w:val="24"/>
          <w:szCs w:val="24"/>
        </w:rPr>
        <w:t xml:space="preserve"> </w:t>
      </w:r>
      <w:r>
        <w:rPr>
          <w:rFonts w:hint="eastAsia" w:ascii="仿宋" w:hAnsi="仿宋" w:eastAsia="仿宋"/>
          <w:sz w:val="24"/>
          <w:szCs w:val="24"/>
        </w:rPr>
        <w:t>在项目验收前，提供1次与项目相关的必要培训；在</w:t>
      </w:r>
      <w:r>
        <w:rPr>
          <w:rFonts w:ascii="仿宋" w:hAnsi="仿宋" w:eastAsia="仿宋"/>
          <w:sz w:val="24"/>
          <w:szCs w:val="24"/>
        </w:rPr>
        <w:t>12</w:t>
      </w:r>
      <w:r>
        <w:rPr>
          <w:rFonts w:hint="eastAsia" w:ascii="仿宋" w:hAnsi="仿宋" w:eastAsia="仿宋"/>
          <w:sz w:val="24"/>
          <w:szCs w:val="24"/>
        </w:rPr>
        <w:t>个月的质量保证期内，提供</w:t>
      </w:r>
      <w:r>
        <w:rPr>
          <w:rFonts w:ascii="仿宋" w:hAnsi="仿宋" w:eastAsia="仿宋"/>
          <w:sz w:val="24"/>
          <w:szCs w:val="24"/>
        </w:rPr>
        <w:t>1</w:t>
      </w:r>
      <w:r>
        <w:rPr>
          <w:rFonts w:hint="eastAsia" w:ascii="仿宋" w:hAnsi="仿宋" w:eastAsia="仿宋"/>
          <w:sz w:val="24"/>
          <w:szCs w:val="24"/>
        </w:rPr>
        <w:t>次与项目相关的必要培训。</w:t>
      </w:r>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(2)培训应具有培训教材、培训环境和高水平的培训讲师。</w:t>
      </w:r>
    </w:p>
    <w:p>
      <w:pPr>
        <w:pStyle w:val="107"/>
        <w:snapToGrid w:val="0"/>
        <w:spacing w:line="360" w:lineRule="auto"/>
        <w:ind w:firstLine="480"/>
        <w:jc w:val="left"/>
        <w:rPr>
          <w:rFonts w:hint="eastAsia" w:ascii="仿宋" w:hAnsi="仿宋" w:eastAsia="仿宋"/>
          <w:sz w:val="24"/>
          <w:szCs w:val="24"/>
        </w:rPr>
      </w:pPr>
      <w:r>
        <w:rPr>
          <w:rFonts w:hint="eastAsia" w:ascii="仿宋" w:hAnsi="仿宋" w:eastAsia="仿宋"/>
          <w:sz w:val="24"/>
          <w:szCs w:val="24"/>
        </w:rPr>
        <w:t>(3)供应商应提供一般用户的基础操作培训和部门信息管理员的日常应用维护的培训，确保用户对象能够掌握对应的操作技能。</w:t>
      </w:r>
    </w:p>
    <w:p>
      <w:pPr>
        <w:pStyle w:val="3"/>
        <w:ind w:left="0" w:firstLine="600" w:firstLineChars="200"/>
        <w:rPr>
          <w:rFonts w:hint="eastAsia"/>
        </w:rPr>
      </w:pPr>
      <w:bookmarkStart w:id="32" w:name="_Toc63785508"/>
      <w:r>
        <w:rPr>
          <w:rFonts w:hint="eastAsia"/>
        </w:rPr>
        <w:t>验收要求</w:t>
      </w:r>
      <w:bookmarkEnd w:id="32"/>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本项目按下述方式开展验收。</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w:t>
      </w:r>
      <w:r>
        <w:rPr>
          <w:rFonts w:ascii="仿宋" w:hAnsi="仿宋" w:eastAsia="仿宋"/>
          <w:sz w:val="24"/>
          <w:szCs w:val="24"/>
        </w:rPr>
        <w:t>1）验收分初验和终验。</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w:t>
      </w:r>
      <w:r>
        <w:rPr>
          <w:rFonts w:ascii="仿宋" w:hAnsi="仿宋" w:eastAsia="仿宋"/>
          <w:sz w:val="24"/>
          <w:szCs w:val="24"/>
        </w:rPr>
        <w:t>2）初验前，供应商须完成软硬件安装和信息系统的调试</w:t>
      </w:r>
      <w:r>
        <w:rPr>
          <w:rFonts w:hint="eastAsia" w:ascii="仿宋" w:hAnsi="仿宋" w:eastAsia="仿宋"/>
          <w:sz w:val="24"/>
          <w:szCs w:val="24"/>
        </w:rPr>
        <w:t>等</w:t>
      </w:r>
      <w:r>
        <w:rPr>
          <w:rFonts w:ascii="仿宋" w:hAnsi="仿宋" w:eastAsia="仿宋"/>
          <w:sz w:val="24"/>
          <w:szCs w:val="24"/>
        </w:rPr>
        <w:t>，并对本项目进行</w:t>
      </w:r>
      <w:r>
        <w:rPr>
          <w:rFonts w:hint="eastAsia" w:ascii="仿宋" w:hAnsi="仿宋" w:eastAsia="仿宋"/>
          <w:sz w:val="24"/>
          <w:szCs w:val="24"/>
        </w:rPr>
        <w:t>软硬件设备进行检测</w:t>
      </w:r>
      <w:r>
        <w:rPr>
          <w:rFonts w:ascii="仿宋" w:hAnsi="仿宋" w:eastAsia="仿宋"/>
          <w:sz w:val="24"/>
          <w:szCs w:val="24"/>
        </w:rPr>
        <w:t>，确保所有</w:t>
      </w:r>
      <w:r>
        <w:rPr>
          <w:rFonts w:hint="eastAsia" w:ascii="仿宋" w:hAnsi="仿宋" w:eastAsia="仿宋"/>
          <w:sz w:val="24"/>
          <w:szCs w:val="24"/>
        </w:rPr>
        <w:t>设备</w:t>
      </w:r>
      <w:r>
        <w:rPr>
          <w:rFonts w:ascii="仿宋" w:hAnsi="仿宋" w:eastAsia="仿宋"/>
          <w:sz w:val="24"/>
          <w:szCs w:val="24"/>
        </w:rPr>
        <w:t>能够正常运行且已达到本项目约定的各类标准要求。供应商应以书面形式向招标方递交初验</w:t>
      </w:r>
      <w:r>
        <w:rPr>
          <w:rFonts w:hint="eastAsia" w:ascii="仿宋" w:hAnsi="仿宋" w:eastAsia="仿宋"/>
          <w:sz w:val="24"/>
          <w:szCs w:val="24"/>
        </w:rPr>
        <w:t>申请，</w:t>
      </w:r>
      <w:r>
        <w:rPr>
          <w:rFonts w:ascii="仿宋" w:hAnsi="仿宋" w:eastAsia="仿宋"/>
          <w:sz w:val="24"/>
          <w:szCs w:val="24"/>
        </w:rPr>
        <w:t>由双方按照本项目的约定完成本项目的初验。招标方有权委托第三方检测机构进行验收，对此供应商应当配合。</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w:t>
      </w:r>
      <w:r>
        <w:rPr>
          <w:rFonts w:ascii="仿宋" w:hAnsi="仿宋" w:eastAsia="仿宋"/>
          <w:sz w:val="24"/>
          <w:szCs w:val="24"/>
        </w:rPr>
        <w:t>3）初验时，供应商须提供文档包括</w:t>
      </w:r>
      <w:r>
        <w:rPr>
          <w:rFonts w:ascii="仿宋" w:hAnsi="仿宋" w:eastAsia="仿宋"/>
          <w:sz w:val="24"/>
          <w:szCs w:val="24"/>
          <w:highlight w:val="yellow"/>
        </w:rPr>
        <w:t>《</w:t>
      </w:r>
      <w:r>
        <w:rPr>
          <w:rFonts w:hint="eastAsia" w:ascii="仿宋" w:hAnsi="仿宋" w:eastAsia="仿宋"/>
          <w:sz w:val="24"/>
          <w:szCs w:val="24"/>
          <w:highlight w:val="yellow"/>
        </w:rPr>
        <w:t>设备到货验收单</w:t>
      </w:r>
      <w:r>
        <w:rPr>
          <w:rFonts w:ascii="仿宋" w:hAnsi="仿宋" w:eastAsia="仿宋"/>
          <w:sz w:val="24"/>
          <w:szCs w:val="24"/>
          <w:highlight w:val="yellow"/>
        </w:rPr>
        <w:t>》、《测试报告》等</w:t>
      </w:r>
      <w:r>
        <w:rPr>
          <w:rFonts w:ascii="仿宋" w:hAnsi="仿宋" w:eastAsia="仿宋"/>
          <w:sz w:val="24"/>
          <w:szCs w:val="24"/>
        </w:rPr>
        <w:t>。所交付的文档与文件应当是可供自然人阅读的书面和电子文档。</w:t>
      </w:r>
      <w:r>
        <w:rPr>
          <w:rFonts w:hint="eastAsia" w:ascii="仿宋" w:hAnsi="仿宋" w:eastAsia="仿宋"/>
          <w:sz w:val="24"/>
          <w:szCs w:val="24"/>
        </w:rPr>
        <w:t>包括</w:t>
      </w:r>
      <w:r>
        <w:rPr>
          <w:rFonts w:ascii="仿宋" w:hAnsi="仿宋" w:eastAsia="仿宋"/>
          <w:sz w:val="24"/>
          <w:szCs w:val="24"/>
        </w:rPr>
        <w:t>文</w:t>
      </w:r>
      <w:r>
        <w:rPr>
          <w:rFonts w:hint="eastAsia" w:ascii="仿宋" w:hAnsi="仿宋" w:eastAsia="仿宋"/>
          <w:sz w:val="24"/>
          <w:szCs w:val="24"/>
        </w:rPr>
        <w:t>档</w:t>
      </w:r>
      <w:r>
        <w:rPr>
          <w:rFonts w:ascii="仿宋" w:hAnsi="仿宋" w:eastAsia="仿宋"/>
          <w:sz w:val="24"/>
          <w:szCs w:val="24"/>
        </w:rPr>
        <w:t>验收通过后，视为初验通过。如有缺陷，招标方应向供应商出具书面报告，陈述需要改进的缺陷。供应商应立即严格依照招标方的书面报告中的要求改进缺陷，并再次进行初验。</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w:t>
      </w:r>
      <w:r>
        <w:rPr>
          <w:rFonts w:ascii="仿宋" w:hAnsi="仿宋" w:eastAsia="仿宋"/>
          <w:sz w:val="24"/>
          <w:szCs w:val="24"/>
        </w:rPr>
        <w:t>4）自初验通过之日起，招标方享有供应商免费提供的</w:t>
      </w:r>
      <w:r>
        <w:rPr>
          <w:rFonts w:ascii="仿宋" w:hAnsi="仿宋" w:eastAsia="仿宋"/>
          <w:sz w:val="24"/>
          <w:szCs w:val="24"/>
          <w:highlight w:val="yellow"/>
        </w:rPr>
        <w:t>30天</w:t>
      </w:r>
      <w:r>
        <w:rPr>
          <w:rFonts w:ascii="仿宋" w:hAnsi="仿宋" w:eastAsia="仿宋"/>
          <w:sz w:val="24"/>
          <w:szCs w:val="24"/>
        </w:rPr>
        <w:t>的信息系统试运行服务期。该期间内，供应商应当按照招标方的要求提供现场技术支持服务，解决信息系统试运行期间可能出现的各类问题，或进一步提高与完善信息系统运行水平。</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w:t>
      </w:r>
      <w:r>
        <w:rPr>
          <w:rFonts w:ascii="仿宋" w:hAnsi="仿宋" w:eastAsia="仿宋"/>
          <w:sz w:val="24"/>
          <w:szCs w:val="24"/>
        </w:rPr>
        <w:t>5）初验通过且信息系统试运行期已经达到本项目约定的时间，经供应商确认信息系统具备正常运行条件，且信息系统通过运行测试，供应商应以书面形式通知招标方信息系统已准备就绪等待终验。招标方在收到终验通知后的</w:t>
      </w:r>
      <w:r>
        <w:rPr>
          <w:rFonts w:ascii="仿宋" w:hAnsi="仿宋" w:eastAsia="仿宋"/>
          <w:sz w:val="24"/>
          <w:szCs w:val="24"/>
          <w:highlight w:val="yellow"/>
        </w:rPr>
        <w:t>10</w:t>
      </w:r>
      <w:r>
        <w:rPr>
          <w:rFonts w:ascii="仿宋" w:hAnsi="仿宋" w:eastAsia="仿宋"/>
          <w:sz w:val="24"/>
          <w:szCs w:val="24"/>
        </w:rPr>
        <w:t>个工作日内发起组织专家验收会。</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（6</w:t>
      </w:r>
      <w:r>
        <w:rPr>
          <w:rFonts w:ascii="仿宋" w:hAnsi="仿宋" w:eastAsia="仿宋"/>
          <w:sz w:val="24"/>
          <w:szCs w:val="24"/>
        </w:rPr>
        <w:t>）如果属于供应商原因致使本项目未能通过终验，供应商应当排除缺陷，直至本项目完全符合验收标准，由上述情形而产生的相关费用应由供应商自行承担。</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（7</w:t>
      </w:r>
      <w:r>
        <w:rPr>
          <w:rFonts w:ascii="仿宋" w:hAnsi="仿宋" w:eastAsia="仿宋"/>
          <w:sz w:val="24"/>
          <w:szCs w:val="24"/>
        </w:rPr>
        <w:t>）如果由于招标方原因导致本项目在终验通过前出现故障或问题，供应商应及时配合排除该方面的故障或问题。</w:t>
      </w:r>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（8</w:t>
      </w:r>
      <w:r>
        <w:rPr>
          <w:rFonts w:ascii="仿宋" w:hAnsi="仿宋" w:eastAsia="仿宋"/>
          <w:sz w:val="24"/>
          <w:szCs w:val="24"/>
        </w:rPr>
        <w:t>）如本项目连续3次验收未通过（含初验未通过或终验未通过），招标方有权解除项目，并有权依照本项目约定的违约条款追究供应商的违约责任。</w:t>
      </w:r>
    </w:p>
    <w:p>
      <w:pPr>
        <w:pStyle w:val="3"/>
        <w:ind w:left="0" w:firstLine="600" w:firstLineChars="200"/>
        <w:rPr>
          <w:rFonts w:hint="eastAsia"/>
        </w:rPr>
      </w:pPr>
      <w:bookmarkStart w:id="33" w:name="_Toc63785509"/>
      <w:r>
        <w:rPr>
          <w:rFonts w:hint="eastAsia"/>
        </w:rPr>
        <w:t>进度要求</w:t>
      </w:r>
      <w:bookmarkEnd w:id="33"/>
    </w:p>
    <w:p>
      <w:pPr>
        <w:pStyle w:val="107"/>
        <w:snapToGrid w:val="0"/>
        <w:spacing w:line="360" w:lineRule="auto"/>
        <w:ind w:firstLine="480"/>
        <w:rPr>
          <w:rFonts w:hint="eastAsia" w:ascii="仿宋" w:hAnsi="仿宋" w:eastAsia="仿宋"/>
          <w:sz w:val="24"/>
          <w:szCs w:val="24"/>
        </w:rPr>
      </w:pPr>
      <w:r>
        <w:rPr>
          <w:rFonts w:hint="eastAsia" w:ascii="仿宋" w:hAnsi="仿宋" w:eastAsia="仿宋"/>
          <w:sz w:val="24"/>
          <w:szCs w:val="24"/>
        </w:rPr>
        <w:t>投标人应根据建设内容，分阶段制定合理的时间进度，并且应根据招标方要求进行调整和细化。本项目于合同签订后6个月内，完成项目建设和验收工作。</w:t>
      </w:r>
    </w:p>
    <w:p>
      <w:pPr>
        <w:pStyle w:val="3"/>
        <w:ind w:left="0" w:firstLine="600" w:firstLineChars="200"/>
        <w:rPr>
          <w:rFonts w:hint="eastAsia"/>
        </w:rPr>
      </w:pPr>
      <w:bookmarkStart w:id="34" w:name="_Toc63785510"/>
      <w:r>
        <w:rPr>
          <w:rFonts w:hint="eastAsia"/>
        </w:rPr>
        <w:t>供应商综合能力要求</w:t>
      </w:r>
    </w:p>
    <w:p>
      <w:pPr>
        <w:pStyle w:val="107"/>
        <w:snapToGrid w:val="0"/>
        <w:spacing w:line="360" w:lineRule="auto"/>
        <w:ind w:firstLine="480"/>
        <w:rPr>
          <w:rFonts w:hint="eastAsia" w:ascii="仿宋" w:hAnsi="仿宋" w:eastAsia="仿宋"/>
        </w:rPr>
      </w:pPr>
      <w:r>
        <w:rPr>
          <w:rFonts w:hint="eastAsia" w:ascii="仿宋" w:hAnsi="仿宋" w:eastAsia="仿宋"/>
          <w:sz w:val="24"/>
          <w:szCs w:val="24"/>
        </w:rPr>
        <w:t>供应商具有ISO20000信息技术服务管理体系认证证书、ISO27001信息安全管理体系认证证书、ITSS信息技术服务运行维护标准符合性证书的优先考虑。</w:t>
      </w:r>
    </w:p>
    <w:p>
      <w:pPr>
        <w:pStyle w:val="3"/>
        <w:ind w:left="0" w:firstLine="600" w:firstLineChars="200"/>
        <w:rPr>
          <w:rFonts w:hint="eastAsia"/>
        </w:rPr>
      </w:pPr>
      <w:r>
        <w:rPr>
          <w:rFonts w:hint="eastAsia"/>
        </w:rPr>
        <w:t>项目团队人员要求</w:t>
      </w:r>
      <w:bookmarkEnd w:id="34"/>
    </w:p>
    <w:p>
      <w:pPr>
        <w:rPr>
          <w:rFonts w:hint="eastAsia" w:ascii="仿宋" w:hAnsi="仿宋" w:eastAsia="仿宋"/>
        </w:rPr>
      </w:pPr>
      <w:r>
        <w:rPr>
          <w:rFonts w:ascii="仿宋" w:hAnsi="仿宋" w:eastAsia="仿宋"/>
        </w:rPr>
        <w:t>1）投标人须具有稳定的在职技术保障力量，能够提供及时的技术支援或服务，应针对本项目提供不少于</w:t>
      </w:r>
      <w:r>
        <w:rPr>
          <w:rFonts w:ascii="仿宋" w:hAnsi="仿宋" w:eastAsia="仿宋"/>
          <w:highlight w:val="yellow"/>
        </w:rPr>
        <w:t>4</w:t>
      </w:r>
      <w:r>
        <w:rPr>
          <w:rFonts w:ascii="仿宋" w:hAnsi="仿宋" w:eastAsia="仿宋"/>
        </w:rPr>
        <w:t>人的项目服务团队（包括项目</w:t>
      </w:r>
      <w:r>
        <w:rPr>
          <w:rFonts w:hint="eastAsia" w:ascii="仿宋" w:hAnsi="仿宋" w:eastAsia="仿宋"/>
        </w:rPr>
        <w:t>负责人、技术工程师、</w:t>
      </w:r>
      <w:r>
        <w:rPr>
          <w:rFonts w:hint="eastAsia" w:ascii="仿宋" w:hAnsi="仿宋" w:eastAsia="仿宋"/>
          <w:highlight w:val="yellow"/>
        </w:rPr>
        <w:t>资料员</w:t>
      </w:r>
      <w:r>
        <w:rPr>
          <w:rFonts w:ascii="仿宋" w:hAnsi="仿宋" w:eastAsia="仿宋"/>
        </w:rPr>
        <w:t>），投标单位的相关服务人员需具备相应的服务能力，需提供相关证明。</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409"/>
        <w:gridCol w:w="1276"/>
        <w:gridCol w:w="2126"/>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1555" w:type="dxa"/>
            <w:shd w:val="clear" w:color="auto" w:fill="auto"/>
            <w:noWrap/>
            <w:vAlign w:val="center"/>
          </w:tcPr>
          <w:p>
            <w:pPr>
              <w:widowControl/>
              <w:spacing w:line="240" w:lineRule="auto"/>
              <w:ind w:firstLine="0" w:firstLineChars="0"/>
              <w:jc w:val="center"/>
              <w:rPr>
                <w:rFonts w:hint="eastAsia"/>
                <w:b/>
              </w:rPr>
            </w:pPr>
            <w:r>
              <w:rPr>
                <w:rFonts w:hint="eastAsia"/>
                <w:b/>
              </w:rPr>
              <w:t>角色</w:t>
            </w:r>
          </w:p>
        </w:tc>
        <w:tc>
          <w:tcPr>
            <w:tcW w:w="2409" w:type="dxa"/>
            <w:shd w:val="clear" w:color="auto" w:fill="auto"/>
            <w:noWrap/>
            <w:vAlign w:val="center"/>
          </w:tcPr>
          <w:p>
            <w:pPr>
              <w:widowControl/>
              <w:spacing w:line="240" w:lineRule="auto"/>
              <w:ind w:firstLine="0" w:firstLineChars="0"/>
              <w:jc w:val="center"/>
              <w:rPr>
                <w:rFonts w:hint="eastAsia"/>
                <w:b/>
              </w:rPr>
            </w:pPr>
            <w:r>
              <w:rPr>
                <w:rFonts w:hint="eastAsia"/>
                <w:b/>
              </w:rPr>
              <w:t>主要职责</w:t>
            </w:r>
          </w:p>
        </w:tc>
        <w:tc>
          <w:tcPr>
            <w:tcW w:w="1276" w:type="dxa"/>
            <w:shd w:val="clear" w:color="auto" w:fill="auto"/>
            <w:noWrap/>
            <w:vAlign w:val="center"/>
          </w:tcPr>
          <w:p>
            <w:pPr>
              <w:widowControl/>
              <w:spacing w:line="240" w:lineRule="auto"/>
              <w:ind w:firstLine="0" w:firstLineChars="0"/>
              <w:jc w:val="center"/>
              <w:rPr>
                <w:rFonts w:hint="eastAsia"/>
                <w:b/>
              </w:rPr>
            </w:pPr>
            <w:r>
              <w:rPr>
                <w:rFonts w:hint="eastAsia"/>
                <w:b/>
              </w:rPr>
              <w:t>人员数量</w:t>
            </w:r>
          </w:p>
        </w:tc>
        <w:tc>
          <w:tcPr>
            <w:tcW w:w="2126" w:type="dxa"/>
            <w:vAlign w:val="center"/>
          </w:tcPr>
          <w:p>
            <w:pPr>
              <w:widowControl/>
              <w:spacing w:line="240" w:lineRule="auto"/>
              <w:ind w:firstLine="0" w:firstLineChars="0"/>
              <w:jc w:val="center"/>
              <w:rPr>
                <w:rFonts w:hint="eastAsia"/>
                <w:b/>
              </w:rPr>
            </w:pPr>
            <w:r>
              <w:rPr>
                <w:rFonts w:hint="eastAsia"/>
                <w:b/>
              </w:rPr>
              <w:t>人员要求</w:t>
            </w:r>
          </w:p>
        </w:tc>
        <w:tc>
          <w:tcPr>
            <w:tcW w:w="936" w:type="dxa"/>
            <w:shd w:val="clear" w:color="auto" w:fill="auto"/>
            <w:noWrap/>
            <w:vAlign w:val="center"/>
          </w:tcPr>
          <w:p>
            <w:pPr>
              <w:widowControl/>
              <w:spacing w:line="240" w:lineRule="auto"/>
              <w:ind w:firstLine="0" w:firstLineChars="0"/>
              <w:jc w:val="center"/>
              <w:rPr>
                <w:rFonts w:hint="eastAsia"/>
                <w:b/>
              </w:rPr>
            </w:pPr>
            <w:r>
              <w:rPr>
                <w:rFonts w:hint="eastAsia"/>
                <w:b/>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项目负责人</w:t>
            </w:r>
          </w:p>
        </w:tc>
        <w:tc>
          <w:tcPr>
            <w:tcW w:w="2409" w:type="dxa"/>
            <w:shd w:val="clear" w:color="auto" w:fill="auto"/>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负责项目总体质量和进度控制</w:t>
            </w:r>
          </w:p>
        </w:tc>
        <w:tc>
          <w:tcPr>
            <w:tcW w:w="1276" w:type="dxa"/>
            <w:shd w:val="clear" w:color="auto" w:fill="auto"/>
            <w:noWrap/>
            <w:vAlign w:val="center"/>
          </w:tcPr>
          <w:p>
            <w:pPr>
              <w:widowControl/>
              <w:spacing w:line="240" w:lineRule="auto"/>
              <w:ind w:firstLine="0" w:firstLineChars="0"/>
              <w:jc w:val="center"/>
              <w:rPr>
                <w:rFonts w:hint="eastAsia" w:ascii="仿宋" w:hAnsi="仿宋" w:eastAsia="仿宋"/>
              </w:rPr>
            </w:pPr>
            <w:r>
              <w:rPr>
                <w:rFonts w:ascii="仿宋" w:hAnsi="仿宋" w:eastAsia="仿宋"/>
              </w:rPr>
              <w:t>1</w:t>
            </w:r>
            <w:r>
              <w:rPr>
                <w:rFonts w:hint="eastAsia" w:ascii="仿宋" w:hAnsi="仿宋" w:eastAsia="仿宋"/>
              </w:rPr>
              <w:t>人</w:t>
            </w:r>
          </w:p>
        </w:tc>
        <w:tc>
          <w:tcPr>
            <w:tcW w:w="2126" w:type="dxa"/>
            <w:vAlign w:val="center"/>
          </w:tcPr>
          <w:p>
            <w:pPr>
              <w:widowControl/>
              <w:spacing w:line="240" w:lineRule="auto"/>
              <w:ind w:firstLine="0" w:firstLineChars="0"/>
              <w:jc w:val="left"/>
              <w:rPr>
                <w:rFonts w:hint="eastAsia" w:ascii="仿宋" w:hAnsi="仿宋" w:eastAsia="仿宋"/>
              </w:rPr>
            </w:pPr>
            <w:r>
              <w:rPr>
                <w:rFonts w:hint="eastAsia" w:ascii="仿宋" w:hAnsi="仿宋" w:eastAsia="仿宋"/>
              </w:rPr>
              <w:t>具有本科及以上学历；具有信息系统项目管理师（高级）证书；具备政务行业工作经验。10年及以上类似项目的实施经验。</w:t>
            </w:r>
          </w:p>
        </w:tc>
        <w:tc>
          <w:tcPr>
            <w:tcW w:w="936"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不驻场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技术工程师</w:t>
            </w:r>
          </w:p>
        </w:tc>
        <w:tc>
          <w:tcPr>
            <w:tcW w:w="2409" w:type="dxa"/>
            <w:shd w:val="clear" w:color="auto" w:fill="auto"/>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负责现场软硬件设备实施</w:t>
            </w:r>
          </w:p>
        </w:tc>
        <w:tc>
          <w:tcPr>
            <w:tcW w:w="1276" w:type="dxa"/>
            <w:shd w:val="clear" w:color="auto" w:fill="auto"/>
            <w:noWrap/>
            <w:vAlign w:val="center"/>
          </w:tcPr>
          <w:p>
            <w:pPr>
              <w:widowControl/>
              <w:spacing w:line="240" w:lineRule="auto"/>
              <w:ind w:firstLine="0" w:firstLineChars="0"/>
              <w:jc w:val="center"/>
              <w:rPr>
                <w:rFonts w:hint="eastAsia" w:ascii="仿宋" w:hAnsi="仿宋" w:eastAsia="仿宋"/>
              </w:rPr>
            </w:pPr>
            <w:r>
              <w:rPr>
                <w:rFonts w:ascii="仿宋" w:hAnsi="仿宋" w:eastAsia="仿宋"/>
              </w:rPr>
              <w:t>2</w:t>
            </w:r>
            <w:r>
              <w:rPr>
                <w:rFonts w:hint="eastAsia" w:ascii="仿宋" w:hAnsi="仿宋" w:eastAsia="仿宋"/>
              </w:rPr>
              <w:t>人</w:t>
            </w:r>
          </w:p>
        </w:tc>
        <w:tc>
          <w:tcPr>
            <w:tcW w:w="2126" w:type="dxa"/>
            <w:vAlign w:val="center"/>
          </w:tcPr>
          <w:p>
            <w:pPr>
              <w:widowControl/>
              <w:spacing w:line="240" w:lineRule="auto"/>
              <w:ind w:firstLine="0" w:firstLineChars="0"/>
              <w:jc w:val="left"/>
              <w:rPr>
                <w:rFonts w:hint="eastAsia" w:ascii="仿宋" w:hAnsi="仿宋" w:eastAsia="仿宋"/>
              </w:rPr>
            </w:pPr>
            <w:r>
              <w:rPr>
                <w:rFonts w:hint="eastAsia" w:ascii="仿宋" w:hAnsi="仿宋" w:eastAsia="仿宋"/>
              </w:rPr>
              <w:t>具有专科及以上学历；</w:t>
            </w:r>
          </w:p>
          <w:p>
            <w:pPr>
              <w:widowControl/>
              <w:spacing w:line="240" w:lineRule="auto"/>
              <w:ind w:firstLine="0" w:firstLineChars="0"/>
              <w:jc w:val="left"/>
              <w:rPr>
                <w:rFonts w:hint="eastAsia" w:ascii="仿宋" w:hAnsi="仿宋" w:eastAsia="仿宋"/>
              </w:rPr>
            </w:pPr>
            <w:r>
              <w:rPr>
                <w:rFonts w:hint="eastAsia" w:ascii="仿宋" w:hAnsi="仿宋" w:eastAsia="仿宋"/>
              </w:rPr>
              <w:t>具有网络工程师或信息安全专业人员（CISP）；具备政务行业工作经验。</w:t>
            </w:r>
          </w:p>
        </w:tc>
        <w:tc>
          <w:tcPr>
            <w:tcW w:w="936"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不驻场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555"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资料员</w:t>
            </w:r>
          </w:p>
        </w:tc>
        <w:tc>
          <w:tcPr>
            <w:tcW w:w="2409"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负责资料的编写</w:t>
            </w:r>
          </w:p>
        </w:tc>
        <w:tc>
          <w:tcPr>
            <w:tcW w:w="1276"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1人</w:t>
            </w:r>
          </w:p>
        </w:tc>
        <w:tc>
          <w:tcPr>
            <w:tcW w:w="2126" w:type="dxa"/>
            <w:vAlign w:val="center"/>
          </w:tcPr>
          <w:p>
            <w:pPr>
              <w:widowControl/>
              <w:spacing w:line="240" w:lineRule="auto"/>
              <w:ind w:firstLine="0" w:firstLineChars="0"/>
              <w:jc w:val="left"/>
              <w:rPr>
                <w:rFonts w:hint="eastAsia" w:ascii="仿宋" w:hAnsi="仿宋" w:eastAsia="仿宋"/>
              </w:rPr>
            </w:pPr>
            <w:r>
              <w:rPr>
                <w:rFonts w:hint="eastAsia" w:ascii="仿宋" w:hAnsi="仿宋" w:eastAsia="仿宋"/>
              </w:rPr>
              <w:t>具有专科及以上学历；</w:t>
            </w:r>
          </w:p>
          <w:p>
            <w:pPr>
              <w:widowControl/>
              <w:spacing w:line="240" w:lineRule="auto"/>
              <w:ind w:firstLine="0" w:firstLineChars="0"/>
              <w:jc w:val="left"/>
              <w:rPr>
                <w:rFonts w:hint="eastAsia" w:ascii="仿宋" w:hAnsi="仿宋" w:eastAsia="仿宋"/>
              </w:rPr>
            </w:pPr>
            <w:r>
              <w:rPr>
                <w:rFonts w:hint="eastAsia" w:ascii="仿宋" w:hAnsi="仿宋" w:eastAsia="仿宋"/>
              </w:rPr>
              <w:t>具备政务行业工作经验。</w:t>
            </w:r>
          </w:p>
        </w:tc>
        <w:tc>
          <w:tcPr>
            <w:tcW w:w="936"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不驻场</w:t>
            </w:r>
          </w:p>
        </w:tc>
      </w:tr>
    </w:tbl>
    <w:p>
      <w:pPr>
        <w:rPr>
          <w:rFonts w:hint="eastAsia" w:ascii="仿宋" w:hAnsi="仿宋" w:eastAsia="仿宋"/>
        </w:rPr>
      </w:pPr>
      <w:r>
        <w:rPr>
          <w:rFonts w:ascii="仿宋" w:hAnsi="仿宋" w:eastAsia="仿宋"/>
        </w:rPr>
        <w:t>2）投标人应针对本项目提供不少于2人的质保期间支撑团队（其中</w:t>
      </w:r>
      <w:r>
        <w:rPr>
          <w:rFonts w:hint="eastAsia" w:ascii="仿宋" w:hAnsi="仿宋" w:eastAsia="仿宋"/>
        </w:rPr>
        <w:t>运维经理</w:t>
      </w:r>
      <w:r>
        <w:rPr>
          <w:rFonts w:ascii="仿宋" w:hAnsi="仿宋" w:eastAsia="仿宋"/>
        </w:rPr>
        <w:t>1人，</w:t>
      </w:r>
      <w:r>
        <w:rPr>
          <w:rFonts w:hint="eastAsia" w:ascii="仿宋" w:hAnsi="仿宋" w:eastAsia="仿宋"/>
        </w:rPr>
        <w:t>维护工程师</w:t>
      </w:r>
      <w:r>
        <w:rPr>
          <w:rFonts w:ascii="仿宋" w:hAnsi="仿宋" w:eastAsia="仿宋"/>
        </w:rPr>
        <w:t>1人）；投标人的相关服务人员需具备相应的服务能力，需提供相关证明（最近一个季度依法缴纳社保费的证明）。</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409"/>
        <w:gridCol w:w="1517"/>
        <w:gridCol w:w="1744"/>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b/>
              </w:rPr>
            </w:pPr>
            <w:r>
              <w:rPr>
                <w:rFonts w:hint="eastAsia"/>
                <w:b/>
              </w:rPr>
              <w:t>角色</w:t>
            </w:r>
          </w:p>
        </w:tc>
        <w:tc>
          <w:tcPr>
            <w:tcW w:w="2409" w:type="dxa"/>
            <w:shd w:val="clear" w:color="auto" w:fill="auto"/>
            <w:noWrap/>
            <w:vAlign w:val="center"/>
          </w:tcPr>
          <w:p>
            <w:pPr>
              <w:widowControl/>
              <w:spacing w:line="240" w:lineRule="auto"/>
              <w:ind w:firstLine="0" w:firstLineChars="0"/>
              <w:jc w:val="center"/>
              <w:rPr>
                <w:rFonts w:hint="eastAsia"/>
                <w:b/>
              </w:rPr>
            </w:pPr>
            <w:r>
              <w:rPr>
                <w:rFonts w:hint="eastAsia"/>
                <w:b/>
              </w:rPr>
              <w:t>主要职责</w:t>
            </w:r>
          </w:p>
        </w:tc>
        <w:tc>
          <w:tcPr>
            <w:tcW w:w="1517" w:type="dxa"/>
            <w:shd w:val="clear" w:color="auto" w:fill="auto"/>
            <w:noWrap/>
            <w:vAlign w:val="center"/>
          </w:tcPr>
          <w:p>
            <w:pPr>
              <w:widowControl/>
              <w:spacing w:line="240" w:lineRule="auto"/>
              <w:ind w:firstLine="0" w:firstLineChars="0"/>
              <w:jc w:val="center"/>
              <w:rPr>
                <w:rFonts w:hint="eastAsia"/>
                <w:b/>
              </w:rPr>
            </w:pPr>
            <w:r>
              <w:rPr>
                <w:rFonts w:hint="eastAsia"/>
                <w:b/>
              </w:rPr>
              <w:t>人员数量</w:t>
            </w:r>
          </w:p>
        </w:tc>
        <w:tc>
          <w:tcPr>
            <w:tcW w:w="1744" w:type="dxa"/>
            <w:vAlign w:val="center"/>
          </w:tcPr>
          <w:p>
            <w:pPr>
              <w:widowControl/>
              <w:spacing w:line="240" w:lineRule="auto"/>
              <w:ind w:firstLine="0" w:firstLineChars="0"/>
              <w:jc w:val="center"/>
              <w:rPr>
                <w:rFonts w:hint="eastAsia"/>
                <w:b/>
              </w:rPr>
            </w:pPr>
            <w:r>
              <w:rPr>
                <w:rFonts w:hint="eastAsia"/>
                <w:b/>
              </w:rPr>
              <w:t>人员要求</w:t>
            </w:r>
          </w:p>
        </w:tc>
        <w:tc>
          <w:tcPr>
            <w:tcW w:w="1077" w:type="dxa"/>
            <w:shd w:val="clear" w:color="auto" w:fill="auto"/>
            <w:noWrap/>
            <w:vAlign w:val="center"/>
          </w:tcPr>
          <w:p>
            <w:pPr>
              <w:widowControl/>
              <w:spacing w:line="240" w:lineRule="auto"/>
              <w:ind w:firstLine="0" w:firstLineChars="0"/>
              <w:jc w:val="center"/>
              <w:rPr>
                <w:rFonts w:hint="eastAsia"/>
                <w:b/>
              </w:rPr>
            </w:pPr>
            <w:r>
              <w:rPr>
                <w:rFonts w:hint="eastAsia"/>
                <w:b/>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ascii="仿宋" w:hAnsi="仿宋" w:eastAsia="仿宋"/>
              </w:rPr>
            </w:pPr>
            <w:bookmarkStart w:id="40" w:name="_GoBack"/>
            <w:r>
              <w:rPr>
                <w:rFonts w:hint="eastAsia" w:ascii="仿宋" w:hAnsi="仿宋" w:eastAsia="仿宋"/>
              </w:rPr>
              <w:t>运维经理</w:t>
            </w:r>
          </w:p>
        </w:tc>
        <w:tc>
          <w:tcPr>
            <w:tcW w:w="2409" w:type="dxa"/>
            <w:shd w:val="clear" w:color="auto" w:fill="auto"/>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负责质保期间项目质量和运维进度控制</w:t>
            </w:r>
          </w:p>
        </w:tc>
        <w:tc>
          <w:tcPr>
            <w:tcW w:w="1517" w:type="dxa"/>
            <w:shd w:val="clear" w:color="auto" w:fill="auto"/>
            <w:noWrap/>
            <w:vAlign w:val="center"/>
          </w:tcPr>
          <w:p>
            <w:pPr>
              <w:widowControl/>
              <w:spacing w:line="240" w:lineRule="auto"/>
              <w:ind w:firstLine="0" w:firstLineChars="0"/>
              <w:jc w:val="center"/>
              <w:rPr>
                <w:rFonts w:hint="eastAsia" w:ascii="仿宋" w:hAnsi="仿宋" w:eastAsia="仿宋"/>
              </w:rPr>
            </w:pPr>
            <w:r>
              <w:rPr>
                <w:rFonts w:ascii="仿宋" w:hAnsi="仿宋" w:eastAsia="仿宋"/>
              </w:rPr>
              <w:t>1</w:t>
            </w:r>
            <w:r>
              <w:rPr>
                <w:rFonts w:hint="eastAsia" w:ascii="仿宋" w:hAnsi="仿宋" w:eastAsia="仿宋"/>
              </w:rPr>
              <w:t>人</w:t>
            </w:r>
          </w:p>
        </w:tc>
        <w:tc>
          <w:tcPr>
            <w:tcW w:w="1744" w:type="dxa"/>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具有本科及以上学历；</w:t>
            </w:r>
          </w:p>
          <w:p>
            <w:pPr>
              <w:widowControl/>
              <w:spacing w:line="240" w:lineRule="auto"/>
              <w:ind w:firstLine="0" w:firstLineChars="0"/>
              <w:jc w:val="center"/>
              <w:rPr>
                <w:rFonts w:hint="eastAsia" w:ascii="仿宋" w:hAnsi="仿宋" w:eastAsia="仿宋"/>
              </w:rPr>
            </w:pPr>
            <w:r>
              <w:rPr>
                <w:rFonts w:hint="eastAsia" w:ascii="仿宋" w:hAnsi="仿宋" w:eastAsia="仿宋"/>
              </w:rPr>
              <w:t>具有项目管理资质证书</w:t>
            </w:r>
          </w:p>
        </w:tc>
        <w:tc>
          <w:tcPr>
            <w:tcW w:w="1077"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不驻场</w:t>
            </w:r>
          </w:p>
        </w:tc>
      </w:tr>
      <w:bookmark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维护工程师</w:t>
            </w:r>
          </w:p>
        </w:tc>
        <w:tc>
          <w:tcPr>
            <w:tcW w:w="2409" w:type="dxa"/>
            <w:shd w:val="clear" w:color="auto" w:fill="auto"/>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负责项目运行维护</w:t>
            </w:r>
          </w:p>
        </w:tc>
        <w:tc>
          <w:tcPr>
            <w:tcW w:w="1517" w:type="dxa"/>
            <w:shd w:val="clear" w:color="auto" w:fill="auto"/>
            <w:noWrap/>
            <w:vAlign w:val="center"/>
          </w:tcPr>
          <w:p>
            <w:pPr>
              <w:widowControl/>
              <w:spacing w:line="240" w:lineRule="auto"/>
              <w:ind w:firstLine="0" w:firstLineChars="0"/>
              <w:jc w:val="center"/>
              <w:rPr>
                <w:rFonts w:hint="eastAsia" w:ascii="仿宋" w:hAnsi="仿宋" w:eastAsia="仿宋"/>
              </w:rPr>
            </w:pPr>
            <w:r>
              <w:rPr>
                <w:rFonts w:ascii="仿宋" w:hAnsi="仿宋" w:eastAsia="仿宋"/>
              </w:rPr>
              <w:t>1</w:t>
            </w:r>
            <w:r>
              <w:rPr>
                <w:rFonts w:hint="eastAsia" w:ascii="仿宋" w:hAnsi="仿宋" w:eastAsia="仿宋"/>
              </w:rPr>
              <w:t>人</w:t>
            </w:r>
          </w:p>
        </w:tc>
        <w:tc>
          <w:tcPr>
            <w:tcW w:w="1744" w:type="dxa"/>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具有大专及以上学历；</w:t>
            </w:r>
          </w:p>
          <w:p>
            <w:pPr>
              <w:widowControl/>
              <w:spacing w:line="240" w:lineRule="auto"/>
              <w:ind w:firstLine="0" w:firstLineChars="0"/>
              <w:jc w:val="center"/>
              <w:rPr>
                <w:rFonts w:hint="eastAsia" w:ascii="仿宋" w:hAnsi="仿宋" w:eastAsia="仿宋"/>
              </w:rPr>
            </w:pPr>
            <w:r>
              <w:rPr>
                <w:rFonts w:hint="eastAsia" w:ascii="仿宋" w:hAnsi="仿宋" w:eastAsia="仿宋"/>
              </w:rPr>
              <w:t>熟悉软硬件基本维护</w:t>
            </w:r>
          </w:p>
        </w:tc>
        <w:tc>
          <w:tcPr>
            <w:tcW w:w="1077" w:type="dxa"/>
            <w:shd w:val="clear" w:color="auto" w:fill="auto"/>
            <w:noWrap/>
            <w:vAlign w:val="center"/>
          </w:tcPr>
          <w:p>
            <w:pPr>
              <w:widowControl/>
              <w:spacing w:line="240" w:lineRule="auto"/>
              <w:ind w:firstLine="0" w:firstLineChars="0"/>
              <w:jc w:val="center"/>
              <w:rPr>
                <w:rFonts w:hint="eastAsia" w:ascii="仿宋" w:hAnsi="仿宋" w:eastAsia="仿宋"/>
              </w:rPr>
            </w:pPr>
            <w:r>
              <w:rPr>
                <w:rFonts w:hint="eastAsia" w:ascii="仿宋" w:hAnsi="仿宋" w:eastAsia="仿宋"/>
              </w:rPr>
              <w:t>不驻场</w:t>
            </w:r>
          </w:p>
        </w:tc>
      </w:tr>
    </w:tbl>
    <w:p>
      <w:pPr>
        <w:pStyle w:val="3"/>
        <w:ind w:left="0" w:firstLine="600" w:firstLineChars="200"/>
        <w:rPr>
          <w:rFonts w:hint="eastAsia"/>
        </w:rPr>
      </w:pPr>
      <w:bookmarkStart w:id="35" w:name="_Toc63785511"/>
      <w:r>
        <w:t>等级保护要求</w:t>
      </w:r>
      <w:bookmarkEnd w:id="35"/>
    </w:p>
    <w:p>
      <w:pPr>
        <w:rPr>
          <w:rFonts w:hint="eastAsia" w:ascii="仿宋" w:hAnsi="仿宋" w:eastAsia="仿宋"/>
        </w:rPr>
      </w:pPr>
      <w:r>
        <w:rPr>
          <w:rFonts w:hint="eastAsia" w:ascii="仿宋" w:hAnsi="仿宋" w:eastAsia="仿宋"/>
        </w:rPr>
        <w:t>本项目等级保护要求：</w:t>
      </w:r>
    </w:p>
    <w:p>
      <w:pPr>
        <w:rPr>
          <w:rFonts w:hint="eastAsia" w:ascii="仿宋" w:hAnsi="仿宋" w:eastAsia="仿宋"/>
        </w:rPr>
      </w:pPr>
      <w:r>
        <w:rPr>
          <w:rFonts w:hint="eastAsia" w:ascii="仿宋" w:hAnsi="仿宋" w:eastAsia="仿宋"/>
        </w:rPr>
        <w:t>拟按照信息系统安全等级保护2</w:t>
      </w:r>
      <w:r>
        <w:rPr>
          <w:rFonts w:ascii="仿宋" w:hAnsi="仿宋" w:eastAsia="仿宋"/>
        </w:rPr>
        <w:t>.0</w:t>
      </w:r>
      <w:r>
        <w:rPr>
          <w:rFonts w:hint="eastAsia" w:ascii="仿宋" w:hAnsi="仿宋" w:eastAsia="仿宋"/>
        </w:rPr>
        <w:t>三级进行建设。</w:t>
      </w:r>
    </w:p>
    <w:p>
      <w:pPr>
        <w:pStyle w:val="3"/>
        <w:ind w:left="0" w:firstLine="600" w:firstLineChars="200"/>
        <w:rPr>
          <w:rFonts w:hint="eastAsia"/>
        </w:rPr>
      </w:pPr>
      <w:bookmarkStart w:id="36" w:name="_Toc63785512"/>
      <w:r>
        <w:rPr>
          <w:rFonts w:hint="eastAsia"/>
        </w:rPr>
        <w:t>技术文件要求</w:t>
      </w:r>
    </w:p>
    <w:p>
      <w:pPr>
        <w:rPr>
          <w:rFonts w:hint="eastAsia" w:ascii="仿宋" w:hAnsi="仿宋" w:eastAsia="仿宋"/>
        </w:rPr>
      </w:pPr>
      <w:r>
        <w:rPr>
          <w:rFonts w:hint="eastAsia" w:ascii="仿宋" w:hAnsi="仿宋" w:eastAsia="仿宋"/>
        </w:rPr>
        <w:t>投标人提供的书面技术资料应能确保系统正常运行所需的管理、运营及维护有关的全套文件。技术文件应该全面、完整、详细。投标人提供的技术文件至少应包括：</w:t>
      </w:r>
    </w:p>
    <w:p>
      <w:pPr>
        <w:rPr>
          <w:rFonts w:hint="eastAsia" w:ascii="仿宋" w:hAnsi="仿宋" w:eastAsia="仿宋"/>
        </w:rPr>
      </w:pPr>
      <w:r>
        <w:rPr>
          <w:rFonts w:hint="eastAsia" w:ascii="仿宋" w:hAnsi="仿宋" w:eastAsia="仿宋"/>
        </w:rPr>
        <w:t>－</w:t>
      </w:r>
      <w:r>
        <w:rPr>
          <w:rFonts w:ascii="仿宋" w:hAnsi="仿宋" w:eastAsia="仿宋"/>
        </w:rPr>
        <w:t>系统说明文件；</w:t>
      </w:r>
    </w:p>
    <w:p>
      <w:pPr>
        <w:rPr>
          <w:rFonts w:hint="eastAsia" w:ascii="仿宋" w:hAnsi="仿宋" w:eastAsia="仿宋"/>
        </w:rPr>
      </w:pPr>
      <w:r>
        <w:rPr>
          <w:rFonts w:hint="eastAsia" w:ascii="仿宋" w:hAnsi="仿宋" w:eastAsia="仿宋"/>
        </w:rPr>
        <w:t>－</w:t>
      </w:r>
      <w:r>
        <w:rPr>
          <w:rFonts w:ascii="仿宋" w:hAnsi="仿宋" w:eastAsia="仿宋"/>
        </w:rPr>
        <w:t>技术手册(安装、测试、操作、维护等)；</w:t>
      </w:r>
    </w:p>
    <w:p>
      <w:pPr>
        <w:rPr>
          <w:rFonts w:hint="eastAsia" w:ascii="仿宋" w:hAnsi="仿宋" w:eastAsia="仿宋"/>
        </w:rPr>
      </w:pPr>
      <w:r>
        <w:rPr>
          <w:rFonts w:hint="eastAsia" w:ascii="仿宋" w:hAnsi="仿宋" w:eastAsia="仿宋"/>
        </w:rPr>
        <w:t>－</w:t>
      </w:r>
      <w:r>
        <w:rPr>
          <w:rFonts w:ascii="仿宋" w:hAnsi="仿宋" w:eastAsia="仿宋"/>
        </w:rPr>
        <w:t>项目文档，应该包括：</w:t>
      </w:r>
    </w:p>
    <w:p>
      <w:pPr>
        <w:ind w:left="360"/>
        <w:rPr>
          <w:rFonts w:hint="eastAsia" w:ascii="仿宋" w:hAnsi="仿宋" w:eastAsia="仿宋"/>
        </w:rPr>
      </w:pPr>
      <w:r>
        <w:rPr>
          <w:rFonts w:ascii="仿宋" w:hAnsi="仿宋" w:eastAsia="仿宋"/>
        </w:rPr>
        <w:t>(1)</w:t>
      </w:r>
      <w:r>
        <w:rPr>
          <w:rFonts w:hint="eastAsia" w:ascii="仿宋" w:hAnsi="仿宋" w:eastAsia="仿宋"/>
        </w:rPr>
        <w:t>深化设计图</w:t>
      </w:r>
    </w:p>
    <w:p>
      <w:pPr>
        <w:ind w:left="360"/>
        <w:rPr>
          <w:rFonts w:hint="eastAsia" w:ascii="仿宋" w:hAnsi="仿宋" w:eastAsia="仿宋"/>
        </w:rPr>
      </w:pPr>
      <w:r>
        <w:rPr>
          <w:rFonts w:ascii="仿宋" w:hAnsi="仿宋" w:eastAsia="仿宋"/>
        </w:rPr>
        <w:t>(2)</w:t>
      </w:r>
      <w:r>
        <w:rPr>
          <w:rFonts w:hint="eastAsia" w:ascii="仿宋" w:hAnsi="仿宋" w:eastAsia="仿宋"/>
        </w:rPr>
        <w:t>项目过程文档</w:t>
      </w:r>
    </w:p>
    <w:p>
      <w:pPr>
        <w:ind w:left="360"/>
        <w:rPr>
          <w:rFonts w:hint="eastAsia" w:ascii="仿宋" w:hAnsi="仿宋" w:eastAsia="仿宋"/>
        </w:rPr>
      </w:pPr>
      <w:r>
        <w:rPr>
          <w:rFonts w:ascii="仿宋" w:hAnsi="仿宋" w:eastAsia="仿宋"/>
        </w:rPr>
        <w:t>(3)</w:t>
      </w:r>
      <w:r>
        <w:rPr>
          <w:rFonts w:hint="eastAsia" w:ascii="仿宋" w:hAnsi="仿宋" w:eastAsia="仿宋"/>
        </w:rPr>
        <w:t>设备移交清单</w:t>
      </w:r>
    </w:p>
    <w:p>
      <w:pPr>
        <w:rPr>
          <w:rFonts w:hint="eastAsia" w:ascii="仿宋" w:hAnsi="仿宋" w:eastAsia="仿宋"/>
        </w:rPr>
      </w:pPr>
      <w:r>
        <w:rPr>
          <w:rFonts w:hint="eastAsia" w:ascii="仿宋" w:hAnsi="仿宋" w:eastAsia="仿宋"/>
        </w:rPr>
        <w:t>提供全套技术文件纸介质</w:t>
      </w:r>
      <w:r>
        <w:rPr>
          <w:rFonts w:ascii="仿宋" w:hAnsi="仿宋" w:eastAsia="仿宋"/>
        </w:rPr>
        <w:t>3套以及电子文件1套。</w:t>
      </w:r>
    </w:p>
    <w:p>
      <w:pPr>
        <w:pStyle w:val="2"/>
        <w:rPr>
          <w:rFonts w:hint="eastAsia"/>
        </w:rPr>
      </w:pPr>
      <w:r>
        <w:rPr>
          <w:rFonts w:hint="eastAsia"/>
        </w:rPr>
        <w:t>供应商资质要求</w:t>
      </w:r>
    </w:p>
    <w:p>
      <w:pPr>
        <w:rPr>
          <w:rFonts w:hint="eastAsia" w:ascii="仿宋" w:hAnsi="仿宋" w:eastAsia="仿宋"/>
        </w:rPr>
      </w:pPr>
      <w:r>
        <w:rPr>
          <w:rFonts w:ascii="仿宋" w:hAnsi="仿宋" w:eastAsia="仿宋"/>
        </w:rPr>
        <w:t>1、符合《中华人民共和国政府采购法》第二十二条规定的供应商。</w:t>
      </w:r>
    </w:p>
    <w:p>
      <w:pPr>
        <w:rPr>
          <w:rFonts w:hint="eastAsia" w:ascii="仿宋" w:hAnsi="仿宋" w:eastAsia="仿宋"/>
        </w:rPr>
      </w:pPr>
      <w:r>
        <w:rPr>
          <w:rFonts w:ascii="仿宋" w:hAnsi="仿宋" w:eastAsia="仿宋"/>
        </w:rPr>
        <w:t>2、根据《上海市政府采购供应商登记及诚信管理办法》已登记入库的供应商。</w:t>
      </w:r>
    </w:p>
    <w:p>
      <w:pPr>
        <w:rPr>
          <w:rFonts w:hint="eastAsia" w:ascii="仿宋" w:hAnsi="仿宋" w:eastAsia="仿宋"/>
        </w:rPr>
      </w:pPr>
      <w:r>
        <w:rPr>
          <w:rFonts w:ascii="仿宋" w:hAnsi="仿宋" w:eastAsia="仿宋"/>
        </w:rPr>
        <w:t>3、其他资格要求：</w:t>
      </w:r>
    </w:p>
    <w:p>
      <w:pPr>
        <w:rPr>
          <w:rFonts w:hint="eastAsia" w:ascii="仿宋" w:hAnsi="仿宋" w:eastAsia="仿宋"/>
        </w:rPr>
      </w:pPr>
      <w:r>
        <w:rPr>
          <w:rFonts w:ascii="仿宋" w:hAnsi="仿宋" w:eastAsia="仿宋"/>
        </w:rPr>
        <w:t>3.</w:t>
      </w:r>
      <w:r>
        <w:rPr>
          <w:rFonts w:hint="eastAsia" w:ascii="仿宋" w:hAnsi="仿宋" w:eastAsia="仿宋"/>
        </w:rPr>
        <w:t>1</w:t>
      </w:r>
      <w:r>
        <w:rPr>
          <w:rFonts w:ascii="仿宋" w:hAnsi="仿宋" w:eastAsia="仿宋"/>
        </w:rPr>
        <w:t>本项目面向</w:t>
      </w:r>
      <w:r>
        <w:rPr>
          <w:rFonts w:ascii="仿宋" w:hAnsi="仿宋" w:eastAsia="仿宋"/>
          <w:highlight w:val="yellow"/>
        </w:rPr>
        <w:t>大、中、小、微型</w:t>
      </w:r>
      <w:r>
        <w:rPr>
          <w:rFonts w:ascii="仿宋" w:hAnsi="仿宋" w:eastAsia="仿宋"/>
        </w:rPr>
        <w:t>等各类供应商采购。</w:t>
      </w:r>
    </w:p>
    <w:p>
      <w:pPr>
        <w:rPr>
          <w:rFonts w:hint="eastAsia" w:ascii="仿宋" w:hAnsi="仿宋" w:eastAsia="仿宋"/>
        </w:rPr>
      </w:pPr>
      <w:r>
        <w:rPr>
          <w:rFonts w:ascii="仿宋" w:hAnsi="仿宋" w:eastAsia="仿宋"/>
        </w:rPr>
        <w:t>3.</w:t>
      </w:r>
      <w:r>
        <w:rPr>
          <w:rFonts w:hint="eastAsia" w:ascii="仿宋" w:hAnsi="仿宋" w:eastAsia="仿宋"/>
        </w:rPr>
        <w:t>2</w:t>
      </w:r>
      <w:r>
        <w:rPr>
          <w:rFonts w:ascii="仿宋" w:hAnsi="仿宋" w:eastAsia="仿宋"/>
        </w:rPr>
        <w:t>未被列入“信用中国”网站(www.creditchina.gov.cn)失信被执行人名单、重大税收违法案件当事人名单和中国政府采购网(www.ccgp.gov.cn)政府采购严重违法失信行为记录名单。</w:t>
      </w:r>
    </w:p>
    <w:p>
      <w:pPr>
        <w:pStyle w:val="2"/>
        <w:rPr>
          <w:rFonts w:hint="eastAsia"/>
        </w:rPr>
      </w:pPr>
      <w:r>
        <w:rPr>
          <w:rFonts w:hint="eastAsia"/>
        </w:rPr>
        <w:t>供应商管理要求</w:t>
      </w:r>
      <w:bookmarkEnd w:id="36"/>
    </w:p>
    <w:p>
      <w:pPr>
        <w:pStyle w:val="81"/>
        <w:ind w:firstLine="480"/>
        <w:rPr>
          <w:rFonts w:hint="eastAsia" w:ascii="仿宋" w:hAnsi="仿宋" w:eastAsia="仿宋"/>
          <w:sz w:val="24"/>
          <w:szCs w:val="24"/>
        </w:rPr>
      </w:pPr>
      <w:r>
        <w:rPr>
          <w:rFonts w:hint="eastAsia"/>
          <w:sz w:val="24"/>
          <w:szCs w:val="24"/>
        </w:rPr>
        <w:t>1、</w:t>
      </w:r>
      <w:r>
        <w:rPr>
          <w:rFonts w:hint="eastAsia" w:ascii="仿宋" w:hAnsi="仿宋" w:eastAsia="仿宋"/>
          <w:sz w:val="24"/>
          <w:szCs w:val="24"/>
        </w:rPr>
        <w:t>在项目实施期间，中标人应严格执行国家、地方、行业有关本项目业务管理和安全作业的法律、法规和制度并按规定承担相应的费用。中标人因违反规定等原因造成的一切损失和责任由中标人自行承担。</w:t>
      </w:r>
    </w:p>
    <w:p>
      <w:pPr>
        <w:pStyle w:val="81"/>
        <w:ind w:firstLine="480"/>
        <w:rPr>
          <w:rFonts w:hint="eastAsia" w:ascii="仿宋" w:hAnsi="仿宋" w:eastAsia="仿宋"/>
          <w:sz w:val="24"/>
          <w:szCs w:val="24"/>
        </w:rPr>
      </w:pPr>
      <w:r>
        <w:rPr>
          <w:rFonts w:hint="eastAsia" w:ascii="仿宋" w:hAnsi="仿宋" w:eastAsia="仿宋"/>
          <w:sz w:val="24"/>
          <w:szCs w:val="24"/>
        </w:rPr>
        <w:t>2、中标人在投标书中承诺并经招标人认定的项目负责人及专业技术人员必须是本单位职工（在本单位缴纳社会保障金）和该项目实施现场的实际操作者，应具有类似本项目的实施经验，并应在调研、安装、试运行等期间常驻项目现场。未经采购人同意，中标人不得调换或撤离上述人员。如采购人认为有必要，可要求中标人对上述人员中的部分人员作出更好的调整。</w:t>
      </w:r>
    </w:p>
    <w:p>
      <w:pPr>
        <w:pStyle w:val="81"/>
        <w:ind w:firstLine="480"/>
        <w:rPr>
          <w:rFonts w:hint="eastAsia" w:ascii="仿宋" w:hAnsi="仿宋" w:eastAsia="仿宋"/>
          <w:sz w:val="24"/>
          <w:szCs w:val="24"/>
        </w:rPr>
      </w:pPr>
      <w:r>
        <w:rPr>
          <w:rFonts w:hint="eastAsia" w:ascii="仿宋" w:hAnsi="仿宋" w:eastAsia="仿宋"/>
          <w:sz w:val="24"/>
          <w:szCs w:val="24"/>
        </w:rPr>
        <w:t>3、中标人在项目实施期间，应按项目实际进度与环节落实所对应项目整体及各环节管理工作，按照规范做好项目实施期间相关管理与实施记录。</w:t>
      </w:r>
    </w:p>
    <w:p>
      <w:pPr>
        <w:pStyle w:val="81"/>
        <w:ind w:firstLine="480"/>
        <w:rPr>
          <w:rFonts w:hint="eastAsia" w:ascii="仿宋" w:hAnsi="仿宋" w:eastAsia="仿宋"/>
          <w:sz w:val="24"/>
          <w:szCs w:val="24"/>
        </w:rPr>
      </w:pPr>
      <w:r>
        <w:rPr>
          <w:rFonts w:hint="eastAsia" w:ascii="仿宋" w:hAnsi="仿宋" w:eastAsia="仿宋"/>
          <w:sz w:val="24"/>
          <w:szCs w:val="24"/>
        </w:rPr>
        <w:t>4、参与本项目的工作人员应严格遵循采购人的安全制度，保障采购人资料和设备的安全。中标方如需进入采购人机房工作，只能在采购人规定的工作区域内对项目涉及的设备进行操作，严禁触动与项目无关的任何设备（包括任何操作行为），如需跨区操作必须得到采购人项目联系人确认。</w:t>
      </w:r>
    </w:p>
    <w:p>
      <w:pPr>
        <w:pStyle w:val="81"/>
        <w:ind w:firstLine="480"/>
        <w:rPr>
          <w:rFonts w:hint="eastAsia" w:ascii="仿宋" w:hAnsi="仿宋" w:eastAsia="仿宋"/>
          <w:sz w:val="24"/>
          <w:szCs w:val="24"/>
        </w:rPr>
      </w:pPr>
      <w:r>
        <w:rPr>
          <w:rFonts w:hint="eastAsia" w:ascii="仿宋" w:hAnsi="仿宋" w:eastAsia="仿宋"/>
          <w:sz w:val="24"/>
          <w:szCs w:val="24"/>
        </w:rPr>
        <w:t>5、中标人在项目实施期间必须遵守采购人的规章制度并提供实施人员名单。</w:t>
      </w:r>
    </w:p>
    <w:p>
      <w:pPr>
        <w:pStyle w:val="81"/>
        <w:ind w:firstLine="480"/>
        <w:rPr>
          <w:rFonts w:hint="eastAsia" w:ascii="仿宋" w:hAnsi="仿宋" w:eastAsia="仿宋"/>
          <w:sz w:val="24"/>
          <w:szCs w:val="24"/>
        </w:rPr>
      </w:pPr>
      <w:r>
        <w:rPr>
          <w:rFonts w:hint="eastAsia" w:ascii="仿宋" w:hAnsi="仿宋" w:eastAsia="仿宋"/>
          <w:sz w:val="24"/>
          <w:szCs w:val="24"/>
        </w:rPr>
        <w:t>6、各投标人在投标文件中要结合本项目的特点和采购人上述的具体要求制定相应的管理措施，并在报价中列支相应的费用清单，投标人报价中未列支上述费用清单的，上述费用视为已包含在投标人的投标总报价中。</w:t>
      </w:r>
    </w:p>
    <w:p>
      <w:pPr>
        <w:pStyle w:val="81"/>
        <w:ind w:firstLine="480"/>
        <w:rPr>
          <w:rFonts w:hint="eastAsia" w:ascii="仿宋" w:hAnsi="仿宋" w:eastAsia="仿宋"/>
          <w:sz w:val="24"/>
          <w:szCs w:val="24"/>
        </w:rPr>
      </w:pPr>
      <w:r>
        <w:rPr>
          <w:rFonts w:hint="eastAsia" w:ascii="仿宋" w:hAnsi="仿宋" w:eastAsia="仿宋"/>
          <w:sz w:val="24"/>
          <w:szCs w:val="24"/>
        </w:rPr>
        <w:t>7、本项目软件开发及调试将纳入采购人的管理范围，中标人在此过程中须服从上述单位的管理协调。</w:t>
      </w:r>
    </w:p>
    <w:p>
      <w:pPr>
        <w:pStyle w:val="2"/>
        <w:rPr>
          <w:rFonts w:hint="eastAsia"/>
        </w:rPr>
      </w:pPr>
      <w:bookmarkStart w:id="37" w:name="_Toc63785513"/>
      <w:r>
        <w:rPr>
          <w:rFonts w:hint="eastAsia"/>
        </w:rPr>
        <w:t>关于转让和分包的规定</w:t>
      </w:r>
    </w:p>
    <w:p>
      <w:pPr>
        <w:rPr>
          <w:rFonts w:hint="eastAsia" w:ascii="仿宋" w:hAnsi="仿宋" w:eastAsia="仿宋"/>
        </w:rPr>
      </w:pPr>
      <w:r>
        <w:rPr>
          <w:rFonts w:hint="eastAsia" w:ascii="仿宋" w:hAnsi="仿宋" w:eastAsia="仿宋"/>
        </w:rPr>
        <w:t>本项目不得转让、不得分包。</w:t>
      </w:r>
    </w:p>
    <w:p>
      <w:pPr>
        <w:pStyle w:val="2"/>
        <w:rPr>
          <w:rFonts w:hint="eastAsia"/>
        </w:rPr>
      </w:pPr>
      <w:r>
        <w:rPr>
          <w:rFonts w:hint="eastAsia"/>
        </w:rPr>
        <w:t>知识产权及保密要求</w:t>
      </w:r>
      <w:bookmarkEnd w:id="37"/>
    </w:p>
    <w:p>
      <w:pPr>
        <w:ind w:firstLine="482"/>
        <w:rPr>
          <w:rFonts w:hint="eastAsia" w:ascii="仿宋" w:hAnsi="仿宋" w:eastAsia="仿宋"/>
          <w:b/>
          <w:bCs/>
        </w:rPr>
      </w:pPr>
      <w:r>
        <w:rPr>
          <w:rFonts w:ascii="仿宋" w:hAnsi="仿宋" w:eastAsia="仿宋"/>
          <w:b/>
          <w:bCs/>
        </w:rPr>
        <w:t>1、中标人数据、文件、资料知识产权</w:t>
      </w:r>
    </w:p>
    <w:p>
      <w:pPr>
        <w:rPr>
          <w:rFonts w:hint="eastAsia" w:ascii="仿宋" w:hAnsi="仿宋" w:eastAsia="仿宋"/>
        </w:rPr>
      </w:pPr>
      <w:r>
        <w:rPr>
          <w:rFonts w:hint="eastAsia" w:ascii="仿宋" w:hAnsi="仿宋" w:eastAsia="仿宋"/>
        </w:rPr>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公证费、鉴定费等。</w:t>
      </w:r>
    </w:p>
    <w:p>
      <w:pPr>
        <w:rPr>
          <w:rFonts w:hint="eastAsia" w:ascii="仿宋" w:hAnsi="仿宋" w:eastAsia="仿宋"/>
        </w:rPr>
      </w:pPr>
      <w:r>
        <w:rPr>
          <w:rFonts w:hint="eastAsia" w:ascii="仿宋" w:hAnsi="仿宋" w:eastAsia="仿宋"/>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pPr>
        <w:rPr>
          <w:rFonts w:hint="eastAsia" w:ascii="仿宋" w:hAnsi="仿宋" w:eastAsia="仿宋"/>
        </w:rPr>
      </w:pPr>
      <w:r>
        <w:rPr>
          <w:rFonts w:hint="eastAsia" w:ascii="仿宋" w:hAnsi="仿宋" w:eastAsia="仿宋"/>
        </w:rPr>
        <w:t>在不影响上述条款规定的由采购人取得所有成果的知识产权的前提下，双方因履行本项目而被授权接触或使用对方之知识产权（包括但不限于商标、专利、著作权等），和/或任何其他相关资料、数据等涉及的任何权利，均不视为向另一方转让上述权利或在本项目范围外授权许可另一方使用上述权利，上述权利仍应属于提供方，并仅可使用于本项目，被授权接触或使用方未经提供方书面同意，不得擅自挪作他用。</w:t>
      </w:r>
    </w:p>
    <w:p>
      <w:pPr>
        <w:ind w:firstLine="482"/>
        <w:rPr>
          <w:rFonts w:hint="eastAsia" w:ascii="仿宋" w:hAnsi="仿宋" w:eastAsia="仿宋"/>
          <w:b/>
          <w:bCs/>
        </w:rPr>
      </w:pPr>
      <w:r>
        <w:rPr>
          <w:rFonts w:ascii="仿宋" w:hAnsi="仿宋" w:eastAsia="仿宋"/>
          <w:b/>
          <w:bCs/>
        </w:rPr>
        <w:t>2、项目保密要求</w:t>
      </w:r>
    </w:p>
    <w:p>
      <w:pPr>
        <w:rPr>
          <w:rFonts w:hint="eastAsia" w:ascii="仿宋" w:hAnsi="仿宋" w:eastAsia="仿宋"/>
        </w:rPr>
      </w:pPr>
      <w:r>
        <w:rPr>
          <w:rFonts w:hint="eastAsia" w:ascii="仿宋" w:hAnsi="仿宋" w:eastAsia="仿宋"/>
        </w:rPr>
        <w:t>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pPr>
        <w:rPr>
          <w:rFonts w:hint="eastAsia" w:ascii="仿宋" w:hAnsi="仿宋" w:eastAsia="仿宋"/>
        </w:rPr>
      </w:pPr>
      <w:r>
        <w:rPr>
          <w:rFonts w:hint="eastAsia" w:ascii="仿宋" w:hAnsi="仿宋" w:eastAsia="仿宋"/>
        </w:rPr>
        <w:t>中标人应采取必要的有效措施保证其参与本项目的人员（包括中标人聘用的人员、借调的人员、实习的人员）无论是在职或离职后，以及中标人的合作方无论是合作中或合作终止后，都能够履行本项目约定的保密义务。若中标人人员或中标人合作方违反保密规定，中标人应承担连带责任。</w:t>
      </w:r>
    </w:p>
    <w:p>
      <w:pPr>
        <w:rPr>
          <w:rFonts w:hint="eastAsia" w:ascii="仿宋" w:hAnsi="仿宋" w:eastAsia="仿宋"/>
        </w:rPr>
      </w:pPr>
      <w:r>
        <w:rPr>
          <w:rFonts w:hint="eastAsia" w:ascii="仿宋" w:hAnsi="仿宋" w:eastAsia="仿宋"/>
        </w:rPr>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pPr>
        <w:rPr>
          <w:rFonts w:hint="eastAsia" w:ascii="仿宋" w:hAnsi="仿宋" w:eastAsia="仿宋"/>
        </w:rPr>
      </w:pPr>
      <w:r>
        <w:rPr>
          <w:rFonts w:hint="eastAsia" w:ascii="仿宋" w:hAnsi="仿宋" w:eastAsia="仿宋"/>
        </w:rPr>
        <w:t>以上内容的保密期限自中标人知悉保密信息起始至保密信息被合法公开之日止。</w:t>
      </w:r>
    </w:p>
    <w:p>
      <w:pPr>
        <w:ind w:firstLine="482"/>
        <w:rPr>
          <w:rFonts w:hint="eastAsia" w:ascii="仿宋" w:hAnsi="仿宋" w:eastAsia="仿宋"/>
          <w:b/>
          <w:bCs/>
        </w:rPr>
      </w:pPr>
      <w:r>
        <w:rPr>
          <w:rFonts w:ascii="仿宋" w:hAnsi="仿宋" w:eastAsia="仿宋"/>
          <w:b/>
          <w:bCs/>
        </w:rPr>
        <w:t>3、临时账号等使用要求</w:t>
      </w:r>
    </w:p>
    <w:p>
      <w:pPr>
        <w:rPr>
          <w:rFonts w:hint="eastAsia" w:ascii="仿宋" w:hAnsi="仿宋" w:eastAsia="仿宋"/>
        </w:rPr>
      </w:pPr>
      <w:r>
        <w:rPr>
          <w:rFonts w:hint="eastAsia" w:ascii="仿宋" w:hAnsi="仿宋" w:eastAsia="仿宋"/>
        </w:rPr>
        <w:t>中标人对采购人提拱的临时使用账号要保密，不得公开，对组件开发的账号密码需进行加密，避免信息安全的泄露。未经采购人的同意不得利用采购人的网络及平台进行短信、彩信、微信发送</w:t>
      </w:r>
      <w:r>
        <w:rPr>
          <w:rFonts w:ascii="仿宋" w:hAnsi="仿宋" w:eastAsia="仿宋"/>
        </w:rPr>
        <w:t>,造成的一切后果由中标人负责。</w:t>
      </w:r>
    </w:p>
    <w:p>
      <w:pPr>
        <w:pStyle w:val="2"/>
        <w:rPr>
          <w:rFonts w:hint="eastAsia"/>
        </w:rPr>
      </w:pPr>
      <w:bookmarkStart w:id="38" w:name="_Toc65170093"/>
      <w:r>
        <w:t>项目的变更、解除和终止</w:t>
      </w:r>
    </w:p>
    <w:p>
      <w:pPr>
        <w:rPr>
          <w:rFonts w:hint="eastAsia" w:ascii="仿宋" w:hAnsi="仿宋" w:eastAsia="仿宋"/>
        </w:rPr>
      </w:pPr>
      <w:r>
        <w:rPr>
          <w:rFonts w:hint="eastAsia" w:ascii="仿宋" w:hAnsi="仿宋" w:eastAsia="仿宋"/>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pPr>
        <w:rPr>
          <w:rFonts w:hint="eastAsia" w:ascii="仿宋" w:hAnsi="仿宋" w:eastAsia="仿宋"/>
        </w:rPr>
      </w:pPr>
      <w:r>
        <w:rPr>
          <w:rFonts w:hint="eastAsia" w:ascii="仿宋" w:hAnsi="仿宋" w:eastAsia="仿宋"/>
        </w:rPr>
        <w:t>如遇国家、行业管理部门等机构的有关标准和规定调整的，导致本项目内容须做相应调整时，双方应按照公平、合理的原则共同协商修改本项目对应的合同的相关条款。</w:t>
      </w:r>
    </w:p>
    <w:p>
      <w:pPr>
        <w:pStyle w:val="2"/>
        <w:rPr>
          <w:rFonts w:hint="eastAsia"/>
        </w:rPr>
      </w:pPr>
      <w:r>
        <w:rPr>
          <w:rFonts w:hint="eastAsia"/>
        </w:rPr>
        <w:t>违约责任</w:t>
      </w:r>
      <w:bookmarkEnd w:id="38"/>
    </w:p>
    <w:p>
      <w:pPr>
        <w:rPr>
          <w:rFonts w:hint="eastAsia" w:ascii="仿宋" w:hAnsi="仿宋" w:eastAsia="仿宋"/>
        </w:rPr>
      </w:pPr>
      <w:r>
        <w:t>1、</w:t>
      </w:r>
      <w:r>
        <w:rPr>
          <w:rFonts w:ascii="仿宋" w:hAnsi="仿宋" w:eastAsia="仿宋"/>
        </w:rPr>
        <w:t>如中标人未按约定的时间或服务标准完成建设工作，采购人可要求中标人在规定的时间内采取补救措施。中标人还应向采购人支付本项目费用总额30%的违约金，违约金不足以弥补采购人损失的，采购人有权要求中标人赔偿超过部分。</w:t>
      </w:r>
    </w:p>
    <w:p>
      <w:pPr>
        <w:rPr>
          <w:rFonts w:hint="eastAsia" w:ascii="仿宋" w:hAnsi="仿宋" w:eastAsia="仿宋"/>
        </w:rPr>
      </w:pPr>
      <w:r>
        <w:rPr>
          <w:rFonts w:ascii="仿宋" w:hAnsi="仿宋" w:eastAsia="仿宋"/>
        </w:rPr>
        <w:t>2、因中标人违反保密义务或知识产权约定的，采购人有权要求中标人支付本项目费用总额30%的违约金，违约金不足以弥补采购人损失的，采购人有权要求中标人赔偿超过部分。若中标人违反保密义务，采购人还有权立即单方解除合同而不承担任何违约责任。</w:t>
      </w:r>
    </w:p>
    <w:p>
      <w:pPr>
        <w:rPr>
          <w:rFonts w:hint="eastAsia" w:ascii="仿宋" w:hAnsi="仿宋" w:eastAsia="仿宋"/>
        </w:rPr>
      </w:pPr>
      <w:r>
        <w:rPr>
          <w:rFonts w:ascii="仿宋" w:hAnsi="仿宋" w:eastAsia="仿宋"/>
        </w:rPr>
        <w:t>3、中标人有其他违反本项目合同约定的行为，中标人应当支付本项目总价款金额的20%作为违约金，违约金不足以弥补采购人损失的，采购人有权要求中标人赔偿超过部分。</w:t>
      </w:r>
    </w:p>
    <w:p>
      <w:pPr>
        <w:rPr>
          <w:rFonts w:hint="eastAsia" w:ascii="仿宋" w:hAnsi="仿宋" w:eastAsia="仿宋"/>
        </w:rPr>
      </w:pPr>
      <w:r>
        <w:rPr>
          <w:rFonts w:ascii="仿宋" w:hAnsi="仿宋" w:eastAsia="仿宋"/>
        </w:rPr>
        <w:t>4、中标人有下列情形之一，采购人有权解除合同：</w:t>
      </w:r>
    </w:p>
    <w:p>
      <w:pPr>
        <w:rPr>
          <w:rFonts w:hint="eastAsia" w:ascii="仿宋" w:hAnsi="仿宋" w:eastAsia="仿宋"/>
        </w:rPr>
      </w:pPr>
      <w:r>
        <w:rPr>
          <w:rFonts w:hint="eastAsia" w:ascii="仿宋" w:hAnsi="仿宋" w:eastAsia="仿宋"/>
        </w:rPr>
        <w:t>（1</w:t>
      </w:r>
      <w:r>
        <w:rPr>
          <w:rFonts w:ascii="仿宋" w:hAnsi="仿宋" w:eastAsia="仿宋"/>
        </w:rPr>
        <w:t>）因中标人服务质量问题导致采购人无法实现目的；</w:t>
      </w:r>
    </w:p>
    <w:p>
      <w:pPr>
        <w:rPr>
          <w:rFonts w:hint="eastAsia" w:ascii="仿宋" w:hAnsi="仿宋" w:eastAsia="仿宋"/>
        </w:rPr>
      </w:pPr>
      <w:r>
        <w:rPr>
          <w:rFonts w:hint="eastAsia" w:ascii="仿宋" w:hAnsi="仿宋" w:eastAsia="仿宋"/>
        </w:rPr>
        <w:t>（2</w:t>
      </w:r>
      <w:r>
        <w:rPr>
          <w:rFonts w:ascii="仿宋" w:hAnsi="仿宋" w:eastAsia="仿宋"/>
        </w:rPr>
        <w:t>）擅自转让或者分包其应履行的义务的；</w:t>
      </w:r>
    </w:p>
    <w:p>
      <w:pPr>
        <w:rPr>
          <w:rFonts w:hint="eastAsia" w:ascii="仿宋" w:hAnsi="仿宋" w:eastAsia="仿宋"/>
        </w:rPr>
      </w:pPr>
      <w:r>
        <w:rPr>
          <w:rFonts w:hint="eastAsia" w:ascii="仿宋" w:hAnsi="仿宋" w:eastAsia="仿宋"/>
        </w:rPr>
        <w:t>（3</w:t>
      </w:r>
      <w:r>
        <w:rPr>
          <w:rFonts w:ascii="仿宋" w:hAnsi="仿宋" w:eastAsia="仿宋"/>
        </w:rPr>
        <w:t>）违反或者未履行本项目合同约定的其他相关义务，且在采购人要求的合理时间内未能纠正的。</w:t>
      </w:r>
    </w:p>
    <w:p>
      <w:pPr>
        <w:pStyle w:val="2"/>
        <w:rPr>
          <w:rFonts w:hint="eastAsia"/>
        </w:rPr>
      </w:pPr>
      <w:bookmarkStart w:id="39" w:name="_Toc63785514"/>
      <w:r>
        <w:rPr>
          <w:rFonts w:hint="eastAsia"/>
        </w:rPr>
        <w:t>付款</w:t>
      </w:r>
      <w:bookmarkEnd w:id="39"/>
      <w:r>
        <w:rPr>
          <w:rFonts w:hint="eastAsia"/>
        </w:rPr>
        <w:t>方式</w:t>
      </w:r>
    </w:p>
    <w:p>
      <w:pPr>
        <w:rPr>
          <w:rFonts w:hint="eastAsia" w:ascii="仿宋" w:hAnsi="仿宋" w:eastAsia="仿宋"/>
        </w:rPr>
      </w:pPr>
      <w:r>
        <w:rPr>
          <w:rFonts w:hint="eastAsia" w:ascii="仿宋" w:hAnsi="仿宋" w:eastAsia="仿宋"/>
        </w:rPr>
        <w:t>本项目拟采用二期分期付款方式付款</w:t>
      </w:r>
    </w:p>
    <w:p>
      <w:pPr>
        <w:rPr>
          <w:rFonts w:hint="eastAsia" w:ascii="仿宋" w:hAnsi="仿宋" w:eastAsia="仿宋"/>
        </w:rPr>
      </w:pPr>
      <w:r>
        <w:rPr>
          <w:rFonts w:hint="eastAsia" w:ascii="仿宋" w:hAnsi="仿宋" w:eastAsia="仿宋"/>
        </w:rPr>
        <w:t>a.合同签订生效且收到发票后10个工作日内，支付合同总价款的 70 %；</w:t>
      </w:r>
    </w:p>
    <w:p>
      <w:pPr>
        <w:rPr>
          <w:rFonts w:hint="eastAsia" w:ascii="仿宋" w:hAnsi="仿宋" w:eastAsia="仿宋"/>
        </w:rPr>
      </w:pPr>
      <w:r>
        <w:rPr>
          <w:rFonts w:hint="eastAsia" w:ascii="仿宋" w:hAnsi="仿宋" w:eastAsia="仿宋"/>
        </w:rPr>
        <w:t>b.本项目通过最终验收且收到发票后10个工作日内，支付合同总价款的尾款。</w:t>
      </w:r>
    </w:p>
    <w:p>
      <w:pPr>
        <w:rPr>
          <w:rFonts w:hint="eastAsia" w:ascii="仿宋" w:hAnsi="仿宋" w:eastAsia="仿宋"/>
        </w:rPr>
      </w:pPr>
      <w:r>
        <w:rPr>
          <w:rFonts w:hint="eastAsia" w:ascii="仿宋" w:hAnsi="仿宋" w:eastAsia="仿宋"/>
        </w:rPr>
        <w:t>付款条件备注：服务提供方应当在采购方每次付款前提前至少10个工作日向采购方提供有效发票。</w:t>
      </w:r>
    </w:p>
    <w:p>
      <w:pPr>
        <w:ind w:firstLine="0" w:firstLineChars="0"/>
        <w:jc w:val="left"/>
        <w:rPr>
          <w:rFonts w:hint="eastAsia"/>
          <w:b/>
          <w:bCs/>
        </w:rPr>
      </w:pPr>
    </w:p>
    <w:sectPr>
      <w:footerReference r:id="rId11" w:type="first"/>
      <w:pgSz w:w="11906" w:h="16838"/>
      <w:pgMar w:top="1134" w:right="1797" w:bottom="1135" w:left="1797" w:header="340" w:footer="7" w:gutter="0"/>
      <w:pgNumType w:start="1"/>
      <w:cols w:space="720" w:num="1"/>
      <w:titlePg/>
      <w:docGrid w:type="linesAndChar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Calibri Light">
    <w:altName w:val="DejaVu Sans"/>
    <w:panose1 w:val="020F0302020204030204"/>
    <w:charset w:val="00"/>
    <w:family w:val="swiss"/>
    <w:pitch w:val="default"/>
    <w:sig w:usb0="00000000" w:usb1="00000000" w:usb2="00000009" w:usb3="00000000" w:csb0="000001FF" w:csb1="00000000"/>
  </w:font>
  <w:font w:name="Arial Unicode MS">
    <w:altName w:val="DejaVu Sans"/>
    <w:panose1 w:val="020B0604020202020204"/>
    <w:charset w:val="86"/>
    <w:family w:val="swiss"/>
    <w:pitch w:val="default"/>
    <w:sig w:usb0="00000000" w:usb1="00000000" w:usb2="0000003F" w:usb3="00000000" w:csb0="003F01FF" w:csb1="00000000"/>
  </w:font>
  <w:font w:name="等线 Light">
    <w:altName w:val="华文中宋"/>
    <w:panose1 w:val="02010600030101010101"/>
    <w:charset w:val="86"/>
    <w:family w:val="auto"/>
    <w:pitch w:val="default"/>
    <w:sig w:usb0="00000000" w:usb1="00000000" w:usb2="00000016" w:usb3="00000000" w:csb0="0004000F" w:csb1="00000000"/>
  </w:font>
  <w:font w:name="time">
    <w:altName w:val="华文中宋"/>
    <w:panose1 w:val="00000000000000000000"/>
    <w:charset w:val="00"/>
    <w:family w:val="roman"/>
    <w:pitch w:val="default"/>
    <w:sig w:usb0="00000000" w:usb1="00000000" w:usb2="00000000" w:usb3="00000000" w:csb0="00040001"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Microsoft Sans Serif">
    <w:altName w:val="Liberation Sans"/>
    <w:panose1 w:val="020B0604020202020204"/>
    <w:charset w:val="00"/>
    <w:family w:val="swiss"/>
    <w:pitch w:val="default"/>
    <w:sig w:usb0="00000000" w:usb1="00000000" w:usb2="00000029" w:usb3="00000000" w:csb0="000101FF" w:csb1="00000000"/>
  </w:font>
  <w:font w:name="Liberation Sans">
    <w:panose1 w:val="020B0604020202020204"/>
    <w:charset w:val="00"/>
    <w:family w:val="auto"/>
    <w:pitch w:val="default"/>
    <w:sig w:usb0="A00002AF" w:usb1="500078FB" w:usb2="00000000" w:usb3="00000000" w:csb0="6000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center"/>
      <w:rPr>
        <w:rFonts w:hint="eastAsia"/>
      </w:rPr>
    </w:pPr>
    <w:r>
      <w:fldChar w:fldCharType="begin"/>
    </w:r>
    <w:r>
      <w:instrText xml:space="preserve">PAGE   \* MERGEFORMAT</w:instrText>
    </w:r>
    <w:r>
      <w:fldChar w:fldCharType="separate"/>
    </w:r>
    <w:r>
      <w:rPr>
        <w:lang w:val="zh-CN"/>
      </w:rPr>
      <w:t>10</w:t>
    </w:r>
    <w:r>
      <w:rPr>
        <w:lang w:val="zh-CN"/>
      </w:rPr>
      <w:fldChar w:fldCharType="end"/>
    </w:r>
  </w:p>
  <w:p>
    <w:pP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center"/>
      <w:rPr>
        <w:rFonts w:hint="eastAsia"/>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CC7CA"/>
    <w:multiLevelType w:val="singleLevel"/>
    <w:tmpl w:val="8ABCC7CA"/>
    <w:lvl w:ilvl="0" w:tentative="0">
      <w:start w:val="1"/>
      <w:numFmt w:val="decimal"/>
      <w:lvlText w:val="%1)"/>
      <w:lvlJc w:val="left"/>
      <w:pPr>
        <w:ind w:left="425" w:hanging="425"/>
      </w:pPr>
      <w:rPr>
        <w:rFonts w:hint="default"/>
      </w:rPr>
    </w:lvl>
  </w:abstractNum>
  <w:abstractNum w:abstractNumId="1">
    <w:nsid w:val="10F068CF"/>
    <w:multiLevelType w:val="multilevel"/>
    <w:tmpl w:val="10F068CF"/>
    <w:lvl w:ilvl="0" w:tentative="0">
      <w:start w:val="1"/>
      <w:numFmt w:val="decimal"/>
      <w:pStyle w:val="179"/>
      <w:suff w:val="nothing"/>
      <w:lvlText w:val="（%1）"/>
      <w:lvlJc w:val="left"/>
      <w:pPr>
        <w:ind w:left="420" w:firstLine="0"/>
      </w:pPr>
      <w:rPr>
        <w:b w:val="0"/>
        <w:bCs w:val="0"/>
        <w:i w:val="0"/>
        <w:iCs w:val="0"/>
        <w:caps w:val="0"/>
        <w:smallCaps w:val="0"/>
        <w:strike w:val="0"/>
        <w:dstrike w:val="0"/>
        <w:outline w:val="0"/>
        <w:shadow w:val="0"/>
        <w:emboss w:val="0"/>
        <w:imprint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decimal"/>
      <w:pStyle w:val="181"/>
      <w:suff w:val="nothing"/>
      <w:lvlText w:val="%2）"/>
      <w:lvlJc w:val="left"/>
      <w:pPr>
        <w:ind w:left="840" w:hanging="1"/>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1C5818EB"/>
    <w:multiLevelType w:val="multilevel"/>
    <w:tmpl w:val="1C5818EB"/>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pStyle w:val="141"/>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3">
    <w:nsid w:val="1D2F48D5"/>
    <w:multiLevelType w:val="multilevel"/>
    <w:tmpl w:val="1D2F48D5"/>
    <w:lvl w:ilvl="0" w:tentative="0">
      <w:start w:val="1"/>
      <w:numFmt w:val="decimal"/>
      <w:pStyle w:val="158"/>
      <w:lvlText w:val="图%1"/>
      <w:lvlJc w:val="left"/>
      <w:pPr>
        <w:ind w:left="3398" w:hanging="420"/>
      </w:pPr>
      <w:rPr>
        <w:rFonts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840" w:hanging="420"/>
      </w:pPr>
    </w:lvl>
    <w:lvl w:ilvl="2" w:tentative="0">
      <w:start w:val="1"/>
      <w:numFmt w:val="lowerRoman"/>
      <w:pStyle w:val="159"/>
      <w:lvlText w:val="%3."/>
      <w:lvlJc w:val="right"/>
      <w:pPr>
        <w:ind w:left="1260" w:hanging="420"/>
      </w:pPr>
    </w:lvl>
    <w:lvl w:ilvl="3" w:tentative="0">
      <w:start w:val="1"/>
      <w:numFmt w:val="decimal"/>
      <w:pStyle w:val="160"/>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08A7ABE"/>
    <w:multiLevelType w:val="multilevel"/>
    <w:tmpl w:val="208A7ABE"/>
    <w:lvl w:ilvl="0" w:tentative="0">
      <w:start w:val="1"/>
      <w:numFmt w:val="decimal"/>
      <w:pStyle w:val="176"/>
      <w:suff w:val="space"/>
      <w:lvlText w:val="表%1"/>
      <w:lvlJc w:val="left"/>
      <w:pPr>
        <w:ind w:left="900" w:hanging="420"/>
      </w:pPr>
      <w:rPr>
        <w:rFonts w:hint="eastAsia"/>
        <w:sz w:val="21"/>
        <w:szCs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52107783"/>
    <w:multiLevelType w:val="multilevel"/>
    <w:tmpl w:val="52107783"/>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6">
    <w:nsid w:val="5B383A0A"/>
    <w:multiLevelType w:val="multilevel"/>
    <w:tmpl w:val="5B383A0A"/>
    <w:lvl w:ilvl="0" w:tentative="0">
      <w:start w:val="1"/>
      <w:numFmt w:val="decimal"/>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7">
    <w:nsid w:val="6350366A"/>
    <w:multiLevelType w:val="multilevel"/>
    <w:tmpl w:val="6350366A"/>
    <w:lvl w:ilvl="0" w:tentative="0">
      <w:start w:val="1"/>
      <w:numFmt w:val="none"/>
      <w:pStyle w:val="113"/>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A2F4AB3"/>
    <w:multiLevelType w:val="multilevel"/>
    <w:tmpl w:val="6A2F4AB3"/>
    <w:lvl w:ilvl="0" w:tentative="0">
      <w:start w:val="1"/>
      <w:numFmt w:val="chineseCountingThousand"/>
      <w:pStyle w:val="2"/>
      <w:suff w:val="nothing"/>
      <w:lvlText w:val="%1、"/>
      <w:lvlJc w:val="left"/>
      <w:pPr>
        <w:ind w:left="2835" w:hanging="425"/>
      </w:pPr>
      <w:rPr>
        <w:rFonts w:hint="eastAsia"/>
        <w:sz w:val="32"/>
        <w:szCs w:val="32"/>
      </w:rPr>
    </w:lvl>
    <w:lvl w:ilvl="1" w:tentative="0">
      <w:start w:val="1"/>
      <w:numFmt w:val="decimal"/>
      <w:pStyle w:val="3"/>
      <w:isLgl/>
      <w:suff w:val="nothing"/>
      <w:lvlText w:val="%1.%2、"/>
      <w:lvlJc w:val="left"/>
      <w:pPr>
        <w:ind w:left="992" w:hanging="567"/>
      </w:pPr>
    </w:lvl>
    <w:lvl w:ilvl="2" w:tentative="0">
      <w:start w:val="1"/>
      <w:numFmt w:val="decimal"/>
      <w:pStyle w:val="4"/>
      <w:isLgl/>
      <w:suff w:val="nothing"/>
      <w:lvlText w:val="%1.%2.%3、"/>
      <w:lvlJc w:val="left"/>
      <w:pPr>
        <w:ind w:left="1069" w:hanging="1069"/>
      </w:pPr>
      <w:rPr>
        <w:rFonts w:hint="default" w:ascii="宋体" w:hAnsi="宋体" w:eastAsia="宋体" w:cs="Arial"/>
      </w:rPr>
    </w:lvl>
    <w:lvl w:ilvl="3" w:tentative="0">
      <w:start w:val="1"/>
      <w:numFmt w:val="decimal"/>
      <w:pStyle w:val="5"/>
      <w:isLgl/>
      <w:suff w:val="nothing"/>
      <w:lvlText w:val="%1.%2.%3.%4、"/>
      <w:lvlJc w:val="left"/>
      <w:pPr>
        <w:ind w:left="3403" w:hanging="851"/>
      </w:pPr>
    </w:lvl>
    <w:lvl w:ilvl="4" w:tentative="0">
      <w:start w:val="1"/>
      <w:numFmt w:val="decimal"/>
      <w:pStyle w:val="6"/>
      <w:isLgl/>
      <w:suff w:val="nothing"/>
      <w:lvlText w:val="%1.%2.%3.%4.%5、"/>
      <w:lvlJc w:val="left"/>
      <w:pPr>
        <w:ind w:left="3544" w:hanging="992"/>
      </w:pPr>
      <w:rPr>
        <w:rFonts w:hint="eastAsia"/>
      </w:rPr>
    </w:lvl>
    <w:lvl w:ilvl="5" w:tentative="0">
      <w:start w:val="1"/>
      <w:numFmt w:val="decimal"/>
      <w:pStyle w:val="7"/>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abstractNum w:abstractNumId="9">
    <w:nsid w:val="79D94ED9"/>
    <w:multiLevelType w:val="multilevel"/>
    <w:tmpl w:val="79D94ED9"/>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8"/>
  </w:num>
  <w:num w:numId="2">
    <w:abstractNumId w:val="7"/>
  </w:num>
  <w:num w:numId="3">
    <w:abstractNumId w:val="2"/>
  </w:num>
  <w:num w:numId="4">
    <w:abstractNumId w:val="3"/>
  </w:num>
  <w:num w:numId="5">
    <w:abstractNumId w:val="4"/>
  </w:num>
  <w:num w:numId="6">
    <w:abstractNumId w:val="1"/>
  </w:num>
  <w:num w:numId="7">
    <w:abstractNumId w:val="5"/>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910C0"/>
    <w:rsid w:val="0000005A"/>
    <w:rsid w:val="00000A43"/>
    <w:rsid w:val="00000AED"/>
    <w:rsid w:val="00003516"/>
    <w:rsid w:val="0000380E"/>
    <w:rsid w:val="00003D12"/>
    <w:rsid w:val="00005AFD"/>
    <w:rsid w:val="00006563"/>
    <w:rsid w:val="000074F1"/>
    <w:rsid w:val="00007A41"/>
    <w:rsid w:val="00007DA7"/>
    <w:rsid w:val="00011B84"/>
    <w:rsid w:val="00012EF0"/>
    <w:rsid w:val="000156DE"/>
    <w:rsid w:val="000165AD"/>
    <w:rsid w:val="000179E9"/>
    <w:rsid w:val="00020C18"/>
    <w:rsid w:val="00021EE6"/>
    <w:rsid w:val="0002280E"/>
    <w:rsid w:val="0002281A"/>
    <w:rsid w:val="00022C74"/>
    <w:rsid w:val="00025122"/>
    <w:rsid w:val="000252D5"/>
    <w:rsid w:val="00026997"/>
    <w:rsid w:val="00027A64"/>
    <w:rsid w:val="00032D27"/>
    <w:rsid w:val="00035325"/>
    <w:rsid w:val="00035D5B"/>
    <w:rsid w:val="000378D0"/>
    <w:rsid w:val="00037F2C"/>
    <w:rsid w:val="00042C2A"/>
    <w:rsid w:val="000430EC"/>
    <w:rsid w:val="000447CB"/>
    <w:rsid w:val="00047915"/>
    <w:rsid w:val="00047D06"/>
    <w:rsid w:val="00050FBD"/>
    <w:rsid w:val="0005107A"/>
    <w:rsid w:val="0005192C"/>
    <w:rsid w:val="00051C3F"/>
    <w:rsid w:val="00052929"/>
    <w:rsid w:val="0005299F"/>
    <w:rsid w:val="000541D7"/>
    <w:rsid w:val="000545C0"/>
    <w:rsid w:val="0005586D"/>
    <w:rsid w:val="00056845"/>
    <w:rsid w:val="00056C0E"/>
    <w:rsid w:val="000574A8"/>
    <w:rsid w:val="000574F8"/>
    <w:rsid w:val="00057A49"/>
    <w:rsid w:val="0006231F"/>
    <w:rsid w:val="00062A05"/>
    <w:rsid w:val="00062EE6"/>
    <w:rsid w:val="0006344E"/>
    <w:rsid w:val="000649E6"/>
    <w:rsid w:val="0006794B"/>
    <w:rsid w:val="00067DCA"/>
    <w:rsid w:val="00070063"/>
    <w:rsid w:val="0007087A"/>
    <w:rsid w:val="000710EC"/>
    <w:rsid w:val="00072237"/>
    <w:rsid w:val="00072ABE"/>
    <w:rsid w:val="00074B0A"/>
    <w:rsid w:val="00075C17"/>
    <w:rsid w:val="00080B39"/>
    <w:rsid w:val="00083950"/>
    <w:rsid w:val="0008452F"/>
    <w:rsid w:val="00084E8E"/>
    <w:rsid w:val="00085A68"/>
    <w:rsid w:val="00087084"/>
    <w:rsid w:val="00090625"/>
    <w:rsid w:val="00090948"/>
    <w:rsid w:val="00091CD1"/>
    <w:rsid w:val="0009460E"/>
    <w:rsid w:val="000951D4"/>
    <w:rsid w:val="000976B1"/>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363"/>
    <w:rsid w:val="000B53BA"/>
    <w:rsid w:val="000B642F"/>
    <w:rsid w:val="000B6C99"/>
    <w:rsid w:val="000C3F3C"/>
    <w:rsid w:val="000C5A75"/>
    <w:rsid w:val="000C75F7"/>
    <w:rsid w:val="000C781F"/>
    <w:rsid w:val="000D0AB2"/>
    <w:rsid w:val="000D0E2E"/>
    <w:rsid w:val="000D225C"/>
    <w:rsid w:val="000D36F2"/>
    <w:rsid w:val="000D4B26"/>
    <w:rsid w:val="000D74DB"/>
    <w:rsid w:val="000E150E"/>
    <w:rsid w:val="000E24D6"/>
    <w:rsid w:val="000E6072"/>
    <w:rsid w:val="000E64C5"/>
    <w:rsid w:val="000E6D61"/>
    <w:rsid w:val="000E7A23"/>
    <w:rsid w:val="000F1C29"/>
    <w:rsid w:val="000F1E9E"/>
    <w:rsid w:val="000F2B10"/>
    <w:rsid w:val="000F3F72"/>
    <w:rsid w:val="000F46EB"/>
    <w:rsid w:val="000F7100"/>
    <w:rsid w:val="00101D25"/>
    <w:rsid w:val="001055B2"/>
    <w:rsid w:val="001068F0"/>
    <w:rsid w:val="00106AB8"/>
    <w:rsid w:val="00106C9E"/>
    <w:rsid w:val="00106E16"/>
    <w:rsid w:val="0010768B"/>
    <w:rsid w:val="00111701"/>
    <w:rsid w:val="00112A29"/>
    <w:rsid w:val="00116425"/>
    <w:rsid w:val="00116436"/>
    <w:rsid w:val="001167F6"/>
    <w:rsid w:val="00116C86"/>
    <w:rsid w:val="00121ACF"/>
    <w:rsid w:val="00121D8F"/>
    <w:rsid w:val="00122037"/>
    <w:rsid w:val="0012210C"/>
    <w:rsid w:val="00122A7F"/>
    <w:rsid w:val="0012317A"/>
    <w:rsid w:val="00123F98"/>
    <w:rsid w:val="001242A5"/>
    <w:rsid w:val="00124531"/>
    <w:rsid w:val="00126EDF"/>
    <w:rsid w:val="00127BBE"/>
    <w:rsid w:val="00131C27"/>
    <w:rsid w:val="00131D52"/>
    <w:rsid w:val="001329C1"/>
    <w:rsid w:val="00132C16"/>
    <w:rsid w:val="0013318E"/>
    <w:rsid w:val="00136320"/>
    <w:rsid w:val="00136FFA"/>
    <w:rsid w:val="00137AC6"/>
    <w:rsid w:val="0014258C"/>
    <w:rsid w:val="00145512"/>
    <w:rsid w:val="001465BD"/>
    <w:rsid w:val="00147B45"/>
    <w:rsid w:val="00150803"/>
    <w:rsid w:val="00151D83"/>
    <w:rsid w:val="001529C8"/>
    <w:rsid w:val="001546C9"/>
    <w:rsid w:val="00154FAE"/>
    <w:rsid w:val="00155E77"/>
    <w:rsid w:val="00156201"/>
    <w:rsid w:val="00156A70"/>
    <w:rsid w:val="00160A61"/>
    <w:rsid w:val="00160FC0"/>
    <w:rsid w:val="0016429B"/>
    <w:rsid w:val="00164525"/>
    <w:rsid w:val="00164C50"/>
    <w:rsid w:val="00165CB2"/>
    <w:rsid w:val="00166203"/>
    <w:rsid w:val="00166767"/>
    <w:rsid w:val="001675D4"/>
    <w:rsid w:val="001707CB"/>
    <w:rsid w:val="00171477"/>
    <w:rsid w:val="00172A1A"/>
    <w:rsid w:val="00173251"/>
    <w:rsid w:val="001742D6"/>
    <w:rsid w:val="001762ED"/>
    <w:rsid w:val="00176BED"/>
    <w:rsid w:val="00177104"/>
    <w:rsid w:val="0017759D"/>
    <w:rsid w:val="001804A5"/>
    <w:rsid w:val="00181C94"/>
    <w:rsid w:val="00182C84"/>
    <w:rsid w:val="00182D17"/>
    <w:rsid w:val="00183E72"/>
    <w:rsid w:val="001859CE"/>
    <w:rsid w:val="00187031"/>
    <w:rsid w:val="00191EA4"/>
    <w:rsid w:val="00192B6C"/>
    <w:rsid w:val="00192C30"/>
    <w:rsid w:val="0019381E"/>
    <w:rsid w:val="00194CF5"/>
    <w:rsid w:val="0019503C"/>
    <w:rsid w:val="001950D4"/>
    <w:rsid w:val="00195D94"/>
    <w:rsid w:val="00196F7B"/>
    <w:rsid w:val="001971CB"/>
    <w:rsid w:val="0019795C"/>
    <w:rsid w:val="001A053A"/>
    <w:rsid w:val="001A22A2"/>
    <w:rsid w:val="001A2971"/>
    <w:rsid w:val="001A3D52"/>
    <w:rsid w:val="001A460A"/>
    <w:rsid w:val="001A4A4C"/>
    <w:rsid w:val="001B0230"/>
    <w:rsid w:val="001B13AB"/>
    <w:rsid w:val="001B2974"/>
    <w:rsid w:val="001B3907"/>
    <w:rsid w:val="001B3B49"/>
    <w:rsid w:val="001B4907"/>
    <w:rsid w:val="001B4DC5"/>
    <w:rsid w:val="001B5505"/>
    <w:rsid w:val="001B6962"/>
    <w:rsid w:val="001C1F58"/>
    <w:rsid w:val="001C2180"/>
    <w:rsid w:val="001C29CC"/>
    <w:rsid w:val="001C2FF0"/>
    <w:rsid w:val="001C3217"/>
    <w:rsid w:val="001C3B98"/>
    <w:rsid w:val="001C6028"/>
    <w:rsid w:val="001C6365"/>
    <w:rsid w:val="001C76B4"/>
    <w:rsid w:val="001C7F57"/>
    <w:rsid w:val="001D0E79"/>
    <w:rsid w:val="001D11F8"/>
    <w:rsid w:val="001D3BD9"/>
    <w:rsid w:val="001D4C6D"/>
    <w:rsid w:val="001D6049"/>
    <w:rsid w:val="001D7339"/>
    <w:rsid w:val="001E0212"/>
    <w:rsid w:val="001E2750"/>
    <w:rsid w:val="001E31B4"/>
    <w:rsid w:val="001E4343"/>
    <w:rsid w:val="001E52BB"/>
    <w:rsid w:val="001E660A"/>
    <w:rsid w:val="001F05D6"/>
    <w:rsid w:val="001F0BF5"/>
    <w:rsid w:val="001F5B0A"/>
    <w:rsid w:val="001F640F"/>
    <w:rsid w:val="001F6794"/>
    <w:rsid w:val="001F6F65"/>
    <w:rsid w:val="002002DF"/>
    <w:rsid w:val="002017DE"/>
    <w:rsid w:val="00203A6F"/>
    <w:rsid w:val="00205646"/>
    <w:rsid w:val="002063F7"/>
    <w:rsid w:val="002071E5"/>
    <w:rsid w:val="00207725"/>
    <w:rsid w:val="0021134A"/>
    <w:rsid w:val="002129E5"/>
    <w:rsid w:val="00212AA4"/>
    <w:rsid w:val="00212E13"/>
    <w:rsid w:val="002163C8"/>
    <w:rsid w:val="002179FE"/>
    <w:rsid w:val="00220CC0"/>
    <w:rsid w:val="00221A36"/>
    <w:rsid w:val="00221C48"/>
    <w:rsid w:val="00223296"/>
    <w:rsid w:val="0022329B"/>
    <w:rsid w:val="002240F7"/>
    <w:rsid w:val="0022486F"/>
    <w:rsid w:val="00225314"/>
    <w:rsid w:val="00225DF4"/>
    <w:rsid w:val="00226C70"/>
    <w:rsid w:val="00230C8A"/>
    <w:rsid w:val="00231F98"/>
    <w:rsid w:val="002324F8"/>
    <w:rsid w:val="0023288E"/>
    <w:rsid w:val="002335D3"/>
    <w:rsid w:val="002348B0"/>
    <w:rsid w:val="00235CDC"/>
    <w:rsid w:val="00237E76"/>
    <w:rsid w:val="00240BBE"/>
    <w:rsid w:val="00241525"/>
    <w:rsid w:val="00241D87"/>
    <w:rsid w:val="0024318D"/>
    <w:rsid w:val="00243C55"/>
    <w:rsid w:val="00243D5E"/>
    <w:rsid w:val="002451EC"/>
    <w:rsid w:val="00245841"/>
    <w:rsid w:val="00245ED4"/>
    <w:rsid w:val="00246B41"/>
    <w:rsid w:val="00247AAA"/>
    <w:rsid w:val="0025002B"/>
    <w:rsid w:val="002500DE"/>
    <w:rsid w:val="00252457"/>
    <w:rsid w:val="00252581"/>
    <w:rsid w:val="002535B5"/>
    <w:rsid w:val="002538CB"/>
    <w:rsid w:val="002542BD"/>
    <w:rsid w:val="00254AA6"/>
    <w:rsid w:val="0025774E"/>
    <w:rsid w:val="00257D64"/>
    <w:rsid w:val="00260C6A"/>
    <w:rsid w:val="0026340A"/>
    <w:rsid w:val="0026452A"/>
    <w:rsid w:val="002654EA"/>
    <w:rsid w:val="002704EA"/>
    <w:rsid w:val="0027061A"/>
    <w:rsid w:val="002719CC"/>
    <w:rsid w:val="002730C5"/>
    <w:rsid w:val="0027337C"/>
    <w:rsid w:val="00275F8D"/>
    <w:rsid w:val="0027602B"/>
    <w:rsid w:val="00277F5E"/>
    <w:rsid w:val="00280084"/>
    <w:rsid w:val="00280490"/>
    <w:rsid w:val="002860B8"/>
    <w:rsid w:val="0029206E"/>
    <w:rsid w:val="0029228B"/>
    <w:rsid w:val="00293382"/>
    <w:rsid w:val="00294F51"/>
    <w:rsid w:val="002A2342"/>
    <w:rsid w:val="002A279E"/>
    <w:rsid w:val="002A4FA3"/>
    <w:rsid w:val="002A5B1F"/>
    <w:rsid w:val="002A6051"/>
    <w:rsid w:val="002B3606"/>
    <w:rsid w:val="002B3D80"/>
    <w:rsid w:val="002B4402"/>
    <w:rsid w:val="002B4946"/>
    <w:rsid w:val="002B4C41"/>
    <w:rsid w:val="002B588D"/>
    <w:rsid w:val="002C1839"/>
    <w:rsid w:val="002C214A"/>
    <w:rsid w:val="002C28E8"/>
    <w:rsid w:val="002C294E"/>
    <w:rsid w:val="002C3027"/>
    <w:rsid w:val="002C3ED1"/>
    <w:rsid w:val="002C5228"/>
    <w:rsid w:val="002C674D"/>
    <w:rsid w:val="002C7648"/>
    <w:rsid w:val="002C7CAB"/>
    <w:rsid w:val="002C7DC4"/>
    <w:rsid w:val="002C7EA7"/>
    <w:rsid w:val="002D0821"/>
    <w:rsid w:val="002D1929"/>
    <w:rsid w:val="002D1B73"/>
    <w:rsid w:val="002D3CB0"/>
    <w:rsid w:val="002D3FA1"/>
    <w:rsid w:val="002D4800"/>
    <w:rsid w:val="002D5B21"/>
    <w:rsid w:val="002D6F6D"/>
    <w:rsid w:val="002E1C36"/>
    <w:rsid w:val="002E1FE6"/>
    <w:rsid w:val="002E2EA7"/>
    <w:rsid w:val="002E36D2"/>
    <w:rsid w:val="002E3E4A"/>
    <w:rsid w:val="002E748B"/>
    <w:rsid w:val="002E7CC0"/>
    <w:rsid w:val="002F2002"/>
    <w:rsid w:val="002F335D"/>
    <w:rsid w:val="002F4E32"/>
    <w:rsid w:val="002F503F"/>
    <w:rsid w:val="002F51DD"/>
    <w:rsid w:val="002F5D08"/>
    <w:rsid w:val="002F6895"/>
    <w:rsid w:val="002F6D13"/>
    <w:rsid w:val="003038D3"/>
    <w:rsid w:val="003049C7"/>
    <w:rsid w:val="00305F0E"/>
    <w:rsid w:val="0030667A"/>
    <w:rsid w:val="003106DE"/>
    <w:rsid w:val="00311530"/>
    <w:rsid w:val="00312D31"/>
    <w:rsid w:val="00314AA8"/>
    <w:rsid w:val="00315216"/>
    <w:rsid w:val="003161F7"/>
    <w:rsid w:val="0031691C"/>
    <w:rsid w:val="00316DF4"/>
    <w:rsid w:val="00317AEF"/>
    <w:rsid w:val="00317F49"/>
    <w:rsid w:val="0032089B"/>
    <w:rsid w:val="00321822"/>
    <w:rsid w:val="00323450"/>
    <w:rsid w:val="00323933"/>
    <w:rsid w:val="00323D93"/>
    <w:rsid w:val="0032489B"/>
    <w:rsid w:val="0032525B"/>
    <w:rsid w:val="0032699E"/>
    <w:rsid w:val="00326A7A"/>
    <w:rsid w:val="00326FEE"/>
    <w:rsid w:val="003275B3"/>
    <w:rsid w:val="003315D7"/>
    <w:rsid w:val="00334DE6"/>
    <w:rsid w:val="0033536D"/>
    <w:rsid w:val="003353FF"/>
    <w:rsid w:val="003366D2"/>
    <w:rsid w:val="00337C79"/>
    <w:rsid w:val="00337CB8"/>
    <w:rsid w:val="00337FEF"/>
    <w:rsid w:val="0034084C"/>
    <w:rsid w:val="00340D5E"/>
    <w:rsid w:val="003420B5"/>
    <w:rsid w:val="00343646"/>
    <w:rsid w:val="00344CCB"/>
    <w:rsid w:val="00345897"/>
    <w:rsid w:val="00351BFC"/>
    <w:rsid w:val="0035575E"/>
    <w:rsid w:val="003565B4"/>
    <w:rsid w:val="00362E75"/>
    <w:rsid w:val="003631AA"/>
    <w:rsid w:val="003632D5"/>
    <w:rsid w:val="00363575"/>
    <w:rsid w:val="00364EF9"/>
    <w:rsid w:val="00365288"/>
    <w:rsid w:val="00367579"/>
    <w:rsid w:val="0036795B"/>
    <w:rsid w:val="00370A29"/>
    <w:rsid w:val="00371CE8"/>
    <w:rsid w:val="003722F9"/>
    <w:rsid w:val="00372349"/>
    <w:rsid w:val="00372CBC"/>
    <w:rsid w:val="00373A61"/>
    <w:rsid w:val="00374BDE"/>
    <w:rsid w:val="00376B39"/>
    <w:rsid w:val="003772C0"/>
    <w:rsid w:val="00377BAC"/>
    <w:rsid w:val="00380142"/>
    <w:rsid w:val="00380558"/>
    <w:rsid w:val="00381D3C"/>
    <w:rsid w:val="0038223E"/>
    <w:rsid w:val="00382D92"/>
    <w:rsid w:val="0038370C"/>
    <w:rsid w:val="003848A0"/>
    <w:rsid w:val="00385AEF"/>
    <w:rsid w:val="003860EA"/>
    <w:rsid w:val="0038781A"/>
    <w:rsid w:val="0039080B"/>
    <w:rsid w:val="0039326E"/>
    <w:rsid w:val="00394E22"/>
    <w:rsid w:val="00396588"/>
    <w:rsid w:val="003967A4"/>
    <w:rsid w:val="00396CEB"/>
    <w:rsid w:val="00397FA3"/>
    <w:rsid w:val="003A1596"/>
    <w:rsid w:val="003A1AC4"/>
    <w:rsid w:val="003A317E"/>
    <w:rsid w:val="003A345B"/>
    <w:rsid w:val="003A49EE"/>
    <w:rsid w:val="003A4BF5"/>
    <w:rsid w:val="003A5F36"/>
    <w:rsid w:val="003A674D"/>
    <w:rsid w:val="003A7123"/>
    <w:rsid w:val="003B102E"/>
    <w:rsid w:val="003B2167"/>
    <w:rsid w:val="003B32D0"/>
    <w:rsid w:val="003B3EE7"/>
    <w:rsid w:val="003B4B9B"/>
    <w:rsid w:val="003B5F5D"/>
    <w:rsid w:val="003B62C8"/>
    <w:rsid w:val="003B7765"/>
    <w:rsid w:val="003C0299"/>
    <w:rsid w:val="003C0C62"/>
    <w:rsid w:val="003C12DC"/>
    <w:rsid w:val="003C23E6"/>
    <w:rsid w:val="003C2CDA"/>
    <w:rsid w:val="003D000A"/>
    <w:rsid w:val="003D31E9"/>
    <w:rsid w:val="003D544E"/>
    <w:rsid w:val="003D5980"/>
    <w:rsid w:val="003E055F"/>
    <w:rsid w:val="003E0842"/>
    <w:rsid w:val="003E13B0"/>
    <w:rsid w:val="003E2580"/>
    <w:rsid w:val="003E3DEE"/>
    <w:rsid w:val="003E3EBB"/>
    <w:rsid w:val="003E4A4C"/>
    <w:rsid w:val="003E4CBA"/>
    <w:rsid w:val="003E4D2F"/>
    <w:rsid w:val="003E4EDC"/>
    <w:rsid w:val="003E4F27"/>
    <w:rsid w:val="003E599D"/>
    <w:rsid w:val="003E5C81"/>
    <w:rsid w:val="003E6965"/>
    <w:rsid w:val="003F00E8"/>
    <w:rsid w:val="003F1936"/>
    <w:rsid w:val="003F1BDD"/>
    <w:rsid w:val="003F3BA3"/>
    <w:rsid w:val="003F3BD5"/>
    <w:rsid w:val="003F400E"/>
    <w:rsid w:val="003F6F35"/>
    <w:rsid w:val="003F7768"/>
    <w:rsid w:val="00400E8C"/>
    <w:rsid w:val="004017DC"/>
    <w:rsid w:val="00401B53"/>
    <w:rsid w:val="00402668"/>
    <w:rsid w:val="00402B10"/>
    <w:rsid w:val="00404FEC"/>
    <w:rsid w:val="0040534D"/>
    <w:rsid w:val="00405FAD"/>
    <w:rsid w:val="004117AB"/>
    <w:rsid w:val="00412B2F"/>
    <w:rsid w:val="00415281"/>
    <w:rsid w:val="00415716"/>
    <w:rsid w:val="0041604D"/>
    <w:rsid w:val="00417842"/>
    <w:rsid w:val="00417A6E"/>
    <w:rsid w:val="0042285D"/>
    <w:rsid w:val="00427D2B"/>
    <w:rsid w:val="00430B13"/>
    <w:rsid w:val="00430CE5"/>
    <w:rsid w:val="0043153C"/>
    <w:rsid w:val="00431D0F"/>
    <w:rsid w:val="0043481C"/>
    <w:rsid w:val="00434E8C"/>
    <w:rsid w:val="00444307"/>
    <w:rsid w:val="0044436F"/>
    <w:rsid w:val="004443EB"/>
    <w:rsid w:val="00444432"/>
    <w:rsid w:val="00444673"/>
    <w:rsid w:val="0044621E"/>
    <w:rsid w:val="00447BF1"/>
    <w:rsid w:val="00450BA4"/>
    <w:rsid w:val="004511FC"/>
    <w:rsid w:val="00456784"/>
    <w:rsid w:val="00456DCA"/>
    <w:rsid w:val="00457547"/>
    <w:rsid w:val="00461140"/>
    <w:rsid w:val="004611DB"/>
    <w:rsid w:val="004658B0"/>
    <w:rsid w:val="0046614B"/>
    <w:rsid w:val="00467FD7"/>
    <w:rsid w:val="00470073"/>
    <w:rsid w:val="004730F8"/>
    <w:rsid w:val="00474353"/>
    <w:rsid w:val="00474555"/>
    <w:rsid w:val="004750F4"/>
    <w:rsid w:val="00476CB1"/>
    <w:rsid w:val="00480A48"/>
    <w:rsid w:val="0048134B"/>
    <w:rsid w:val="00482501"/>
    <w:rsid w:val="00482E7D"/>
    <w:rsid w:val="00484395"/>
    <w:rsid w:val="0048584D"/>
    <w:rsid w:val="004865FB"/>
    <w:rsid w:val="00486C03"/>
    <w:rsid w:val="00490E41"/>
    <w:rsid w:val="00491AB3"/>
    <w:rsid w:val="00492173"/>
    <w:rsid w:val="00493D96"/>
    <w:rsid w:val="00497A33"/>
    <w:rsid w:val="004A1112"/>
    <w:rsid w:val="004A1DA0"/>
    <w:rsid w:val="004A1F20"/>
    <w:rsid w:val="004A2393"/>
    <w:rsid w:val="004A3569"/>
    <w:rsid w:val="004A452A"/>
    <w:rsid w:val="004A52AB"/>
    <w:rsid w:val="004A546D"/>
    <w:rsid w:val="004A5F2C"/>
    <w:rsid w:val="004A6E4F"/>
    <w:rsid w:val="004A720D"/>
    <w:rsid w:val="004B00D0"/>
    <w:rsid w:val="004B167A"/>
    <w:rsid w:val="004B3F7E"/>
    <w:rsid w:val="004B6084"/>
    <w:rsid w:val="004B60DC"/>
    <w:rsid w:val="004B64F8"/>
    <w:rsid w:val="004B6F51"/>
    <w:rsid w:val="004B7AE0"/>
    <w:rsid w:val="004C0BC4"/>
    <w:rsid w:val="004C260D"/>
    <w:rsid w:val="004C2D47"/>
    <w:rsid w:val="004C4357"/>
    <w:rsid w:val="004C4477"/>
    <w:rsid w:val="004C4DDD"/>
    <w:rsid w:val="004C5730"/>
    <w:rsid w:val="004C6397"/>
    <w:rsid w:val="004C668F"/>
    <w:rsid w:val="004C682B"/>
    <w:rsid w:val="004C6EC3"/>
    <w:rsid w:val="004D142C"/>
    <w:rsid w:val="004D29F7"/>
    <w:rsid w:val="004D36D8"/>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1B8"/>
    <w:rsid w:val="005042B3"/>
    <w:rsid w:val="005045AB"/>
    <w:rsid w:val="00507D43"/>
    <w:rsid w:val="005103F2"/>
    <w:rsid w:val="00510E2C"/>
    <w:rsid w:val="00511FDC"/>
    <w:rsid w:val="005124C6"/>
    <w:rsid w:val="00513EBC"/>
    <w:rsid w:val="00514BA7"/>
    <w:rsid w:val="00514CE1"/>
    <w:rsid w:val="00517155"/>
    <w:rsid w:val="00517DB3"/>
    <w:rsid w:val="005200DC"/>
    <w:rsid w:val="005200F2"/>
    <w:rsid w:val="005217A7"/>
    <w:rsid w:val="0052369D"/>
    <w:rsid w:val="005271DB"/>
    <w:rsid w:val="00530D2F"/>
    <w:rsid w:val="0053487C"/>
    <w:rsid w:val="005356E1"/>
    <w:rsid w:val="00536A8B"/>
    <w:rsid w:val="00540418"/>
    <w:rsid w:val="00541A96"/>
    <w:rsid w:val="00541C6A"/>
    <w:rsid w:val="00542C54"/>
    <w:rsid w:val="00545E3C"/>
    <w:rsid w:val="00546A43"/>
    <w:rsid w:val="00546C70"/>
    <w:rsid w:val="00547258"/>
    <w:rsid w:val="00550CF0"/>
    <w:rsid w:val="00553218"/>
    <w:rsid w:val="005559FE"/>
    <w:rsid w:val="005560D6"/>
    <w:rsid w:val="00556D07"/>
    <w:rsid w:val="005611F2"/>
    <w:rsid w:val="00561734"/>
    <w:rsid w:val="00561952"/>
    <w:rsid w:val="00564B9A"/>
    <w:rsid w:val="00565694"/>
    <w:rsid w:val="00565AD6"/>
    <w:rsid w:val="00566DD6"/>
    <w:rsid w:val="00571365"/>
    <w:rsid w:val="005714EF"/>
    <w:rsid w:val="00571CEC"/>
    <w:rsid w:val="00572FCE"/>
    <w:rsid w:val="005750DB"/>
    <w:rsid w:val="005759FC"/>
    <w:rsid w:val="00575A80"/>
    <w:rsid w:val="00575B85"/>
    <w:rsid w:val="00575BDF"/>
    <w:rsid w:val="00576DB9"/>
    <w:rsid w:val="0057738F"/>
    <w:rsid w:val="005805E4"/>
    <w:rsid w:val="0058202F"/>
    <w:rsid w:val="00584221"/>
    <w:rsid w:val="00584EB6"/>
    <w:rsid w:val="00586B68"/>
    <w:rsid w:val="0058774E"/>
    <w:rsid w:val="005878CF"/>
    <w:rsid w:val="00590CA0"/>
    <w:rsid w:val="00594F7E"/>
    <w:rsid w:val="005957CD"/>
    <w:rsid w:val="00595B01"/>
    <w:rsid w:val="00596D98"/>
    <w:rsid w:val="005971DC"/>
    <w:rsid w:val="005979A5"/>
    <w:rsid w:val="005A0021"/>
    <w:rsid w:val="005A017B"/>
    <w:rsid w:val="005A2AEC"/>
    <w:rsid w:val="005A412D"/>
    <w:rsid w:val="005A5212"/>
    <w:rsid w:val="005A75B6"/>
    <w:rsid w:val="005B002D"/>
    <w:rsid w:val="005B0E15"/>
    <w:rsid w:val="005B0FFF"/>
    <w:rsid w:val="005B19AF"/>
    <w:rsid w:val="005B258C"/>
    <w:rsid w:val="005B61DD"/>
    <w:rsid w:val="005B6735"/>
    <w:rsid w:val="005B7831"/>
    <w:rsid w:val="005C0CD6"/>
    <w:rsid w:val="005C12D9"/>
    <w:rsid w:val="005C2146"/>
    <w:rsid w:val="005C309D"/>
    <w:rsid w:val="005C544B"/>
    <w:rsid w:val="005C5916"/>
    <w:rsid w:val="005C5AEE"/>
    <w:rsid w:val="005C5E0E"/>
    <w:rsid w:val="005C7567"/>
    <w:rsid w:val="005C774A"/>
    <w:rsid w:val="005D3734"/>
    <w:rsid w:val="005D4AD6"/>
    <w:rsid w:val="005D4F16"/>
    <w:rsid w:val="005D5A53"/>
    <w:rsid w:val="005D5DA0"/>
    <w:rsid w:val="005D7271"/>
    <w:rsid w:val="005D7FBD"/>
    <w:rsid w:val="005E19B4"/>
    <w:rsid w:val="005E1D6B"/>
    <w:rsid w:val="005E227A"/>
    <w:rsid w:val="005E2CF8"/>
    <w:rsid w:val="005E3126"/>
    <w:rsid w:val="005E7075"/>
    <w:rsid w:val="005E75A7"/>
    <w:rsid w:val="005F1453"/>
    <w:rsid w:val="005F38E2"/>
    <w:rsid w:val="005F3EE6"/>
    <w:rsid w:val="005F6736"/>
    <w:rsid w:val="006017C7"/>
    <w:rsid w:val="00602C10"/>
    <w:rsid w:val="00602EBD"/>
    <w:rsid w:val="00604CF2"/>
    <w:rsid w:val="00606DFF"/>
    <w:rsid w:val="00606FB7"/>
    <w:rsid w:val="00610533"/>
    <w:rsid w:val="006110F6"/>
    <w:rsid w:val="00611990"/>
    <w:rsid w:val="00611FA1"/>
    <w:rsid w:val="00612522"/>
    <w:rsid w:val="00612DA6"/>
    <w:rsid w:val="0061365B"/>
    <w:rsid w:val="006138B6"/>
    <w:rsid w:val="00614BC6"/>
    <w:rsid w:val="00614E33"/>
    <w:rsid w:val="006158B8"/>
    <w:rsid w:val="00616E9A"/>
    <w:rsid w:val="0061706D"/>
    <w:rsid w:val="006173DA"/>
    <w:rsid w:val="00617EF9"/>
    <w:rsid w:val="00620295"/>
    <w:rsid w:val="00622A25"/>
    <w:rsid w:val="00622F8E"/>
    <w:rsid w:val="00626AC8"/>
    <w:rsid w:val="00627912"/>
    <w:rsid w:val="0063195F"/>
    <w:rsid w:val="00636C0A"/>
    <w:rsid w:val="00637EC6"/>
    <w:rsid w:val="0064240C"/>
    <w:rsid w:val="00642FF5"/>
    <w:rsid w:val="006430FB"/>
    <w:rsid w:val="00643992"/>
    <w:rsid w:val="00644DBC"/>
    <w:rsid w:val="00646FE6"/>
    <w:rsid w:val="006474CD"/>
    <w:rsid w:val="00647744"/>
    <w:rsid w:val="006479A0"/>
    <w:rsid w:val="006500D9"/>
    <w:rsid w:val="00652F7F"/>
    <w:rsid w:val="00653B54"/>
    <w:rsid w:val="00653C48"/>
    <w:rsid w:val="006541A3"/>
    <w:rsid w:val="00654FAD"/>
    <w:rsid w:val="00655C9F"/>
    <w:rsid w:val="006567FF"/>
    <w:rsid w:val="00656867"/>
    <w:rsid w:val="0066109F"/>
    <w:rsid w:val="00664B26"/>
    <w:rsid w:val="0066596B"/>
    <w:rsid w:val="00670295"/>
    <w:rsid w:val="006704F5"/>
    <w:rsid w:val="00672894"/>
    <w:rsid w:val="00674B47"/>
    <w:rsid w:val="0067609E"/>
    <w:rsid w:val="00677749"/>
    <w:rsid w:val="00680E07"/>
    <w:rsid w:val="00682B9D"/>
    <w:rsid w:val="00683806"/>
    <w:rsid w:val="00686AF9"/>
    <w:rsid w:val="006910C0"/>
    <w:rsid w:val="006915C2"/>
    <w:rsid w:val="00691954"/>
    <w:rsid w:val="0069320E"/>
    <w:rsid w:val="00693D13"/>
    <w:rsid w:val="00694F58"/>
    <w:rsid w:val="006955BC"/>
    <w:rsid w:val="006959E2"/>
    <w:rsid w:val="00696920"/>
    <w:rsid w:val="00697EB9"/>
    <w:rsid w:val="006A20D4"/>
    <w:rsid w:val="006A268D"/>
    <w:rsid w:val="006A2A03"/>
    <w:rsid w:val="006A350F"/>
    <w:rsid w:val="006A3957"/>
    <w:rsid w:val="006A39A4"/>
    <w:rsid w:val="006A41D6"/>
    <w:rsid w:val="006A669D"/>
    <w:rsid w:val="006A6E41"/>
    <w:rsid w:val="006A77D9"/>
    <w:rsid w:val="006B012F"/>
    <w:rsid w:val="006B27CF"/>
    <w:rsid w:val="006B41BD"/>
    <w:rsid w:val="006B5678"/>
    <w:rsid w:val="006B62B2"/>
    <w:rsid w:val="006C0ED9"/>
    <w:rsid w:val="006C1C57"/>
    <w:rsid w:val="006C5760"/>
    <w:rsid w:val="006C6D6F"/>
    <w:rsid w:val="006C7459"/>
    <w:rsid w:val="006D0D78"/>
    <w:rsid w:val="006D1128"/>
    <w:rsid w:val="006D2735"/>
    <w:rsid w:val="006D2848"/>
    <w:rsid w:val="006D30E0"/>
    <w:rsid w:val="006D5521"/>
    <w:rsid w:val="006D5FE9"/>
    <w:rsid w:val="006D6CBB"/>
    <w:rsid w:val="006D76A9"/>
    <w:rsid w:val="006D77F4"/>
    <w:rsid w:val="006E0898"/>
    <w:rsid w:val="006E41CD"/>
    <w:rsid w:val="006E56E9"/>
    <w:rsid w:val="006F3BEC"/>
    <w:rsid w:val="00703C00"/>
    <w:rsid w:val="007057CC"/>
    <w:rsid w:val="007066F2"/>
    <w:rsid w:val="00706AE5"/>
    <w:rsid w:val="00706ED2"/>
    <w:rsid w:val="0070740A"/>
    <w:rsid w:val="00711F93"/>
    <w:rsid w:val="00712940"/>
    <w:rsid w:val="0071428C"/>
    <w:rsid w:val="00715A16"/>
    <w:rsid w:val="007164B0"/>
    <w:rsid w:val="007166FF"/>
    <w:rsid w:val="00717DA4"/>
    <w:rsid w:val="00722C4A"/>
    <w:rsid w:val="007260CC"/>
    <w:rsid w:val="00726543"/>
    <w:rsid w:val="0073353E"/>
    <w:rsid w:val="00736633"/>
    <w:rsid w:val="00737904"/>
    <w:rsid w:val="00741EE7"/>
    <w:rsid w:val="00743A79"/>
    <w:rsid w:val="007444D4"/>
    <w:rsid w:val="0074594D"/>
    <w:rsid w:val="007459F3"/>
    <w:rsid w:val="00746E35"/>
    <w:rsid w:val="007470E2"/>
    <w:rsid w:val="0075024A"/>
    <w:rsid w:val="0075232F"/>
    <w:rsid w:val="00753132"/>
    <w:rsid w:val="007550B3"/>
    <w:rsid w:val="00760451"/>
    <w:rsid w:val="0077182A"/>
    <w:rsid w:val="00771913"/>
    <w:rsid w:val="00772718"/>
    <w:rsid w:val="00775BCF"/>
    <w:rsid w:val="0077658A"/>
    <w:rsid w:val="00780175"/>
    <w:rsid w:val="007818AA"/>
    <w:rsid w:val="00781FC3"/>
    <w:rsid w:val="00783140"/>
    <w:rsid w:val="007838B6"/>
    <w:rsid w:val="00783BF9"/>
    <w:rsid w:val="00783E77"/>
    <w:rsid w:val="007906F1"/>
    <w:rsid w:val="0079243D"/>
    <w:rsid w:val="0079431B"/>
    <w:rsid w:val="00794A9B"/>
    <w:rsid w:val="0079583B"/>
    <w:rsid w:val="00796602"/>
    <w:rsid w:val="00796ED9"/>
    <w:rsid w:val="00797185"/>
    <w:rsid w:val="0079733A"/>
    <w:rsid w:val="007976B7"/>
    <w:rsid w:val="00797A7E"/>
    <w:rsid w:val="00797D6F"/>
    <w:rsid w:val="007B014B"/>
    <w:rsid w:val="007B0D88"/>
    <w:rsid w:val="007B306F"/>
    <w:rsid w:val="007B4714"/>
    <w:rsid w:val="007B4A76"/>
    <w:rsid w:val="007B4E82"/>
    <w:rsid w:val="007B57B8"/>
    <w:rsid w:val="007B7AD4"/>
    <w:rsid w:val="007C1996"/>
    <w:rsid w:val="007C3773"/>
    <w:rsid w:val="007C3F1F"/>
    <w:rsid w:val="007C6C07"/>
    <w:rsid w:val="007D2D0D"/>
    <w:rsid w:val="007D3325"/>
    <w:rsid w:val="007D3818"/>
    <w:rsid w:val="007D5761"/>
    <w:rsid w:val="007D6DC5"/>
    <w:rsid w:val="007D7425"/>
    <w:rsid w:val="007E320E"/>
    <w:rsid w:val="007E3280"/>
    <w:rsid w:val="007E4A02"/>
    <w:rsid w:val="007E595C"/>
    <w:rsid w:val="007E59A5"/>
    <w:rsid w:val="007F0CE9"/>
    <w:rsid w:val="007F2E47"/>
    <w:rsid w:val="007F3B8C"/>
    <w:rsid w:val="007F41D0"/>
    <w:rsid w:val="007F4B8B"/>
    <w:rsid w:val="007F5957"/>
    <w:rsid w:val="007F70B6"/>
    <w:rsid w:val="007F74CA"/>
    <w:rsid w:val="00800F1E"/>
    <w:rsid w:val="0080195A"/>
    <w:rsid w:val="0080239C"/>
    <w:rsid w:val="00802841"/>
    <w:rsid w:val="00802E42"/>
    <w:rsid w:val="008037D5"/>
    <w:rsid w:val="00805447"/>
    <w:rsid w:val="008054FA"/>
    <w:rsid w:val="0080717A"/>
    <w:rsid w:val="00807DFA"/>
    <w:rsid w:val="0081009F"/>
    <w:rsid w:val="00810152"/>
    <w:rsid w:val="008102CF"/>
    <w:rsid w:val="008115AB"/>
    <w:rsid w:val="00812D2C"/>
    <w:rsid w:val="008144E0"/>
    <w:rsid w:val="008159F4"/>
    <w:rsid w:val="008167C1"/>
    <w:rsid w:val="008167C6"/>
    <w:rsid w:val="00816B8F"/>
    <w:rsid w:val="00817B13"/>
    <w:rsid w:val="00820331"/>
    <w:rsid w:val="008203A5"/>
    <w:rsid w:val="0082048B"/>
    <w:rsid w:val="00820BF5"/>
    <w:rsid w:val="008212B1"/>
    <w:rsid w:val="0082155A"/>
    <w:rsid w:val="0082209F"/>
    <w:rsid w:val="008223C2"/>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2A68"/>
    <w:rsid w:val="008435BA"/>
    <w:rsid w:val="008439E7"/>
    <w:rsid w:val="00844F3A"/>
    <w:rsid w:val="0084558B"/>
    <w:rsid w:val="0084654A"/>
    <w:rsid w:val="00847654"/>
    <w:rsid w:val="00851064"/>
    <w:rsid w:val="00852F9C"/>
    <w:rsid w:val="008531BE"/>
    <w:rsid w:val="00853901"/>
    <w:rsid w:val="00855543"/>
    <w:rsid w:val="008566B3"/>
    <w:rsid w:val="008567E9"/>
    <w:rsid w:val="008576B7"/>
    <w:rsid w:val="00857F7B"/>
    <w:rsid w:val="00863DA1"/>
    <w:rsid w:val="008654A6"/>
    <w:rsid w:val="00865D86"/>
    <w:rsid w:val="00870495"/>
    <w:rsid w:val="008704A1"/>
    <w:rsid w:val="00870EA1"/>
    <w:rsid w:val="008710C5"/>
    <w:rsid w:val="008712E6"/>
    <w:rsid w:val="0087416B"/>
    <w:rsid w:val="00874438"/>
    <w:rsid w:val="00874E75"/>
    <w:rsid w:val="008767F3"/>
    <w:rsid w:val="00876CEF"/>
    <w:rsid w:val="00877342"/>
    <w:rsid w:val="008803C3"/>
    <w:rsid w:val="00881450"/>
    <w:rsid w:val="008817C7"/>
    <w:rsid w:val="00881875"/>
    <w:rsid w:val="008838A2"/>
    <w:rsid w:val="008848A3"/>
    <w:rsid w:val="00884AF1"/>
    <w:rsid w:val="00885F7A"/>
    <w:rsid w:val="008871D5"/>
    <w:rsid w:val="00890712"/>
    <w:rsid w:val="00890D81"/>
    <w:rsid w:val="00892955"/>
    <w:rsid w:val="00893332"/>
    <w:rsid w:val="00893628"/>
    <w:rsid w:val="008941EB"/>
    <w:rsid w:val="0089545A"/>
    <w:rsid w:val="00895A02"/>
    <w:rsid w:val="008A01EE"/>
    <w:rsid w:val="008A0DAC"/>
    <w:rsid w:val="008A3B78"/>
    <w:rsid w:val="008A4166"/>
    <w:rsid w:val="008A7DBF"/>
    <w:rsid w:val="008B0961"/>
    <w:rsid w:val="008B136C"/>
    <w:rsid w:val="008B3890"/>
    <w:rsid w:val="008B55EF"/>
    <w:rsid w:val="008B6910"/>
    <w:rsid w:val="008C0B5C"/>
    <w:rsid w:val="008C1343"/>
    <w:rsid w:val="008C3561"/>
    <w:rsid w:val="008C3912"/>
    <w:rsid w:val="008C5598"/>
    <w:rsid w:val="008C69EA"/>
    <w:rsid w:val="008C6BEE"/>
    <w:rsid w:val="008C6F8B"/>
    <w:rsid w:val="008C7AB7"/>
    <w:rsid w:val="008C7FB4"/>
    <w:rsid w:val="008D04C8"/>
    <w:rsid w:val="008D2C8C"/>
    <w:rsid w:val="008D3040"/>
    <w:rsid w:val="008D3ECD"/>
    <w:rsid w:val="008D5C03"/>
    <w:rsid w:val="008D7580"/>
    <w:rsid w:val="008D7C35"/>
    <w:rsid w:val="008E5698"/>
    <w:rsid w:val="008E5733"/>
    <w:rsid w:val="008E77D2"/>
    <w:rsid w:val="008E78FD"/>
    <w:rsid w:val="008F199D"/>
    <w:rsid w:val="008F38A0"/>
    <w:rsid w:val="008F39C9"/>
    <w:rsid w:val="008F5EB5"/>
    <w:rsid w:val="008F678C"/>
    <w:rsid w:val="008F75A7"/>
    <w:rsid w:val="008F7E5A"/>
    <w:rsid w:val="00900A7F"/>
    <w:rsid w:val="009021B9"/>
    <w:rsid w:val="009036EE"/>
    <w:rsid w:val="00905815"/>
    <w:rsid w:val="00905D1D"/>
    <w:rsid w:val="0091016D"/>
    <w:rsid w:val="00910C98"/>
    <w:rsid w:val="00911910"/>
    <w:rsid w:val="00912A58"/>
    <w:rsid w:val="00913908"/>
    <w:rsid w:val="00913D26"/>
    <w:rsid w:val="0091438B"/>
    <w:rsid w:val="009147E3"/>
    <w:rsid w:val="00920FD2"/>
    <w:rsid w:val="00923A43"/>
    <w:rsid w:val="0092439C"/>
    <w:rsid w:val="0092498E"/>
    <w:rsid w:val="00925B91"/>
    <w:rsid w:val="00934461"/>
    <w:rsid w:val="00934F7E"/>
    <w:rsid w:val="00936A1C"/>
    <w:rsid w:val="00943E35"/>
    <w:rsid w:val="00945278"/>
    <w:rsid w:val="0094658D"/>
    <w:rsid w:val="00947678"/>
    <w:rsid w:val="00947878"/>
    <w:rsid w:val="00947AB2"/>
    <w:rsid w:val="009504C2"/>
    <w:rsid w:val="0095254A"/>
    <w:rsid w:val="0095273B"/>
    <w:rsid w:val="00952E24"/>
    <w:rsid w:val="009553CA"/>
    <w:rsid w:val="009559E1"/>
    <w:rsid w:val="009568D5"/>
    <w:rsid w:val="00957CD3"/>
    <w:rsid w:val="0096269B"/>
    <w:rsid w:val="0096363A"/>
    <w:rsid w:val="00963FB0"/>
    <w:rsid w:val="00964C86"/>
    <w:rsid w:val="00965E82"/>
    <w:rsid w:val="0096603A"/>
    <w:rsid w:val="009664BB"/>
    <w:rsid w:val="009669F8"/>
    <w:rsid w:val="00966F89"/>
    <w:rsid w:val="00973B5D"/>
    <w:rsid w:val="0097755E"/>
    <w:rsid w:val="00981467"/>
    <w:rsid w:val="00981C24"/>
    <w:rsid w:val="009852F6"/>
    <w:rsid w:val="00985DE5"/>
    <w:rsid w:val="00986254"/>
    <w:rsid w:val="0098729E"/>
    <w:rsid w:val="00990067"/>
    <w:rsid w:val="0099263D"/>
    <w:rsid w:val="00992977"/>
    <w:rsid w:val="009937D4"/>
    <w:rsid w:val="00993C78"/>
    <w:rsid w:val="009948C7"/>
    <w:rsid w:val="00995850"/>
    <w:rsid w:val="0099796C"/>
    <w:rsid w:val="00997C28"/>
    <w:rsid w:val="009A16A7"/>
    <w:rsid w:val="009A194E"/>
    <w:rsid w:val="009A1EA2"/>
    <w:rsid w:val="009A209E"/>
    <w:rsid w:val="009A3FD7"/>
    <w:rsid w:val="009A41EF"/>
    <w:rsid w:val="009A6652"/>
    <w:rsid w:val="009A74FD"/>
    <w:rsid w:val="009B25D8"/>
    <w:rsid w:val="009B2919"/>
    <w:rsid w:val="009B42E3"/>
    <w:rsid w:val="009B5859"/>
    <w:rsid w:val="009C6D07"/>
    <w:rsid w:val="009C7CEC"/>
    <w:rsid w:val="009D154D"/>
    <w:rsid w:val="009D18EF"/>
    <w:rsid w:val="009D3BE8"/>
    <w:rsid w:val="009D44E0"/>
    <w:rsid w:val="009D50B9"/>
    <w:rsid w:val="009D573B"/>
    <w:rsid w:val="009D59A0"/>
    <w:rsid w:val="009D716A"/>
    <w:rsid w:val="009E1AC4"/>
    <w:rsid w:val="009E20B8"/>
    <w:rsid w:val="009E29A0"/>
    <w:rsid w:val="009E41B5"/>
    <w:rsid w:val="009E55D7"/>
    <w:rsid w:val="009E627C"/>
    <w:rsid w:val="009F110B"/>
    <w:rsid w:val="009F1498"/>
    <w:rsid w:val="009F1E9F"/>
    <w:rsid w:val="009F3793"/>
    <w:rsid w:val="009F54F2"/>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5F1B"/>
    <w:rsid w:val="00A325F3"/>
    <w:rsid w:val="00A33103"/>
    <w:rsid w:val="00A33294"/>
    <w:rsid w:val="00A35DCB"/>
    <w:rsid w:val="00A3690E"/>
    <w:rsid w:val="00A37751"/>
    <w:rsid w:val="00A406B1"/>
    <w:rsid w:val="00A4113E"/>
    <w:rsid w:val="00A42435"/>
    <w:rsid w:val="00A42E24"/>
    <w:rsid w:val="00A438BA"/>
    <w:rsid w:val="00A446FD"/>
    <w:rsid w:val="00A46F46"/>
    <w:rsid w:val="00A52CB6"/>
    <w:rsid w:val="00A52F99"/>
    <w:rsid w:val="00A538BB"/>
    <w:rsid w:val="00A54164"/>
    <w:rsid w:val="00A56737"/>
    <w:rsid w:val="00A60002"/>
    <w:rsid w:val="00A603D8"/>
    <w:rsid w:val="00A60AE2"/>
    <w:rsid w:val="00A61834"/>
    <w:rsid w:val="00A618B0"/>
    <w:rsid w:val="00A62222"/>
    <w:rsid w:val="00A62790"/>
    <w:rsid w:val="00A6291F"/>
    <w:rsid w:val="00A63F53"/>
    <w:rsid w:val="00A7111E"/>
    <w:rsid w:val="00A71235"/>
    <w:rsid w:val="00A755B6"/>
    <w:rsid w:val="00A75B1A"/>
    <w:rsid w:val="00A80ED4"/>
    <w:rsid w:val="00A816C4"/>
    <w:rsid w:val="00A8185B"/>
    <w:rsid w:val="00A82981"/>
    <w:rsid w:val="00A86F10"/>
    <w:rsid w:val="00A87AF2"/>
    <w:rsid w:val="00A90B23"/>
    <w:rsid w:val="00A93193"/>
    <w:rsid w:val="00A93C2B"/>
    <w:rsid w:val="00A94556"/>
    <w:rsid w:val="00A94E60"/>
    <w:rsid w:val="00A96ABA"/>
    <w:rsid w:val="00A974CB"/>
    <w:rsid w:val="00AA1EAC"/>
    <w:rsid w:val="00AA45E2"/>
    <w:rsid w:val="00AA7AC1"/>
    <w:rsid w:val="00AB5874"/>
    <w:rsid w:val="00AB6327"/>
    <w:rsid w:val="00AB6B8F"/>
    <w:rsid w:val="00AC0C65"/>
    <w:rsid w:val="00AC0FB2"/>
    <w:rsid w:val="00AC3721"/>
    <w:rsid w:val="00AC41C6"/>
    <w:rsid w:val="00AC70C7"/>
    <w:rsid w:val="00AC76B7"/>
    <w:rsid w:val="00AD0223"/>
    <w:rsid w:val="00AD123A"/>
    <w:rsid w:val="00AD15D7"/>
    <w:rsid w:val="00AD15FF"/>
    <w:rsid w:val="00AD1AA5"/>
    <w:rsid w:val="00AD2920"/>
    <w:rsid w:val="00AD2CD5"/>
    <w:rsid w:val="00AD2DFC"/>
    <w:rsid w:val="00AD38C4"/>
    <w:rsid w:val="00AD5A4A"/>
    <w:rsid w:val="00AD60EE"/>
    <w:rsid w:val="00AD6A2B"/>
    <w:rsid w:val="00AD73D4"/>
    <w:rsid w:val="00AD792E"/>
    <w:rsid w:val="00AE1A7F"/>
    <w:rsid w:val="00AE1EA2"/>
    <w:rsid w:val="00AE2874"/>
    <w:rsid w:val="00AE2BA2"/>
    <w:rsid w:val="00AE2F98"/>
    <w:rsid w:val="00AE3602"/>
    <w:rsid w:val="00AE43D5"/>
    <w:rsid w:val="00AE5342"/>
    <w:rsid w:val="00AE5987"/>
    <w:rsid w:val="00AE6472"/>
    <w:rsid w:val="00AE6F1E"/>
    <w:rsid w:val="00AE74CC"/>
    <w:rsid w:val="00AF10CF"/>
    <w:rsid w:val="00AF1345"/>
    <w:rsid w:val="00AF38A8"/>
    <w:rsid w:val="00AF4A9F"/>
    <w:rsid w:val="00AF5B98"/>
    <w:rsid w:val="00AF63EB"/>
    <w:rsid w:val="00B016D2"/>
    <w:rsid w:val="00B018EC"/>
    <w:rsid w:val="00B060C7"/>
    <w:rsid w:val="00B11AB7"/>
    <w:rsid w:val="00B12213"/>
    <w:rsid w:val="00B13710"/>
    <w:rsid w:val="00B155CD"/>
    <w:rsid w:val="00B15D7E"/>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232D"/>
    <w:rsid w:val="00B42682"/>
    <w:rsid w:val="00B43065"/>
    <w:rsid w:val="00B44784"/>
    <w:rsid w:val="00B449D0"/>
    <w:rsid w:val="00B456AB"/>
    <w:rsid w:val="00B46C2A"/>
    <w:rsid w:val="00B47E8B"/>
    <w:rsid w:val="00B51C67"/>
    <w:rsid w:val="00B53F86"/>
    <w:rsid w:val="00B53FDC"/>
    <w:rsid w:val="00B55431"/>
    <w:rsid w:val="00B55CAE"/>
    <w:rsid w:val="00B5615B"/>
    <w:rsid w:val="00B576C6"/>
    <w:rsid w:val="00B6029B"/>
    <w:rsid w:val="00B615F2"/>
    <w:rsid w:val="00B61A28"/>
    <w:rsid w:val="00B65C6D"/>
    <w:rsid w:val="00B66B06"/>
    <w:rsid w:val="00B67862"/>
    <w:rsid w:val="00B67CCC"/>
    <w:rsid w:val="00B70634"/>
    <w:rsid w:val="00B70BE4"/>
    <w:rsid w:val="00B73880"/>
    <w:rsid w:val="00B73CF1"/>
    <w:rsid w:val="00B745B3"/>
    <w:rsid w:val="00B7599D"/>
    <w:rsid w:val="00B7648F"/>
    <w:rsid w:val="00B76E13"/>
    <w:rsid w:val="00B771EE"/>
    <w:rsid w:val="00B7765B"/>
    <w:rsid w:val="00B77B4B"/>
    <w:rsid w:val="00B80ABC"/>
    <w:rsid w:val="00B814C2"/>
    <w:rsid w:val="00B82341"/>
    <w:rsid w:val="00B900FE"/>
    <w:rsid w:val="00B9064C"/>
    <w:rsid w:val="00BA0A14"/>
    <w:rsid w:val="00BA1590"/>
    <w:rsid w:val="00BA228D"/>
    <w:rsid w:val="00BA347D"/>
    <w:rsid w:val="00BA398D"/>
    <w:rsid w:val="00BA39D3"/>
    <w:rsid w:val="00BA5C56"/>
    <w:rsid w:val="00BA776F"/>
    <w:rsid w:val="00BB0C0D"/>
    <w:rsid w:val="00BB0D69"/>
    <w:rsid w:val="00BB366E"/>
    <w:rsid w:val="00BB3AF0"/>
    <w:rsid w:val="00BB4F70"/>
    <w:rsid w:val="00BB67FF"/>
    <w:rsid w:val="00BC11B9"/>
    <w:rsid w:val="00BC138C"/>
    <w:rsid w:val="00BC14CF"/>
    <w:rsid w:val="00BC1659"/>
    <w:rsid w:val="00BC2C91"/>
    <w:rsid w:val="00BC3A9C"/>
    <w:rsid w:val="00BC5288"/>
    <w:rsid w:val="00BC571E"/>
    <w:rsid w:val="00BC6A71"/>
    <w:rsid w:val="00BC6B2F"/>
    <w:rsid w:val="00BD0637"/>
    <w:rsid w:val="00BD08A8"/>
    <w:rsid w:val="00BD1BAC"/>
    <w:rsid w:val="00BD1FA8"/>
    <w:rsid w:val="00BD25A6"/>
    <w:rsid w:val="00BD4C95"/>
    <w:rsid w:val="00BD65FC"/>
    <w:rsid w:val="00BD7660"/>
    <w:rsid w:val="00BE0666"/>
    <w:rsid w:val="00BE24B9"/>
    <w:rsid w:val="00BE2AE8"/>
    <w:rsid w:val="00BE2D55"/>
    <w:rsid w:val="00BE38DD"/>
    <w:rsid w:val="00BE4AB1"/>
    <w:rsid w:val="00BF16C3"/>
    <w:rsid w:val="00BF38E0"/>
    <w:rsid w:val="00BF44FA"/>
    <w:rsid w:val="00BF57E1"/>
    <w:rsid w:val="00C003B4"/>
    <w:rsid w:val="00C00A5F"/>
    <w:rsid w:val="00C0225F"/>
    <w:rsid w:val="00C02D08"/>
    <w:rsid w:val="00C0410E"/>
    <w:rsid w:val="00C042E0"/>
    <w:rsid w:val="00C051D9"/>
    <w:rsid w:val="00C06333"/>
    <w:rsid w:val="00C06F68"/>
    <w:rsid w:val="00C075BA"/>
    <w:rsid w:val="00C10A3A"/>
    <w:rsid w:val="00C11E20"/>
    <w:rsid w:val="00C125C0"/>
    <w:rsid w:val="00C15D16"/>
    <w:rsid w:val="00C20015"/>
    <w:rsid w:val="00C247DD"/>
    <w:rsid w:val="00C25B43"/>
    <w:rsid w:val="00C2638B"/>
    <w:rsid w:val="00C26A54"/>
    <w:rsid w:val="00C3261C"/>
    <w:rsid w:val="00C3318B"/>
    <w:rsid w:val="00C33C20"/>
    <w:rsid w:val="00C35362"/>
    <w:rsid w:val="00C357EA"/>
    <w:rsid w:val="00C379F8"/>
    <w:rsid w:val="00C37A1C"/>
    <w:rsid w:val="00C42323"/>
    <w:rsid w:val="00C4316E"/>
    <w:rsid w:val="00C431B3"/>
    <w:rsid w:val="00C453A9"/>
    <w:rsid w:val="00C465D5"/>
    <w:rsid w:val="00C4756A"/>
    <w:rsid w:val="00C47C39"/>
    <w:rsid w:val="00C50649"/>
    <w:rsid w:val="00C50E1F"/>
    <w:rsid w:val="00C51C09"/>
    <w:rsid w:val="00C52BB6"/>
    <w:rsid w:val="00C53471"/>
    <w:rsid w:val="00C55143"/>
    <w:rsid w:val="00C55DB4"/>
    <w:rsid w:val="00C5611B"/>
    <w:rsid w:val="00C5695E"/>
    <w:rsid w:val="00C61528"/>
    <w:rsid w:val="00C615FC"/>
    <w:rsid w:val="00C63457"/>
    <w:rsid w:val="00C64964"/>
    <w:rsid w:val="00C6631E"/>
    <w:rsid w:val="00C67473"/>
    <w:rsid w:val="00C67AA4"/>
    <w:rsid w:val="00C7148C"/>
    <w:rsid w:val="00C72192"/>
    <w:rsid w:val="00C732E5"/>
    <w:rsid w:val="00C73D0B"/>
    <w:rsid w:val="00C75017"/>
    <w:rsid w:val="00C765B4"/>
    <w:rsid w:val="00C77E22"/>
    <w:rsid w:val="00C813EA"/>
    <w:rsid w:val="00C81496"/>
    <w:rsid w:val="00C81813"/>
    <w:rsid w:val="00C82CE6"/>
    <w:rsid w:val="00C82E22"/>
    <w:rsid w:val="00C85144"/>
    <w:rsid w:val="00C86738"/>
    <w:rsid w:val="00C86A27"/>
    <w:rsid w:val="00C91517"/>
    <w:rsid w:val="00C929BD"/>
    <w:rsid w:val="00C92AB1"/>
    <w:rsid w:val="00C931A2"/>
    <w:rsid w:val="00C943E6"/>
    <w:rsid w:val="00C949A2"/>
    <w:rsid w:val="00CA02E1"/>
    <w:rsid w:val="00CA15DA"/>
    <w:rsid w:val="00CA224E"/>
    <w:rsid w:val="00CA41C5"/>
    <w:rsid w:val="00CA42B7"/>
    <w:rsid w:val="00CA4A53"/>
    <w:rsid w:val="00CA50AC"/>
    <w:rsid w:val="00CA51F5"/>
    <w:rsid w:val="00CB218A"/>
    <w:rsid w:val="00CB225A"/>
    <w:rsid w:val="00CB62EC"/>
    <w:rsid w:val="00CB69E6"/>
    <w:rsid w:val="00CB761B"/>
    <w:rsid w:val="00CB7E33"/>
    <w:rsid w:val="00CC13DF"/>
    <w:rsid w:val="00CC1EEE"/>
    <w:rsid w:val="00CC562B"/>
    <w:rsid w:val="00CC6ABE"/>
    <w:rsid w:val="00CC6C15"/>
    <w:rsid w:val="00CC7FCF"/>
    <w:rsid w:val="00CD2749"/>
    <w:rsid w:val="00CD2A60"/>
    <w:rsid w:val="00CD2F1C"/>
    <w:rsid w:val="00CD306F"/>
    <w:rsid w:val="00CD3971"/>
    <w:rsid w:val="00CD3DAB"/>
    <w:rsid w:val="00CE0DF1"/>
    <w:rsid w:val="00CE2951"/>
    <w:rsid w:val="00CE3786"/>
    <w:rsid w:val="00CE4027"/>
    <w:rsid w:val="00CE47CC"/>
    <w:rsid w:val="00CE68F6"/>
    <w:rsid w:val="00CE7E27"/>
    <w:rsid w:val="00CF0D13"/>
    <w:rsid w:val="00CF22AC"/>
    <w:rsid w:val="00CF2F0A"/>
    <w:rsid w:val="00CF79E8"/>
    <w:rsid w:val="00D0159D"/>
    <w:rsid w:val="00D015AA"/>
    <w:rsid w:val="00D021B8"/>
    <w:rsid w:val="00D03D90"/>
    <w:rsid w:val="00D04024"/>
    <w:rsid w:val="00D043EB"/>
    <w:rsid w:val="00D05281"/>
    <w:rsid w:val="00D06705"/>
    <w:rsid w:val="00D06A9B"/>
    <w:rsid w:val="00D0750D"/>
    <w:rsid w:val="00D07DD8"/>
    <w:rsid w:val="00D1038F"/>
    <w:rsid w:val="00D10BF7"/>
    <w:rsid w:val="00D10FEB"/>
    <w:rsid w:val="00D11CE4"/>
    <w:rsid w:val="00D140A0"/>
    <w:rsid w:val="00D203D1"/>
    <w:rsid w:val="00D2057A"/>
    <w:rsid w:val="00D21D98"/>
    <w:rsid w:val="00D2317F"/>
    <w:rsid w:val="00D231A9"/>
    <w:rsid w:val="00D234D0"/>
    <w:rsid w:val="00D24391"/>
    <w:rsid w:val="00D2472B"/>
    <w:rsid w:val="00D253DD"/>
    <w:rsid w:val="00D26FFA"/>
    <w:rsid w:val="00D3215D"/>
    <w:rsid w:val="00D33352"/>
    <w:rsid w:val="00D347D9"/>
    <w:rsid w:val="00D3484F"/>
    <w:rsid w:val="00D35112"/>
    <w:rsid w:val="00D35565"/>
    <w:rsid w:val="00D36A19"/>
    <w:rsid w:val="00D40DCF"/>
    <w:rsid w:val="00D41075"/>
    <w:rsid w:val="00D41C76"/>
    <w:rsid w:val="00D41DD8"/>
    <w:rsid w:val="00D4222C"/>
    <w:rsid w:val="00D425CE"/>
    <w:rsid w:val="00D42F40"/>
    <w:rsid w:val="00D4396C"/>
    <w:rsid w:val="00D4446F"/>
    <w:rsid w:val="00D44B55"/>
    <w:rsid w:val="00D45490"/>
    <w:rsid w:val="00D457B8"/>
    <w:rsid w:val="00D457E1"/>
    <w:rsid w:val="00D47BEB"/>
    <w:rsid w:val="00D50487"/>
    <w:rsid w:val="00D50563"/>
    <w:rsid w:val="00D50F50"/>
    <w:rsid w:val="00D51FAF"/>
    <w:rsid w:val="00D5235F"/>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116E"/>
    <w:rsid w:val="00D83080"/>
    <w:rsid w:val="00D845ED"/>
    <w:rsid w:val="00D84D5F"/>
    <w:rsid w:val="00D851E2"/>
    <w:rsid w:val="00D87FFA"/>
    <w:rsid w:val="00D91419"/>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5FCA"/>
    <w:rsid w:val="00DA7769"/>
    <w:rsid w:val="00DB08C6"/>
    <w:rsid w:val="00DB1BC2"/>
    <w:rsid w:val="00DB1CBB"/>
    <w:rsid w:val="00DB31ED"/>
    <w:rsid w:val="00DB4124"/>
    <w:rsid w:val="00DB4511"/>
    <w:rsid w:val="00DB4F0C"/>
    <w:rsid w:val="00DB60D8"/>
    <w:rsid w:val="00DC0176"/>
    <w:rsid w:val="00DC043F"/>
    <w:rsid w:val="00DC093E"/>
    <w:rsid w:val="00DC0E29"/>
    <w:rsid w:val="00DC0E7A"/>
    <w:rsid w:val="00DC15E5"/>
    <w:rsid w:val="00DC244E"/>
    <w:rsid w:val="00DC2A65"/>
    <w:rsid w:val="00DC2A86"/>
    <w:rsid w:val="00DC3631"/>
    <w:rsid w:val="00DC37F7"/>
    <w:rsid w:val="00DC6F54"/>
    <w:rsid w:val="00DD0C00"/>
    <w:rsid w:val="00DD0F8C"/>
    <w:rsid w:val="00DD116C"/>
    <w:rsid w:val="00DD1D9F"/>
    <w:rsid w:val="00DD23D5"/>
    <w:rsid w:val="00DD2AF1"/>
    <w:rsid w:val="00DD46DA"/>
    <w:rsid w:val="00DD4D6C"/>
    <w:rsid w:val="00DD6072"/>
    <w:rsid w:val="00DD62BE"/>
    <w:rsid w:val="00DD77D9"/>
    <w:rsid w:val="00DD7CA4"/>
    <w:rsid w:val="00DE167C"/>
    <w:rsid w:val="00DE3B70"/>
    <w:rsid w:val="00DE4D99"/>
    <w:rsid w:val="00DE5813"/>
    <w:rsid w:val="00DE618A"/>
    <w:rsid w:val="00DF10B1"/>
    <w:rsid w:val="00DF1FDA"/>
    <w:rsid w:val="00DF2042"/>
    <w:rsid w:val="00DF3DD0"/>
    <w:rsid w:val="00DF4D50"/>
    <w:rsid w:val="00DF538C"/>
    <w:rsid w:val="00E00556"/>
    <w:rsid w:val="00E021C2"/>
    <w:rsid w:val="00E024A3"/>
    <w:rsid w:val="00E0423D"/>
    <w:rsid w:val="00E057B5"/>
    <w:rsid w:val="00E0581E"/>
    <w:rsid w:val="00E079C5"/>
    <w:rsid w:val="00E07CBD"/>
    <w:rsid w:val="00E07F56"/>
    <w:rsid w:val="00E10A16"/>
    <w:rsid w:val="00E1112F"/>
    <w:rsid w:val="00E11CBC"/>
    <w:rsid w:val="00E12795"/>
    <w:rsid w:val="00E1318F"/>
    <w:rsid w:val="00E13B3B"/>
    <w:rsid w:val="00E13E29"/>
    <w:rsid w:val="00E16857"/>
    <w:rsid w:val="00E16C3A"/>
    <w:rsid w:val="00E20651"/>
    <w:rsid w:val="00E2107C"/>
    <w:rsid w:val="00E21E70"/>
    <w:rsid w:val="00E224DE"/>
    <w:rsid w:val="00E23DCE"/>
    <w:rsid w:val="00E26363"/>
    <w:rsid w:val="00E272A4"/>
    <w:rsid w:val="00E273D9"/>
    <w:rsid w:val="00E305F9"/>
    <w:rsid w:val="00E306AC"/>
    <w:rsid w:val="00E324B6"/>
    <w:rsid w:val="00E33017"/>
    <w:rsid w:val="00E34446"/>
    <w:rsid w:val="00E3633B"/>
    <w:rsid w:val="00E36870"/>
    <w:rsid w:val="00E374E1"/>
    <w:rsid w:val="00E416CC"/>
    <w:rsid w:val="00E417AB"/>
    <w:rsid w:val="00E43D48"/>
    <w:rsid w:val="00E4542D"/>
    <w:rsid w:val="00E45BE0"/>
    <w:rsid w:val="00E46CAD"/>
    <w:rsid w:val="00E47521"/>
    <w:rsid w:val="00E4760C"/>
    <w:rsid w:val="00E507A6"/>
    <w:rsid w:val="00E51283"/>
    <w:rsid w:val="00E5375C"/>
    <w:rsid w:val="00E561AD"/>
    <w:rsid w:val="00E57FAF"/>
    <w:rsid w:val="00E60BA9"/>
    <w:rsid w:val="00E63510"/>
    <w:rsid w:val="00E635EA"/>
    <w:rsid w:val="00E655E5"/>
    <w:rsid w:val="00E65F4E"/>
    <w:rsid w:val="00E662E0"/>
    <w:rsid w:val="00E67D5D"/>
    <w:rsid w:val="00E71C7A"/>
    <w:rsid w:val="00E73119"/>
    <w:rsid w:val="00E73E1E"/>
    <w:rsid w:val="00E767FF"/>
    <w:rsid w:val="00E83FCE"/>
    <w:rsid w:val="00E84C91"/>
    <w:rsid w:val="00E84E60"/>
    <w:rsid w:val="00E8556E"/>
    <w:rsid w:val="00E867AA"/>
    <w:rsid w:val="00E86B2D"/>
    <w:rsid w:val="00E86F4D"/>
    <w:rsid w:val="00E87D08"/>
    <w:rsid w:val="00E903FC"/>
    <w:rsid w:val="00E90D0E"/>
    <w:rsid w:val="00E91B2D"/>
    <w:rsid w:val="00E92FCA"/>
    <w:rsid w:val="00E95CAA"/>
    <w:rsid w:val="00EA0A39"/>
    <w:rsid w:val="00EA0EB2"/>
    <w:rsid w:val="00EA1B97"/>
    <w:rsid w:val="00EA236F"/>
    <w:rsid w:val="00EA3023"/>
    <w:rsid w:val="00EA3E49"/>
    <w:rsid w:val="00EA3FC8"/>
    <w:rsid w:val="00EA5B8C"/>
    <w:rsid w:val="00EB0DC9"/>
    <w:rsid w:val="00EB1383"/>
    <w:rsid w:val="00EB252D"/>
    <w:rsid w:val="00EB29FA"/>
    <w:rsid w:val="00EB2CCE"/>
    <w:rsid w:val="00EB385F"/>
    <w:rsid w:val="00EB3E49"/>
    <w:rsid w:val="00EB5FC3"/>
    <w:rsid w:val="00EB6DA9"/>
    <w:rsid w:val="00EC1561"/>
    <w:rsid w:val="00EC462E"/>
    <w:rsid w:val="00EC6CD8"/>
    <w:rsid w:val="00EC786F"/>
    <w:rsid w:val="00ED00FE"/>
    <w:rsid w:val="00ED1866"/>
    <w:rsid w:val="00ED3134"/>
    <w:rsid w:val="00ED38E2"/>
    <w:rsid w:val="00ED3B79"/>
    <w:rsid w:val="00ED5C44"/>
    <w:rsid w:val="00ED635B"/>
    <w:rsid w:val="00EE044E"/>
    <w:rsid w:val="00EE423A"/>
    <w:rsid w:val="00EE742D"/>
    <w:rsid w:val="00EF0A22"/>
    <w:rsid w:val="00EF1267"/>
    <w:rsid w:val="00EF180C"/>
    <w:rsid w:val="00EF1850"/>
    <w:rsid w:val="00EF18CC"/>
    <w:rsid w:val="00EF3B6B"/>
    <w:rsid w:val="00EF4540"/>
    <w:rsid w:val="00EF4B43"/>
    <w:rsid w:val="00EF6750"/>
    <w:rsid w:val="00EF770B"/>
    <w:rsid w:val="00F02836"/>
    <w:rsid w:val="00F02FB5"/>
    <w:rsid w:val="00F04D41"/>
    <w:rsid w:val="00F0534E"/>
    <w:rsid w:val="00F05A8C"/>
    <w:rsid w:val="00F05C30"/>
    <w:rsid w:val="00F10F1B"/>
    <w:rsid w:val="00F12402"/>
    <w:rsid w:val="00F14179"/>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160E"/>
    <w:rsid w:val="00F42839"/>
    <w:rsid w:val="00F44CC0"/>
    <w:rsid w:val="00F450BA"/>
    <w:rsid w:val="00F4684B"/>
    <w:rsid w:val="00F46BE9"/>
    <w:rsid w:val="00F47C3B"/>
    <w:rsid w:val="00F506CA"/>
    <w:rsid w:val="00F53A7A"/>
    <w:rsid w:val="00F54FCD"/>
    <w:rsid w:val="00F5739F"/>
    <w:rsid w:val="00F5785C"/>
    <w:rsid w:val="00F65E3C"/>
    <w:rsid w:val="00F67076"/>
    <w:rsid w:val="00F677FA"/>
    <w:rsid w:val="00F7115A"/>
    <w:rsid w:val="00F717AA"/>
    <w:rsid w:val="00F72714"/>
    <w:rsid w:val="00F744C3"/>
    <w:rsid w:val="00F75EE2"/>
    <w:rsid w:val="00F75F69"/>
    <w:rsid w:val="00F76014"/>
    <w:rsid w:val="00F76C48"/>
    <w:rsid w:val="00F802D3"/>
    <w:rsid w:val="00F80F94"/>
    <w:rsid w:val="00F81BA2"/>
    <w:rsid w:val="00F823A4"/>
    <w:rsid w:val="00F8412F"/>
    <w:rsid w:val="00F84791"/>
    <w:rsid w:val="00F85995"/>
    <w:rsid w:val="00F85FC5"/>
    <w:rsid w:val="00F86C22"/>
    <w:rsid w:val="00F90CB3"/>
    <w:rsid w:val="00F912A2"/>
    <w:rsid w:val="00F913A3"/>
    <w:rsid w:val="00F925C3"/>
    <w:rsid w:val="00F9433A"/>
    <w:rsid w:val="00FA0109"/>
    <w:rsid w:val="00FA458B"/>
    <w:rsid w:val="00FA5EC5"/>
    <w:rsid w:val="00FA7016"/>
    <w:rsid w:val="00FA7174"/>
    <w:rsid w:val="00FA793D"/>
    <w:rsid w:val="00FB020E"/>
    <w:rsid w:val="00FB0B6D"/>
    <w:rsid w:val="00FB0F17"/>
    <w:rsid w:val="00FB4437"/>
    <w:rsid w:val="00FB4B9D"/>
    <w:rsid w:val="00FB50ED"/>
    <w:rsid w:val="00FB6E18"/>
    <w:rsid w:val="00FC144B"/>
    <w:rsid w:val="00FC2169"/>
    <w:rsid w:val="00FC2790"/>
    <w:rsid w:val="00FC28E2"/>
    <w:rsid w:val="00FC3BF6"/>
    <w:rsid w:val="00FC3D22"/>
    <w:rsid w:val="00FC4912"/>
    <w:rsid w:val="00FC6FE1"/>
    <w:rsid w:val="00FD0C3D"/>
    <w:rsid w:val="00FD2F6B"/>
    <w:rsid w:val="00FD4FC2"/>
    <w:rsid w:val="00FE064A"/>
    <w:rsid w:val="00FE0B55"/>
    <w:rsid w:val="00FE1E98"/>
    <w:rsid w:val="00FE2452"/>
    <w:rsid w:val="00FE5469"/>
    <w:rsid w:val="00FE66C2"/>
    <w:rsid w:val="00FE684A"/>
    <w:rsid w:val="00FE6F23"/>
    <w:rsid w:val="00FE7D3A"/>
    <w:rsid w:val="00FF0F8C"/>
    <w:rsid w:val="00FF408B"/>
    <w:rsid w:val="00FF43E1"/>
    <w:rsid w:val="03430854"/>
    <w:rsid w:val="039F5FA6"/>
    <w:rsid w:val="09305ADA"/>
    <w:rsid w:val="0E8013B7"/>
    <w:rsid w:val="10D604C6"/>
    <w:rsid w:val="11B515E0"/>
    <w:rsid w:val="13A53267"/>
    <w:rsid w:val="13F970D2"/>
    <w:rsid w:val="14AA4136"/>
    <w:rsid w:val="163A420B"/>
    <w:rsid w:val="167B3370"/>
    <w:rsid w:val="181E5CC5"/>
    <w:rsid w:val="19413B26"/>
    <w:rsid w:val="1C6D3688"/>
    <w:rsid w:val="1CC63D0A"/>
    <w:rsid w:val="1DC2081A"/>
    <w:rsid w:val="1DD94266"/>
    <w:rsid w:val="1F9D0947"/>
    <w:rsid w:val="1FFB29C6"/>
    <w:rsid w:val="21565EE1"/>
    <w:rsid w:val="22AF3620"/>
    <w:rsid w:val="22E70AD4"/>
    <w:rsid w:val="23343D06"/>
    <w:rsid w:val="24F1508D"/>
    <w:rsid w:val="266F634F"/>
    <w:rsid w:val="291059EA"/>
    <w:rsid w:val="295B59B2"/>
    <w:rsid w:val="2BBF12EC"/>
    <w:rsid w:val="2BC649D9"/>
    <w:rsid w:val="3515160D"/>
    <w:rsid w:val="3C7D00D8"/>
    <w:rsid w:val="3CA06C0C"/>
    <w:rsid w:val="3EA25851"/>
    <w:rsid w:val="3F6C3757"/>
    <w:rsid w:val="405D6A10"/>
    <w:rsid w:val="41DA6594"/>
    <w:rsid w:val="444C1A75"/>
    <w:rsid w:val="44A3526F"/>
    <w:rsid w:val="44B032F4"/>
    <w:rsid w:val="457D25F7"/>
    <w:rsid w:val="468341CD"/>
    <w:rsid w:val="472C2589"/>
    <w:rsid w:val="487B43F4"/>
    <w:rsid w:val="4A760AEB"/>
    <w:rsid w:val="4D293AB3"/>
    <w:rsid w:val="4DF50262"/>
    <w:rsid w:val="4F3162CA"/>
    <w:rsid w:val="50D95873"/>
    <w:rsid w:val="52502938"/>
    <w:rsid w:val="526102AF"/>
    <w:rsid w:val="528444DA"/>
    <w:rsid w:val="537745D5"/>
    <w:rsid w:val="552306F6"/>
    <w:rsid w:val="56E352D5"/>
    <w:rsid w:val="57E435FE"/>
    <w:rsid w:val="581D0553"/>
    <w:rsid w:val="582D0655"/>
    <w:rsid w:val="5951205C"/>
    <w:rsid w:val="59D079E8"/>
    <w:rsid w:val="59D40847"/>
    <w:rsid w:val="5AE37F25"/>
    <w:rsid w:val="5CB23D47"/>
    <w:rsid w:val="5FAF09C4"/>
    <w:rsid w:val="608C4642"/>
    <w:rsid w:val="62795572"/>
    <w:rsid w:val="64DD6417"/>
    <w:rsid w:val="66004745"/>
    <w:rsid w:val="6A567F20"/>
    <w:rsid w:val="6CD97953"/>
    <w:rsid w:val="6ED30FD7"/>
    <w:rsid w:val="7045343A"/>
    <w:rsid w:val="727D78FD"/>
    <w:rsid w:val="73CC655F"/>
    <w:rsid w:val="75957445"/>
    <w:rsid w:val="75D01AE1"/>
    <w:rsid w:val="77524363"/>
    <w:rsid w:val="77B917B5"/>
    <w:rsid w:val="78703975"/>
    <w:rsid w:val="7BE420FD"/>
    <w:rsid w:val="7D0D296B"/>
    <w:rsid w:val="7D4E0B54"/>
    <w:rsid w:val="7D503E78"/>
    <w:rsid w:val="7E0160D4"/>
    <w:rsid w:val="D7B7B1B1"/>
    <w:rsid w:val="EFFFCE29"/>
    <w:rsid w:val="F7FE480C"/>
    <w:rsid w:val="FBF461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qFormat="1" w:unhideWhenUsed="0" w:uiPriority="0" w:semiHidden="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iPriority="99"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paragraph" w:styleId="2">
    <w:name w:val="heading 1"/>
    <w:basedOn w:val="1"/>
    <w:next w:val="1"/>
    <w:link w:val="76"/>
    <w:qFormat/>
    <w:uiPriority w:val="0"/>
    <w:pPr>
      <w:keepNext/>
      <w:keepLines/>
      <w:numPr>
        <w:ilvl w:val="0"/>
        <w:numId w:val="1"/>
      </w:numPr>
      <w:spacing w:before="120" w:after="120"/>
      <w:ind w:left="425" w:firstLine="0" w:firstLineChars="0"/>
      <w:outlineLvl w:val="0"/>
    </w:pPr>
    <w:rPr>
      <w:rFonts w:eastAsia="黑体"/>
      <w:b/>
      <w:bCs/>
      <w:kern w:val="44"/>
      <w:sz w:val="32"/>
      <w:szCs w:val="28"/>
    </w:rPr>
  </w:style>
  <w:style w:type="paragraph" w:styleId="3">
    <w:name w:val="heading 2"/>
    <w:basedOn w:val="1"/>
    <w:next w:val="1"/>
    <w:link w:val="89"/>
    <w:qFormat/>
    <w:uiPriority w:val="9"/>
    <w:pPr>
      <w:keepNext/>
      <w:keepLines/>
      <w:numPr>
        <w:ilvl w:val="1"/>
        <w:numId w:val="1"/>
      </w:numPr>
      <w:spacing w:before="120" w:after="120"/>
      <w:ind w:firstLine="0" w:firstLineChars="0"/>
      <w:outlineLvl w:val="1"/>
    </w:pPr>
    <w:rPr>
      <w:b/>
      <w:bCs/>
      <w:sz w:val="30"/>
      <w:szCs w:val="32"/>
    </w:rPr>
  </w:style>
  <w:style w:type="paragraph" w:styleId="4">
    <w:name w:val="heading 3"/>
    <w:basedOn w:val="1"/>
    <w:next w:val="1"/>
    <w:link w:val="82"/>
    <w:qFormat/>
    <w:uiPriority w:val="0"/>
    <w:pPr>
      <w:keepNext/>
      <w:keepLines/>
      <w:numPr>
        <w:ilvl w:val="2"/>
        <w:numId w:val="1"/>
      </w:numPr>
      <w:spacing w:before="120" w:after="120"/>
      <w:ind w:firstLine="0" w:firstLineChars="0"/>
      <w:outlineLvl w:val="2"/>
    </w:pPr>
    <w:rPr>
      <w:b/>
      <w:bCs/>
      <w:sz w:val="28"/>
      <w:szCs w:val="28"/>
    </w:rPr>
  </w:style>
  <w:style w:type="paragraph" w:styleId="5">
    <w:name w:val="heading 4"/>
    <w:basedOn w:val="1"/>
    <w:next w:val="1"/>
    <w:link w:val="59"/>
    <w:qFormat/>
    <w:uiPriority w:val="0"/>
    <w:pPr>
      <w:keepNext/>
      <w:keepLines/>
      <w:numPr>
        <w:ilvl w:val="3"/>
        <w:numId w:val="1"/>
      </w:numPr>
      <w:spacing w:before="120" w:after="120"/>
      <w:ind w:left="851" w:firstLine="0" w:firstLineChars="0"/>
      <w:outlineLvl w:val="3"/>
    </w:pPr>
    <w:rPr>
      <w:b/>
      <w:bCs/>
      <w:sz w:val="30"/>
      <w:szCs w:val="30"/>
    </w:rPr>
  </w:style>
  <w:style w:type="paragraph" w:styleId="6">
    <w:name w:val="heading 5"/>
    <w:basedOn w:val="1"/>
    <w:next w:val="1"/>
    <w:link w:val="87"/>
    <w:qFormat/>
    <w:uiPriority w:val="0"/>
    <w:pPr>
      <w:keepNext/>
      <w:keepLines/>
      <w:numPr>
        <w:ilvl w:val="4"/>
        <w:numId w:val="1"/>
      </w:numPr>
      <w:spacing w:before="120" w:after="120"/>
      <w:ind w:left="0" w:firstLine="0" w:firstLineChars="0"/>
      <w:outlineLvl w:val="4"/>
    </w:pPr>
    <w:rPr>
      <w:b/>
      <w:bCs/>
      <w:szCs w:val="28"/>
    </w:rPr>
  </w:style>
  <w:style w:type="paragraph" w:styleId="7">
    <w:name w:val="heading 6"/>
    <w:basedOn w:val="1"/>
    <w:next w:val="1"/>
    <w:link w:val="100"/>
    <w:qFormat/>
    <w:uiPriority w:val="0"/>
    <w:pPr>
      <w:keepNext/>
      <w:keepLines/>
      <w:numPr>
        <w:ilvl w:val="5"/>
        <w:numId w:val="1"/>
      </w:numPr>
      <w:spacing w:before="120" w:after="120"/>
      <w:ind w:firstLine="0" w:firstLineChars="0"/>
      <w:outlineLvl w:val="5"/>
    </w:pPr>
    <w:rPr>
      <w:rFonts w:ascii="Cambria" w:hAnsi="Cambria"/>
      <w:b/>
      <w:bCs/>
    </w:rPr>
  </w:style>
  <w:style w:type="paragraph" w:styleId="8">
    <w:name w:val="heading 7"/>
    <w:basedOn w:val="1"/>
    <w:next w:val="1"/>
    <w:link w:val="73"/>
    <w:qFormat/>
    <w:uiPriority w:val="0"/>
    <w:pPr>
      <w:keepNext/>
      <w:keepLines/>
      <w:spacing w:before="240" w:after="64" w:line="319" w:lineRule="auto"/>
      <w:ind w:firstLine="0" w:firstLineChars="0"/>
      <w:outlineLvl w:val="6"/>
    </w:pPr>
    <w:rPr>
      <w:rFonts w:ascii="Times New Roman" w:hAnsi="Times New Roman"/>
      <w:b/>
      <w:bCs/>
      <w:sz w:val="21"/>
    </w:rPr>
  </w:style>
  <w:style w:type="paragraph" w:styleId="9">
    <w:name w:val="heading 8"/>
    <w:basedOn w:val="1"/>
    <w:next w:val="1"/>
    <w:link w:val="99"/>
    <w:qFormat/>
    <w:uiPriority w:val="0"/>
    <w:pPr>
      <w:keepNext/>
      <w:keepLines/>
      <w:spacing w:before="240" w:after="64" w:line="319" w:lineRule="auto"/>
      <w:ind w:firstLine="0" w:firstLineChars="0"/>
      <w:outlineLvl w:val="7"/>
    </w:pPr>
    <w:rPr>
      <w:rFonts w:ascii="Cambria" w:hAnsi="Cambria"/>
      <w:sz w:val="21"/>
    </w:rPr>
  </w:style>
  <w:style w:type="paragraph" w:styleId="10">
    <w:name w:val="heading 9"/>
    <w:basedOn w:val="1"/>
    <w:next w:val="1"/>
    <w:link w:val="49"/>
    <w:qFormat/>
    <w:uiPriority w:val="0"/>
    <w:pPr>
      <w:keepNext/>
      <w:keepLines/>
      <w:spacing w:before="240" w:after="64" w:line="319" w:lineRule="auto"/>
      <w:ind w:firstLine="0" w:firstLineChars="0"/>
      <w:outlineLvl w:val="8"/>
    </w:pPr>
    <w:rPr>
      <w:rFonts w:ascii="Cambria" w:hAnsi="Cambria"/>
      <w:sz w:val="21"/>
      <w:szCs w:val="21"/>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等线" w:hAnsi="等线" w:eastAsia="等线"/>
      <w:szCs w:val="22"/>
    </w:rPr>
  </w:style>
  <w:style w:type="paragraph" w:styleId="12">
    <w:name w:val="Normal Indent"/>
    <w:basedOn w:val="1"/>
    <w:unhideWhenUsed/>
    <w:qFormat/>
    <w:uiPriority w:val="99"/>
    <w:pPr>
      <w:spacing w:line="240" w:lineRule="auto"/>
      <w:ind w:firstLine="420"/>
    </w:pPr>
    <w:rPr>
      <w:rFonts w:ascii="Calibri" w:hAnsi="Calibri"/>
      <w:sz w:val="21"/>
    </w:rPr>
  </w:style>
  <w:style w:type="paragraph" w:styleId="13">
    <w:name w:val="caption"/>
    <w:basedOn w:val="1"/>
    <w:next w:val="1"/>
    <w:link w:val="55"/>
    <w:qFormat/>
    <w:uiPriority w:val="0"/>
    <w:pPr>
      <w:spacing w:afterLines="50"/>
      <w:ind w:firstLine="200"/>
    </w:pPr>
    <w:rPr>
      <w:rFonts w:ascii="Arial" w:hAnsi="Arial" w:eastAsia="黑体"/>
      <w:sz w:val="20"/>
      <w:szCs w:val="20"/>
    </w:rPr>
  </w:style>
  <w:style w:type="paragraph" w:styleId="14">
    <w:name w:val="Document Map"/>
    <w:basedOn w:val="1"/>
    <w:link w:val="92"/>
    <w:qFormat/>
    <w:uiPriority w:val="0"/>
    <w:rPr>
      <w:rFonts w:hAnsi="Times New Roman"/>
      <w:sz w:val="18"/>
      <w:szCs w:val="18"/>
    </w:rPr>
  </w:style>
  <w:style w:type="paragraph" w:styleId="15">
    <w:name w:val="annotation text"/>
    <w:basedOn w:val="1"/>
    <w:link w:val="46"/>
    <w:qFormat/>
    <w:uiPriority w:val="99"/>
    <w:pPr>
      <w:jc w:val="left"/>
    </w:pPr>
    <w:rPr>
      <w:rFonts w:ascii="Times New Roman" w:hAnsi="Times New Roman" w:eastAsia="仿宋"/>
      <w:sz w:val="28"/>
    </w:rPr>
  </w:style>
  <w:style w:type="paragraph" w:styleId="16">
    <w:name w:val="Body Text"/>
    <w:basedOn w:val="1"/>
    <w:link w:val="60"/>
    <w:unhideWhenUsed/>
    <w:qFormat/>
    <w:uiPriority w:val="99"/>
    <w:pPr>
      <w:spacing w:after="120" w:line="240" w:lineRule="auto"/>
      <w:ind w:firstLine="0" w:firstLineChars="0"/>
    </w:pPr>
    <w:rPr>
      <w:rFonts w:ascii="Times New Roman" w:hAnsi="Times New Roman"/>
      <w:sz w:val="21"/>
    </w:rPr>
  </w:style>
  <w:style w:type="paragraph" w:styleId="17">
    <w:name w:val="Body Text Indent"/>
    <w:basedOn w:val="1"/>
    <w:link w:val="86"/>
    <w:qFormat/>
    <w:uiPriority w:val="99"/>
    <w:pPr>
      <w:spacing w:after="120"/>
      <w:ind w:firstLine="200"/>
    </w:pPr>
    <w:rPr>
      <w:rFonts w:ascii="Times New Roman" w:hAnsi="Times New Roman"/>
      <w:sz w:val="21"/>
      <w:szCs w:val="20"/>
    </w:rPr>
  </w:style>
  <w:style w:type="paragraph" w:styleId="18">
    <w:name w:val="toc 5"/>
    <w:basedOn w:val="1"/>
    <w:next w:val="1"/>
    <w:unhideWhenUsed/>
    <w:qFormat/>
    <w:uiPriority w:val="39"/>
    <w:pPr>
      <w:ind w:left="1680" w:leftChars="800"/>
    </w:pPr>
    <w:rPr>
      <w:rFonts w:ascii="等线" w:hAnsi="等线" w:eastAsia="等线"/>
      <w:szCs w:val="22"/>
    </w:rPr>
  </w:style>
  <w:style w:type="paragraph" w:styleId="19">
    <w:name w:val="toc 3"/>
    <w:basedOn w:val="1"/>
    <w:next w:val="1"/>
    <w:qFormat/>
    <w:uiPriority w:val="39"/>
    <w:pPr>
      <w:tabs>
        <w:tab w:val="right" w:leader="dot" w:pos="8302"/>
      </w:tabs>
      <w:ind w:left="840" w:leftChars="400"/>
    </w:pPr>
  </w:style>
  <w:style w:type="paragraph" w:styleId="20">
    <w:name w:val="Plain Text"/>
    <w:basedOn w:val="1"/>
    <w:link w:val="67"/>
    <w:qFormat/>
    <w:uiPriority w:val="0"/>
    <w:pPr>
      <w:spacing w:line="240" w:lineRule="auto"/>
      <w:ind w:firstLine="0" w:firstLineChars="0"/>
    </w:pPr>
    <w:rPr>
      <w:rFonts w:hAnsi="Courier New"/>
      <w:sz w:val="21"/>
      <w:szCs w:val="20"/>
    </w:rPr>
  </w:style>
  <w:style w:type="paragraph" w:styleId="21">
    <w:name w:val="toc 8"/>
    <w:basedOn w:val="1"/>
    <w:next w:val="1"/>
    <w:unhideWhenUsed/>
    <w:qFormat/>
    <w:uiPriority w:val="39"/>
    <w:pPr>
      <w:ind w:left="2940" w:leftChars="1400"/>
    </w:pPr>
    <w:rPr>
      <w:rFonts w:ascii="等线" w:hAnsi="等线" w:eastAsia="等线"/>
      <w:szCs w:val="22"/>
    </w:rPr>
  </w:style>
  <w:style w:type="paragraph" w:styleId="22">
    <w:name w:val="Date"/>
    <w:basedOn w:val="1"/>
    <w:next w:val="1"/>
    <w:link w:val="48"/>
    <w:qFormat/>
    <w:uiPriority w:val="0"/>
    <w:pPr>
      <w:ind w:left="100" w:leftChars="2500"/>
    </w:pPr>
    <w:rPr>
      <w:rFonts w:ascii="Times New Roman" w:hAnsi="Times New Roman"/>
      <w:sz w:val="21"/>
    </w:rPr>
  </w:style>
  <w:style w:type="paragraph" w:styleId="23">
    <w:name w:val="Balloon Text"/>
    <w:basedOn w:val="1"/>
    <w:link w:val="97"/>
    <w:qFormat/>
    <w:uiPriority w:val="99"/>
    <w:rPr>
      <w:rFonts w:ascii="Times New Roman" w:hAnsi="Times New Roman"/>
      <w:sz w:val="18"/>
      <w:szCs w:val="18"/>
    </w:rPr>
  </w:style>
  <w:style w:type="paragraph" w:styleId="24">
    <w:name w:val="footer"/>
    <w:basedOn w:val="1"/>
    <w:link w:val="90"/>
    <w:qFormat/>
    <w:uiPriority w:val="99"/>
    <w:pPr>
      <w:tabs>
        <w:tab w:val="center" w:pos="4153"/>
        <w:tab w:val="right" w:pos="8306"/>
      </w:tabs>
      <w:snapToGrid w:val="0"/>
      <w:jc w:val="center"/>
    </w:pPr>
    <w:rPr>
      <w:rFonts w:ascii="Times New Roman" w:hAnsi="Times New Roman"/>
      <w:sz w:val="18"/>
      <w:szCs w:val="18"/>
    </w:rPr>
  </w:style>
  <w:style w:type="paragraph" w:styleId="25">
    <w:name w:val="header"/>
    <w:basedOn w:val="1"/>
    <w:link w:val="98"/>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26">
    <w:name w:val="toc 1"/>
    <w:basedOn w:val="1"/>
    <w:next w:val="1"/>
    <w:qFormat/>
    <w:uiPriority w:val="39"/>
  </w:style>
  <w:style w:type="paragraph" w:styleId="27">
    <w:name w:val="toc 4"/>
    <w:basedOn w:val="1"/>
    <w:next w:val="1"/>
    <w:unhideWhenUsed/>
    <w:qFormat/>
    <w:uiPriority w:val="39"/>
    <w:pPr>
      <w:ind w:left="1260" w:leftChars="600"/>
    </w:pPr>
    <w:rPr>
      <w:rFonts w:ascii="等线" w:hAnsi="等线" w:eastAsia="等线"/>
      <w:szCs w:val="22"/>
    </w:rPr>
  </w:style>
  <w:style w:type="paragraph" w:styleId="28">
    <w:name w:val="Subtitle"/>
    <w:basedOn w:val="1"/>
    <w:next w:val="1"/>
    <w:link w:val="88"/>
    <w:qFormat/>
    <w:uiPriority w:val="0"/>
    <w:pPr>
      <w:spacing w:before="240" w:after="60" w:line="312" w:lineRule="auto"/>
      <w:jc w:val="center"/>
      <w:outlineLvl w:val="1"/>
    </w:pPr>
    <w:rPr>
      <w:rFonts w:ascii="Calibri Light" w:hAnsi="Calibri Light"/>
      <w:b/>
      <w:bCs/>
      <w:kern w:val="28"/>
      <w:sz w:val="32"/>
      <w:szCs w:val="32"/>
    </w:rPr>
  </w:style>
  <w:style w:type="paragraph" w:styleId="29">
    <w:name w:val="toc 6"/>
    <w:basedOn w:val="1"/>
    <w:next w:val="1"/>
    <w:unhideWhenUsed/>
    <w:qFormat/>
    <w:uiPriority w:val="39"/>
    <w:pPr>
      <w:ind w:left="2100" w:leftChars="1000"/>
    </w:pPr>
    <w:rPr>
      <w:rFonts w:ascii="等线" w:hAnsi="等线" w:eastAsia="等线"/>
      <w:szCs w:val="22"/>
    </w:rPr>
  </w:style>
  <w:style w:type="paragraph" w:styleId="30">
    <w:name w:val="toc 2"/>
    <w:basedOn w:val="1"/>
    <w:next w:val="1"/>
    <w:qFormat/>
    <w:uiPriority w:val="39"/>
    <w:pPr>
      <w:tabs>
        <w:tab w:val="right" w:leader="dot" w:pos="8302"/>
      </w:tabs>
      <w:ind w:left="420" w:leftChars="200"/>
    </w:pPr>
  </w:style>
  <w:style w:type="paragraph" w:styleId="31">
    <w:name w:val="toc 9"/>
    <w:basedOn w:val="1"/>
    <w:next w:val="1"/>
    <w:unhideWhenUsed/>
    <w:qFormat/>
    <w:uiPriority w:val="39"/>
    <w:pPr>
      <w:ind w:left="3360" w:leftChars="1600"/>
    </w:pPr>
    <w:rPr>
      <w:rFonts w:ascii="等线" w:hAnsi="等线" w:eastAsia="等线"/>
      <w:szCs w:val="22"/>
    </w:rPr>
  </w:style>
  <w:style w:type="paragraph" w:styleId="32">
    <w:name w:val="Normal (Web)"/>
    <w:basedOn w:val="1"/>
    <w:qFormat/>
    <w:uiPriority w:val="99"/>
    <w:pPr>
      <w:widowControl/>
      <w:spacing w:before="100" w:after="100"/>
      <w:jc w:val="left"/>
    </w:pPr>
    <w:rPr>
      <w:rFonts w:hint="eastAsia" w:ascii="Arial Unicode MS" w:hAnsi="Arial Unicode MS" w:eastAsia="Arial Unicode MS"/>
      <w:kern w:val="0"/>
    </w:rPr>
  </w:style>
  <w:style w:type="paragraph" w:styleId="33">
    <w:name w:val="Title"/>
    <w:basedOn w:val="1"/>
    <w:next w:val="1"/>
    <w:link w:val="96"/>
    <w:qFormat/>
    <w:uiPriority w:val="10"/>
    <w:pPr>
      <w:spacing w:before="240" w:after="60" w:line="960" w:lineRule="auto"/>
      <w:jc w:val="center"/>
    </w:pPr>
    <w:rPr>
      <w:rFonts w:ascii="Cambria" w:hAnsi="Cambria" w:eastAsia="黑体"/>
      <w:b/>
      <w:bCs/>
      <w:sz w:val="52"/>
      <w:szCs w:val="32"/>
    </w:rPr>
  </w:style>
  <w:style w:type="paragraph" w:styleId="34">
    <w:name w:val="annotation subject"/>
    <w:basedOn w:val="15"/>
    <w:next w:val="15"/>
    <w:link w:val="84"/>
    <w:qFormat/>
    <w:uiPriority w:val="99"/>
    <w:rPr>
      <w:b/>
      <w:bCs/>
      <w:sz w:val="21"/>
    </w:rPr>
  </w:style>
  <w:style w:type="table" w:styleId="36">
    <w:name w:val="Table Grid"/>
    <w:basedOn w:val="35"/>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endnote reference"/>
    <w:qFormat/>
    <w:uiPriority w:val="0"/>
    <w:rPr>
      <w:vertAlign w:val="superscript"/>
    </w:rPr>
  </w:style>
  <w:style w:type="character" w:styleId="39">
    <w:name w:val="page number"/>
    <w:basedOn w:val="37"/>
    <w:qFormat/>
    <w:uiPriority w:val="0"/>
  </w:style>
  <w:style w:type="character" w:styleId="40">
    <w:name w:val="FollowedHyperlink"/>
    <w:unhideWhenUsed/>
    <w:qFormat/>
    <w:uiPriority w:val="99"/>
    <w:rPr>
      <w:color w:val="954F72"/>
      <w:u w:val="single"/>
    </w:rPr>
  </w:style>
  <w:style w:type="character" w:styleId="41">
    <w:name w:val="Hyperlink"/>
    <w:qFormat/>
    <w:uiPriority w:val="99"/>
    <w:rPr>
      <w:color w:val="0000FF"/>
      <w:u w:val="single"/>
    </w:rPr>
  </w:style>
  <w:style w:type="character" w:styleId="42">
    <w:name w:val="annotation reference"/>
    <w:qFormat/>
    <w:uiPriority w:val="99"/>
    <w:rPr>
      <w:sz w:val="21"/>
      <w:szCs w:val="21"/>
    </w:rPr>
  </w:style>
  <w:style w:type="character" w:customStyle="1" w:styleId="43">
    <w:name w:val="标题 3 字符1"/>
    <w:qFormat/>
    <w:uiPriority w:val="0"/>
    <w:rPr>
      <w:rFonts w:ascii="宋体" w:hAnsi="宋体"/>
      <w:b/>
      <w:bCs/>
      <w:kern w:val="2"/>
      <w:sz w:val="28"/>
      <w:szCs w:val="28"/>
    </w:rPr>
  </w:style>
  <w:style w:type="character" w:customStyle="1" w:styleId="44">
    <w:name w:val="首行缩进正文 Char"/>
    <w:link w:val="45"/>
    <w:qFormat/>
    <w:uiPriority w:val="0"/>
    <w:rPr>
      <w:kern w:val="2"/>
      <w:sz w:val="24"/>
    </w:rPr>
  </w:style>
  <w:style w:type="paragraph" w:customStyle="1" w:styleId="45">
    <w:name w:val="首行缩进正文"/>
    <w:basedOn w:val="1"/>
    <w:link w:val="44"/>
    <w:qFormat/>
    <w:uiPriority w:val="0"/>
    <w:pPr>
      <w:widowControl/>
      <w:adjustRightInd w:val="0"/>
      <w:snapToGrid w:val="0"/>
      <w:spacing w:afterLines="50" w:line="276" w:lineRule="auto"/>
      <w:ind w:firstLine="420" w:firstLineChars="0"/>
      <w:jc w:val="left"/>
    </w:pPr>
    <w:rPr>
      <w:rFonts w:ascii="Times New Roman" w:hAnsi="Times New Roman"/>
      <w:szCs w:val="20"/>
    </w:rPr>
  </w:style>
  <w:style w:type="character" w:customStyle="1" w:styleId="46">
    <w:name w:val="批注文字 字符1"/>
    <w:link w:val="15"/>
    <w:qFormat/>
    <w:uiPriority w:val="99"/>
    <w:rPr>
      <w:rFonts w:eastAsia="仿宋"/>
      <w:kern w:val="2"/>
      <w:sz w:val="28"/>
      <w:szCs w:val="24"/>
    </w:rPr>
  </w:style>
  <w:style w:type="character" w:customStyle="1" w:styleId="47">
    <w:name w:val="日期 字符"/>
    <w:semiHidden/>
    <w:qFormat/>
    <w:uiPriority w:val="99"/>
    <w:rPr>
      <w:rFonts w:ascii="宋体" w:hAnsi="宋体"/>
      <w:kern w:val="2"/>
      <w:sz w:val="24"/>
      <w:szCs w:val="24"/>
    </w:rPr>
  </w:style>
  <w:style w:type="character" w:customStyle="1" w:styleId="48">
    <w:name w:val="日期 字符1"/>
    <w:link w:val="22"/>
    <w:qFormat/>
    <w:uiPriority w:val="0"/>
    <w:rPr>
      <w:kern w:val="2"/>
      <w:sz w:val="21"/>
      <w:szCs w:val="24"/>
    </w:rPr>
  </w:style>
  <w:style w:type="character" w:customStyle="1" w:styleId="49">
    <w:name w:val="标题 9 字符"/>
    <w:link w:val="10"/>
    <w:qFormat/>
    <w:uiPriority w:val="0"/>
    <w:rPr>
      <w:rFonts w:ascii="Cambria" w:hAnsi="Cambria"/>
      <w:kern w:val="2"/>
      <w:sz w:val="21"/>
      <w:szCs w:val="21"/>
    </w:rPr>
  </w:style>
  <w:style w:type="character" w:customStyle="1" w:styleId="50">
    <w:name w:val="未处理的提及1"/>
    <w:unhideWhenUsed/>
    <w:qFormat/>
    <w:uiPriority w:val="99"/>
    <w:rPr>
      <w:color w:val="605E5C"/>
      <w:shd w:val="clear" w:color="auto" w:fill="E1DFDD"/>
    </w:rPr>
  </w:style>
  <w:style w:type="character" w:customStyle="1" w:styleId="51">
    <w:name w:val="标题 1 字符"/>
    <w:qFormat/>
    <w:uiPriority w:val="0"/>
    <w:rPr>
      <w:rFonts w:ascii="宋体" w:hAnsi="宋体"/>
      <w:b/>
      <w:bCs/>
      <w:kern w:val="44"/>
      <w:sz w:val="44"/>
      <w:szCs w:val="44"/>
    </w:rPr>
  </w:style>
  <w:style w:type="character" w:customStyle="1" w:styleId="52">
    <w:name w:val="标题 3 字符"/>
    <w:qFormat/>
    <w:uiPriority w:val="0"/>
    <w:rPr>
      <w:rFonts w:ascii="宋体" w:hAnsi="宋体"/>
      <w:b/>
      <w:bCs/>
      <w:kern w:val="2"/>
      <w:sz w:val="32"/>
      <w:szCs w:val="32"/>
    </w:rPr>
  </w:style>
  <w:style w:type="character" w:customStyle="1" w:styleId="53">
    <w:name w:val="页脚 字符"/>
    <w:qFormat/>
    <w:uiPriority w:val="99"/>
  </w:style>
  <w:style w:type="character" w:customStyle="1" w:styleId="54">
    <w:name w:val="标题 5 字符"/>
    <w:qFormat/>
    <w:uiPriority w:val="0"/>
    <w:rPr>
      <w:rFonts w:ascii="宋体" w:hAnsi="宋体"/>
      <w:b/>
      <w:bCs/>
      <w:kern w:val="2"/>
      <w:sz w:val="28"/>
      <w:szCs w:val="28"/>
    </w:rPr>
  </w:style>
  <w:style w:type="character" w:customStyle="1" w:styleId="55">
    <w:name w:val="题注 字符"/>
    <w:link w:val="13"/>
    <w:qFormat/>
    <w:locked/>
    <w:uiPriority w:val="0"/>
    <w:rPr>
      <w:rFonts w:ascii="Arial" w:hAnsi="Arial" w:eastAsia="黑体"/>
      <w:kern w:val="2"/>
    </w:rPr>
  </w:style>
  <w:style w:type="character" w:customStyle="1" w:styleId="56">
    <w:name w:val="标题 2 字符"/>
    <w:qFormat/>
    <w:uiPriority w:val="0"/>
    <w:rPr>
      <w:rFonts w:ascii="等线 Light" w:hAnsi="等线 Light" w:eastAsia="等线 Light" w:cs="Times New Roman"/>
      <w:b/>
      <w:bCs/>
      <w:kern w:val="2"/>
      <w:sz w:val="32"/>
      <w:szCs w:val="32"/>
    </w:rPr>
  </w:style>
  <w:style w:type="character" w:customStyle="1" w:styleId="57">
    <w:name w:val="纯文本 字符"/>
    <w:qFormat/>
    <w:uiPriority w:val="0"/>
    <w:rPr>
      <w:rFonts w:ascii="宋体" w:hAnsi="Courier New" w:cs="Courier New"/>
      <w:kern w:val="2"/>
      <w:sz w:val="21"/>
      <w:szCs w:val="21"/>
    </w:rPr>
  </w:style>
  <w:style w:type="character" w:customStyle="1" w:styleId="58">
    <w:name w:val="列表段落 字符"/>
    <w:qFormat/>
    <w:uiPriority w:val="34"/>
    <w:rPr>
      <w:kern w:val="2"/>
      <w:sz w:val="21"/>
      <w:szCs w:val="22"/>
    </w:rPr>
  </w:style>
  <w:style w:type="character" w:customStyle="1" w:styleId="59">
    <w:name w:val="标题 4 字符1"/>
    <w:link w:val="5"/>
    <w:qFormat/>
    <w:uiPriority w:val="0"/>
    <w:rPr>
      <w:rFonts w:ascii="宋体" w:hAnsi="宋体"/>
      <w:b/>
      <w:bCs/>
      <w:kern w:val="2"/>
      <w:sz w:val="30"/>
      <w:szCs w:val="30"/>
    </w:rPr>
  </w:style>
  <w:style w:type="character" w:customStyle="1" w:styleId="60">
    <w:name w:val="正文文本 字符"/>
    <w:link w:val="16"/>
    <w:qFormat/>
    <w:uiPriority w:val="99"/>
    <w:rPr>
      <w:kern w:val="2"/>
      <w:sz w:val="21"/>
      <w:szCs w:val="24"/>
    </w:rPr>
  </w:style>
  <w:style w:type="character" w:customStyle="1" w:styleId="61">
    <w:name w:val="列表段落 字符1"/>
    <w:link w:val="62"/>
    <w:qFormat/>
    <w:uiPriority w:val="34"/>
    <w:rPr>
      <w:kern w:val="2"/>
      <w:sz w:val="21"/>
      <w:szCs w:val="24"/>
    </w:rPr>
  </w:style>
  <w:style w:type="paragraph" w:styleId="62">
    <w:name w:val="List Paragraph"/>
    <w:basedOn w:val="1"/>
    <w:link w:val="61"/>
    <w:qFormat/>
    <w:uiPriority w:val="34"/>
    <w:pPr>
      <w:ind w:firstLine="420"/>
    </w:pPr>
    <w:rPr>
      <w:rFonts w:ascii="Times New Roman" w:hAnsi="Times New Roman"/>
      <w:sz w:val="21"/>
    </w:rPr>
  </w:style>
  <w:style w:type="character" w:customStyle="1" w:styleId="63">
    <w:name w:val="font21"/>
    <w:qFormat/>
    <w:uiPriority w:val="0"/>
    <w:rPr>
      <w:rFonts w:ascii="Calibri" w:hAnsi="Calibri" w:cs="Calibri"/>
      <w:color w:val="000000"/>
      <w:sz w:val="21"/>
      <w:szCs w:val="21"/>
      <w:u w:val="none"/>
    </w:rPr>
  </w:style>
  <w:style w:type="character" w:customStyle="1" w:styleId="64">
    <w:name w:val="*正文 Char"/>
    <w:link w:val="65"/>
    <w:qFormat/>
    <w:uiPriority w:val="0"/>
    <w:rPr>
      <w:rFonts w:ascii="time" w:hAnsi="time"/>
      <w:sz w:val="24"/>
      <w:szCs w:val="24"/>
      <w:lang w:bidi="en-US"/>
    </w:rPr>
  </w:style>
  <w:style w:type="paragraph" w:customStyle="1" w:styleId="65">
    <w:name w:val="*正文"/>
    <w:basedOn w:val="1"/>
    <w:link w:val="64"/>
    <w:qFormat/>
    <w:uiPriority w:val="0"/>
    <w:pPr>
      <w:widowControl/>
      <w:ind w:firstLine="200"/>
      <w:contextualSpacing/>
    </w:pPr>
    <w:rPr>
      <w:rFonts w:ascii="time" w:hAnsi="time"/>
      <w:kern w:val="0"/>
      <w:lang w:bidi="en-US"/>
    </w:rPr>
  </w:style>
  <w:style w:type="character" w:customStyle="1" w:styleId="66">
    <w:name w:val="正文文本缩进 字符"/>
    <w:semiHidden/>
    <w:qFormat/>
    <w:uiPriority w:val="99"/>
    <w:rPr>
      <w:rFonts w:ascii="宋体" w:hAnsi="宋体"/>
      <w:kern w:val="2"/>
      <w:sz w:val="24"/>
      <w:szCs w:val="24"/>
    </w:rPr>
  </w:style>
  <w:style w:type="character" w:customStyle="1" w:styleId="67">
    <w:name w:val="纯文本 字符1"/>
    <w:link w:val="20"/>
    <w:qFormat/>
    <w:locked/>
    <w:uiPriority w:val="0"/>
    <w:rPr>
      <w:rFonts w:ascii="宋体" w:hAnsi="Courier New"/>
      <w:kern w:val="2"/>
      <w:sz w:val="21"/>
    </w:rPr>
  </w:style>
  <w:style w:type="character" w:customStyle="1" w:styleId="68">
    <w:name w:val="my正文 Char"/>
    <w:link w:val="69"/>
    <w:qFormat/>
    <w:uiPriority w:val="0"/>
    <w:rPr>
      <w:kern w:val="2"/>
      <w:sz w:val="21"/>
      <w:szCs w:val="24"/>
    </w:rPr>
  </w:style>
  <w:style w:type="paragraph" w:customStyle="1" w:styleId="69">
    <w:name w:val="my正文"/>
    <w:basedOn w:val="1"/>
    <w:link w:val="68"/>
    <w:qFormat/>
    <w:uiPriority w:val="0"/>
    <w:pPr>
      <w:spacing w:line="240" w:lineRule="auto"/>
      <w:ind w:firstLine="0" w:firstLineChars="0"/>
    </w:pPr>
    <w:rPr>
      <w:rFonts w:ascii="Times New Roman" w:hAnsi="Times New Roman"/>
      <w:sz w:val="21"/>
    </w:rPr>
  </w:style>
  <w:style w:type="character" w:customStyle="1" w:styleId="70">
    <w:name w:val="正文2 字符"/>
    <w:link w:val="71"/>
    <w:qFormat/>
    <w:uiPriority w:val="0"/>
    <w:rPr>
      <w:kern w:val="2"/>
      <w:sz w:val="21"/>
      <w:szCs w:val="24"/>
    </w:rPr>
  </w:style>
  <w:style w:type="paragraph" w:customStyle="1" w:styleId="71">
    <w:name w:val="正文2"/>
    <w:basedOn w:val="1"/>
    <w:link w:val="70"/>
    <w:qFormat/>
    <w:uiPriority w:val="0"/>
    <w:pPr>
      <w:ind w:firstLine="420"/>
    </w:pPr>
    <w:rPr>
      <w:rFonts w:ascii="Times New Roman" w:hAnsi="Times New Roman"/>
      <w:sz w:val="21"/>
    </w:rPr>
  </w:style>
  <w:style w:type="character" w:customStyle="1" w:styleId="72">
    <w:name w:val="font41"/>
    <w:qFormat/>
    <w:uiPriority w:val="0"/>
    <w:rPr>
      <w:rFonts w:hint="eastAsia" w:ascii="宋体" w:hAnsi="宋体" w:eastAsia="宋体" w:cs="宋体"/>
      <w:color w:val="000000"/>
      <w:sz w:val="21"/>
      <w:szCs w:val="21"/>
      <w:u w:val="none"/>
    </w:rPr>
  </w:style>
  <w:style w:type="character" w:customStyle="1" w:styleId="73">
    <w:name w:val="标题 7 字符"/>
    <w:link w:val="8"/>
    <w:qFormat/>
    <w:uiPriority w:val="0"/>
    <w:rPr>
      <w:b/>
      <w:bCs/>
      <w:kern w:val="2"/>
      <w:sz w:val="21"/>
      <w:szCs w:val="24"/>
    </w:rPr>
  </w:style>
  <w:style w:type="character" w:customStyle="1" w:styleId="74">
    <w:name w:val="批注框文本 字符"/>
    <w:semiHidden/>
    <w:qFormat/>
    <w:uiPriority w:val="99"/>
    <w:rPr>
      <w:rFonts w:ascii="宋体" w:hAnsi="宋体"/>
      <w:kern w:val="2"/>
      <w:sz w:val="18"/>
      <w:szCs w:val="18"/>
    </w:rPr>
  </w:style>
  <w:style w:type="character" w:customStyle="1" w:styleId="75">
    <w:name w:val="副标题 Char1"/>
    <w:qFormat/>
    <w:uiPriority w:val="0"/>
    <w:rPr>
      <w:rFonts w:ascii="Calibri Light" w:hAnsi="Calibri Light" w:cs="Times New Roman"/>
      <w:b/>
      <w:bCs/>
      <w:kern w:val="28"/>
      <w:sz w:val="32"/>
      <w:szCs w:val="32"/>
    </w:rPr>
  </w:style>
  <w:style w:type="character" w:customStyle="1" w:styleId="76">
    <w:name w:val="标题 1 字符1"/>
    <w:link w:val="2"/>
    <w:qFormat/>
    <w:uiPriority w:val="0"/>
    <w:rPr>
      <w:rFonts w:ascii="宋体" w:hAnsi="宋体" w:eastAsia="黑体"/>
      <w:b/>
      <w:bCs/>
      <w:kern w:val="44"/>
      <w:sz w:val="32"/>
      <w:szCs w:val="28"/>
    </w:rPr>
  </w:style>
  <w:style w:type="character" w:customStyle="1" w:styleId="77">
    <w:name w:val="批注文字 字符"/>
    <w:qFormat/>
    <w:uiPriority w:val="99"/>
    <w:rPr>
      <w:rFonts w:ascii="宋体" w:hAnsi="宋体"/>
      <w:kern w:val="2"/>
      <w:sz w:val="24"/>
      <w:szCs w:val="24"/>
    </w:rPr>
  </w:style>
  <w:style w:type="character" w:customStyle="1" w:styleId="78">
    <w:name w:val="文档结构图 字符"/>
    <w:semiHidden/>
    <w:qFormat/>
    <w:uiPriority w:val="99"/>
    <w:rPr>
      <w:rFonts w:ascii="Microsoft YaHei UI" w:hAnsi="宋体" w:eastAsia="Microsoft YaHei UI"/>
      <w:kern w:val="2"/>
      <w:sz w:val="18"/>
      <w:szCs w:val="18"/>
    </w:rPr>
  </w:style>
  <w:style w:type="character" w:customStyle="1" w:styleId="79">
    <w:name w:val="标题 6 字符"/>
    <w:qFormat/>
    <w:uiPriority w:val="0"/>
    <w:rPr>
      <w:rFonts w:ascii="等线 Light" w:hAnsi="等线 Light" w:eastAsia="等线 Light" w:cs="Times New Roman"/>
      <w:b/>
      <w:bCs/>
      <w:kern w:val="2"/>
      <w:sz w:val="24"/>
      <w:szCs w:val="24"/>
    </w:rPr>
  </w:style>
  <w:style w:type="character" w:customStyle="1" w:styleId="80">
    <w:name w:val="正文正文2 Char"/>
    <w:link w:val="81"/>
    <w:qFormat/>
    <w:uiPriority w:val="0"/>
    <w:rPr>
      <w:rFonts w:ascii="宋体" w:hAnsi="宋体"/>
      <w:kern w:val="2"/>
      <w:sz w:val="21"/>
      <w:szCs w:val="21"/>
    </w:rPr>
  </w:style>
  <w:style w:type="paragraph" w:customStyle="1" w:styleId="81">
    <w:name w:val="正文正文2"/>
    <w:basedOn w:val="1"/>
    <w:link w:val="80"/>
    <w:qFormat/>
    <w:uiPriority w:val="0"/>
    <w:pPr>
      <w:ind w:firstLine="460"/>
    </w:pPr>
    <w:rPr>
      <w:sz w:val="21"/>
      <w:szCs w:val="21"/>
    </w:rPr>
  </w:style>
  <w:style w:type="character" w:customStyle="1" w:styleId="82">
    <w:name w:val="标题 3 字符2"/>
    <w:link w:val="4"/>
    <w:qFormat/>
    <w:uiPriority w:val="0"/>
    <w:rPr>
      <w:rFonts w:ascii="宋体" w:hAnsi="宋体"/>
      <w:b/>
      <w:bCs/>
      <w:kern w:val="2"/>
      <w:sz w:val="28"/>
      <w:szCs w:val="28"/>
    </w:rPr>
  </w:style>
  <w:style w:type="character" w:customStyle="1" w:styleId="83">
    <w:name w:val="标题 4 字符"/>
    <w:qFormat/>
    <w:uiPriority w:val="0"/>
    <w:rPr>
      <w:rFonts w:ascii="等线 Light" w:hAnsi="等线 Light" w:eastAsia="等线 Light" w:cs="Times New Roman"/>
      <w:b/>
      <w:bCs/>
      <w:kern w:val="2"/>
      <w:sz w:val="28"/>
      <w:szCs w:val="28"/>
    </w:rPr>
  </w:style>
  <w:style w:type="character" w:customStyle="1" w:styleId="84">
    <w:name w:val="批注主题 字符1"/>
    <w:link w:val="34"/>
    <w:qFormat/>
    <w:uiPriority w:val="0"/>
    <w:rPr>
      <w:rFonts w:eastAsia="仿宋"/>
      <w:b/>
      <w:bCs/>
      <w:kern w:val="2"/>
      <w:sz w:val="21"/>
      <w:szCs w:val="24"/>
    </w:rPr>
  </w:style>
  <w:style w:type="character" w:customStyle="1" w:styleId="85">
    <w:name w:val="页眉 字符"/>
    <w:qFormat/>
    <w:uiPriority w:val="99"/>
    <w:rPr>
      <w:rFonts w:ascii="宋体" w:hAnsi="宋体"/>
      <w:kern w:val="2"/>
      <w:sz w:val="18"/>
      <w:szCs w:val="18"/>
    </w:rPr>
  </w:style>
  <w:style w:type="character" w:customStyle="1" w:styleId="86">
    <w:name w:val="正文文本缩进 字符1"/>
    <w:link w:val="17"/>
    <w:qFormat/>
    <w:uiPriority w:val="0"/>
    <w:rPr>
      <w:kern w:val="2"/>
      <w:sz w:val="21"/>
    </w:rPr>
  </w:style>
  <w:style w:type="character" w:customStyle="1" w:styleId="87">
    <w:name w:val="标题 5 字符1"/>
    <w:link w:val="6"/>
    <w:qFormat/>
    <w:uiPriority w:val="0"/>
    <w:rPr>
      <w:rFonts w:ascii="宋体" w:hAnsi="宋体"/>
      <w:b/>
      <w:bCs/>
      <w:kern w:val="2"/>
      <w:sz w:val="24"/>
      <w:szCs w:val="28"/>
    </w:rPr>
  </w:style>
  <w:style w:type="character" w:customStyle="1" w:styleId="88">
    <w:name w:val="副标题 字符1"/>
    <w:link w:val="28"/>
    <w:qFormat/>
    <w:uiPriority w:val="0"/>
    <w:rPr>
      <w:rFonts w:ascii="Calibri Light" w:hAnsi="Calibri Light"/>
      <w:b/>
      <w:bCs/>
      <w:kern w:val="28"/>
      <w:sz w:val="32"/>
      <w:szCs w:val="32"/>
    </w:rPr>
  </w:style>
  <w:style w:type="character" w:customStyle="1" w:styleId="89">
    <w:name w:val="标题 2 字符1"/>
    <w:link w:val="3"/>
    <w:qFormat/>
    <w:uiPriority w:val="9"/>
    <w:rPr>
      <w:rFonts w:ascii="宋体" w:hAnsi="宋体"/>
      <w:b/>
      <w:bCs/>
      <w:kern w:val="2"/>
      <w:sz w:val="30"/>
      <w:szCs w:val="32"/>
    </w:rPr>
  </w:style>
  <w:style w:type="character" w:customStyle="1" w:styleId="90">
    <w:name w:val="页脚 字符1"/>
    <w:link w:val="24"/>
    <w:qFormat/>
    <w:uiPriority w:val="99"/>
    <w:rPr>
      <w:kern w:val="2"/>
      <w:sz w:val="18"/>
      <w:szCs w:val="18"/>
    </w:rPr>
  </w:style>
  <w:style w:type="character" w:customStyle="1" w:styleId="91">
    <w:name w:val="批注主题 字符"/>
    <w:semiHidden/>
    <w:qFormat/>
    <w:uiPriority w:val="99"/>
    <w:rPr>
      <w:rFonts w:ascii="宋体" w:hAnsi="宋体"/>
      <w:b/>
      <w:bCs/>
      <w:kern w:val="2"/>
      <w:sz w:val="24"/>
      <w:szCs w:val="24"/>
    </w:rPr>
  </w:style>
  <w:style w:type="character" w:customStyle="1" w:styleId="92">
    <w:name w:val="文档结构图 字符1"/>
    <w:link w:val="14"/>
    <w:qFormat/>
    <w:uiPriority w:val="0"/>
    <w:rPr>
      <w:rFonts w:ascii="宋体"/>
      <w:kern w:val="2"/>
      <w:sz w:val="18"/>
      <w:szCs w:val="18"/>
    </w:rPr>
  </w:style>
  <w:style w:type="character" w:customStyle="1" w:styleId="93">
    <w:name w:val="font31"/>
    <w:qFormat/>
    <w:uiPriority w:val="0"/>
    <w:rPr>
      <w:rFonts w:hint="eastAsia" w:ascii="宋体" w:hAnsi="宋体" w:eastAsia="宋体" w:cs="宋体"/>
      <w:color w:val="000000"/>
      <w:sz w:val="21"/>
      <w:szCs w:val="21"/>
      <w:u w:val="none"/>
    </w:rPr>
  </w:style>
  <w:style w:type="character" w:customStyle="1" w:styleId="94">
    <w:name w:val="标准正文 Char"/>
    <w:link w:val="95"/>
    <w:qFormat/>
    <w:uiPriority w:val="0"/>
    <w:rPr>
      <w:rFonts w:ascii="Arial" w:hAnsi="Arial"/>
      <w:kern w:val="2"/>
      <w:sz w:val="24"/>
    </w:rPr>
  </w:style>
  <w:style w:type="paragraph" w:customStyle="1" w:styleId="95">
    <w:name w:val="标准正文"/>
    <w:basedOn w:val="17"/>
    <w:link w:val="94"/>
    <w:qFormat/>
    <w:uiPriority w:val="0"/>
    <w:pPr>
      <w:spacing w:before="60" w:after="60"/>
      <w:ind w:firstLine="482" w:firstLineChars="0"/>
    </w:pPr>
    <w:rPr>
      <w:rFonts w:ascii="Arial" w:hAnsi="Arial"/>
      <w:sz w:val="24"/>
    </w:rPr>
  </w:style>
  <w:style w:type="character" w:customStyle="1" w:styleId="96">
    <w:name w:val="标题 字符1"/>
    <w:link w:val="33"/>
    <w:qFormat/>
    <w:uiPriority w:val="0"/>
    <w:rPr>
      <w:rFonts w:ascii="Cambria" w:hAnsi="Cambria" w:eastAsia="黑体"/>
      <w:b/>
      <w:bCs/>
      <w:kern w:val="2"/>
      <w:sz w:val="52"/>
      <w:szCs w:val="32"/>
    </w:rPr>
  </w:style>
  <w:style w:type="character" w:customStyle="1" w:styleId="97">
    <w:name w:val="批注框文本 字符1"/>
    <w:link w:val="23"/>
    <w:qFormat/>
    <w:uiPriority w:val="0"/>
    <w:rPr>
      <w:kern w:val="2"/>
      <w:sz w:val="18"/>
      <w:szCs w:val="18"/>
    </w:rPr>
  </w:style>
  <w:style w:type="character" w:customStyle="1" w:styleId="98">
    <w:name w:val="页眉 字符1"/>
    <w:link w:val="25"/>
    <w:qFormat/>
    <w:uiPriority w:val="99"/>
    <w:rPr>
      <w:kern w:val="2"/>
      <w:sz w:val="18"/>
      <w:szCs w:val="18"/>
    </w:rPr>
  </w:style>
  <w:style w:type="character" w:customStyle="1" w:styleId="99">
    <w:name w:val="标题 8 字符"/>
    <w:link w:val="9"/>
    <w:qFormat/>
    <w:uiPriority w:val="0"/>
    <w:rPr>
      <w:rFonts w:ascii="Cambria" w:hAnsi="Cambria"/>
      <w:kern w:val="2"/>
      <w:sz w:val="21"/>
      <w:szCs w:val="24"/>
    </w:rPr>
  </w:style>
  <w:style w:type="character" w:customStyle="1" w:styleId="100">
    <w:name w:val="标题 6 字符1"/>
    <w:link w:val="7"/>
    <w:qFormat/>
    <w:uiPriority w:val="0"/>
    <w:rPr>
      <w:rFonts w:ascii="Cambria" w:hAnsi="Cambria"/>
      <w:b/>
      <w:bCs/>
      <w:kern w:val="2"/>
      <w:sz w:val="24"/>
      <w:szCs w:val="24"/>
    </w:rPr>
  </w:style>
  <w:style w:type="character" w:customStyle="1" w:styleId="101">
    <w:name w:val="标题 字符"/>
    <w:qFormat/>
    <w:uiPriority w:val="10"/>
    <w:rPr>
      <w:rFonts w:ascii="等线 Light" w:hAnsi="等线 Light" w:eastAsia="等线 Light" w:cs="Times New Roman"/>
      <w:b/>
      <w:bCs/>
      <w:kern w:val="2"/>
      <w:sz w:val="32"/>
      <w:szCs w:val="32"/>
    </w:rPr>
  </w:style>
  <w:style w:type="character" w:customStyle="1" w:styleId="102">
    <w:name w:val="副标题 字符"/>
    <w:qFormat/>
    <w:uiPriority w:val="11"/>
    <w:rPr>
      <w:rFonts w:ascii="等线" w:hAnsi="等线" w:eastAsia="等线" w:cs="Times New Roman"/>
      <w:b/>
      <w:bCs/>
      <w:kern w:val="28"/>
      <w:sz w:val="32"/>
      <w:szCs w:val="32"/>
    </w:rPr>
  </w:style>
  <w:style w:type="paragraph" w:customStyle="1" w:styleId="103">
    <w:name w:val="xl72"/>
    <w:basedOn w:val="1"/>
    <w:qFormat/>
    <w:uiPriority w:val="0"/>
    <w:pPr>
      <w:widowControl/>
      <w:spacing w:before="100" w:beforeAutospacing="1" w:after="100" w:afterAutospacing="1" w:line="240" w:lineRule="auto"/>
      <w:ind w:firstLine="0" w:firstLineChars="0"/>
      <w:jc w:val="center"/>
    </w:pPr>
    <w:rPr>
      <w:rFonts w:cs="宋体"/>
      <w:kern w:val="0"/>
    </w:rPr>
  </w:style>
  <w:style w:type="paragraph" w:customStyle="1" w:styleId="104">
    <w:name w:val="正文（深信服）"/>
    <w:qFormat/>
    <w:uiPriority w:val="0"/>
    <w:pPr>
      <w:spacing w:line="360" w:lineRule="auto"/>
      <w:ind w:firstLine="420"/>
    </w:pPr>
    <w:rPr>
      <w:rFonts w:ascii="Arial" w:hAnsi="Arial" w:eastAsia="宋体" w:cs="Times New Roman"/>
      <w:sz w:val="24"/>
      <w:szCs w:val="21"/>
      <w:shd w:val="clear" w:color="auto" w:fill="FFFFFF"/>
      <w:lang w:val="en-US" w:eastAsia="zh-CN" w:bidi="ar-SA"/>
    </w:rPr>
  </w:style>
  <w:style w:type="paragraph" w:customStyle="1" w:styleId="105">
    <w:name w:val="xl70"/>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06">
    <w:name w:val="_Style 2"/>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paragraph" w:customStyle="1" w:styleId="107">
    <w:name w:val="正文缩进1"/>
    <w:basedOn w:val="1"/>
    <w:qFormat/>
    <w:uiPriority w:val="0"/>
    <w:pPr>
      <w:spacing w:line="240" w:lineRule="auto"/>
      <w:ind w:firstLine="420"/>
    </w:pPr>
    <w:rPr>
      <w:rFonts w:ascii="Times New Roman" w:hAnsi="Times New Roman"/>
      <w:sz w:val="21"/>
      <w:szCs w:val="20"/>
    </w:rPr>
  </w:style>
  <w:style w:type="paragraph" w:customStyle="1" w:styleId="108">
    <w:name w:val="xl6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09">
    <w:name w:val="前言、引言标题"/>
    <w:next w:val="1"/>
    <w:qFormat/>
    <w:uiPriority w:val="99"/>
    <w:pPr>
      <w:shd w:val="clear" w:color="FFFFFF" w:fill="FFFFFF"/>
      <w:tabs>
        <w:tab w:val="left" w:pos="425"/>
      </w:tabs>
      <w:spacing w:before="640" w:after="560"/>
      <w:jc w:val="center"/>
      <w:outlineLvl w:val="0"/>
    </w:pPr>
    <w:rPr>
      <w:rFonts w:ascii="黑体" w:hAnsi="Times New Roman" w:eastAsia="黑体" w:cs="Times New Roman"/>
      <w:sz w:val="32"/>
      <w:lang w:val="en-US" w:eastAsia="zh-CN" w:bidi="ar-SA"/>
    </w:rPr>
  </w:style>
  <w:style w:type="paragraph" w:customStyle="1" w:styleId="110">
    <w:name w:val="Indent Normal"/>
    <w:basedOn w:val="1"/>
    <w:qFormat/>
    <w:uiPriority w:val="0"/>
    <w:pPr>
      <w:ind w:firstLine="150" w:firstLineChars="150"/>
    </w:pPr>
  </w:style>
  <w:style w:type="paragraph" w:customStyle="1" w:styleId="111">
    <w:name w:val="msonormal"/>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112">
    <w:name w:val="正文 缩进2字符"/>
    <w:basedOn w:val="1"/>
    <w:qFormat/>
    <w:uiPriority w:val="0"/>
    <w:pPr>
      <w:spacing w:afterLines="50" w:line="240" w:lineRule="auto"/>
      <w:ind w:firstLine="0" w:firstLineChars="0"/>
    </w:pPr>
    <w:rPr>
      <w:rFonts w:ascii="Times New Roman" w:hAnsi="Times New Roman" w:cs="宋体"/>
      <w:sz w:val="21"/>
      <w:szCs w:val="20"/>
    </w:rPr>
  </w:style>
  <w:style w:type="paragraph" w:customStyle="1" w:styleId="113">
    <w:name w:val="列项●（二级）"/>
    <w:qFormat/>
    <w:uiPriority w:val="0"/>
    <w:pPr>
      <w:numPr>
        <w:ilvl w:val="0"/>
        <w:numId w:val="2"/>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14">
    <w:name w:val="助手文本"/>
    <w:basedOn w:val="1"/>
    <w:qFormat/>
    <w:uiPriority w:val="0"/>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115">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16">
    <w:name w:val="段"/>
    <w:qFormat/>
    <w:uiPriority w:val="0"/>
    <w:pPr>
      <w:autoSpaceDE w:val="0"/>
      <w:autoSpaceDN w:val="0"/>
      <w:ind w:firstLine="200" w:firstLineChars="200"/>
      <w:jc w:val="both"/>
    </w:pPr>
    <w:rPr>
      <w:rFonts w:ascii="宋体" w:hAnsi="Times New Roman" w:eastAsia="宋体" w:cs="Calibri"/>
      <w:sz w:val="21"/>
      <w:lang w:val="en-US" w:eastAsia="zh-CN" w:bidi="ar-SA"/>
    </w:rPr>
  </w:style>
  <w:style w:type="paragraph" w:customStyle="1" w:styleId="11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cs="宋体"/>
      <w:kern w:val="0"/>
    </w:rPr>
  </w:style>
  <w:style w:type="paragraph" w:customStyle="1" w:styleId="118">
    <w:name w:val="Char Char Char Char Char Char1 Char"/>
    <w:basedOn w:val="1"/>
    <w:qFormat/>
    <w:uiPriority w:val="0"/>
    <w:pPr>
      <w:widowControl/>
      <w:spacing w:after="160" w:line="240" w:lineRule="exact"/>
      <w:jc w:val="left"/>
    </w:pPr>
  </w:style>
  <w:style w:type="paragraph" w:customStyle="1" w:styleId="119">
    <w:name w:val="PM_Body"/>
    <w:basedOn w:val="1"/>
    <w:qFormat/>
    <w:locked/>
    <w:uiPriority w:val="0"/>
    <w:rPr>
      <w:szCs w:val="21"/>
    </w:rPr>
  </w:style>
  <w:style w:type="paragraph" w:customStyle="1" w:styleId="120">
    <w:name w:val="Char Char1"/>
    <w:basedOn w:val="1"/>
    <w:qFormat/>
    <w:uiPriority w:val="0"/>
    <w:pPr>
      <w:widowControl/>
      <w:spacing w:before="120" w:after="120"/>
    </w:pPr>
    <w:rPr>
      <w:rFonts w:ascii="Times New Roman" w:hAnsi="Times New Roman" w:cs="宋体"/>
    </w:rPr>
  </w:style>
  <w:style w:type="paragraph" w:customStyle="1" w:styleId="121">
    <w:name w:val="xl71"/>
    <w:basedOn w:val="1"/>
    <w:qFormat/>
    <w:uiPriority w:val="0"/>
    <w:pPr>
      <w:widowControl/>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22">
    <w:name w:val="修订1"/>
    <w:unhideWhenUsed/>
    <w:qFormat/>
    <w:uiPriority w:val="99"/>
    <w:rPr>
      <w:rFonts w:ascii="宋体" w:hAnsi="宋体" w:eastAsia="宋体" w:cs="Times New Roman"/>
      <w:kern w:val="2"/>
      <w:sz w:val="24"/>
      <w:szCs w:val="24"/>
      <w:lang w:val="en-US" w:eastAsia="zh-CN" w:bidi="ar-SA"/>
    </w:rPr>
  </w:style>
  <w:style w:type="paragraph" w:customStyle="1" w:styleId="123">
    <w:name w:val="列出段落2"/>
    <w:basedOn w:val="1"/>
    <w:qFormat/>
    <w:uiPriority w:val="0"/>
    <w:pPr>
      <w:spacing w:line="240" w:lineRule="auto"/>
      <w:ind w:firstLine="420"/>
    </w:pPr>
    <w:rPr>
      <w:rFonts w:ascii="等线" w:hAnsi="等线" w:eastAsia="等线" w:cs="等线"/>
      <w:sz w:val="21"/>
      <w:szCs w:val="21"/>
    </w:rPr>
  </w:style>
  <w:style w:type="paragraph" w:customStyle="1" w:styleId="124">
    <w:name w:val="xl69"/>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kern w:val="0"/>
      <w:sz w:val="18"/>
      <w:szCs w:val="18"/>
    </w:rPr>
  </w:style>
  <w:style w:type="paragraph" w:customStyle="1" w:styleId="125">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26">
    <w:name w:val="文档正文文本（中安网脉）"/>
    <w:basedOn w:val="1"/>
    <w:qFormat/>
    <w:uiPriority w:val="0"/>
    <w:pPr>
      <w:ind w:firstLine="200"/>
    </w:pPr>
    <w:rPr>
      <w:rFonts w:ascii="Times New Roman" w:hAnsi="Times New Roman" w:eastAsia="仿宋_GB2312"/>
      <w:color w:val="000000"/>
      <w:szCs w:val="28"/>
    </w:rPr>
  </w:style>
  <w:style w:type="paragraph" w:customStyle="1" w:styleId="127">
    <w:name w:val="xl6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28">
    <w:name w:val="正文样式"/>
    <w:unhideWhenUsed/>
    <w:qFormat/>
    <w:uiPriority w:val="0"/>
    <w:pPr>
      <w:widowControl w:val="0"/>
      <w:adjustRightInd w:val="0"/>
      <w:snapToGrid w:val="0"/>
      <w:spacing w:line="360" w:lineRule="auto"/>
      <w:ind w:firstLine="200" w:firstLineChars="200"/>
      <w:jc w:val="both"/>
    </w:pPr>
    <w:rPr>
      <w:rFonts w:ascii="Times New Roman" w:hAnsi="Times New Roman" w:eastAsia="宋体" w:cs="Times New Roman"/>
      <w:bCs/>
      <w:snapToGrid w:val="0"/>
      <w:sz w:val="24"/>
      <w:szCs w:val="44"/>
      <w:lang w:val="en-US" w:eastAsia="zh-CN" w:bidi="ar-SA"/>
    </w:rPr>
  </w:style>
  <w:style w:type="paragraph" w:customStyle="1" w:styleId="129">
    <w:name w:val="样式 行距: 1.5 倍行距 首行缩进:  2 字符"/>
    <w:basedOn w:val="1"/>
    <w:qFormat/>
    <w:uiPriority w:val="0"/>
    <w:pPr>
      <w:ind w:firstLine="560"/>
      <w:jc w:val="left"/>
    </w:pPr>
    <w:rPr>
      <w:rFonts w:ascii="仿宋" w:hAnsi="仿宋" w:eastAsia="仿宋" w:cs="宋体"/>
      <w:sz w:val="28"/>
      <w:szCs w:val="20"/>
    </w:rPr>
  </w:style>
  <w:style w:type="paragraph" w:customStyle="1" w:styleId="130">
    <w:name w:val="TOC 标题1"/>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table" w:customStyle="1" w:styleId="131">
    <w:name w:val="!我的表格1"/>
    <w:basedOn w:val="3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
    <w:name w:val="网格型1"/>
    <w:basedOn w:val="35"/>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3">
    <w:name w:val="标题 1 Char"/>
    <w:qFormat/>
    <w:uiPriority w:val="0"/>
    <w:rPr>
      <w:rFonts w:ascii="宋体" w:hAnsi="宋体" w:eastAsia="黑体"/>
      <w:b/>
      <w:bCs/>
      <w:kern w:val="44"/>
      <w:sz w:val="32"/>
      <w:szCs w:val="28"/>
    </w:rPr>
  </w:style>
  <w:style w:type="character" w:customStyle="1" w:styleId="134">
    <w:name w:val="纯文本 Char2"/>
    <w:qFormat/>
    <w:uiPriority w:val="0"/>
    <w:rPr>
      <w:rFonts w:ascii="宋体" w:hAnsi="宋体" w:eastAsia="宋体" w:cs="Times New Roman"/>
      <w:color w:val="000000"/>
      <w:kern w:val="0"/>
      <w:sz w:val="24"/>
      <w:szCs w:val="24"/>
    </w:rPr>
  </w:style>
  <w:style w:type="paragraph" w:customStyle="1" w:styleId="135">
    <w:name w:val="可研正文"/>
    <w:basedOn w:val="1"/>
    <w:link w:val="136"/>
    <w:qFormat/>
    <w:uiPriority w:val="0"/>
    <w:pPr>
      <w:ind w:firstLine="200"/>
    </w:pPr>
    <w:rPr>
      <w:rFonts w:ascii="仿宋" w:hAnsi="仿宋" w:eastAsia="仿宋" w:cstheme="minorBidi"/>
      <w:sz w:val="28"/>
      <w:szCs w:val="28"/>
    </w:rPr>
  </w:style>
  <w:style w:type="character" w:customStyle="1" w:styleId="136">
    <w:name w:val="可研正文 Char"/>
    <w:link w:val="135"/>
    <w:qFormat/>
    <w:uiPriority w:val="0"/>
    <w:rPr>
      <w:rFonts w:ascii="仿宋" w:hAnsi="仿宋" w:eastAsia="仿宋" w:cstheme="minorBidi"/>
      <w:kern w:val="2"/>
      <w:sz w:val="28"/>
      <w:szCs w:val="28"/>
    </w:rPr>
  </w:style>
  <w:style w:type="paragraph" w:customStyle="1" w:styleId="137">
    <w:name w:val="可研标题"/>
    <w:basedOn w:val="33"/>
    <w:link w:val="138"/>
    <w:qFormat/>
    <w:uiPriority w:val="0"/>
    <w:pPr>
      <w:spacing w:line="360" w:lineRule="auto"/>
      <w:ind w:firstLine="0" w:firstLineChars="0"/>
      <w:outlineLvl w:val="0"/>
    </w:pPr>
    <w:rPr>
      <w:rFonts w:ascii="微软雅黑" w:hAnsi="微软雅黑" w:eastAsia="微软雅黑" w:cstheme="majorBidi"/>
      <w:b w:val="0"/>
      <w:szCs w:val="52"/>
    </w:rPr>
  </w:style>
  <w:style w:type="character" w:customStyle="1" w:styleId="138">
    <w:name w:val="可研标题 Char"/>
    <w:basedOn w:val="101"/>
    <w:link w:val="137"/>
    <w:qFormat/>
    <w:uiPriority w:val="0"/>
    <w:rPr>
      <w:rFonts w:ascii="微软雅黑" w:hAnsi="微软雅黑" w:eastAsia="微软雅黑" w:cstheme="majorBidi"/>
      <w:b w:val="0"/>
      <w:kern w:val="2"/>
      <w:sz w:val="52"/>
      <w:szCs w:val="52"/>
    </w:rPr>
  </w:style>
  <w:style w:type="paragraph" w:customStyle="1" w:styleId="139">
    <w:name w:val="TOC 标题11"/>
    <w:basedOn w:val="2"/>
    <w:next w:val="1"/>
    <w:unhideWhenUsed/>
    <w:qFormat/>
    <w:uiPriority w:val="39"/>
    <w:pPr>
      <w:pageBreakBefore/>
      <w:widowControl/>
      <w:numPr>
        <w:numId w:val="0"/>
      </w:numPr>
      <w:spacing w:before="240" w:after="0" w:line="259" w:lineRule="auto"/>
      <w:jc w:val="center"/>
      <w:outlineLvl w:val="9"/>
    </w:pPr>
    <w:rPr>
      <w:rFonts w:asciiTheme="majorHAnsi" w:hAnsiTheme="majorHAnsi" w:eastAsiaTheme="majorEastAsia" w:cstheme="majorBidi"/>
      <w:b w:val="0"/>
      <w:bCs w:val="0"/>
      <w:color w:val="376092" w:themeColor="accent1" w:themeShade="BF"/>
      <w:kern w:val="0"/>
      <w:szCs w:val="32"/>
      <w:lang w:val="zh-CN"/>
    </w:rPr>
  </w:style>
  <w:style w:type="paragraph" w:customStyle="1" w:styleId="140">
    <w:name w:val="图表题注"/>
    <w:basedOn w:val="13"/>
    <w:next w:val="1"/>
    <w:qFormat/>
    <w:uiPriority w:val="0"/>
    <w:pPr>
      <w:spacing w:afterLines="0" w:line="240" w:lineRule="auto"/>
      <w:ind w:firstLine="0" w:firstLineChars="0"/>
      <w:jc w:val="center"/>
    </w:pPr>
    <w:rPr>
      <w:rFonts w:ascii="仿宋" w:hAnsi="仿宋" w:eastAsia="仿宋" w:cstheme="majorBidi"/>
      <w:sz w:val="28"/>
      <w:szCs w:val="28"/>
    </w:rPr>
  </w:style>
  <w:style w:type="paragraph" w:customStyle="1" w:styleId="141">
    <w:name w:val="N-4"/>
    <w:basedOn w:val="5"/>
    <w:qFormat/>
    <w:uiPriority w:val="0"/>
    <w:pPr>
      <w:numPr>
        <w:numId w:val="3"/>
      </w:numPr>
      <w:tabs>
        <w:tab w:val="left" w:pos="2160"/>
      </w:tabs>
      <w:spacing w:before="160" w:after="160" w:line="240" w:lineRule="auto"/>
    </w:pPr>
    <w:rPr>
      <w:rFonts w:ascii="Arial" w:hAnsi="Arial" w:eastAsia="黑体"/>
      <w:b w:val="0"/>
      <w:sz w:val="21"/>
      <w:szCs w:val="20"/>
    </w:rPr>
  </w:style>
  <w:style w:type="character" w:customStyle="1" w:styleId="142">
    <w:name w:val="样式2 Char"/>
    <w:link w:val="143"/>
    <w:qFormat/>
    <w:uiPriority w:val="0"/>
    <w:rPr>
      <w:rFonts w:ascii="宋体" w:hAnsi="宋体"/>
      <w:sz w:val="24"/>
      <w:szCs w:val="24"/>
      <w:lang w:eastAsia="en-US"/>
    </w:rPr>
  </w:style>
  <w:style w:type="paragraph" w:customStyle="1" w:styleId="143">
    <w:name w:val="样式2"/>
    <w:basedOn w:val="1"/>
    <w:link w:val="142"/>
    <w:qFormat/>
    <w:uiPriority w:val="0"/>
    <w:pPr>
      <w:widowControl/>
      <w:adjustRightInd w:val="0"/>
    </w:pPr>
    <w:rPr>
      <w:kern w:val="0"/>
      <w:lang w:eastAsia="en-US"/>
    </w:rPr>
  </w:style>
  <w:style w:type="paragraph" w:customStyle="1" w:styleId="144">
    <w:name w:val="ces正文"/>
    <w:basedOn w:val="1"/>
    <w:link w:val="145"/>
    <w:qFormat/>
    <w:uiPriority w:val="0"/>
    <w:rPr>
      <w:rFonts w:ascii="Times New Roman" w:hAnsi="Times New Roman" w:eastAsiaTheme="minorEastAsia" w:cstheme="minorBidi"/>
      <w:sz w:val="21"/>
      <w:szCs w:val="32"/>
      <w:lang w:val="zh-CN"/>
    </w:rPr>
  </w:style>
  <w:style w:type="character" w:customStyle="1" w:styleId="145">
    <w:name w:val="ces正文 字符"/>
    <w:link w:val="144"/>
    <w:qFormat/>
    <w:uiPriority w:val="0"/>
    <w:rPr>
      <w:rFonts w:eastAsiaTheme="minorEastAsia" w:cstheme="minorBidi"/>
      <w:kern w:val="2"/>
      <w:sz w:val="21"/>
      <w:szCs w:val="32"/>
      <w:lang w:val="zh-CN"/>
    </w:rPr>
  </w:style>
  <w:style w:type="paragraph" w:customStyle="1" w:styleId="146">
    <w:name w:val="表格1234"/>
    <w:basedOn w:val="1"/>
    <w:link w:val="147"/>
    <w:qFormat/>
    <w:uiPriority w:val="0"/>
    <w:pPr>
      <w:spacing w:line="240" w:lineRule="auto"/>
      <w:ind w:firstLine="0" w:firstLineChars="0"/>
    </w:pPr>
    <w:rPr>
      <w:rFonts w:asciiTheme="minorHAnsi" w:hAnsiTheme="minorHAnsi" w:eastAsiaTheme="minorEastAsia" w:cstheme="minorBidi"/>
      <w:sz w:val="21"/>
      <w:szCs w:val="22"/>
    </w:rPr>
  </w:style>
  <w:style w:type="character" w:customStyle="1" w:styleId="147">
    <w:name w:val="表格1234 字符"/>
    <w:link w:val="146"/>
    <w:qFormat/>
    <w:uiPriority w:val="0"/>
    <w:rPr>
      <w:rFonts w:asciiTheme="minorHAnsi" w:hAnsiTheme="minorHAnsi" w:eastAsiaTheme="minorEastAsia" w:cstheme="minorBidi"/>
      <w:kern w:val="2"/>
      <w:sz w:val="21"/>
      <w:szCs w:val="22"/>
    </w:rPr>
  </w:style>
  <w:style w:type="paragraph" w:styleId="148">
    <w:name w:val="No Spacing"/>
    <w:basedOn w:val="1"/>
    <w:link w:val="149"/>
    <w:qFormat/>
    <w:uiPriority w:val="1"/>
    <w:pPr>
      <w:spacing w:line="240" w:lineRule="auto"/>
      <w:ind w:firstLine="0" w:firstLineChars="0"/>
    </w:pPr>
    <w:rPr>
      <w:rFonts w:ascii="Calibri" w:hAnsi="Calibri" w:eastAsiaTheme="minorEastAsia"/>
      <w:sz w:val="22"/>
      <w:szCs w:val="22"/>
      <w:lang w:val="zh-CN" w:eastAsia="en-US" w:bidi="en-US"/>
    </w:rPr>
  </w:style>
  <w:style w:type="character" w:customStyle="1" w:styleId="149">
    <w:name w:val="无间隔 字符"/>
    <w:link w:val="148"/>
    <w:qFormat/>
    <w:uiPriority w:val="1"/>
    <w:rPr>
      <w:rFonts w:ascii="Calibri" w:hAnsi="Calibri" w:eastAsiaTheme="minorEastAsia"/>
      <w:kern w:val="2"/>
      <w:sz w:val="22"/>
      <w:szCs w:val="22"/>
      <w:lang w:val="zh-CN" w:eastAsia="en-US" w:bidi="en-US"/>
    </w:rPr>
  </w:style>
  <w:style w:type="character" w:customStyle="1" w:styleId="150">
    <w:name w:val="题注 字符3"/>
    <w:qFormat/>
    <w:uiPriority w:val="0"/>
    <w:rPr>
      <w:rFonts w:ascii="仿宋" w:hAnsi="仿宋" w:eastAsia="仿宋"/>
      <w:sz w:val="22"/>
      <w:szCs w:val="22"/>
    </w:rPr>
  </w:style>
  <w:style w:type="character" w:customStyle="1" w:styleId="151">
    <w:name w:val="未处理的提及2"/>
    <w:basedOn w:val="37"/>
    <w:semiHidden/>
    <w:unhideWhenUsed/>
    <w:qFormat/>
    <w:uiPriority w:val="99"/>
    <w:rPr>
      <w:color w:val="605E5C"/>
      <w:shd w:val="clear" w:color="auto" w:fill="E1DFDD"/>
    </w:rPr>
  </w:style>
  <w:style w:type="paragraph" w:customStyle="1" w:styleId="152">
    <w:name w:val="修订1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53">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54">
    <w:name w:val="修订3"/>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55">
    <w:name w:val="font51"/>
    <w:basedOn w:val="37"/>
    <w:qFormat/>
    <w:uiPriority w:val="0"/>
    <w:rPr>
      <w:rFonts w:hint="eastAsia" w:ascii="仿宋" w:hAnsi="仿宋" w:eastAsia="仿宋" w:cs="仿宋"/>
      <w:color w:val="000000"/>
      <w:sz w:val="21"/>
      <w:szCs w:val="21"/>
      <w:u w:val="none"/>
    </w:rPr>
  </w:style>
  <w:style w:type="character" w:customStyle="1" w:styleId="156">
    <w:name w:val="font61"/>
    <w:basedOn w:val="37"/>
    <w:qFormat/>
    <w:uiPriority w:val="0"/>
    <w:rPr>
      <w:rFonts w:hint="eastAsia" w:ascii="仿宋" w:hAnsi="仿宋" w:eastAsia="仿宋" w:cs="仿宋"/>
      <w:b/>
      <w:bCs/>
      <w:color w:val="000000"/>
      <w:sz w:val="21"/>
      <w:szCs w:val="21"/>
      <w:u w:val="none"/>
    </w:rPr>
  </w:style>
  <w:style w:type="character" w:customStyle="1" w:styleId="157">
    <w:name w:val="font71"/>
    <w:basedOn w:val="37"/>
    <w:qFormat/>
    <w:uiPriority w:val="0"/>
    <w:rPr>
      <w:rFonts w:hint="eastAsia" w:ascii="仿宋" w:hAnsi="仿宋" w:eastAsia="仿宋" w:cs="仿宋"/>
      <w:b/>
      <w:bCs/>
      <w:color w:val="000000"/>
      <w:sz w:val="22"/>
      <w:szCs w:val="22"/>
      <w:u w:val="none"/>
    </w:rPr>
  </w:style>
  <w:style w:type="paragraph" w:customStyle="1" w:styleId="158">
    <w:name w:val="图片标题"/>
    <w:basedOn w:val="1"/>
    <w:qFormat/>
    <w:uiPriority w:val="0"/>
    <w:pPr>
      <w:numPr>
        <w:ilvl w:val="0"/>
        <w:numId w:val="4"/>
      </w:numPr>
      <w:ind w:firstLine="0" w:firstLineChars="0"/>
      <w:jc w:val="center"/>
    </w:pPr>
    <w:rPr>
      <w:rFonts w:eastAsia="黑体"/>
      <w:szCs w:val="21"/>
    </w:rPr>
  </w:style>
  <w:style w:type="paragraph" w:customStyle="1" w:styleId="159">
    <w:name w:val="Q3"/>
    <w:basedOn w:val="1"/>
    <w:qFormat/>
    <w:uiPriority w:val="0"/>
    <w:pPr>
      <w:numPr>
        <w:ilvl w:val="2"/>
        <w:numId w:val="4"/>
      </w:numPr>
      <w:adjustRightInd w:val="0"/>
      <w:ind w:firstLine="0" w:firstLineChars="0"/>
      <w:jc w:val="left"/>
      <w:outlineLvl w:val="2"/>
    </w:pPr>
    <w:rPr>
      <w:rFonts w:ascii="Calibri" w:hAnsi="Calibri" w:cs="黑体"/>
      <w:b/>
      <w:sz w:val="28"/>
      <w:szCs w:val="22"/>
    </w:rPr>
  </w:style>
  <w:style w:type="paragraph" w:customStyle="1" w:styleId="160">
    <w:name w:val="Q4"/>
    <w:basedOn w:val="1"/>
    <w:qFormat/>
    <w:uiPriority w:val="0"/>
    <w:pPr>
      <w:numPr>
        <w:ilvl w:val="3"/>
        <w:numId w:val="4"/>
      </w:numPr>
      <w:ind w:firstLine="0" w:firstLineChars="0"/>
      <w:jc w:val="left"/>
      <w:outlineLvl w:val="3"/>
    </w:pPr>
    <w:rPr>
      <w:rFonts w:cs="黑体"/>
      <w:b/>
      <w:szCs w:val="22"/>
    </w:rPr>
  </w:style>
  <w:style w:type="paragraph" w:customStyle="1" w:styleId="161">
    <w:name w:val="xl74"/>
    <w:basedOn w:val="1"/>
    <w:qFormat/>
    <w:uiPriority w:val="0"/>
    <w:pPr>
      <w:widowControl/>
      <w:spacing w:before="100" w:beforeAutospacing="1" w:after="100" w:afterAutospacing="1" w:line="240" w:lineRule="auto"/>
      <w:ind w:firstLine="0" w:firstLineChars="0"/>
      <w:jc w:val="center"/>
      <w:textAlignment w:val="center"/>
    </w:pPr>
    <w:rPr>
      <w:rFonts w:ascii="仿宋" w:hAnsi="仿宋" w:eastAsia="仿宋" w:cs="宋体"/>
      <w:kern w:val="0"/>
    </w:rPr>
  </w:style>
  <w:style w:type="paragraph" w:customStyle="1" w:styleId="162">
    <w:name w:val="xl75"/>
    <w:basedOn w:val="1"/>
    <w:qFormat/>
    <w:uiPriority w:val="0"/>
    <w:pPr>
      <w:widowControl/>
      <w:spacing w:before="100" w:beforeAutospacing="1" w:after="100" w:afterAutospacing="1" w:line="240" w:lineRule="auto"/>
      <w:ind w:firstLine="0" w:firstLineChars="0"/>
      <w:jc w:val="left"/>
      <w:textAlignment w:val="center"/>
    </w:pPr>
    <w:rPr>
      <w:rFonts w:ascii="仿宋" w:hAnsi="仿宋" w:eastAsia="仿宋" w:cs="宋体"/>
      <w:b/>
      <w:bCs/>
      <w:kern w:val="0"/>
    </w:rPr>
  </w:style>
  <w:style w:type="paragraph" w:customStyle="1" w:styleId="163">
    <w:name w:val="xl76"/>
    <w:basedOn w:val="1"/>
    <w:qFormat/>
    <w:uiPriority w:val="0"/>
    <w:pPr>
      <w:widowControl/>
      <w:pBdr>
        <w:top w:val="single" w:color="auto" w:sz="4" w:space="0"/>
        <w:left w:val="single" w:color="auto" w:sz="4" w:space="0"/>
      </w:pBdr>
      <w:spacing w:before="100" w:beforeAutospacing="1" w:after="100" w:afterAutospacing="1" w:line="240" w:lineRule="auto"/>
      <w:ind w:firstLine="0" w:firstLineChars="0"/>
      <w:jc w:val="center"/>
      <w:textAlignment w:val="center"/>
    </w:pPr>
    <w:rPr>
      <w:rFonts w:ascii="仿宋" w:hAnsi="仿宋" w:eastAsia="仿宋" w:cs="宋体"/>
      <w:kern w:val="0"/>
    </w:rPr>
  </w:style>
  <w:style w:type="paragraph" w:customStyle="1" w:styleId="164">
    <w:name w:val="xl77"/>
    <w:basedOn w:val="1"/>
    <w:qFormat/>
    <w:uiPriority w:val="0"/>
    <w:pPr>
      <w:widowControl/>
      <w:pBdr>
        <w:top w:val="single" w:color="auto" w:sz="4" w:space="0"/>
        <w:left w:val="single" w:color="auto" w:sz="4" w:space="0"/>
        <w:bottom w:val="single" w:color="auto" w:sz="4" w:space="0"/>
      </w:pBdr>
      <w:shd w:val="clear" w:color="000000" w:fill="A6A6A6"/>
      <w:spacing w:before="100" w:beforeAutospacing="1" w:after="100" w:afterAutospacing="1" w:line="240" w:lineRule="auto"/>
      <w:ind w:firstLine="0" w:firstLineChars="0"/>
      <w:jc w:val="center"/>
      <w:textAlignment w:val="center"/>
    </w:pPr>
    <w:rPr>
      <w:rFonts w:ascii="仿宋" w:hAnsi="仿宋" w:eastAsia="仿宋" w:cs="宋体"/>
      <w:b/>
      <w:bCs/>
      <w:kern w:val="0"/>
    </w:rPr>
  </w:style>
  <w:style w:type="paragraph" w:customStyle="1" w:styleId="165">
    <w:name w:val="xl78"/>
    <w:basedOn w:val="1"/>
    <w:qFormat/>
    <w:uiPriority w:val="0"/>
    <w:pPr>
      <w:widowControl/>
      <w:pBdr>
        <w:top w:val="single" w:color="auto" w:sz="4" w:space="0"/>
        <w:bottom w:val="single" w:color="auto" w:sz="4" w:space="0"/>
      </w:pBdr>
      <w:shd w:val="clear" w:color="000000" w:fill="A6A6A6"/>
      <w:spacing w:before="100" w:beforeAutospacing="1" w:after="100" w:afterAutospacing="1" w:line="240" w:lineRule="auto"/>
      <w:ind w:firstLine="0" w:firstLineChars="0"/>
      <w:jc w:val="center"/>
      <w:textAlignment w:val="center"/>
    </w:pPr>
    <w:rPr>
      <w:rFonts w:ascii="仿宋" w:hAnsi="仿宋" w:eastAsia="仿宋" w:cs="宋体"/>
      <w:b/>
      <w:bCs/>
      <w:kern w:val="0"/>
    </w:rPr>
  </w:style>
  <w:style w:type="paragraph" w:customStyle="1" w:styleId="166">
    <w:name w:val="xl79"/>
    <w:basedOn w:val="1"/>
    <w:qFormat/>
    <w:uiPriority w:val="0"/>
    <w:pPr>
      <w:widowControl/>
      <w:pBdr>
        <w:top w:val="single" w:color="auto" w:sz="4" w:space="0"/>
        <w:bottom w:val="single" w:color="auto" w:sz="4" w:space="0"/>
        <w:right w:val="single" w:color="auto" w:sz="4" w:space="0"/>
      </w:pBdr>
      <w:shd w:val="clear" w:color="000000" w:fill="A6A6A6"/>
      <w:spacing w:before="100" w:beforeAutospacing="1" w:after="100" w:afterAutospacing="1" w:line="240" w:lineRule="auto"/>
      <w:ind w:firstLine="0" w:firstLineChars="0"/>
      <w:jc w:val="center"/>
      <w:textAlignment w:val="center"/>
    </w:pPr>
    <w:rPr>
      <w:rFonts w:ascii="仿宋" w:hAnsi="仿宋" w:eastAsia="仿宋" w:cs="宋体"/>
      <w:b/>
      <w:bCs/>
      <w:kern w:val="0"/>
    </w:rPr>
  </w:style>
  <w:style w:type="paragraph" w:customStyle="1" w:styleId="16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A6A6A6"/>
      <w:spacing w:before="100" w:beforeAutospacing="1" w:after="100" w:afterAutospacing="1" w:line="240" w:lineRule="auto"/>
      <w:ind w:firstLine="0" w:firstLineChars="0"/>
      <w:jc w:val="center"/>
      <w:textAlignment w:val="center"/>
    </w:pPr>
    <w:rPr>
      <w:rFonts w:ascii="仿宋" w:hAnsi="仿宋" w:eastAsia="仿宋" w:cs="宋体"/>
      <w:b/>
      <w:bCs/>
      <w:kern w:val="0"/>
    </w:rPr>
  </w:style>
  <w:style w:type="paragraph" w:customStyle="1" w:styleId="168">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A6A6A6"/>
      <w:spacing w:before="100" w:beforeAutospacing="1" w:after="100" w:afterAutospacing="1" w:line="240" w:lineRule="auto"/>
      <w:ind w:firstLine="0" w:firstLineChars="0"/>
      <w:jc w:val="left"/>
      <w:textAlignment w:val="center"/>
    </w:pPr>
    <w:rPr>
      <w:rFonts w:ascii="仿宋" w:hAnsi="仿宋" w:eastAsia="仿宋" w:cs="宋体"/>
      <w:kern w:val="0"/>
    </w:rPr>
  </w:style>
  <w:style w:type="paragraph" w:customStyle="1" w:styleId="169">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仿宋" w:hAnsi="仿宋" w:eastAsia="仿宋" w:cs="宋体"/>
      <w:kern w:val="0"/>
    </w:rPr>
  </w:style>
  <w:style w:type="paragraph" w:customStyle="1" w:styleId="170">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A6A6A6"/>
      <w:spacing w:before="100" w:beforeAutospacing="1" w:after="100" w:afterAutospacing="1" w:line="240" w:lineRule="auto"/>
      <w:ind w:firstLine="0" w:firstLineChars="0"/>
      <w:jc w:val="center"/>
      <w:textAlignment w:val="center"/>
    </w:pPr>
    <w:rPr>
      <w:rFonts w:ascii="仿宋" w:hAnsi="仿宋" w:eastAsia="仿宋" w:cs="宋体"/>
      <w:kern w:val="0"/>
    </w:rPr>
  </w:style>
  <w:style w:type="paragraph" w:customStyle="1" w:styleId="171">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仿宋" w:hAnsi="仿宋" w:eastAsia="仿宋" w:cs="宋体"/>
      <w:b/>
      <w:bCs/>
      <w:color w:val="000000"/>
      <w:kern w:val="0"/>
      <w:sz w:val="21"/>
      <w:szCs w:val="21"/>
    </w:rPr>
  </w:style>
  <w:style w:type="paragraph" w:customStyle="1" w:styleId="172">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仿宋" w:hAnsi="仿宋" w:eastAsia="仿宋" w:cs="宋体"/>
      <w:b/>
      <w:bCs/>
      <w:kern w:val="0"/>
    </w:rPr>
  </w:style>
  <w:style w:type="paragraph" w:customStyle="1" w:styleId="173">
    <w:name w:val="样式 首行缩进:  0 字符"/>
    <w:basedOn w:val="1"/>
    <w:link w:val="177"/>
    <w:qFormat/>
    <w:uiPriority w:val="0"/>
    <w:pPr>
      <w:ind w:firstLine="200"/>
    </w:pPr>
    <w:rPr>
      <w:rFonts w:ascii="Times New Roman" w:hAnsi="Times New Roman" w:eastAsia="仿宋" w:cs="宋体"/>
      <w:szCs w:val="20"/>
    </w:rPr>
  </w:style>
  <w:style w:type="paragraph" w:customStyle="1" w:styleId="174">
    <w:name w:val="表格表头"/>
    <w:basedOn w:val="1"/>
    <w:qFormat/>
    <w:uiPriority w:val="0"/>
    <w:pPr>
      <w:spacing w:line="240" w:lineRule="auto"/>
      <w:ind w:firstLine="0" w:firstLineChars="0"/>
      <w:jc w:val="center"/>
    </w:pPr>
    <w:rPr>
      <w:rFonts w:ascii="Times New Roman" w:hAnsi="Times New Roman" w:eastAsia="黑体" w:cs="宋体"/>
      <w:sz w:val="21"/>
      <w:szCs w:val="21"/>
    </w:rPr>
  </w:style>
  <w:style w:type="paragraph" w:customStyle="1" w:styleId="175">
    <w:name w:val="表格正文"/>
    <w:basedOn w:val="1"/>
    <w:link w:val="182"/>
    <w:qFormat/>
    <w:uiPriority w:val="0"/>
    <w:pPr>
      <w:spacing w:line="240" w:lineRule="auto"/>
      <w:ind w:firstLine="0" w:firstLineChars="0"/>
      <w:jc w:val="left"/>
    </w:pPr>
    <w:rPr>
      <w:rFonts w:ascii="Times New Roman" w:hAnsi="Times New Roman" w:eastAsia="仿宋" w:cs="宋体"/>
      <w:sz w:val="21"/>
      <w:szCs w:val="20"/>
    </w:rPr>
  </w:style>
  <w:style w:type="paragraph" w:customStyle="1" w:styleId="176">
    <w:name w:val="表1"/>
    <w:basedOn w:val="1"/>
    <w:link w:val="178"/>
    <w:qFormat/>
    <w:uiPriority w:val="0"/>
    <w:pPr>
      <w:keepNext/>
      <w:numPr>
        <w:ilvl w:val="0"/>
        <w:numId w:val="5"/>
      </w:numPr>
      <w:ind w:left="0" w:firstLine="0" w:firstLineChars="0"/>
      <w:jc w:val="center"/>
    </w:pPr>
    <w:rPr>
      <w:rFonts w:ascii="Times New Roman" w:hAnsi="Times New Roman" w:eastAsia="仿宋" w:cs="宋体"/>
      <w:sz w:val="21"/>
      <w:szCs w:val="20"/>
    </w:rPr>
  </w:style>
  <w:style w:type="character" w:customStyle="1" w:styleId="177">
    <w:name w:val="样式 首行缩进:  0 字符 Char"/>
    <w:link w:val="173"/>
    <w:qFormat/>
    <w:locked/>
    <w:uiPriority w:val="0"/>
    <w:rPr>
      <w:rFonts w:eastAsia="仿宋" w:cs="宋体"/>
      <w:kern w:val="2"/>
      <w:sz w:val="24"/>
    </w:rPr>
  </w:style>
  <w:style w:type="character" w:customStyle="1" w:styleId="178">
    <w:name w:val="表1 Char"/>
    <w:link w:val="176"/>
    <w:qFormat/>
    <w:uiPriority w:val="0"/>
    <w:rPr>
      <w:rFonts w:eastAsia="仿宋" w:cs="宋体"/>
      <w:kern w:val="2"/>
      <w:sz w:val="21"/>
    </w:rPr>
  </w:style>
  <w:style w:type="paragraph" w:customStyle="1" w:styleId="179">
    <w:name w:val="正文（1）"/>
    <w:basedOn w:val="1"/>
    <w:link w:val="180"/>
    <w:qFormat/>
    <w:uiPriority w:val="0"/>
    <w:pPr>
      <w:numPr>
        <w:ilvl w:val="0"/>
        <w:numId w:val="6"/>
      </w:numPr>
      <w:ind w:firstLineChars="0"/>
    </w:pPr>
    <w:rPr>
      <w:rFonts w:ascii="Times New Roman" w:hAnsi="Times New Roman" w:eastAsia="仿宋" w:cstheme="minorBidi"/>
      <w:szCs w:val="21"/>
    </w:rPr>
  </w:style>
  <w:style w:type="character" w:customStyle="1" w:styleId="180">
    <w:name w:val="正文（1） Char"/>
    <w:link w:val="179"/>
    <w:qFormat/>
    <w:uiPriority w:val="0"/>
    <w:rPr>
      <w:rFonts w:eastAsia="仿宋" w:cstheme="minorBidi"/>
      <w:kern w:val="2"/>
      <w:sz w:val="24"/>
      <w:szCs w:val="21"/>
    </w:rPr>
  </w:style>
  <w:style w:type="paragraph" w:customStyle="1" w:styleId="181">
    <w:name w:val="正文1）"/>
    <w:basedOn w:val="179"/>
    <w:link w:val="183"/>
    <w:qFormat/>
    <w:uiPriority w:val="0"/>
    <w:pPr>
      <w:numPr>
        <w:ilvl w:val="1"/>
      </w:numPr>
      <w:ind w:left="839" w:firstLine="0"/>
    </w:pPr>
    <w:rPr>
      <w:rFonts w:cs="宋体"/>
    </w:rPr>
  </w:style>
  <w:style w:type="character" w:customStyle="1" w:styleId="182">
    <w:name w:val="表格正文 Char"/>
    <w:basedOn w:val="37"/>
    <w:link w:val="175"/>
    <w:qFormat/>
    <w:uiPriority w:val="0"/>
    <w:rPr>
      <w:rFonts w:eastAsia="仿宋" w:cs="宋体"/>
      <w:kern w:val="2"/>
      <w:sz w:val="21"/>
    </w:rPr>
  </w:style>
  <w:style w:type="character" w:customStyle="1" w:styleId="183">
    <w:name w:val="正文1） Char"/>
    <w:basedOn w:val="182"/>
    <w:link w:val="181"/>
    <w:qFormat/>
    <w:uiPriority w:val="0"/>
    <w:rPr>
      <w:rFonts w:eastAsia="仿宋" w:cs="宋体"/>
      <w:kern w:val="2"/>
      <w:sz w:val="24"/>
      <w:szCs w:val="21"/>
    </w:rPr>
  </w:style>
  <w:style w:type="character" w:customStyle="1" w:styleId="184">
    <w:name w:val="未处理的提及3"/>
    <w:basedOn w:val="37"/>
    <w:semiHidden/>
    <w:unhideWhenUsed/>
    <w:qFormat/>
    <w:uiPriority w:val="99"/>
    <w:rPr>
      <w:color w:val="605E5C"/>
      <w:shd w:val="clear" w:color="auto" w:fill="E1DFDD"/>
    </w:rPr>
  </w:style>
  <w:style w:type="paragraph" w:customStyle="1" w:styleId="185">
    <w:name w:val="修订4"/>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86">
    <w:name w:val="修订5"/>
    <w:hidden/>
    <w:unhideWhenUsed/>
    <w:qFormat/>
    <w:uiPriority w:val="99"/>
    <w:rPr>
      <w:rFonts w:ascii="宋体" w:hAnsi="宋体" w:eastAsia="宋体" w:cs="Times New Roman"/>
      <w:kern w:val="2"/>
      <w:sz w:val="24"/>
      <w:szCs w:val="24"/>
      <w:lang w:val="en-US" w:eastAsia="zh-CN" w:bidi="ar-SA"/>
    </w:rPr>
  </w:style>
  <w:style w:type="character" w:customStyle="1" w:styleId="187">
    <w:name w:val="cf01"/>
    <w:basedOn w:val="37"/>
    <w:qFormat/>
    <w:uiPriority w:val="0"/>
    <w:rPr>
      <w:rFonts w:hint="eastAsia" w:ascii="Microsoft YaHei UI" w:hAnsi="Microsoft YaHei UI" w:eastAsia="Microsoft YaHei UI"/>
      <w:sz w:val="18"/>
      <w:szCs w:val="18"/>
    </w:rPr>
  </w:style>
  <w:style w:type="character" w:customStyle="1" w:styleId="188">
    <w:name w:val="cf11"/>
    <w:basedOn w:val="37"/>
    <w:qFormat/>
    <w:uiPriority w:val="0"/>
    <w:rPr>
      <w:rFonts w:hint="eastAsia" w:ascii="Microsoft YaHei UI" w:hAnsi="Microsoft YaHei UI" w:eastAsia="Microsoft YaHei UI"/>
      <w:sz w:val="18"/>
      <w:szCs w:val="18"/>
    </w:rPr>
  </w:style>
  <w:style w:type="paragraph" w:customStyle="1" w:styleId="189">
    <w:name w:val="修订6"/>
    <w:hidden/>
    <w:unhideWhenUsed/>
    <w:qFormat/>
    <w:uiPriority w:val="99"/>
    <w:rPr>
      <w:rFonts w:ascii="宋体" w:hAnsi="宋体" w:eastAsia="宋体" w:cs="Times New Roman"/>
      <w:kern w:val="2"/>
      <w:sz w:val="24"/>
      <w:szCs w:val="24"/>
      <w:lang w:val="en-US" w:eastAsia="zh-CN" w:bidi="ar-SA"/>
    </w:rPr>
  </w:style>
  <w:style w:type="paragraph" w:customStyle="1" w:styleId="190">
    <w:name w:val="文档正文"/>
    <w:basedOn w:val="1"/>
    <w:qFormat/>
    <w:uiPriority w:val="0"/>
    <w:pPr>
      <w:spacing w:before="60" w:after="60" w:line="360" w:lineRule="atLeast"/>
      <w:ind w:firstLine="482" w:firstLineChars="0"/>
      <w:jc w:val="left"/>
      <w:textAlignment w:val="baseline"/>
    </w:pPr>
    <w:rPr>
      <w:rFonts w:ascii="Times New Roman" w:hAnsi="Times New Roman" w:cs="宋体"/>
      <w:sz w:val="21"/>
      <w:szCs w:val="20"/>
    </w:rPr>
  </w:style>
  <w:style w:type="paragraph" w:customStyle="1" w:styleId="191">
    <w:name w:val="修订7"/>
    <w:hidden/>
    <w:semiHidden/>
    <w:qFormat/>
    <w:uiPriority w:val="99"/>
    <w:rPr>
      <w:rFonts w:ascii="宋体" w:hAnsi="宋体" w:eastAsia="宋体" w:cs="Times New Roman"/>
      <w:kern w:val="2"/>
      <w:sz w:val="24"/>
      <w:szCs w:val="24"/>
      <w:lang w:val="en-US" w:eastAsia="zh-CN" w:bidi="ar-SA"/>
    </w:rPr>
  </w:style>
  <w:style w:type="paragraph" w:customStyle="1" w:styleId="192">
    <w:name w:val="修订8"/>
    <w:hidden/>
    <w:unhideWhenUsed/>
    <w:qFormat/>
    <w:uiPriority w:val="99"/>
    <w:rPr>
      <w:rFonts w:ascii="宋体" w:hAnsi="宋体" w:eastAsia="宋体" w:cs="Times New Roman"/>
      <w:kern w:val="2"/>
      <w:sz w:val="24"/>
      <w:szCs w:val="24"/>
      <w:lang w:val="en-US" w:eastAsia="zh-CN" w:bidi="ar-SA"/>
    </w:rPr>
  </w:style>
  <w:style w:type="paragraph" w:customStyle="1" w:styleId="193">
    <w:name w:val="修订9"/>
    <w:hidden/>
    <w:unhideWhenUsed/>
    <w:qFormat/>
    <w:uiPriority w:val="99"/>
    <w:rPr>
      <w:rFonts w:ascii="宋体" w:hAnsi="宋体" w:eastAsia="宋体" w:cs="Times New Roman"/>
      <w:kern w:val="2"/>
      <w:sz w:val="24"/>
      <w:szCs w:val="24"/>
      <w:lang w:val="en-US" w:eastAsia="zh-CN" w:bidi="ar-SA"/>
    </w:rPr>
  </w:style>
  <w:style w:type="paragraph" w:customStyle="1" w:styleId="194">
    <w:name w:val="表题注"/>
    <w:next w:val="1"/>
    <w:qFormat/>
    <w:uiPriority w:val="0"/>
    <w:pPr>
      <w:spacing w:before="100" w:beforeAutospacing="1" w:line="240" w:lineRule="atLeast"/>
      <w:jc w:val="center"/>
    </w:pPr>
    <w:rPr>
      <w:rFonts w:ascii="Times New Roman" w:hAnsi="Times New Roman" w:eastAsia="仿宋" w:cs="Times New Roman"/>
      <w:b/>
      <w:kern w:val="2"/>
      <w:sz w:val="21"/>
      <w:szCs w:val="44"/>
      <w:lang w:val="en-US" w:eastAsia="zh-CN" w:bidi="ar-SA"/>
    </w:rPr>
  </w:style>
  <w:style w:type="paragraph" w:customStyle="1" w:styleId="195">
    <w:name w:val="表正文"/>
    <w:qFormat/>
    <w:uiPriority w:val="0"/>
    <w:rPr>
      <w:rFonts w:ascii="Times New Roman" w:hAnsi="Times New Roman" w:eastAsia="仿宋" w:cs="Times New Roman"/>
      <w:kern w:val="2"/>
      <w:sz w:val="21"/>
      <w:szCs w:val="24"/>
      <w:lang w:val="en-US" w:eastAsia="zh-CN" w:bidi="ar-SA"/>
    </w:rPr>
  </w:style>
  <w:style w:type="paragraph" w:customStyle="1" w:styleId="196">
    <w:name w:val="修订10"/>
    <w:hidden/>
    <w:unhideWhenUsed/>
    <w:qFormat/>
    <w:uiPriority w:val="99"/>
    <w:rPr>
      <w:rFonts w:ascii="宋体" w:hAnsi="宋体" w:eastAsia="宋体" w:cs="Times New Roman"/>
      <w:kern w:val="2"/>
      <w:sz w:val="24"/>
      <w:szCs w:val="24"/>
      <w:lang w:val="en-US" w:eastAsia="zh-CN" w:bidi="ar-SA"/>
    </w:rPr>
  </w:style>
  <w:style w:type="paragraph" w:customStyle="1" w:styleId="197">
    <w:name w:val="Revision"/>
    <w:hidden/>
    <w:unhideWhenUsed/>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2884</Words>
  <Characters>16444</Characters>
  <Lines>137</Lines>
  <Paragraphs>38</Paragraphs>
  <TotalTime>10</TotalTime>
  <ScaleCrop>false</ScaleCrop>
  <LinksUpToDate>false</LinksUpToDate>
  <CharactersWithSpaces>19290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2025-02-24T17:00:00Z</dcterms:created>
  <dc:creator>gtig_tzb</dc:creator>
  <cp:lastModifiedBy>user</cp:lastModifiedBy>
  <cp:lastPrinted>2023-12-28T08:19:00Z</cp:lastPrinted>
  <dcterms:modified xsi:type="dcterms:W3CDTF">2025-02-25T08:31:28Z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AD2CDF11DDBF4A928B8147BB271CCA0D_13</vt:lpwstr>
  </property>
</Properties>
</file>