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7A629">
      <w:pPr>
        <w:ind w:firstLine="0" w:firstLineChars="0"/>
        <w:jc w:val="center"/>
        <w:rPr>
          <w:rFonts w:hint="eastAsia" w:ascii="黑体" w:hAnsi="黑体" w:eastAsia="黑体"/>
          <w:sz w:val="48"/>
          <w:szCs w:val="48"/>
          <w:highlight w:val="none"/>
        </w:rPr>
      </w:pPr>
      <w:bookmarkStart w:id="40" w:name="_GoBack"/>
      <w:bookmarkEnd w:id="40"/>
    </w:p>
    <w:p w14:paraId="1F3E5833">
      <w:pPr>
        <w:ind w:firstLine="0" w:firstLineChars="0"/>
        <w:jc w:val="center"/>
        <w:rPr>
          <w:rFonts w:hint="eastAsia" w:ascii="黑体" w:hAnsi="黑体" w:eastAsia="黑体"/>
          <w:sz w:val="48"/>
          <w:szCs w:val="48"/>
          <w:highlight w:val="none"/>
        </w:rPr>
      </w:pPr>
    </w:p>
    <w:p w14:paraId="35CA662F">
      <w:pPr>
        <w:ind w:firstLine="0" w:firstLineChars="0"/>
        <w:jc w:val="center"/>
        <w:rPr>
          <w:rFonts w:hint="eastAsia" w:ascii="黑体" w:hAnsi="黑体" w:eastAsia="黑体"/>
          <w:sz w:val="52"/>
          <w:szCs w:val="52"/>
          <w:highlight w:val="none"/>
        </w:rPr>
      </w:pPr>
      <w:r>
        <w:rPr>
          <w:rFonts w:hint="eastAsia" w:ascii="黑体" w:hAnsi="黑体" w:eastAsia="黑体" w:cs="Times New Roman"/>
          <w:sz w:val="52"/>
          <w:szCs w:val="52"/>
          <w:highlight w:val="none"/>
          <w:lang w:val="en-US" w:eastAsia="zh-CN"/>
        </w:rPr>
        <w:t>上海市政务“工具箱”项目子系统建设项目</w:t>
      </w:r>
      <w:r>
        <w:rPr>
          <w:rFonts w:hint="eastAsia" w:ascii="黑体" w:hAnsi="黑体" w:eastAsia="黑体"/>
          <w:sz w:val="52"/>
          <w:szCs w:val="52"/>
          <w:highlight w:val="none"/>
        </w:rPr>
        <w:t>采购需求</w:t>
      </w:r>
    </w:p>
    <w:p w14:paraId="6D0A2EC0">
      <w:pPr>
        <w:ind w:firstLine="0" w:firstLineChars="0"/>
        <w:jc w:val="center"/>
        <w:rPr>
          <w:rFonts w:hint="eastAsia" w:ascii="黑体" w:hAnsi="黑体" w:eastAsia="黑体"/>
          <w:sz w:val="52"/>
          <w:szCs w:val="52"/>
          <w:highlight w:val="none"/>
        </w:rPr>
      </w:pPr>
    </w:p>
    <w:p w14:paraId="05E3DA23">
      <w:pPr>
        <w:ind w:firstLine="0" w:firstLineChars="0"/>
        <w:jc w:val="center"/>
        <w:rPr>
          <w:rFonts w:hint="eastAsia" w:ascii="黑体" w:hAnsi="黑体" w:eastAsia="黑体"/>
          <w:sz w:val="52"/>
          <w:szCs w:val="52"/>
          <w:highlight w:val="none"/>
        </w:rPr>
      </w:pPr>
    </w:p>
    <w:p w14:paraId="1B629A22">
      <w:pPr>
        <w:ind w:firstLine="0" w:firstLineChars="0"/>
        <w:jc w:val="center"/>
        <w:rPr>
          <w:rFonts w:hint="eastAsia" w:ascii="黑体" w:hAnsi="黑体" w:eastAsia="黑体"/>
          <w:sz w:val="52"/>
          <w:szCs w:val="52"/>
          <w:highlight w:val="none"/>
        </w:rPr>
      </w:pPr>
    </w:p>
    <w:p w14:paraId="1589504E">
      <w:pPr>
        <w:ind w:firstLine="0" w:firstLineChars="0"/>
        <w:jc w:val="center"/>
        <w:rPr>
          <w:rFonts w:hint="eastAsia" w:ascii="黑体" w:hAnsi="黑体" w:eastAsia="黑体"/>
          <w:sz w:val="52"/>
          <w:szCs w:val="52"/>
          <w:highlight w:val="none"/>
        </w:rPr>
      </w:pPr>
    </w:p>
    <w:p w14:paraId="30BEE1C2">
      <w:pPr>
        <w:ind w:firstLine="0" w:firstLineChars="0"/>
        <w:jc w:val="center"/>
        <w:rPr>
          <w:rFonts w:hint="eastAsia" w:ascii="黑体" w:hAnsi="黑体" w:eastAsia="黑体"/>
          <w:sz w:val="72"/>
          <w:szCs w:val="72"/>
          <w:highlight w:val="none"/>
        </w:rPr>
      </w:pPr>
    </w:p>
    <w:p w14:paraId="33490BBD">
      <w:pPr>
        <w:ind w:firstLine="1040"/>
        <w:rPr>
          <w:rFonts w:hint="eastAsia" w:ascii="黑体" w:hAnsi="黑体" w:eastAsia="黑体"/>
          <w:sz w:val="52"/>
          <w:szCs w:val="52"/>
          <w:highlight w:val="none"/>
        </w:rPr>
      </w:pPr>
    </w:p>
    <w:p w14:paraId="14541E3D">
      <w:pPr>
        <w:rPr>
          <w:rFonts w:hint="eastAsia"/>
          <w:highlight w:val="none"/>
        </w:rPr>
      </w:pPr>
    </w:p>
    <w:p w14:paraId="7A18D60F">
      <w:pPr>
        <w:rPr>
          <w:rFonts w:hint="eastAsia"/>
          <w:highlight w:val="none"/>
        </w:rPr>
      </w:pPr>
    </w:p>
    <w:p w14:paraId="25D8FDBA">
      <w:pPr>
        <w:rPr>
          <w:rFonts w:hint="eastAsia"/>
          <w:highlight w:val="none"/>
        </w:rPr>
      </w:pPr>
    </w:p>
    <w:p w14:paraId="108AA137">
      <w:pPr>
        <w:rPr>
          <w:rFonts w:hint="eastAsia"/>
          <w:highlight w:val="none"/>
        </w:rPr>
      </w:pPr>
    </w:p>
    <w:p w14:paraId="315769E3">
      <w:pPr>
        <w:rPr>
          <w:rFonts w:hint="eastAsia"/>
          <w:highlight w:val="none"/>
        </w:rPr>
      </w:pPr>
    </w:p>
    <w:p w14:paraId="0185F812">
      <w:pPr>
        <w:ind w:firstLine="1040"/>
        <w:rPr>
          <w:rFonts w:hint="eastAsia" w:ascii="黑体" w:hAnsi="黑体" w:eastAsia="黑体"/>
          <w:sz w:val="52"/>
          <w:szCs w:val="52"/>
          <w:highlight w:val="none"/>
        </w:rPr>
      </w:pPr>
    </w:p>
    <w:p w14:paraId="2AB13D0A">
      <w:pPr>
        <w:jc w:val="center"/>
        <w:rPr>
          <w:rFonts w:hint="eastAsia"/>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Borders>
            <w:top w:val="none" w:sz="0" w:space="0"/>
            <w:left w:val="none" w:sz="0" w:space="0"/>
            <w:bottom w:val="none" w:sz="0" w:space="0"/>
            <w:right w:val="none" w:sz="0" w:space="0"/>
          </w:pgBorders>
          <w:pgNumType w:start="1"/>
          <w:cols w:space="720" w:num="1"/>
          <w:titlePg/>
          <w:docGrid w:type="linesAndChars" w:linePitch="326" w:charSpace="0"/>
        </w:sectPr>
      </w:pPr>
    </w:p>
    <w:p w14:paraId="586DAF84">
      <w:pPr>
        <w:pStyle w:val="2"/>
        <w:ind w:left="0" w:leftChars="0" w:firstLineChars="0"/>
        <w:rPr>
          <w:rFonts w:hint="eastAsia"/>
          <w:highlight w:val="none"/>
        </w:rPr>
      </w:pPr>
      <w:bookmarkStart w:id="0" w:name="_Toc63785461"/>
      <w:r>
        <w:rPr>
          <w:rFonts w:hint="eastAsia"/>
          <w:highlight w:val="none"/>
        </w:rPr>
        <w:t>项目概况</w:t>
      </w:r>
      <w:bookmarkEnd w:id="0"/>
    </w:p>
    <w:p w14:paraId="6F6EF103">
      <w:pPr>
        <w:spacing w:line="560" w:lineRule="exact"/>
        <w:ind w:left="0" w:leftChars="0"/>
        <w:rPr>
          <w:rFonts w:hint="eastAsia" w:ascii="宋体" w:hAnsi="宋体" w:eastAsia="宋体"/>
          <w:highlight w:val="none"/>
          <w:lang w:eastAsia="zh-CN"/>
        </w:rPr>
      </w:pPr>
      <w:r>
        <w:rPr>
          <w:rFonts w:hint="eastAsia" w:ascii="宋体" w:hAnsi="宋体" w:eastAsia="宋体"/>
          <w:highlight w:val="none"/>
          <w:lang w:eastAsia="zh-CN"/>
        </w:rPr>
        <w:t>项目背景&amp;现状：随着数字政务的快速发展，政务信息化对软件工具的便捷性、集约化及技术创新提出了更高要求。为进一步优化政务服务效能，提升政务数字化水平。</w:t>
      </w:r>
      <w:r>
        <w:rPr>
          <w:rFonts w:hint="eastAsia" w:ascii="宋体" w:hAnsi="宋体" w:eastAsia="宋体"/>
          <w:highlight w:val="none"/>
          <w:lang w:val="en-US" w:eastAsia="zh-CN"/>
        </w:rPr>
        <w:t>2023年，上海</w:t>
      </w:r>
      <w:r>
        <w:rPr>
          <w:rFonts w:hint="eastAsia" w:ascii="宋体" w:hAnsi="宋体" w:eastAsia="宋体"/>
          <w:highlight w:val="none"/>
          <w:lang w:eastAsia="zh-CN"/>
        </w:rPr>
        <w:t>市政府办公厅印发《2023年上海市全面深化“一网通办”改革工作要点》的通知，其中第二十一条明确提出“推进工具箱建设与应用”的工作要求。为确保“工具箱”建设工作的有序推进，积极落实新型数字基础设施战略部署，市大数据中心拟建设“上海市政务“工具箱”项目子系统建设项目”。</w:t>
      </w:r>
      <w:r>
        <w:rPr>
          <w:rFonts w:hint="eastAsia" w:ascii="宋体" w:hAnsi="宋体" w:eastAsia="宋体"/>
          <w:highlight w:val="none"/>
          <w:lang w:val="en-US" w:eastAsia="zh-CN"/>
        </w:rPr>
        <w:t>旨在</w:t>
      </w:r>
      <w:r>
        <w:rPr>
          <w:rFonts w:hint="eastAsia" w:ascii="宋体" w:hAnsi="宋体" w:eastAsia="宋体"/>
          <w:highlight w:val="none"/>
          <w:lang w:eastAsia="zh-CN"/>
        </w:rPr>
        <w:t>梳理、提炼各类共性工具需求，面向各使用单位提供高效、便捷且轻量级的政务工具，涵盖办公软件、数据可视化软件及各类基础</w:t>
      </w:r>
      <w:r>
        <w:rPr>
          <w:rFonts w:hint="eastAsia" w:ascii="宋体" w:hAnsi="宋体" w:eastAsia="宋体"/>
          <w:highlight w:val="none"/>
          <w:lang w:val="en-US" w:eastAsia="zh-CN"/>
        </w:rPr>
        <w:t>软件</w:t>
      </w:r>
      <w:r>
        <w:rPr>
          <w:rFonts w:hint="eastAsia" w:ascii="宋体" w:hAnsi="宋体" w:eastAsia="宋体"/>
          <w:highlight w:val="none"/>
          <w:lang w:eastAsia="zh-CN"/>
        </w:rPr>
        <w:t>工具。</w:t>
      </w:r>
      <w:r>
        <w:rPr>
          <w:rFonts w:hint="eastAsia" w:ascii="宋体" w:hAnsi="宋体" w:eastAsia="宋体"/>
          <w:highlight w:val="none"/>
          <w:lang w:val="en-US" w:eastAsia="zh-CN"/>
        </w:rPr>
        <w:t>进而实现</w:t>
      </w:r>
      <w:r>
        <w:rPr>
          <w:rFonts w:hint="eastAsia" w:ascii="宋体" w:hAnsi="宋体" w:eastAsia="宋体"/>
          <w:highlight w:val="none"/>
          <w:lang w:eastAsia="zh-CN"/>
        </w:rPr>
        <w:t>全域场景驱动底层技术创新，推动模块化、规模化赋能，</w:t>
      </w:r>
      <w:r>
        <w:rPr>
          <w:rFonts w:hint="eastAsia" w:ascii="宋体" w:hAnsi="宋体" w:eastAsia="宋体"/>
          <w:highlight w:val="none"/>
          <w:lang w:val="en-US" w:eastAsia="zh-CN"/>
        </w:rPr>
        <w:t>为</w:t>
      </w:r>
      <w:r>
        <w:rPr>
          <w:rFonts w:hint="eastAsia" w:ascii="宋体" w:hAnsi="宋体" w:eastAsia="宋体"/>
          <w:highlight w:val="none"/>
          <w:lang w:eastAsia="zh-CN"/>
        </w:rPr>
        <w:t>本市政务信息化建设</w:t>
      </w:r>
      <w:r>
        <w:rPr>
          <w:rFonts w:hint="eastAsia" w:ascii="宋体" w:hAnsi="宋体" w:eastAsia="宋体"/>
          <w:highlight w:val="none"/>
          <w:lang w:val="en-US" w:eastAsia="zh-CN"/>
        </w:rPr>
        <w:t>注智赋能</w:t>
      </w:r>
      <w:r>
        <w:rPr>
          <w:rFonts w:hint="eastAsia" w:ascii="宋体" w:hAnsi="宋体" w:eastAsia="宋体"/>
          <w:highlight w:val="none"/>
          <w:lang w:eastAsia="zh-CN"/>
        </w:rPr>
        <w:t>。</w:t>
      </w:r>
    </w:p>
    <w:p w14:paraId="712A2688">
      <w:pPr>
        <w:spacing w:line="560" w:lineRule="exact"/>
        <w:ind w:left="0" w:leftChars="0"/>
        <w:rPr>
          <w:rFonts w:hint="default" w:eastAsia="宋体"/>
          <w:highlight w:val="none"/>
          <w:lang w:val="en-US" w:eastAsia="zh-CN"/>
        </w:rPr>
      </w:pPr>
      <w:r>
        <w:rPr>
          <w:rFonts w:hint="eastAsia"/>
          <w:highlight w:val="none"/>
        </w:rPr>
        <w:t>建设期限：自合同签订之日起</w:t>
      </w:r>
      <w:r>
        <w:rPr>
          <w:rFonts w:hint="eastAsia"/>
          <w:highlight w:val="none"/>
          <w:lang w:val="en-US" w:eastAsia="zh-CN"/>
        </w:rPr>
        <w:t>至满</w:t>
      </w:r>
      <w:r>
        <w:rPr>
          <w:rFonts w:hint="eastAsia"/>
          <w:highlight w:val="none"/>
        </w:rPr>
        <w:t>6个月</w:t>
      </w:r>
    </w:p>
    <w:p w14:paraId="79151CE0">
      <w:pPr>
        <w:spacing w:line="560" w:lineRule="exact"/>
        <w:ind w:left="0" w:leftChars="0"/>
        <w:rPr>
          <w:rFonts w:hint="eastAsia"/>
          <w:highlight w:val="none"/>
        </w:rPr>
      </w:pPr>
      <w:r>
        <w:rPr>
          <w:rFonts w:hint="eastAsia"/>
          <w:highlight w:val="none"/>
        </w:rPr>
        <w:t>建设地点：上海市大数据中心</w:t>
      </w:r>
    </w:p>
    <w:p w14:paraId="3A01A5C0">
      <w:pPr>
        <w:spacing w:line="560" w:lineRule="exact"/>
        <w:ind w:left="0" w:leftChars="0"/>
        <w:rPr>
          <w:rFonts w:hint="eastAsia" w:ascii="宋体" w:hAnsi="宋体" w:eastAsia="宋体" w:cs="Times New Roman"/>
          <w:highlight w:val="none"/>
        </w:rPr>
      </w:pPr>
      <w:r>
        <w:rPr>
          <w:rFonts w:hint="eastAsia"/>
          <w:highlight w:val="none"/>
        </w:rPr>
        <w:t>预算金额</w:t>
      </w:r>
      <w:r>
        <w:rPr>
          <w:rFonts w:hint="eastAsia" w:ascii="宋体" w:hAnsi="宋体" w:eastAsia="宋体" w:cs="Times New Roman"/>
          <w:highlight w:val="none"/>
        </w:rPr>
        <w:t>：</w:t>
      </w:r>
      <w:r>
        <w:rPr>
          <w:rFonts w:hint="default" w:ascii="宋体" w:hAnsi="宋体" w:eastAsia="宋体" w:cs="Times New Roman"/>
          <w:highlight w:val="none"/>
        </w:rPr>
        <w:t>12</w:t>
      </w:r>
      <w:r>
        <w:rPr>
          <w:rFonts w:hint="eastAsia" w:ascii="宋体" w:hAnsi="宋体" w:eastAsia="宋体" w:cs="Times New Roman"/>
          <w:highlight w:val="none"/>
          <w:lang w:val="en-US" w:eastAsia="zh-CN"/>
        </w:rPr>
        <w:t>,</w:t>
      </w:r>
      <w:r>
        <w:rPr>
          <w:rFonts w:hint="default" w:ascii="宋体" w:hAnsi="宋体" w:eastAsia="宋体" w:cs="Times New Roman"/>
          <w:highlight w:val="none"/>
        </w:rPr>
        <w:t>626</w:t>
      </w:r>
      <w:r>
        <w:rPr>
          <w:rFonts w:hint="eastAsia" w:ascii="宋体" w:hAnsi="宋体" w:eastAsia="宋体" w:cs="Times New Roman"/>
          <w:highlight w:val="none"/>
          <w:lang w:val="en-US" w:eastAsia="zh-CN"/>
        </w:rPr>
        <w:t>,</w:t>
      </w:r>
      <w:r>
        <w:rPr>
          <w:rFonts w:hint="default" w:ascii="宋体" w:hAnsi="宋体" w:eastAsia="宋体" w:cs="Times New Roman"/>
          <w:highlight w:val="none"/>
        </w:rPr>
        <w:t>428</w:t>
      </w:r>
      <w:r>
        <w:rPr>
          <w:rFonts w:hint="eastAsia" w:ascii="宋体" w:hAnsi="宋体" w:eastAsia="宋体" w:cs="Times New Roman"/>
          <w:highlight w:val="none"/>
        </w:rPr>
        <w:t>元</w:t>
      </w:r>
    </w:p>
    <w:p w14:paraId="01180B8D">
      <w:pPr>
        <w:spacing w:line="560" w:lineRule="exact"/>
        <w:ind w:left="0" w:leftChars="0"/>
        <w:rPr>
          <w:rFonts w:hint="default" w:ascii="宋体" w:hAnsi="宋体" w:eastAsia="宋体" w:cs="Times New Roman"/>
          <w:highlight w:val="none"/>
          <w:lang w:val="en-US" w:eastAsia="zh-CN"/>
        </w:rPr>
      </w:pPr>
      <w:r>
        <w:rPr>
          <w:rFonts w:hint="eastAsia" w:cs="Times New Roman"/>
          <w:highlight w:val="none"/>
          <w:lang w:val="en-US" w:eastAsia="zh-CN"/>
        </w:rPr>
        <w:t>2025年预算为：</w:t>
      </w:r>
      <w:r>
        <w:rPr>
          <w:rFonts w:hint="eastAsia"/>
          <w:sz w:val="24"/>
          <w:szCs w:val="24"/>
          <w:highlight w:val="none"/>
          <w:lang w:val="en-US" w:eastAsia="zh-CN"/>
        </w:rPr>
        <w:t>11</w:t>
      </w:r>
      <w:r>
        <w:rPr>
          <w:rFonts w:hint="default"/>
          <w:sz w:val="24"/>
          <w:szCs w:val="24"/>
          <w:highlight w:val="none"/>
          <w:lang w:val="en-US" w:eastAsia="zh-CN"/>
        </w:rPr>
        <w:t>,</w:t>
      </w:r>
      <w:r>
        <w:rPr>
          <w:rFonts w:hint="eastAsia"/>
          <w:sz w:val="24"/>
          <w:szCs w:val="24"/>
          <w:highlight w:val="none"/>
          <w:lang w:val="en-US" w:eastAsia="zh-CN"/>
        </w:rPr>
        <w:t>552</w:t>
      </w:r>
      <w:r>
        <w:rPr>
          <w:rFonts w:hint="default"/>
          <w:sz w:val="24"/>
          <w:szCs w:val="24"/>
          <w:highlight w:val="none"/>
          <w:lang w:val="en-US" w:eastAsia="zh-CN"/>
        </w:rPr>
        <w:t>,</w:t>
      </w:r>
      <w:r>
        <w:rPr>
          <w:rFonts w:hint="eastAsia"/>
          <w:sz w:val="24"/>
          <w:szCs w:val="24"/>
          <w:highlight w:val="none"/>
          <w:lang w:val="en-US" w:eastAsia="zh-CN"/>
        </w:rPr>
        <w:t>120元</w:t>
      </w:r>
    </w:p>
    <w:p w14:paraId="6C4091A3">
      <w:pPr>
        <w:spacing w:line="560" w:lineRule="exact"/>
        <w:ind w:left="0" w:leftChars="0"/>
        <w:rPr>
          <w:rFonts w:hint="eastAsia"/>
          <w:highlight w:val="none"/>
        </w:rPr>
      </w:pPr>
      <w:r>
        <w:rPr>
          <w:rFonts w:hint="eastAsia"/>
          <w:highlight w:val="none"/>
        </w:rPr>
        <w:t>采购金额（最高限价）：</w:t>
      </w:r>
      <w:r>
        <w:rPr>
          <w:rFonts w:hint="default" w:ascii="宋体" w:hAnsi="宋体" w:eastAsia="宋体" w:cs="Times New Roman"/>
          <w:highlight w:val="none"/>
        </w:rPr>
        <w:t>12</w:t>
      </w:r>
      <w:r>
        <w:rPr>
          <w:rFonts w:hint="eastAsia" w:ascii="宋体" w:hAnsi="宋体" w:eastAsia="宋体" w:cs="Times New Roman"/>
          <w:highlight w:val="none"/>
          <w:lang w:val="en-US" w:eastAsia="zh-CN"/>
        </w:rPr>
        <w:t>,</w:t>
      </w:r>
      <w:r>
        <w:rPr>
          <w:rFonts w:hint="default" w:ascii="宋体" w:hAnsi="宋体" w:eastAsia="宋体" w:cs="Times New Roman"/>
          <w:highlight w:val="none"/>
        </w:rPr>
        <w:t>626</w:t>
      </w:r>
      <w:r>
        <w:rPr>
          <w:rFonts w:hint="eastAsia" w:ascii="宋体" w:hAnsi="宋体" w:eastAsia="宋体" w:cs="Times New Roman"/>
          <w:highlight w:val="none"/>
          <w:lang w:val="en-US" w:eastAsia="zh-CN"/>
        </w:rPr>
        <w:t>,</w:t>
      </w:r>
      <w:r>
        <w:rPr>
          <w:rFonts w:hint="default" w:ascii="宋体" w:hAnsi="宋体" w:eastAsia="宋体" w:cs="Times New Roman"/>
          <w:highlight w:val="none"/>
        </w:rPr>
        <w:t>428</w:t>
      </w:r>
      <w:r>
        <w:rPr>
          <w:rFonts w:hint="eastAsia"/>
          <w:highlight w:val="none"/>
        </w:rPr>
        <w:t>元</w:t>
      </w:r>
    </w:p>
    <w:p w14:paraId="042000B9">
      <w:pPr>
        <w:ind w:left="0" w:leftChars="0"/>
        <w:rPr>
          <w:rFonts w:hint="eastAsia"/>
          <w:highlight w:val="none"/>
        </w:rPr>
      </w:pPr>
      <w:r>
        <w:rPr>
          <w:rFonts w:hint="eastAsia"/>
          <w:highlight w:val="none"/>
        </w:rPr>
        <w:t>组织形式：集中采购</w:t>
      </w:r>
    </w:p>
    <w:p w14:paraId="5AC858E7">
      <w:pPr>
        <w:ind w:left="0" w:leftChars="0"/>
        <w:rPr>
          <w:rFonts w:hint="eastAsia"/>
          <w:highlight w:val="none"/>
        </w:rPr>
      </w:pPr>
      <w:r>
        <w:rPr>
          <w:rFonts w:hint="eastAsia"/>
          <w:highlight w:val="none"/>
        </w:rPr>
        <w:t>采购方式：</w:t>
      </w:r>
      <w:r>
        <w:rPr>
          <w:rFonts w:hint="eastAsia"/>
          <w:highlight w:val="none"/>
          <w:lang w:val="en-US" w:eastAsia="zh-CN"/>
        </w:rPr>
        <w:t>公开招投标</w:t>
      </w:r>
    </w:p>
    <w:p w14:paraId="53076963">
      <w:pPr>
        <w:ind w:left="0" w:leftChars="0"/>
        <w:rPr>
          <w:rFonts w:hint="eastAsia"/>
          <w:highlight w:val="none"/>
        </w:rPr>
      </w:pPr>
      <w:r>
        <w:rPr>
          <w:rFonts w:hint="eastAsia"/>
          <w:highlight w:val="none"/>
        </w:rPr>
        <w:t>是否接受联合体投标：否</w:t>
      </w:r>
    </w:p>
    <w:p w14:paraId="5E62E224">
      <w:pPr>
        <w:ind w:left="0" w:leftChars="0"/>
        <w:rPr>
          <w:rFonts w:hint="eastAsia" w:eastAsia="宋体"/>
          <w:color w:val="auto"/>
          <w:highlight w:val="none"/>
          <w:lang w:val="en-US" w:eastAsia="zh-CN"/>
        </w:rPr>
      </w:pPr>
      <w:r>
        <w:rPr>
          <w:color w:val="auto"/>
          <w:highlight w:val="none"/>
        </w:rPr>
        <w:t>是否按信创要求建设：</w:t>
      </w:r>
      <w:r>
        <w:rPr>
          <w:rFonts w:hint="eastAsia"/>
          <w:color w:val="auto"/>
          <w:highlight w:val="none"/>
          <w:lang w:val="en-US" w:eastAsia="zh-CN"/>
        </w:rPr>
        <w:t>是</w:t>
      </w:r>
    </w:p>
    <w:p w14:paraId="128A5D7E">
      <w:pPr>
        <w:ind w:left="0" w:leftChars="0"/>
        <w:rPr>
          <w:rFonts w:hint="default"/>
          <w:highlight w:val="none"/>
          <w:lang w:val="en-US"/>
        </w:rPr>
      </w:pPr>
      <w:r>
        <w:rPr>
          <w:rFonts w:hint="eastAsia"/>
          <w:highlight w:val="none"/>
        </w:rPr>
        <w:t>运维后所属大系统：</w:t>
      </w:r>
      <w:r>
        <w:rPr>
          <w:rFonts w:hint="eastAsia"/>
          <w:highlight w:val="none"/>
          <w:lang w:val="en-US" w:eastAsia="zh-CN"/>
        </w:rPr>
        <w:t>基础设施</w:t>
      </w:r>
    </w:p>
    <w:p w14:paraId="61315927">
      <w:pPr>
        <w:pStyle w:val="2"/>
        <w:ind w:left="0" w:leftChars="0" w:firstLineChars="0"/>
        <w:rPr>
          <w:rFonts w:hint="eastAsia"/>
          <w:highlight w:val="none"/>
        </w:rPr>
      </w:pPr>
      <w:bookmarkStart w:id="1" w:name="_Toc47532891"/>
      <w:bookmarkEnd w:id="1"/>
      <w:bookmarkStart w:id="2" w:name="_Toc47536272"/>
      <w:bookmarkEnd w:id="2"/>
      <w:bookmarkStart w:id="3" w:name="_Toc47536644"/>
      <w:bookmarkEnd w:id="3"/>
      <w:bookmarkStart w:id="4" w:name="_Toc47531634"/>
      <w:bookmarkEnd w:id="4"/>
      <w:bookmarkStart w:id="5" w:name="_Toc47537134"/>
      <w:bookmarkEnd w:id="5"/>
      <w:bookmarkStart w:id="6" w:name="_Toc47532255"/>
      <w:bookmarkEnd w:id="6"/>
      <w:bookmarkStart w:id="7" w:name="_Toc47533256"/>
      <w:bookmarkEnd w:id="7"/>
      <w:bookmarkStart w:id="8" w:name="_Toc47539070"/>
      <w:bookmarkEnd w:id="8"/>
      <w:bookmarkStart w:id="9" w:name="_Toc63785463"/>
      <w:bookmarkStart w:id="10" w:name="_Toc48223882"/>
      <w:r>
        <w:rPr>
          <w:rFonts w:hint="eastAsia"/>
          <w:highlight w:val="none"/>
        </w:rPr>
        <w:t>建设目标</w:t>
      </w:r>
      <w:bookmarkEnd w:id="9"/>
      <w:bookmarkEnd w:id="10"/>
    </w:p>
    <w:p w14:paraId="3D3617B7">
      <w:pPr>
        <w:pStyle w:val="3"/>
        <w:bidi w:val="0"/>
        <w:ind w:left="0" w:leftChars="0" w:firstLineChars="0"/>
        <w:rPr>
          <w:rFonts w:hint="eastAsia"/>
          <w:highlight w:val="none"/>
        </w:rPr>
      </w:pPr>
      <w:r>
        <w:rPr>
          <w:rFonts w:hint="eastAsia"/>
          <w:highlight w:val="none"/>
        </w:rPr>
        <w:t>项目目标</w:t>
      </w:r>
    </w:p>
    <w:p w14:paraId="2316FE52">
      <w:pPr>
        <w:rPr>
          <w:rFonts w:hint="eastAsia"/>
          <w:highlight w:val="none"/>
          <w:lang w:val="en-US"/>
        </w:rPr>
      </w:pPr>
      <w:r>
        <w:rPr>
          <w:rFonts w:hint="eastAsia"/>
          <w:highlight w:val="none"/>
          <w:lang w:val="en-US" w:eastAsia="zh-CN"/>
        </w:rPr>
        <w:t>为有力保障政务“工具箱”工作的有序开展，市大数据中心拟构建上海市政务“工具箱”项目子系统建设项目。在总体建设目标上，</w:t>
      </w:r>
      <w:r>
        <w:rPr>
          <w:b/>
          <w:bCs/>
          <w:highlight w:val="none"/>
          <w:lang w:val="en-US"/>
        </w:rPr>
        <w:t>一是</w:t>
      </w:r>
      <w:r>
        <w:rPr>
          <w:highlight w:val="none"/>
          <w:lang w:val="en-US"/>
        </w:rPr>
        <w:t>为使用单位提供便捷、高效的</w:t>
      </w:r>
      <w:r>
        <w:rPr>
          <w:rFonts w:hint="eastAsia"/>
          <w:highlight w:val="none"/>
          <w:lang w:val="en-US" w:eastAsia="zh-CN"/>
        </w:rPr>
        <w:t>“工具箱”工具</w:t>
      </w:r>
      <w:r>
        <w:rPr>
          <w:highlight w:val="none"/>
          <w:lang w:val="en-US"/>
        </w:rPr>
        <w:t>，</w:t>
      </w:r>
      <w:r>
        <w:rPr>
          <w:rFonts w:hint="eastAsia"/>
          <w:highlight w:val="none"/>
          <w:lang w:val="en-US" w:eastAsia="zh-CN"/>
        </w:rPr>
        <w:t>满足各使用单位快速使用工具的需求</w:t>
      </w:r>
      <w:r>
        <w:rPr>
          <w:highlight w:val="none"/>
          <w:lang w:val="en-US"/>
        </w:rPr>
        <w:t>；</w:t>
      </w:r>
      <w:r>
        <w:rPr>
          <w:b/>
          <w:bCs/>
          <w:highlight w:val="none"/>
          <w:lang w:val="en-US"/>
        </w:rPr>
        <w:t>二是</w:t>
      </w:r>
      <w:r>
        <w:rPr>
          <w:rFonts w:hint="eastAsia"/>
          <w:highlight w:val="none"/>
          <w:lang w:val="en-US" w:eastAsia="zh-CN"/>
        </w:rPr>
        <w:t>通过统筹集约工具建设，进一步</w:t>
      </w:r>
      <w:r>
        <w:rPr>
          <w:rFonts w:hint="eastAsia"/>
          <w:highlight w:val="none"/>
        </w:rPr>
        <w:t>降低本市信息化建设的总体成本</w:t>
      </w:r>
      <w:r>
        <w:rPr>
          <w:highlight w:val="none"/>
          <w:lang w:val="en-US"/>
        </w:rPr>
        <w:t>；</w:t>
      </w:r>
      <w:r>
        <w:rPr>
          <w:b/>
          <w:bCs/>
          <w:highlight w:val="none"/>
          <w:lang w:val="en-US"/>
        </w:rPr>
        <w:t>三是</w:t>
      </w:r>
      <w:r>
        <w:rPr>
          <w:rFonts w:hint="eastAsia" w:cs="Times New Roman"/>
          <w:highlight w:val="none"/>
          <w:lang w:val="en-US" w:eastAsia="zh-Hans"/>
        </w:rPr>
        <w:t>以全域场景带动底层技术突破和模块化</w:t>
      </w:r>
      <w:r>
        <w:rPr>
          <w:rFonts w:hint="default" w:cs="Times New Roman"/>
          <w:highlight w:val="none"/>
          <w:lang w:val="en-US" w:eastAsia="zh-Hans"/>
        </w:rPr>
        <w:t>、</w:t>
      </w:r>
      <w:r>
        <w:rPr>
          <w:rFonts w:hint="eastAsia" w:cs="Times New Roman"/>
          <w:highlight w:val="none"/>
          <w:lang w:val="en-US" w:eastAsia="zh-Hans"/>
        </w:rPr>
        <w:t>规模化赋能</w:t>
      </w:r>
      <w:r>
        <w:rPr>
          <w:rFonts w:hint="eastAsia" w:cs="Times New Roman"/>
          <w:highlight w:val="none"/>
          <w:lang w:val="en-US" w:eastAsia="zh-CN"/>
        </w:rPr>
        <w:t>，助力</w:t>
      </w:r>
      <w:r>
        <w:rPr>
          <w:rFonts w:hint="eastAsia"/>
          <w:highlight w:val="none"/>
        </w:rPr>
        <w:t>本市政务</w:t>
      </w:r>
      <w:r>
        <w:rPr>
          <w:rFonts w:hint="eastAsia"/>
          <w:highlight w:val="none"/>
          <w:lang w:val="en-US" w:eastAsia="zh-CN"/>
        </w:rPr>
        <w:t>信息化建设</w:t>
      </w:r>
      <w:r>
        <w:rPr>
          <w:highlight w:val="none"/>
          <w:lang w:val="en-US"/>
        </w:rPr>
        <w:t>；</w:t>
      </w:r>
      <w:r>
        <w:rPr>
          <w:b/>
          <w:bCs/>
          <w:highlight w:val="none"/>
          <w:lang w:val="en-US"/>
        </w:rPr>
        <w:t>四是</w:t>
      </w:r>
      <w:r>
        <w:rPr>
          <w:rFonts w:hint="eastAsia"/>
          <w:highlight w:val="none"/>
          <w:lang w:val="en-US" w:eastAsia="zh-CN"/>
        </w:rPr>
        <w:t>不断</w:t>
      </w:r>
      <w:r>
        <w:rPr>
          <w:rFonts w:hint="eastAsia"/>
          <w:highlight w:val="none"/>
        </w:rPr>
        <w:t>提升上海市</w:t>
      </w:r>
      <w:r>
        <w:rPr>
          <w:rFonts w:hint="eastAsia"/>
          <w:highlight w:val="none"/>
          <w:lang w:val="en-US" w:eastAsia="zh-CN"/>
        </w:rPr>
        <w:t>政务“工具箱”</w:t>
      </w:r>
      <w:r>
        <w:rPr>
          <w:rFonts w:hint="eastAsia"/>
          <w:highlight w:val="none"/>
        </w:rPr>
        <w:t>的综合</w:t>
      </w:r>
      <w:r>
        <w:rPr>
          <w:rFonts w:hint="eastAsia"/>
          <w:highlight w:val="none"/>
          <w:lang w:val="en-US" w:eastAsia="zh-CN"/>
        </w:rPr>
        <w:t>支撑</w:t>
      </w:r>
      <w:r>
        <w:rPr>
          <w:rFonts w:hint="eastAsia"/>
          <w:highlight w:val="none"/>
        </w:rPr>
        <w:t>能</w:t>
      </w:r>
      <w:r>
        <w:rPr>
          <w:rFonts w:hint="eastAsia"/>
          <w:highlight w:val="none"/>
          <w:lang w:val="en-US" w:eastAsia="zh-CN"/>
        </w:rPr>
        <w:t>力</w:t>
      </w:r>
      <w:r>
        <w:rPr>
          <w:highlight w:val="none"/>
          <w:lang w:val="en-US"/>
        </w:rPr>
        <w:t>，助力</w:t>
      </w:r>
      <w:r>
        <w:rPr>
          <w:rFonts w:hint="eastAsia"/>
          <w:highlight w:val="none"/>
          <w:lang w:val="en-US" w:eastAsia="zh-CN"/>
        </w:rPr>
        <w:t>新型</w:t>
      </w:r>
      <w:r>
        <w:rPr>
          <w:highlight w:val="none"/>
          <w:lang w:val="en-US"/>
        </w:rPr>
        <w:t>数字</w:t>
      </w:r>
      <w:r>
        <w:rPr>
          <w:rFonts w:hint="eastAsia"/>
          <w:highlight w:val="none"/>
          <w:lang w:val="en-US" w:eastAsia="zh-CN"/>
        </w:rPr>
        <w:t>基础设施建设</w:t>
      </w:r>
      <w:r>
        <w:rPr>
          <w:highlight w:val="none"/>
          <w:lang w:val="en-US"/>
        </w:rPr>
        <w:t>。</w:t>
      </w:r>
    </w:p>
    <w:p w14:paraId="7BD4CBDA">
      <w:pPr>
        <w:pStyle w:val="3"/>
        <w:ind w:left="0" w:leftChars="0" w:firstLineChars="0"/>
        <w:rPr>
          <w:rFonts w:hint="eastAsia"/>
          <w:highlight w:val="none"/>
        </w:rPr>
      </w:pPr>
      <w:bookmarkStart w:id="11" w:name="_Toc175952118"/>
      <w:bookmarkStart w:id="12" w:name="_Toc139883486"/>
      <w:r>
        <w:rPr>
          <w:highlight w:val="none"/>
        </w:rPr>
        <w:t>绩效考核目标</w:t>
      </w:r>
      <w:bookmarkEnd w:id="11"/>
      <w:bookmarkEnd w:id="12"/>
    </w:p>
    <w:tbl>
      <w:tblPr>
        <w:tblStyle w:val="10"/>
        <w:tblW w:w="4859" w:type="pct"/>
        <w:tblInd w:w="0" w:type="dxa"/>
        <w:tblLayout w:type="autofit"/>
        <w:tblCellMar>
          <w:top w:w="0" w:type="dxa"/>
          <w:left w:w="108" w:type="dxa"/>
          <w:bottom w:w="0" w:type="dxa"/>
          <w:right w:w="108" w:type="dxa"/>
        </w:tblCellMar>
      </w:tblPr>
      <w:tblGrid>
        <w:gridCol w:w="761"/>
        <w:gridCol w:w="764"/>
        <w:gridCol w:w="1313"/>
        <w:gridCol w:w="3850"/>
        <w:gridCol w:w="1600"/>
      </w:tblGrid>
      <w:tr w14:paraId="610199DF">
        <w:tblPrEx>
          <w:tblCellMar>
            <w:top w:w="0" w:type="dxa"/>
            <w:left w:w="108" w:type="dxa"/>
            <w:bottom w:w="0" w:type="dxa"/>
            <w:right w:w="108" w:type="dxa"/>
          </w:tblCellMar>
        </w:tblPrEx>
        <w:trPr>
          <w:trHeight w:val="1337" w:hRule="atLeast"/>
        </w:trPr>
        <w:tc>
          <w:tcPr>
            <w:tcW w:w="920" w:type="pct"/>
            <w:gridSpan w:val="2"/>
            <w:tcBorders>
              <w:top w:val="single" w:color="auto" w:sz="4" w:space="0"/>
              <w:left w:val="single" w:color="auto" w:sz="4" w:space="0"/>
              <w:bottom w:val="single" w:color="auto" w:sz="4" w:space="0"/>
              <w:right w:val="single" w:color="auto" w:sz="4" w:space="0"/>
            </w:tcBorders>
            <w:noWrap w:val="0"/>
            <w:vAlign w:val="center"/>
          </w:tcPr>
          <w:p w14:paraId="38CEF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总体目标</w:t>
            </w:r>
          </w:p>
        </w:tc>
        <w:tc>
          <w:tcPr>
            <w:tcW w:w="4079" w:type="pct"/>
            <w:gridSpan w:val="3"/>
            <w:tcBorders>
              <w:top w:val="single" w:color="auto" w:sz="4" w:space="0"/>
              <w:left w:val="nil"/>
              <w:bottom w:val="single" w:color="auto" w:sz="4" w:space="0"/>
              <w:right w:val="single" w:color="auto" w:sz="4" w:space="0"/>
            </w:tcBorders>
            <w:noWrap w:val="0"/>
            <w:vAlign w:val="center"/>
          </w:tcPr>
          <w:p w14:paraId="0EBBF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Cs/>
                <w:color w:val="000000"/>
                <w:kern w:val="0"/>
                <w:sz w:val="24"/>
                <w:szCs w:val="24"/>
                <w:highlight w:val="none"/>
              </w:rPr>
              <w:t>构建面向市级的统一数字化工具箱，统筹采购各类成熟、共性、可复用软件工具（包括：版式办公、流式办公、文字检测、数据同步、数据可视化、运维管理、数据库、中间件、操作系统等）。</w:t>
            </w:r>
          </w:p>
        </w:tc>
      </w:tr>
      <w:tr w14:paraId="7A80BA7C">
        <w:tblPrEx>
          <w:tblCellMar>
            <w:top w:w="0" w:type="dxa"/>
            <w:left w:w="108" w:type="dxa"/>
            <w:bottom w:w="0" w:type="dxa"/>
            <w:right w:w="108" w:type="dxa"/>
          </w:tblCellMar>
        </w:tblPrEx>
        <w:trPr>
          <w:trHeight w:val="300" w:hRule="atLeast"/>
        </w:trPr>
        <w:tc>
          <w:tcPr>
            <w:tcW w:w="459" w:type="pct"/>
            <w:vMerge w:val="restart"/>
            <w:tcBorders>
              <w:top w:val="nil"/>
              <w:left w:val="single" w:color="auto" w:sz="4" w:space="0"/>
              <w:right w:val="single" w:color="auto" w:sz="4" w:space="0"/>
            </w:tcBorders>
            <w:noWrap w:val="0"/>
            <w:vAlign w:val="center"/>
          </w:tcPr>
          <w:p w14:paraId="7B0D34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规划指标参数</w:t>
            </w:r>
          </w:p>
        </w:tc>
        <w:tc>
          <w:tcPr>
            <w:tcW w:w="460" w:type="pct"/>
            <w:tcBorders>
              <w:top w:val="nil"/>
              <w:left w:val="nil"/>
              <w:bottom w:val="single" w:color="auto" w:sz="4" w:space="0"/>
              <w:right w:val="single" w:color="auto" w:sz="4" w:space="0"/>
            </w:tcBorders>
            <w:noWrap w:val="0"/>
            <w:vAlign w:val="center"/>
          </w:tcPr>
          <w:p w14:paraId="5E1DB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一级指标</w:t>
            </w:r>
          </w:p>
        </w:tc>
        <w:tc>
          <w:tcPr>
            <w:tcW w:w="792" w:type="pct"/>
            <w:tcBorders>
              <w:top w:val="nil"/>
              <w:left w:val="nil"/>
              <w:bottom w:val="single" w:color="auto" w:sz="4" w:space="0"/>
              <w:right w:val="single" w:color="auto" w:sz="4" w:space="0"/>
            </w:tcBorders>
            <w:noWrap w:val="0"/>
            <w:vAlign w:val="center"/>
          </w:tcPr>
          <w:p w14:paraId="71B88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二级指标</w:t>
            </w:r>
          </w:p>
        </w:tc>
        <w:tc>
          <w:tcPr>
            <w:tcW w:w="2322" w:type="pct"/>
            <w:tcBorders>
              <w:top w:val="nil"/>
              <w:left w:val="nil"/>
              <w:bottom w:val="single" w:color="auto" w:sz="4" w:space="0"/>
              <w:right w:val="single" w:color="auto" w:sz="4" w:space="0"/>
            </w:tcBorders>
            <w:noWrap w:val="0"/>
            <w:vAlign w:val="center"/>
          </w:tcPr>
          <w:p w14:paraId="674B7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三级指标</w:t>
            </w:r>
          </w:p>
        </w:tc>
        <w:tc>
          <w:tcPr>
            <w:tcW w:w="965" w:type="pct"/>
            <w:tcBorders>
              <w:top w:val="nil"/>
              <w:left w:val="nil"/>
              <w:bottom w:val="single" w:color="auto" w:sz="4" w:space="0"/>
              <w:right w:val="single" w:color="auto" w:sz="4" w:space="0"/>
            </w:tcBorders>
            <w:noWrap w:val="0"/>
            <w:vAlign w:val="center"/>
          </w:tcPr>
          <w:p w14:paraId="078AA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目标值</w:t>
            </w:r>
          </w:p>
        </w:tc>
      </w:tr>
      <w:tr w14:paraId="650BEC78">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49709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restart"/>
            <w:tcBorders>
              <w:top w:val="nil"/>
              <w:left w:val="single" w:color="auto" w:sz="4" w:space="0"/>
              <w:right w:val="single" w:color="auto" w:sz="4" w:space="0"/>
            </w:tcBorders>
            <w:noWrap w:val="0"/>
            <w:vAlign w:val="center"/>
          </w:tcPr>
          <w:p w14:paraId="1F06F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通用指标</w:t>
            </w:r>
          </w:p>
        </w:tc>
        <w:tc>
          <w:tcPr>
            <w:tcW w:w="792" w:type="pct"/>
            <w:vMerge w:val="restart"/>
            <w:tcBorders>
              <w:top w:val="nil"/>
              <w:left w:val="single" w:color="auto" w:sz="4" w:space="0"/>
              <w:right w:val="single" w:color="auto" w:sz="4" w:space="0"/>
            </w:tcBorders>
            <w:noWrap w:val="0"/>
            <w:vAlign w:val="center"/>
          </w:tcPr>
          <w:p w14:paraId="169A9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质量指标</w:t>
            </w:r>
          </w:p>
        </w:tc>
        <w:tc>
          <w:tcPr>
            <w:tcW w:w="2322" w:type="pct"/>
            <w:tcBorders>
              <w:top w:val="nil"/>
              <w:left w:val="nil"/>
              <w:bottom w:val="single" w:color="auto" w:sz="4" w:space="0"/>
              <w:right w:val="single" w:color="auto" w:sz="4" w:space="0"/>
            </w:tcBorders>
            <w:noWrap w:val="0"/>
            <w:vAlign w:val="center"/>
          </w:tcPr>
          <w:p w14:paraId="74845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软件可靠性</w:t>
            </w:r>
          </w:p>
        </w:tc>
        <w:tc>
          <w:tcPr>
            <w:tcW w:w="965" w:type="pct"/>
            <w:tcBorders>
              <w:top w:val="nil"/>
              <w:left w:val="nil"/>
              <w:bottom w:val="single" w:color="auto" w:sz="4" w:space="0"/>
              <w:right w:val="single" w:color="auto" w:sz="4" w:space="0"/>
            </w:tcBorders>
            <w:noWrap w:val="0"/>
            <w:vAlign w:val="center"/>
          </w:tcPr>
          <w:p w14:paraId="18DC6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≥99.9%</w:t>
            </w:r>
          </w:p>
        </w:tc>
      </w:tr>
      <w:tr w14:paraId="73F7C46B">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67AE0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top w:val="nil"/>
              <w:left w:val="single" w:color="auto" w:sz="4" w:space="0"/>
              <w:bottom w:val="single" w:color="000000" w:sz="4" w:space="0"/>
              <w:right w:val="single" w:color="auto" w:sz="4" w:space="0"/>
            </w:tcBorders>
            <w:noWrap w:val="0"/>
            <w:vAlign w:val="center"/>
          </w:tcPr>
          <w:p w14:paraId="3E443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top w:val="nil"/>
              <w:left w:val="single" w:color="auto" w:sz="4" w:space="0"/>
              <w:bottom w:val="single" w:color="auto" w:sz="4" w:space="0"/>
              <w:right w:val="single" w:color="auto" w:sz="4" w:space="0"/>
            </w:tcBorders>
            <w:noWrap w:val="0"/>
            <w:vAlign w:val="center"/>
          </w:tcPr>
          <w:p w14:paraId="7E2DA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02EC8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软件产品检测认证</w:t>
            </w:r>
          </w:p>
        </w:tc>
        <w:tc>
          <w:tcPr>
            <w:tcW w:w="965" w:type="pct"/>
            <w:tcBorders>
              <w:top w:val="nil"/>
              <w:left w:val="nil"/>
              <w:bottom w:val="single" w:color="auto" w:sz="4" w:space="0"/>
              <w:right w:val="single" w:color="auto" w:sz="4" w:space="0"/>
            </w:tcBorders>
            <w:noWrap w:val="0"/>
            <w:vAlign w:val="center"/>
          </w:tcPr>
          <w:p w14:paraId="6FD64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通过</w:t>
            </w:r>
          </w:p>
        </w:tc>
      </w:tr>
      <w:tr w14:paraId="6D80B684">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0FB16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restart"/>
            <w:tcBorders>
              <w:top w:val="nil"/>
              <w:left w:val="single" w:color="auto" w:sz="4" w:space="0"/>
              <w:right w:val="single" w:color="auto" w:sz="4" w:space="0"/>
            </w:tcBorders>
            <w:noWrap w:val="0"/>
            <w:vAlign w:val="center"/>
          </w:tcPr>
          <w:p w14:paraId="391E8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业务指标</w:t>
            </w:r>
          </w:p>
        </w:tc>
        <w:tc>
          <w:tcPr>
            <w:tcW w:w="792" w:type="pct"/>
            <w:vMerge w:val="restart"/>
            <w:tcBorders>
              <w:top w:val="nil"/>
              <w:left w:val="single" w:color="auto" w:sz="4" w:space="0"/>
              <w:right w:val="single" w:color="auto" w:sz="4" w:space="0"/>
            </w:tcBorders>
            <w:noWrap w:val="0"/>
            <w:vAlign w:val="center"/>
          </w:tcPr>
          <w:p w14:paraId="12327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产出</w:t>
            </w:r>
            <w:r>
              <w:rPr>
                <w:rFonts w:hint="eastAsia" w:asciiTheme="minorEastAsia" w:hAnsiTheme="minorEastAsia" w:eastAsiaTheme="minorEastAsia" w:cstheme="minorEastAsia"/>
                <w:color w:val="000000"/>
                <w:kern w:val="0"/>
                <w:sz w:val="24"/>
                <w:szCs w:val="24"/>
                <w:highlight w:val="none"/>
                <w:lang w:val="en-US" w:eastAsia="zh-CN"/>
              </w:rPr>
              <w:t>数量</w:t>
            </w:r>
          </w:p>
          <w:p w14:paraId="43DC6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0B39C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板式办公工具（PC端）</w:t>
            </w:r>
          </w:p>
        </w:tc>
        <w:tc>
          <w:tcPr>
            <w:tcW w:w="965" w:type="pct"/>
            <w:tcBorders>
              <w:top w:val="nil"/>
              <w:left w:val="nil"/>
              <w:bottom w:val="single" w:color="auto" w:sz="4" w:space="0"/>
              <w:right w:val="single" w:color="auto" w:sz="4" w:space="0"/>
            </w:tcBorders>
            <w:noWrap w:val="0"/>
            <w:vAlign w:val="center"/>
          </w:tcPr>
          <w:p w14:paraId="70382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250套</w:t>
            </w:r>
          </w:p>
        </w:tc>
      </w:tr>
      <w:tr w14:paraId="1CF11F45">
        <w:tblPrEx>
          <w:tblCellMar>
            <w:top w:w="0" w:type="dxa"/>
            <w:left w:w="108" w:type="dxa"/>
            <w:bottom w:w="0" w:type="dxa"/>
            <w:right w:w="108" w:type="dxa"/>
          </w:tblCellMar>
        </w:tblPrEx>
        <w:trPr>
          <w:trHeight w:val="360" w:hRule="atLeast"/>
        </w:trPr>
        <w:tc>
          <w:tcPr>
            <w:tcW w:w="459" w:type="pct"/>
            <w:vMerge w:val="continue"/>
            <w:tcBorders>
              <w:left w:val="single" w:color="auto" w:sz="4" w:space="0"/>
              <w:right w:val="single" w:color="auto" w:sz="4" w:space="0"/>
            </w:tcBorders>
            <w:noWrap w:val="0"/>
            <w:vAlign w:val="center"/>
          </w:tcPr>
          <w:p w14:paraId="1881B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3B32E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7BFC86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5D972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板式办公工具（服务器端）</w:t>
            </w:r>
          </w:p>
        </w:tc>
        <w:tc>
          <w:tcPr>
            <w:tcW w:w="965" w:type="pct"/>
            <w:tcBorders>
              <w:top w:val="nil"/>
              <w:left w:val="nil"/>
              <w:bottom w:val="single" w:color="auto" w:sz="4" w:space="0"/>
              <w:right w:val="single" w:color="auto" w:sz="4" w:space="0"/>
            </w:tcBorders>
            <w:noWrap w:val="0"/>
            <w:vAlign w:val="center"/>
          </w:tcPr>
          <w:p w14:paraId="7E56E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2套</w:t>
            </w:r>
          </w:p>
        </w:tc>
      </w:tr>
      <w:tr w14:paraId="000047E7">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21B45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62216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74C58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7256C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流式办公工具（PC端）</w:t>
            </w:r>
          </w:p>
        </w:tc>
        <w:tc>
          <w:tcPr>
            <w:tcW w:w="965" w:type="pct"/>
            <w:tcBorders>
              <w:top w:val="nil"/>
              <w:left w:val="nil"/>
              <w:bottom w:val="single" w:color="auto" w:sz="4" w:space="0"/>
              <w:right w:val="single" w:color="auto" w:sz="4" w:space="0"/>
            </w:tcBorders>
            <w:noWrap w:val="0"/>
            <w:vAlign w:val="center"/>
          </w:tcPr>
          <w:p w14:paraId="63EAA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435套</w:t>
            </w:r>
          </w:p>
        </w:tc>
      </w:tr>
      <w:tr w14:paraId="3882EF8D">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148EB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67245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4BE610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28A69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流式文档在线编辑工具（服务器端）</w:t>
            </w:r>
          </w:p>
        </w:tc>
        <w:tc>
          <w:tcPr>
            <w:tcW w:w="965" w:type="pct"/>
            <w:tcBorders>
              <w:top w:val="nil"/>
              <w:left w:val="nil"/>
              <w:bottom w:val="single" w:color="auto" w:sz="4" w:space="0"/>
              <w:right w:val="single" w:color="auto" w:sz="4" w:space="0"/>
            </w:tcBorders>
            <w:noWrap w:val="0"/>
            <w:vAlign w:val="center"/>
          </w:tcPr>
          <w:p w14:paraId="37CAE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10套</w:t>
            </w:r>
          </w:p>
        </w:tc>
      </w:tr>
      <w:tr w14:paraId="7E6D424B">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5B01A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6EEF4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72334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70CC7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流式文档在线预览工具（服务器端）</w:t>
            </w:r>
          </w:p>
        </w:tc>
        <w:tc>
          <w:tcPr>
            <w:tcW w:w="965" w:type="pct"/>
            <w:tcBorders>
              <w:top w:val="nil"/>
              <w:left w:val="nil"/>
              <w:bottom w:val="single" w:color="auto" w:sz="4" w:space="0"/>
              <w:right w:val="single" w:color="auto" w:sz="4" w:space="0"/>
            </w:tcBorders>
            <w:noWrap w:val="0"/>
            <w:vAlign w:val="center"/>
          </w:tcPr>
          <w:p w14:paraId="62A54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9套</w:t>
            </w:r>
          </w:p>
        </w:tc>
      </w:tr>
      <w:tr w14:paraId="409179FD">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33B23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67936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50427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03B12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文字检测工具（PC端）</w:t>
            </w:r>
          </w:p>
        </w:tc>
        <w:tc>
          <w:tcPr>
            <w:tcW w:w="965" w:type="pct"/>
            <w:tcBorders>
              <w:top w:val="nil"/>
              <w:left w:val="nil"/>
              <w:bottom w:val="single" w:color="auto" w:sz="4" w:space="0"/>
              <w:right w:val="single" w:color="auto" w:sz="4" w:space="0"/>
            </w:tcBorders>
            <w:noWrap w:val="0"/>
            <w:vAlign w:val="center"/>
          </w:tcPr>
          <w:p w14:paraId="563AA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9套</w:t>
            </w:r>
          </w:p>
        </w:tc>
      </w:tr>
      <w:tr w14:paraId="3AC63625">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35DA4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6FF1F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47F21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ign w:val="bottom"/>
          </w:tcPr>
          <w:p w14:paraId="02140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rPr>
              <w:t>文字检测工具（服务器端）</w:t>
            </w:r>
          </w:p>
        </w:tc>
        <w:tc>
          <w:tcPr>
            <w:tcW w:w="965" w:type="pct"/>
            <w:tcBorders>
              <w:top w:val="nil"/>
              <w:left w:val="nil"/>
              <w:bottom w:val="single" w:color="auto" w:sz="4" w:space="0"/>
              <w:right w:val="single" w:color="auto" w:sz="4" w:space="0"/>
            </w:tcBorders>
            <w:noWrap w:val="0"/>
            <w:vAlign w:val="center"/>
          </w:tcPr>
          <w:p w14:paraId="618BB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4套</w:t>
            </w:r>
          </w:p>
        </w:tc>
      </w:tr>
      <w:tr w14:paraId="183C726A">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7E888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41168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0623C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2CFE3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数据同步工具</w:t>
            </w:r>
          </w:p>
        </w:tc>
        <w:tc>
          <w:tcPr>
            <w:tcW w:w="965" w:type="pct"/>
            <w:tcBorders>
              <w:top w:val="nil"/>
              <w:left w:val="nil"/>
              <w:bottom w:val="single" w:color="auto" w:sz="4" w:space="0"/>
              <w:right w:val="single" w:color="auto" w:sz="4" w:space="0"/>
            </w:tcBorders>
            <w:noWrap w:val="0"/>
            <w:vAlign w:val="center"/>
          </w:tcPr>
          <w:p w14:paraId="58516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100套</w:t>
            </w:r>
          </w:p>
        </w:tc>
      </w:tr>
      <w:tr w14:paraId="46B5CE87">
        <w:tblPrEx>
          <w:tblCellMar>
            <w:top w:w="0" w:type="dxa"/>
            <w:left w:w="108" w:type="dxa"/>
            <w:bottom w:w="0" w:type="dxa"/>
            <w:right w:w="108" w:type="dxa"/>
          </w:tblCellMar>
        </w:tblPrEx>
        <w:trPr>
          <w:trHeight w:val="300" w:hRule="atLeast"/>
        </w:trPr>
        <w:tc>
          <w:tcPr>
            <w:tcW w:w="459" w:type="pct"/>
            <w:vMerge w:val="continue"/>
            <w:tcBorders>
              <w:left w:val="single" w:color="auto" w:sz="4" w:space="0"/>
              <w:right w:val="single" w:color="auto" w:sz="4" w:space="0"/>
            </w:tcBorders>
            <w:noWrap w:val="0"/>
            <w:vAlign w:val="center"/>
          </w:tcPr>
          <w:p w14:paraId="74A75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52616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16F1C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465AB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通用基础报表工具</w:t>
            </w:r>
          </w:p>
        </w:tc>
        <w:tc>
          <w:tcPr>
            <w:tcW w:w="965" w:type="pct"/>
            <w:tcBorders>
              <w:top w:val="nil"/>
              <w:left w:val="nil"/>
              <w:bottom w:val="single" w:color="auto" w:sz="4" w:space="0"/>
              <w:right w:val="single" w:color="auto" w:sz="4" w:space="0"/>
            </w:tcBorders>
            <w:noWrap w:val="0"/>
            <w:vAlign w:val="center"/>
          </w:tcPr>
          <w:p w14:paraId="5A305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5套</w:t>
            </w:r>
          </w:p>
        </w:tc>
      </w:tr>
      <w:tr w14:paraId="44595CBD">
        <w:tblPrEx>
          <w:tblCellMar>
            <w:top w:w="0" w:type="dxa"/>
            <w:left w:w="108" w:type="dxa"/>
            <w:bottom w:w="0" w:type="dxa"/>
            <w:right w:w="108" w:type="dxa"/>
          </w:tblCellMar>
        </w:tblPrEx>
        <w:trPr>
          <w:trHeight w:val="360" w:hRule="atLeast"/>
        </w:trPr>
        <w:tc>
          <w:tcPr>
            <w:tcW w:w="459" w:type="pct"/>
            <w:vMerge w:val="continue"/>
            <w:tcBorders>
              <w:left w:val="single" w:color="auto" w:sz="4" w:space="0"/>
              <w:right w:val="single" w:color="auto" w:sz="4" w:space="0"/>
            </w:tcBorders>
            <w:noWrap w:val="0"/>
            <w:vAlign w:val="center"/>
          </w:tcPr>
          <w:p w14:paraId="524D5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3CC01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2E8A9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0EC39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数据分析报表工具</w:t>
            </w:r>
          </w:p>
        </w:tc>
        <w:tc>
          <w:tcPr>
            <w:tcW w:w="965" w:type="pct"/>
            <w:tcBorders>
              <w:top w:val="nil"/>
              <w:left w:val="nil"/>
              <w:bottom w:val="single" w:color="auto" w:sz="4" w:space="0"/>
              <w:right w:val="single" w:color="auto" w:sz="4" w:space="0"/>
            </w:tcBorders>
            <w:noWrap w:val="0"/>
            <w:vAlign w:val="center"/>
          </w:tcPr>
          <w:p w14:paraId="0AA46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4套</w:t>
            </w:r>
          </w:p>
        </w:tc>
      </w:tr>
      <w:tr w14:paraId="0CA6FF96">
        <w:tblPrEx>
          <w:tblCellMar>
            <w:top w:w="0" w:type="dxa"/>
            <w:left w:w="108" w:type="dxa"/>
            <w:bottom w:w="0" w:type="dxa"/>
            <w:right w:w="108" w:type="dxa"/>
          </w:tblCellMar>
        </w:tblPrEx>
        <w:trPr>
          <w:trHeight w:val="360" w:hRule="atLeast"/>
        </w:trPr>
        <w:tc>
          <w:tcPr>
            <w:tcW w:w="459" w:type="pct"/>
            <w:vMerge w:val="continue"/>
            <w:tcBorders>
              <w:left w:val="single" w:color="auto" w:sz="4" w:space="0"/>
              <w:right w:val="single" w:color="auto" w:sz="4" w:space="0"/>
            </w:tcBorders>
            <w:noWrap w:val="0"/>
            <w:vAlign w:val="center"/>
          </w:tcPr>
          <w:p w14:paraId="03AA8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6447B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284A1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7B736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运维管理工具</w:t>
            </w:r>
          </w:p>
        </w:tc>
        <w:tc>
          <w:tcPr>
            <w:tcW w:w="965" w:type="pct"/>
            <w:tcBorders>
              <w:top w:val="nil"/>
              <w:left w:val="nil"/>
              <w:bottom w:val="single" w:color="auto" w:sz="4" w:space="0"/>
              <w:right w:val="single" w:color="auto" w:sz="4" w:space="0"/>
            </w:tcBorders>
            <w:noWrap w:val="0"/>
            <w:vAlign w:val="center"/>
          </w:tcPr>
          <w:p w14:paraId="398C3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5套</w:t>
            </w:r>
          </w:p>
        </w:tc>
      </w:tr>
      <w:tr w14:paraId="63EE1363">
        <w:tblPrEx>
          <w:tblCellMar>
            <w:top w:w="0" w:type="dxa"/>
            <w:left w:w="108" w:type="dxa"/>
            <w:bottom w:w="0" w:type="dxa"/>
            <w:right w:w="108" w:type="dxa"/>
          </w:tblCellMar>
        </w:tblPrEx>
        <w:trPr>
          <w:trHeight w:val="360" w:hRule="atLeast"/>
        </w:trPr>
        <w:tc>
          <w:tcPr>
            <w:tcW w:w="459" w:type="pct"/>
            <w:vMerge w:val="continue"/>
            <w:tcBorders>
              <w:left w:val="single" w:color="auto" w:sz="4" w:space="0"/>
              <w:right w:val="single" w:color="auto" w:sz="4" w:space="0"/>
            </w:tcBorders>
            <w:noWrap w:val="0"/>
            <w:vAlign w:val="center"/>
          </w:tcPr>
          <w:p w14:paraId="4F6C2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1F399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61AB3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nil"/>
              <w:left w:val="nil"/>
              <w:bottom w:val="single" w:color="auto" w:sz="4" w:space="0"/>
              <w:right w:val="single" w:color="auto" w:sz="4" w:space="0"/>
            </w:tcBorders>
            <w:noWrap w:val="0"/>
            <w:vAlign w:val="center"/>
          </w:tcPr>
          <w:p w14:paraId="73210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数据库工具</w:t>
            </w:r>
          </w:p>
        </w:tc>
        <w:tc>
          <w:tcPr>
            <w:tcW w:w="965" w:type="pct"/>
            <w:tcBorders>
              <w:top w:val="nil"/>
              <w:left w:val="nil"/>
              <w:bottom w:val="single" w:color="auto" w:sz="4" w:space="0"/>
              <w:right w:val="single" w:color="auto" w:sz="4" w:space="0"/>
            </w:tcBorders>
            <w:noWrap w:val="0"/>
            <w:vAlign w:val="center"/>
          </w:tcPr>
          <w:p w14:paraId="25135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103套 </w:t>
            </w:r>
          </w:p>
        </w:tc>
      </w:tr>
      <w:tr w14:paraId="0C292CDD">
        <w:tblPrEx>
          <w:tblCellMar>
            <w:top w:w="0" w:type="dxa"/>
            <w:left w:w="108" w:type="dxa"/>
            <w:bottom w:w="0" w:type="dxa"/>
            <w:right w:w="108" w:type="dxa"/>
          </w:tblCellMar>
        </w:tblPrEx>
        <w:trPr>
          <w:trHeight w:val="360" w:hRule="atLeast"/>
        </w:trPr>
        <w:tc>
          <w:tcPr>
            <w:tcW w:w="459" w:type="pct"/>
            <w:vMerge w:val="continue"/>
            <w:tcBorders>
              <w:left w:val="single" w:color="auto" w:sz="4" w:space="0"/>
              <w:right w:val="single" w:color="auto" w:sz="4" w:space="0"/>
            </w:tcBorders>
            <w:noWrap w:val="0"/>
            <w:vAlign w:val="center"/>
          </w:tcPr>
          <w:p w14:paraId="45588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right w:val="single" w:color="auto" w:sz="4" w:space="0"/>
            </w:tcBorders>
            <w:noWrap w:val="0"/>
            <w:vAlign w:val="center"/>
          </w:tcPr>
          <w:p w14:paraId="6DC4C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right w:val="single" w:color="auto" w:sz="4" w:space="0"/>
            </w:tcBorders>
            <w:noWrap w:val="0"/>
            <w:vAlign w:val="center"/>
          </w:tcPr>
          <w:p w14:paraId="353D1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single" w:color="auto" w:sz="4" w:space="0"/>
              <w:left w:val="nil"/>
              <w:bottom w:val="single" w:color="auto" w:sz="4" w:space="0"/>
              <w:right w:val="single" w:color="auto" w:sz="4" w:space="0"/>
            </w:tcBorders>
            <w:noWrap w:val="0"/>
            <w:vAlign w:val="center"/>
          </w:tcPr>
          <w:p w14:paraId="7AB4B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中间件工具</w:t>
            </w:r>
          </w:p>
        </w:tc>
        <w:tc>
          <w:tcPr>
            <w:tcW w:w="965" w:type="pct"/>
            <w:tcBorders>
              <w:top w:val="single" w:color="auto" w:sz="4" w:space="0"/>
              <w:left w:val="nil"/>
              <w:bottom w:val="single" w:color="auto" w:sz="4" w:space="0"/>
              <w:right w:val="single" w:color="auto" w:sz="4" w:space="0"/>
            </w:tcBorders>
            <w:noWrap w:val="0"/>
            <w:vAlign w:val="center"/>
          </w:tcPr>
          <w:p w14:paraId="70F40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118套</w:t>
            </w:r>
          </w:p>
        </w:tc>
      </w:tr>
      <w:tr w14:paraId="0ECC3CCB">
        <w:tblPrEx>
          <w:tblCellMar>
            <w:top w:w="0" w:type="dxa"/>
            <w:left w:w="108" w:type="dxa"/>
            <w:bottom w:w="0" w:type="dxa"/>
            <w:right w:w="108" w:type="dxa"/>
          </w:tblCellMar>
        </w:tblPrEx>
        <w:trPr>
          <w:trHeight w:val="360" w:hRule="atLeast"/>
        </w:trPr>
        <w:tc>
          <w:tcPr>
            <w:tcW w:w="459" w:type="pct"/>
            <w:vMerge w:val="continue"/>
            <w:tcBorders>
              <w:left w:val="single" w:color="auto" w:sz="4" w:space="0"/>
              <w:bottom w:val="single" w:color="auto" w:sz="4" w:space="0"/>
              <w:right w:val="single" w:color="auto" w:sz="4" w:space="0"/>
            </w:tcBorders>
            <w:noWrap w:val="0"/>
            <w:vAlign w:val="center"/>
          </w:tcPr>
          <w:p w14:paraId="66FA3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460" w:type="pct"/>
            <w:vMerge w:val="continue"/>
            <w:tcBorders>
              <w:left w:val="single" w:color="auto" w:sz="4" w:space="0"/>
              <w:bottom w:val="single" w:color="auto" w:sz="4" w:space="0"/>
              <w:right w:val="single" w:color="auto" w:sz="4" w:space="0"/>
            </w:tcBorders>
            <w:noWrap w:val="0"/>
            <w:vAlign w:val="center"/>
          </w:tcPr>
          <w:p w14:paraId="61E33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792" w:type="pct"/>
            <w:vMerge w:val="continue"/>
            <w:tcBorders>
              <w:left w:val="single" w:color="auto" w:sz="4" w:space="0"/>
              <w:bottom w:val="single" w:color="auto" w:sz="4" w:space="0"/>
              <w:right w:val="single" w:color="auto" w:sz="4" w:space="0"/>
            </w:tcBorders>
            <w:noWrap w:val="0"/>
            <w:vAlign w:val="center"/>
          </w:tcPr>
          <w:p w14:paraId="1046D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p>
        </w:tc>
        <w:tc>
          <w:tcPr>
            <w:tcW w:w="2322" w:type="pct"/>
            <w:tcBorders>
              <w:top w:val="single" w:color="auto" w:sz="4" w:space="0"/>
              <w:left w:val="nil"/>
              <w:bottom w:val="single" w:color="auto" w:sz="4" w:space="0"/>
              <w:right w:val="single" w:color="auto" w:sz="4" w:space="0"/>
            </w:tcBorders>
            <w:noWrap w:val="0"/>
            <w:vAlign w:val="center"/>
          </w:tcPr>
          <w:p w14:paraId="2E39B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操作系统工具</w:t>
            </w:r>
          </w:p>
        </w:tc>
        <w:tc>
          <w:tcPr>
            <w:tcW w:w="965" w:type="pct"/>
            <w:tcBorders>
              <w:top w:val="single" w:color="auto" w:sz="4" w:space="0"/>
              <w:left w:val="nil"/>
              <w:bottom w:val="single" w:color="auto" w:sz="4" w:space="0"/>
              <w:right w:val="single" w:color="auto" w:sz="4" w:space="0"/>
            </w:tcBorders>
            <w:noWrap w:val="0"/>
            <w:vAlign w:val="center"/>
          </w:tcPr>
          <w:p w14:paraId="4989E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445套</w:t>
            </w:r>
          </w:p>
        </w:tc>
      </w:tr>
    </w:tbl>
    <w:p w14:paraId="489A7309">
      <w:pPr>
        <w:rPr>
          <w:rFonts w:hint="eastAsia"/>
          <w:highlight w:val="none"/>
        </w:rPr>
      </w:pPr>
    </w:p>
    <w:p w14:paraId="0EEF8C5A">
      <w:pPr>
        <w:ind w:firstLine="482"/>
        <w:rPr>
          <w:rFonts w:hint="eastAsia"/>
          <w:b/>
          <w:highlight w:val="none"/>
        </w:rPr>
      </w:pPr>
    </w:p>
    <w:p w14:paraId="16E824FA">
      <w:pPr>
        <w:pStyle w:val="2"/>
        <w:ind w:left="0" w:leftChars="0" w:firstLineChars="0"/>
        <w:rPr>
          <w:rFonts w:hint="eastAsia"/>
          <w:highlight w:val="none"/>
        </w:rPr>
      </w:pPr>
      <w:bookmarkStart w:id="13" w:name="_Toc47533288"/>
      <w:bookmarkEnd w:id="13"/>
      <w:bookmarkStart w:id="14" w:name="_Toc47539102"/>
      <w:bookmarkEnd w:id="14"/>
      <w:bookmarkStart w:id="15" w:name="_Toc47537166"/>
      <w:bookmarkEnd w:id="15"/>
      <w:bookmarkStart w:id="16" w:name="_Toc47536676"/>
      <w:bookmarkEnd w:id="16"/>
      <w:bookmarkStart w:id="17" w:name="_Toc47536304"/>
      <w:bookmarkEnd w:id="17"/>
      <w:bookmarkStart w:id="18" w:name="_Toc47532923"/>
      <w:bookmarkEnd w:id="18"/>
      <w:r>
        <w:rPr>
          <w:rFonts w:hint="eastAsia"/>
          <w:highlight w:val="none"/>
        </w:rPr>
        <w:t>项目建设内容</w:t>
      </w:r>
    </w:p>
    <w:p w14:paraId="46A5837E">
      <w:pPr>
        <w:pStyle w:val="3"/>
        <w:bidi w:val="0"/>
        <w:ind w:left="0" w:leftChars="0" w:firstLineChars="0"/>
        <w:rPr>
          <w:rFonts w:hint="default" w:ascii="宋体" w:hAnsi="宋体" w:eastAsia="宋体"/>
          <w:highlight w:val="none"/>
          <w:lang w:val="en-US" w:eastAsia="zh-CN"/>
        </w:rPr>
      </w:pPr>
      <w:r>
        <w:rPr>
          <w:rFonts w:hint="eastAsia" w:ascii="宋体" w:hAnsi="宋体" w:eastAsia="宋体"/>
          <w:highlight w:val="none"/>
          <w:lang w:val="en-US" w:eastAsia="zh-CN"/>
        </w:rPr>
        <w:t>软件工具购置清单</w:t>
      </w:r>
    </w:p>
    <w:tbl>
      <w:tblPr>
        <w:tblStyle w:val="10"/>
        <w:tblW w:w="50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
        <w:gridCol w:w="2120"/>
        <w:gridCol w:w="2881"/>
        <w:gridCol w:w="1303"/>
        <w:gridCol w:w="1304"/>
      </w:tblGrid>
      <w:tr w14:paraId="09BA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804FA">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序号</w:t>
            </w:r>
          </w:p>
        </w:tc>
        <w:tc>
          <w:tcPr>
            <w:tcW w:w="1241" w:type="pct"/>
            <w:tcBorders>
              <w:top w:val="single" w:color="000000" w:sz="4" w:space="0"/>
              <w:left w:val="nil"/>
              <w:bottom w:val="single" w:color="000000" w:sz="4" w:space="0"/>
              <w:right w:val="single" w:color="000000" w:sz="4" w:space="0"/>
              <w:tl2br w:val="nil"/>
              <w:tr2bl w:val="nil"/>
            </w:tcBorders>
            <w:noWrap w:val="0"/>
            <w:vAlign w:val="center"/>
          </w:tcPr>
          <w:p w14:paraId="20C17F85">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工具大类</w:t>
            </w: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735B2165">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工具子类</w:t>
            </w:r>
          </w:p>
        </w:tc>
        <w:tc>
          <w:tcPr>
            <w:tcW w:w="763" w:type="pct"/>
            <w:tcBorders>
              <w:top w:val="single" w:color="000000" w:sz="4" w:space="0"/>
              <w:left w:val="nil"/>
              <w:bottom w:val="single" w:color="000000" w:sz="4" w:space="0"/>
              <w:right w:val="single" w:color="000000" w:sz="4" w:space="0"/>
              <w:tl2br w:val="nil"/>
              <w:tr2bl w:val="nil"/>
            </w:tcBorders>
            <w:noWrap w:val="0"/>
            <w:vAlign w:val="center"/>
          </w:tcPr>
          <w:p w14:paraId="2D3B93E9">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采购数量</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0"/>
            <w:vAlign w:val="center"/>
          </w:tcPr>
          <w:p w14:paraId="210E2E22">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bidi="ar"/>
              </w:rPr>
              <w:t>单位</w:t>
            </w:r>
          </w:p>
        </w:tc>
      </w:tr>
      <w:tr w14:paraId="5266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5D911">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241" w:type="pct"/>
            <w:vMerge w:val="restart"/>
            <w:tcBorders>
              <w:top w:val="single" w:color="000000" w:sz="4" w:space="0"/>
              <w:left w:val="nil"/>
              <w:bottom w:val="nil"/>
              <w:right w:val="single" w:color="000000" w:sz="4" w:space="0"/>
              <w:tl2br w:val="nil"/>
              <w:tr2bl w:val="nil"/>
            </w:tcBorders>
            <w:noWrap w:val="0"/>
            <w:vAlign w:val="center"/>
          </w:tcPr>
          <w:p w14:paraId="43B57C5F">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版式办公工具</w:t>
            </w: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679C5086">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版式办公工具-PC端</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5B37BE18">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250</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75DB218E">
            <w:pPr>
              <w:keepNext w:val="0"/>
              <w:keepLines w:val="0"/>
              <w:suppressLineNumbers w:val="0"/>
              <w:spacing w:before="0" w:beforeLines="0" w:beforeAutospacing="0" w:after="0" w:afterLines="0" w:afterAutospacing="0"/>
              <w:ind w:left="0" w:leftChars="0" w:right="0" w:firstLine="240" w:firstLineChars="100"/>
              <w:jc w:val="both"/>
              <w:textAlignment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02ED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E9E71">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1241" w:type="pct"/>
            <w:vMerge w:val="continue"/>
            <w:tcBorders>
              <w:top w:val="nil"/>
              <w:left w:val="nil"/>
              <w:bottom w:val="single" w:color="000000" w:sz="4" w:space="0"/>
              <w:right w:val="single" w:color="000000" w:sz="4" w:space="0"/>
              <w:tl2br w:val="nil"/>
              <w:tr2bl w:val="nil"/>
            </w:tcBorders>
            <w:noWrap w:val="0"/>
            <w:vAlign w:val="center"/>
          </w:tcPr>
          <w:p w14:paraId="236B4E14">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7B863BFF">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版式办公工具-服务器端</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3B30692A">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3D6945DB">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5BD2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DAB5B">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w:t>
            </w:r>
          </w:p>
        </w:tc>
        <w:tc>
          <w:tcPr>
            <w:tcW w:w="1241" w:type="pct"/>
            <w:vMerge w:val="restart"/>
            <w:tcBorders>
              <w:top w:val="single" w:color="000000" w:sz="4" w:space="0"/>
              <w:left w:val="nil"/>
              <w:bottom w:val="nil"/>
              <w:right w:val="single" w:color="000000" w:sz="4" w:space="0"/>
              <w:tl2br w:val="nil"/>
              <w:tr2bl w:val="nil"/>
            </w:tcBorders>
            <w:noWrap w:val="0"/>
            <w:vAlign w:val="center"/>
          </w:tcPr>
          <w:p w14:paraId="03DCF305">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流式办公工具</w:t>
            </w: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641B2DD7">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流式办公工具-PC端</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0F7F356B">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435</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2861B6DD">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03A2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6B1E7">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w:t>
            </w:r>
          </w:p>
        </w:tc>
        <w:tc>
          <w:tcPr>
            <w:tcW w:w="1241" w:type="pct"/>
            <w:vMerge w:val="continue"/>
            <w:tcBorders>
              <w:top w:val="nil"/>
              <w:left w:val="nil"/>
              <w:bottom w:val="nil"/>
              <w:right w:val="single" w:color="000000" w:sz="4" w:space="0"/>
              <w:tl2br w:val="nil"/>
              <w:tr2bl w:val="nil"/>
            </w:tcBorders>
            <w:noWrap w:val="0"/>
            <w:vAlign w:val="center"/>
          </w:tcPr>
          <w:p w14:paraId="1438D04E">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23FDADA8">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流式文档在线编辑工具</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1C364919">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779857CF">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2C7E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D8455">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w:t>
            </w:r>
          </w:p>
        </w:tc>
        <w:tc>
          <w:tcPr>
            <w:tcW w:w="1241" w:type="pct"/>
            <w:vMerge w:val="continue"/>
            <w:tcBorders>
              <w:top w:val="nil"/>
              <w:left w:val="nil"/>
              <w:bottom w:val="single" w:color="000000" w:sz="4" w:space="0"/>
              <w:right w:val="single" w:color="000000" w:sz="4" w:space="0"/>
              <w:tl2br w:val="nil"/>
              <w:tr2bl w:val="nil"/>
            </w:tcBorders>
            <w:noWrap w:val="0"/>
            <w:vAlign w:val="center"/>
          </w:tcPr>
          <w:p w14:paraId="0CC8691E">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1E16F747">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流式文档在线预览工具</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1DA1A6A7">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1EEFC07A">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0AFB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94657">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w:t>
            </w:r>
          </w:p>
        </w:tc>
        <w:tc>
          <w:tcPr>
            <w:tcW w:w="1241" w:type="pct"/>
            <w:vMerge w:val="restart"/>
            <w:tcBorders>
              <w:top w:val="single" w:color="000000" w:sz="4" w:space="0"/>
              <w:left w:val="nil"/>
              <w:bottom w:val="nil"/>
              <w:right w:val="single" w:color="000000" w:sz="4" w:space="0"/>
              <w:tl2br w:val="nil"/>
              <w:tr2bl w:val="nil"/>
            </w:tcBorders>
            <w:noWrap w:val="0"/>
            <w:vAlign w:val="center"/>
          </w:tcPr>
          <w:p w14:paraId="6365F1C5">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文字校对工具</w:t>
            </w: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72078B04">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文字校对工具-PC端</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06CB403B">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02269455">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689E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A3776">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w:t>
            </w:r>
          </w:p>
        </w:tc>
        <w:tc>
          <w:tcPr>
            <w:tcW w:w="1241" w:type="pct"/>
            <w:vMerge w:val="continue"/>
            <w:tcBorders>
              <w:top w:val="nil"/>
              <w:left w:val="nil"/>
              <w:bottom w:val="single" w:color="000000" w:sz="4" w:space="0"/>
              <w:right w:val="single" w:color="000000" w:sz="4" w:space="0"/>
              <w:tl2br w:val="nil"/>
              <w:tr2bl w:val="nil"/>
            </w:tcBorders>
            <w:noWrap w:val="0"/>
            <w:vAlign w:val="center"/>
          </w:tcPr>
          <w:p w14:paraId="2F386D84">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5D70C474">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文字校对工具-服务器端</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0CB4A18F">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60C0A126">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3574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21A13">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w:t>
            </w:r>
          </w:p>
        </w:tc>
        <w:tc>
          <w:tcPr>
            <w:tcW w:w="1241" w:type="pct"/>
            <w:tcBorders>
              <w:top w:val="single" w:color="000000" w:sz="4" w:space="0"/>
              <w:left w:val="nil"/>
              <w:bottom w:val="single" w:color="000000" w:sz="4" w:space="0"/>
              <w:right w:val="single" w:color="000000" w:sz="4" w:space="0"/>
              <w:tl2br w:val="nil"/>
              <w:tr2bl w:val="nil"/>
            </w:tcBorders>
            <w:noWrap w:val="0"/>
            <w:vAlign w:val="center"/>
          </w:tcPr>
          <w:p w14:paraId="2DCE3B4C">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数据同步工具</w:t>
            </w: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1332E114">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数据同步工具</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51B0428C">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100</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5B7CEA62">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550B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B72B6">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w:t>
            </w:r>
          </w:p>
        </w:tc>
        <w:tc>
          <w:tcPr>
            <w:tcW w:w="1241" w:type="pct"/>
            <w:vMerge w:val="restart"/>
            <w:tcBorders>
              <w:top w:val="single" w:color="000000" w:sz="4" w:space="0"/>
              <w:left w:val="nil"/>
              <w:bottom w:val="nil"/>
              <w:right w:val="single" w:color="000000" w:sz="4" w:space="0"/>
              <w:tl2br w:val="nil"/>
              <w:tr2bl w:val="nil"/>
            </w:tcBorders>
            <w:noWrap w:val="0"/>
            <w:vAlign w:val="center"/>
          </w:tcPr>
          <w:p w14:paraId="288E4FDE">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数据可视化工具</w:t>
            </w: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2BE6D935">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报表工具-通用基础报表</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29B19814">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0115F45D">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18BC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280DC">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1241" w:type="pct"/>
            <w:vMerge w:val="continue"/>
            <w:tcBorders>
              <w:top w:val="nil"/>
              <w:left w:val="nil"/>
              <w:bottom w:val="single" w:color="000000" w:sz="4" w:space="0"/>
              <w:right w:val="single" w:color="000000" w:sz="4" w:space="0"/>
              <w:tl2br w:val="nil"/>
              <w:tr2bl w:val="nil"/>
            </w:tcBorders>
            <w:noWrap w:val="0"/>
            <w:vAlign w:val="center"/>
          </w:tcPr>
          <w:p w14:paraId="7FB910E1">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0AA540CF">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报表工具-数据分析报表</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71A96952">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1A5C4179">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76B4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883D2">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w:t>
            </w:r>
          </w:p>
        </w:tc>
        <w:tc>
          <w:tcPr>
            <w:tcW w:w="1241" w:type="pct"/>
            <w:vMerge w:val="restart"/>
            <w:tcBorders>
              <w:top w:val="single" w:color="000000" w:sz="4" w:space="0"/>
              <w:left w:val="nil"/>
              <w:bottom w:val="nil"/>
              <w:right w:val="single" w:color="000000" w:sz="4" w:space="0"/>
              <w:tl2br w:val="nil"/>
              <w:tr2bl w:val="nil"/>
            </w:tcBorders>
            <w:noWrap w:val="0"/>
            <w:vAlign w:val="center"/>
          </w:tcPr>
          <w:p w14:paraId="7573F778">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基础软件工具</w:t>
            </w: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772DE44E">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运维管理工具</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353EB630">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37A38BB7">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635E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6035D">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w:t>
            </w:r>
          </w:p>
        </w:tc>
        <w:tc>
          <w:tcPr>
            <w:tcW w:w="1241" w:type="pct"/>
            <w:vMerge w:val="continue"/>
            <w:tcBorders>
              <w:top w:val="nil"/>
              <w:left w:val="nil"/>
              <w:bottom w:val="nil"/>
              <w:right w:val="single" w:color="000000" w:sz="4" w:space="0"/>
              <w:tl2br w:val="nil"/>
              <w:tr2bl w:val="nil"/>
            </w:tcBorders>
            <w:noWrap w:val="0"/>
            <w:vAlign w:val="center"/>
          </w:tcPr>
          <w:p w14:paraId="4FB32BF6">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5BE6696E">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数据库工具</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185F5529">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103</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6481E41F">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0E4A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BC788">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w:t>
            </w:r>
          </w:p>
        </w:tc>
        <w:tc>
          <w:tcPr>
            <w:tcW w:w="1241" w:type="pct"/>
            <w:vMerge w:val="continue"/>
            <w:tcBorders>
              <w:top w:val="nil"/>
              <w:left w:val="nil"/>
              <w:bottom w:val="nil"/>
              <w:right w:val="single" w:color="000000" w:sz="4" w:space="0"/>
              <w:tl2br w:val="nil"/>
              <w:tr2bl w:val="nil"/>
            </w:tcBorders>
            <w:noWrap w:val="0"/>
            <w:vAlign w:val="center"/>
          </w:tcPr>
          <w:p w14:paraId="6BEA8B09">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30E2E63A">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中间件工具</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12046F9A">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118</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387DC0F6">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r w14:paraId="689F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8218D">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w:t>
            </w:r>
          </w:p>
        </w:tc>
        <w:tc>
          <w:tcPr>
            <w:tcW w:w="1241" w:type="pct"/>
            <w:vMerge w:val="continue"/>
            <w:tcBorders>
              <w:top w:val="nil"/>
              <w:left w:val="nil"/>
              <w:bottom w:val="single" w:color="000000" w:sz="4" w:space="0"/>
              <w:right w:val="single" w:color="000000" w:sz="4" w:space="0"/>
              <w:tl2br w:val="nil"/>
              <w:tr2bl w:val="nil"/>
            </w:tcBorders>
            <w:noWrap w:val="0"/>
            <w:vAlign w:val="center"/>
          </w:tcPr>
          <w:p w14:paraId="2A9CBAB4">
            <w:pPr>
              <w:keepNext w:val="0"/>
              <w:keepLines w:val="0"/>
              <w:widowControl w:val="0"/>
              <w:suppressLineNumbers w:val="0"/>
              <w:spacing w:before="0" w:beforeLines="0" w:beforeAutospacing="0" w:after="0" w:afterLines="0" w:afterAutospacing="0"/>
              <w:ind w:left="0" w:right="0" w:firstLine="0" w:firstLineChars="0"/>
              <w:jc w:val="center"/>
              <w:rPr>
                <w:rFonts w:hint="eastAsia" w:asciiTheme="minorEastAsia" w:hAnsiTheme="minorEastAsia" w:eastAsiaTheme="minorEastAsia" w:cstheme="minorEastAsia"/>
                <w:color w:val="auto"/>
                <w:sz w:val="24"/>
                <w:szCs w:val="24"/>
                <w:highlight w:val="none"/>
                <w:lang w:eastAsia="zh-CN"/>
              </w:rPr>
            </w:pPr>
          </w:p>
        </w:tc>
        <w:tc>
          <w:tcPr>
            <w:tcW w:w="1687" w:type="pct"/>
            <w:tcBorders>
              <w:top w:val="single" w:color="000000" w:sz="4" w:space="0"/>
              <w:left w:val="nil"/>
              <w:bottom w:val="single" w:color="000000" w:sz="4" w:space="0"/>
              <w:right w:val="single" w:color="000000" w:sz="4" w:space="0"/>
              <w:tl2br w:val="nil"/>
              <w:tr2bl w:val="nil"/>
            </w:tcBorders>
            <w:noWrap w:val="0"/>
            <w:vAlign w:val="center"/>
          </w:tcPr>
          <w:p w14:paraId="3158D25E">
            <w:pPr>
              <w:keepNext w:val="0"/>
              <w:keepLines w:val="0"/>
              <w:suppressLineNumbers w:val="0"/>
              <w:spacing w:before="0" w:beforeLines="0" w:beforeAutospacing="0" w:after="0" w:afterLines="0" w:afterAutospacing="0"/>
              <w:ind w:left="0" w:right="0"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操作系统工具</w:t>
            </w:r>
          </w:p>
        </w:tc>
        <w:tc>
          <w:tcPr>
            <w:tcW w:w="763" w:type="pct"/>
            <w:tcBorders>
              <w:top w:val="single" w:color="000000" w:sz="4" w:space="0"/>
              <w:left w:val="nil"/>
              <w:bottom w:val="single" w:color="000000" w:sz="4" w:space="0"/>
              <w:right w:val="single" w:color="000000" w:sz="4" w:space="0"/>
              <w:tl2br w:val="nil"/>
              <w:tr2bl w:val="nil"/>
            </w:tcBorders>
            <w:noWrap/>
            <w:vAlign w:val="center"/>
          </w:tcPr>
          <w:p w14:paraId="2FC2C871">
            <w:pPr>
              <w:keepNext w:val="0"/>
              <w:keepLines w:val="0"/>
              <w:suppressLineNumbers w:val="0"/>
              <w:spacing w:before="0" w:beforeLines="0" w:beforeAutospacing="0" w:after="0" w:afterLines="0" w:afterAutospacing="0"/>
              <w:ind w:left="0" w:right="0"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445</w:t>
            </w:r>
          </w:p>
        </w:tc>
        <w:tc>
          <w:tcPr>
            <w:tcW w:w="763" w:type="pct"/>
            <w:tcBorders>
              <w:top w:val="single" w:color="000000" w:sz="4" w:space="0"/>
              <w:left w:val="nil"/>
              <w:bottom w:val="single" w:color="000000" w:sz="4" w:space="0"/>
              <w:right w:val="single" w:color="000000" w:sz="4" w:space="0"/>
              <w:tl2br w:val="nil"/>
              <w:tr2bl w:val="nil"/>
            </w:tcBorders>
            <w:shd w:val="clear" w:color="auto" w:fill="auto"/>
            <w:noWrap/>
            <w:vAlign w:val="center"/>
          </w:tcPr>
          <w:p w14:paraId="202A58AE">
            <w:pPr>
              <w:keepNext w:val="0"/>
              <w:keepLines w:val="0"/>
              <w:suppressLineNumbers w:val="0"/>
              <w:spacing w:before="0" w:beforeLines="0" w:beforeAutospacing="0" w:after="0" w:afterLines="0" w:afterAutospacing="0"/>
              <w:ind w:left="0" w:leftChars="0" w:right="0"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套</w:t>
            </w:r>
            <w:r>
              <w:rPr>
                <w:rFonts w:hint="default" w:asciiTheme="minorEastAsia" w:hAnsiTheme="minorEastAsia" w:eastAsia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年</w:t>
            </w:r>
          </w:p>
        </w:tc>
      </w:tr>
    </w:tbl>
    <w:p w14:paraId="1AAFF960">
      <w:pPr>
        <w:rPr>
          <w:rFonts w:hint="eastAsia"/>
          <w:highlight w:val="none"/>
          <w:lang w:val="en-US" w:eastAsia="zh-CN"/>
        </w:rPr>
      </w:pPr>
    </w:p>
    <w:p w14:paraId="370A70FB">
      <w:pPr>
        <w:pStyle w:val="3"/>
        <w:bidi w:val="0"/>
        <w:ind w:left="0" w:leftChars="0" w:firstLineChars="0"/>
        <w:rPr>
          <w:rFonts w:hint="eastAsia" w:ascii="宋体" w:hAnsi="宋体" w:eastAsia="宋体"/>
          <w:highlight w:val="none"/>
          <w:lang w:val="en-US" w:eastAsia="zh-CN"/>
        </w:rPr>
      </w:pPr>
      <w:bookmarkStart w:id="19" w:name="_Toc23386"/>
      <w:r>
        <w:rPr>
          <w:rFonts w:hint="eastAsia" w:ascii="宋体" w:hAnsi="宋体" w:eastAsia="宋体"/>
          <w:highlight w:val="none"/>
          <w:lang w:val="en-US" w:eastAsia="zh-CN"/>
        </w:rPr>
        <w:t>软件工具技术要求</w:t>
      </w:r>
      <w:bookmarkEnd w:id="19"/>
    </w:p>
    <w:p w14:paraId="1FAA1D80">
      <w:pPr>
        <w:pStyle w:val="4"/>
        <w:bidi w:val="0"/>
        <w:rPr>
          <w:rFonts w:hint="eastAsia"/>
          <w:highlight w:val="none"/>
          <w:lang w:val="en-US" w:eastAsia="zh-CN"/>
        </w:rPr>
      </w:pPr>
      <w:r>
        <w:rPr>
          <w:rFonts w:hint="eastAsia"/>
          <w:highlight w:val="none"/>
          <w:lang w:val="en-US" w:eastAsia="zh-CN"/>
        </w:rPr>
        <w:t>版式办公工具-PC端</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18"/>
        <w:gridCol w:w="6611"/>
      </w:tblGrid>
      <w:tr w14:paraId="27FC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3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D3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6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1F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sz w:val="21"/>
                <w:szCs w:val="21"/>
                <w:highlight w:val="none"/>
                <w:lang w:val="en-US" w:eastAsia="zh-CN"/>
              </w:rPr>
              <w:t>提供客户端版式文档处理能力，支持页面编辑、批注以及文档格式转换和合并拆分等基本功能。</w:t>
            </w:r>
          </w:p>
        </w:tc>
      </w:tr>
      <w:tr w14:paraId="6CDC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6" w:hRule="atLeast"/>
        </w:trPr>
        <w:tc>
          <w:tcPr>
            <w:tcW w:w="103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56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68"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4C17408">
            <w:pPr>
              <w:keepNext w:val="0"/>
              <w:keepLines w:val="0"/>
              <w:suppressLineNumbers w:val="0"/>
              <w:spacing w:before="0" w:beforeAutospacing="0" w:after="0" w:afterAutospacing="0" w:line="240" w:lineRule="auto"/>
              <w:ind w:left="0" w:right="0" w:firstLine="0" w:firstLineChars="0"/>
              <w:rPr>
                <w:rFonts w:hint="eastAsia"/>
                <w:sz w:val="21"/>
                <w:szCs w:val="21"/>
                <w:highlight w:val="none"/>
                <w:lang w:val="en-US" w:eastAsia="zh-CN"/>
              </w:rPr>
            </w:pPr>
            <w:r>
              <w:rPr>
                <w:rFonts w:hint="eastAsia"/>
                <w:sz w:val="21"/>
                <w:szCs w:val="21"/>
                <w:highlight w:val="none"/>
                <w:lang w:val="en-US" w:eastAsia="zh-CN"/>
              </w:rPr>
              <w:t>工具能力要求包括但不限于以下内容</w:t>
            </w:r>
            <w:r>
              <w:rPr>
                <w:rFonts w:hint="default"/>
                <w:sz w:val="21"/>
                <w:szCs w:val="21"/>
                <w:highlight w:val="none"/>
                <w:lang w:val="en-US" w:eastAsia="zh-CN"/>
              </w:rPr>
              <w:t>:</w:t>
            </w:r>
          </w:p>
          <w:p w14:paraId="21810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top"/>
              <w:rPr>
                <w:rFonts w:hint="eastAsia" w:asciiTheme="minorEastAsia" w:hAnsiTheme="minorEastAsia" w:eastAsiaTheme="minorEastAsia" w:cstheme="minorEastAsia"/>
                <w:i w:val="0"/>
                <w:color w:val="auto"/>
                <w:sz w:val="21"/>
                <w:szCs w:val="21"/>
                <w:highlight w:val="none"/>
                <w:u w:val="none"/>
                <w:lang w:val="en-US"/>
              </w:rPr>
            </w:pPr>
            <w:r>
              <w:rPr>
                <w:rFonts w:hint="eastAsia"/>
                <w:sz w:val="21"/>
                <w:szCs w:val="21"/>
                <w:highlight w:val="none"/>
                <w:lang w:val="en-US" w:eastAsia="zh-CN"/>
              </w:rPr>
              <w:t>1.支持打开版式文档格式的文件，并提供复杂图文混排问题的精确解析渲染。</w:t>
            </w:r>
            <w:r>
              <w:rPr>
                <w:rFonts w:hint="eastAsia"/>
                <w:sz w:val="21"/>
                <w:szCs w:val="21"/>
                <w:highlight w:val="none"/>
                <w:lang w:val="en-US" w:eastAsia="zh-CN"/>
              </w:rPr>
              <w:br w:type="textWrapping"/>
            </w:r>
            <w:r>
              <w:rPr>
                <w:rFonts w:hint="eastAsia"/>
                <w:sz w:val="21"/>
                <w:szCs w:val="21"/>
                <w:highlight w:val="none"/>
                <w:lang w:val="en-US" w:eastAsia="zh-CN"/>
              </w:rPr>
              <w:t>2.支持对版式文档内容、注释、书签进行全文搜索，包括全文搜索、整词搜索、区分大小写搜索。</w:t>
            </w:r>
            <w:r>
              <w:rPr>
                <w:rFonts w:hint="eastAsia"/>
                <w:sz w:val="21"/>
                <w:szCs w:val="21"/>
                <w:highlight w:val="none"/>
                <w:lang w:val="en-US" w:eastAsia="zh-CN"/>
              </w:rPr>
              <w:br w:type="textWrapping"/>
            </w:r>
            <w:r>
              <w:rPr>
                <w:rFonts w:hint="eastAsia"/>
                <w:sz w:val="21"/>
                <w:szCs w:val="21"/>
                <w:highlight w:val="none"/>
                <w:lang w:val="en-US" w:eastAsia="zh-CN"/>
              </w:rPr>
              <w:t>3.支持版式文档新建页面，包括新建空白页、从图片新建、从扫描仪新建、从剪切板新建。</w:t>
            </w:r>
            <w:r>
              <w:rPr>
                <w:rFonts w:hint="eastAsia"/>
                <w:sz w:val="21"/>
                <w:szCs w:val="21"/>
                <w:highlight w:val="none"/>
                <w:lang w:val="en-US" w:eastAsia="zh-CN"/>
              </w:rPr>
              <w:br w:type="textWrapping"/>
            </w:r>
            <w:r>
              <w:rPr>
                <w:rFonts w:hint="eastAsia"/>
                <w:sz w:val="21"/>
                <w:szCs w:val="21"/>
                <w:highlight w:val="none"/>
                <w:lang w:val="en-US" w:eastAsia="zh-CN"/>
              </w:rPr>
              <w:t>4.支持导出版式文档为其他格式的功能。</w:t>
            </w:r>
            <w:r>
              <w:rPr>
                <w:rFonts w:hint="eastAsia"/>
                <w:sz w:val="21"/>
                <w:szCs w:val="21"/>
                <w:highlight w:val="none"/>
                <w:lang w:val="en-US" w:eastAsia="zh-CN"/>
              </w:rPr>
              <w:br w:type="textWrapping"/>
            </w:r>
            <w:r>
              <w:rPr>
                <w:rFonts w:hint="eastAsia"/>
                <w:sz w:val="21"/>
                <w:szCs w:val="21"/>
                <w:highlight w:val="none"/>
                <w:lang w:val="en-US" w:eastAsia="zh-CN"/>
              </w:rPr>
              <w:t>5.支持阅读版式的全屏窗口显示和幻灯片模式全屏单页不连续播放页面。</w:t>
            </w:r>
            <w:r>
              <w:rPr>
                <w:rFonts w:hint="eastAsia"/>
                <w:sz w:val="21"/>
                <w:szCs w:val="21"/>
                <w:highlight w:val="none"/>
                <w:lang w:val="en-US" w:eastAsia="zh-CN"/>
              </w:rPr>
              <w:br w:type="textWrapping"/>
            </w:r>
            <w:r>
              <w:rPr>
                <w:rFonts w:hint="eastAsia"/>
                <w:sz w:val="21"/>
                <w:szCs w:val="21"/>
                <w:highlight w:val="none"/>
                <w:lang w:val="en-US" w:eastAsia="zh-CN"/>
              </w:rPr>
              <w:t>6.提供多种批注工具进行注释，包括文字注释、高亮标注、下划线等。</w:t>
            </w:r>
            <w:r>
              <w:rPr>
                <w:rFonts w:hint="eastAsia"/>
                <w:sz w:val="21"/>
                <w:szCs w:val="21"/>
                <w:highlight w:val="none"/>
                <w:lang w:val="en-US" w:eastAsia="zh-CN"/>
              </w:rPr>
              <w:br w:type="textWrapping"/>
            </w:r>
            <w:r>
              <w:rPr>
                <w:rFonts w:hint="eastAsia"/>
                <w:sz w:val="21"/>
                <w:szCs w:val="21"/>
                <w:highlight w:val="none"/>
                <w:lang w:val="en-US" w:eastAsia="zh-CN"/>
              </w:rPr>
              <w:t>7.支持对文档增加页眉页脚、水印（包括文件及文字的单行及多行水印）、文档背景（包括纯色背景及文件背景）。</w:t>
            </w:r>
            <w:r>
              <w:rPr>
                <w:rFonts w:hint="eastAsia"/>
                <w:sz w:val="21"/>
                <w:szCs w:val="21"/>
                <w:highlight w:val="none"/>
                <w:lang w:val="en-US" w:eastAsia="zh-CN"/>
              </w:rPr>
              <w:br w:type="textWrapping"/>
            </w:r>
            <w:r>
              <w:rPr>
                <w:rFonts w:hint="eastAsia"/>
                <w:sz w:val="21"/>
                <w:szCs w:val="21"/>
                <w:highlight w:val="none"/>
                <w:lang w:val="en-US" w:eastAsia="zh-CN"/>
              </w:rPr>
              <w:t>8.支持对版式文档页面进行合并、拆分、替换页面、提取页面等操作。</w:t>
            </w:r>
            <w:r>
              <w:rPr>
                <w:rFonts w:hint="eastAsia"/>
                <w:sz w:val="21"/>
                <w:szCs w:val="21"/>
                <w:highlight w:val="none"/>
                <w:lang w:val="en-US" w:eastAsia="zh-CN"/>
              </w:rPr>
              <w:br w:type="textWrapping"/>
            </w:r>
            <w:r>
              <w:rPr>
                <w:rFonts w:hint="eastAsia"/>
                <w:sz w:val="21"/>
                <w:szCs w:val="21"/>
                <w:highlight w:val="none"/>
                <w:lang w:val="en-US" w:eastAsia="zh-CN"/>
              </w:rPr>
              <w:t>9.支持多种方式快速签署文档，并支持电子签名证书验证及数字签名验证。</w:t>
            </w:r>
          </w:p>
        </w:tc>
      </w:tr>
      <w:tr w14:paraId="3395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1" w:hRule="atLeast"/>
        </w:trPr>
        <w:tc>
          <w:tcPr>
            <w:tcW w:w="103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6C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68"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0B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sz w:val="21"/>
                <w:szCs w:val="21"/>
                <w:highlight w:val="none"/>
                <w:lang w:val="en-US" w:eastAsia="zh-CN"/>
              </w:rPr>
              <w:t>1、支持国内外主流操作系统，包括不限于Win7、Win10、麒麟、统信UOS等。</w:t>
            </w:r>
            <w:r>
              <w:rPr>
                <w:rFonts w:hint="eastAsia"/>
                <w:sz w:val="21"/>
                <w:szCs w:val="21"/>
                <w:highlight w:val="none"/>
                <w:lang w:val="en-US" w:eastAsia="zh-CN"/>
              </w:rPr>
              <w:br w:type="textWrapping"/>
            </w:r>
            <w:r>
              <w:rPr>
                <w:rFonts w:hint="eastAsia"/>
                <w:sz w:val="21"/>
                <w:szCs w:val="21"/>
                <w:highlight w:val="none"/>
                <w:lang w:val="en-US" w:eastAsia="zh-CN"/>
              </w:rPr>
              <w:t>2、适配国产化终端。</w:t>
            </w:r>
          </w:p>
        </w:tc>
      </w:tr>
      <w:tr w14:paraId="60EE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103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1B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68"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D8CDF">
            <w:pPr>
              <w:keepNext w:val="0"/>
              <w:keepLines w:val="0"/>
              <w:suppressLineNumbers w:val="0"/>
              <w:spacing w:before="0" w:beforeAutospacing="0" w:after="0" w:afterAutospacing="0" w:line="240" w:lineRule="auto"/>
              <w:ind w:left="0" w:right="0" w:firstLine="0" w:firstLineChars="0"/>
              <w:rPr>
                <w:rFonts w:hint="eastAsia"/>
                <w:sz w:val="21"/>
                <w:szCs w:val="21"/>
                <w:highlight w:val="none"/>
                <w:lang w:val="en-US" w:eastAsia="zh-CN"/>
              </w:rPr>
            </w:pPr>
            <w:r>
              <w:rPr>
                <w:rFonts w:hint="eastAsia"/>
                <w:sz w:val="21"/>
                <w:szCs w:val="21"/>
                <w:highlight w:val="none"/>
                <w:lang w:val="en-US" w:eastAsia="zh-CN"/>
              </w:rPr>
              <w:t>1、提供第三方安全检测报告。</w:t>
            </w:r>
          </w:p>
          <w:p w14:paraId="061AA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sz w:val="21"/>
                <w:szCs w:val="21"/>
                <w:highlight w:val="none"/>
                <w:lang w:val="en-US" w:eastAsia="zh-CN"/>
              </w:rPr>
              <w:t>2</w:t>
            </w:r>
            <w:r>
              <w:rPr>
                <w:rFonts w:hint="eastAsia"/>
                <w:sz w:val="21"/>
                <w:szCs w:val="21"/>
                <w:highlight w:val="yellow"/>
                <w:lang w:val="en-US" w:eastAsia="zh-CN"/>
              </w:rPr>
              <w:t>、</w:t>
            </w:r>
            <w:r>
              <w:rPr>
                <w:rFonts w:hint="eastAsia" w:ascii="PingFang SC" w:hAnsi="PingFang SC" w:eastAsia="PingFang SC" w:cs="PingFang SC"/>
                <w:b/>
                <w:bCs/>
                <w:i w:val="0"/>
                <w:color w:val="auto"/>
                <w:kern w:val="0"/>
                <w:sz w:val="21"/>
                <w:szCs w:val="21"/>
                <w:highlight w:val="yellow"/>
                <w:u w:val="none"/>
                <w:lang w:val="en-US" w:eastAsia="zh-CN" w:bidi="ar"/>
              </w:rPr>
              <w:t>△</w:t>
            </w:r>
            <w:r>
              <w:rPr>
                <w:rFonts w:hint="eastAsia"/>
                <w:sz w:val="21"/>
                <w:szCs w:val="21"/>
                <w:highlight w:val="yellow"/>
                <w:lang w:val="en-US" w:eastAsia="zh-CN"/>
              </w:rPr>
              <w:t>增强保障要求：</w:t>
            </w:r>
            <w:r>
              <w:rPr>
                <w:rFonts w:hint="eastAsia"/>
                <w:sz w:val="21"/>
                <w:szCs w:val="21"/>
                <w:highlight w:val="none"/>
                <w:lang w:val="en-US" w:eastAsia="zh-CN"/>
              </w:rPr>
              <w:t>通过中国合格评定国家认可委员会（CNAS）和中国计量认证/认可（CMA）资质的第三方检测机构的认证。</w:t>
            </w:r>
          </w:p>
        </w:tc>
      </w:tr>
    </w:tbl>
    <w:p w14:paraId="64BFA195">
      <w:pPr>
        <w:rPr>
          <w:rFonts w:hint="eastAsia"/>
          <w:highlight w:val="none"/>
          <w:lang w:val="en-US" w:eastAsia="zh-CN"/>
        </w:rPr>
      </w:pPr>
    </w:p>
    <w:p w14:paraId="730E5F26">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版式办公工具-服务器端</w:t>
      </w:r>
    </w:p>
    <w:tbl>
      <w:tblPr>
        <w:tblStyle w:val="1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718"/>
        <w:gridCol w:w="6612"/>
      </w:tblGrid>
      <w:tr w14:paraId="3E311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0" w:hRule="atLeast"/>
        </w:trPr>
        <w:tc>
          <w:tcPr>
            <w:tcW w:w="1031" w:type="pct"/>
            <w:tcBorders>
              <w:tl2br w:val="nil"/>
              <w:tr2bl w:val="nil"/>
            </w:tcBorders>
            <w:shd w:val="clear" w:color="auto" w:fill="auto"/>
            <w:tcMar>
              <w:top w:w="10" w:type="dxa"/>
              <w:left w:w="10" w:type="dxa"/>
              <w:right w:w="10" w:type="dxa"/>
            </w:tcMar>
            <w:vAlign w:val="center"/>
          </w:tcPr>
          <w:p w14:paraId="02F54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68" w:type="pct"/>
            <w:tcBorders>
              <w:tl2br w:val="nil"/>
              <w:tr2bl w:val="nil"/>
            </w:tcBorders>
            <w:shd w:val="clear" w:color="auto" w:fill="auto"/>
            <w:tcMar>
              <w:top w:w="10" w:type="dxa"/>
              <w:left w:w="10" w:type="dxa"/>
              <w:right w:w="10" w:type="dxa"/>
            </w:tcMar>
            <w:vAlign w:val="center"/>
          </w:tcPr>
          <w:p w14:paraId="2B581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工具提供服务器端PDF或OFD版式文档处理能力，支持通过浏览器实现OFD/PDF文档的在线阅读等基本功能。</w:t>
            </w:r>
          </w:p>
        </w:tc>
      </w:tr>
      <w:tr w14:paraId="7CE0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82" w:hRule="atLeast"/>
        </w:trPr>
        <w:tc>
          <w:tcPr>
            <w:tcW w:w="1031" w:type="pct"/>
            <w:tcBorders>
              <w:tl2br w:val="nil"/>
              <w:tr2bl w:val="nil"/>
            </w:tcBorders>
            <w:shd w:val="clear" w:color="auto" w:fill="auto"/>
            <w:tcMar>
              <w:top w:w="10" w:type="dxa"/>
              <w:left w:w="10" w:type="dxa"/>
              <w:right w:w="10" w:type="dxa"/>
            </w:tcMar>
            <w:vAlign w:val="center"/>
          </w:tcPr>
          <w:p w14:paraId="00727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68" w:type="pct"/>
            <w:tcBorders>
              <w:tl2br w:val="nil"/>
              <w:tr2bl w:val="nil"/>
            </w:tcBorders>
            <w:shd w:val="clear" w:color="auto" w:fill="auto"/>
            <w:tcMar>
              <w:top w:w="10" w:type="dxa"/>
              <w:left w:w="10" w:type="dxa"/>
              <w:right w:w="10" w:type="dxa"/>
            </w:tcMar>
            <w:vAlign w:val="top"/>
          </w:tcPr>
          <w:p w14:paraId="66D34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版式文档轻阅读工具产品能力包括但不限于:</w:t>
            </w:r>
          </w:p>
          <w:p w14:paraId="1816A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top"/>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将PDF/OFD/SEP/CEB/GD/S2/S72/S92/S10/MPS等格式文件实时发布为HTML网页，用户可在PC桌面端、移动设备（手机、平板）、一体机、智能自助设备上通过浏览器实现OFD/PDF文档的在线阅读，无需在本地额外下载任何软件（无插件）。</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2.支持翻页功能，支持页面缩放和全屏显示，支持内容复制和全文检索，支持大纲/缩略图导览，支持对页面相关操作权限的控制,可实现无插件、跨系统在线阅读，可用于对外信息发布和相关资料的查阅。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3.移动端，可以用手指在屏幕上向上或向下滑动来切换页面。通过使用双指捏合和拉伸手势或双击屏幕放大或缩小，实现文档视窗的放大或缩小。</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可以对签章文件进行签章查验、搜索、大文档书签定位、语义树定位查看等一系列功能，支持阅读版式的全屏窗口显示和幻灯片模式全屏单页不连续播放页面,支持可插入其他注释，如直线、箭头、方形、椭圆；注释属性可编辑。</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5.支持多种方式快速签署文档，并支持电子签名证书验证及数字签名验证。</w:t>
            </w:r>
          </w:p>
        </w:tc>
      </w:tr>
      <w:tr w14:paraId="10456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1" w:hRule="atLeast"/>
        </w:trPr>
        <w:tc>
          <w:tcPr>
            <w:tcW w:w="1031" w:type="pct"/>
            <w:tcBorders>
              <w:tl2br w:val="nil"/>
              <w:tr2bl w:val="nil"/>
            </w:tcBorders>
            <w:shd w:val="clear" w:color="auto" w:fill="auto"/>
            <w:tcMar>
              <w:top w:w="10" w:type="dxa"/>
              <w:left w:w="10" w:type="dxa"/>
              <w:right w:w="10" w:type="dxa"/>
            </w:tcMar>
            <w:vAlign w:val="center"/>
          </w:tcPr>
          <w:p w14:paraId="4F456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68" w:type="pct"/>
            <w:tcBorders>
              <w:tl2br w:val="nil"/>
              <w:tr2bl w:val="nil"/>
            </w:tcBorders>
            <w:shd w:val="clear" w:color="auto" w:fill="auto"/>
            <w:tcMar>
              <w:top w:w="10" w:type="dxa"/>
              <w:left w:w="10" w:type="dxa"/>
              <w:right w:w="10" w:type="dxa"/>
            </w:tcMar>
            <w:vAlign w:val="center"/>
          </w:tcPr>
          <w:p w14:paraId="41023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支持国内外主流操作系统，包括不限于Win7、Win10、麒麟、统信UOS等。</w:t>
            </w:r>
          </w:p>
        </w:tc>
      </w:tr>
      <w:tr w14:paraId="1E00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 w:hRule="atLeast"/>
        </w:trPr>
        <w:tc>
          <w:tcPr>
            <w:tcW w:w="1031" w:type="pct"/>
            <w:tcBorders>
              <w:tl2br w:val="nil"/>
              <w:tr2bl w:val="nil"/>
            </w:tcBorders>
            <w:shd w:val="clear" w:color="auto" w:fill="auto"/>
            <w:tcMar>
              <w:top w:w="10" w:type="dxa"/>
              <w:left w:w="10" w:type="dxa"/>
              <w:right w:w="10" w:type="dxa"/>
            </w:tcMar>
            <w:vAlign w:val="center"/>
          </w:tcPr>
          <w:p w14:paraId="79257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68" w:type="pct"/>
            <w:tcBorders>
              <w:tl2br w:val="nil"/>
              <w:tr2bl w:val="nil"/>
            </w:tcBorders>
            <w:shd w:val="clear" w:color="auto" w:fill="auto"/>
            <w:tcMar>
              <w:top w:w="10" w:type="dxa"/>
              <w:left w:w="10" w:type="dxa"/>
              <w:right w:w="10" w:type="dxa"/>
            </w:tcMar>
            <w:vAlign w:val="center"/>
          </w:tcPr>
          <w:p w14:paraId="7FEA1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提供第三方安全检测报告。</w:t>
            </w:r>
          </w:p>
        </w:tc>
      </w:tr>
      <w:tr w14:paraId="63919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4" w:hRule="atLeast"/>
        </w:trPr>
        <w:tc>
          <w:tcPr>
            <w:tcW w:w="1031" w:type="pct"/>
            <w:tcBorders>
              <w:tl2br w:val="nil"/>
              <w:tr2bl w:val="nil"/>
            </w:tcBorders>
            <w:shd w:val="clear" w:color="auto" w:fill="auto"/>
            <w:tcMar>
              <w:top w:w="10" w:type="dxa"/>
              <w:left w:w="10" w:type="dxa"/>
              <w:right w:w="10" w:type="dxa"/>
            </w:tcMar>
            <w:vAlign w:val="center"/>
          </w:tcPr>
          <w:p w14:paraId="039BA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性能要求</w:t>
            </w:r>
          </w:p>
        </w:tc>
        <w:tc>
          <w:tcPr>
            <w:tcW w:w="3968" w:type="pct"/>
            <w:tcBorders>
              <w:tl2br w:val="nil"/>
              <w:tr2bl w:val="nil"/>
            </w:tcBorders>
            <w:shd w:val="clear" w:color="auto" w:fill="auto"/>
            <w:tcMar>
              <w:top w:w="10" w:type="dxa"/>
              <w:left w:w="10" w:type="dxa"/>
              <w:right w:w="10" w:type="dxa"/>
            </w:tcMar>
            <w:vAlign w:val="center"/>
          </w:tcPr>
          <w:p w14:paraId="5067D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支持不少于300人同时在线的阅读量。</w:t>
            </w:r>
          </w:p>
        </w:tc>
      </w:tr>
      <w:tr w14:paraId="0A4F1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0" w:hRule="atLeast"/>
        </w:trPr>
        <w:tc>
          <w:tcPr>
            <w:tcW w:w="1031" w:type="pct"/>
            <w:tcBorders>
              <w:tl2br w:val="nil"/>
              <w:tr2bl w:val="nil"/>
            </w:tcBorders>
            <w:shd w:val="clear" w:color="auto" w:fill="auto"/>
            <w:tcMar>
              <w:top w:w="10" w:type="dxa"/>
              <w:left w:w="10" w:type="dxa"/>
              <w:right w:w="10" w:type="dxa"/>
            </w:tcMar>
            <w:vAlign w:val="center"/>
          </w:tcPr>
          <w:p w14:paraId="0BB74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部署模式</w:t>
            </w:r>
          </w:p>
        </w:tc>
        <w:tc>
          <w:tcPr>
            <w:tcW w:w="3968" w:type="pct"/>
            <w:tcBorders>
              <w:tl2br w:val="nil"/>
              <w:tr2bl w:val="nil"/>
            </w:tcBorders>
            <w:shd w:val="clear" w:color="auto" w:fill="auto"/>
            <w:tcMar>
              <w:top w:w="10" w:type="dxa"/>
              <w:left w:w="10" w:type="dxa"/>
              <w:right w:w="10" w:type="dxa"/>
            </w:tcMar>
            <w:vAlign w:val="center"/>
          </w:tcPr>
          <w:p w14:paraId="19081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支持单机部署和集群部署两种部署模式。其中集群部署，需提供集群管理工具，可对集群节点、集群应用等进行统一管理配置。</w:t>
            </w:r>
          </w:p>
        </w:tc>
      </w:tr>
    </w:tbl>
    <w:p w14:paraId="5683BF3F">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63867705">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流式办公工具-PC端</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13"/>
        <w:gridCol w:w="6617"/>
      </w:tblGrid>
      <w:tr w14:paraId="7526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9B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E0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工具提供通用性客户端办公软件，如覆盖文字处理、电子表格和演示文稿等功能。</w:t>
            </w:r>
          </w:p>
        </w:tc>
      </w:tr>
      <w:tr w14:paraId="27F5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5A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43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w:t>
            </w:r>
          </w:p>
          <w:p w14:paraId="5BC94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1、具备文件管理、页面设置、视图管理、编辑管理、插入管理、格式管理、工具、表格管理、对象管理、审阅管理、引用管理、插件管理、打印管理等基本功能。</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2、提供文字处理、电子表格、文档演示功能，支持PDF阅读和流版转换，支持国内外文档标准规范，兼容国内外主流流式软件。</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3、支持图片预览，点击图片显示图片预览的效果。</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4、具备内置浏览器，支持双击链接文档内的超级链接，通过内置浏览器进行访问。</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支持以对象形式在文档中插入doc、xls、ppt、docx、xlsx、pptx、ofd、pdf、压缩包等格式的文档，满足office相同组件或不同组件之间文档相互引用的场景，双击对象时可以打开文件的原始程序进行编辑，方便快捷。同时避免文档在不同平台流转时，无法查看历史文档中附件的问题。</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6、支持“文档拆分合并”功能，实现对doc、docx、xls、xlsx、pdf格式的文档进行合并和拆分，且可自定义不同合并拆分方式，包括合并范围、输出名称、输出目录、拆分范围等，快速整合文档资源。</w:t>
            </w:r>
          </w:p>
        </w:tc>
      </w:tr>
      <w:tr w14:paraId="781E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C0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27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1、支持国内外主流操作系统，包括不限于Win7、Win10、麒麟、统信UOS等。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2、适配国产化终端。</w:t>
            </w:r>
          </w:p>
        </w:tc>
      </w:tr>
      <w:tr w14:paraId="4EB7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0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BC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50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1、流式文档工具需具有文档水印、限制编辑、文档加密（打开密码、编辑密码）等文档安全防护机制。</w:t>
            </w:r>
          </w:p>
          <w:p w14:paraId="3B002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2、提供第三方安全检测报告。</w:t>
            </w:r>
          </w:p>
        </w:tc>
      </w:tr>
    </w:tbl>
    <w:p w14:paraId="4B891BE9">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4B100F41">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流式文档在线编辑工具</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53"/>
        <w:gridCol w:w="6677"/>
      </w:tblGrid>
      <w:tr w14:paraId="0D8A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9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CE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40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5B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工具提供文档在线编辑能力，兼容Office文档格式，覆盖Office常用编辑功能。支持通过H5网页形式使用，支持外部业务系统接入，实现文档在线编辑，多人协同的工具能力。</w:t>
            </w:r>
          </w:p>
        </w:tc>
      </w:tr>
      <w:tr w14:paraId="0B1E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04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40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5E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6D7F8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1、支持多人同时编辑一份文档，须支持2G大小的word、excel、ppt文件在线编辑</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2、支持在业务系统中进行多种文件格式（doc、docx、xls、xlsx、ppt、pptx）的多人协同编辑，同时支持在PDF文件上批注；</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3、支持在打开、关闭、打印等操作时，向第三方应用推送消息。支持为第三方应用提供文档历史版本信息接口、文件重命名接口；</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4、支持为第三方提供文档在线人数、主动保存等能力；</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5、支持在文字组件中强制修订，切换修订状态；</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6、在表格模块中支持使用数据透视表；</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7、支持在表格模块中保护区域内的单元格，不允许随意修改；</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8、在表格组件中支持图片插入，支持浮动图片和单元格图片两种插入方式；</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9、支持在演示组中插入本地音视频并在线播放,支持的音频及视频格式如:'mp3','m4a','aac','wav','wma','mp4','wmv','avi'等。</w:t>
            </w:r>
          </w:p>
        </w:tc>
      </w:tr>
      <w:tr w14:paraId="18E6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9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36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40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71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1、支持国内外主流操作系统，包括不限于Win7、Win10、麒麟、统信UOS等。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2、网络环境:带宽&gt;0.2Mbps/人；网络延迟&lt;200ms</w:t>
            </w:r>
          </w:p>
        </w:tc>
      </w:tr>
      <w:tr w14:paraId="7798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9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38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40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684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1、支持通过签名验签的方式，实现非法请求的限制。</w:t>
            </w:r>
          </w:p>
          <w:p w14:paraId="4D382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2、提供第三方安全检测报告。</w:t>
            </w:r>
          </w:p>
          <w:p w14:paraId="4C9F6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3、支持https方式安全访问。</w:t>
            </w:r>
          </w:p>
        </w:tc>
      </w:tr>
      <w:tr w14:paraId="0D76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9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D3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性能要求</w:t>
            </w:r>
          </w:p>
        </w:tc>
        <w:tc>
          <w:tcPr>
            <w:tcW w:w="40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71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在6台16核CPU，64G内存，1TB硬盘，网络带宽1000Mbps以及国产操作系统的资源配置场景下，支持不少于1000文档数同时在线编辑的支持能力。</w:t>
            </w:r>
          </w:p>
        </w:tc>
      </w:tr>
      <w:tr w14:paraId="42FA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99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54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部署模式</w:t>
            </w:r>
          </w:p>
        </w:tc>
        <w:tc>
          <w:tcPr>
            <w:tcW w:w="40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4F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支持单机部署和集群部署两种部署模式。其中集群部署，需提供集群管理工具，可对集群节点、集群应用等进行统一管理和配置。</w:t>
            </w:r>
          </w:p>
        </w:tc>
      </w:tr>
    </w:tbl>
    <w:p w14:paraId="0745C817">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388DB04E">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流式文档在线预览工具</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43"/>
        <w:gridCol w:w="6586"/>
      </w:tblGrid>
      <w:tr w14:paraId="2F8D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79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1C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工具提供Word、Excel、PPT和PDF等主流文档的在线预览能力。</w:t>
            </w:r>
          </w:p>
        </w:tc>
      </w:tr>
      <w:tr w14:paraId="007C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87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56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0D645EC0">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支持业务系统进行流式文件（DOC、XLS、PPT、PPTX）的在线预览；支持对图片（JPEG,GIF）、压缩包文件(TAR,ZIP,7Z,JAR,RAR)进行预览；</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2、支持对压缩软件生成的加密压缩包预览，支持压缩包在线解压；</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3、支持输出为3种格式以上的预览模式，不同预览模式须根据不同办公场景进行切换；</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4、支持文档在线预览时限制用户数；</w:t>
            </w:r>
          </w:p>
          <w:p w14:paraId="498F04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5、支持限制打开文件的大小，支持不少于2G的word、excel、ppt、pdf文件在线预览；</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6、支持预览映射地址访问有效时间限制及访问有效次数限制；</w:t>
            </w:r>
          </w:p>
          <w:p w14:paraId="2F8A7D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7、支持预览链接防盗链，支持预览文件防复制，防下载；</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8、支持文件后台预转换。</w:t>
            </w:r>
          </w:p>
        </w:tc>
      </w:tr>
      <w:tr w14:paraId="6770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DC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 xml:space="preserve"> 兼容性要求</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9E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1、兼容主流浏览器（包含国产和非国产）如:Chrome浏览器、火狐浏览器、Safari浏览器、360浏览器、奇安信浏览器、搜狗浏览器等，支持IE11及以上浏览器预览文件；</w:t>
            </w:r>
          </w:p>
          <w:p w14:paraId="26308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2、支持国内外主流操作系统，包括不限于Win7、Win10、麒麟、统信UOS等。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3、网络环境:带宽&gt;0.2Mbps/人；网络延迟&lt;200ms</w:t>
            </w:r>
          </w:p>
        </w:tc>
      </w:tr>
      <w:tr w14:paraId="4CF5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87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9C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1、支持通过签名验签的方式，实现非法请求的限制。</w:t>
            </w:r>
          </w:p>
          <w:p w14:paraId="477D9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2、提供第三方安全检测报告。</w:t>
            </w:r>
          </w:p>
          <w:p w14:paraId="280B5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3、支持https方式安全访问。</w:t>
            </w:r>
          </w:p>
        </w:tc>
      </w:tr>
      <w:tr w14:paraId="4724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D6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性能要求</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4C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不限预览人数，已转换文件不占用并发。</w:t>
            </w:r>
          </w:p>
        </w:tc>
      </w:tr>
      <w:tr w14:paraId="378E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10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75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部署模式</w:t>
            </w:r>
          </w:p>
        </w:tc>
        <w:tc>
          <w:tcPr>
            <w:tcW w:w="39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87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支持单机部署和集群部署两种部署模式。其中集群部署，需提供集群管理工具，可对集群节点、集群应用等进行统一管理和配置。</w:t>
            </w:r>
          </w:p>
        </w:tc>
      </w:tr>
    </w:tbl>
    <w:p w14:paraId="5B3CD829">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686EEDA0">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文字校对工具-PC端</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01"/>
        <w:gridCol w:w="6628"/>
      </w:tblGrid>
      <w:tr w14:paraId="3AA3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96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C8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工具提供中文智能校对服务，能快速地找出文章中的核心敏感词、文字性错误等。支持对文章向后校对、从头校对、选中校对、批量校对等多种校对方式。</w:t>
            </w:r>
          </w:p>
        </w:tc>
      </w:tr>
      <w:tr w14:paraId="497B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EF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01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09C4A36F">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支持从头校对，从当前位置校对、选中校对、批量校对、支持单独校对领导人排序错误、支持单独校对标点符号错误多种校对方式。</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2.用户自定义错误:包含用户自定义的用户词库、敏感词库等扩充用户自定义需求。</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3.字词类错误:包含错别字、同音字、近音字、形近字、多字、漏字、颠倒、繁体字、异形词、重叠词等。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4.敏感词错误:包括新华网禁用词，涉及暴恐、色情、违禁、侮辱、歧视、脏话等不健康用词；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5.标点符号错误:成对标点、相邻标点。</w:t>
            </w:r>
          </w:p>
        </w:tc>
      </w:tr>
      <w:tr w14:paraId="13EA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D9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B4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1、支持国内外主流操作系统，包括不限于Win7、Win10、麒麟、统信UOS等。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2、适配国产化终端。</w:t>
            </w:r>
          </w:p>
        </w:tc>
      </w:tr>
      <w:tr w14:paraId="368F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D6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08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需提供第三方安全检测机构报告。</w:t>
            </w:r>
          </w:p>
        </w:tc>
      </w:tr>
    </w:tbl>
    <w:p w14:paraId="311854BC">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55210AB6">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文字校对工具-服务器端</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01"/>
        <w:gridCol w:w="6628"/>
      </w:tblGrid>
      <w:tr w14:paraId="09C6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AD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A2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工具提供中文智能校对服务，能快速地找出文章中的核心敏感词、文字性错误等。支持对文章向后校对、从头校对、选中校对、批量校对等多种校对方式。</w:t>
            </w:r>
          </w:p>
        </w:tc>
      </w:tr>
      <w:tr w14:paraId="4BDB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70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DD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26DCE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1.支持从头校对，从当前位置校对、选中校对、批量校对、支持单独校对领导人排序错误、支持单独校对标点符号错误多种校对方式。</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2.用户自定义错误:包含用户自定义的用户词库、敏感词库等扩充用户自定义需求。</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3.字词类错误:包含错别字、同音字、近音字、形近字、多字、漏字、颠倒、繁体字、异形词、重叠词等。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4.敏感词错误:包括新华网禁用词，涉及暴恐、色情、违禁、侮辱、歧视、脏话等不健康用词；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5.标点符号错误:成对标点、相邻标点。</w:t>
            </w:r>
          </w:p>
        </w:tc>
      </w:tr>
      <w:tr w14:paraId="6709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E5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46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支持国内外主流操作系统，包括不限于Win7、Win10、麒麟、统信UOS等。</w:t>
            </w:r>
          </w:p>
        </w:tc>
      </w:tr>
      <w:tr w14:paraId="1341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03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7A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需提供第三方安全检测机构报告。</w:t>
            </w:r>
          </w:p>
        </w:tc>
      </w:tr>
    </w:tbl>
    <w:p w14:paraId="0006F172">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6D7B3131">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数据同步工具</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35"/>
        <w:gridCol w:w="6590"/>
      </w:tblGrid>
      <w:tr w14:paraId="7D94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0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06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5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04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工具提供实时、非实时的数据同步应用场景，通过数据库、半结构化、非结构化数据之间的同步工作，实现数据共享分发，以及异构和非异构数据的整合。</w:t>
            </w:r>
          </w:p>
        </w:tc>
      </w:tr>
      <w:tr w14:paraId="579E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atLeast"/>
        </w:trPr>
        <w:tc>
          <w:tcPr>
            <w:tcW w:w="10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3F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5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9AD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3FA90FC6">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提供快速通过模型设计器或者作业自动化生成工具实现数据处理模型，完成数据库、半结构化、非结构化数据之间的同步工作。</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2、支持对多源数据接入，包括但不限于:关系型数据库MySQL、SQLServer、Oracle、IBMDB2、PostgreSQL、南大通用GBase、达梦DM、人大金仓KingbaseES等；以及消息队列、NoSQL等；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3、支持对多源数据输出，包括但不限于:关系型数据库MySQL、SQLServer、Oracle、IBMDB2、PostgreSQL、南大通用GBase、达梦DM、人大金仓KingbaseES等；以及消息队列、NoSQL等；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4、支持多种数据处理方式，包括但不限于:字段映射、字段过滤、数据复制/数据分发等。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5、支持对运行实例的监控，可查看作业运行详情及运行日志。</w:t>
            </w:r>
          </w:p>
          <w:p w14:paraId="339F01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6、提供统一的可视化管控平台。</w:t>
            </w:r>
          </w:p>
          <w:p w14:paraId="45F08E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p w14:paraId="0C84DA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center"/>
              <w:rPr>
                <w:rFonts w:hint="default" w:asciiTheme="minorEastAsia" w:hAnsiTheme="minorEastAsia" w:eastAsiaTheme="minorEastAsia" w:cstheme="minorEastAsia"/>
                <w:b/>
                <w:bCs/>
                <w:i w:val="0"/>
                <w:color w:val="auto"/>
                <w:kern w:val="0"/>
                <w:sz w:val="21"/>
                <w:szCs w:val="21"/>
                <w:highlight w:val="yellow"/>
                <w:u w:val="none"/>
                <w:lang w:val="en-US" w:eastAsia="zh-CN" w:bidi="ar"/>
              </w:rPr>
            </w:pPr>
            <w:r>
              <w:rPr>
                <w:rFonts w:hint="eastAsia" w:ascii="PingFang SC" w:hAnsi="PingFang SC" w:eastAsia="PingFang SC" w:cs="PingFang SC"/>
                <w:b/>
                <w:bCs/>
                <w:i w:val="0"/>
                <w:color w:val="auto"/>
                <w:kern w:val="0"/>
                <w:sz w:val="21"/>
                <w:szCs w:val="21"/>
                <w:highlight w:val="yellow"/>
                <w:u w:val="none"/>
                <w:lang w:val="en-US" w:eastAsia="zh-CN" w:bidi="ar"/>
              </w:rPr>
              <w:t>△</w:t>
            </w:r>
            <w:r>
              <w:rPr>
                <w:rFonts w:hint="eastAsia" w:asciiTheme="minorEastAsia" w:hAnsiTheme="minorEastAsia" w:eastAsiaTheme="minorEastAsia" w:cstheme="minorEastAsia"/>
                <w:b/>
                <w:bCs/>
                <w:i w:val="0"/>
                <w:color w:val="auto"/>
                <w:kern w:val="0"/>
                <w:sz w:val="21"/>
                <w:szCs w:val="21"/>
                <w:highlight w:val="yellow"/>
                <w:u w:val="none"/>
                <w:lang w:val="en-US" w:eastAsia="zh-CN" w:bidi="ar"/>
              </w:rPr>
              <w:t>增强能力要求：</w:t>
            </w:r>
          </w:p>
          <w:p w14:paraId="2DC9F549">
            <w:pPr>
              <w:keepNext w:val="0"/>
              <w:keepLines w:val="0"/>
              <w:widowControl/>
              <w:numPr>
                <w:ilvl w:val="0"/>
                <w:numId w:val="0"/>
              </w:numPr>
              <w:suppressLineNumbers w:val="0"/>
              <w:spacing w:before="0" w:beforeAutospacing="0" w:after="0" w:afterAutospacing="0" w:line="240" w:lineRule="auto"/>
              <w:ind w:left="0" w:leftChars="0"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1、支持数据同步过程中将数据以标准格式文件落盘，落盘的文件需支持包含国密在内的多种数据存储加密方式，并支持DES/AES/RSA/SM2/SM4等多种加密算法。</w:t>
            </w:r>
          </w:p>
          <w:p w14:paraId="0BA7C274">
            <w:pPr>
              <w:keepNext w:val="0"/>
              <w:keepLines w:val="0"/>
              <w:widowControl/>
              <w:numPr>
                <w:ilvl w:val="0"/>
                <w:numId w:val="0"/>
              </w:numPr>
              <w:suppressLineNumbers w:val="0"/>
              <w:spacing w:before="0" w:beforeAutospacing="0" w:after="0" w:afterAutospacing="0" w:line="240" w:lineRule="auto"/>
              <w:ind w:left="0" w:leftChars="0"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2、支持在全链路的各环节部署过滤转换功能，各环节包括源端捕获增量阶段、数据在途传输阶段、目标端入库阶段；</w:t>
            </w:r>
          </w:p>
          <w:p w14:paraId="35C7828A">
            <w:pPr>
              <w:keepNext w:val="0"/>
              <w:keepLines w:val="0"/>
              <w:widowControl/>
              <w:numPr>
                <w:ilvl w:val="0"/>
                <w:numId w:val="0"/>
              </w:numPr>
              <w:suppressLineNumbers w:val="0"/>
              <w:spacing w:before="0" w:beforeAutospacing="0" w:after="0" w:afterAutospacing="0" w:line="240" w:lineRule="auto"/>
              <w:ind w:left="0" w:leftChars="0"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3、支持1对多的DDL同步；支持对同步的DDL语句单独筛选记录并转储为文件形式，方便对DDL变更进行跟踪回溯。</w:t>
            </w:r>
          </w:p>
          <w:p w14:paraId="749D55D6">
            <w:pPr>
              <w:keepNext w:val="0"/>
              <w:keepLines w:val="0"/>
              <w:widowControl/>
              <w:numPr>
                <w:ilvl w:val="0"/>
                <w:numId w:val="0"/>
              </w:numPr>
              <w:suppressLineNumbers w:val="0"/>
              <w:spacing w:before="0" w:beforeAutospacing="0" w:after="0" w:afterAutospacing="0" w:line="240" w:lineRule="auto"/>
              <w:ind w:left="0" w:leftChars="0"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支持基于源数据库日志的增量获取，不依赖时间戳或触发器；在一对多同步场景中，源端可自动获取目标端同步业务范围配置，精确发送所需数据。支持异构数据库实时同步，无需依赖源数据库触发器或规则，不影响源数据库系统。</w:t>
            </w:r>
          </w:p>
          <w:p w14:paraId="7C2974B3">
            <w:pPr>
              <w:keepNext w:val="0"/>
              <w:keepLines w:val="0"/>
              <w:widowControl/>
              <w:numPr>
                <w:ilvl w:val="0"/>
                <w:numId w:val="0"/>
              </w:numPr>
              <w:suppressLineNumbers w:val="0"/>
              <w:spacing w:before="0" w:beforeAutospacing="0" w:after="0" w:afterAutospacing="0" w:line="240" w:lineRule="auto"/>
              <w:ind w:left="0" w:leftChars="0" w:right="0"/>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5、支持源端主动广播推送和目标端按需主动拉取两种数据同步方式，满足不同场景同步需求；在目标端支持多进程多线程加载数据方式。</w:t>
            </w:r>
          </w:p>
        </w:tc>
      </w:tr>
      <w:tr w14:paraId="0325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0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413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5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A3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1、支持国内外主流操作系统，包括不限于Win7、Win10、麒麟、统信UOS等。</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2、支持适配的编程语言:JDK</w:t>
            </w:r>
          </w:p>
        </w:tc>
      </w:tr>
      <w:tr w14:paraId="3AD9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0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BA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5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5F7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1、管理端支持https方式安全链接访问。</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2、管理端须具备SQL注入、命令注入、DDOS慢响应攻击、CSRF攻击、反射型XSS、HSTS等安全防范攻击能力。</w:t>
            </w:r>
          </w:p>
          <w:p w14:paraId="43F9A0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3、提供第三方安全检测报告。</w:t>
            </w:r>
          </w:p>
        </w:tc>
      </w:tr>
      <w:tr w14:paraId="5177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10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E1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性能要求</w:t>
            </w:r>
          </w:p>
        </w:tc>
        <w:tc>
          <w:tcPr>
            <w:tcW w:w="395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35C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数据同步过程中，每秒处理数据量不低于60(MB/秒)</w:t>
            </w:r>
          </w:p>
        </w:tc>
      </w:tr>
      <w:tr w14:paraId="39C1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10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4C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b/>
                <w:i w:val="0"/>
                <w:color w:val="auto"/>
                <w:kern w:val="2"/>
                <w:sz w:val="21"/>
                <w:szCs w:val="21"/>
                <w:highlight w:val="none"/>
                <w:u w:val="none"/>
                <w:lang w:val="en-US" w:eastAsia="zh-CN" w:bidi="ar-SA"/>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部署模式</w:t>
            </w:r>
          </w:p>
        </w:tc>
        <w:tc>
          <w:tcPr>
            <w:tcW w:w="395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8C2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支持单机部署和集群部署两种部署模式。其中集群部署，需提供集群管理工具，可对集群节点、集群应用等进行统一管理和配置。</w:t>
            </w:r>
          </w:p>
        </w:tc>
      </w:tr>
    </w:tbl>
    <w:p w14:paraId="1BD11C24">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3EDC5592">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报表工具-通用基础报表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84"/>
        <w:gridCol w:w="6545"/>
      </w:tblGrid>
      <w:tr w14:paraId="0F8F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56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C6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工具提供灵活的数据报表制作能力，支持快速统计、数据录入、填报，数据查询和数据展示等工具能力。</w:t>
            </w:r>
          </w:p>
        </w:tc>
      </w:tr>
      <w:tr w14:paraId="752D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C7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83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2671D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1、支持对数据的来源进行管理，对数据源进行新建、编辑、重命名和删除等操作，并提供连通性的测试。</w:t>
            </w:r>
          </w:p>
          <w:p w14:paraId="625AD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2、支持提供目录管理功能，对报表的目录树进行增加、删除、修改等操作。</w:t>
            </w:r>
          </w:p>
          <w:p w14:paraId="26EC3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3、支持简单的设计方式，连接数据库后直接对字段进行拖拉拽等操作实现报表页面设计；支持页面编辑所见即所得。</w:t>
            </w:r>
          </w:p>
          <w:p w14:paraId="43AB1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4、支持复杂报表设计，包括斜线表头、分片与冻结、交叉报表、分栏报表、折叠树式报表、图文混排的Word类经营报告式报表等；支持导入excel和类excel报表开发。</w:t>
            </w:r>
          </w:p>
          <w:p w14:paraId="71ADF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5、支持页面导出，导出格式包括Excel、PDF、Word、TXT、csv、html、SVG和图片格式（PNG、JPG、GIF、BMP等）等多种格式。</w:t>
            </w:r>
          </w:p>
          <w:p w14:paraId="73841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6、支持自适应展现，在PC、平板、手机、大屏等多种终端设备上自适应展现。</w:t>
            </w:r>
          </w:p>
          <w:p w14:paraId="246FB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7、支持内置多种函数公式，包括但不限于数学和三角函数、文本函数、日期和时间函数、逻辑函数、数组函数、报表函数等。</w:t>
            </w:r>
          </w:p>
          <w:p w14:paraId="64237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8、支持通过参数定义查询界面和进行数据过滤；支持参数联动；支持动态显示参数控件。</w:t>
            </w:r>
          </w:p>
          <w:p w14:paraId="4C4D6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9、支持动画效果和高度自定义的展现设计，包括但不限于饼图、柱形图、条形图、折线图、面积图、仪表盘、雷达图、散点图、气泡图、组合图、甘特图、词云图、箱形图等；支持对接第三方图表库等。</w:t>
            </w:r>
          </w:p>
        </w:tc>
      </w:tr>
      <w:tr w14:paraId="01B2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7D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1FF44">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支持国内外主流操作系统，包括不限于Win7、Win10、麒麟、统信UOS等。</w:t>
            </w:r>
          </w:p>
          <w:p w14:paraId="43C4C1D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支持国内主流数据库，包括不限于华为Gaussdb、人大金仓、南大通用、神通、达梦、瀚高、阿里云ADB、OceanBase等。</w:t>
            </w:r>
          </w:p>
          <w:p w14:paraId="6A36C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3、支持国内主流中间件，包括不限于东方通、金蝶天燕、宝兰德等。</w:t>
            </w:r>
          </w:p>
        </w:tc>
      </w:tr>
      <w:tr w14:paraId="1D82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84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CE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提供第三方安全检测报告。</w:t>
            </w:r>
          </w:p>
        </w:tc>
      </w:tr>
      <w:tr w14:paraId="3D18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02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性能要求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40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单台在32核CPU，64内存，1T硬盘，网络带宽1000Mbps以及国产操作系统的资源配置场景下，支持不少于200个并发用户。</w:t>
            </w:r>
          </w:p>
        </w:tc>
      </w:tr>
      <w:tr w14:paraId="0958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EF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b/>
                <w:i w:val="0"/>
                <w:color w:val="auto"/>
                <w:kern w:val="2"/>
                <w:sz w:val="21"/>
                <w:szCs w:val="21"/>
                <w:highlight w:val="none"/>
                <w:u w:val="none"/>
                <w:lang w:val="en-US" w:eastAsia="zh-CN" w:bidi="ar-SA"/>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部署模式</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066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支持单机部署和集群部署两种部署模式。其中集群部署，需提供集群管理工具，可对集群节点、集群应用等进行统一管理和配置。</w:t>
            </w:r>
          </w:p>
        </w:tc>
      </w:tr>
    </w:tbl>
    <w:p w14:paraId="77F55613">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570C369D">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报表工具-数据分析报表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84"/>
        <w:gridCol w:w="6545"/>
      </w:tblGrid>
      <w:tr w14:paraId="6249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71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BA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提供快速制作数据分析报表的能力，支持异端和本地多种数据源连接，支持通过拖拽式操作的方式实现可视化效果呈现。</w:t>
            </w:r>
          </w:p>
        </w:tc>
      </w:tr>
      <w:tr w14:paraId="6964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72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AB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59F22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1.数据源管理，支持包括但不限于云数据库、关系型数据库、Hadoop、MPP数据库等多种数据源接入。</w:t>
            </w:r>
          </w:p>
          <w:p w14:paraId="04EA3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2.数据集:支持表关联、新建计算字段、新建维度、自定义分组等表级和字段集的处理功能。</w:t>
            </w:r>
          </w:p>
          <w:p w14:paraId="2077E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3.仪表板:提供拖拽式的在线分析与可视化报表开发功能，支持拖拽式页面布局且一次制作多端自适应显示。</w:t>
            </w:r>
          </w:p>
          <w:p w14:paraId="392F1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4.电子表格:实现复杂报表样式，采用类Excel的方式提供在线的数据分析能力，以单元格为数据单元，支持本地复制录入及数据集方式获取和分析数据。</w:t>
            </w:r>
          </w:p>
          <w:p w14:paraId="10220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5.数据门户:按照特定逻辑和目录组成数据产品的展示页面。</w:t>
            </w:r>
          </w:p>
          <w:p w14:paraId="29F32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6.安全管控:提供多层次的安全访问机制，从用户集成、单点登录访问、工作空间隔离、报表权限到数据权限的一整套安全访问机制。</w:t>
            </w:r>
          </w:p>
          <w:p w14:paraId="6F445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7.在线协同:支持数据、报表、数据门户等的公开、分享、协同编辑和私密等多种在线分享和控制机制。</w:t>
            </w:r>
          </w:p>
          <w:p w14:paraId="45E07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8.开放服务:提供接口类型涉及到用户、标签、用户组、分享、菜单授权、数据权限、空间管理、报表管理、收藏管理等方面。</w:t>
            </w:r>
          </w:p>
        </w:tc>
      </w:tr>
      <w:tr w14:paraId="4805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BD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DEF7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兼容国产化主流操作系统、数据库、中间件和浏览器。</w:t>
            </w:r>
          </w:p>
        </w:tc>
      </w:tr>
      <w:tr w14:paraId="16D4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10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E1A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1.支持用户隔离，不同组织之间的数据、资源完全隔离，互不影响。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2.支持数据对象权限控制。</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3.提供详细的审计日志，对用户的报表访问、报表编辑、权限操作等行为均有详细记录。</w:t>
            </w:r>
          </w:p>
          <w:p w14:paraId="2606EF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4.支持https协议访问链接。</w:t>
            </w:r>
          </w:p>
        </w:tc>
      </w:tr>
      <w:tr w14:paraId="5FB6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4E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性能要求</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98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单台在16核CPU，32内存，1T硬盘，网络带宽1000Mbps以及国产操作系统的资源配置场景下，支持不少于50并发数。</w:t>
            </w:r>
          </w:p>
        </w:tc>
      </w:tr>
      <w:tr w14:paraId="425F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CC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b/>
                <w:i w:val="0"/>
                <w:color w:val="auto"/>
                <w:kern w:val="2"/>
                <w:sz w:val="21"/>
                <w:szCs w:val="21"/>
                <w:highlight w:val="none"/>
                <w:u w:val="none"/>
                <w:lang w:val="en-US" w:eastAsia="zh-CN" w:bidi="ar-SA"/>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部署模式</w:t>
            </w:r>
          </w:p>
        </w:tc>
        <w:tc>
          <w:tcPr>
            <w:tcW w:w="392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06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独立部署</w:t>
            </w:r>
          </w:p>
        </w:tc>
      </w:tr>
    </w:tbl>
    <w:p w14:paraId="17A8471E">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450F6A3C">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运维管理工具</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41"/>
        <w:gridCol w:w="6388"/>
      </w:tblGrid>
      <w:tr w14:paraId="08A1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DC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工具描述</w:t>
            </w:r>
          </w:p>
        </w:tc>
        <w:tc>
          <w:tcPr>
            <w:tcW w:w="38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69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通过服务台、事件管理、知识库、巡检管理、资产管理、变更管理、发布管理、问题管理和供应商管理等运维能力，实现数字运维管理能力。</w:t>
            </w:r>
          </w:p>
        </w:tc>
      </w:tr>
      <w:tr w14:paraId="1649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trPr>
        <w:tc>
          <w:tcPr>
            <w:tcW w:w="1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BB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工具能力要求</w:t>
            </w:r>
          </w:p>
        </w:tc>
        <w:tc>
          <w:tcPr>
            <w:tcW w:w="38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CF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工具能力包括但不限于以下内容:</w:t>
            </w:r>
          </w:p>
          <w:p w14:paraId="156AD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1．服务台自动化:支持自动化工单分派，允许预设规则以自动分配工单至相应的工程师或工作组。</w:t>
            </w:r>
          </w:p>
          <w:p w14:paraId="14487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2．工单管理:具备工单拆分功能，能够将复杂问题拆分为多个独立工单，以及全流程管理，包括新建、分派、处理、审批等。</w:t>
            </w:r>
          </w:p>
          <w:p w14:paraId="0232B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3．多渠道工单发起:支持通过邮件、短信、移动APP、PC端等多种方式提交工单。</w:t>
            </w:r>
          </w:p>
          <w:p w14:paraId="7254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4．知识库集成:内置知识库功能，支持全文检索，并能将处理完成的工单自动沉淀至知识库。</w:t>
            </w:r>
          </w:p>
          <w:p w14:paraId="4DC26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5．巡检管理:提供巡检模板定义、巡检项内容设置、巡检阀值设定，并支持手动与自动巡检</w:t>
            </w:r>
            <w:r>
              <w:rPr>
                <w:rFonts w:hint="eastAsia" w:asciiTheme="minorEastAsia" w:hAnsiTheme="minorEastAsia" w:eastAsiaTheme="minorEastAsia" w:cstheme="minorEastAsia"/>
                <w:i w:val="0"/>
                <w:color w:val="auto"/>
                <w:sz w:val="21"/>
                <w:szCs w:val="21"/>
                <w:highlight w:val="none"/>
                <w:u w:val="none"/>
                <w:lang w:val="en-US" w:eastAsia="zh-CN"/>
              </w:rPr>
              <w:t>等</w:t>
            </w:r>
            <w:r>
              <w:rPr>
                <w:rFonts w:hint="eastAsia" w:asciiTheme="minorEastAsia" w:hAnsiTheme="minorEastAsia" w:eastAsiaTheme="minorEastAsia" w:cstheme="minorEastAsia"/>
                <w:i w:val="0"/>
                <w:color w:val="auto"/>
                <w:sz w:val="21"/>
                <w:szCs w:val="21"/>
                <w:highlight w:val="none"/>
                <w:u w:val="none"/>
                <w:lang w:val="en-US"/>
              </w:rPr>
              <w:t>。</w:t>
            </w:r>
          </w:p>
          <w:p w14:paraId="23AC0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6．资产管理:包括</w:t>
            </w:r>
            <w:r>
              <w:rPr>
                <w:rFonts w:hint="eastAsia" w:asciiTheme="minorEastAsia" w:hAnsiTheme="minorEastAsia" w:eastAsiaTheme="minorEastAsia" w:cstheme="minorEastAsia"/>
                <w:i w:val="0"/>
                <w:color w:val="auto"/>
                <w:sz w:val="21"/>
                <w:szCs w:val="21"/>
                <w:highlight w:val="none"/>
                <w:u w:val="none"/>
                <w:lang w:val="en-US" w:eastAsia="zh-CN"/>
              </w:rPr>
              <w:t>不限于</w:t>
            </w:r>
            <w:r>
              <w:rPr>
                <w:rFonts w:hint="eastAsia" w:asciiTheme="minorEastAsia" w:hAnsiTheme="minorEastAsia" w:eastAsiaTheme="minorEastAsia" w:cstheme="minorEastAsia"/>
                <w:i w:val="0"/>
                <w:color w:val="auto"/>
                <w:sz w:val="21"/>
                <w:szCs w:val="21"/>
                <w:highlight w:val="none"/>
                <w:u w:val="none"/>
                <w:lang w:val="en-US"/>
              </w:rPr>
              <w:t>资产分类、资产建模、资产台账管理，以及资产变更记录和资产关系维护。</w:t>
            </w:r>
          </w:p>
          <w:p w14:paraId="3D19B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7．变更管理:支持自定义变更类型，配置不同审批流程，管理变更全生命周期。</w:t>
            </w:r>
          </w:p>
          <w:p w14:paraId="14D68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8．发布管理:支持发布流程定义，包括测试确认、审核、用户确认等，并管理所有发布记录。</w:t>
            </w:r>
          </w:p>
          <w:p w14:paraId="6E284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9．问题管理:支持问题记录、分类、紧急程度评估，以及问题处理的全过程管理。</w:t>
            </w:r>
          </w:p>
          <w:p w14:paraId="03727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10．监控集成:能够与监控系统整合，自动触发问题工单，并支持监控数据的分析和报告。</w:t>
            </w:r>
          </w:p>
          <w:p w14:paraId="1F418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1</w:t>
            </w:r>
            <w:r>
              <w:rPr>
                <w:rFonts w:hint="eastAsia" w:asciiTheme="minorEastAsia" w:hAnsiTheme="minorEastAsia" w:eastAsia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lang w:val="en-US"/>
              </w:rPr>
              <w:t>．安全与权限控制:提供角色基础的访问控制，确保数据安全和用户操作的合规性。</w:t>
            </w:r>
          </w:p>
          <w:p w14:paraId="56A7D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sz w:val="21"/>
                <w:szCs w:val="21"/>
                <w:highlight w:val="none"/>
                <w:u w:val="none"/>
                <w:lang w:val="en-US"/>
              </w:rPr>
              <w:t>1</w:t>
            </w:r>
            <w:r>
              <w:rPr>
                <w:rFonts w:hint="eastAsia" w:asciiTheme="minorEastAsia" w:hAnsiTheme="minorEastAsia" w:eastAsiaTheme="minorEastAsia" w:cstheme="minorEastAsia"/>
                <w:i w:val="0"/>
                <w:color w:val="auto"/>
                <w:sz w:val="21"/>
                <w:szCs w:val="21"/>
                <w:highlight w:val="none"/>
                <w:u w:val="none"/>
                <w:lang w:val="en-US" w:eastAsia="zh-CN"/>
              </w:rPr>
              <w:t>2</w:t>
            </w:r>
            <w:r>
              <w:rPr>
                <w:rFonts w:hint="eastAsia" w:asciiTheme="minorEastAsia" w:hAnsiTheme="minorEastAsia" w:eastAsiaTheme="minorEastAsia" w:cstheme="minorEastAsia"/>
                <w:i w:val="0"/>
                <w:color w:val="auto"/>
                <w:sz w:val="21"/>
                <w:szCs w:val="21"/>
                <w:highlight w:val="none"/>
                <w:u w:val="none"/>
                <w:lang w:val="en-US"/>
              </w:rPr>
              <w:t>．接口与集成:提供开放的API接口，支持与其他IT管理系统（如ITSM、CRM等）的集成。</w:t>
            </w:r>
          </w:p>
        </w:tc>
      </w:tr>
      <w:tr w14:paraId="5D86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BB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兼容性要求</w:t>
            </w:r>
          </w:p>
        </w:tc>
        <w:tc>
          <w:tcPr>
            <w:tcW w:w="383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4DEB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兼容国产化主流操作系统、数据库、中间件和浏览器。</w:t>
            </w:r>
          </w:p>
        </w:tc>
      </w:tr>
      <w:tr w14:paraId="742C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5" w:hRule="atLeast"/>
        </w:trPr>
        <w:tc>
          <w:tcPr>
            <w:tcW w:w="1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68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38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B8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1、支持https协议访问链接；</w:t>
            </w:r>
          </w:p>
          <w:p w14:paraId="1FC60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2、提供第三方安全检测报告。</w:t>
            </w:r>
          </w:p>
        </w:tc>
      </w:tr>
      <w:tr w14:paraId="4D87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39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i w:val="0"/>
                <w:color w:val="auto"/>
                <w:sz w:val="21"/>
                <w:szCs w:val="21"/>
                <w:highlight w:val="none"/>
                <w:u w:val="none"/>
                <w:lang w:val="en-US"/>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性能要求</w:t>
            </w:r>
          </w:p>
        </w:tc>
        <w:tc>
          <w:tcPr>
            <w:tcW w:w="38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29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1、在16核CPU，32G内存，500GB硬盘，网络带宽200Mbps以及国产操作系统的资源配置场景下，可达到1000并发能力。</w:t>
            </w:r>
          </w:p>
          <w:p w14:paraId="2D6C0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2、500用户数场景下，页面响应时间不超过3s。</w:t>
            </w:r>
          </w:p>
        </w:tc>
      </w:tr>
    </w:tbl>
    <w:p w14:paraId="17B4FA28">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6E2E39B0">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数据库工具</w:t>
      </w:r>
    </w:p>
    <w:tbl>
      <w:tblPr>
        <w:tblStyle w:val="10"/>
        <w:tblW w:w="4998" w:type="pct"/>
        <w:tblInd w:w="0" w:type="dxa"/>
        <w:tblLayout w:type="autofit"/>
        <w:tblCellMar>
          <w:top w:w="0" w:type="dxa"/>
          <w:left w:w="0" w:type="dxa"/>
          <w:bottom w:w="0" w:type="dxa"/>
          <w:right w:w="0" w:type="dxa"/>
        </w:tblCellMar>
      </w:tblPr>
      <w:tblGrid>
        <w:gridCol w:w="1389"/>
        <w:gridCol w:w="6940"/>
      </w:tblGrid>
      <w:tr w14:paraId="10595A54">
        <w:tblPrEx>
          <w:tblCellMar>
            <w:top w:w="0" w:type="dxa"/>
            <w:left w:w="0" w:type="dxa"/>
            <w:bottom w:w="0" w:type="dxa"/>
            <w:right w:w="0" w:type="dxa"/>
          </w:tblCellMar>
        </w:tblPrEx>
        <w:trPr>
          <w:trHeight w:val="413"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52B61F">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rPr>
              <w:t>描述</w:t>
            </w:r>
          </w:p>
        </w:tc>
        <w:tc>
          <w:tcPr>
            <w:tcW w:w="4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C4C5A">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提供数据库服务。</w:t>
            </w:r>
          </w:p>
        </w:tc>
      </w:tr>
      <w:tr w14:paraId="646DAD68">
        <w:tblPrEx>
          <w:tblCellMar>
            <w:top w:w="0" w:type="dxa"/>
            <w:left w:w="0" w:type="dxa"/>
            <w:bottom w:w="0" w:type="dxa"/>
            <w:right w:w="0" w:type="dxa"/>
          </w:tblCellMar>
        </w:tblPrEx>
        <w:trPr>
          <w:trHeight w:val="870"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5158BE">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rPr>
              <w:t>能力要求</w:t>
            </w:r>
          </w:p>
        </w:tc>
        <w:tc>
          <w:tcPr>
            <w:tcW w:w="4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C235C">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1、整体要求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产品必须完全自主原创，避免潜在的版权纠纷，对软件自主可控，从底层保证系统的安全性；</w:t>
            </w:r>
          </w:p>
          <w:p w14:paraId="1564E329">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2架构支持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支持龙芯、鲲鹏、兆芯、海光、飞腾、申威等国产主流芯片处理器；</w:t>
            </w:r>
          </w:p>
          <w:p w14:paraId="78CAD2F7">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（1）支持双核及多核处理器；</w:t>
            </w:r>
          </w:p>
          <w:p w14:paraId="366269A4">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（2）支持并优化NUMA体系架构；</w:t>
            </w:r>
          </w:p>
          <w:p w14:paraId="6A87A37C">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3、功能要求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提供联机事件跟踪和会话、</w:t>
            </w:r>
            <w:r>
              <w:rPr>
                <w:rFonts w:hint="eastAsia" w:asciiTheme="minorEastAsia" w:hAnsiTheme="minorEastAsia" w:eastAsiaTheme="minorEastAsia" w:cstheme="minorEastAsia"/>
                <w:color w:val="auto"/>
                <w:sz w:val="21"/>
                <w:szCs w:val="21"/>
                <w:highlight w:val="none"/>
                <w:lang w:eastAsia="zh-CN"/>
              </w:rPr>
              <w:t>性能监测</w:t>
            </w:r>
            <w:r>
              <w:rPr>
                <w:rFonts w:hint="eastAsia" w:asciiTheme="minorEastAsia" w:hAnsiTheme="minorEastAsia" w:eastAsiaTheme="minorEastAsia" w:cstheme="minorEastAsia"/>
                <w:color w:val="auto"/>
                <w:sz w:val="21"/>
                <w:szCs w:val="21"/>
                <w:highlight w:val="none"/>
              </w:rPr>
              <w:t>工具，以协助数据库管理员进行系统性能分析；</w:t>
            </w:r>
          </w:p>
          <w:p w14:paraId="69F39E1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（1）关键部件达到安全可靠测评等级1级及以上；</w:t>
            </w:r>
          </w:p>
          <w:p w14:paraId="0701B165">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（2）支持插入触发器、更新触发器、删除触发器等触发器类型；</w:t>
            </w:r>
          </w:p>
          <w:p w14:paraId="4EBB163F">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（3）支持可编程的SQL语言，支持存储过程、函数和过程包，用于实现复杂的判断和运算功能；可编程SQL语言应支持数组类型、内嵌表类型和动态SQL类型等；</w:t>
            </w:r>
          </w:p>
          <w:p w14:paraId="2F0A3746">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（4）支持INSERTALL同时插入多张表；</w:t>
            </w:r>
          </w:p>
          <w:p w14:paraId="41C0134F">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（5）支持INSERT..VALUES(value_list)[,(value_list)]..一次插入多条记录；</w:t>
            </w:r>
          </w:p>
          <w:p w14:paraId="0DBF9C17">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4、兼容性要求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具备高可扩展性，支持主备集群、读写分离集群等；</w:t>
            </w:r>
          </w:p>
          <w:p w14:paraId="089A5199">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（1）兼容Windows系列、主流Linux发行分支如RedHat、Debian、Ubuntu、CentOS等系列、中标麒麟、银河麒麟、统信UOS等多种国产Linux系列操作系统；</w:t>
            </w:r>
          </w:p>
          <w:p w14:paraId="2F4C78DB">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（2）兼容多种应用中间件，包括但不限于tomcat、Weblogic、websphere、东方通、中创、金蝶、保兰德、普元；</w:t>
            </w:r>
          </w:p>
          <w:p w14:paraId="3EC19B7B">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（3）支持传统的虚拟机环境部署，也支持通过Docker容器，或在裸金属环境下部署；</w:t>
            </w:r>
          </w:p>
          <w:p w14:paraId="037FE01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5、可靠性要求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具备高可靠性，支持完全备份、增量备份、差异备份、归档备份等功能；</w:t>
            </w:r>
          </w:p>
          <w:p w14:paraId="14C0FFEA">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（1）支持逻辑备份恢复，可对库、用户、模式、表、选定的数据行进行备份和恢复；</w:t>
            </w:r>
          </w:p>
          <w:p w14:paraId="795E2C13">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（2）支持物理备份和恢复，支持在线和离线备份，支持对库、表空间、表、归档等多种粒度的备份，支持基于备份集的方式进行备份，支持完全备份、增量备份的备份和还原，支持基于时间点的还原；</w:t>
            </w:r>
          </w:p>
          <w:p w14:paraId="5A1D516D">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6、管理性要求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提供图形化、命令行、静默等三种方式进行产品安装以适应不同的使用环境，且不同的软硬件平台下保持相同的安装向导过程</w:t>
            </w:r>
            <w:r>
              <w:rPr>
                <w:rFonts w:hint="eastAsia" w:asciiTheme="minorEastAsia" w:hAnsiTheme="minorEastAsia" w:eastAsiaTheme="minorEastAsia" w:cstheme="minorEastAsia"/>
                <w:color w:val="auto"/>
                <w:sz w:val="21"/>
                <w:szCs w:val="21"/>
                <w:highlight w:val="none"/>
                <w:lang w:eastAsia="zh-CN"/>
              </w:rPr>
              <w:t>。</w:t>
            </w:r>
          </w:p>
        </w:tc>
      </w:tr>
      <w:tr w14:paraId="19D8E16B">
        <w:tblPrEx>
          <w:tblCellMar>
            <w:top w:w="0" w:type="dxa"/>
            <w:left w:w="0" w:type="dxa"/>
            <w:bottom w:w="0" w:type="dxa"/>
            <w:right w:w="0" w:type="dxa"/>
          </w:tblCellMar>
        </w:tblPrEx>
        <w:trPr>
          <w:trHeight w:val="90"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883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b/>
                <w:i w:val="0"/>
                <w:color w:val="auto"/>
                <w:kern w:val="2"/>
                <w:sz w:val="21"/>
                <w:szCs w:val="21"/>
                <w:highlight w:val="none"/>
                <w:u w:val="none"/>
                <w:lang w:val="en-US" w:eastAsia="zh-CN" w:bidi="ar-SA"/>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安全性要求</w:t>
            </w:r>
          </w:p>
        </w:tc>
        <w:tc>
          <w:tcPr>
            <w:tcW w:w="4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FF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提供第三方安全检测报告。</w:t>
            </w:r>
          </w:p>
        </w:tc>
      </w:tr>
      <w:tr w14:paraId="60824E78">
        <w:tblPrEx>
          <w:tblCellMar>
            <w:top w:w="0" w:type="dxa"/>
            <w:left w:w="0" w:type="dxa"/>
            <w:bottom w:w="0" w:type="dxa"/>
            <w:right w:w="0" w:type="dxa"/>
          </w:tblCellMar>
        </w:tblPrEx>
        <w:trPr>
          <w:trHeight w:val="90"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61E5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b/>
                <w:i w:val="0"/>
                <w:color w:val="auto"/>
                <w:kern w:val="2"/>
                <w:sz w:val="21"/>
                <w:szCs w:val="21"/>
                <w:highlight w:val="none"/>
                <w:u w:val="none"/>
                <w:lang w:val="en-US" w:eastAsia="zh-CN" w:bidi="ar-SA"/>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部署模式</w:t>
            </w:r>
          </w:p>
        </w:tc>
        <w:tc>
          <w:tcPr>
            <w:tcW w:w="416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A4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支持单机部署和集群部署两种部署模式。其中集群部署，需提供集群管理工具，可对集群节点、集群应用等进行统一管理和配置。</w:t>
            </w:r>
          </w:p>
        </w:tc>
      </w:tr>
    </w:tbl>
    <w:p w14:paraId="64482482">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04C59AF7">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中间件工具</w:t>
      </w:r>
    </w:p>
    <w:tbl>
      <w:tblPr>
        <w:tblStyle w:val="10"/>
        <w:tblW w:w="8806" w:type="dxa"/>
        <w:tblInd w:w="0" w:type="dxa"/>
        <w:tblLayout w:type="fixed"/>
        <w:tblCellMar>
          <w:top w:w="0" w:type="dxa"/>
          <w:left w:w="0" w:type="dxa"/>
          <w:bottom w:w="0" w:type="dxa"/>
          <w:right w:w="0" w:type="dxa"/>
        </w:tblCellMar>
      </w:tblPr>
      <w:tblGrid>
        <w:gridCol w:w="1469"/>
        <w:gridCol w:w="7337"/>
      </w:tblGrid>
      <w:tr w14:paraId="2B69820E">
        <w:tblPrEx>
          <w:tblCellMar>
            <w:top w:w="0" w:type="dxa"/>
            <w:left w:w="0" w:type="dxa"/>
            <w:bottom w:w="0" w:type="dxa"/>
            <w:right w:w="0" w:type="dxa"/>
          </w:tblCellMar>
        </w:tblPrEx>
        <w:trPr>
          <w:trHeight w:val="413"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D66B95">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rPr>
              <w:t>描述</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6507D3">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为应用系统提供应用中间件</w:t>
            </w: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rPr>
              <w:t>。</w:t>
            </w:r>
          </w:p>
        </w:tc>
      </w:tr>
      <w:tr w14:paraId="71C5FB54">
        <w:tblPrEx>
          <w:tblCellMar>
            <w:top w:w="0" w:type="dxa"/>
            <w:left w:w="0" w:type="dxa"/>
            <w:bottom w:w="0" w:type="dxa"/>
            <w:right w:w="0" w:type="dxa"/>
          </w:tblCellMar>
        </w:tblPrEx>
        <w:trPr>
          <w:trHeight w:val="87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1450BDB">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rPr>
              <w:t>能力要求</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ED1B8">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1、整体要求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JavaEE应用服务器软件具有国内自主知识产权，提供著作权复印件证明；</w:t>
            </w:r>
          </w:p>
          <w:p w14:paraId="7B907316">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2、功能要求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为响应国家IPv6战略规划要求，必须支持IPv6；</w:t>
            </w:r>
          </w:p>
          <w:p w14:paraId="08F882F7">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（1）应用服务器软件异常退出时，支持自动重启，以提供自恢复能力；</w:t>
            </w:r>
          </w:p>
          <w:p w14:paraId="72B5EB5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（2）关键部件达到安全可靠测评等级1级及以上；</w:t>
            </w:r>
          </w:p>
          <w:p w14:paraId="744116A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3、集群功能要求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支持集群部署，实现负载均衡；</w:t>
            </w:r>
          </w:p>
          <w:p w14:paraId="2C3FECC5">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（1）提供集群管理工具，可对集群节点、集群应用等统一管理配置；</w:t>
            </w:r>
          </w:p>
          <w:p w14:paraId="511D9181">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4、管理性要求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具备标准的B/S模式管理控制台，可远程对应用服务器环境进行应用部署、管理维护和监控；</w:t>
            </w:r>
          </w:p>
          <w:p w14:paraId="33AD2B3D">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（1）支持服务器节点域管理功能；</w:t>
            </w:r>
          </w:p>
          <w:p w14:paraId="77575299">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（2）提供中间件的服务化发放能力，支持根据用户指定参数进行中间件实例化发放、升级、销毁的全生命周期管理；</w:t>
            </w:r>
          </w:p>
          <w:p w14:paraId="06C50B10">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（3）内置快照功能，能够对服务器及应用程序的运行时信息进行捕获；</w:t>
            </w:r>
          </w:p>
          <w:p w14:paraId="0DEF7657">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（4）支持监控操作系统、Heap内存、CPU的使用率，配置资源监控阈值告警；</w:t>
            </w:r>
          </w:p>
          <w:p w14:paraId="61961ECA">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（5）支持通过管理控制台进行不同节点实例，集群的日志收集、下载、查看，支持日志滚动。</w:t>
            </w:r>
          </w:p>
        </w:tc>
      </w:tr>
      <w:tr w14:paraId="7EF598A2">
        <w:tblPrEx>
          <w:tblCellMar>
            <w:top w:w="0" w:type="dxa"/>
            <w:left w:w="0" w:type="dxa"/>
            <w:bottom w:w="0" w:type="dxa"/>
            <w:right w:w="0" w:type="dxa"/>
          </w:tblCellMar>
        </w:tblPrEx>
        <w:trPr>
          <w:trHeight w:val="87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577733">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兼容性要求</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FCF30">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1、支持多种主流国产操作系统，如中标麒麟、银河麒麟、统信UOS、深度等，也支持国外主流操作系统，如Linux、Windows、Unix等；</w:t>
            </w:r>
          </w:p>
          <w:p w14:paraId="0D20930C">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2、支持多种主流国产数据库系统，如达梦、金仓、神通、南大通用等，也支持国外主流数据库系统，如Oracle、DB2、SQLServer、MySQL等；</w:t>
            </w:r>
          </w:p>
        </w:tc>
      </w:tr>
      <w:tr w14:paraId="0BDD2D51">
        <w:tblPrEx>
          <w:tblCellMar>
            <w:top w:w="0" w:type="dxa"/>
            <w:left w:w="0" w:type="dxa"/>
            <w:bottom w:w="0" w:type="dxa"/>
            <w:right w:w="0" w:type="dxa"/>
          </w:tblCellMar>
        </w:tblPrEx>
        <w:trPr>
          <w:trHeight w:val="5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651400C">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安全性要求</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A3B78">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服务产品需提供防止DoS攻击功能。</w:t>
            </w:r>
          </w:p>
          <w:p w14:paraId="5C25990D">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提供第三方安全检测报告</w:t>
            </w:r>
          </w:p>
        </w:tc>
      </w:tr>
      <w:tr w14:paraId="21952948">
        <w:tblPrEx>
          <w:tblCellMar>
            <w:top w:w="0" w:type="dxa"/>
            <w:left w:w="0" w:type="dxa"/>
            <w:bottom w:w="0" w:type="dxa"/>
            <w:right w:w="0" w:type="dxa"/>
          </w:tblCellMar>
        </w:tblPrEx>
        <w:trPr>
          <w:trHeight w:val="58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5687C13">
            <w:pPr>
              <w:keepNext w:val="0"/>
              <w:keepLines w:val="0"/>
              <w:widowControl/>
              <w:suppressLineNumbers w:val="0"/>
              <w:topLinePunct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部署模式</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E3D98">
            <w:pPr>
              <w:keepNext w:val="0"/>
              <w:keepLines w:val="0"/>
              <w:widowControl/>
              <w:suppressLineNumbers w:val="0"/>
              <w:topLinePunct w:val="0"/>
              <w:adjustRightInd/>
              <w:snapToGrid/>
              <w:spacing w:before="0" w:beforeAutospacing="0" w:after="0" w:afterAutospacing="0" w:line="240" w:lineRule="auto"/>
              <w:ind w:left="0" w:leftChars="0" w:right="0" w:rightChars="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提供单机及集群部署能力，支持一键部署、嵌入式部署、目录级部署、热部署等多种部署方式；</w:t>
            </w:r>
          </w:p>
        </w:tc>
      </w:tr>
    </w:tbl>
    <w:p w14:paraId="5A9A2751">
      <w:pPr>
        <w:spacing w:line="240" w:lineRule="auto"/>
        <w:ind w:firstLine="0" w:firstLineChars="0"/>
        <w:rPr>
          <w:rFonts w:hint="eastAsia" w:asciiTheme="minorEastAsia" w:hAnsiTheme="minorEastAsia" w:eastAsiaTheme="minorEastAsia" w:cstheme="minorEastAsia"/>
          <w:color w:val="auto"/>
          <w:sz w:val="21"/>
          <w:szCs w:val="21"/>
          <w:highlight w:val="none"/>
          <w:lang w:eastAsia="zh-CN"/>
        </w:rPr>
      </w:pPr>
    </w:p>
    <w:p w14:paraId="34D8F33D">
      <w:pPr>
        <w:pStyle w:val="4"/>
        <w:bidi w:val="0"/>
        <w:rPr>
          <w:rFonts w:hint="eastAsia" w:ascii="宋体" w:hAnsi="宋体" w:eastAsia="宋体"/>
          <w:highlight w:val="none"/>
          <w:lang w:val="en-US" w:eastAsia="zh-CN"/>
        </w:rPr>
      </w:pPr>
      <w:r>
        <w:rPr>
          <w:rFonts w:hint="eastAsia" w:ascii="宋体" w:hAnsi="宋体" w:eastAsia="宋体"/>
          <w:highlight w:val="none"/>
          <w:lang w:val="en-US" w:eastAsia="zh-CN"/>
        </w:rPr>
        <w:t>操作系统工具</w:t>
      </w:r>
    </w:p>
    <w:tbl>
      <w:tblPr>
        <w:tblStyle w:val="10"/>
        <w:tblW w:w="8806" w:type="dxa"/>
        <w:tblInd w:w="0" w:type="dxa"/>
        <w:tblLayout w:type="fixed"/>
        <w:tblCellMar>
          <w:top w:w="0" w:type="dxa"/>
          <w:left w:w="0" w:type="dxa"/>
          <w:bottom w:w="0" w:type="dxa"/>
          <w:right w:w="0" w:type="dxa"/>
        </w:tblCellMar>
      </w:tblPr>
      <w:tblGrid>
        <w:gridCol w:w="1469"/>
        <w:gridCol w:w="7337"/>
      </w:tblGrid>
      <w:tr w14:paraId="4EDC76D4">
        <w:tblPrEx>
          <w:tblCellMar>
            <w:top w:w="0" w:type="dxa"/>
            <w:left w:w="0" w:type="dxa"/>
            <w:bottom w:w="0" w:type="dxa"/>
            <w:right w:w="0" w:type="dxa"/>
          </w:tblCellMar>
        </w:tblPrEx>
        <w:trPr>
          <w:trHeight w:val="413"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CDCCE93">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rPr>
              <w:t>描述</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9633F">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提供操作系统</w:t>
            </w:r>
            <w:r>
              <w:rPr>
                <w:rFonts w:hint="eastAsia" w:asciiTheme="minorEastAsia" w:hAnsiTheme="minorEastAsia" w:eastAsiaTheme="minorEastAsia" w:cstheme="minorEastAsia"/>
                <w:color w:val="auto"/>
                <w:kern w:val="0"/>
                <w:sz w:val="21"/>
                <w:szCs w:val="21"/>
                <w:highlight w:val="none"/>
                <w:lang w:val="en-US" w:eastAsia="zh-CN"/>
              </w:rPr>
              <w:t>基础软件工具</w:t>
            </w:r>
            <w:r>
              <w:rPr>
                <w:rFonts w:hint="eastAsia" w:asciiTheme="minorEastAsia" w:hAnsiTheme="minorEastAsia" w:eastAsiaTheme="minorEastAsia" w:cstheme="minorEastAsia"/>
                <w:color w:val="auto"/>
                <w:kern w:val="0"/>
                <w:sz w:val="21"/>
                <w:szCs w:val="21"/>
                <w:highlight w:val="none"/>
              </w:rPr>
              <w:t>。</w:t>
            </w:r>
          </w:p>
        </w:tc>
      </w:tr>
      <w:tr w14:paraId="7A0D2697">
        <w:tblPrEx>
          <w:tblCellMar>
            <w:top w:w="0" w:type="dxa"/>
            <w:left w:w="0" w:type="dxa"/>
            <w:bottom w:w="0" w:type="dxa"/>
            <w:right w:w="0" w:type="dxa"/>
          </w:tblCellMar>
        </w:tblPrEx>
        <w:trPr>
          <w:trHeight w:val="87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9C3D21">
            <w:pPr>
              <w:keepNext w:val="0"/>
              <w:keepLines w:val="0"/>
              <w:widowControl/>
              <w:suppressLineNumbers w:val="0"/>
              <w:topLinePunct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rPr>
              <w:t>能力要求</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D493A">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1、基础核心</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Kernel版本不低于4.9；</w:t>
            </w:r>
          </w:p>
          <w:p w14:paraId="4F688C70">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2、架构支持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支持龙芯、鲲鹏、兆芯、海光、飞腾、申威等国产主流芯片处理器；</w:t>
            </w:r>
          </w:p>
          <w:p w14:paraId="460D083F">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（1）支持双核及多核处理器；</w:t>
            </w:r>
          </w:p>
          <w:p w14:paraId="465157D3">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（2）支持并优化NUMA体系架构；</w:t>
            </w:r>
          </w:p>
          <w:p w14:paraId="0EE6BCD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（3）标准符合度</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产品获得《计算机软件著作权登记证书》;</w:t>
            </w:r>
          </w:p>
          <w:p w14:paraId="1121FE40">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3、文件系统</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支持XFS、EXT3、EXT4、NTFS等文件系统；</w:t>
            </w:r>
          </w:p>
          <w:p w14:paraId="4C1EB54D">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4、功能要求</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具备文件管理、设备管理、日志管理、服务管理、进程和监控管理、网络管理、资源管理、软件包管理、硬盘管理等基本功能，提供语言支持工具、集成开发平台等常用工具，支持KVM虚拟化技术；</w:t>
            </w:r>
          </w:p>
          <w:p w14:paraId="382CA2FB">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5、技术规格</w:t>
            </w:r>
            <w:r>
              <w:rPr>
                <w:rFonts w:hint="eastAsia" w:asciiTheme="minorEastAsia" w:hAnsiTheme="minorEastAsia" w:eastAsiaTheme="minorEastAsia" w:cstheme="minorEastAsia"/>
                <w:color w:val="auto"/>
                <w:sz w:val="21"/>
                <w:szCs w:val="21"/>
                <w:highlight w:val="none"/>
                <w:lang w:val="en-US"/>
              </w:rPr>
              <w:t>:</w:t>
            </w:r>
          </w:p>
          <w:p w14:paraId="2B93DA15">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（1）逻辑CPU最大支持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不小于128；</w:t>
            </w:r>
          </w:p>
          <w:p w14:paraId="781BA45F">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（2）内存最大支持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不小于2TB；</w:t>
            </w:r>
          </w:p>
          <w:p w14:paraId="0B8A131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（3）单个文件最大支持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不小于2TB；</w:t>
            </w:r>
          </w:p>
          <w:p w14:paraId="396C1C49">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（4）文件系统最大支持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不小于16TB；</w:t>
            </w:r>
          </w:p>
          <w:p w14:paraId="06CF1F49">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（5）支持SELinux；</w:t>
            </w:r>
          </w:p>
          <w:p w14:paraId="15E5B82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（6）关键部件达到安全可靠测评等级1级及以上；</w:t>
            </w:r>
          </w:p>
          <w:p w14:paraId="0F976C00">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6、系统引导</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支持GRUB2引导，支持MBR及GPT（GUID分区表）分区；</w:t>
            </w:r>
          </w:p>
          <w:p w14:paraId="1ADC295C">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7、网络支持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支持网卡bonding；</w:t>
            </w:r>
          </w:p>
          <w:p w14:paraId="65B4A833">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8、高可用支持</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支持软件负载均衡，支持多种网卡Bonding，提高可用性；</w:t>
            </w:r>
          </w:p>
          <w:p w14:paraId="41E68A32">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（1）支持存储多路径并提供multipath驱动；</w:t>
            </w:r>
          </w:p>
          <w:p w14:paraId="17E0AB31">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9、开发运行环境</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支持java1.7.0、1.8.0，支持GCC包含的C、C++和java等相应支持库，集成Qt开发框架，支持Python,Shell，Ruby，PHP等脚本语言；</w:t>
            </w:r>
          </w:p>
          <w:p w14:paraId="4E7D0FE7">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10、虚拟化云平台兼容性</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兼容华为HCS、阿里飞天等云平台软件；</w:t>
            </w:r>
          </w:p>
          <w:p w14:paraId="64DCD64E">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11、硬件兼容性</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兼容国内外主流的服务器、存储等硬件产品，包括华为、长城、百信等；</w:t>
            </w:r>
          </w:p>
          <w:p w14:paraId="1651388F">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12、文件安全性</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支持文件系统加密；</w:t>
            </w:r>
          </w:p>
          <w:p w14:paraId="0218C76B">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13、支持文件完整性检查；</w:t>
            </w:r>
          </w:p>
          <w:p w14:paraId="3D3FD955">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14、网络安全性</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支持HTTP、FTP、VNC、TCP、UDP、IP、FTP、DNS、NFS、NTP、DHCP、SSH等多种网络协议。</w:t>
            </w:r>
          </w:p>
          <w:p w14:paraId="022D5290">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Firewalld（IPtables），支持动态管理的防火墙，并支持网络“区域”以便为网络及其相关链接和接口分配可信度，支持IPv4和IPv6防火墙设置，支持以太网桥接并有独立的运行时和持久配置选项，提供可直接添加防火墙规则的服务或者应用程序接口；</w:t>
            </w:r>
          </w:p>
          <w:p w14:paraId="1C14B5AD">
            <w:pPr>
              <w:keepNext w:val="0"/>
              <w:keepLines w:val="0"/>
              <w:widowControl/>
              <w:suppressLineNumbers w:val="0"/>
              <w:topLinePunct w:val="0"/>
              <w:adjustRightInd/>
              <w:snapToGrid/>
              <w:spacing w:before="0" w:beforeAutospacing="0" w:after="0" w:afterAutospacing="0" w:line="240" w:lineRule="auto"/>
              <w:ind w:left="0" w:right="0" w:firstLine="0" w:firstLineChars="0"/>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、系统审计</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提供系统审计日志</w:t>
            </w:r>
            <w:r>
              <w:rPr>
                <w:rFonts w:hint="eastAsia" w:asciiTheme="minorEastAsia" w:hAnsiTheme="minorEastAsia" w:eastAsiaTheme="minorEastAsia" w:cstheme="minorEastAsia"/>
                <w:color w:val="auto"/>
                <w:sz w:val="21"/>
                <w:szCs w:val="21"/>
                <w:highlight w:val="none"/>
                <w:lang w:eastAsia="zh-CN"/>
              </w:rPr>
              <w:t>。</w:t>
            </w:r>
          </w:p>
        </w:tc>
      </w:tr>
      <w:tr w14:paraId="5072B679">
        <w:tblPrEx>
          <w:tblCellMar>
            <w:top w:w="0" w:type="dxa"/>
            <w:left w:w="0" w:type="dxa"/>
            <w:bottom w:w="0" w:type="dxa"/>
            <w:right w:w="0" w:type="dxa"/>
          </w:tblCellMar>
        </w:tblPrEx>
        <w:trPr>
          <w:trHeight w:val="472"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B129AFD">
            <w:pPr>
              <w:keepNext w:val="0"/>
              <w:keepLines w:val="0"/>
              <w:widowControl/>
              <w:suppressLineNumbers w:val="0"/>
              <w:topLinePunct w:val="0"/>
              <w:adjustRightInd/>
              <w:snapToGrid/>
              <w:spacing w:before="0" w:beforeAutospacing="0" w:after="0" w:afterAutospacing="0" w:line="240" w:lineRule="auto"/>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安全性要求</w:t>
            </w:r>
          </w:p>
        </w:tc>
        <w:tc>
          <w:tcPr>
            <w:tcW w:w="73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96862">
            <w:pPr>
              <w:keepNext w:val="0"/>
              <w:keepLines w:val="0"/>
              <w:widowControl/>
              <w:suppressLineNumbers w:val="0"/>
              <w:topLinePunct w:val="0"/>
              <w:adjustRightInd/>
              <w:snapToGrid/>
              <w:spacing w:before="0" w:beforeAutospacing="0" w:after="0" w:afterAutospacing="0" w:line="240" w:lineRule="auto"/>
              <w:ind w:left="0" w:leftChars="0" w:right="0" w:rightChars="0" w:firstLine="0" w:firstLineChars="0"/>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提供第三方安全检测报告</w:t>
            </w:r>
          </w:p>
        </w:tc>
      </w:tr>
    </w:tbl>
    <w:p w14:paraId="656D37D9">
      <w:pPr>
        <w:spacing w:line="240" w:lineRule="auto"/>
        <w:ind w:left="0" w:leftChars="0" w:firstLine="0" w:firstLineChars="0"/>
        <w:rPr>
          <w:rFonts w:hint="eastAsia" w:asciiTheme="minorEastAsia" w:hAnsiTheme="minorEastAsia" w:eastAsiaTheme="minorEastAsia" w:cstheme="minorEastAsia"/>
          <w:sz w:val="21"/>
          <w:szCs w:val="21"/>
          <w:highlight w:val="none"/>
        </w:rPr>
      </w:pPr>
    </w:p>
    <w:p w14:paraId="28EBD978">
      <w:pPr>
        <w:spacing w:line="240" w:lineRule="auto"/>
        <w:ind w:left="0" w:leftChars="0" w:firstLine="0" w:firstLineChars="0"/>
        <w:rPr>
          <w:rFonts w:hint="eastAsia" w:asciiTheme="minorEastAsia" w:hAnsiTheme="minorEastAsia" w:eastAsiaTheme="minorEastAsia" w:cstheme="minorEastAsia"/>
          <w:sz w:val="21"/>
          <w:szCs w:val="21"/>
          <w:highlight w:val="none"/>
        </w:rPr>
      </w:pPr>
    </w:p>
    <w:p w14:paraId="269D2B38">
      <w:pPr>
        <w:pStyle w:val="2"/>
        <w:ind w:left="0" w:leftChars="0" w:firstLineChars="0"/>
        <w:rPr>
          <w:rFonts w:hint="eastAsia"/>
          <w:highlight w:val="none"/>
        </w:rPr>
      </w:pPr>
      <w:bookmarkStart w:id="20" w:name="_Toc63785502"/>
      <w:r>
        <w:rPr>
          <w:rFonts w:hint="eastAsia"/>
          <w:highlight w:val="none"/>
          <w:lang w:val="en-US" w:eastAsia="zh-CN"/>
        </w:rPr>
        <w:t>其他</w:t>
      </w:r>
      <w:r>
        <w:rPr>
          <w:rFonts w:hint="eastAsia"/>
          <w:highlight w:val="none"/>
        </w:rPr>
        <w:t>需求</w:t>
      </w:r>
      <w:bookmarkEnd w:id="20"/>
    </w:p>
    <w:p w14:paraId="32AE82BF">
      <w:pPr>
        <w:keepNext/>
        <w:keepLines/>
        <w:numPr>
          <w:ilvl w:val="1"/>
          <w:numId w:val="6"/>
        </w:numPr>
        <w:tabs>
          <w:tab w:val="left" w:pos="360"/>
        </w:tabs>
        <w:spacing w:before="120" w:line="240" w:lineRule="auto"/>
        <w:ind w:left="0" w:firstLine="0" w:firstLineChars="0"/>
        <w:outlineLvl w:val="1"/>
        <w:rPr>
          <w:rFonts w:hint="eastAsia" w:ascii="仿宋" w:hAnsi="仿宋" w:eastAsia="仿宋"/>
          <w:b/>
          <w:vanish/>
          <w:color w:val="000000"/>
          <w:sz w:val="28"/>
          <w:szCs w:val="20"/>
          <w:highlight w:val="none"/>
        </w:rPr>
      </w:pPr>
      <w:bookmarkStart w:id="21" w:name="_Toc62219358"/>
      <w:bookmarkEnd w:id="21"/>
      <w:bookmarkStart w:id="22" w:name="_Toc63785504"/>
      <w:bookmarkEnd w:id="22"/>
      <w:bookmarkStart w:id="23" w:name="_Toc61968111"/>
      <w:bookmarkEnd w:id="23"/>
      <w:bookmarkStart w:id="24" w:name="_Toc62209488"/>
      <w:bookmarkEnd w:id="24"/>
      <w:bookmarkStart w:id="25" w:name="_Toc63585480"/>
      <w:bookmarkEnd w:id="25"/>
      <w:bookmarkStart w:id="26" w:name="_Toc63785439"/>
      <w:bookmarkEnd w:id="26"/>
      <w:bookmarkStart w:id="27" w:name="_Toc63151871"/>
      <w:bookmarkEnd w:id="27"/>
      <w:bookmarkStart w:id="28" w:name="_Toc63762370"/>
      <w:bookmarkEnd w:id="28"/>
    </w:p>
    <w:p w14:paraId="0EC355C9">
      <w:pPr>
        <w:pStyle w:val="3"/>
        <w:ind w:left="0" w:leftChars="0" w:firstLineChars="0"/>
        <w:rPr>
          <w:rFonts w:hint="eastAsia"/>
          <w:highlight w:val="none"/>
        </w:rPr>
      </w:pPr>
      <w:bookmarkStart w:id="29" w:name="_Toc63785505"/>
      <w:r>
        <w:rPr>
          <w:rFonts w:hint="eastAsia"/>
          <w:highlight w:val="none"/>
          <w:lang w:val="en-US" w:eastAsia="zh-CN"/>
        </w:rPr>
        <w:t>总体要求</w:t>
      </w:r>
    </w:p>
    <w:p w14:paraId="5DAF2979">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w:t>
      </w:r>
      <w:r>
        <w:rPr>
          <w:rFonts w:hint="eastAsia" w:asciiTheme="minorEastAsia" w:hAnsiTheme="minorEastAsia" w:eastAsiaTheme="minorEastAsia" w:cstheme="minorEastAsia"/>
          <w:color w:val="auto"/>
          <w:sz w:val="24"/>
          <w:szCs w:val="24"/>
          <w:highlight w:val="none"/>
          <w:lang w:val="en-US" w:eastAsia="zh-CN"/>
        </w:rPr>
        <w:t>目所采购的各类软件工具应用于上海市级各预算单位。</w:t>
      </w:r>
    </w:p>
    <w:p w14:paraId="050DC8F8">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投标人应对</w:t>
      </w:r>
      <w:r>
        <w:rPr>
          <w:rFonts w:hint="eastAsia" w:asciiTheme="minorEastAsia" w:hAnsiTheme="minorEastAsia" w:eastAsiaTheme="minorEastAsia" w:cstheme="minorEastAsia"/>
          <w:color w:val="auto"/>
          <w:sz w:val="24"/>
          <w:szCs w:val="24"/>
          <w:highlight w:val="none"/>
          <w:lang w:val="en-US" w:eastAsia="zh-CN"/>
        </w:rPr>
        <w:t>所有采购品类的软件工具进行可用性</w:t>
      </w:r>
      <w:r>
        <w:rPr>
          <w:rFonts w:hint="eastAsia" w:asciiTheme="minorEastAsia" w:hAnsiTheme="minorEastAsia" w:eastAsiaTheme="minorEastAsia" w:cstheme="minorEastAsia"/>
          <w:color w:val="auto"/>
          <w:sz w:val="24"/>
          <w:szCs w:val="24"/>
          <w:highlight w:val="none"/>
        </w:rPr>
        <w:t>、可靠性等SLA指标</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描述</w:t>
      </w:r>
      <w:r>
        <w:rPr>
          <w:rFonts w:hint="eastAsia" w:asciiTheme="minorEastAsia" w:hAnsiTheme="minorEastAsia" w:eastAsiaTheme="minorEastAsia" w:cstheme="minorEastAsia"/>
          <w:color w:val="auto"/>
          <w:sz w:val="24"/>
          <w:szCs w:val="24"/>
          <w:highlight w:val="none"/>
        </w:rPr>
        <w:t>。</w:t>
      </w:r>
    </w:p>
    <w:p w14:paraId="51F0FCC1">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中标人提供</w:t>
      </w:r>
      <w:r>
        <w:rPr>
          <w:rFonts w:hint="eastAsia" w:asciiTheme="minorEastAsia" w:hAnsiTheme="minorEastAsia" w:eastAsiaTheme="minorEastAsia" w:cstheme="minorEastAsia"/>
          <w:color w:val="auto"/>
          <w:sz w:val="24"/>
          <w:szCs w:val="24"/>
          <w:highlight w:val="none"/>
          <w:lang w:val="en-US" w:eastAsia="zh-CN"/>
        </w:rPr>
        <w:t>的各类软件工具应当直接向原厂商或原厂商授权的代理商、经销商进行采购</w:t>
      </w:r>
      <w:r>
        <w:rPr>
          <w:rFonts w:hint="eastAsia" w:asciiTheme="minorEastAsia" w:hAnsiTheme="minorEastAsia" w:eastAsiaTheme="minorEastAsia" w:cstheme="minorEastAsia"/>
          <w:color w:val="auto"/>
          <w:sz w:val="24"/>
          <w:szCs w:val="24"/>
          <w:highlight w:val="none"/>
        </w:rPr>
        <w:t>。</w:t>
      </w:r>
    </w:p>
    <w:p w14:paraId="5B0F98B9">
      <w:pPr>
        <w:numPr>
          <w:ilvl w:val="0"/>
          <w:numId w:val="7"/>
        </w:numPr>
        <w:spacing w:line="360" w:lineRule="auto"/>
        <w:ind w:left="425" w:leftChars="0" w:hanging="425" w:firstLineChars="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投标人用于投标的软件产品均需要提供原厂软件授权承诺函，</w:t>
      </w:r>
      <w:r>
        <w:rPr>
          <w:rFonts w:hint="eastAsia" w:asciiTheme="minorEastAsia" w:hAnsiTheme="minorEastAsia" w:eastAsiaTheme="minorEastAsia" w:cstheme="minorEastAsia"/>
          <w:color w:val="auto"/>
          <w:sz w:val="24"/>
          <w:szCs w:val="24"/>
          <w:highlight w:val="none"/>
        </w:rPr>
        <w:t>每个软件产品对应一张授权</w:t>
      </w:r>
      <w:r>
        <w:rPr>
          <w:rFonts w:hint="eastAsia" w:asciiTheme="minorEastAsia" w:hAnsiTheme="minorEastAsia" w:eastAsiaTheme="minorEastAsia" w:cstheme="minorEastAsia"/>
          <w:color w:val="auto"/>
          <w:sz w:val="24"/>
          <w:szCs w:val="24"/>
          <w:highlight w:val="none"/>
          <w:lang w:val="en-US" w:eastAsia="zh-CN"/>
        </w:rPr>
        <w:t>承诺函（格式参见附件</w:t>
      </w:r>
      <w:r>
        <w:rPr>
          <w:rFonts w:hint="eastAsia" w:asciiTheme="minorEastAsia" w:hAnsiTheme="minorEastAsia" w:eastAsiaTheme="minorEastAsia" w:cstheme="minorEastAsia"/>
          <w:color w:val="auto"/>
          <w:sz w:val="24"/>
          <w:szCs w:val="24"/>
          <w:highlight w:val="none"/>
        </w:rPr>
        <w:t>）。</w:t>
      </w:r>
    </w:p>
    <w:p w14:paraId="77E5A5D8">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本项目所采购的软件工具使用有效期为软件工具授权激活后至满一年，中标人应当在合同期满前向采购人交付所有软件工具的使用授权。并在软件工具激活使用后提供一年质保服务。</w:t>
      </w:r>
    </w:p>
    <w:p w14:paraId="098A5249">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投标人应当承担因投标人提供</w:t>
      </w:r>
      <w:r>
        <w:rPr>
          <w:rFonts w:hint="eastAsia" w:asciiTheme="minorEastAsia" w:hAnsiTheme="minorEastAsia" w:eastAsiaTheme="minorEastAsia" w:cstheme="minorEastAsia"/>
          <w:color w:val="auto"/>
          <w:sz w:val="24"/>
          <w:szCs w:val="24"/>
          <w:highlight w:val="none"/>
          <w:lang w:val="en-US" w:eastAsia="zh-CN"/>
        </w:rPr>
        <w:t>的软件工具</w:t>
      </w:r>
      <w:r>
        <w:rPr>
          <w:rFonts w:hint="eastAsia" w:asciiTheme="minorEastAsia" w:hAnsiTheme="minorEastAsia" w:eastAsiaTheme="minorEastAsia" w:cstheme="minorEastAsia"/>
          <w:color w:val="auto"/>
          <w:sz w:val="24"/>
          <w:szCs w:val="24"/>
          <w:highlight w:val="none"/>
        </w:rPr>
        <w:t>自身问题导致的数据异常、数据丢失的安全责任。责任范围为</w:t>
      </w:r>
      <w:r>
        <w:rPr>
          <w:rFonts w:hint="eastAsia" w:asciiTheme="minorEastAsia" w:hAnsiTheme="minorEastAsia" w:eastAsiaTheme="minorEastAsia" w:cstheme="minorEastAsia"/>
          <w:color w:val="auto"/>
          <w:sz w:val="24"/>
          <w:szCs w:val="24"/>
          <w:highlight w:val="none"/>
          <w:lang w:val="en-US" w:eastAsia="zh-CN"/>
        </w:rPr>
        <w:t>本项目各类软件工具应用的范围</w:t>
      </w:r>
      <w:r>
        <w:rPr>
          <w:rFonts w:hint="eastAsia" w:asciiTheme="minorEastAsia" w:hAnsiTheme="minorEastAsia" w:eastAsiaTheme="minorEastAsia" w:cstheme="minorEastAsia"/>
          <w:color w:val="auto"/>
          <w:sz w:val="24"/>
          <w:szCs w:val="24"/>
          <w:highlight w:val="none"/>
        </w:rPr>
        <w:t>。</w:t>
      </w:r>
    </w:p>
    <w:p w14:paraId="51A86411">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投标人投标的软件</w:t>
      </w:r>
      <w:r>
        <w:rPr>
          <w:rFonts w:hint="eastAsia" w:asciiTheme="minorEastAsia" w:hAnsiTheme="minorEastAsia" w:eastAsiaTheme="minorEastAsia" w:cstheme="minorEastAsia"/>
          <w:color w:val="auto"/>
          <w:sz w:val="24"/>
          <w:szCs w:val="24"/>
          <w:highlight w:val="none"/>
          <w:lang w:val="en-US" w:eastAsia="zh-CN"/>
        </w:rPr>
        <w:t>工具</w:t>
      </w:r>
      <w:r>
        <w:rPr>
          <w:rFonts w:hint="eastAsia" w:asciiTheme="minorEastAsia" w:hAnsiTheme="minorEastAsia" w:eastAsiaTheme="minorEastAsia" w:cstheme="minorEastAsia"/>
          <w:color w:val="auto"/>
          <w:sz w:val="24"/>
          <w:szCs w:val="24"/>
          <w:highlight w:val="none"/>
        </w:rPr>
        <w:t>型号和部署方式，不得低于招标文件的性能指标及功能要求，在正式提供</w:t>
      </w:r>
      <w:r>
        <w:rPr>
          <w:rFonts w:hint="eastAsia" w:asciiTheme="minorEastAsia" w:hAnsiTheme="minorEastAsia" w:eastAsiaTheme="minorEastAsia" w:cstheme="minorEastAsia"/>
          <w:color w:val="auto"/>
          <w:sz w:val="24"/>
          <w:szCs w:val="24"/>
          <w:highlight w:val="none"/>
          <w:lang w:val="en-US" w:eastAsia="zh-CN"/>
        </w:rPr>
        <w:t>使用</w:t>
      </w:r>
      <w:r>
        <w:rPr>
          <w:rFonts w:hint="eastAsia" w:asciiTheme="minorEastAsia" w:hAnsiTheme="minorEastAsia" w:eastAsiaTheme="minorEastAsia" w:cstheme="minorEastAsia"/>
          <w:color w:val="auto"/>
          <w:sz w:val="24"/>
          <w:szCs w:val="24"/>
          <w:highlight w:val="none"/>
        </w:rPr>
        <w:t>前需要获得招标人的方案审核、满足招标人的上架标准，未经招标人书面批准不得随意新增、更改或删除，若自行新增、更改或删除。</w:t>
      </w:r>
    </w:p>
    <w:p w14:paraId="7B634F79">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中标人确认的项目团队人员及数量，必须与投标文件承诺一致，未经采购人书面批准不得随意调换或撤离，若自行更换或撤离，按照合同违约处理。</w:t>
      </w:r>
    </w:p>
    <w:p w14:paraId="7CBF428C">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中标人必须配合采购人及采购人指定的第三方监管团队（如有）的管理工作。</w:t>
      </w:r>
    </w:p>
    <w:p w14:paraId="6280C2FB">
      <w:pPr>
        <w:numPr>
          <w:ilvl w:val="0"/>
          <w:numId w:val="7"/>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投标人在</w:t>
      </w:r>
      <w:r>
        <w:rPr>
          <w:rFonts w:hint="eastAsia" w:asciiTheme="minorEastAsia" w:hAnsiTheme="minorEastAsia" w:eastAsiaTheme="minorEastAsia" w:cstheme="minorEastAsia"/>
          <w:color w:val="auto"/>
          <w:sz w:val="24"/>
          <w:szCs w:val="24"/>
          <w:highlight w:val="none"/>
          <w:lang w:val="en-US" w:eastAsia="zh-CN"/>
        </w:rPr>
        <w:t>合同期</w:t>
      </w:r>
      <w:r>
        <w:rPr>
          <w:rFonts w:hint="eastAsia" w:asciiTheme="minorEastAsia" w:hAnsiTheme="minorEastAsia" w:eastAsiaTheme="minorEastAsia" w:cstheme="minorEastAsia"/>
          <w:color w:val="auto"/>
          <w:sz w:val="24"/>
          <w:szCs w:val="24"/>
          <w:highlight w:val="none"/>
        </w:rPr>
        <w:t>结束时应当无条件协助使用单位完成业务数据迁移、备份等工作。以及配合移交</w:t>
      </w:r>
      <w:r>
        <w:rPr>
          <w:rFonts w:hint="eastAsia" w:asciiTheme="minorEastAsia" w:hAnsiTheme="minorEastAsia" w:eastAsiaTheme="minorEastAsia" w:cstheme="minorEastAsia"/>
          <w:color w:val="auto"/>
          <w:sz w:val="24"/>
          <w:szCs w:val="24"/>
          <w:highlight w:val="none"/>
          <w:lang w:val="en-US" w:eastAsia="zh-CN"/>
        </w:rPr>
        <w:t>工具使用期间产生</w:t>
      </w:r>
      <w:r>
        <w:rPr>
          <w:rFonts w:hint="eastAsia" w:asciiTheme="minorEastAsia" w:hAnsiTheme="minorEastAsia" w:eastAsiaTheme="minorEastAsia" w:cstheme="minorEastAsia"/>
          <w:color w:val="auto"/>
          <w:sz w:val="24"/>
          <w:szCs w:val="24"/>
          <w:highlight w:val="none"/>
        </w:rPr>
        <w:t>、收集的数据以及相关文档资料等。</w:t>
      </w:r>
    </w:p>
    <w:p w14:paraId="31F46438">
      <w:pPr>
        <w:numPr>
          <w:ilvl w:val="0"/>
          <w:numId w:val="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系统部署要求</w:t>
      </w:r>
      <w:r>
        <w:rPr>
          <w:rFonts w:hint="default" w:asciiTheme="minorEastAsia" w:hAnsiTheme="minorEastAsia" w:eastAsiaTheme="minorEastAsia" w:cstheme="minorEastAsia"/>
          <w:b w:val="0"/>
          <w:bCs w:val="0"/>
          <w:color w:val="auto"/>
          <w:sz w:val="24"/>
          <w:szCs w:val="24"/>
          <w:highlight w:val="none"/>
          <w:lang w:val="en-US"/>
        </w:rPr>
        <w:t>:</w:t>
      </w:r>
      <w:r>
        <w:rPr>
          <w:rFonts w:hint="eastAsia" w:asciiTheme="minorEastAsia" w:hAnsiTheme="minorEastAsia" w:eastAsiaTheme="minorEastAsia" w:cstheme="minorEastAsia"/>
          <w:b w:val="0"/>
          <w:bCs w:val="0"/>
          <w:color w:val="auto"/>
          <w:sz w:val="24"/>
          <w:szCs w:val="24"/>
          <w:highlight w:val="none"/>
        </w:rPr>
        <w:t>中标人提供</w:t>
      </w:r>
      <w:r>
        <w:rPr>
          <w:rFonts w:hint="eastAsia" w:asciiTheme="minorEastAsia" w:hAnsiTheme="minorEastAsia" w:eastAsiaTheme="minorEastAsia" w:cstheme="minorEastAsia"/>
          <w:b w:val="0"/>
          <w:bCs w:val="0"/>
          <w:color w:val="auto"/>
          <w:sz w:val="24"/>
          <w:szCs w:val="24"/>
          <w:highlight w:val="none"/>
          <w:lang w:val="en-US" w:eastAsia="zh-CN"/>
        </w:rPr>
        <w:t>的各类软件工具</w:t>
      </w:r>
      <w:r>
        <w:rPr>
          <w:rFonts w:hint="eastAsia" w:asciiTheme="minorEastAsia" w:hAnsiTheme="minorEastAsia" w:eastAsiaTheme="minorEastAsia" w:cstheme="minorEastAsia"/>
          <w:b w:val="0"/>
          <w:bCs w:val="0"/>
          <w:color w:val="auto"/>
          <w:sz w:val="24"/>
          <w:szCs w:val="24"/>
          <w:highlight w:val="none"/>
        </w:rPr>
        <w:t>涉及</w:t>
      </w:r>
      <w:r>
        <w:rPr>
          <w:rFonts w:hint="eastAsia" w:asciiTheme="minorEastAsia" w:hAnsiTheme="minorEastAsia" w:eastAsiaTheme="minorEastAsia" w:cstheme="minorEastAsia"/>
          <w:b w:val="0"/>
          <w:bCs w:val="0"/>
          <w:color w:val="auto"/>
          <w:sz w:val="24"/>
          <w:szCs w:val="24"/>
          <w:highlight w:val="none"/>
          <w:lang w:val="en-US" w:eastAsia="zh-CN"/>
        </w:rPr>
        <w:t>集中部署的，应当在项目中期验收前完成工具底座搭建</w:t>
      </w:r>
      <w:r>
        <w:rPr>
          <w:rFonts w:hint="eastAsia" w:asciiTheme="minorEastAsia" w:hAnsiTheme="minorEastAsia" w:eastAsiaTheme="minorEastAsia" w:cstheme="minorEastAsia"/>
          <w:b w:val="0"/>
          <w:bCs w:val="0"/>
          <w:color w:val="auto"/>
          <w:sz w:val="24"/>
          <w:szCs w:val="24"/>
          <w:highlight w:val="none"/>
        </w:rPr>
        <w:t>。</w:t>
      </w:r>
    </w:p>
    <w:p w14:paraId="613DFD17">
      <w:pPr>
        <w:numPr>
          <w:ilvl w:val="0"/>
          <w:numId w:val="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软件工具产品选型</w:t>
      </w:r>
      <w:r>
        <w:rPr>
          <w:rFonts w:hint="default"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投标人所提供的软件产品必须完全满足本项目的技术需求，包括但不限于采购文件中规定的</w:t>
      </w:r>
      <w:r>
        <w:rPr>
          <w:rFonts w:hint="eastAsia" w:asciiTheme="minorEastAsia" w:hAnsiTheme="minorEastAsia" w:eastAsiaTheme="minorEastAsia" w:cstheme="minorEastAsia"/>
          <w:b w:val="0"/>
          <w:bCs w:val="0"/>
          <w:color w:val="auto"/>
          <w:sz w:val="24"/>
          <w:szCs w:val="24"/>
          <w:highlight w:val="none"/>
          <w:lang w:val="en-US" w:eastAsia="zh-CN"/>
        </w:rPr>
        <w:t>软件工具</w:t>
      </w:r>
      <w:r>
        <w:rPr>
          <w:rFonts w:hint="eastAsia" w:asciiTheme="minorEastAsia" w:hAnsiTheme="minorEastAsia" w:eastAsiaTheme="minorEastAsia" w:cstheme="minorEastAsia"/>
          <w:b w:val="0"/>
          <w:bCs w:val="0"/>
          <w:color w:val="auto"/>
          <w:sz w:val="24"/>
          <w:szCs w:val="24"/>
          <w:highlight w:val="none"/>
        </w:rPr>
        <w:t>功能、性能、兼容性、安全性以及管理和验收等</w:t>
      </w:r>
      <w:r>
        <w:rPr>
          <w:rFonts w:hint="eastAsia" w:asciiTheme="minorEastAsia" w:hAnsiTheme="minorEastAsia" w:eastAsiaTheme="minorEastAsia" w:cstheme="minorEastAsia"/>
          <w:b w:val="0"/>
          <w:bCs w:val="0"/>
          <w:color w:val="auto"/>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rPr>
        <w:t>。需提供符合采购需求的证明材料，包括不限于</w:t>
      </w:r>
      <w:r>
        <w:rPr>
          <w:rFonts w:hint="default" w:asciiTheme="minorEastAsia" w:hAnsiTheme="minorEastAsia" w:eastAsiaTheme="minorEastAsia" w:cstheme="minorEastAsia"/>
          <w:b w:val="0"/>
          <w:bCs w:val="0"/>
          <w:color w:val="auto"/>
          <w:sz w:val="24"/>
          <w:szCs w:val="24"/>
          <w:highlight w:val="none"/>
          <w:lang w:val="en-US"/>
        </w:rPr>
        <w:t>:</w:t>
      </w:r>
      <w:r>
        <w:rPr>
          <w:rFonts w:hint="eastAsia" w:asciiTheme="minorEastAsia" w:hAnsiTheme="minorEastAsia" w:eastAsiaTheme="minorEastAsia" w:cstheme="minorEastAsia"/>
          <w:b w:val="0"/>
          <w:bCs w:val="0"/>
          <w:color w:val="auto"/>
          <w:sz w:val="24"/>
          <w:szCs w:val="24"/>
          <w:highlight w:val="none"/>
        </w:rPr>
        <w:t>第三方专业测评报告、第三方专业检测报告、产品能力证明截图、其他体现产品能力的证明材料</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rPr>
        <w:t>。</w:t>
      </w:r>
    </w:p>
    <w:p w14:paraId="3CA3A002">
      <w:pPr>
        <w:numPr>
          <w:ilvl w:val="0"/>
          <w:numId w:val="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对接能力</w:t>
      </w:r>
      <w:r>
        <w:rPr>
          <w:rFonts w:hint="eastAsia" w:asciiTheme="minorEastAsia" w:hAnsiTheme="minorEastAsia" w:eastAsiaTheme="minorEastAsia" w:cstheme="minorEastAsia"/>
          <w:b w:val="0"/>
          <w:bCs w:val="0"/>
          <w:color w:val="auto"/>
          <w:sz w:val="24"/>
          <w:szCs w:val="24"/>
          <w:highlight w:val="none"/>
        </w:rPr>
        <w:t>要求</w:t>
      </w:r>
      <w:r>
        <w:rPr>
          <w:rFonts w:hint="default" w:asciiTheme="minorEastAsia" w:hAnsiTheme="minorEastAsia" w:eastAsiaTheme="minorEastAsia" w:cstheme="minorEastAsia"/>
          <w:b w:val="0"/>
          <w:bCs w:val="0"/>
          <w:color w:val="auto"/>
          <w:sz w:val="24"/>
          <w:szCs w:val="24"/>
          <w:highlight w:val="none"/>
          <w:lang w:val="en-US"/>
        </w:rPr>
        <w:t>:</w:t>
      </w:r>
      <w:r>
        <w:rPr>
          <w:rFonts w:hint="eastAsia" w:asciiTheme="minorEastAsia" w:hAnsiTheme="minorEastAsia" w:eastAsiaTheme="minorEastAsia" w:cstheme="minorEastAsia"/>
          <w:b w:val="0"/>
          <w:bCs w:val="0"/>
          <w:color w:val="auto"/>
          <w:sz w:val="24"/>
          <w:szCs w:val="24"/>
          <w:highlight w:val="none"/>
        </w:rPr>
        <w:t>中标人应当具备与现有政务云管理平台进行工具申请需求对接、工具运行状态对接以及工具管理数据对接。</w:t>
      </w:r>
    </w:p>
    <w:p w14:paraId="7D40C22A">
      <w:pPr>
        <w:numPr>
          <w:ilvl w:val="0"/>
          <w:numId w:val="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管理能力要求</w:t>
      </w:r>
      <w:r>
        <w:rPr>
          <w:rFonts w:hint="default"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投标人应根据本项目采购</w:t>
      </w:r>
      <w:r>
        <w:rPr>
          <w:rFonts w:hint="eastAsia" w:asciiTheme="minorEastAsia" w:hAnsiTheme="minorEastAsia" w:eastAsiaTheme="minorEastAsia" w:cstheme="minorEastAsia"/>
          <w:b w:val="0"/>
          <w:bCs w:val="0"/>
          <w:color w:val="auto"/>
          <w:sz w:val="24"/>
          <w:szCs w:val="24"/>
          <w:highlight w:val="none"/>
          <w:lang w:val="en-US" w:eastAsia="zh-CN"/>
        </w:rPr>
        <w:t>内容</w:t>
      </w:r>
      <w:r>
        <w:rPr>
          <w:rFonts w:hint="eastAsia" w:asciiTheme="minorEastAsia" w:hAnsiTheme="minorEastAsia" w:eastAsiaTheme="minorEastAsia" w:cstheme="minorEastAsia"/>
          <w:b w:val="0"/>
          <w:bCs w:val="0"/>
          <w:color w:val="auto"/>
          <w:sz w:val="24"/>
          <w:szCs w:val="24"/>
          <w:highlight w:val="none"/>
        </w:rPr>
        <w:t>提供相应管理工具。管理工具能力包括不限于提供工具</w:t>
      </w:r>
      <w:r>
        <w:rPr>
          <w:rFonts w:hint="eastAsia" w:asciiTheme="minorEastAsia" w:hAnsiTheme="minorEastAsia" w:eastAsiaTheme="minorEastAsia" w:cstheme="minorEastAsia"/>
          <w:b w:val="0"/>
          <w:bCs w:val="0"/>
          <w:color w:val="auto"/>
          <w:sz w:val="24"/>
          <w:szCs w:val="24"/>
          <w:highlight w:val="none"/>
          <w:lang w:val="en-US" w:eastAsia="zh-CN"/>
        </w:rPr>
        <w:t>应用</w:t>
      </w:r>
      <w:r>
        <w:rPr>
          <w:rFonts w:hint="eastAsia" w:asciiTheme="minorEastAsia" w:hAnsiTheme="minorEastAsia" w:eastAsiaTheme="minorEastAsia" w:cstheme="minorEastAsia"/>
          <w:b w:val="0"/>
          <w:bCs w:val="0"/>
          <w:color w:val="auto"/>
          <w:sz w:val="24"/>
          <w:szCs w:val="24"/>
          <w:highlight w:val="none"/>
        </w:rPr>
        <w:t>市场、工具上架、工具下架、工具交付、工具产品及使用跟踪等全流程管理能力。</w:t>
      </w:r>
    </w:p>
    <w:p w14:paraId="0B997684">
      <w:pPr>
        <w:numPr>
          <w:ilvl w:val="0"/>
          <w:numId w:val="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监控能力要求</w:t>
      </w:r>
      <w:r>
        <w:rPr>
          <w:rFonts w:hint="default" w:asciiTheme="minorEastAsia" w:hAnsiTheme="minorEastAsia" w:eastAsiaTheme="minorEastAsia" w:cstheme="minorEastAsia"/>
          <w:b w:val="0"/>
          <w:bCs w:val="0"/>
          <w:color w:val="auto"/>
          <w:sz w:val="24"/>
          <w:szCs w:val="24"/>
          <w:highlight w:val="none"/>
          <w:lang w:val="en-US"/>
        </w:rPr>
        <w:t>:</w:t>
      </w:r>
      <w:r>
        <w:rPr>
          <w:rFonts w:hint="eastAsia" w:asciiTheme="minorEastAsia" w:hAnsiTheme="minorEastAsia" w:eastAsiaTheme="minorEastAsia" w:cstheme="minorEastAsia"/>
          <w:b w:val="0"/>
          <w:bCs w:val="0"/>
          <w:color w:val="auto"/>
          <w:sz w:val="24"/>
          <w:szCs w:val="24"/>
          <w:highlight w:val="none"/>
        </w:rPr>
        <w:t>中标人应当对所提供的</w:t>
      </w:r>
      <w:r>
        <w:rPr>
          <w:rFonts w:hint="eastAsia" w:asciiTheme="minorEastAsia" w:hAnsiTheme="minorEastAsia" w:eastAsiaTheme="minorEastAsia" w:cstheme="minorEastAsia"/>
          <w:b w:val="0"/>
          <w:bCs w:val="0"/>
          <w:color w:val="auto"/>
          <w:sz w:val="24"/>
          <w:szCs w:val="24"/>
          <w:highlight w:val="none"/>
          <w:lang w:val="en-US" w:eastAsia="zh-CN"/>
        </w:rPr>
        <w:t>各类软件工具</w:t>
      </w:r>
      <w:r>
        <w:rPr>
          <w:rFonts w:hint="eastAsia" w:asciiTheme="minorEastAsia" w:hAnsiTheme="minorEastAsia" w:eastAsiaTheme="minorEastAsia" w:cstheme="minorEastAsia"/>
          <w:b w:val="0"/>
          <w:bCs w:val="0"/>
          <w:color w:val="auto"/>
          <w:sz w:val="24"/>
          <w:szCs w:val="24"/>
          <w:highlight w:val="none"/>
        </w:rPr>
        <w:t>能力提供实时动态的监控，并将监控数据同步到现有政务云管理平台</w:t>
      </w:r>
      <w:r>
        <w:rPr>
          <w:rFonts w:hint="eastAsia" w:asciiTheme="minorEastAsia" w:hAnsiTheme="minorEastAsia" w:eastAsiaTheme="minorEastAsia" w:cstheme="minorEastAsia"/>
          <w:b w:val="0"/>
          <w:bCs w:val="0"/>
          <w:color w:val="auto"/>
          <w:sz w:val="24"/>
          <w:szCs w:val="24"/>
          <w:highlight w:val="none"/>
          <w:lang w:val="en-US" w:eastAsia="zh-CN"/>
        </w:rPr>
        <w:t>中</w:t>
      </w:r>
      <w:r>
        <w:rPr>
          <w:rFonts w:hint="eastAsia" w:asciiTheme="minorEastAsia" w:hAnsiTheme="minorEastAsia" w:eastAsiaTheme="minorEastAsia" w:cstheme="minorEastAsia"/>
          <w:b w:val="0"/>
          <w:bCs w:val="0"/>
          <w:color w:val="auto"/>
          <w:sz w:val="24"/>
          <w:szCs w:val="24"/>
          <w:highlight w:val="none"/>
        </w:rPr>
        <w:t>，同步内容包括但不限于</w:t>
      </w:r>
      <w:r>
        <w:rPr>
          <w:rFonts w:hint="eastAsia" w:asciiTheme="minorEastAsia" w:hAnsiTheme="minorEastAsia" w:eastAsiaTheme="minorEastAsia" w:cstheme="minorEastAsia"/>
          <w:b w:val="0"/>
          <w:bCs w:val="0"/>
          <w:color w:val="auto"/>
          <w:sz w:val="24"/>
          <w:szCs w:val="24"/>
          <w:highlight w:val="none"/>
          <w:lang w:val="en-US" w:eastAsia="zh-CN"/>
        </w:rPr>
        <w:t>软件工具</w:t>
      </w:r>
      <w:r>
        <w:rPr>
          <w:rFonts w:hint="eastAsia" w:asciiTheme="minorEastAsia" w:hAnsiTheme="minorEastAsia" w:eastAsiaTheme="minorEastAsia" w:cstheme="minorEastAsia"/>
          <w:b w:val="0"/>
          <w:bCs w:val="0"/>
          <w:color w:val="auto"/>
          <w:sz w:val="24"/>
          <w:szCs w:val="24"/>
          <w:highlight w:val="none"/>
        </w:rPr>
        <w:t>的使用情况统计、计量计费数据、告警数据、资源数据、运行性能数据、故障处置信息、安全相关信息以及其他日志数据</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rPr>
        <w:t>。</w:t>
      </w:r>
    </w:p>
    <w:p w14:paraId="2E224B25">
      <w:pPr>
        <w:numPr>
          <w:ilvl w:val="0"/>
          <w:numId w:val="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投标人</w:t>
      </w:r>
      <w:r>
        <w:rPr>
          <w:rFonts w:hint="eastAsia" w:asciiTheme="minorEastAsia" w:hAnsiTheme="minorEastAsia" w:eastAsiaTheme="minorEastAsia" w:cstheme="minorEastAsia"/>
          <w:b w:val="0"/>
          <w:bCs w:val="0"/>
          <w:color w:val="auto"/>
          <w:sz w:val="24"/>
          <w:szCs w:val="24"/>
          <w:highlight w:val="none"/>
          <w:lang w:val="en-US" w:eastAsia="zh-CN"/>
        </w:rPr>
        <w:t>应当</w:t>
      </w:r>
      <w:r>
        <w:rPr>
          <w:rFonts w:hint="eastAsia" w:asciiTheme="minorEastAsia" w:hAnsiTheme="minorEastAsia" w:eastAsiaTheme="minorEastAsia" w:cstheme="minorEastAsia"/>
          <w:b w:val="0"/>
          <w:bCs w:val="0"/>
          <w:color w:val="auto"/>
          <w:sz w:val="24"/>
          <w:szCs w:val="24"/>
          <w:highlight w:val="none"/>
        </w:rPr>
        <w:t>围绕</w:t>
      </w:r>
      <w:r>
        <w:rPr>
          <w:rFonts w:hint="eastAsia" w:asciiTheme="minorEastAsia" w:hAnsiTheme="minorEastAsia" w:eastAsiaTheme="minorEastAsia" w:cstheme="minorEastAsia"/>
          <w:b w:val="0"/>
          <w:bCs w:val="0"/>
          <w:color w:val="auto"/>
          <w:sz w:val="24"/>
          <w:szCs w:val="24"/>
          <w:highlight w:val="none"/>
          <w:lang w:val="en-US" w:eastAsia="zh-CN"/>
        </w:rPr>
        <w:t>本</w:t>
      </w:r>
      <w:r>
        <w:rPr>
          <w:rFonts w:hint="eastAsia" w:asciiTheme="minorEastAsia" w:hAnsiTheme="minorEastAsia" w:eastAsiaTheme="minorEastAsia" w:cstheme="minorEastAsia"/>
          <w:b w:val="0"/>
          <w:bCs w:val="0"/>
          <w:color w:val="auto"/>
          <w:sz w:val="24"/>
          <w:szCs w:val="24"/>
          <w:highlight w:val="none"/>
        </w:rPr>
        <w:t>项目</w:t>
      </w:r>
      <w:r>
        <w:rPr>
          <w:rFonts w:hint="eastAsia" w:asciiTheme="minorEastAsia" w:hAnsiTheme="minorEastAsia" w:eastAsiaTheme="minorEastAsia" w:cstheme="minorEastAsia"/>
          <w:b w:val="0"/>
          <w:bCs w:val="0"/>
          <w:color w:val="auto"/>
          <w:sz w:val="24"/>
          <w:szCs w:val="24"/>
          <w:highlight w:val="none"/>
          <w:lang w:val="en-US" w:eastAsia="zh-CN"/>
        </w:rPr>
        <w:t>建设内容</w:t>
      </w:r>
      <w:r>
        <w:rPr>
          <w:rFonts w:hint="eastAsia" w:asciiTheme="minorEastAsia" w:hAnsiTheme="minorEastAsia" w:eastAsiaTheme="minorEastAsia" w:cstheme="minorEastAsia"/>
          <w:b w:val="0"/>
          <w:bCs w:val="0"/>
          <w:color w:val="auto"/>
          <w:sz w:val="24"/>
          <w:szCs w:val="24"/>
          <w:highlight w:val="none"/>
        </w:rPr>
        <w:t>给出符合实际业务需要的考核评估方案，包括不限于从工具应用效益、工具应用效率、工具支撑质量以及工具评估措施等各个维度进行考核评估规划设计。</w:t>
      </w:r>
    </w:p>
    <w:p w14:paraId="05DEA04E">
      <w:pPr>
        <w:numPr>
          <w:ilvl w:val="0"/>
          <w:numId w:val="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中标人应当配合采购人完成</w:t>
      </w:r>
      <w:r>
        <w:rPr>
          <w:rFonts w:hint="eastAsia" w:asciiTheme="minorEastAsia" w:hAnsiTheme="minorEastAsia" w:eastAsiaTheme="minorEastAsia" w:cstheme="minorEastAsia"/>
          <w:b w:val="0"/>
          <w:bCs w:val="0"/>
          <w:color w:val="auto"/>
          <w:sz w:val="24"/>
          <w:szCs w:val="24"/>
          <w:highlight w:val="none"/>
          <w:lang w:val="en-US" w:eastAsia="zh-CN"/>
        </w:rPr>
        <w:t>本项目</w:t>
      </w:r>
      <w:r>
        <w:rPr>
          <w:rFonts w:hint="eastAsia" w:asciiTheme="minorEastAsia" w:hAnsiTheme="minorEastAsia" w:eastAsiaTheme="minorEastAsia" w:cstheme="minorEastAsia"/>
          <w:b w:val="0"/>
          <w:bCs w:val="0"/>
          <w:color w:val="auto"/>
          <w:sz w:val="24"/>
          <w:szCs w:val="24"/>
          <w:highlight w:val="none"/>
        </w:rPr>
        <w:t>考核评估工作，并负责对已经出现的</w:t>
      </w:r>
      <w:r>
        <w:rPr>
          <w:rFonts w:hint="eastAsia" w:asciiTheme="minorEastAsia" w:hAnsiTheme="minorEastAsia" w:eastAsiaTheme="minorEastAsia" w:cstheme="minorEastAsia"/>
          <w:b w:val="0"/>
          <w:bCs w:val="0"/>
          <w:color w:val="auto"/>
          <w:sz w:val="24"/>
          <w:szCs w:val="24"/>
          <w:highlight w:val="none"/>
          <w:lang w:val="en-US" w:eastAsia="zh-CN"/>
        </w:rPr>
        <w:t>工具</w:t>
      </w:r>
      <w:r>
        <w:rPr>
          <w:rFonts w:hint="eastAsia" w:asciiTheme="minorEastAsia" w:hAnsiTheme="minorEastAsia" w:eastAsiaTheme="minorEastAsia" w:cstheme="minorEastAsia"/>
          <w:b w:val="0"/>
          <w:bCs w:val="0"/>
          <w:color w:val="auto"/>
          <w:sz w:val="24"/>
          <w:szCs w:val="24"/>
          <w:highlight w:val="none"/>
        </w:rPr>
        <w:t>问题进行整改。</w:t>
      </w:r>
    </w:p>
    <w:p w14:paraId="6BDAB4B9">
      <w:pPr>
        <w:pStyle w:val="3"/>
        <w:ind w:left="0" w:leftChars="0" w:firstLineChars="0"/>
        <w:rPr>
          <w:rFonts w:hint="eastAsia"/>
          <w:highlight w:val="none"/>
        </w:rPr>
      </w:pPr>
      <w:r>
        <w:rPr>
          <w:rFonts w:hint="eastAsia"/>
          <w:highlight w:val="none"/>
        </w:rPr>
        <w:t>售后服务要求</w:t>
      </w:r>
      <w:bookmarkEnd w:id="29"/>
    </w:p>
    <w:p w14:paraId="24565CF8">
      <w:pPr>
        <w:numPr>
          <w:ilvl w:val="0"/>
          <w:numId w:val="8"/>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宋体" w:hAnsi="宋体"/>
          <w:sz w:val="24"/>
          <w:szCs w:val="24"/>
          <w:highlight w:val="none"/>
        </w:rPr>
        <w:t>本项目从系统验收通过之日起</w:t>
      </w:r>
      <w:r>
        <w:rPr>
          <w:rFonts w:hint="eastAsia" w:ascii="宋体" w:hAnsi="宋体"/>
          <w:sz w:val="24"/>
          <w:szCs w:val="24"/>
          <w:highlight w:val="none"/>
          <w:lang w:val="en-US" w:eastAsia="zh-CN"/>
        </w:rPr>
        <w:t>提供</w:t>
      </w:r>
      <w:r>
        <w:rPr>
          <w:rFonts w:hint="eastAsia" w:ascii="宋体" w:hAnsi="宋体"/>
          <w:sz w:val="24"/>
          <w:szCs w:val="24"/>
          <w:highlight w:val="none"/>
        </w:rPr>
        <w:t>1年</w:t>
      </w:r>
      <w:r>
        <w:rPr>
          <w:rFonts w:hint="eastAsia" w:ascii="宋体" w:hAnsi="宋体"/>
          <w:sz w:val="24"/>
          <w:szCs w:val="24"/>
          <w:highlight w:val="none"/>
          <w:lang w:val="en-US" w:eastAsia="zh-CN"/>
        </w:rPr>
        <w:t>质保服务。质保期</w:t>
      </w:r>
      <w:r>
        <w:rPr>
          <w:rFonts w:hint="eastAsia" w:ascii="宋体" w:hAnsi="宋体"/>
          <w:sz w:val="24"/>
          <w:szCs w:val="24"/>
          <w:highlight w:val="none"/>
        </w:rPr>
        <w:t>内提供</w:t>
      </w:r>
      <w:r>
        <w:rPr>
          <w:rFonts w:ascii="宋体" w:hAnsi="宋体"/>
          <w:sz w:val="24"/>
          <w:szCs w:val="24"/>
          <w:highlight w:val="none"/>
        </w:rPr>
        <w:t>7*24小时免费技术支持</w:t>
      </w:r>
      <w:r>
        <w:rPr>
          <w:rFonts w:hint="eastAsia" w:ascii="宋体" w:hAnsi="宋体"/>
          <w:sz w:val="24"/>
          <w:szCs w:val="24"/>
          <w:highlight w:val="none"/>
        </w:rPr>
        <w:t>和售后服务</w:t>
      </w:r>
      <w:r>
        <w:rPr>
          <w:rFonts w:hint="eastAsia" w:ascii="宋体" w:hAnsi="宋体"/>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提供5*8小时的驻场服务，重大节点强化保障</w:t>
      </w:r>
      <w:r>
        <w:rPr>
          <w:rFonts w:hint="eastAsia" w:asciiTheme="minorEastAsia" w:hAnsiTheme="minorEastAsia" w:eastAsiaTheme="minorEastAsia" w:cstheme="minorEastAsia"/>
          <w:color w:val="auto"/>
          <w:sz w:val="24"/>
          <w:szCs w:val="24"/>
          <w:highlight w:val="none"/>
          <w:lang w:val="en-US" w:eastAsia="zh-CN"/>
        </w:rPr>
        <w:t>服务。</w:t>
      </w:r>
    </w:p>
    <w:p w14:paraId="0561E62D">
      <w:pPr>
        <w:numPr>
          <w:ilvl w:val="0"/>
          <w:numId w:val="8"/>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p>
    <w:p w14:paraId="60901611">
      <w:pPr>
        <w:numPr>
          <w:ilvl w:val="0"/>
          <w:numId w:val="8"/>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投标人提供的</w:t>
      </w:r>
      <w:r>
        <w:rPr>
          <w:rFonts w:hint="eastAsia" w:asciiTheme="minorEastAsia" w:hAnsiTheme="minorEastAsia" w:eastAsiaTheme="minorEastAsia" w:cstheme="minorEastAsia"/>
          <w:color w:val="auto"/>
          <w:sz w:val="24"/>
          <w:szCs w:val="24"/>
          <w:highlight w:val="none"/>
          <w:lang w:val="en-US" w:eastAsia="zh-CN"/>
        </w:rPr>
        <w:t>各类软件工具</w:t>
      </w:r>
      <w:r>
        <w:rPr>
          <w:rFonts w:hint="eastAsia" w:asciiTheme="minorEastAsia" w:hAnsiTheme="minorEastAsia" w:eastAsiaTheme="minorEastAsia" w:cstheme="minorEastAsia"/>
          <w:color w:val="auto"/>
          <w:sz w:val="24"/>
          <w:szCs w:val="24"/>
          <w:highlight w:val="none"/>
        </w:rPr>
        <w:t>的整体可用性应不低于99.99%，数据可靠性应不低于99.999%，并对</w:t>
      </w:r>
      <w:r>
        <w:rPr>
          <w:rFonts w:hint="eastAsia" w:asciiTheme="minorEastAsia" w:hAnsiTheme="minorEastAsia" w:eastAsiaTheme="minorEastAsia" w:cstheme="minorEastAsia"/>
          <w:color w:val="auto"/>
          <w:sz w:val="24"/>
          <w:szCs w:val="24"/>
          <w:highlight w:val="none"/>
          <w:lang w:val="en-US" w:eastAsia="zh-CN"/>
        </w:rPr>
        <w:t>软件工具使用</w:t>
      </w:r>
      <w:r>
        <w:rPr>
          <w:rFonts w:hint="eastAsia" w:asciiTheme="minorEastAsia" w:hAnsiTheme="minorEastAsia" w:eastAsiaTheme="minorEastAsia" w:cstheme="minorEastAsia"/>
          <w:color w:val="auto"/>
          <w:sz w:val="24"/>
          <w:szCs w:val="24"/>
          <w:highlight w:val="none"/>
        </w:rPr>
        <w:t>期间出现的异常问题进行快速响应、处置和恢复。</w:t>
      </w:r>
    </w:p>
    <w:p w14:paraId="0782FCED">
      <w:pPr>
        <w:numPr>
          <w:ilvl w:val="0"/>
          <w:numId w:val="8"/>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保障要求</w:t>
      </w:r>
      <w:r>
        <w:rPr>
          <w:rFonts w:hint="default"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中标人应当</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软件</w:t>
      </w:r>
      <w:r>
        <w:rPr>
          <w:rFonts w:hint="eastAsia" w:asciiTheme="minorEastAsia" w:hAnsiTheme="minorEastAsia" w:eastAsiaTheme="minorEastAsia" w:cstheme="minorEastAsia"/>
          <w:color w:val="auto"/>
          <w:sz w:val="24"/>
          <w:szCs w:val="24"/>
          <w:highlight w:val="none"/>
          <w:lang w:val="en-US" w:eastAsia="zh-CN"/>
        </w:rPr>
        <w:t>工具</w:t>
      </w:r>
      <w:r>
        <w:rPr>
          <w:rFonts w:hint="eastAsia" w:asciiTheme="minorEastAsia" w:hAnsiTheme="minorEastAsia" w:eastAsiaTheme="minorEastAsia" w:cstheme="minorEastAsia"/>
          <w:color w:val="auto"/>
          <w:sz w:val="24"/>
          <w:szCs w:val="24"/>
          <w:highlight w:val="none"/>
        </w:rPr>
        <w:t>安装介质、软件更新介质（包括补丁更新与版本升级）、软件使用技术支持、软件安装手册、业务场景接入技术支持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软件使用日常咨询响应</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val="en-US" w:eastAsia="zh-CN"/>
        </w:rPr>
        <w:t>工具</w:t>
      </w:r>
      <w:r>
        <w:rPr>
          <w:rFonts w:hint="eastAsia" w:asciiTheme="minorEastAsia" w:hAnsiTheme="minorEastAsia" w:eastAsiaTheme="minorEastAsia" w:cstheme="minorEastAsia"/>
          <w:color w:val="auto"/>
          <w:sz w:val="24"/>
          <w:szCs w:val="24"/>
          <w:highlight w:val="none"/>
        </w:rPr>
        <w:t>使用培训等</w:t>
      </w:r>
      <w:r>
        <w:rPr>
          <w:rFonts w:hint="eastAsia" w:asciiTheme="minorEastAsia" w:hAnsiTheme="minorEastAsia" w:eastAsiaTheme="minorEastAsia" w:cstheme="minorEastAsia"/>
          <w:color w:val="auto"/>
          <w:sz w:val="24"/>
          <w:szCs w:val="24"/>
          <w:highlight w:val="none"/>
          <w:lang w:val="en-US" w:eastAsia="zh-CN"/>
        </w:rPr>
        <w:t>支撑保障服务</w:t>
      </w:r>
      <w:r>
        <w:rPr>
          <w:rFonts w:hint="eastAsia" w:asciiTheme="minorEastAsia" w:hAnsiTheme="minorEastAsia" w:eastAsiaTheme="minorEastAsia" w:cstheme="minorEastAsia"/>
          <w:color w:val="auto"/>
          <w:sz w:val="24"/>
          <w:szCs w:val="24"/>
          <w:highlight w:val="none"/>
        </w:rPr>
        <w:t>。</w:t>
      </w:r>
    </w:p>
    <w:p w14:paraId="0C000CB4">
      <w:pPr>
        <w:numPr>
          <w:ilvl w:val="0"/>
          <w:numId w:val="8"/>
        </w:numPr>
        <w:spacing w:line="360" w:lineRule="auto"/>
        <w:ind w:left="425" w:leftChars="0" w:hanging="425" w:firstLineChars="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日常监控、巡检</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lang w:val="en-US" w:eastAsia="zh-CN"/>
        </w:rPr>
        <w:t>中标人应对本项目集中部署的软件工具进行</w:t>
      </w:r>
      <w:r>
        <w:rPr>
          <w:rFonts w:hint="eastAsia" w:asciiTheme="minorEastAsia" w:hAnsiTheme="minorEastAsia" w:eastAsiaTheme="minorEastAsia" w:cstheme="minorEastAsia"/>
          <w:color w:val="auto"/>
          <w:sz w:val="24"/>
          <w:szCs w:val="24"/>
          <w:highlight w:val="none"/>
        </w:rPr>
        <w:t>日常监控、巡检，包括监控告警的处理，巡检异常的处理等；中标人需制定维护管理规定，并按照规定中的维护项目、周期和要求，制定详细的作业计划并执行。</w:t>
      </w:r>
    </w:p>
    <w:p w14:paraId="093A91EB">
      <w:pPr>
        <w:numPr>
          <w:ilvl w:val="0"/>
          <w:numId w:val="8"/>
        </w:numPr>
        <w:spacing w:line="360" w:lineRule="auto"/>
        <w:ind w:left="425" w:leftChars="0" w:hanging="425" w:firstLineChars="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系统扩容</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中标人应承诺，在</w:t>
      </w:r>
      <w:r>
        <w:rPr>
          <w:rFonts w:hint="eastAsia" w:asciiTheme="minorEastAsia" w:hAnsiTheme="minorEastAsia" w:eastAsiaTheme="minorEastAsia" w:cstheme="minorEastAsia"/>
          <w:color w:val="auto"/>
          <w:sz w:val="24"/>
          <w:szCs w:val="24"/>
          <w:highlight w:val="none"/>
          <w:lang w:val="en-US" w:eastAsia="zh-CN"/>
        </w:rPr>
        <w:t>项目建设</w:t>
      </w:r>
      <w:r>
        <w:rPr>
          <w:rFonts w:hint="eastAsia" w:asciiTheme="minorEastAsia" w:hAnsiTheme="minorEastAsia" w:eastAsiaTheme="minorEastAsia" w:cstheme="minorEastAsia"/>
          <w:color w:val="auto"/>
          <w:sz w:val="24"/>
          <w:szCs w:val="24"/>
          <w:highlight w:val="none"/>
        </w:rPr>
        <w:t>过程中，当平台资源数量、功能、性能等方面不满足最终用户使用要求时，中标人需对现有</w:t>
      </w:r>
      <w:r>
        <w:rPr>
          <w:rFonts w:hint="eastAsia" w:asciiTheme="minorEastAsia" w:hAnsiTheme="minorEastAsia" w:eastAsiaTheme="minorEastAsia" w:cstheme="minorEastAsia"/>
          <w:color w:val="auto"/>
          <w:sz w:val="24"/>
          <w:szCs w:val="24"/>
          <w:highlight w:val="none"/>
          <w:lang w:val="en-US" w:eastAsia="zh-CN"/>
        </w:rPr>
        <w:t>软件工具</w:t>
      </w:r>
      <w:r>
        <w:rPr>
          <w:rFonts w:hint="eastAsia" w:asciiTheme="minorEastAsia" w:hAnsiTheme="minorEastAsia" w:eastAsiaTheme="minorEastAsia" w:cstheme="minorEastAsia"/>
          <w:color w:val="auto"/>
          <w:sz w:val="24"/>
          <w:szCs w:val="24"/>
          <w:highlight w:val="none"/>
        </w:rPr>
        <w:t>进行扩容。在采购人发起扩容需求后，中标人需在1个工作日内响应，在5个工作日内完成扩容任务，同时向采购人提交扩容后的资源情况报告。</w:t>
      </w:r>
    </w:p>
    <w:p w14:paraId="454412A1">
      <w:pPr>
        <w:numPr>
          <w:ilvl w:val="0"/>
          <w:numId w:val="8"/>
        </w:numPr>
        <w:spacing w:line="360" w:lineRule="auto"/>
        <w:ind w:left="425" w:leftChars="0" w:hanging="425" w:firstLineChars="0"/>
        <w:rPr>
          <w:rFonts w:hint="eastAsia"/>
          <w:highlight w:val="none"/>
        </w:rPr>
      </w:pPr>
      <w:r>
        <w:rPr>
          <w:rFonts w:hint="eastAsia" w:asciiTheme="minorEastAsia" w:hAnsiTheme="minorEastAsia" w:eastAsiaTheme="minorEastAsia" w:cstheme="minorEastAsia"/>
          <w:b/>
          <w:bCs/>
          <w:color w:val="auto"/>
          <w:sz w:val="24"/>
          <w:szCs w:val="24"/>
          <w:highlight w:val="none"/>
          <w:lang w:val="en-US" w:eastAsia="zh-CN"/>
        </w:rPr>
        <w:t>工具</w:t>
      </w:r>
      <w:r>
        <w:rPr>
          <w:rFonts w:hint="eastAsia" w:asciiTheme="minorEastAsia" w:hAnsiTheme="minorEastAsia" w:eastAsiaTheme="minorEastAsia" w:cstheme="minorEastAsia"/>
          <w:b/>
          <w:bCs/>
          <w:color w:val="auto"/>
          <w:sz w:val="24"/>
          <w:szCs w:val="24"/>
          <w:highlight w:val="none"/>
        </w:rPr>
        <w:t>升级</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当中标人发布</w:t>
      </w:r>
      <w:r>
        <w:rPr>
          <w:rFonts w:hint="eastAsia" w:asciiTheme="minorEastAsia" w:hAnsiTheme="minorEastAsia" w:eastAsiaTheme="minorEastAsia" w:cstheme="minorEastAsia"/>
          <w:color w:val="auto"/>
          <w:sz w:val="24"/>
          <w:szCs w:val="24"/>
          <w:highlight w:val="none"/>
          <w:lang w:val="en-US" w:eastAsia="zh-CN"/>
        </w:rPr>
        <w:t>软件工具</w:t>
      </w:r>
      <w:r>
        <w:rPr>
          <w:rFonts w:hint="eastAsia" w:asciiTheme="minorEastAsia" w:hAnsiTheme="minorEastAsia" w:eastAsiaTheme="minorEastAsia" w:cstheme="minorEastAsia"/>
          <w:color w:val="auto"/>
          <w:sz w:val="24"/>
          <w:szCs w:val="24"/>
          <w:highlight w:val="none"/>
        </w:rPr>
        <w:t>的升级补丁时应及时通知采购人与使用单位。中标人应当承诺，在</w:t>
      </w:r>
      <w:r>
        <w:rPr>
          <w:rFonts w:hint="eastAsia" w:asciiTheme="minorEastAsia" w:hAnsiTheme="minorEastAsia" w:eastAsiaTheme="minorEastAsia" w:cstheme="minorEastAsia"/>
          <w:color w:val="auto"/>
          <w:sz w:val="24"/>
          <w:szCs w:val="24"/>
          <w:highlight w:val="none"/>
          <w:lang w:val="en-US" w:eastAsia="zh-CN"/>
        </w:rPr>
        <w:t>合同期间各类软件工具的共性功能</w:t>
      </w:r>
      <w:r>
        <w:rPr>
          <w:rFonts w:hint="eastAsia" w:asciiTheme="minorEastAsia" w:hAnsiTheme="minorEastAsia" w:eastAsiaTheme="minorEastAsia" w:cstheme="minorEastAsia"/>
          <w:color w:val="auto"/>
          <w:sz w:val="24"/>
          <w:szCs w:val="24"/>
          <w:highlight w:val="none"/>
        </w:rPr>
        <w:t>、性能和安全等方面需要升级更新时，中标人应当在2工作日内作出响应，经采购人确认升级方案后，按照计划完成升级任务。</w:t>
      </w:r>
    </w:p>
    <w:p w14:paraId="0C7A13FB">
      <w:pPr>
        <w:pStyle w:val="3"/>
        <w:ind w:left="0" w:leftChars="0" w:firstLineChars="0"/>
        <w:rPr>
          <w:rFonts w:hint="eastAsia"/>
          <w:highlight w:val="none"/>
        </w:rPr>
      </w:pPr>
      <w:bookmarkStart w:id="30" w:name="_Toc63785506"/>
      <w:r>
        <w:rPr>
          <w:rFonts w:hint="eastAsia"/>
          <w:highlight w:val="none"/>
        </w:rPr>
        <w:t>应急响应要求</w:t>
      </w:r>
      <w:bookmarkEnd w:id="30"/>
    </w:p>
    <w:p w14:paraId="425D3CE4">
      <w:pPr>
        <w:pStyle w:val="15"/>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供应商对系统故障应能够实时响应，若系统发生故障，接到通知后</w:t>
      </w:r>
      <w:r>
        <w:rPr>
          <w:rFonts w:ascii="宋体" w:hAnsi="宋体"/>
          <w:sz w:val="24"/>
          <w:szCs w:val="24"/>
          <w:highlight w:val="none"/>
        </w:rPr>
        <w:t>30分钟之内响应，专业工程师2小时内到达现场</w:t>
      </w:r>
      <w:r>
        <w:rPr>
          <w:rFonts w:hint="eastAsia" w:ascii="宋体" w:hAnsi="宋体"/>
          <w:sz w:val="24"/>
          <w:szCs w:val="24"/>
          <w:highlight w:val="none"/>
        </w:rPr>
        <w:t>。特殊故障与客户沟通协商后，按照协商的方式制定解决方案并进行处理。</w:t>
      </w:r>
    </w:p>
    <w:p w14:paraId="0DF5D88A">
      <w:pPr>
        <w:pStyle w:val="15"/>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具体故障级别及对应的应急响应要求如下：</w:t>
      </w:r>
    </w:p>
    <w:p w14:paraId="2B80D437">
      <w:pPr>
        <w:pStyle w:val="15"/>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一级故障：在</w:t>
      </w:r>
      <w:r>
        <w:rPr>
          <w:rFonts w:ascii="宋体" w:hAnsi="宋体"/>
          <w:sz w:val="24"/>
          <w:szCs w:val="24"/>
          <w:highlight w:val="none"/>
        </w:rPr>
        <w:t>1小时内确诊，总故障解决时间不超过4小时。</w:t>
      </w:r>
    </w:p>
    <w:p w14:paraId="085A10A9">
      <w:pPr>
        <w:pStyle w:val="15"/>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二级故障：在</w:t>
      </w:r>
      <w:r>
        <w:rPr>
          <w:rFonts w:ascii="宋体" w:hAnsi="宋体"/>
          <w:sz w:val="24"/>
          <w:szCs w:val="24"/>
          <w:highlight w:val="none"/>
        </w:rPr>
        <w:t>2小时内确诊，并在4小时内由专家到达现场确诊并解决，总故障解决时间不超过8小时；</w:t>
      </w:r>
    </w:p>
    <w:p w14:paraId="1CCD891E">
      <w:pPr>
        <w:pStyle w:val="15"/>
        <w:numPr>
          <w:ilvl w:val="0"/>
          <w:numId w:val="9"/>
        </w:numPr>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四级故障：在</w:t>
      </w:r>
      <w:r>
        <w:rPr>
          <w:rFonts w:ascii="宋体" w:hAnsi="宋体"/>
          <w:sz w:val="24"/>
          <w:szCs w:val="24"/>
          <w:highlight w:val="none"/>
        </w:rPr>
        <w:t>4小时内确诊故障，总故障解决时间不超过16小时。</w:t>
      </w:r>
    </w:p>
    <w:p w14:paraId="17D0CD0D">
      <w:pPr>
        <w:pStyle w:val="3"/>
        <w:ind w:left="0" w:leftChars="0" w:firstLineChars="0"/>
        <w:rPr>
          <w:rFonts w:hint="eastAsia"/>
          <w:highlight w:val="none"/>
        </w:rPr>
      </w:pPr>
      <w:bookmarkStart w:id="31" w:name="_Toc63785507"/>
      <w:r>
        <w:rPr>
          <w:rFonts w:hint="eastAsia"/>
          <w:highlight w:val="none"/>
        </w:rPr>
        <w:t>培训要求</w:t>
      </w:r>
      <w:bookmarkEnd w:id="31"/>
    </w:p>
    <w:p w14:paraId="4057287E">
      <w:pPr>
        <w:rPr>
          <w:rFonts w:hint="eastAsia"/>
          <w:highlight w:val="none"/>
        </w:rPr>
      </w:pPr>
      <w:r>
        <w:rPr>
          <w:rFonts w:hint="eastAsia"/>
          <w:highlight w:val="none"/>
        </w:rPr>
        <w:t>对系统使用单位提供业务操作培训，应提供详细培训方案。</w:t>
      </w:r>
    </w:p>
    <w:p w14:paraId="6AB9402A">
      <w:pPr>
        <w:rPr>
          <w:rFonts w:hint="eastAsia"/>
          <w:highlight w:val="none"/>
        </w:rPr>
      </w:pPr>
      <w:r>
        <w:rPr>
          <w:rFonts w:hint="eastAsia"/>
          <w:highlight w:val="none"/>
        </w:rPr>
        <w:t>(1)在12个月的质量保证期内，提供2次与项目相关的必要培训。</w:t>
      </w:r>
    </w:p>
    <w:p w14:paraId="5FDF75A8">
      <w:pPr>
        <w:rPr>
          <w:rFonts w:hint="eastAsia"/>
          <w:highlight w:val="none"/>
        </w:rPr>
      </w:pPr>
      <w:r>
        <w:rPr>
          <w:rFonts w:hint="eastAsia"/>
          <w:highlight w:val="none"/>
        </w:rPr>
        <w:t>(2)供应商需要开展分层次的人员培训工作，每次培训后应对参加培训人员进行测试，评估培训成果。培训应具有培训教材、培训环境和高水平的培训讲师。</w:t>
      </w:r>
    </w:p>
    <w:p w14:paraId="1AB1852D">
      <w:pPr>
        <w:rPr>
          <w:rFonts w:hint="eastAsia"/>
          <w:highlight w:val="none"/>
        </w:rPr>
      </w:pPr>
      <w:r>
        <w:rPr>
          <w:rFonts w:hint="eastAsia"/>
          <w:highlight w:val="none"/>
        </w:rPr>
        <w:t>(3)供应商应提供一般用户的基础操作培训和部门信息管理员的日常应用维护的培训，确保用户对象能够掌握对应的操作技能。</w:t>
      </w:r>
    </w:p>
    <w:p w14:paraId="274ECC57">
      <w:pPr>
        <w:pStyle w:val="3"/>
        <w:ind w:left="0" w:leftChars="0" w:firstLineChars="0"/>
        <w:rPr>
          <w:rFonts w:hint="eastAsia"/>
          <w:highlight w:val="none"/>
        </w:rPr>
      </w:pPr>
      <w:bookmarkStart w:id="32" w:name="_Toc63785508"/>
      <w:r>
        <w:rPr>
          <w:rFonts w:hint="eastAsia"/>
          <w:highlight w:val="none"/>
        </w:rPr>
        <w:t>验收要求</w:t>
      </w:r>
      <w:bookmarkEnd w:id="32"/>
    </w:p>
    <w:p w14:paraId="686656C4">
      <w:pPr>
        <w:rPr>
          <w:szCs w:val="21"/>
          <w:highlight w:val="none"/>
        </w:rPr>
      </w:pPr>
      <w:bookmarkStart w:id="33" w:name="_Toc63785509"/>
      <w:r>
        <w:rPr>
          <w:rFonts w:hint="eastAsia"/>
          <w:szCs w:val="21"/>
          <w:highlight w:val="none"/>
        </w:rPr>
        <w:t>本项目按下述方式开展验收。</w:t>
      </w:r>
    </w:p>
    <w:p w14:paraId="4D25B5A8">
      <w:pPr>
        <w:rPr>
          <w:szCs w:val="21"/>
          <w:highlight w:val="none"/>
        </w:rPr>
      </w:pPr>
      <w:r>
        <w:rPr>
          <w:rFonts w:hint="eastAsia"/>
          <w:szCs w:val="21"/>
          <w:highlight w:val="none"/>
        </w:rPr>
        <w:t>（</w:t>
      </w:r>
      <w:r>
        <w:rPr>
          <w:szCs w:val="21"/>
          <w:highlight w:val="none"/>
        </w:rPr>
        <w:t>1）验收分初验和终验。</w:t>
      </w:r>
    </w:p>
    <w:p w14:paraId="11DB4BB4">
      <w:pPr>
        <w:rPr>
          <w:szCs w:val="21"/>
          <w:highlight w:val="none"/>
        </w:rPr>
      </w:pPr>
      <w:r>
        <w:rPr>
          <w:rFonts w:hint="eastAsia"/>
          <w:szCs w:val="21"/>
          <w:highlight w:val="none"/>
        </w:rPr>
        <w:t>（</w:t>
      </w:r>
      <w:r>
        <w:rPr>
          <w:szCs w:val="21"/>
          <w:highlight w:val="none"/>
        </w:rPr>
        <w:t>2）初验前，供应商须完成</w:t>
      </w:r>
      <w:r>
        <w:rPr>
          <w:rFonts w:hint="eastAsia"/>
          <w:szCs w:val="21"/>
          <w:highlight w:val="none"/>
          <w:lang w:val="en-US" w:eastAsia="zh-CN"/>
        </w:rPr>
        <w:t>软件产品到货，</w:t>
      </w:r>
      <w:r>
        <w:rPr>
          <w:rFonts w:hint="eastAsia"/>
          <w:highlight w:val="none"/>
          <w:lang w:val="en-US" w:eastAsia="zh-CN"/>
        </w:rPr>
        <w:t>统筹软件产品的底座搭建与调试等项目工作</w:t>
      </w:r>
      <w:r>
        <w:rPr>
          <w:szCs w:val="21"/>
          <w:highlight w:val="none"/>
        </w:rPr>
        <w:t>。供应商应以书面形式向招标方递交初验通知书。招标方应当在接到通知后的5个工作日内确定初验的具体日期，由双方按照本项目的约定完成本项目的初验。招标方有权委托第三方检测机构进行验收，对此供应商应当配合。</w:t>
      </w:r>
    </w:p>
    <w:p w14:paraId="06157443">
      <w:pPr>
        <w:rPr>
          <w:szCs w:val="21"/>
          <w:highlight w:val="none"/>
        </w:rPr>
      </w:pPr>
      <w:r>
        <w:rPr>
          <w:rFonts w:hint="eastAsia"/>
          <w:szCs w:val="21"/>
          <w:highlight w:val="none"/>
        </w:rPr>
        <w:t>（</w:t>
      </w:r>
      <w:r>
        <w:rPr>
          <w:szCs w:val="21"/>
          <w:highlight w:val="none"/>
        </w:rPr>
        <w:t>3）初验时，供应商须提供软件文档包括</w:t>
      </w:r>
      <w:r>
        <w:rPr>
          <w:rFonts w:hint="eastAsia"/>
          <w:szCs w:val="21"/>
          <w:highlight w:val="none"/>
          <w:lang w:eastAsia="zh-CN"/>
        </w:rPr>
        <w:t>《</w:t>
      </w:r>
      <w:r>
        <w:rPr>
          <w:rFonts w:hint="eastAsia"/>
          <w:szCs w:val="21"/>
          <w:highlight w:val="none"/>
          <w:lang w:val="en-US" w:eastAsia="zh-CN"/>
        </w:rPr>
        <w:t>工具部署实施方案</w:t>
      </w:r>
      <w:r>
        <w:rPr>
          <w:szCs w:val="21"/>
          <w:highlight w:val="none"/>
        </w:rPr>
        <w:t>》《</w:t>
      </w:r>
      <w:r>
        <w:rPr>
          <w:rFonts w:hint="eastAsia"/>
          <w:szCs w:val="21"/>
          <w:highlight w:val="none"/>
          <w:lang w:val="en-US" w:eastAsia="zh-CN"/>
        </w:rPr>
        <w:t>工具</w:t>
      </w:r>
      <w:r>
        <w:rPr>
          <w:szCs w:val="21"/>
          <w:highlight w:val="none"/>
        </w:rPr>
        <w:t>使用手册</w:t>
      </w:r>
      <w:r>
        <w:rPr>
          <w:rFonts w:hint="eastAsia"/>
          <w:szCs w:val="21"/>
          <w:highlight w:val="none"/>
          <w:lang w:eastAsia="zh-CN"/>
        </w:rPr>
        <w:t>》</w:t>
      </w:r>
      <w:r>
        <w:rPr>
          <w:szCs w:val="21"/>
          <w:highlight w:val="none"/>
        </w:rPr>
        <w:t>《</w:t>
      </w:r>
      <w:r>
        <w:rPr>
          <w:rFonts w:hint="eastAsia"/>
          <w:szCs w:val="21"/>
          <w:highlight w:val="none"/>
          <w:lang w:val="en-US" w:eastAsia="zh-CN"/>
        </w:rPr>
        <w:t>软件工具白皮书</w:t>
      </w:r>
      <w:r>
        <w:rPr>
          <w:rFonts w:hint="eastAsia"/>
          <w:szCs w:val="21"/>
          <w:highlight w:val="none"/>
          <w:lang w:eastAsia="zh-CN"/>
        </w:rPr>
        <w:t>》</w:t>
      </w:r>
      <w:r>
        <w:rPr>
          <w:szCs w:val="21"/>
          <w:highlight w:val="none"/>
        </w:rPr>
        <w:t>等</w:t>
      </w:r>
      <w:r>
        <w:rPr>
          <w:rFonts w:hint="eastAsia"/>
          <w:szCs w:val="21"/>
          <w:highlight w:val="none"/>
          <w:lang w:eastAsia="zh-CN"/>
        </w:rPr>
        <w:t>，</w:t>
      </w:r>
      <w:r>
        <w:rPr>
          <w:rFonts w:hint="eastAsia"/>
          <w:szCs w:val="21"/>
          <w:highlight w:val="none"/>
          <w:lang w:val="en-US" w:eastAsia="zh-CN"/>
        </w:rPr>
        <w:t>以</w:t>
      </w:r>
      <w:r>
        <w:rPr>
          <w:szCs w:val="21"/>
          <w:highlight w:val="none"/>
        </w:rPr>
        <w:t>及</w:t>
      </w:r>
      <w:r>
        <w:rPr>
          <w:rFonts w:hint="eastAsia"/>
          <w:szCs w:val="21"/>
          <w:highlight w:val="none"/>
          <w:lang w:val="en-US" w:eastAsia="zh-CN"/>
        </w:rPr>
        <w:t>可</w:t>
      </w:r>
      <w:r>
        <w:rPr>
          <w:szCs w:val="21"/>
          <w:highlight w:val="none"/>
        </w:rPr>
        <w:t>安装的</w:t>
      </w:r>
      <w:r>
        <w:rPr>
          <w:rFonts w:hint="eastAsia"/>
          <w:szCs w:val="21"/>
          <w:highlight w:val="none"/>
          <w:lang w:val="en-US" w:eastAsia="zh-CN"/>
        </w:rPr>
        <w:t>工具安装包等。</w:t>
      </w:r>
      <w:r>
        <w:rPr>
          <w:szCs w:val="21"/>
          <w:highlight w:val="none"/>
        </w:rPr>
        <w:t>所交付的文档与文件应当是可供自然人阅读的书面和电子文档。软件文档及可安装的程序运行文件验收通过后，视为初验通过。如有缺陷，招标方应向供应商出具书面报告，陈述需要改进的缺陷。供应商应立即严格依照招标方的书面报告中的要求改进缺陷，并再次进行初验。</w:t>
      </w:r>
    </w:p>
    <w:p w14:paraId="39A5E703">
      <w:pPr>
        <w:rPr>
          <w:szCs w:val="21"/>
          <w:highlight w:val="none"/>
        </w:rPr>
      </w:pPr>
      <w:r>
        <w:rPr>
          <w:rFonts w:hint="eastAsia"/>
          <w:szCs w:val="21"/>
          <w:highlight w:val="none"/>
        </w:rPr>
        <w:t>（</w:t>
      </w:r>
      <w:r>
        <w:rPr>
          <w:szCs w:val="21"/>
          <w:highlight w:val="none"/>
        </w:rPr>
        <w:t>4）自初验通过之日起，供应商应当按照招标方的要求提供现场技术支持服务，解决信息系统试运行期间可能出现的各类问题，或进一步提高与完善信息系统运行水平。</w:t>
      </w:r>
    </w:p>
    <w:p w14:paraId="0712F48B">
      <w:pPr>
        <w:rPr>
          <w:szCs w:val="21"/>
          <w:highlight w:val="none"/>
        </w:rPr>
      </w:pPr>
      <w:r>
        <w:rPr>
          <w:rFonts w:hint="eastAsia"/>
          <w:szCs w:val="21"/>
          <w:highlight w:val="none"/>
        </w:rPr>
        <w:t>（</w:t>
      </w:r>
      <w:r>
        <w:rPr>
          <w:szCs w:val="21"/>
          <w:highlight w:val="none"/>
        </w:rPr>
        <w:t>5）初验通过，供应商应以书面形式通知招标方信息系统已准备就绪等待终验。招标方在收到终验通知后的</w:t>
      </w:r>
      <w:r>
        <w:rPr>
          <w:rFonts w:hint="eastAsia"/>
          <w:szCs w:val="21"/>
          <w:highlight w:val="none"/>
          <w:lang w:val="en-US" w:eastAsia="zh-CN"/>
        </w:rPr>
        <w:t>10</w:t>
      </w:r>
      <w:r>
        <w:rPr>
          <w:szCs w:val="21"/>
          <w:highlight w:val="none"/>
        </w:rPr>
        <w:t>个工作日内发起组织专家验收会。</w:t>
      </w:r>
    </w:p>
    <w:p w14:paraId="1A851AD3">
      <w:pPr>
        <w:rPr>
          <w:szCs w:val="21"/>
          <w:highlight w:val="none"/>
        </w:rPr>
      </w:pPr>
      <w:r>
        <w:rPr>
          <w:rFonts w:hint="eastAsia"/>
          <w:szCs w:val="21"/>
          <w:highlight w:val="none"/>
        </w:rPr>
        <w:t>（6</w:t>
      </w:r>
      <w:r>
        <w:rPr>
          <w:szCs w:val="21"/>
          <w:highlight w:val="none"/>
        </w:rPr>
        <w:t>）如果属于供应商原因致使本项目未能通过终验，供应商应当排除缺陷，直至本项目完全符合验收标准，由上述情形而产生的相关费用应由供应商自行承担。</w:t>
      </w:r>
    </w:p>
    <w:p w14:paraId="5EB0CF96">
      <w:pPr>
        <w:rPr>
          <w:szCs w:val="21"/>
          <w:highlight w:val="none"/>
        </w:rPr>
      </w:pPr>
      <w:r>
        <w:rPr>
          <w:rFonts w:hint="eastAsia"/>
          <w:szCs w:val="21"/>
          <w:highlight w:val="none"/>
        </w:rPr>
        <w:t>（7</w:t>
      </w:r>
      <w:r>
        <w:rPr>
          <w:szCs w:val="21"/>
          <w:highlight w:val="none"/>
        </w:rPr>
        <w:t>）如果由于招标方原因导致本项目在终验通过前出现故障或问题，供应商应及时配合排除该方面的故障或问题。</w:t>
      </w:r>
    </w:p>
    <w:p w14:paraId="7281DEC5">
      <w:pPr>
        <w:rPr>
          <w:szCs w:val="21"/>
          <w:highlight w:val="none"/>
        </w:rPr>
      </w:pPr>
      <w:r>
        <w:rPr>
          <w:rFonts w:hint="eastAsia"/>
          <w:szCs w:val="21"/>
          <w:highlight w:val="none"/>
        </w:rPr>
        <w:t>（8</w:t>
      </w:r>
      <w:r>
        <w:rPr>
          <w:szCs w:val="21"/>
          <w:highlight w:val="none"/>
        </w:rPr>
        <w:t>）如本项目连续3次验收未通过（含初验未通过或终验未通过），招标方有权解除项目，并有权依照本项目约定的违约条款追究供应商的违约责任。</w:t>
      </w:r>
    </w:p>
    <w:p w14:paraId="6759BA08">
      <w:pPr>
        <w:pStyle w:val="3"/>
        <w:ind w:left="0" w:leftChars="0" w:firstLineChars="0"/>
        <w:rPr>
          <w:rFonts w:hint="eastAsia"/>
          <w:highlight w:val="none"/>
        </w:rPr>
      </w:pPr>
      <w:r>
        <w:rPr>
          <w:rFonts w:hint="eastAsia"/>
          <w:highlight w:val="none"/>
        </w:rPr>
        <w:t>进度要求</w:t>
      </w:r>
      <w:bookmarkEnd w:id="33"/>
    </w:p>
    <w:p w14:paraId="4C21F470">
      <w:pPr>
        <w:rPr>
          <w:highlight w:val="none"/>
        </w:rPr>
      </w:pPr>
      <w:r>
        <w:rPr>
          <w:rFonts w:hint="eastAsia"/>
          <w:highlight w:val="none"/>
        </w:rPr>
        <w:t>投标人应根据建设内容，分阶段制定合理的时间进度，并且应根据招标方要求进行调整和细化。</w:t>
      </w:r>
    </w:p>
    <w:p w14:paraId="0F3B2D22">
      <w:pPr>
        <w:rPr>
          <w:highlight w:val="none"/>
        </w:rPr>
      </w:pPr>
      <w:r>
        <w:rPr>
          <w:rFonts w:hint="eastAsia"/>
          <w:highlight w:val="none"/>
        </w:rPr>
        <w:t>总建设周期为</w:t>
      </w:r>
      <w:r>
        <w:rPr>
          <w:rFonts w:hint="eastAsia"/>
          <w:highlight w:val="none"/>
          <w:lang w:val="en-US" w:eastAsia="zh-CN"/>
        </w:rPr>
        <w:t>6</w:t>
      </w:r>
      <w:r>
        <w:rPr>
          <w:rFonts w:hint="eastAsia"/>
          <w:highlight w:val="none"/>
        </w:rPr>
        <w:t>个月，分为</w:t>
      </w:r>
      <w:r>
        <w:rPr>
          <w:rFonts w:hint="eastAsia"/>
          <w:highlight w:val="none"/>
          <w:lang w:val="en-US" w:eastAsia="zh-CN"/>
        </w:rPr>
        <w:t>3</w:t>
      </w:r>
      <w:r>
        <w:rPr>
          <w:rFonts w:hint="eastAsia"/>
          <w:highlight w:val="none"/>
        </w:rPr>
        <w:t>个阶段。</w:t>
      </w:r>
    </w:p>
    <w:p w14:paraId="02A78627">
      <w:pPr>
        <w:rPr>
          <w:rFonts w:hint="eastAsia"/>
          <w:highlight w:val="none"/>
        </w:rPr>
      </w:pPr>
      <w:r>
        <w:rPr>
          <w:rFonts w:hint="eastAsia"/>
          <w:highlight w:val="none"/>
        </w:rPr>
        <w:t>第一阶段为</w:t>
      </w:r>
      <w:r>
        <w:rPr>
          <w:rFonts w:hint="eastAsia"/>
          <w:highlight w:val="none"/>
          <w:lang w:val="en-US" w:eastAsia="zh-CN"/>
        </w:rPr>
        <w:t>2</w:t>
      </w:r>
      <w:r>
        <w:rPr>
          <w:rFonts w:hint="eastAsia"/>
          <w:highlight w:val="none"/>
        </w:rPr>
        <w:t>个月，完成</w:t>
      </w:r>
      <w:r>
        <w:rPr>
          <w:rFonts w:hint="eastAsia"/>
          <w:highlight w:val="none"/>
          <w:lang w:val="en-US" w:eastAsia="zh-CN"/>
        </w:rPr>
        <w:t>软件产品到货</w:t>
      </w:r>
      <w:r>
        <w:rPr>
          <w:rFonts w:hint="eastAsia"/>
          <w:highlight w:val="none"/>
        </w:rPr>
        <w:t>。</w:t>
      </w:r>
    </w:p>
    <w:p w14:paraId="24028576">
      <w:pPr>
        <w:rPr>
          <w:rFonts w:hint="eastAsia"/>
          <w:highlight w:val="none"/>
        </w:rPr>
      </w:pPr>
      <w:r>
        <w:rPr>
          <w:rFonts w:hint="eastAsia"/>
          <w:highlight w:val="none"/>
        </w:rPr>
        <w:t>第二阶段为</w:t>
      </w:r>
      <w:r>
        <w:rPr>
          <w:rFonts w:hint="eastAsia"/>
          <w:highlight w:val="none"/>
          <w:lang w:val="en-US" w:eastAsia="zh-CN"/>
        </w:rPr>
        <w:t>2</w:t>
      </w:r>
      <w:r>
        <w:rPr>
          <w:rFonts w:hint="eastAsia"/>
          <w:highlight w:val="none"/>
        </w:rPr>
        <w:t>个月，完成</w:t>
      </w:r>
      <w:r>
        <w:rPr>
          <w:rFonts w:hint="eastAsia"/>
          <w:highlight w:val="none"/>
          <w:lang w:val="en-US" w:eastAsia="zh-CN"/>
        </w:rPr>
        <w:t>统筹软件产品的底座搭建与调试</w:t>
      </w:r>
      <w:r>
        <w:rPr>
          <w:rFonts w:hint="eastAsia"/>
          <w:highlight w:val="none"/>
        </w:rPr>
        <w:t>。</w:t>
      </w:r>
    </w:p>
    <w:p w14:paraId="08CEA7AA">
      <w:pPr>
        <w:rPr>
          <w:rFonts w:hint="eastAsia"/>
          <w:highlight w:val="none"/>
        </w:rPr>
      </w:pPr>
      <w:r>
        <w:rPr>
          <w:rFonts w:hint="eastAsia"/>
          <w:highlight w:val="none"/>
        </w:rPr>
        <w:t>第</w:t>
      </w:r>
      <w:r>
        <w:rPr>
          <w:rFonts w:hint="eastAsia"/>
          <w:highlight w:val="none"/>
          <w:lang w:val="en-US" w:eastAsia="zh-CN"/>
        </w:rPr>
        <w:t>三</w:t>
      </w:r>
      <w:r>
        <w:rPr>
          <w:rFonts w:hint="eastAsia"/>
          <w:highlight w:val="none"/>
        </w:rPr>
        <w:t>阶段为</w:t>
      </w:r>
      <w:r>
        <w:rPr>
          <w:rFonts w:hint="eastAsia"/>
          <w:highlight w:val="none"/>
          <w:lang w:val="en-US" w:eastAsia="zh-CN"/>
        </w:rPr>
        <w:t>2</w:t>
      </w:r>
      <w:r>
        <w:rPr>
          <w:rFonts w:hint="eastAsia"/>
          <w:highlight w:val="none"/>
        </w:rPr>
        <w:t>个月，完成</w:t>
      </w:r>
      <w:r>
        <w:rPr>
          <w:rFonts w:hint="eastAsia"/>
          <w:highlight w:val="none"/>
          <w:lang w:val="en-US" w:eastAsia="zh-CN"/>
        </w:rPr>
        <w:t>项目试运行及优化</w:t>
      </w:r>
      <w:r>
        <w:rPr>
          <w:rFonts w:hint="eastAsia"/>
          <w:highlight w:val="none"/>
        </w:rPr>
        <w:t>。</w:t>
      </w:r>
    </w:p>
    <w:p w14:paraId="51A0C2EF">
      <w:pPr>
        <w:pStyle w:val="3"/>
        <w:ind w:left="0" w:leftChars="0" w:firstLineChars="0"/>
        <w:rPr>
          <w:rFonts w:hint="eastAsia"/>
          <w:highlight w:val="none"/>
        </w:rPr>
      </w:pPr>
      <w:bookmarkStart w:id="34" w:name="_Toc63785510"/>
      <w:r>
        <w:rPr>
          <w:rFonts w:hint="eastAsia"/>
          <w:highlight w:val="none"/>
        </w:rPr>
        <w:t>项目团队及驻场人员要求</w:t>
      </w:r>
      <w:bookmarkEnd w:id="34"/>
    </w:p>
    <w:p w14:paraId="5A16BEFD">
      <w:pPr>
        <w:numPr>
          <w:ilvl w:val="0"/>
          <w:numId w:val="10"/>
        </w:numPr>
        <w:spacing w:line="360" w:lineRule="auto"/>
        <w:ind w:left="-415" w:leftChars="0"/>
        <w:rPr>
          <w:rFonts w:hint="default"/>
          <w:color w:val="auto"/>
          <w:sz w:val="24"/>
          <w:szCs w:val="24"/>
          <w:highlight w:val="none"/>
        </w:rPr>
      </w:pPr>
      <w:r>
        <w:rPr>
          <w:color w:val="auto"/>
          <w:sz w:val="24"/>
          <w:szCs w:val="24"/>
          <w:highlight w:val="none"/>
        </w:rPr>
        <w:t>中标人应为本项目单独建立管理组织，配置相应团队。</w:t>
      </w:r>
    </w:p>
    <w:p w14:paraId="43B11B3B">
      <w:pPr>
        <w:numPr>
          <w:ilvl w:val="0"/>
          <w:numId w:val="10"/>
        </w:numPr>
        <w:spacing w:line="360" w:lineRule="auto"/>
        <w:ind w:left="-415" w:leftChars="0"/>
        <w:rPr>
          <w:rFonts w:hint="default"/>
          <w:color w:val="auto"/>
          <w:sz w:val="24"/>
          <w:szCs w:val="24"/>
          <w:highlight w:val="none"/>
        </w:rPr>
      </w:pPr>
      <w:r>
        <w:rPr>
          <w:rFonts w:hint="eastAsia"/>
          <w:color w:val="auto"/>
          <w:sz w:val="24"/>
          <w:szCs w:val="24"/>
          <w:highlight w:val="none"/>
          <w:lang w:val="en-US" w:eastAsia="zh-CN"/>
        </w:rPr>
        <w:t>项目</w:t>
      </w:r>
      <w:r>
        <w:rPr>
          <w:color w:val="auto"/>
          <w:sz w:val="24"/>
          <w:szCs w:val="24"/>
          <w:highlight w:val="none"/>
        </w:rPr>
        <w:t>团队不少于12人，其中客户响应及</w:t>
      </w:r>
      <w:r>
        <w:rPr>
          <w:rFonts w:hint="eastAsia"/>
          <w:color w:val="auto"/>
          <w:sz w:val="24"/>
          <w:szCs w:val="24"/>
          <w:highlight w:val="none"/>
          <w:lang w:val="en-US" w:eastAsia="zh-CN"/>
        </w:rPr>
        <w:t>项目管理</w:t>
      </w:r>
      <w:r>
        <w:rPr>
          <w:color w:val="auto"/>
          <w:sz w:val="24"/>
          <w:szCs w:val="24"/>
          <w:highlight w:val="none"/>
        </w:rPr>
        <w:t>人员不少于</w:t>
      </w:r>
      <w:r>
        <w:rPr>
          <w:rFonts w:hint="eastAsia"/>
          <w:color w:val="auto"/>
          <w:sz w:val="24"/>
          <w:szCs w:val="24"/>
          <w:highlight w:val="none"/>
          <w:lang w:val="en-US" w:eastAsia="zh-CN"/>
        </w:rPr>
        <w:t>2</w:t>
      </w:r>
      <w:r>
        <w:rPr>
          <w:color w:val="auto"/>
          <w:sz w:val="24"/>
          <w:szCs w:val="24"/>
          <w:highlight w:val="none"/>
        </w:rPr>
        <w:t>人，驻场服务人员不少于</w:t>
      </w:r>
      <w:r>
        <w:rPr>
          <w:rFonts w:hint="eastAsia"/>
          <w:color w:val="auto"/>
          <w:sz w:val="24"/>
          <w:szCs w:val="24"/>
          <w:highlight w:val="none"/>
          <w:lang w:val="en-US" w:eastAsia="zh-CN"/>
        </w:rPr>
        <w:t>8</w:t>
      </w:r>
      <w:r>
        <w:rPr>
          <w:color w:val="auto"/>
          <w:sz w:val="24"/>
          <w:szCs w:val="24"/>
          <w:highlight w:val="none"/>
        </w:rPr>
        <w:t>人。</w:t>
      </w:r>
      <w:r>
        <w:rPr>
          <w:rFonts w:hint="eastAsia"/>
          <w:color w:val="auto"/>
          <w:sz w:val="24"/>
          <w:szCs w:val="24"/>
          <w:highlight w:val="none"/>
          <w:lang w:val="en-US" w:eastAsia="zh-CN"/>
        </w:rPr>
        <w:t>二线技术支持不少于2人</w:t>
      </w:r>
      <w:r>
        <w:rPr>
          <w:color w:val="auto"/>
          <w:sz w:val="24"/>
          <w:szCs w:val="24"/>
          <w:highlight w:val="none"/>
        </w:rPr>
        <w:t>。（</w:t>
      </w:r>
      <w:r>
        <w:rPr>
          <w:rFonts w:hint="eastAsia"/>
          <w:color w:val="auto"/>
          <w:sz w:val="24"/>
          <w:szCs w:val="24"/>
          <w:highlight w:val="none"/>
        </w:rPr>
        <w:t>需提供近三个月社保证明</w:t>
      </w:r>
      <w:r>
        <w:rPr>
          <w:color w:val="auto"/>
          <w:sz w:val="24"/>
          <w:szCs w:val="24"/>
          <w:highlight w:val="none"/>
        </w:rPr>
        <w:t>）。</w:t>
      </w:r>
    </w:p>
    <w:p w14:paraId="0D260E47">
      <w:pPr>
        <w:numPr>
          <w:ilvl w:val="0"/>
          <w:numId w:val="10"/>
        </w:numPr>
        <w:spacing w:line="360" w:lineRule="auto"/>
        <w:ind w:left="-415" w:leftChars="0"/>
        <w:rPr>
          <w:rFonts w:hint="default"/>
          <w:color w:val="auto"/>
          <w:sz w:val="24"/>
          <w:szCs w:val="24"/>
          <w:highlight w:val="none"/>
        </w:rPr>
      </w:pPr>
      <w:r>
        <w:rPr>
          <w:color w:val="auto"/>
          <w:sz w:val="24"/>
          <w:szCs w:val="24"/>
          <w:highlight w:val="none"/>
        </w:rPr>
        <w:t>团队中至少配置</w:t>
      </w:r>
      <w:r>
        <w:rPr>
          <w:rFonts w:hint="default"/>
          <w:color w:val="auto"/>
          <w:sz w:val="24"/>
          <w:szCs w:val="24"/>
          <w:highlight w:val="none"/>
        </w:rPr>
        <w:t>1名专职</w:t>
      </w:r>
      <w:r>
        <w:rPr>
          <w:color w:val="auto"/>
          <w:sz w:val="24"/>
          <w:szCs w:val="24"/>
          <w:highlight w:val="none"/>
        </w:rPr>
        <w:t>项目经理，项目经理具有</w:t>
      </w:r>
      <w:r>
        <w:rPr>
          <w:rFonts w:hint="eastAsia"/>
          <w:color w:val="auto"/>
          <w:sz w:val="24"/>
          <w:szCs w:val="24"/>
          <w:highlight w:val="none"/>
          <w:lang w:bidi="ar"/>
        </w:rPr>
        <w:t>信息系统项目管理师</w:t>
      </w:r>
      <w:r>
        <w:rPr>
          <w:color w:val="auto"/>
          <w:sz w:val="24"/>
          <w:szCs w:val="24"/>
          <w:highlight w:val="none"/>
        </w:rPr>
        <w:t>证书的，担任过类似项目的项目经理业绩的优先考虑，提供项目经理的参与项目的经验清单（包括项目名称、服务时间、项目方、联系人等内容）；</w:t>
      </w:r>
    </w:p>
    <w:p w14:paraId="0176F0AE">
      <w:pPr>
        <w:numPr>
          <w:ilvl w:val="0"/>
          <w:numId w:val="10"/>
        </w:numPr>
        <w:spacing w:line="360" w:lineRule="auto"/>
        <w:ind w:left="-415" w:leftChars="0"/>
        <w:rPr>
          <w:rFonts w:hint="default"/>
          <w:color w:val="auto"/>
          <w:sz w:val="24"/>
          <w:szCs w:val="24"/>
          <w:highlight w:val="none"/>
        </w:rPr>
      </w:pPr>
      <w:r>
        <w:rPr>
          <w:rFonts w:hint="eastAsia"/>
          <w:color w:val="auto"/>
          <w:sz w:val="24"/>
          <w:szCs w:val="24"/>
          <w:highlight w:val="none"/>
        </w:rPr>
        <w:t>团队</w:t>
      </w:r>
      <w:r>
        <w:rPr>
          <w:rFonts w:hint="eastAsia"/>
          <w:color w:val="auto"/>
          <w:sz w:val="24"/>
          <w:szCs w:val="24"/>
          <w:highlight w:val="none"/>
          <w:lang w:val="en-US" w:eastAsia="zh-CN"/>
        </w:rPr>
        <w:t>成员中不少于8人具有</w:t>
      </w:r>
      <w:r>
        <w:rPr>
          <w:rFonts w:hint="eastAsia"/>
          <w:color w:val="auto"/>
          <w:sz w:val="24"/>
          <w:szCs w:val="24"/>
          <w:highlight w:val="none"/>
        </w:rPr>
        <w:t>政务云类似项目相关知识和经验。需提供每一位团队人员的学历、专业、职称、从业经历以及体现个人业绩的有效证明材料。包括且不限于证书、合同或验收报告或用户评价等体现个人业绩的有效证明材料</w:t>
      </w:r>
      <w:r>
        <w:rPr>
          <w:color w:val="auto"/>
          <w:sz w:val="24"/>
          <w:szCs w:val="24"/>
          <w:highlight w:val="none"/>
        </w:rPr>
        <w:t>。</w:t>
      </w:r>
    </w:p>
    <w:p w14:paraId="02A267DF">
      <w:pPr>
        <w:rPr>
          <w:rFonts w:hint="eastAsia"/>
          <w:highlight w:val="none"/>
        </w:rPr>
      </w:pP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79"/>
        <w:gridCol w:w="800"/>
        <w:gridCol w:w="3240"/>
        <w:gridCol w:w="1153"/>
      </w:tblGrid>
      <w:tr w14:paraId="6139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6" w:type="dxa"/>
            <w:shd w:val="clear" w:color="auto" w:fill="auto"/>
            <w:noWrap/>
            <w:vAlign w:val="center"/>
          </w:tcPr>
          <w:p w14:paraId="4728F2A1">
            <w:pPr>
              <w:keepNext w:val="0"/>
              <w:keepLines w:val="0"/>
              <w:widowControl/>
              <w:suppressLineNumbers w:val="0"/>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角色</w:t>
            </w:r>
          </w:p>
        </w:tc>
        <w:tc>
          <w:tcPr>
            <w:tcW w:w="3279" w:type="dxa"/>
            <w:shd w:val="clear" w:color="auto" w:fill="auto"/>
            <w:noWrap/>
            <w:vAlign w:val="center"/>
          </w:tcPr>
          <w:p w14:paraId="62FAA048">
            <w:pPr>
              <w:keepNext w:val="0"/>
              <w:keepLines w:val="0"/>
              <w:widowControl/>
              <w:suppressLineNumbers w:val="0"/>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主要职责</w:t>
            </w:r>
          </w:p>
        </w:tc>
        <w:tc>
          <w:tcPr>
            <w:tcW w:w="800" w:type="dxa"/>
            <w:shd w:val="clear" w:color="auto" w:fill="auto"/>
            <w:noWrap/>
            <w:vAlign w:val="center"/>
          </w:tcPr>
          <w:p w14:paraId="05255DB2">
            <w:pPr>
              <w:keepNext w:val="0"/>
              <w:keepLines w:val="0"/>
              <w:widowControl/>
              <w:suppressLineNumbers w:val="0"/>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人员数量</w:t>
            </w:r>
          </w:p>
        </w:tc>
        <w:tc>
          <w:tcPr>
            <w:tcW w:w="3240" w:type="dxa"/>
            <w:vAlign w:val="center"/>
          </w:tcPr>
          <w:p w14:paraId="287D53FE">
            <w:pPr>
              <w:keepNext w:val="0"/>
              <w:keepLines w:val="0"/>
              <w:widowControl/>
              <w:suppressLineNumbers w:val="0"/>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人员要求</w:t>
            </w:r>
          </w:p>
        </w:tc>
        <w:tc>
          <w:tcPr>
            <w:tcW w:w="1153" w:type="dxa"/>
            <w:shd w:val="clear" w:color="auto" w:fill="auto"/>
            <w:noWrap/>
            <w:vAlign w:val="center"/>
          </w:tcPr>
          <w:p w14:paraId="30D55A22">
            <w:pPr>
              <w:keepNext w:val="0"/>
              <w:keepLines w:val="0"/>
              <w:widowControl/>
              <w:suppressLineNumbers w:val="0"/>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驻场要求</w:t>
            </w:r>
          </w:p>
        </w:tc>
      </w:tr>
      <w:tr w14:paraId="6E33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6" w:type="dxa"/>
            <w:shd w:val="clear" w:color="auto" w:fill="auto"/>
            <w:noWrap/>
            <w:vAlign w:val="center"/>
          </w:tcPr>
          <w:p w14:paraId="15DDE464">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项目经理</w:t>
            </w:r>
          </w:p>
        </w:tc>
        <w:tc>
          <w:tcPr>
            <w:tcW w:w="3279" w:type="dxa"/>
            <w:shd w:val="clear" w:color="auto" w:fill="auto"/>
            <w:vAlign w:val="center"/>
          </w:tcPr>
          <w:p w14:paraId="4B9EBEF4">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制定项目计划，明确项目目标、范围、时间表；协调各方资源，包括技术团队</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采购单位等</w:t>
            </w:r>
            <w:r>
              <w:rPr>
                <w:rFonts w:hint="eastAsia" w:asciiTheme="minorEastAsia" w:hAnsiTheme="minorEastAsia" w:eastAsiaTheme="minorEastAsia" w:cstheme="minorEastAsia"/>
                <w:sz w:val="24"/>
                <w:szCs w:val="24"/>
                <w:highlight w:val="none"/>
              </w:rPr>
              <w:t>，确保项目顺利推进；把控项目进度，及时解决出现的问题和风险；监督项目质量，确保交付成果符合预期标准；与</w:t>
            </w:r>
            <w:r>
              <w:rPr>
                <w:rFonts w:hint="eastAsia" w:asciiTheme="minorEastAsia" w:hAnsiTheme="minorEastAsia" w:eastAsiaTheme="minorEastAsia" w:cstheme="minorEastAsia"/>
                <w:sz w:val="24"/>
                <w:szCs w:val="24"/>
                <w:highlight w:val="none"/>
                <w:lang w:val="en-US" w:eastAsia="zh-CN"/>
              </w:rPr>
              <w:t>采购单位</w:t>
            </w:r>
            <w:r>
              <w:rPr>
                <w:rFonts w:hint="eastAsia" w:asciiTheme="minorEastAsia" w:hAnsiTheme="minorEastAsia" w:eastAsiaTheme="minorEastAsia" w:cstheme="minorEastAsia"/>
                <w:sz w:val="24"/>
                <w:szCs w:val="24"/>
                <w:highlight w:val="none"/>
              </w:rPr>
              <w:t>保持沟通</w:t>
            </w:r>
            <w:r>
              <w:rPr>
                <w:rFonts w:hint="eastAsia" w:asciiTheme="minorEastAsia" w:hAnsiTheme="minorEastAsia" w:eastAsiaTheme="minorEastAsia" w:cstheme="minorEastAsia"/>
                <w:sz w:val="24"/>
                <w:szCs w:val="24"/>
                <w:highlight w:val="none"/>
                <w:lang w:eastAsia="zh-CN"/>
              </w:rPr>
              <w:t>。</w:t>
            </w:r>
          </w:p>
        </w:tc>
        <w:tc>
          <w:tcPr>
            <w:tcW w:w="800" w:type="dxa"/>
            <w:shd w:val="clear" w:color="auto" w:fill="auto"/>
            <w:noWrap/>
            <w:vAlign w:val="center"/>
          </w:tcPr>
          <w:p w14:paraId="6B9A0D7E">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3240" w:type="dxa"/>
            <w:vAlign w:val="center"/>
          </w:tcPr>
          <w:p w14:paraId="1C3D851C">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w:t>
            </w:r>
            <w:r>
              <w:rPr>
                <w:rFonts w:hint="eastAsia" w:asciiTheme="minorEastAsia" w:hAnsiTheme="minorEastAsia" w:eastAsiaTheme="minorEastAsia" w:cstheme="minorEastAsia"/>
                <w:sz w:val="24"/>
                <w:szCs w:val="24"/>
                <w:highlight w:val="none"/>
                <w:lang w:val="en-US" w:eastAsia="zh-CN"/>
              </w:rPr>
              <w:t>需具备</w:t>
            </w:r>
            <w:r>
              <w:rPr>
                <w:rFonts w:hint="eastAsia" w:asciiTheme="minorEastAsia" w:hAnsiTheme="minorEastAsia" w:eastAsiaTheme="minorEastAsia" w:cstheme="minorEastAsia"/>
                <w:sz w:val="24"/>
                <w:szCs w:val="24"/>
                <w:highlight w:val="none"/>
              </w:rPr>
              <w:t>信息系统项目管理师证书</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担任过类似项目的项目经理业绩的优先考虑，提供项目经理的参与项目的经验清单（包括项目名称、服务时间、项目方、联系人等内容）</w:t>
            </w:r>
          </w:p>
        </w:tc>
        <w:tc>
          <w:tcPr>
            <w:tcW w:w="1153" w:type="dxa"/>
            <w:shd w:val="clear" w:color="auto" w:fill="auto"/>
            <w:noWrap/>
            <w:vAlign w:val="center"/>
          </w:tcPr>
          <w:p w14:paraId="5630957A">
            <w:pPr>
              <w:keepNext w:val="0"/>
              <w:keepLines w:val="0"/>
              <w:widowControl/>
              <w:suppressLineNumbers w:val="0"/>
              <w:spacing w:before="0" w:beforeAutospacing="0" w:after="0" w:afterAutospacing="0" w:line="240" w:lineRule="auto"/>
              <w:ind w:left="0" w:leftChars="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驻场</w:t>
            </w:r>
          </w:p>
        </w:tc>
      </w:tr>
      <w:tr w14:paraId="3975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6" w:type="dxa"/>
            <w:shd w:val="clear" w:color="auto" w:fill="auto"/>
            <w:noWrap/>
            <w:vAlign w:val="center"/>
          </w:tcPr>
          <w:p w14:paraId="26D6CE5B">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工程师</w:t>
            </w:r>
          </w:p>
        </w:tc>
        <w:tc>
          <w:tcPr>
            <w:tcW w:w="3279" w:type="dxa"/>
            <w:shd w:val="clear" w:color="auto" w:fill="auto"/>
            <w:vAlign w:val="center"/>
          </w:tcPr>
          <w:p w14:paraId="775DEAF0">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负责</w:t>
            </w:r>
            <w:r>
              <w:rPr>
                <w:rFonts w:hint="eastAsia" w:asciiTheme="minorEastAsia" w:hAnsiTheme="minorEastAsia" w:eastAsiaTheme="minorEastAsia" w:cstheme="minorEastAsia"/>
                <w:sz w:val="24"/>
                <w:szCs w:val="24"/>
                <w:highlight w:val="none"/>
                <w:lang w:val="en-US" w:eastAsia="zh-CN"/>
              </w:rPr>
              <w:t>本</w:t>
            </w: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z w:val="24"/>
                <w:szCs w:val="24"/>
                <w:highlight w:val="none"/>
                <w:lang w:val="en-US" w:eastAsia="zh-CN"/>
              </w:rPr>
              <w:t>现场交付实施，职责包括不限于软件工具安装工具集中部署工具的安装实施、补丁更新、运行维护；各类工具软件的咨询服务、培训等</w:t>
            </w:r>
          </w:p>
        </w:tc>
        <w:tc>
          <w:tcPr>
            <w:tcW w:w="800" w:type="dxa"/>
            <w:shd w:val="clear" w:color="auto" w:fill="auto"/>
            <w:noWrap/>
            <w:vAlign w:val="center"/>
          </w:tcPr>
          <w:p w14:paraId="0DAA5B05">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p>
        </w:tc>
        <w:tc>
          <w:tcPr>
            <w:tcW w:w="3240" w:type="dxa"/>
            <w:vAlign w:val="center"/>
          </w:tcPr>
          <w:p w14:paraId="1F6D5291">
            <w:pPr>
              <w:keepNext w:val="0"/>
              <w:keepLines w:val="0"/>
              <w:numPr>
                <w:ilvl w:val="0"/>
                <w:numId w:val="0"/>
              </w:numPr>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具有政务云类似项目相关知识和经验。需提供每一位团队人员的学历、专业、职称、从业经历以及体现个人业绩的有效证明材料。包括且不限于证书、合同或验收报告或用户评价等体现个人业绩的有效证明材料</w:t>
            </w:r>
          </w:p>
        </w:tc>
        <w:tc>
          <w:tcPr>
            <w:tcW w:w="1153" w:type="dxa"/>
            <w:shd w:val="clear" w:color="auto" w:fill="auto"/>
            <w:noWrap/>
            <w:vAlign w:val="center"/>
          </w:tcPr>
          <w:p w14:paraId="7FBC1601">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驻场</w:t>
            </w:r>
          </w:p>
        </w:tc>
      </w:tr>
      <w:tr w14:paraId="792A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6" w:type="dxa"/>
            <w:shd w:val="clear" w:color="auto" w:fill="auto"/>
            <w:noWrap/>
            <w:vAlign w:val="center"/>
          </w:tcPr>
          <w:p w14:paraId="074D426F">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商务及客户响应经理</w:t>
            </w:r>
          </w:p>
        </w:tc>
        <w:tc>
          <w:tcPr>
            <w:tcW w:w="3279" w:type="dxa"/>
            <w:shd w:val="clear" w:color="auto" w:fill="auto"/>
            <w:noWrap/>
            <w:vAlign w:val="center"/>
          </w:tcPr>
          <w:p w14:paraId="6CC07DE5">
            <w:pPr>
              <w:keepNext w:val="0"/>
              <w:keepLines w:val="0"/>
              <w:widowControl/>
              <w:suppressLineNumbers w:val="0"/>
              <w:spacing w:before="0" w:beforeAutospacing="0" w:after="0" w:afterAutospacing="0" w:line="240" w:lineRule="auto"/>
              <w:ind w:left="0" w:leftChars="0" w:right="0" w:firstLine="0" w:firstLineChars="0"/>
              <w:jc w:val="left"/>
              <w:rPr>
                <w:rFonts w:hint="eastAsia" w:asciiTheme="minorEastAsia" w:hAnsiTheme="minorEastAsia" w:eastAsiaTheme="minorEastAsia" w:cstheme="minorEastAsia"/>
                <w:i w:val="0"/>
                <w:iCs w:val="0"/>
                <w:caps w:val="0"/>
                <w:color w:val="000000"/>
                <w:spacing w:val="0"/>
                <w:sz w:val="24"/>
                <w:szCs w:val="24"/>
                <w:highlight w:val="none"/>
                <w:u w:val="none"/>
              </w:rPr>
            </w:pPr>
            <w:r>
              <w:rPr>
                <w:rFonts w:hint="eastAsia" w:asciiTheme="minorEastAsia" w:hAnsiTheme="minorEastAsia" w:eastAsiaTheme="minorEastAsia" w:cstheme="minorEastAsia"/>
                <w:i w:val="0"/>
                <w:iCs w:val="0"/>
                <w:caps w:val="0"/>
                <w:color w:val="000000"/>
                <w:spacing w:val="0"/>
                <w:sz w:val="24"/>
                <w:szCs w:val="24"/>
                <w:highlight w:val="none"/>
                <w:u w:val="none"/>
              </w:rPr>
              <w:t>负责商务沟通与协调，推动项目合同、</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跨组织协作、整合资源等工作</w:t>
            </w:r>
            <w:r>
              <w:rPr>
                <w:rFonts w:hint="eastAsia" w:asciiTheme="minorEastAsia" w:hAnsiTheme="minorEastAsia" w:eastAsiaTheme="minorEastAsia" w:cstheme="minorEastAsia"/>
                <w:i w:val="0"/>
                <w:iCs w:val="0"/>
                <w:caps w:val="0"/>
                <w:color w:val="000000"/>
                <w:spacing w:val="0"/>
                <w:sz w:val="24"/>
                <w:szCs w:val="24"/>
                <w:highlight w:val="none"/>
                <w:u w:val="none"/>
              </w:rPr>
              <w:t>。</w:t>
            </w:r>
          </w:p>
          <w:p w14:paraId="6BDBD774">
            <w:pPr>
              <w:keepNext w:val="0"/>
              <w:keepLines w:val="0"/>
              <w:widowControl/>
              <w:suppressLineNumbers w:val="0"/>
              <w:spacing w:before="0" w:beforeAutospacing="0" w:after="0" w:afterAutospacing="0" w:line="240" w:lineRule="auto"/>
              <w:ind w:left="0" w:leftChars="0" w:right="0" w:firstLine="0" w:firstLineChars="0"/>
              <w:jc w:val="left"/>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负责</w:t>
            </w:r>
            <w:r>
              <w:rPr>
                <w:rFonts w:hint="eastAsia" w:asciiTheme="minorEastAsia" w:hAnsiTheme="minorEastAsia" w:eastAsiaTheme="minorEastAsia" w:cstheme="minorEastAsia"/>
                <w:i w:val="0"/>
                <w:iCs w:val="0"/>
                <w:caps w:val="0"/>
                <w:color w:val="000000"/>
                <w:spacing w:val="0"/>
                <w:sz w:val="24"/>
                <w:szCs w:val="24"/>
                <w:highlight w:val="none"/>
                <w:u w:val="none"/>
              </w:rPr>
              <w:t>快速响应客户需求，提供专业解决方案</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等。</w:t>
            </w:r>
          </w:p>
          <w:p w14:paraId="053E33DE">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p>
        </w:tc>
        <w:tc>
          <w:tcPr>
            <w:tcW w:w="800" w:type="dxa"/>
            <w:shd w:val="clear" w:color="auto" w:fill="auto"/>
            <w:noWrap/>
            <w:vAlign w:val="center"/>
          </w:tcPr>
          <w:p w14:paraId="6B5ADB02">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3240" w:type="dxa"/>
            <w:vAlign w:val="center"/>
          </w:tcPr>
          <w:p w14:paraId="3667512B">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需熟悉上海市政务相关情况</w:t>
            </w:r>
          </w:p>
        </w:tc>
        <w:tc>
          <w:tcPr>
            <w:tcW w:w="1153" w:type="dxa"/>
            <w:shd w:val="clear" w:color="auto" w:fill="auto"/>
            <w:noWrap/>
            <w:vAlign w:val="center"/>
          </w:tcPr>
          <w:p w14:paraId="59105A7A">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不驻场</w:t>
            </w:r>
          </w:p>
        </w:tc>
      </w:tr>
      <w:tr w14:paraId="3C4F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6" w:type="dxa"/>
            <w:shd w:val="clear" w:color="auto" w:fill="auto"/>
            <w:noWrap/>
            <w:vAlign w:val="center"/>
          </w:tcPr>
          <w:p w14:paraId="2A051517">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二线支撑人员</w:t>
            </w:r>
          </w:p>
        </w:tc>
        <w:tc>
          <w:tcPr>
            <w:tcW w:w="3279" w:type="dxa"/>
            <w:shd w:val="clear" w:color="auto" w:fill="auto"/>
            <w:noWrap/>
            <w:vAlign w:val="center"/>
          </w:tcPr>
          <w:p w14:paraId="7CF39CE3">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负责本项目的二线支持，提供本项目涉及相关工具软件的远程咨询服务、协助现场工程师为用户提供优质高效服务</w:t>
            </w:r>
          </w:p>
        </w:tc>
        <w:tc>
          <w:tcPr>
            <w:tcW w:w="800" w:type="dxa"/>
            <w:shd w:val="clear" w:color="auto" w:fill="auto"/>
            <w:noWrap/>
            <w:vAlign w:val="center"/>
          </w:tcPr>
          <w:p w14:paraId="4A81FF08">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3240" w:type="dxa"/>
            <w:vAlign w:val="center"/>
          </w:tcPr>
          <w:p w14:paraId="0168E6CA">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需熟悉本项目相关各类工具产品，提供二线技术支撑</w:t>
            </w:r>
          </w:p>
        </w:tc>
        <w:tc>
          <w:tcPr>
            <w:tcW w:w="1153" w:type="dxa"/>
            <w:shd w:val="clear" w:color="auto" w:fill="auto"/>
            <w:noWrap/>
            <w:vAlign w:val="center"/>
          </w:tcPr>
          <w:p w14:paraId="7483B4F3">
            <w:pPr>
              <w:keepNext w:val="0"/>
              <w:keepLines w:val="0"/>
              <w:widowControl/>
              <w:suppressLineNumbers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不驻场</w:t>
            </w:r>
          </w:p>
        </w:tc>
      </w:tr>
    </w:tbl>
    <w:p w14:paraId="699DB40B">
      <w:pPr>
        <w:jc w:val="left"/>
        <w:rPr>
          <w:rFonts w:hint="eastAsia"/>
          <w:highlight w:val="none"/>
        </w:rPr>
      </w:pPr>
    </w:p>
    <w:p w14:paraId="24AA1FC8">
      <w:pPr>
        <w:rPr>
          <w:rFonts w:hint="eastAsia"/>
          <w:highlight w:val="none"/>
        </w:rPr>
      </w:pPr>
    </w:p>
    <w:p w14:paraId="5AE1BC54">
      <w:pPr>
        <w:pStyle w:val="3"/>
        <w:ind w:left="0" w:leftChars="0" w:firstLineChars="0"/>
        <w:rPr>
          <w:rFonts w:hint="eastAsia"/>
          <w:highlight w:val="none"/>
        </w:rPr>
      </w:pPr>
      <w:bookmarkStart w:id="35" w:name="_Toc63785511"/>
      <w:r>
        <w:rPr>
          <w:highlight w:val="none"/>
        </w:rPr>
        <w:t>等级保护要求</w:t>
      </w:r>
      <w:bookmarkEnd w:id="35"/>
    </w:p>
    <w:p w14:paraId="6E0D893B">
      <w:pPr>
        <w:numPr>
          <w:ilvl w:val="0"/>
          <w:numId w:val="0"/>
        </w:numPr>
        <w:spacing w:line="360" w:lineRule="auto"/>
        <w:ind w:firstLine="480" w:firstLineChars="200"/>
        <w:rPr>
          <w:rFonts w:hint="eastAsia"/>
          <w:highlight w:val="none"/>
        </w:rPr>
      </w:pPr>
      <w:r>
        <w:rPr>
          <w:rFonts w:hint="eastAsia" w:asciiTheme="minorEastAsia" w:hAnsiTheme="minorEastAsia" w:eastAsiaTheme="minorEastAsia" w:cstheme="minorEastAsia"/>
          <w:color w:val="auto"/>
          <w:sz w:val="24"/>
          <w:szCs w:val="24"/>
          <w:highlight w:val="none"/>
        </w:rPr>
        <w:t>中标人提供的</w:t>
      </w:r>
      <w:r>
        <w:rPr>
          <w:rFonts w:hint="eastAsia" w:asciiTheme="minorEastAsia" w:hAnsiTheme="minorEastAsia" w:eastAsiaTheme="minorEastAsia" w:cstheme="minorEastAsia"/>
          <w:color w:val="auto"/>
          <w:sz w:val="24"/>
          <w:szCs w:val="24"/>
          <w:highlight w:val="none"/>
          <w:lang w:val="en-US" w:eastAsia="zh-CN"/>
        </w:rPr>
        <w:t>各类软件工具</w:t>
      </w:r>
      <w:r>
        <w:rPr>
          <w:rFonts w:hint="eastAsia" w:asciiTheme="minorEastAsia" w:hAnsiTheme="minorEastAsia" w:eastAsiaTheme="minorEastAsia" w:cstheme="minorEastAsia"/>
          <w:color w:val="auto"/>
          <w:sz w:val="24"/>
          <w:szCs w:val="24"/>
          <w:highlight w:val="none"/>
        </w:rPr>
        <w:t>涉及集中部署的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val="en-US" w:eastAsia="zh-CN"/>
        </w:rPr>
        <w:t>当</w:t>
      </w:r>
      <w:r>
        <w:rPr>
          <w:rFonts w:hint="eastAsia" w:asciiTheme="minorEastAsia" w:hAnsiTheme="minorEastAsia" w:eastAsiaTheme="minorEastAsia" w:cstheme="minorEastAsia"/>
          <w:color w:val="auto"/>
          <w:sz w:val="24"/>
          <w:szCs w:val="24"/>
          <w:highlight w:val="none"/>
        </w:rPr>
        <w:t>符合网络安全等级保护三级的要求。</w:t>
      </w:r>
    </w:p>
    <w:p w14:paraId="03A72237">
      <w:pPr>
        <w:pStyle w:val="3"/>
        <w:ind w:left="0" w:leftChars="0" w:firstLineChars="0"/>
        <w:rPr>
          <w:rFonts w:hint="eastAsia"/>
          <w:highlight w:val="none"/>
        </w:rPr>
      </w:pPr>
      <w:r>
        <w:rPr>
          <w:rFonts w:hint="eastAsia"/>
          <w:highlight w:val="none"/>
        </w:rPr>
        <w:t>商业密码应用需求</w:t>
      </w:r>
    </w:p>
    <w:p w14:paraId="0A2B447C">
      <w:pPr>
        <w:pStyle w:val="6"/>
        <w:rPr>
          <w:rFonts w:hint="eastAsia"/>
          <w:highlight w:val="none"/>
          <w:lang w:eastAsia="zh-CN"/>
        </w:rPr>
      </w:pPr>
      <w:r>
        <w:rPr>
          <w:rFonts w:hint="eastAsia" w:ascii="宋体" w:hAnsi="宋体" w:eastAsia="宋体" w:cs="Times New Roman"/>
          <w:kern w:val="2"/>
          <w:sz w:val="24"/>
          <w:szCs w:val="24"/>
          <w:highlight w:val="none"/>
          <w:lang w:val="en-US" w:eastAsia="zh-CN" w:bidi="ar-SA"/>
        </w:rPr>
        <w:t>本项目系软件产品采购，不涉及该内容。</w:t>
      </w:r>
    </w:p>
    <w:p w14:paraId="48A8FD6E">
      <w:pPr>
        <w:pStyle w:val="14"/>
        <w:rPr>
          <w:rFonts w:hint="eastAsia"/>
          <w:highlight w:val="none"/>
          <w:lang w:val="en-US" w:eastAsia="zh-CN"/>
        </w:rPr>
      </w:pPr>
    </w:p>
    <w:p w14:paraId="0A7F3D14">
      <w:pPr>
        <w:pStyle w:val="3"/>
        <w:ind w:left="0" w:leftChars="0" w:firstLineChars="0"/>
        <w:rPr>
          <w:rFonts w:hint="eastAsia"/>
          <w:highlight w:val="none"/>
        </w:rPr>
      </w:pPr>
      <w:bookmarkStart w:id="36" w:name="_Toc63785512"/>
      <w:r>
        <w:rPr>
          <w:rFonts w:hint="eastAsia"/>
          <w:highlight w:val="none"/>
        </w:rPr>
        <w:t>技术文件要求</w:t>
      </w:r>
    </w:p>
    <w:p w14:paraId="4E56D72C">
      <w:pPr>
        <w:rPr>
          <w:rFonts w:hint="eastAsia"/>
          <w:highlight w:val="none"/>
        </w:rPr>
      </w:pPr>
      <w:r>
        <w:rPr>
          <w:rFonts w:hint="eastAsia"/>
          <w:highlight w:val="none"/>
        </w:rPr>
        <w:t>投标人提供的书面技术资料应能确保系统正常运行所需的管理、运营及维护有关的全套文件。技术文件应该全面、完整、详细。投标人提供的技术文件至少应包括：</w:t>
      </w:r>
    </w:p>
    <w:p w14:paraId="74898195">
      <w:pPr>
        <w:rPr>
          <w:rFonts w:hint="eastAsia"/>
          <w:highlight w:val="none"/>
        </w:rPr>
      </w:pPr>
      <w:r>
        <w:rPr>
          <w:rFonts w:hint="eastAsia"/>
          <w:highlight w:val="none"/>
        </w:rPr>
        <w:t>－</w:t>
      </w:r>
      <w:r>
        <w:rPr>
          <w:highlight w:val="none"/>
        </w:rPr>
        <w:t xml:space="preserve"> 系统说明文件； </w:t>
      </w:r>
    </w:p>
    <w:p w14:paraId="5A3D1FB9">
      <w:pPr>
        <w:rPr>
          <w:rFonts w:hint="eastAsia"/>
          <w:highlight w:val="none"/>
        </w:rPr>
      </w:pPr>
      <w:r>
        <w:rPr>
          <w:rFonts w:hint="eastAsia"/>
          <w:highlight w:val="none"/>
        </w:rPr>
        <w:t>－</w:t>
      </w:r>
      <w:r>
        <w:rPr>
          <w:highlight w:val="none"/>
        </w:rPr>
        <w:t xml:space="preserve"> 技术手册(安装、测试、操作、维护、故障排除等)； </w:t>
      </w:r>
    </w:p>
    <w:p w14:paraId="75F6D9F0">
      <w:pPr>
        <w:rPr>
          <w:rFonts w:hint="eastAsia"/>
          <w:highlight w:val="none"/>
        </w:rPr>
      </w:pPr>
      <w:r>
        <w:rPr>
          <w:rFonts w:hint="eastAsia"/>
          <w:highlight w:val="none"/>
        </w:rPr>
        <w:t>－</w:t>
      </w:r>
      <w:r>
        <w:rPr>
          <w:highlight w:val="none"/>
        </w:rPr>
        <w:t xml:space="preserve"> 项目文档，应该包括：</w:t>
      </w:r>
    </w:p>
    <w:p w14:paraId="1A13D54F">
      <w:pPr>
        <w:ind w:left="360"/>
        <w:rPr>
          <w:rFonts w:hint="default" w:eastAsia="宋体"/>
          <w:highlight w:val="none"/>
          <w:lang w:val="en-US" w:eastAsia="zh-CN"/>
        </w:rPr>
      </w:pPr>
      <w:r>
        <w:rPr>
          <w:highlight w:val="none"/>
        </w:rPr>
        <w:t>(1)</w:t>
      </w:r>
      <w:r>
        <w:rPr>
          <w:rFonts w:hint="eastAsia"/>
          <w:highlight w:val="none"/>
          <w:lang w:val="en-US" w:eastAsia="zh-CN"/>
        </w:rPr>
        <w:t>各类工具技术白皮书等功能文档</w:t>
      </w:r>
    </w:p>
    <w:p w14:paraId="05EAFAC4">
      <w:pPr>
        <w:ind w:left="360"/>
        <w:rPr>
          <w:rFonts w:hint="default" w:eastAsia="宋体"/>
          <w:highlight w:val="none"/>
          <w:lang w:val="en-US" w:eastAsia="zh-CN"/>
        </w:rPr>
      </w:pPr>
      <w:r>
        <w:rPr>
          <w:highlight w:val="none"/>
        </w:rPr>
        <w:t>(2)</w:t>
      </w:r>
      <w:r>
        <w:rPr>
          <w:highlight w:val="none"/>
        </w:rPr>
        <w:tab/>
      </w:r>
      <w:r>
        <w:rPr>
          <w:rFonts w:hint="eastAsia"/>
          <w:highlight w:val="none"/>
          <w:lang w:val="en-US" w:eastAsia="zh-CN"/>
        </w:rPr>
        <w:t>各类工具所需资质文档</w:t>
      </w:r>
    </w:p>
    <w:p w14:paraId="22A2D41F">
      <w:pPr>
        <w:ind w:left="360"/>
        <w:rPr>
          <w:rFonts w:hint="eastAsia"/>
          <w:highlight w:val="none"/>
          <w:lang w:val="en-US" w:eastAsia="zh-CN"/>
        </w:rPr>
      </w:pPr>
      <w:r>
        <w:rPr>
          <w:highlight w:val="none"/>
        </w:rPr>
        <w:t>(3)</w:t>
      </w:r>
      <w:r>
        <w:rPr>
          <w:highlight w:val="none"/>
        </w:rPr>
        <w:tab/>
      </w:r>
      <w:r>
        <w:rPr>
          <w:rFonts w:hint="eastAsia"/>
          <w:highlight w:val="none"/>
          <w:lang w:val="en-US" w:eastAsia="zh-CN"/>
        </w:rPr>
        <w:t>相关许可文件</w:t>
      </w:r>
    </w:p>
    <w:p w14:paraId="24C338AB">
      <w:pPr>
        <w:ind w:left="360"/>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(4)其他供应商需要提交的技术文件</w:t>
      </w:r>
    </w:p>
    <w:p w14:paraId="5BB07576">
      <w:pPr>
        <w:rPr>
          <w:rFonts w:hint="eastAsia"/>
          <w:highlight w:val="none"/>
        </w:rPr>
      </w:pPr>
      <w:r>
        <w:rPr>
          <w:rFonts w:hint="eastAsia"/>
          <w:highlight w:val="none"/>
        </w:rPr>
        <w:t>提供全套技术文件纸介质</w:t>
      </w:r>
      <w:r>
        <w:rPr>
          <w:highlight w:val="none"/>
        </w:rPr>
        <w:t>3套以及电子文件1套。</w:t>
      </w:r>
    </w:p>
    <w:p w14:paraId="1B9725A8">
      <w:pPr>
        <w:pStyle w:val="2"/>
        <w:ind w:left="0" w:leftChars="0" w:firstLineChars="0"/>
        <w:rPr>
          <w:rFonts w:hint="eastAsia"/>
          <w:highlight w:val="none"/>
        </w:rPr>
      </w:pPr>
      <w:r>
        <w:rPr>
          <w:rFonts w:hint="eastAsia"/>
          <w:highlight w:val="none"/>
        </w:rPr>
        <w:t>供应商资质要求</w:t>
      </w:r>
    </w:p>
    <w:p w14:paraId="108C6631">
      <w:pPr>
        <w:ind w:left="0" w:leftChars="0"/>
        <w:rPr>
          <w:rFonts w:hint="eastAsia"/>
          <w:highlight w:val="none"/>
        </w:rPr>
      </w:pPr>
      <w:r>
        <w:rPr>
          <w:highlight w:val="none"/>
        </w:rPr>
        <w:t>1、符合《中华人民共和国政府采购法》第二十二条规定的供应商。</w:t>
      </w:r>
    </w:p>
    <w:p w14:paraId="75391634">
      <w:pPr>
        <w:ind w:left="0" w:leftChars="0"/>
        <w:rPr>
          <w:rFonts w:hint="eastAsia"/>
          <w:highlight w:val="none"/>
        </w:rPr>
      </w:pPr>
      <w:r>
        <w:rPr>
          <w:highlight w:val="none"/>
        </w:rPr>
        <w:t>2、根据《上海市政府采购供应商登记及诚信管理办法》已登记入库的供应商。</w:t>
      </w:r>
    </w:p>
    <w:p w14:paraId="2A15AFC5">
      <w:pPr>
        <w:ind w:left="0" w:leftChars="0"/>
        <w:rPr>
          <w:rFonts w:hint="eastAsia"/>
          <w:highlight w:val="none"/>
        </w:rPr>
      </w:pPr>
      <w:r>
        <w:rPr>
          <w:highlight w:val="none"/>
        </w:rPr>
        <w:t>3、其他资格要求：</w:t>
      </w:r>
    </w:p>
    <w:p w14:paraId="1D04DB2E">
      <w:pPr>
        <w:numPr>
          <w:ilvl w:val="0"/>
          <w:numId w:val="11"/>
        </w:numPr>
        <w:ind w:left="845" w:leftChars="0" w:hanging="425" w:firstLineChars="0"/>
        <w:rPr>
          <w:rFonts w:hint="eastAsia"/>
          <w:highlight w:val="none"/>
        </w:rPr>
      </w:pPr>
      <w:r>
        <w:rPr>
          <w:highlight w:val="none"/>
        </w:rPr>
        <w:t>本项目面向大、中、小、微型等各类供应商采购。</w:t>
      </w:r>
    </w:p>
    <w:p w14:paraId="5E59398B">
      <w:pPr>
        <w:numPr>
          <w:ilvl w:val="0"/>
          <w:numId w:val="11"/>
        </w:numPr>
        <w:ind w:left="845" w:leftChars="0" w:hanging="425" w:firstLineChars="0"/>
        <w:rPr>
          <w:highlight w:val="none"/>
        </w:rPr>
      </w:pPr>
      <w:r>
        <w:rPr>
          <w:highlight w:val="none"/>
        </w:rPr>
        <w:t>未被列入“信用中国”网站(www.creditchina.gov.cn)失信被执行人名单、重大税收违法案件当事人名单和中国政府采购网(www.ccgp.gov.cn)政府采购严重违法失信行为记录名单。</w:t>
      </w:r>
    </w:p>
    <w:p w14:paraId="319F87E9">
      <w:pPr>
        <w:numPr>
          <w:ilvl w:val="0"/>
          <w:numId w:val="11"/>
        </w:numPr>
        <w:ind w:left="845" w:leftChars="0" w:hanging="425" w:firstLineChars="0"/>
        <w:rPr>
          <w:rFonts w:hint="eastAsia" w:ascii="宋体" w:hAnsi="宋体" w:eastAsia="宋体"/>
          <w:highlight w:val="none"/>
          <w:lang w:val="en-US" w:eastAsia="zh-CN"/>
        </w:rPr>
      </w:pPr>
      <w:r>
        <w:rPr>
          <w:rFonts w:hint="eastAsia" w:ascii="宋体" w:hAnsi="宋体" w:eastAsia="宋体"/>
          <w:highlight w:val="none"/>
          <w:lang w:val="en-US" w:eastAsia="zh-CN"/>
        </w:rPr>
        <w:t>投标人需具有信息系统建设和服务能力认证（CS3）、CCRC信息安全服务资质认证（安全集成）、ISO20000信息技术服务管理标准认证、ISO27001信息安全管理体系认证。</w:t>
      </w:r>
    </w:p>
    <w:p w14:paraId="0501F4E4">
      <w:pPr>
        <w:numPr>
          <w:ilvl w:val="0"/>
          <w:numId w:val="11"/>
        </w:numPr>
        <w:ind w:left="845" w:leftChars="0" w:hanging="425" w:firstLineChars="0"/>
        <w:rPr>
          <w:rFonts w:hint="default" w:ascii="宋体" w:hAnsi="宋体" w:eastAsia="宋体"/>
          <w:highlight w:val="none"/>
          <w:lang w:val="en-US" w:eastAsia="zh-CN"/>
        </w:rPr>
      </w:pPr>
      <w:r>
        <w:rPr>
          <w:rFonts w:hint="default" w:ascii="宋体" w:hAnsi="宋体" w:eastAsia="宋体"/>
          <w:highlight w:val="none"/>
          <w:lang w:val="en-US" w:eastAsia="zh-CN"/>
        </w:rPr>
        <w:t>投标人近3年以来承接与本次投标内容类似的政务类信息化项目业绩，需提供相关业绩的合同扫描件，扫描件中需体现合同的签约主体、内容、合同金额、授权截止日期等合同要素的相关内容，否则将不予认可。</w:t>
      </w:r>
    </w:p>
    <w:p w14:paraId="6DC46E00">
      <w:pPr>
        <w:rPr>
          <w:rFonts w:hint="eastAsia"/>
          <w:highlight w:val="none"/>
        </w:rPr>
      </w:pPr>
    </w:p>
    <w:p w14:paraId="20016E6D">
      <w:pPr>
        <w:pStyle w:val="2"/>
        <w:ind w:left="0" w:leftChars="0" w:firstLineChars="0"/>
        <w:rPr>
          <w:rFonts w:hint="eastAsia"/>
          <w:highlight w:val="none"/>
        </w:rPr>
      </w:pPr>
      <w:r>
        <w:rPr>
          <w:rFonts w:hint="eastAsia"/>
          <w:highlight w:val="none"/>
        </w:rPr>
        <w:t>供应商管理要求</w:t>
      </w:r>
      <w:bookmarkEnd w:id="36"/>
    </w:p>
    <w:p w14:paraId="09214138">
      <w:pPr>
        <w:pStyle w:val="16"/>
        <w:ind w:firstLine="480"/>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、中标人应具备优秀的项目管理能力和质量保障能力</w:t>
      </w:r>
      <w:r>
        <w:rPr>
          <w:sz w:val="24"/>
          <w:szCs w:val="24"/>
          <w:highlight w:val="none"/>
        </w:rPr>
        <w:t>。</w:t>
      </w:r>
    </w:p>
    <w:p w14:paraId="5BCFBA5D">
      <w:pPr>
        <w:pStyle w:val="16"/>
        <w:ind w:firstLine="480"/>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、在项目实施期间，中标人应严格执行国家、地方、行业有关本项目业务管理和安全作业的法律、法规和制度并按规定承担相应的费用。中标人因违反规定等原因造成的一切损失和责任由中标人自行承担。</w:t>
      </w:r>
    </w:p>
    <w:p w14:paraId="4B2D6464">
      <w:pPr>
        <w:pStyle w:val="16"/>
        <w:ind w:firstLine="480"/>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中标人在投标书中承诺并经招标人认定的项目负责人及专业技术人员必须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w:t>
      </w:r>
      <w:r>
        <w:rPr>
          <w:rFonts w:hint="eastAsia"/>
          <w:sz w:val="24"/>
          <w:szCs w:val="24"/>
          <w:highlight w:val="none"/>
          <w:lang w:val="en-US" w:eastAsia="zh-CN"/>
        </w:rPr>
        <w:t>做出</w:t>
      </w:r>
      <w:r>
        <w:rPr>
          <w:rFonts w:hint="eastAsia"/>
          <w:sz w:val="24"/>
          <w:szCs w:val="24"/>
          <w:highlight w:val="none"/>
        </w:rPr>
        <w:t>更好的调整。</w:t>
      </w:r>
    </w:p>
    <w:p w14:paraId="27712BAB">
      <w:pPr>
        <w:pStyle w:val="16"/>
        <w:ind w:firstLine="480"/>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、中标人在项目实施期间，应按项目实际进度与环节落实所对应项目整体及各环节管理工作，按照规范做好项目实施期间相关管理与实施记录。</w:t>
      </w:r>
    </w:p>
    <w:p w14:paraId="3BA502B5">
      <w:pPr>
        <w:pStyle w:val="16"/>
        <w:ind w:firstLine="480"/>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必须得到采购人项目联系人确认。</w:t>
      </w:r>
    </w:p>
    <w:p w14:paraId="4465AD73">
      <w:pPr>
        <w:pStyle w:val="16"/>
        <w:ind w:firstLine="480"/>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、中标人在项目实施期间必须遵守采购人的规章制度并提供实施人员名单。</w:t>
      </w:r>
    </w:p>
    <w:p w14:paraId="0BBBEA80">
      <w:pPr>
        <w:pStyle w:val="16"/>
        <w:ind w:firstLine="480"/>
        <w:rPr>
          <w:rFonts w:hint="eastAsia"/>
          <w:sz w:val="24"/>
          <w:szCs w:val="24"/>
          <w:highlight w:val="none"/>
        </w:rPr>
      </w:pPr>
      <w:r>
        <w:rPr>
          <w:rFonts w:hint="eastAsia"/>
          <w:sz w:val="24"/>
          <w:szCs w:val="24"/>
          <w:highlight w:val="none"/>
          <w:lang w:val="en-US" w:eastAsia="zh-CN"/>
        </w:rPr>
        <w:t>7</w:t>
      </w:r>
      <w:r>
        <w:rPr>
          <w:rFonts w:hint="eastAsia"/>
          <w:sz w:val="24"/>
          <w:szCs w:val="24"/>
          <w:highlight w:val="none"/>
        </w:rPr>
        <w:t>、各投标人在投标文件中要结合本项目的特点和采购人上述的具体要求制定相应的管理措施，并在报价中列支相应的费用清单，投标人报价中未列支上述费用清单的，上述费用视为已包含在投标人的投标总报价中。</w:t>
      </w:r>
    </w:p>
    <w:p w14:paraId="431FDC2F">
      <w:pPr>
        <w:pStyle w:val="16"/>
        <w:ind w:firstLine="480"/>
        <w:rPr>
          <w:rFonts w:hint="eastAsia"/>
          <w:highlight w:val="none"/>
        </w:rPr>
      </w:pPr>
      <w:r>
        <w:rPr>
          <w:rFonts w:hint="eastAsia"/>
          <w:sz w:val="24"/>
          <w:szCs w:val="24"/>
          <w:highlight w:val="none"/>
          <w:lang w:val="en-US" w:eastAsia="zh-CN"/>
        </w:rPr>
        <w:t>8</w:t>
      </w:r>
      <w:r>
        <w:rPr>
          <w:rFonts w:hint="eastAsia"/>
          <w:sz w:val="24"/>
          <w:szCs w:val="24"/>
          <w:highlight w:val="none"/>
        </w:rPr>
        <w:t>、本项目软件开发及调试将纳入采购人的管理范围，中标人在此过程中须服从上述单位的管理协调。</w:t>
      </w:r>
    </w:p>
    <w:p w14:paraId="384ECCF1">
      <w:pPr>
        <w:pStyle w:val="16"/>
        <w:ind w:firstLine="420"/>
        <w:rPr>
          <w:rFonts w:hint="eastAsia"/>
          <w:highlight w:val="none"/>
        </w:rPr>
      </w:pPr>
    </w:p>
    <w:p w14:paraId="42191989">
      <w:pPr>
        <w:pStyle w:val="2"/>
        <w:ind w:left="0" w:leftChars="0" w:firstLineChars="0"/>
        <w:rPr>
          <w:rFonts w:hint="eastAsia"/>
          <w:highlight w:val="none"/>
        </w:rPr>
      </w:pPr>
      <w:bookmarkStart w:id="37" w:name="_Toc63785513"/>
      <w:r>
        <w:rPr>
          <w:rFonts w:hint="eastAsia"/>
          <w:highlight w:val="none"/>
        </w:rPr>
        <w:t>关于转让和分包的规定</w:t>
      </w:r>
    </w:p>
    <w:p w14:paraId="57F56A65">
      <w:pPr>
        <w:spacing w:line="560" w:lineRule="exact"/>
        <w:ind w:firstLine="562"/>
        <w:rPr>
          <w:rFonts w:hint="eastAsia" w:ascii="Times New Roman" w:hAnsi="仿宋" w:eastAsia="宋体"/>
          <w:b/>
          <w:sz w:val="24"/>
          <w:szCs w:val="24"/>
          <w:highlight w:val="none"/>
          <w:lang w:eastAsia="zh-CN"/>
        </w:rPr>
      </w:pPr>
      <w:r>
        <w:rPr>
          <w:rFonts w:hint="eastAsia"/>
          <w:sz w:val="24"/>
          <w:szCs w:val="24"/>
          <w:highlight w:val="none"/>
        </w:rPr>
        <w:t>本项目不得分包和转让</w:t>
      </w:r>
      <w:r>
        <w:rPr>
          <w:rFonts w:hint="eastAsia"/>
          <w:sz w:val="24"/>
          <w:szCs w:val="24"/>
          <w:highlight w:val="none"/>
          <w:lang w:eastAsia="zh-CN"/>
        </w:rPr>
        <w:t>。</w:t>
      </w:r>
    </w:p>
    <w:p w14:paraId="7CFF856C">
      <w:pPr>
        <w:rPr>
          <w:rFonts w:hint="eastAsia"/>
          <w:highlight w:val="none"/>
        </w:rPr>
      </w:pPr>
    </w:p>
    <w:p w14:paraId="71AE6D2D">
      <w:pPr>
        <w:pStyle w:val="2"/>
        <w:ind w:left="0" w:leftChars="0" w:firstLineChars="0"/>
        <w:rPr>
          <w:rFonts w:hint="eastAsia"/>
          <w:highlight w:val="none"/>
        </w:rPr>
      </w:pPr>
      <w:r>
        <w:rPr>
          <w:rFonts w:hint="eastAsia"/>
          <w:highlight w:val="none"/>
        </w:rPr>
        <w:t>知识产权及保密要求</w:t>
      </w:r>
      <w:bookmarkEnd w:id="37"/>
    </w:p>
    <w:p w14:paraId="4B9F5BBF">
      <w:pPr>
        <w:ind w:firstLine="482"/>
        <w:rPr>
          <w:rFonts w:hint="eastAsia"/>
          <w:b/>
          <w:highlight w:val="none"/>
        </w:rPr>
      </w:pPr>
      <w:r>
        <w:rPr>
          <w:b/>
          <w:highlight w:val="none"/>
        </w:rPr>
        <w:t>1、中标人数据、文件、资料知识产权</w:t>
      </w:r>
    </w:p>
    <w:p w14:paraId="3B8F86BA">
      <w:pPr>
        <w:rPr>
          <w:rFonts w:hint="eastAsia"/>
          <w:highlight w:val="none"/>
        </w:rPr>
      </w:pPr>
      <w:r>
        <w:rPr>
          <w:rFonts w:hint="eastAsia"/>
          <w:highlight w:val="none"/>
        </w:rPr>
        <w:t>中标人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人应负责与第三方解决纠纷，若因此导致采购人损失的，采购人有权要求中标人赔偿采购人因此遭受的全部损失，包括但不限于直接损失、间接损失、诉讼费／仲裁费、律师费、公证费、鉴定费等。</w:t>
      </w:r>
    </w:p>
    <w:p w14:paraId="0C306D55">
      <w:pPr>
        <w:rPr>
          <w:rFonts w:hint="eastAsia"/>
          <w:highlight w:val="none"/>
        </w:rPr>
      </w:pPr>
      <w:r>
        <w:rPr>
          <w:rFonts w:hint="eastAsia"/>
          <w:highlight w:val="none"/>
        </w:rPr>
        <w:t>中标人因履行本项目而产生的所有成果的知识产权等权利均归采购人所有，中标人应配合采购人进行相关权利登记或申请。未经采购人书面同意，中标人不得以任何形式使用或许可他人使用本项目成果的相关内容，不得擅自对外公开发表或向任何第三方透露。</w:t>
      </w:r>
    </w:p>
    <w:p w14:paraId="38DF0E9A">
      <w:pPr>
        <w:rPr>
          <w:rFonts w:hint="eastAsia"/>
          <w:highlight w:val="none"/>
        </w:rPr>
      </w:pPr>
      <w:r>
        <w:rPr>
          <w:rFonts w:hint="eastAsia"/>
          <w:highlight w:val="none"/>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603FF0AD">
      <w:pPr>
        <w:ind w:firstLine="482"/>
        <w:rPr>
          <w:rFonts w:hint="eastAsia"/>
          <w:b/>
          <w:highlight w:val="none"/>
        </w:rPr>
      </w:pPr>
      <w:r>
        <w:rPr>
          <w:b/>
          <w:highlight w:val="none"/>
        </w:rPr>
        <w:t>2、项目保密要求</w:t>
      </w:r>
    </w:p>
    <w:p w14:paraId="100108AC">
      <w:pPr>
        <w:rPr>
          <w:rFonts w:hint="eastAsia"/>
          <w:highlight w:val="none"/>
        </w:rPr>
      </w:pPr>
      <w:r>
        <w:rPr>
          <w:rFonts w:hint="eastAsia"/>
          <w:highlight w:val="none"/>
        </w:rPr>
        <w:t>中标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调查费、公证费等。</w:t>
      </w:r>
    </w:p>
    <w:p w14:paraId="12B67093">
      <w:pPr>
        <w:rPr>
          <w:rFonts w:hint="eastAsia"/>
          <w:highlight w:val="none"/>
        </w:rPr>
      </w:pPr>
      <w:r>
        <w:rPr>
          <w:rFonts w:hint="eastAsia"/>
          <w:highlight w:val="none"/>
        </w:rPr>
        <w:t>中标人应采取必要的有效措施保证其参与本项目的人员（包括中标人聘用的人员、借调的人员、实习的人员）无论是在职或离职后，以及中标人的合作方无论是合作中或合作终止后，都能够履行本项目约定的保密义务。若中标人人员或中标人合作方违反保密规定，中标人应承担连带责任。</w:t>
      </w:r>
    </w:p>
    <w:p w14:paraId="7C0972D1">
      <w:pPr>
        <w:rPr>
          <w:rFonts w:hint="eastAsia"/>
          <w:highlight w:val="none"/>
        </w:rPr>
      </w:pPr>
      <w:r>
        <w:rPr>
          <w:rFonts w:hint="eastAsia"/>
          <w:highlight w:val="none"/>
        </w:rPr>
        <w:t>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1186BDB4">
      <w:pPr>
        <w:rPr>
          <w:rFonts w:hint="eastAsia"/>
          <w:highlight w:val="none"/>
        </w:rPr>
      </w:pPr>
      <w:r>
        <w:rPr>
          <w:rFonts w:hint="eastAsia"/>
          <w:highlight w:val="none"/>
        </w:rPr>
        <w:t>以上内容的保密期限自中标人知悉保密信息起始至保密信息被合法公开之日止。</w:t>
      </w:r>
    </w:p>
    <w:p w14:paraId="79286CF1">
      <w:pPr>
        <w:ind w:firstLine="482"/>
        <w:rPr>
          <w:rFonts w:hint="eastAsia"/>
          <w:b/>
          <w:highlight w:val="none"/>
        </w:rPr>
      </w:pPr>
      <w:r>
        <w:rPr>
          <w:b/>
          <w:highlight w:val="none"/>
        </w:rPr>
        <w:t>3、临时账号等使用要求</w:t>
      </w:r>
    </w:p>
    <w:p w14:paraId="1EE84F7E">
      <w:pPr>
        <w:rPr>
          <w:rFonts w:hint="eastAsia"/>
          <w:highlight w:val="none"/>
        </w:rPr>
      </w:pPr>
      <w:r>
        <w:rPr>
          <w:rFonts w:hint="eastAsia"/>
          <w:highlight w:val="none"/>
        </w:rPr>
        <w:t>中标人对采购人提拱的临时使用账号要保密，不得公开，对组件开发的账号密码需进行加密，避免信息安全的泄露。未经采购人的同意不得利用采购人的网络及平台进行短信、彩信、微信发送</w:t>
      </w:r>
      <w:r>
        <w:rPr>
          <w:highlight w:val="none"/>
        </w:rPr>
        <w:t>,造成的一切后果由中标人负责。</w:t>
      </w:r>
    </w:p>
    <w:p w14:paraId="513E44A7">
      <w:pPr>
        <w:pStyle w:val="2"/>
        <w:ind w:left="0" w:leftChars="0" w:firstLineChars="0"/>
        <w:rPr>
          <w:rFonts w:hint="eastAsia"/>
          <w:highlight w:val="none"/>
        </w:rPr>
      </w:pPr>
      <w:bookmarkStart w:id="38" w:name="_Toc65170093"/>
      <w:r>
        <w:rPr>
          <w:highlight w:val="none"/>
        </w:rPr>
        <w:t>项目的变更、解除和终止</w:t>
      </w:r>
    </w:p>
    <w:p w14:paraId="5CDC9721">
      <w:pPr>
        <w:rPr>
          <w:rFonts w:hint="eastAsia"/>
          <w:highlight w:val="none"/>
        </w:rPr>
      </w:pPr>
      <w:r>
        <w:rPr>
          <w:rFonts w:hint="eastAsia"/>
          <w:highlight w:val="none"/>
        </w:rPr>
        <w:t>如果中标人丧失履约能力、发生资不抵债或进入破产程序，采购人可在任何时候以书面形式通知中标人终止本项目的执行而不给予中标人补偿。该终止本项目将不损害或影响采购人已经采取或将要采取任何行动或补救措施的权利。</w:t>
      </w:r>
    </w:p>
    <w:p w14:paraId="159EAC60">
      <w:pPr>
        <w:rPr>
          <w:rFonts w:hint="eastAsia"/>
          <w:highlight w:val="none"/>
        </w:rPr>
      </w:pPr>
      <w:r>
        <w:rPr>
          <w:rFonts w:hint="eastAsia"/>
          <w:highlight w:val="none"/>
        </w:rPr>
        <w:t>如遇国家、行业管理部门等机构的有关标准和规定调整的，导致本项目内容</w:t>
      </w:r>
      <w:r>
        <w:rPr>
          <w:rFonts w:hint="eastAsia"/>
          <w:highlight w:val="none"/>
          <w:lang w:eastAsia="zh-CN"/>
        </w:rPr>
        <w:t>需</w:t>
      </w:r>
      <w:r>
        <w:rPr>
          <w:rFonts w:hint="eastAsia"/>
          <w:highlight w:val="none"/>
        </w:rPr>
        <w:t>做相应调整时，双方应按照公平、合理的原则共同协商修改本项目对应的合同的相关条款。</w:t>
      </w:r>
    </w:p>
    <w:bookmarkEnd w:id="38"/>
    <w:p w14:paraId="6651448E">
      <w:pPr>
        <w:pStyle w:val="2"/>
        <w:ind w:left="0" w:leftChars="0" w:firstLineChars="0"/>
        <w:rPr>
          <w:rFonts w:hint="eastAsia"/>
          <w:highlight w:val="none"/>
        </w:rPr>
      </w:pPr>
      <w:bookmarkStart w:id="39" w:name="_Toc63785514"/>
      <w:r>
        <w:rPr>
          <w:rFonts w:hint="eastAsia"/>
          <w:highlight w:val="none"/>
        </w:rPr>
        <w:t>付款</w:t>
      </w:r>
      <w:bookmarkEnd w:id="39"/>
      <w:r>
        <w:rPr>
          <w:rFonts w:hint="eastAsia"/>
          <w:highlight w:val="none"/>
        </w:rPr>
        <w:t>方式</w:t>
      </w:r>
    </w:p>
    <w:p w14:paraId="3B40C5F7">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本项目按照三笔款项进行付款。</w:t>
      </w:r>
    </w:p>
    <w:p w14:paraId="24723172">
      <w:pPr>
        <w:numPr>
          <w:ilvl w:val="0"/>
          <w:numId w:val="12"/>
        </w:numPr>
        <w:spacing w:line="360" w:lineRule="auto"/>
        <w:ind w:left="425" w:leftChars="0" w:hanging="425" w:firstLineChars="0"/>
        <w:rPr>
          <w:rFonts w:hint="eastAsia"/>
          <w:sz w:val="24"/>
          <w:szCs w:val="24"/>
          <w:highlight w:val="none"/>
        </w:rPr>
      </w:pPr>
      <w:r>
        <w:rPr>
          <w:rFonts w:hint="eastAsia"/>
          <w:sz w:val="24"/>
          <w:szCs w:val="24"/>
          <w:highlight w:val="none"/>
          <w:lang w:val="en-US" w:eastAsia="zh-CN"/>
        </w:rPr>
        <w:t>项目</w:t>
      </w:r>
      <w:r>
        <w:rPr>
          <w:rFonts w:hint="eastAsia"/>
          <w:sz w:val="24"/>
          <w:szCs w:val="24"/>
          <w:highlight w:val="none"/>
        </w:rPr>
        <w:t>合同签订生效后10个工作日内，支付合同总</w:t>
      </w:r>
      <w:r>
        <w:rPr>
          <w:rFonts w:hint="eastAsia"/>
          <w:sz w:val="24"/>
          <w:szCs w:val="24"/>
          <w:highlight w:val="none"/>
          <w:lang w:val="en-US" w:eastAsia="zh-CN"/>
        </w:rPr>
        <w:t>费用</w:t>
      </w:r>
      <w:r>
        <w:rPr>
          <w:rFonts w:hint="eastAsia"/>
          <w:sz w:val="24"/>
          <w:szCs w:val="24"/>
          <w:highlight w:val="none"/>
        </w:rPr>
        <w:t>的</w:t>
      </w:r>
      <w:r>
        <w:rPr>
          <w:rFonts w:hint="eastAsia"/>
          <w:sz w:val="24"/>
          <w:szCs w:val="24"/>
          <w:highlight w:val="none"/>
          <w:lang w:val="en-US" w:eastAsia="zh-CN"/>
        </w:rPr>
        <w:t>50%</w:t>
      </w:r>
      <w:r>
        <w:rPr>
          <w:rFonts w:hint="eastAsia"/>
          <w:sz w:val="24"/>
          <w:szCs w:val="24"/>
          <w:highlight w:val="none"/>
        </w:rPr>
        <w:t>。</w:t>
      </w:r>
    </w:p>
    <w:p w14:paraId="2E4BEDCF">
      <w:pPr>
        <w:numPr>
          <w:ilvl w:val="0"/>
          <w:numId w:val="12"/>
        </w:numPr>
        <w:spacing w:line="360" w:lineRule="auto"/>
        <w:ind w:left="425" w:leftChars="0" w:hanging="425" w:firstLineChars="0"/>
        <w:rPr>
          <w:rFonts w:hint="eastAsia"/>
          <w:sz w:val="24"/>
          <w:szCs w:val="24"/>
          <w:highlight w:val="none"/>
        </w:rPr>
      </w:pPr>
      <w:r>
        <w:rPr>
          <w:rFonts w:hint="eastAsia"/>
          <w:sz w:val="24"/>
          <w:szCs w:val="24"/>
          <w:highlight w:val="none"/>
          <w:lang w:val="en-US" w:eastAsia="zh-CN"/>
        </w:rPr>
        <w:t>项目中期验收（即初验）通过后10个工作日内，支付本项目当年已批复预算11</w:t>
      </w:r>
      <w:r>
        <w:rPr>
          <w:rFonts w:hint="default"/>
          <w:sz w:val="24"/>
          <w:szCs w:val="24"/>
          <w:highlight w:val="none"/>
          <w:lang w:val="en-US" w:eastAsia="zh-CN"/>
        </w:rPr>
        <w:t>,</w:t>
      </w:r>
      <w:r>
        <w:rPr>
          <w:rFonts w:hint="eastAsia"/>
          <w:sz w:val="24"/>
          <w:szCs w:val="24"/>
          <w:highlight w:val="none"/>
          <w:lang w:val="en-US" w:eastAsia="zh-CN"/>
        </w:rPr>
        <w:t>552</w:t>
      </w:r>
      <w:r>
        <w:rPr>
          <w:rFonts w:hint="default"/>
          <w:sz w:val="24"/>
          <w:szCs w:val="24"/>
          <w:highlight w:val="none"/>
          <w:lang w:val="en-US" w:eastAsia="zh-CN"/>
        </w:rPr>
        <w:t>,</w:t>
      </w:r>
      <w:r>
        <w:rPr>
          <w:rFonts w:hint="eastAsia"/>
          <w:sz w:val="24"/>
          <w:szCs w:val="24"/>
          <w:highlight w:val="none"/>
          <w:lang w:val="en-US" w:eastAsia="zh-CN"/>
        </w:rPr>
        <w:t>120元扣除第一笔支付金额的剩余金额。</w:t>
      </w:r>
    </w:p>
    <w:p w14:paraId="39A0A0A6">
      <w:pPr>
        <w:numPr>
          <w:ilvl w:val="0"/>
          <w:numId w:val="12"/>
        </w:numPr>
        <w:spacing w:line="360" w:lineRule="auto"/>
        <w:ind w:left="425" w:leftChars="0" w:hanging="425" w:firstLineChars="0"/>
        <w:rPr>
          <w:rFonts w:hint="eastAsia"/>
          <w:sz w:val="24"/>
          <w:szCs w:val="24"/>
          <w:highlight w:val="none"/>
        </w:rPr>
      </w:pPr>
      <w:r>
        <w:rPr>
          <w:rFonts w:hint="eastAsia"/>
          <w:sz w:val="24"/>
          <w:szCs w:val="24"/>
          <w:highlight w:val="none"/>
          <w:lang w:val="en-US" w:eastAsia="zh-CN"/>
        </w:rPr>
        <w:t>项目</w:t>
      </w:r>
      <w:r>
        <w:rPr>
          <w:rFonts w:hint="eastAsia"/>
          <w:sz w:val="24"/>
          <w:szCs w:val="24"/>
          <w:highlight w:val="none"/>
        </w:rPr>
        <w:t>终验</w:t>
      </w:r>
      <w:r>
        <w:rPr>
          <w:rFonts w:hint="eastAsia"/>
          <w:sz w:val="24"/>
          <w:szCs w:val="24"/>
          <w:highlight w:val="none"/>
          <w:lang w:val="en-US" w:eastAsia="zh-CN"/>
        </w:rPr>
        <w:t>通过</w:t>
      </w:r>
      <w:r>
        <w:rPr>
          <w:rFonts w:hint="eastAsia"/>
          <w:sz w:val="24"/>
          <w:szCs w:val="24"/>
          <w:highlight w:val="none"/>
        </w:rPr>
        <w:t>后 10个工作日内，支付合同</w:t>
      </w:r>
      <w:r>
        <w:rPr>
          <w:rFonts w:hint="eastAsia"/>
          <w:sz w:val="24"/>
          <w:szCs w:val="24"/>
          <w:highlight w:val="none"/>
          <w:lang w:val="en-US" w:eastAsia="zh-CN"/>
        </w:rPr>
        <w:t>剩余</w:t>
      </w:r>
      <w:r>
        <w:rPr>
          <w:rFonts w:hint="eastAsia"/>
          <w:sz w:val="24"/>
          <w:szCs w:val="24"/>
          <w:highlight w:val="none"/>
        </w:rPr>
        <w:t>尾款。</w:t>
      </w:r>
    </w:p>
    <w:p w14:paraId="46073ABC">
      <w:pPr>
        <w:numPr>
          <w:ilvl w:val="0"/>
          <w:numId w:val="0"/>
        </w:numPr>
        <w:spacing w:line="360" w:lineRule="auto"/>
        <w:ind w:leftChars="0"/>
        <w:rPr>
          <w:rFonts w:hint="eastAsia" w:ascii="宋体" w:hAnsi="宋体" w:eastAsia="宋体" w:cs="宋体"/>
          <w:sz w:val="24"/>
          <w:szCs w:val="24"/>
          <w:highlight w:val="none"/>
          <w:lang w:val="en-US" w:eastAsia="zh-CN"/>
        </w:rPr>
      </w:pPr>
      <w:r>
        <w:rPr>
          <w:rFonts w:hint="eastAsia"/>
          <w:sz w:val="24"/>
          <w:szCs w:val="24"/>
          <w:highlight w:val="none"/>
          <w:lang w:eastAsia="zh-CN"/>
        </w:rPr>
        <w:t>如中标金额不高于</w:t>
      </w:r>
      <w:r>
        <w:rPr>
          <w:rFonts w:hint="eastAsia"/>
          <w:sz w:val="24"/>
          <w:szCs w:val="24"/>
          <w:highlight w:val="none"/>
          <w:lang w:val="en-US" w:eastAsia="zh-CN"/>
        </w:rPr>
        <w:t>11</w:t>
      </w:r>
      <w:r>
        <w:rPr>
          <w:rFonts w:hint="default"/>
          <w:sz w:val="24"/>
          <w:szCs w:val="24"/>
          <w:highlight w:val="none"/>
          <w:lang w:val="en-US" w:eastAsia="zh-CN"/>
        </w:rPr>
        <w:t>,</w:t>
      </w:r>
      <w:r>
        <w:rPr>
          <w:rFonts w:hint="eastAsia"/>
          <w:sz w:val="24"/>
          <w:szCs w:val="24"/>
          <w:highlight w:val="none"/>
          <w:lang w:val="en-US" w:eastAsia="zh-CN"/>
        </w:rPr>
        <w:t>552</w:t>
      </w:r>
      <w:r>
        <w:rPr>
          <w:rFonts w:hint="default"/>
          <w:sz w:val="24"/>
          <w:szCs w:val="24"/>
          <w:highlight w:val="none"/>
          <w:lang w:val="en-US" w:eastAsia="zh-CN"/>
        </w:rPr>
        <w:t>,</w:t>
      </w:r>
      <w:r>
        <w:rPr>
          <w:rFonts w:hint="eastAsia"/>
          <w:sz w:val="24"/>
          <w:szCs w:val="24"/>
          <w:highlight w:val="none"/>
          <w:lang w:val="en-US" w:eastAsia="zh-CN"/>
        </w:rPr>
        <w:t>120：项目</w:t>
      </w:r>
      <w:r>
        <w:rPr>
          <w:rFonts w:hint="eastAsia"/>
          <w:sz w:val="24"/>
          <w:szCs w:val="24"/>
          <w:highlight w:val="none"/>
        </w:rPr>
        <w:t>合同签订生效后10个工作日内，支付合同总</w:t>
      </w:r>
      <w:r>
        <w:rPr>
          <w:rFonts w:hint="eastAsia"/>
          <w:sz w:val="24"/>
          <w:szCs w:val="24"/>
          <w:highlight w:val="none"/>
          <w:lang w:val="en-US" w:eastAsia="zh-CN"/>
        </w:rPr>
        <w:t>费用</w:t>
      </w:r>
      <w:r>
        <w:rPr>
          <w:rFonts w:hint="eastAsia"/>
          <w:sz w:val="24"/>
          <w:szCs w:val="24"/>
          <w:highlight w:val="none"/>
        </w:rPr>
        <w:t>的</w:t>
      </w:r>
      <w:r>
        <w:rPr>
          <w:rFonts w:hint="eastAsia"/>
          <w:sz w:val="24"/>
          <w:szCs w:val="24"/>
          <w:highlight w:val="none"/>
          <w:lang w:val="en-US" w:eastAsia="zh-CN"/>
        </w:rPr>
        <w:t>50%；项目</w:t>
      </w:r>
      <w:r>
        <w:rPr>
          <w:rFonts w:hint="eastAsia"/>
          <w:sz w:val="24"/>
          <w:szCs w:val="24"/>
          <w:highlight w:val="none"/>
        </w:rPr>
        <w:t>终验</w:t>
      </w:r>
      <w:r>
        <w:rPr>
          <w:rFonts w:hint="eastAsia"/>
          <w:sz w:val="24"/>
          <w:szCs w:val="24"/>
          <w:highlight w:val="none"/>
          <w:lang w:val="en-US" w:eastAsia="zh-CN"/>
        </w:rPr>
        <w:t>通过</w:t>
      </w:r>
      <w:r>
        <w:rPr>
          <w:rFonts w:hint="eastAsia"/>
          <w:sz w:val="24"/>
          <w:szCs w:val="24"/>
          <w:highlight w:val="none"/>
        </w:rPr>
        <w:t>后 10个工作日内，支付合同</w:t>
      </w:r>
      <w:r>
        <w:rPr>
          <w:rFonts w:hint="eastAsia"/>
          <w:sz w:val="24"/>
          <w:szCs w:val="24"/>
          <w:highlight w:val="none"/>
          <w:lang w:val="en-US" w:eastAsia="zh-CN"/>
        </w:rPr>
        <w:t>剩余</w:t>
      </w:r>
      <w:r>
        <w:rPr>
          <w:rFonts w:hint="eastAsia"/>
          <w:sz w:val="24"/>
          <w:szCs w:val="24"/>
          <w:highlight w:val="none"/>
        </w:rPr>
        <w:t>尾款</w:t>
      </w:r>
      <w:r>
        <w:rPr>
          <w:rFonts w:hint="eastAsia"/>
          <w:sz w:val="24"/>
          <w:szCs w:val="24"/>
          <w:highlight w:val="none"/>
          <w:lang w:eastAsia="zh-CN"/>
        </w:rPr>
        <w:t>。</w:t>
      </w:r>
      <w:r>
        <w:rPr>
          <w:rFonts w:hint="eastAsia"/>
          <w:highlight w:val="none"/>
        </w:rPr>
        <w:t>付款条件备注</w:t>
      </w:r>
      <w:r>
        <w:rPr>
          <w:rFonts w:hint="eastAsia" w:ascii="宋体" w:hAnsi="宋体" w:eastAsia="宋体" w:cs="宋体"/>
          <w:sz w:val="24"/>
          <w:szCs w:val="24"/>
          <w:highlight w:val="none"/>
          <w:lang w:val="en-US" w:eastAsia="zh-CN"/>
        </w:rPr>
        <w:t>：</w:t>
      </w:r>
    </w:p>
    <w:p w14:paraId="4CE88883">
      <w:pPr>
        <w:numPr>
          <w:ilvl w:val="0"/>
          <w:numId w:val="13"/>
        </w:numPr>
        <w:spacing w:line="360" w:lineRule="auto"/>
        <w:ind w:left="425" w:leftChars="0" w:hanging="425"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中标人应当在采购人每次付款前至少10个工作日向采购人提供有效发票。</w:t>
      </w:r>
    </w:p>
    <w:p w14:paraId="1C7E3F8E">
      <w:pPr>
        <w:numPr>
          <w:ilvl w:val="0"/>
          <w:numId w:val="13"/>
        </w:numPr>
        <w:spacing w:line="360" w:lineRule="auto"/>
        <w:ind w:left="425" w:leftChars="0" w:hanging="425"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中标人履行合同期间如若出现违约责任，采购人核减相应违约金额后支付剩余款项。</w:t>
      </w:r>
    </w:p>
    <w:p w14:paraId="27094010">
      <w:pPr>
        <w:numPr>
          <w:ilvl w:val="0"/>
          <w:numId w:val="0"/>
        </w:numPr>
        <w:spacing w:line="360" w:lineRule="auto"/>
        <w:ind w:leftChars="0"/>
        <w:jc w:val="left"/>
        <w:rPr>
          <w:rFonts w:hint="eastAsia" w:ascii="宋体" w:hAnsi="宋体" w:eastAsia="宋体" w:cs="宋体"/>
          <w:sz w:val="24"/>
          <w:szCs w:val="24"/>
          <w:highlight w:val="none"/>
          <w:lang w:val="en-US" w:eastAsia="zh-CN"/>
        </w:rPr>
      </w:pPr>
    </w:p>
    <w:p w14:paraId="1970D36E">
      <w:pPr>
        <w:pStyle w:val="2"/>
        <w:ind w:left="0" w:leftChars="0" w:firstLineChars="0"/>
        <w:rPr>
          <w:rFonts w:hint="eastAsia" w:ascii="宋体" w:hAnsi="宋体"/>
          <w:highlight w:val="none"/>
          <w:lang w:val="en-US" w:eastAsia="zh-CN"/>
        </w:rPr>
      </w:pPr>
      <w:r>
        <w:rPr>
          <w:rFonts w:hint="eastAsia" w:ascii="宋体" w:hAnsi="宋体"/>
          <w:highlight w:val="none"/>
          <w:lang w:val="en-US" w:eastAsia="zh-CN"/>
        </w:rPr>
        <w:t>附件</w:t>
      </w:r>
    </w:p>
    <w:p w14:paraId="75CB21BC">
      <w:pPr>
        <w:ind w:left="0" w:leftChars="0"/>
        <w:rPr>
          <w:rFonts w:hint="eastAsia"/>
          <w:highlight w:val="none"/>
        </w:rPr>
      </w:pPr>
    </w:p>
    <w:p w14:paraId="539C89D6">
      <w:pPr>
        <w:spacing w:line="360" w:lineRule="auto"/>
        <w:ind w:left="0" w:leftChars="0" w:firstLine="640" w:firstLineChars="200"/>
        <w:jc w:val="center"/>
        <w:rPr>
          <w:rFonts w:hint="default" w:eastAsia="宋体" w:asciiTheme="minorEastAsia" w:hAnsiTheme="minorEastAsia" w:cstheme="minorEastAsia"/>
          <w:b/>
          <w:bCs/>
          <w:color w:val="auto"/>
          <w:sz w:val="32"/>
          <w:szCs w:val="32"/>
          <w:highlight w:val="none"/>
          <w:lang w:val="en-US" w:eastAsia="zh-CN"/>
        </w:rPr>
      </w:pPr>
      <w:r>
        <w:rPr>
          <w:rFonts w:hint="eastAsia" w:eastAsia="宋体" w:asciiTheme="minorEastAsia" w:hAnsiTheme="minorEastAsia" w:cstheme="minorEastAsia"/>
          <w:b/>
          <w:bCs/>
          <w:color w:val="auto"/>
          <w:sz w:val="32"/>
          <w:szCs w:val="32"/>
          <w:highlight w:val="none"/>
          <w:lang w:val="en-US" w:eastAsia="zh-CN"/>
        </w:rPr>
        <w:t>原厂软件授权承诺函</w:t>
      </w:r>
    </w:p>
    <w:p w14:paraId="7C3561B6">
      <w:pPr>
        <w:numPr>
          <w:ilvl w:val="0"/>
          <w:numId w:val="0"/>
        </w:numPr>
        <w:spacing w:line="360" w:lineRule="auto"/>
        <w:rPr>
          <w:rFonts w:hint="eastAsia"/>
          <w:color w:val="auto"/>
          <w:sz w:val="24"/>
          <w:szCs w:val="24"/>
          <w:highlight w:val="none"/>
          <w:u w:val="single"/>
          <w:lang w:val="en-US" w:eastAsia="zh-CN"/>
        </w:rPr>
      </w:pPr>
      <w:r>
        <w:rPr>
          <w:rFonts w:hint="eastAsia"/>
          <w:color w:val="auto"/>
          <w:sz w:val="24"/>
          <w:szCs w:val="24"/>
          <w:highlight w:val="none"/>
          <w:lang w:val="en-US" w:eastAsia="zh-CN"/>
        </w:rPr>
        <w:t>致：</w:t>
      </w:r>
      <w:r>
        <w:rPr>
          <w:rFonts w:hint="eastAsia"/>
          <w:color w:val="auto"/>
          <w:sz w:val="24"/>
          <w:szCs w:val="24"/>
          <w:highlight w:val="none"/>
          <w:u w:val="single"/>
          <w:lang w:val="en-US" w:eastAsia="zh-CN"/>
        </w:rPr>
        <w:t xml:space="preserve">                        </w:t>
      </w:r>
    </w:p>
    <w:p w14:paraId="38D9A2FC">
      <w:pPr>
        <w:numPr>
          <w:ilvl w:val="0"/>
          <w:numId w:val="0"/>
        </w:numPr>
        <w:spacing w:line="360" w:lineRule="auto"/>
        <w:ind w:left="0" w:leftChars="0" w:firstLine="480" w:firstLineChars="200"/>
        <w:rPr>
          <w:rFonts w:hint="eastAsia"/>
          <w:color w:val="auto"/>
          <w:sz w:val="24"/>
          <w:szCs w:val="24"/>
          <w:highlight w:val="none"/>
          <w:u w:val="none"/>
          <w:lang w:val="en-US" w:eastAsia="zh-CN"/>
        </w:rPr>
      </w:pPr>
      <w:r>
        <w:rPr>
          <w:rFonts w:hint="eastAsia"/>
          <w:color w:val="auto"/>
          <w:sz w:val="24"/>
          <w:szCs w:val="24"/>
          <w:highlight w:val="none"/>
          <w:lang w:val="en-US" w:eastAsia="zh-CN"/>
        </w:rPr>
        <w:t>为保障（项目名称）</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（项目编号</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投标工作的顺利进行，我司现对投标使用的软件产品（产品名称）</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进行授权，授权投标方使用本软件产品进行投标工作，并</w:t>
      </w:r>
      <w:r>
        <w:rPr>
          <w:rFonts w:hint="eastAsia"/>
          <w:color w:val="auto"/>
          <w:sz w:val="24"/>
          <w:szCs w:val="24"/>
          <w:highlight w:val="none"/>
          <w:lang w:val="en-US" w:eastAsia="zh-CN"/>
        </w:rPr>
        <w:t>做出以下承诺</w:t>
      </w:r>
      <w:r>
        <w:rPr>
          <w:rFonts w:hint="default"/>
          <w:color w:val="auto"/>
          <w:sz w:val="24"/>
          <w:szCs w:val="24"/>
          <w:highlight w:val="none"/>
          <w:u w:val="none"/>
          <w:lang w:val="en-US" w:eastAsia="zh-CN"/>
        </w:rPr>
        <w:t>:</w:t>
      </w:r>
    </w:p>
    <w:p w14:paraId="2C7971BA">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本软件</w:t>
      </w:r>
      <w:r>
        <w:rPr>
          <w:rFonts w:hint="eastAsia" w:asciiTheme="minorEastAsia" w:hAnsiTheme="minorEastAsia" w:eastAsiaTheme="minorEastAsia" w:cstheme="minorEastAsia"/>
          <w:color w:val="auto"/>
          <w:sz w:val="24"/>
          <w:szCs w:val="24"/>
          <w:highlight w:val="none"/>
          <w:lang w:val="en-US" w:eastAsia="zh-CN"/>
        </w:rPr>
        <w:t>系我司自有软件产品，拥有完整的自主知识产权且无任何权属争议。</w:t>
      </w:r>
    </w:p>
    <w:p w14:paraId="63D03FDD">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软件未侵犯任何第三方知识产权（包括但不限于专利权、商标权、著作权、商业秘密等），符合国家及行业相关法律法规的规定。若因本软件知识产权问题导致采购方遭受任何索赔、诉讼或经济损失，我司将承担全部责任，并负责赔偿采购方因本软件造成的全部损失。</w:t>
      </w:r>
    </w:p>
    <w:p w14:paraId="3D5C26F3">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承诺在投标人中标项目建设周期结束之前提供全部采购软件数量的授权许可。</w:t>
      </w:r>
    </w:p>
    <w:p w14:paraId="06C1F395">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承诺为中标的项目提供任意时间软件激活后的一年质保服务。</w:t>
      </w:r>
    </w:p>
    <w:p w14:paraId="5E00D6AB">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承诺延续软件产品授权无需进行授权文件更换或连接内网或公网的激活服务器进行再次激活。</w:t>
      </w:r>
    </w:p>
    <w:p w14:paraId="37E944D6">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承诺所提供的授权软件产品是原厂原装，且是交付前最新生产并未被使用过的全新产品，同时具有在中国境内的合法使用权。</w:t>
      </w:r>
    </w:p>
    <w:p w14:paraId="09230C49">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承诺授权软件产品的</w:t>
      </w:r>
      <w:r>
        <w:rPr>
          <w:rFonts w:hint="eastAsia" w:asciiTheme="minorEastAsia" w:hAnsiTheme="minorEastAsia" w:cstheme="minorEastAsia"/>
          <w:color w:val="auto"/>
          <w:sz w:val="24"/>
          <w:szCs w:val="24"/>
          <w:highlight w:val="none"/>
          <w:lang w:val="en-US" w:eastAsia="zh-CN"/>
        </w:rPr>
        <w:t>支持</w:t>
      </w:r>
      <w:r>
        <w:rPr>
          <w:rFonts w:hint="eastAsia" w:asciiTheme="minorEastAsia" w:hAnsiTheme="minorEastAsia" w:eastAsiaTheme="minorEastAsia" w:cstheme="minorEastAsia"/>
          <w:color w:val="auto"/>
          <w:sz w:val="24"/>
          <w:szCs w:val="24"/>
          <w:highlight w:val="none"/>
          <w:lang w:val="en-US" w:eastAsia="zh-CN"/>
        </w:rPr>
        <w:t>范围包括不限于提供免费的软件安装介质、软件更新介质（包括补丁更新与版本升级）、软件使用及软件安装的技术支持和指导，提供软件安装手册等相关材料，提供软件使用日常咨询响应和软件产品的使用培训等支撑内容。</w:t>
      </w:r>
    </w:p>
    <w:p w14:paraId="2B082A4A">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承诺授权的软件产品对应的技术支持人员及所有售后支持工作均由本司负责协调。</w:t>
      </w:r>
    </w:p>
    <w:p w14:paraId="55AFDC7D">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承诺若投标人中标，我司授权的软件产品在出厂前均检验合格后才投入中标项目使用。</w:t>
      </w:r>
    </w:p>
    <w:p w14:paraId="0403E4BE">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承诺为授权的软件产品提供7x24小时技术支持响应，对保修期内提供全面的故障排除技术服务和故障排除全过程监控(由故障开始直至故障完全排除)，必要时提供现场支持服务。</w:t>
      </w:r>
    </w:p>
    <w:p w14:paraId="272306CA">
      <w:pPr>
        <w:numPr>
          <w:ilvl w:val="0"/>
          <w:numId w:val="14"/>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承诺在授权软件产品质保期内，授权的软件产品因质量问题而引起的故障，本司免费予以维修，保证授权软件产品及时恢复正常。</w:t>
      </w:r>
    </w:p>
    <w:p w14:paraId="26B8DD64">
      <w:pPr>
        <w:ind w:left="0" w:leftChars="0"/>
        <w:jc w:val="right"/>
        <w:rPr>
          <w:rFonts w:hint="eastAsia" w:asciiTheme="minorEastAsia" w:hAnsiTheme="minorEastAsia" w:eastAsiaTheme="minorEastAsia" w:cstheme="minorEastAsia"/>
          <w:b/>
          <w:color w:val="auto"/>
          <w:sz w:val="24"/>
          <w:szCs w:val="24"/>
          <w:highlight w:val="none"/>
        </w:rPr>
      </w:pPr>
    </w:p>
    <w:p w14:paraId="5A5DEF7C">
      <w:pPr>
        <w:ind w:left="0" w:leftChars="0"/>
        <w:jc w:val="right"/>
        <w:rPr>
          <w:rFonts w:hint="eastAsia" w:asciiTheme="minorEastAsia" w:hAnsiTheme="minorEastAsia" w:eastAsiaTheme="minorEastAsia" w:cstheme="minorEastAsia"/>
          <w:b/>
          <w:color w:val="auto"/>
          <w:sz w:val="24"/>
          <w:szCs w:val="24"/>
          <w:highlight w:val="none"/>
        </w:rPr>
      </w:pPr>
    </w:p>
    <w:p w14:paraId="04109F1A">
      <w:pPr>
        <w:ind w:left="0" w:leftChars="0" w:right="840"/>
        <w:jc w:val="center"/>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产品制造商名称（公章）</w:t>
      </w:r>
      <w:r>
        <w:rPr>
          <w:rFonts w:hint="default" w:asciiTheme="minorEastAsia" w:hAnsiTheme="minorEastAsia" w:eastAsiaTheme="minorEastAsia" w:cstheme="minorEastAsia"/>
          <w:color w:val="auto"/>
          <w:sz w:val="24"/>
          <w:szCs w:val="24"/>
          <w:highlight w:val="none"/>
          <w:lang w:val="en-US"/>
        </w:rPr>
        <w:t>:</w:t>
      </w:r>
    </w:p>
    <w:p w14:paraId="6746E551">
      <w:pPr>
        <w:ind w:left="0" w:leftChars="0" w:right="840" w:firstLine="5280" w:firstLineChars="2200"/>
        <w:jc w:val="both"/>
        <w:rPr>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eastAsia="zh-CN"/>
        </w:rPr>
        <w:t>：</w:t>
      </w:r>
    </w:p>
    <w:sectPr>
      <w:footerReference r:id="rId11" w:type="first"/>
      <w:pgSz w:w="11906" w:h="16838"/>
      <w:pgMar w:top="1134" w:right="1797" w:bottom="1135" w:left="1797" w:header="340" w:footer="7" w:gutter="0"/>
      <w:pgBorders>
        <w:top w:val="none" w:sz="0" w:space="0"/>
        <w:left w:val="none" w:sz="0" w:space="0"/>
        <w:bottom w:val="none" w:sz="0" w:space="0"/>
        <w:right w:val="none" w:sz="0" w:space="0"/>
      </w:pgBorders>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CC"/>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time">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宋体-简">
    <w:altName w:val="方正书宋_GBK"/>
    <w:panose1 w:val="02010800040101010101"/>
    <w:charset w:val="86"/>
    <w:family w:val="auto"/>
    <w:pitch w:val="default"/>
    <w:sig w:usb0="00000000" w:usb1="00000000" w:usb2="00000000" w:usb3="00000000" w:csb0="00040000" w:csb1="00000000"/>
  </w:font>
  <w:font w:name="PingFang SC">
    <w:altName w:val="思源黑体"/>
    <w:panose1 w:val="020B0400000000000000"/>
    <w:charset w:val="86"/>
    <w:family w:val="auto"/>
    <w:pitch w:val="default"/>
    <w:sig w:usb0="00000000" w:usb1="00000000" w:usb2="00000017" w:usb3="00000000" w:csb0="00040001" w:csb1="00000000"/>
  </w:font>
  <w:font w:name="思源黑体">
    <w:panose1 w:val="020B0500000000000000"/>
    <w:charset w:val="86"/>
    <w:family w:val="auto"/>
    <w:pitch w:val="default"/>
    <w:sig w:usb0="3000008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25035">
    <w:pPr>
      <w:ind w:firstLine="0" w:firstLineChars="0"/>
      <w:jc w:val="center"/>
      <w:rPr>
        <w:rFonts w:hint="eastAsia"/>
      </w:rPr>
    </w:pPr>
    <w:r>
      <w:fldChar w:fldCharType="begin"/>
    </w:r>
    <w:r>
      <w:instrText xml:space="preserve">PAGE   \* MERGEFORMAT</w:instrText>
    </w:r>
    <w:r>
      <w:fldChar w:fldCharType="separate"/>
    </w:r>
    <w:r>
      <w:rPr>
        <w:lang w:val="zh-CN"/>
      </w:rPr>
      <w:t>16</w:t>
    </w:r>
    <w:r>
      <w:rPr>
        <w:lang w:val="zh-CN"/>
      </w:rPr>
      <w:fldChar w:fldCharType="end"/>
    </w:r>
  </w:p>
  <w:p w14:paraId="44DBF7B7">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86438">
    <w:pPr>
      <w:rPr>
        <w:rFonts w:hint="eastAsia"/>
      </w:rPr>
    </w:pPr>
  </w:p>
  <w:p w14:paraId="5BF96C31">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A343F">
    <w:pPr>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A898">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3DF99700">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6605">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99B9">
    <w:pPr>
      <w:rPr>
        <w:rFonts w:hint="eastAsia"/>
      </w:rPr>
    </w:pPr>
  </w:p>
  <w:p w14:paraId="6CDF3B86">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4CF4">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BFBE9F8B"/>
    <w:multiLevelType w:val="singleLevel"/>
    <w:tmpl w:val="BFBE9F8B"/>
    <w:lvl w:ilvl="0" w:tentative="0">
      <w:start w:val="1"/>
      <w:numFmt w:val="decimal"/>
      <w:lvlText w:val="%1."/>
      <w:lvlJc w:val="left"/>
      <w:pPr>
        <w:ind w:left="425" w:hanging="425"/>
      </w:pPr>
      <w:rPr>
        <w:rFonts w:hint="default"/>
      </w:rPr>
    </w:lvl>
  </w:abstractNum>
  <w:abstractNum w:abstractNumId="2">
    <w:nsid w:val="DDFFA0CF"/>
    <w:multiLevelType w:val="singleLevel"/>
    <w:tmpl w:val="DDFFA0CF"/>
    <w:lvl w:ilvl="0" w:tentative="0">
      <w:start w:val="1"/>
      <w:numFmt w:val="decimal"/>
      <w:suff w:val="nothing"/>
      <w:lvlText w:val="%1、"/>
      <w:lvlJc w:val="left"/>
    </w:lvl>
  </w:abstractNum>
  <w:abstractNum w:abstractNumId="3">
    <w:nsid w:val="DE7FD1D5"/>
    <w:multiLevelType w:val="singleLevel"/>
    <w:tmpl w:val="DE7FD1D5"/>
    <w:lvl w:ilvl="0" w:tentative="0">
      <w:start w:val="1"/>
      <w:numFmt w:val="decimal"/>
      <w:lvlText w:val="%1."/>
      <w:lvlJc w:val="left"/>
      <w:pPr>
        <w:ind w:left="425" w:hanging="425"/>
      </w:pPr>
      <w:rPr>
        <w:rFonts w:hint="default"/>
      </w:rPr>
    </w:lvl>
  </w:abstractNum>
  <w:abstractNum w:abstractNumId="4">
    <w:nsid w:val="FDAB7C11"/>
    <w:multiLevelType w:val="singleLevel"/>
    <w:tmpl w:val="FDAB7C11"/>
    <w:lvl w:ilvl="0" w:tentative="0">
      <w:start w:val="1"/>
      <w:numFmt w:val="decimal"/>
      <w:lvlText w:val="%1."/>
      <w:lvlJc w:val="left"/>
      <w:pPr>
        <w:ind w:left="425" w:hanging="425"/>
      </w:pPr>
      <w:rPr>
        <w:rFonts w:hint="default"/>
      </w:rPr>
    </w:lvl>
  </w:abstractNum>
  <w:abstractNum w:abstractNumId="5">
    <w:nsid w:val="FEFCE525"/>
    <w:multiLevelType w:val="singleLevel"/>
    <w:tmpl w:val="FEFCE525"/>
    <w:lvl w:ilvl="0" w:tentative="0">
      <w:start w:val="1"/>
      <w:numFmt w:val="decimal"/>
      <w:lvlText w:val="%1."/>
      <w:lvlJc w:val="left"/>
      <w:pPr>
        <w:ind w:left="425" w:hanging="425"/>
      </w:pPr>
      <w:rPr>
        <w:rFonts w:hint="default"/>
      </w:rPr>
    </w:lvl>
  </w:abstractNum>
  <w:abstractNum w:abstractNumId="6">
    <w:nsid w:val="FEFFBC9F"/>
    <w:multiLevelType w:val="singleLevel"/>
    <w:tmpl w:val="FEFFBC9F"/>
    <w:lvl w:ilvl="0" w:tentative="0">
      <w:start w:val="3"/>
      <w:numFmt w:val="chineseCounting"/>
      <w:suff w:val="nothing"/>
      <w:lvlText w:val="%1、"/>
      <w:lvlJc w:val="left"/>
      <w:rPr>
        <w:rFonts w:hint="eastAsia"/>
      </w:rPr>
    </w:lvl>
  </w:abstractNum>
  <w:abstractNum w:abstractNumId="7">
    <w:nsid w:val="FFFC024F"/>
    <w:multiLevelType w:val="singleLevel"/>
    <w:tmpl w:val="FFFC024F"/>
    <w:lvl w:ilvl="0" w:tentative="0">
      <w:start w:val="1"/>
      <w:numFmt w:val="decimal"/>
      <w:lvlText w:val="(%1)"/>
      <w:lvlJc w:val="left"/>
      <w:pPr>
        <w:tabs>
          <w:tab w:val="left" w:pos="420"/>
        </w:tabs>
        <w:ind w:left="845" w:hanging="425"/>
      </w:pPr>
      <w:rPr>
        <w:rFonts w:hint="default"/>
      </w:rPr>
    </w:lvl>
  </w:abstractNum>
  <w:abstractNum w:abstractNumId="8">
    <w:nsid w:val="23FC1F98"/>
    <w:multiLevelType w:val="singleLevel"/>
    <w:tmpl w:val="23FC1F98"/>
    <w:lvl w:ilvl="0" w:tentative="0">
      <w:start w:val="1"/>
      <w:numFmt w:val="decimal"/>
      <w:lvlText w:val="%1."/>
      <w:lvlJc w:val="left"/>
      <w:pPr>
        <w:tabs>
          <w:tab w:val="left" w:pos="312"/>
        </w:tabs>
      </w:pPr>
    </w:lvl>
  </w:abstractNum>
  <w:abstractNum w:abstractNumId="9">
    <w:nsid w:val="3FDF9036"/>
    <w:multiLevelType w:val="singleLevel"/>
    <w:tmpl w:val="3FDF9036"/>
    <w:lvl w:ilvl="0" w:tentative="0">
      <w:start w:val="1"/>
      <w:numFmt w:val="decimal"/>
      <w:suff w:val="nothing"/>
      <w:lvlText w:val="%1、"/>
      <w:lvlJc w:val="left"/>
    </w:lvl>
  </w:abstractNum>
  <w:abstractNum w:abstractNumId="10">
    <w:nsid w:val="5BCEE3D0"/>
    <w:multiLevelType w:val="singleLevel"/>
    <w:tmpl w:val="5BCEE3D0"/>
    <w:lvl w:ilvl="0" w:tentative="0">
      <w:start w:val="1"/>
      <w:numFmt w:val="decimal"/>
      <w:lvlText w:val="%1."/>
      <w:lvlJc w:val="left"/>
      <w:pPr>
        <w:ind w:left="425" w:hanging="425"/>
      </w:pPr>
      <w:rPr>
        <w:rFonts w:hint="default"/>
      </w:rPr>
    </w:lvl>
  </w:abstractNum>
  <w:abstractNum w:abstractNumId="11">
    <w:nsid w:val="5F46BA80"/>
    <w:multiLevelType w:val="singleLevel"/>
    <w:tmpl w:val="5F46BA80"/>
    <w:lvl w:ilvl="0" w:tentative="0">
      <w:start w:val="1"/>
      <w:numFmt w:val="decimal"/>
      <w:lvlText w:val="%1."/>
      <w:lvlJc w:val="left"/>
      <w:pPr>
        <w:tabs>
          <w:tab w:val="left" w:pos="-840"/>
        </w:tabs>
        <w:ind w:left="-415" w:hanging="425"/>
      </w:pPr>
      <w:rPr>
        <w:rFonts w:hint="default"/>
      </w:rPr>
    </w:lvl>
  </w:abstractNum>
  <w:abstractNum w:abstractNumId="12">
    <w:nsid w:val="6A2F4AB3"/>
    <w:multiLevelType w:val="multilevel"/>
    <w:tmpl w:val="6A2F4AB3"/>
    <w:lvl w:ilvl="0" w:tentative="0">
      <w:start w:val="1"/>
      <w:numFmt w:val="chineseCountingThousand"/>
      <w:pStyle w:val="2"/>
      <w:suff w:val="nothing"/>
      <w:lvlText w:val="%1、"/>
      <w:lvlJc w:val="left"/>
      <w:pPr>
        <w:ind w:left="0" w:hanging="425"/>
      </w:pPr>
      <w:rPr>
        <w:rFonts w:hint="eastAsia"/>
        <w:sz w:val="32"/>
        <w:szCs w:val="32"/>
      </w:rPr>
    </w:lvl>
    <w:lvl w:ilvl="1" w:tentative="0">
      <w:start w:val="1"/>
      <w:numFmt w:val="decimal"/>
      <w:pStyle w:val="3"/>
      <w:isLgl/>
      <w:suff w:val="nothing"/>
      <w:lvlText w:val="%1.%2、"/>
      <w:lvlJc w:val="left"/>
      <w:pPr>
        <w:ind w:left="0" w:hanging="567"/>
      </w:pPr>
    </w:lvl>
    <w:lvl w:ilvl="2" w:tentative="0">
      <w:start w:val="1"/>
      <w:numFmt w:val="decimal"/>
      <w:pStyle w:val="4"/>
      <w:isLgl/>
      <w:suff w:val="nothing"/>
      <w:lvlText w:val="%1.%2.%3、"/>
      <w:lvlJc w:val="left"/>
      <w:pPr>
        <w:ind w:left="0"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3">
    <w:nsid w:val="6CFA889F"/>
    <w:multiLevelType w:val="singleLevel"/>
    <w:tmpl w:val="6CFA889F"/>
    <w:lvl w:ilvl="0" w:tentative="0">
      <w:start w:val="1"/>
      <w:numFmt w:val="decimal"/>
      <w:suff w:val="nothing"/>
      <w:lvlText w:val="%1、"/>
      <w:lvlJc w:val="left"/>
    </w:lvl>
  </w:abstractNum>
  <w:num w:numId="1">
    <w:abstractNumId w:val="12"/>
  </w:num>
  <w:num w:numId="2">
    <w:abstractNumId w:val="13"/>
  </w:num>
  <w:num w:numId="3">
    <w:abstractNumId w:val="8"/>
  </w:num>
  <w:num w:numId="4">
    <w:abstractNumId w:val="2"/>
  </w:num>
  <w:num w:numId="5">
    <w:abstractNumId w:val="9"/>
  </w:num>
  <w:num w:numId="6">
    <w:abstractNumId w:val="0"/>
  </w:num>
  <w:num w:numId="7">
    <w:abstractNumId w:val="10"/>
  </w:num>
  <w:num w:numId="8">
    <w:abstractNumId w:val="5"/>
  </w:num>
  <w:num w:numId="9">
    <w:abstractNumId w:val="6"/>
  </w:num>
  <w:num w:numId="10">
    <w:abstractNumId w:val="11"/>
  </w:num>
  <w:num w:numId="11">
    <w:abstractNumId w:val="7"/>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E98664"/>
    <w:rsid w:val="28E69721"/>
    <w:rsid w:val="28FDC53D"/>
    <w:rsid w:val="2CB17182"/>
    <w:rsid w:val="37FFD446"/>
    <w:rsid w:val="3BB78631"/>
    <w:rsid w:val="3C791EC9"/>
    <w:rsid w:val="3CE706DB"/>
    <w:rsid w:val="3FCD1253"/>
    <w:rsid w:val="4FD9BEF3"/>
    <w:rsid w:val="54B7B5A0"/>
    <w:rsid w:val="55920F62"/>
    <w:rsid w:val="55FD0147"/>
    <w:rsid w:val="5B371E63"/>
    <w:rsid w:val="5B6FEF34"/>
    <w:rsid w:val="5FF39FE0"/>
    <w:rsid w:val="73BFA175"/>
    <w:rsid w:val="777FB51F"/>
    <w:rsid w:val="7BFBA5DB"/>
    <w:rsid w:val="7BFF0818"/>
    <w:rsid w:val="7C6BC389"/>
    <w:rsid w:val="7DFE8761"/>
    <w:rsid w:val="7E57FB8E"/>
    <w:rsid w:val="7E6FAB15"/>
    <w:rsid w:val="7EB6D26A"/>
    <w:rsid w:val="7EBF4DE8"/>
    <w:rsid w:val="7EDD7460"/>
    <w:rsid w:val="7EEF5904"/>
    <w:rsid w:val="7FD6C000"/>
    <w:rsid w:val="7FD713AB"/>
    <w:rsid w:val="7FF12620"/>
    <w:rsid w:val="7FFB65B1"/>
    <w:rsid w:val="853EB093"/>
    <w:rsid w:val="8E672670"/>
    <w:rsid w:val="9F7F7C68"/>
    <w:rsid w:val="AFFF81D8"/>
    <w:rsid w:val="B8FE8C91"/>
    <w:rsid w:val="BE7D96DC"/>
    <w:rsid w:val="CDDF2065"/>
    <w:rsid w:val="DBFE9F8C"/>
    <w:rsid w:val="DEFBB975"/>
    <w:rsid w:val="DF5D0E2C"/>
    <w:rsid w:val="DFF70C88"/>
    <w:rsid w:val="E3761696"/>
    <w:rsid w:val="EB935663"/>
    <w:rsid w:val="EFF7D2E9"/>
    <w:rsid w:val="F3BBECCE"/>
    <w:rsid w:val="F7770C65"/>
    <w:rsid w:val="F7779C52"/>
    <w:rsid w:val="F78FC4D5"/>
    <w:rsid w:val="F9EB5729"/>
    <w:rsid w:val="F9EB8BBC"/>
    <w:rsid w:val="FAD9E853"/>
    <w:rsid w:val="FB9D06CD"/>
    <w:rsid w:val="FBDE0E2C"/>
    <w:rsid w:val="FBEFE3F1"/>
    <w:rsid w:val="FBFD1A60"/>
    <w:rsid w:val="FC72825E"/>
    <w:rsid w:val="FDBDEA27"/>
    <w:rsid w:val="FE47701D"/>
    <w:rsid w:val="FEDD57A4"/>
    <w:rsid w:val="FEFA0B6A"/>
    <w:rsid w:val="FEFDE1CF"/>
    <w:rsid w:val="FF7ECA89"/>
    <w:rsid w:val="FF7F737A"/>
    <w:rsid w:val="FFCDE4AE"/>
    <w:rsid w:val="FFFF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qFormat/>
    <w:uiPriority w:val="0"/>
    <w:pPr>
      <w:keepNext/>
      <w:keepLines/>
      <w:numPr>
        <w:ilvl w:val="2"/>
        <w:numId w:val="1"/>
      </w:numPr>
      <w:spacing w:before="120" w:after="120"/>
      <w:ind w:firstLine="0" w:firstLineChars="0"/>
      <w:outlineLvl w:val="2"/>
    </w:pPr>
    <w:rPr>
      <w:b/>
      <w:bCs/>
      <w:sz w:val="28"/>
      <w:szCs w:val="28"/>
    </w:rPr>
  </w:style>
  <w:style w:type="paragraph" w:styleId="5">
    <w:name w:val="heading 4"/>
    <w:basedOn w:val="1"/>
    <w:next w:val="1"/>
    <w:qFormat/>
    <w:uiPriority w:val="0"/>
    <w:pPr>
      <w:keepNext/>
      <w:keepLines/>
      <w:numPr>
        <w:ilvl w:val="3"/>
        <w:numId w:val="1"/>
      </w:numPr>
      <w:spacing w:before="120" w:after="120"/>
      <w:ind w:left="851" w:firstLine="0" w:firstLineChars="0"/>
      <w:outlineLvl w:val="3"/>
    </w:pPr>
    <w:rPr>
      <w:b/>
      <w:bCs/>
      <w:sz w:val="30"/>
      <w:szCs w:val="30"/>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qFormat/>
    <w:uiPriority w:val="99"/>
    <w:pPr>
      <w:jc w:val="left"/>
    </w:pPr>
    <w:rPr>
      <w:rFonts w:ascii="Times New Roman" w:hAnsi="Times New Roman" w:eastAsia="仿宋"/>
      <w:sz w:val="28"/>
    </w:rPr>
  </w:style>
  <w:style w:type="paragraph" w:styleId="7">
    <w:name w:val="footer"/>
    <w:basedOn w:val="1"/>
    <w:unhideWhenUsed/>
    <w:qFormat/>
    <w:uiPriority w:val="0"/>
    <w:pPr>
      <w:spacing w:before="200" w:beforeLines="0" w:after="200" w:afterLines="0"/>
      <w:jc w:val="center"/>
    </w:pPr>
    <w:rPr>
      <w:rFonts w:hint="default" w:cs="Times New Roman"/>
      <w:b/>
      <w:sz w:val="22"/>
      <w:szCs w:val="22"/>
    </w:rPr>
  </w:style>
  <w:style w:type="paragraph" w:styleId="8">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9">
    <w:name w:val="Normal (Web)"/>
    <w:basedOn w:val="1"/>
    <w:qFormat/>
    <w:uiPriority w:val="99"/>
    <w:pPr>
      <w:widowControl/>
      <w:spacing w:before="100" w:after="100"/>
      <w:jc w:val="left"/>
    </w:pPr>
    <w:rPr>
      <w:rFonts w:hint="eastAsia" w:ascii="Arial Unicode MS" w:hAnsi="Arial Unicode MS" w:eastAsia="Arial Unicode MS"/>
      <w:kern w:val="0"/>
    </w:rPr>
  </w:style>
  <w:style w:type="paragraph" w:customStyle="1" w:styleId="12">
    <w:name w:val="样式2"/>
    <w:basedOn w:val="1"/>
    <w:autoRedefine/>
    <w:qFormat/>
    <w:uiPriority w:val="0"/>
    <w:pPr>
      <w:widowControl/>
      <w:adjustRightInd w:val="0"/>
    </w:pPr>
    <w:rPr>
      <w:kern w:val="0"/>
      <w:lang w:eastAsia="en-US"/>
    </w:rPr>
  </w:style>
  <w:style w:type="paragraph" w:customStyle="1" w:styleId="13">
    <w:name w:val="可研正文"/>
    <w:basedOn w:val="1"/>
    <w:autoRedefine/>
    <w:qFormat/>
    <w:uiPriority w:val="0"/>
    <w:pPr>
      <w:ind w:firstLine="200"/>
    </w:pPr>
    <w:rPr>
      <w:rFonts w:ascii="仿宋" w:hAnsi="仿宋"/>
      <w:szCs w:val="28"/>
    </w:rPr>
  </w:style>
  <w:style w:type="paragraph" w:customStyle="1" w:styleId="14">
    <w:name w:val="*正文"/>
    <w:basedOn w:val="1"/>
    <w:qFormat/>
    <w:uiPriority w:val="0"/>
    <w:pPr>
      <w:widowControl/>
      <w:ind w:firstLine="200"/>
      <w:contextualSpacing/>
    </w:pPr>
    <w:rPr>
      <w:rFonts w:ascii="time" w:hAnsi="time"/>
      <w:kern w:val="0"/>
      <w:lang w:bidi="en-US"/>
    </w:rPr>
  </w:style>
  <w:style w:type="paragraph" w:customStyle="1" w:styleId="15">
    <w:name w:val="正文缩进1"/>
    <w:basedOn w:val="1"/>
    <w:qFormat/>
    <w:uiPriority w:val="0"/>
    <w:pPr>
      <w:spacing w:line="240" w:lineRule="auto"/>
      <w:ind w:firstLine="420"/>
    </w:pPr>
    <w:rPr>
      <w:rFonts w:ascii="Times New Roman" w:hAnsi="Times New Roman"/>
      <w:sz w:val="21"/>
      <w:szCs w:val="20"/>
    </w:rPr>
  </w:style>
  <w:style w:type="paragraph" w:customStyle="1" w:styleId="16">
    <w:name w:val="正文正文2"/>
    <w:basedOn w:val="1"/>
    <w:qFormat/>
    <w:uiPriority w:val="0"/>
    <w:pPr>
      <w:ind w:firstLine="460"/>
    </w:pPr>
    <w:rPr>
      <w:sz w:val="21"/>
      <w:szCs w:val="21"/>
    </w:rPr>
  </w:style>
  <w:style w:type="paragraph" w:customStyle="1" w:styleId="17">
    <w:name w:val="列出段落1"/>
    <w:basedOn w:val="1"/>
    <w:autoRedefine/>
    <w:qFormat/>
    <w:uiPriority w:val="34"/>
    <w:pPr>
      <w:spacing w:line="240" w:lineRule="auto"/>
      <w:ind w:firstLine="420"/>
    </w:pPr>
    <w:rPr>
      <w:rFonts w:ascii="Calibri" w:hAnsi="Calibri"/>
      <w:sz w:val="21"/>
      <w:szCs w:val="22"/>
    </w:rPr>
  </w:style>
  <w:style w:type="character" w:customStyle="1" w:styleId="18">
    <w:name w:val="font31"/>
    <w:basedOn w:val="11"/>
    <w:qFormat/>
    <w:uiPriority w:val="0"/>
    <w:rPr>
      <w:rFonts w:hint="eastAsia" w:ascii="宋体-简" w:hAnsi="宋体-简" w:eastAsia="宋体-简" w:cs="宋体-简"/>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1</Lines>
  <Paragraphs>1</Paragraphs>
  <TotalTime>213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2025-03-09T12:10:00Z</dcterms:created>
  <dc:creator>Rikki</dc:creator>
  <cp:lastModifiedBy>郭田恬</cp:lastModifiedBy>
  <dcterms:modified xsi:type="dcterms:W3CDTF">2025-04-08T13:44:50Z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5A581F124E01BD6DFACCE367FF182D9B_43</vt:lpwstr>
  </property>
</Properties>
</file>