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8"/>
          <w:szCs w:val="48"/>
        </w:rPr>
      </w:pPr>
    </w:p>
    <w:p>
      <w:pPr>
        <w:ind w:firstLine="0" w:firstLineChars="0"/>
        <w:jc w:val="center"/>
        <w:rPr>
          <w:rFonts w:ascii="黑体" w:hAnsi="黑体" w:eastAsia="黑体"/>
          <w:sz w:val="48"/>
          <w:szCs w:val="48"/>
        </w:rPr>
      </w:pPr>
    </w:p>
    <w:p>
      <w:pPr>
        <w:ind w:firstLine="0" w:firstLineChars="0"/>
        <w:jc w:val="center"/>
        <w:rPr>
          <w:rFonts w:ascii="黑体" w:hAnsi="黑体" w:eastAsia="黑体"/>
          <w:sz w:val="52"/>
          <w:szCs w:val="52"/>
        </w:rPr>
      </w:pPr>
      <w:r>
        <w:rPr>
          <w:rFonts w:hint="eastAsia" w:ascii="黑体" w:hAnsi="黑体" w:eastAsia="黑体"/>
          <w:sz w:val="52"/>
          <w:szCs w:val="52"/>
        </w:rPr>
        <w:t>城管执法综合管理平台</w:t>
      </w:r>
    </w:p>
    <w:p>
      <w:pPr>
        <w:ind w:firstLine="0" w:firstLineChars="0"/>
        <w:jc w:val="center"/>
        <w:rPr>
          <w:rFonts w:ascii="黑体" w:hAnsi="黑体" w:eastAsia="黑体"/>
          <w:sz w:val="52"/>
          <w:szCs w:val="52"/>
        </w:rPr>
      </w:pPr>
      <w:r>
        <w:rPr>
          <w:rFonts w:hint="eastAsia" w:ascii="黑体" w:hAnsi="黑体" w:eastAsia="黑体"/>
          <w:sz w:val="52"/>
          <w:szCs w:val="52"/>
        </w:rPr>
        <w:t>（2025年升级改造）</w:t>
      </w:r>
    </w:p>
    <w:p>
      <w:pPr>
        <w:ind w:firstLine="0" w:firstLineChars="0"/>
        <w:jc w:val="center"/>
        <w:rPr>
          <w:rFonts w:ascii="黑体" w:hAnsi="黑体" w:eastAsia="黑体"/>
          <w:sz w:val="52"/>
          <w:szCs w:val="52"/>
        </w:rPr>
      </w:pPr>
      <w:r>
        <w:rPr>
          <w:rFonts w:hint="eastAsia" w:ascii="黑体" w:hAnsi="黑体" w:eastAsia="黑体"/>
          <w:sz w:val="52"/>
          <w:szCs w:val="52"/>
        </w:rPr>
        <w:t>采购需求</w:t>
      </w:r>
    </w:p>
    <w:p>
      <w:pPr>
        <w:ind w:firstLine="0" w:firstLineChars="0"/>
        <w:jc w:val="center"/>
        <w:rPr>
          <w:rFonts w:ascii="黑体" w:hAnsi="黑体" w:eastAsia="黑体"/>
          <w:sz w:val="72"/>
          <w:szCs w:val="72"/>
        </w:rPr>
      </w:pPr>
    </w:p>
    <w:p>
      <w:pPr>
        <w:ind w:firstLine="0" w:firstLineChars="0"/>
        <w:jc w:val="center"/>
        <w:rPr>
          <w:rFonts w:ascii="黑体" w:hAnsi="黑体" w:eastAsia="黑体"/>
          <w:sz w:val="48"/>
          <w:szCs w:val="48"/>
        </w:rPr>
      </w:pPr>
    </w:p>
    <w:p>
      <w:pPr>
        <w:ind w:firstLine="0" w:firstLineChars="0"/>
        <w:jc w:val="center"/>
        <w:rPr>
          <w:rFonts w:ascii="黑体" w:hAnsi="黑体" w:eastAsia="黑体"/>
          <w:sz w:val="52"/>
          <w:szCs w:val="52"/>
        </w:rPr>
      </w:pPr>
    </w:p>
    <w:p>
      <w:pPr>
        <w:ind w:firstLine="1040"/>
        <w:rPr>
          <w:rFonts w:ascii="黑体" w:hAnsi="黑体" w:eastAsia="黑体"/>
          <w:sz w:val="52"/>
          <w:szCs w:val="52"/>
        </w:rPr>
      </w:pPr>
    </w:p>
    <w:p/>
    <w:p/>
    <w:p/>
    <w:p/>
    <w:p/>
    <w:p>
      <w:pPr>
        <w:ind w:firstLine="1040"/>
        <w:rPr>
          <w:rFonts w:ascii="黑体" w:hAnsi="黑体" w:eastAsia="黑体"/>
          <w:sz w:val="52"/>
          <w:szCs w:val="52"/>
        </w:rPr>
      </w:pPr>
    </w:p>
    <w:p>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pPr>
      <w:bookmarkStart w:id="0" w:name="_Toc63785461"/>
      <w:r>
        <w:rPr>
          <w:rFonts w:hint="eastAsia"/>
        </w:rPr>
        <w:t>项目概况</w:t>
      </w:r>
      <w:bookmarkEnd w:id="0"/>
    </w:p>
    <w:p>
      <w:pPr>
        <w:spacing w:line="560" w:lineRule="exact"/>
      </w:pPr>
      <w:r>
        <w:rPr>
          <w:rFonts w:hint="eastAsia"/>
        </w:rPr>
        <w:t>项目背景：</w:t>
      </w:r>
    </w:p>
    <w:p>
      <w:r>
        <w:rPr>
          <w:rFonts w:hint="eastAsia"/>
        </w:rPr>
        <w:t>坚持以习近平新时代中国特色社会主义思想为指导，全面贯彻落实党的二十大精神,深入贯彻习近平总书记关于数字中国建设重要指示，加快落实市委、市政府关于全面数字化转型的战略部署,坚持“大平台、大数据、大系统”思维,综合运用新技术、新理念、新模式，加强数字政府建设,提升机关运行效能,形成 统一的政府办公基础平台和服务能力，支撑治理数字化转型及创新应用拓展。</w:t>
      </w:r>
    </w:p>
    <w:p>
      <w:r>
        <w:rPr>
          <w:rFonts w:hint="eastAsia" w:ascii="仿宋" w:hAnsi="仿宋" w:cs="仿宋GB2312"/>
        </w:rPr>
        <w:t>自2016年上海市城市管理执法局单独设置，就非常重视单位的数字化建设，先后建设了执法办案、电子政务、指挥平台等数字化系统，经过八、九年的建设和应用，系统已经具有初具规模，为满足集约化数字化的需求，将已有的城管执法电子政务平台（含公务员绩效考核）、城管执法队伍管理系统、执法人员服装管理系统、执法人员教育培训系统和即将开发的城管执法内控系统和门户网站等涉及城管系统综合管理的各个功能整合为城管执法综合管理系统。</w:t>
      </w:r>
    </w:p>
    <w:p>
      <w:r>
        <w:rPr>
          <w:rFonts w:hint="eastAsia"/>
        </w:rPr>
        <w:t>从城管执法全系统内部管理上看，健全内部控制体系，强化内部流程控制。单位应当按照内部控制要求，在单位主要负责人直接领导下，建立适合本单位实际情况的内部控制体系，全面梳理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w:t>
      </w:r>
    </w:p>
    <w:p>
      <w:r>
        <w:rPr>
          <w:rFonts w:hint="eastAsia"/>
        </w:rPr>
        <w:t>财政部关于全面推进行政事业单位内部控制建设的指导意见指出：内部控制是保障组织权力规范有序、科学高效运行的有效手段，也是组织目标实现的长效保障机制。自《行政事业单位内部控制规范（试行）》（财会〔2012〕21号，以下简称《单位内控规范》）发布实施以来，各行政事业单位积极推进内部控制建设，取得了初步成效。但也存在部分单位重视不够、制度建设不健全、发展水平不平衡等问题。</w:t>
      </w:r>
    </w:p>
    <w:p>
      <w:r>
        <w:rPr>
          <w:rFonts w:hint="eastAsia"/>
        </w:rPr>
        <w:t>市城管执法局已建立内部控制机制，为促进城管执法内部控制的数字化转型，以匹配上海市数字化转型的发展水平，决定在协同办公大系统中建设城管执法内控子系统。</w:t>
      </w:r>
    </w:p>
    <w:p>
      <w:r>
        <w:rPr>
          <w:rFonts w:hint="eastAsia"/>
        </w:rPr>
        <w:t>上海市“一网协同”办公平台建设工作方案 (征求意见稿)指出：“一网协同”办公平台是提高政府办公效率、转变政府职能、提升行政效能的重要抓手，是深入推进“两张网”建设、助力城市数字化转型的重要支撑，是贯彻网络强国、数字中国重要思想的迫切需要。根据《国务院关于加强数字政府建设的指导意见》以及市委、市政府《关于全面推进上海城市数字化转型的意见》《治 理数字化转型实现高效能治理行动方案》等文件精神，加快打 造上海市“一网协同”办公平台。</w:t>
      </w:r>
    </w:p>
    <w:p>
      <w:r>
        <w:rPr>
          <w:rFonts w:hint="eastAsia"/>
        </w:rPr>
        <w:t>随着社会经济发展，上海市城市管理行政执法局政务处理增加了新的要求和内容，例如在原有文书档案的基础上要求增加财务档案、音视频档案、实物档案的处理。</w:t>
      </w:r>
    </w:p>
    <w:p>
      <w:pPr>
        <w:snapToGrid w:val="0"/>
        <w:ind w:firstLine="482"/>
        <w:rPr>
          <w:rFonts w:ascii="仿宋" w:hAnsi="仿宋" w:cs="仿宋GB2312"/>
        </w:rPr>
      </w:pPr>
      <w:r>
        <w:rPr>
          <w:rFonts w:hint="eastAsia" w:ascii="仿宋" w:hAnsi="仿宋" w:cs="仿宋GB2312"/>
          <w:b/>
        </w:rPr>
        <w:t>执法体制改革持续深化，城管行政执法力量下沉至街道乡镇。</w:t>
      </w:r>
      <w:r>
        <w:rPr>
          <w:rFonts w:hint="eastAsia" w:ascii="仿宋" w:hAnsi="仿宋" w:cs="仿宋GB2312"/>
        </w:rPr>
        <w:t>2019年1月31日，中共中央办公厅国务院办公厅印发了2019年第5号国务院公报，即中共中央办公厅 国务院办公厅印发关于推进基层整合审批服务执法力量的实施意见，意见中明确了积极推进基层综合行政执法改革的方向和要求，上海市市委、市政府根据此公报的要求，并结合上海的实际情况，制定了《关于完善街道乡镇管理体制整合街道乡镇管理服务资源的实施意见》，上海市城市管理行政执法人员将进一步下沉至街道、乡镇，形成综合行政执法中队，这一改革对上海市整条城市管理行政执法条线在管理方式、执法流程等方面均产生了颠覆性的变化和影响。同时，上海市城市管理行政执法局又联合上海市公务员局共同发布了《关于进一步加强本市街道乡镇综合执法队伍建设的实施意见》（沪城管联〔2021〕2号），联合上海市委机构编制委员会办公司、上海司法局共同发布了《关于进一步加强本市街道乡镇综合行政执法工作的实施意见》（沪城管联〔2021〕4号），在两个联合发文中，均对下沉之后市城管执法局、区城管执法局、街道乡镇综合执法队的定位和职责做了进一步的明确，下沉之后市局的工作重点和方向更加明确，需要加强对全市综合执法力量的业务监督指导和教育培训。</w:t>
      </w:r>
    </w:p>
    <w:p>
      <w:pPr>
        <w:snapToGrid w:val="0"/>
        <w:ind w:firstLine="482"/>
        <w:rPr>
          <w:rFonts w:ascii="仿宋" w:hAnsi="仿宋" w:cs="仿宋GB2312"/>
        </w:rPr>
      </w:pPr>
      <w:r>
        <w:rPr>
          <w:rFonts w:hint="eastAsia" w:ascii="仿宋" w:hAnsi="仿宋" w:cs="仿宋GB2312"/>
          <w:b/>
        </w:rPr>
        <w:t>城市执法精细化管理要求越来越高。</w:t>
      </w:r>
      <w:r>
        <w:rPr>
          <w:rFonts w:hint="eastAsia" w:ascii="仿宋" w:hAnsi="仿宋" w:cs="仿宋GB2312"/>
          <w:bCs/>
        </w:rPr>
        <w:t>习近平主席在上海视察时强调，一流城市要有一流治理，要注重在科学化、精细化、智能化上下功夫。既要善于运用现代科技手段实现智能化，又要通过绣花般的细心、耐心、巧心提高精细化水平，绣出城市的品质品牌。上海要继续探索，走出一条中国特色超大城市管理新路子，不断提高城市管理水平。执法力量下沉之后城管的执法事项不断扩展，执法内容更加综合。</w:t>
      </w:r>
      <w:r>
        <w:rPr>
          <w:rFonts w:hint="eastAsia" w:ascii="仿宋" w:hAnsi="仿宋" w:cs="仿宋GB2312"/>
        </w:rPr>
        <w:t>城管执法力量下沉至街道乡镇后，队员的执法范围不断扩展，增加了对执法对象的行政检查、行政强制、行政征用、行政征收等执法事项。执法内容的更加综合全面要求基层对于执法对象的各类信息要掌握全面。</w:t>
      </w:r>
    </w:p>
    <w:p>
      <w:pPr>
        <w:snapToGrid w:val="0"/>
        <w:ind w:firstLine="482"/>
        <w:rPr>
          <w:rFonts w:ascii="仿宋" w:hAnsi="仿宋" w:cs="仿宋GB2312"/>
          <w:b/>
        </w:rPr>
      </w:pPr>
      <w:r>
        <w:rPr>
          <w:rFonts w:hint="eastAsia" w:ascii="仿宋" w:hAnsi="仿宋" w:cs="仿宋GB2312"/>
          <w:b/>
        </w:rPr>
        <w:t>全社会服务优化营商环境的大局。</w:t>
      </w:r>
      <w:r>
        <w:rPr>
          <w:rFonts w:hint="eastAsia" w:ascii="仿宋" w:hAnsi="仿宋" w:cs="仿宋GB2312"/>
          <w:bCs/>
        </w:rPr>
        <w:t>近年来，我国高度重视优化营商环境工作，营商环境不断改善，但仍存在一些短板和薄弱环节。今年2月2日，李强总理主持召开国务院常务会议，研究进一步优化营商环境有关工作。会议指出，建设市场化、法治化、国际化一流营商环境，是应对经济下行压力、提振经营主体信心的重要举措。</w:t>
      </w:r>
    </w:p>
    <w:p>
      <w:pPr>
        <w:snapToGrid w:val="0"/>
        <w:ind w:firstLine="482"/>
        <w:rPr>
          <w:rFonts w:ascii="仿宋" w:hAnsi="仿宋" w:cs="仿宋GB2312"/>
        </w:rPr>
      </w:pPr>
      <w:r>
        <w:rPr>
          <w:rFonts w:hint="eastAsia" w:ascii="仿宋" w:hAnsi="仿宋" w:cs="仿宋GB2312"/>
          <w:b/>
        </w:rPr>
        <w:t>上海全面推进城市数字化转型，明确数字化转型年度重点工作方案。</w:t>
      </w:r>
      <w:r>
        <w:rPr>
          <w:rFonts w:hint="eastAsia" w:ascii="仿宋" w:hAnsi="仿宋" w:cs="仿宋GB2312"/>
        </w:rPr>
        <w:t>上海市委、市政府2020年年底公布《关于全面推进上海城市数字化转型的意见》，意见中明确要求深刻认识上海进入新发展阶段全面推进城市数字化转型的重大意义，明确城市数字化转型的总体要求。《意见》指出，要坚持整体性转变，推动“经济、生活、治理”全面数字化转型；坚持全方位赋能，构建数据驱动的数字城市基本框架；坚持革命性重塑，引导全社会共建共治共享数字城市；同时，创新工作推进机制，科学有序全面推进城市数字化转型。随后公布了《全面推进城市数字化转型年度重点工作方案（征求意见稿）》，在工作方案中对城市数字化转型工作进行了更详细的落实，明确了年度工作任务以及责任部门。</w:t>
      </w:r>
    </w:p>
    <w:p>
      <w:pPr>
        <w:snapToGrid w:val="0"/>
        <w:ind w:firstLine="482"/>
        <w:rPr>
          <w:rFonts w:ascii="仿宋" w:hAnsi="仿宋" w:cs="仿宋GB2312"/>
        </w:rPr>
      </w:pPr>
      <w:r>
        <w:rPr>
          <w:rFonts w:hint="eastAsia" w:ascii="仿宋" w:hAnsi="仿宋" w:cs="仿宋GB2312"/>
          <w:b/>
        </w:rPr>
        <w:t>上海“两张网”建设如火如荼，是推进城市数字化转型的“牛鼻子”工程。</w:t>
      </w:r>
      <w:r>
        <w:rPr>
          <w:rFonts w:hint="eastAsia" w:ascii="仿宋" w:hAnsi="仿宋" w:cs="仿宋GB2312"/>
        </w:rPr>
        <w:t>李强书记指出，要以“两张网”建设，牵引和推动城市治理现代化，以政务服务“一网通办”，完善全方位的政务服务体系，以城市运行“一网统管”，实现城市全周期的管理。</w:t>
      </w:r>
    </w:p>
    <w:p>
      <w:pPr>
        <w:snapToGrid w:val="0"/>
        <w:ind w:firstLine="482"/>
      </w:pPr>
      <w:r>
        <w:rPr>
          <w:rFonts w:hint="eastAsia" w:ascii="仿宋" w:hAnsi="仿宋" w:cs="仿宋GB2312"/>
          <w:b/>
          <w:bCs/>
        </w:rPr>
        <w:t>中华人民共和国住建部发布</w:t>
      </w:r>
      <w:r>
        <w:rPr>
          <w:rFonts w:hint="eastAsia"/>
          <w:b/>
          <w:bCs/>
        </w:rPr>
        <w:t>《中华人民共和国住房和城乡建设部公告（2023年第128号）》</w:t>
      </w:r>
      <w:r>
        <w:rPr>
          <w:rFonts w:hint="eastAsia"/>
        </w:rPr>
        <w:t>。该公告批准《城市管理执法制式服装 制服》为城乡建设行业产品标准，2024年1月1日起执行。</w:t>
      </w:r>
    </w:p>
    <w:p>
      <w:pPr>
        <w:snapToGrid w:val="0"/>
        <w:ind w:firstLine="482"/>
        <w:rPr>
          <w:rFonts w:ascii="仿宋" w:hAnsi="仿宋" w:cs="仿宋GB2312"/>
        </w:rPr>
      </w:pPr>
      <w:r>
        <w:rPr>
          <w:rFonts w:hint="eastAsia" w:ascii="仿宋" w:hAnsi="仿宋" w:cs="仿宋GB2312"/>
          <w:b/>
          <w:bCs/>
        </w:rPr>
        <w:t>《城市管理执法制式服装和标志标识供应管理办法》（以下简称《供应管理办法》）第二十二条</w:t>
      </w:r>
      <w:r>
        <w:rPr>
          <w:rFonts w:hint="eastAsia" w:ascii="仿宋" w:hAnsi="仿宋" w:cs="仿宋GB2312"/>
        </w:rPr>
        <w:t>“各级城市管理部门在不突破住房城乡建设部、财政部规定的供应标准前提下，可以探索实行按需申领的保障模式”规定。</w:t>
      </w:r>
    </w:p>
    <w:p>
      <w:pPr>
        <w:snapToGrid w:val="0"/>
        <w:rPr>
          <w:rFonts w:ascii="仿宋" w:hAnsi="仿宋" w:cs="仿宋GB2312"/>
        </w:rPr>
      </w:pPr>
      <w:r>
        <w:rPr>
          <w:rFonts w:hint="eastAsia" w:ascii="仿宋" w:hAnsi="仿宋" w:cs="仿宋GB2312"/>
        </w:rPr>
        <w:t>（二）项目现状</w:t>
      </w:r>
    </w:p>
    <w:p>
      <w:pPr>
        <w:rPr>
          <w:rFonts w:ascii="仿宋" w:hAnsi="仿宋" w:cs="仿宋GB2312"/>
        </w:rPr>
      </w:pPr>
      <w:r>
        <w:rPr>
          <w:rFonts w:hint="eastAsia" w:ascii="仿宋" w:hAnsi="仿宋" w:cs="仿宋GB2312"/>
        </w:rPr>
        <w:t>城管执法综合管理平台包括队伍管理子系统、教育培训子系统、服装管理子系统等内部管理系统，用户覆盖市局、总队、16个区局及236个城管执法中队，用户超过10000人，年产生数据量超过1T。</w:t>
      </w:r>
    </w:p>
    <w:p>
      <w:pPr>
        <w:pStyle w:val="61"/>
        <w:numPr>
          <w:ilvl w:val="0"/>
          <w:numId w:val="4"/>
        </w:numPr>
        <w:ind w:firstLineChars="0"/>
        <w:rPr>
          <w:rFonts w:ascii="仿宋" w:hAnsi="仿宋" w:cs="仿宋GB2312"/>
          <w:sz w:val="24"/>
        </w:rPr>
      </w:pPr>
      <w:r>
        <w:rPr>
          <w:rFonts w:hint="eastAsia" w:ascii="仿宋" w:hAnsi="仿宋" w:cs="仿宋GB2312"/>
          <w:sz w:val="24"/>
        </w:rPr>
        <w:t>队伍管理子系统现有功能</w:t>
      </w:r>
    </w:p>
    <w:p>
      <w:pPr>
        <w:pStyle w:val="61"/>
        <w:ind w:firstLine="0" w:firstLineChars="0"/>
        <w:jc w:val="center"/>
        <w:rPr>
          <w:rFonts w:ascii="仿宋" w:hAnsi="仿宋" w:cs="仿宋GB2312"/>
        </w:rPr>
      </w:pPr>
      <w:r>
        <w:drawing>
          <wp:inline distT="0" distB="0" distL="0" distR="0">
            <wp:extent cx="5274310" cy="5691505"/>
            <wp:effectExtent l="0" t="0" r="2540" b="4445"/>
            <wp:docPr id="1783753627" name="图片 1783753627"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53627" name="图片 1783753627" descr="图形用户界面, 文本, 应用程序&#10;&#10;描述已自动生成"/>
                    <pic:cNvPicPr>
                      <a:picLocks noChangeAspect="1"/>
                    </pic:cNvPicPr>
                  </pic:nvPicPr>
                  <pic:blipFill>
                    <a:blip r:embed="rId13"/>
                    <a:stretch>
                      <a:fillRect/>
                    </a:stretch>
                  </pic:blipFill>
                  <pic:spPr>
                    <a:xfrm>
                      <a:off x="0" y="0"/>
                      <a:ext cx="5274310" cy="5691505"/>
                    </a:xfrm>
                    <a:prstGeom prst="rect">
                      <a:avLst/>
                    </a:prstGeom>
                  </pic:spPr>
                </pic:pic>
              </a:graphicData>
            </a:graphic>
          </wp:inline>
        </w:drawing>
      </w:r>
    </w:p>
    <w:p>
      <w:pPr>
        <w:pStyle w:val="61"/>
        <w:numPr>
          <w:ilvl w:val="0"/>
          <w:numId w:val="4"/>
        </w:numPr>
        <w:ind w:firstLineChars="0"/>
        <w:rPr>
          <w:rFonts w:ascii="仿宋" w:hAnsi="仿宋" w:cs="仿宋GB2312"/>
          <w:sz w:val="24"/>
        </w:rPr>
      </w:pPr>
      <w:r>
        <w:rPr>
          <w:rFonts w:hint="eastAsia" w:ascii="仿宋" w:hAnsi="仿宋" w:cs="仿宋GB2312"/>
          <w:sz w:val="24"/>
        </w:rPr>
        <w:t>教育培训系统现有功能</w:t>
      </w:r>
    </w:p>
    <w:p>
      <w:pPr>
        <w:pStyle w:val="61"/>
        <w:ind w:firstLine="0" w:firstLineChars="0"/>
        <w:jc w:val="center"/>
        <w:rPr>
          <w:rFonts w:ascii="仿宋" w:hAnsi="仿宋" w:cs="仿宋GB2312"/>
        </w:rPr>
      </w:pPr>
      <w:r>
        <w:drawing>
          <wp:inline distT="0" distB="0" distL="0" distR="0">
            <wp:extent cx="5278120" cy="2873375"/>
            <wp:effectExtent l="0" t="0" r="0" b="3175"/>
            <wp:docPr id="12298808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80821" name="图片 6"/>
                    <pic:cNvPicPr>
                      <a:picLocks noChangeAspect="1"/>
                    </pic:cNvPicPr>
                  </pic:nvPicPr>
                  <pic:blipFill>
                    <a:blip r:embed="rId14"/>
                    <a:stretch>
                      <a:fillRect/>
                    </a:stretch>
                  </pic:blipFill>
                  <pic:spPr>
                    <a:xfrm>
                      <a:off x="0" y="0"/>
                      <a:ext cx="5278120" cy="2873375"/>
                    </a:xfrm>
                    <a:prstGeom prst="rect">
                      <a:avLst/>
                    </a:prstGeom>
                  </pic:spPr>
                </pic:pic>
              </a:graphicData>
            </a:graphic>
          </wp:inline>
        </w:drawing>
      </w:r>
    </w:p>
    <w:p>
      <w:pPr>
        <w:pStyle w:val="61"/>
        <w:numPr>
          <w:ilvl w:val="0"/>
          <w:numId w:val="4"/>
        </w:numPr>
        <w:ind w:firstLineChars="0"/>
        <w:rPr>
          <w:rFonts w:ascii="仿宋" w:hAnsi="仿宋" w:cs="仿宋GB2312"/>
          <w:sz w:val="24"/>
        </w:rPr>
      </w:pPr>
      <w:r>
        <w:rPr>
          <w:rFonts w:hint="eastAsia" w:ascii="仿宋" w:hAnsi="仿宋" w:cs="仿宋GB2312"/>
          <w:sz w:val="24"/>
        </w:rPr>
        <w:t>服装管理子系统现有功能</w:t>
      </w:r>
    </w:p>
    <w:p>
      <w:pPr>
        <w:ind w:firstLineChars="0"/>
        <w:jc w:val="center"/>
        <w:rPr>
          <w:rFonts w:ascii="仿宋" w:hAnsi="仿宋" w:cs="仿宋GB2312"/>
        </w:rPr>
      </w:pPr>
      <w:r>
        <w:drawing>
          <wp:inline distT="0" distB="0" distL="0" distR="0">
            <wp:extent cx="5278120" cy="3185795"/>
            <wp:effectExtent l="0" t="0" r="0" b="0"/>
            <wp:docPr id="3637858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8580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8120" cy="3185795"/>
                    </a:xfrm>
                    <a:prstGeom prst="rect">
                      <a:avLst/>
                    </a:prstGeom>
                  </pic:spPr>
                </pic:pic>
              </a:graphicData>
            </a:graphic>
          </wp:inline>
        </w:drawing>
      </w:r>
    </w:p>
    <w:p>
      <w:pPr>
        <w:spacing w:line="560" w:lineRule="exact"/>
      </w:pPr>
    </w:p>
    <w:p>
      <w:pPr>
        <w:spacing w:line="560" w:lineRule="exact"/>
      </w:pPr>
      <w:r>
        <w:rPr>
          <w:rFonts w:hint="eastAsia"/>
        </w:rPr>
        <w:t>建设期限：合同签订之日起至2025年11月30日</w:t>
      </w:r>
    </w:p>
    <w:p>
      <w:pPr>
        <w:spacing w:line="560" w:lineRule="exact"/>
      </w:pPr>
      <w:r>
        <w:rPr>
          <w:rFonts w:hint="eastAsia"/>
        </w:rPr>
        <w:t>建设地点：上海市城市管理行政执法局</w:t>
      </w:r>
    </w:p>
    <w:p>
      <w:pPr>
        <w:spacing w:line="560" w:lineRule="exact"/>
      </w:pPr>
      <w:r>
        <w:rPr>
          <w:rFonts w:hint="eastAsia"/>
        </w:rPr>
        <w:t>预算金额：</w:t>
      </w:r>
      <w:r>
        <w:t>2</w:t>
      </w:r>
      <w:r>
        <w:rPr>
          <w:rFonts w:hint="eastAsia"/>
        </w:rPr>
        <w:t>,</w:t>
      </w:r>
      <w:r>
        <w:t>210</w:t>
      </w:r>
      <w:r>
        <w:rPr>
          <w:rFonts w:hint="eastAsia"/>
        </w:rPr>
        <w:t>,</w:t>
      </w:r>
      <w:r>
        <w:t>000</w:t>
      </w:r>
      <w:r>
        <w:rPr>
          <w:rFonts w:hint="eastAsia"/>
        </w:rPr>
        <w:t>元</w:t>
      </w:r>
    </w:p>
    <w:p>
      <w:pPr>
        <w:spacing w:line="560" w:lineRule="exact"/>
      </w:pPr>
      <w:r>
        <w:rPr>
          <w:rFonts w:hint="eastAsia"/>
        </w:rPr>
        <w:t>采购金额（最高限价）：</w:t>
      </w:r>
      <w:r>
        <w:t>2</w:t>
      </w:r>
      <w:r>
        <w:rPr>
          <w:rFonts w:hint="eastAsia"/>
        </w:rPr>
        <w:t>,</w:t>
      </w:r>
      <w:r>
        <w:t>210</w:t>
      </w:r>
      <w:r>
        <w:rPr>
          <w:rFonts w:hint="eastAsia"/>
        </w:rPr>
        <w:t>,</w:t>
      </w:r>
      <w:r>
        <w:t>000</w:t>
      </w:r>
      <w:r>
        <w:rPr>
          <w:rFonts w:hint="eastAsia"/>
        </w:rPr>
        <w:t>元</w:t>
      </w:r>
    </w:p>
    <w:p>
      <w:r>
        <w:rPr>
          <w:rFonts w:hint="eastAsia"/>
        </w:rPr>
        <w:t>组织形式：集中采购</w:t>
      </w:r>
    </w:p>
    <w:p>
      <w:r>
        <w:rPr>
          <w:rFonts w:hint="eastAsia"/>
        </w:rPr>
        <w:t>采购方式：竞争性磋商</w:t>
      </w:r>
    </w:p>
    <w:p>
      <w:r>
        <w:rPr>
          <w:rFonts w:hint="eastAsia"/>
        </w:rPr>
        <w:t>是否接受联合体投标：否</w:t>
      </w:r>
    </w:p>
    <w:p>
      <w:r>
        <w:t>是否按信创要求建设：是</w:t>
      </w:r>
    </w:p>
    <w:p>
      <w:pPr>
        <w:rPr>
          <w:rFonts w:hint="eastAsia" w:ascii="宋体" w:hAnsi="宋体" w:eastAsia="宋体"/>
        </w:rPr>
      </w:pPr>
      <w:r>
        <w:rPr>
          <w:rFonts w:hint="eastAsia" w:ascii="宋体" w:hAnsi="宋体" w:eastAsia="宋体"/>
        </w:rPr>
        <w:t>运维后所属大系统：城管执法综合管理平台</w:t>
      </w:r>
    </w:p>
    <w:p>
      <w:pPr>
        <w:pStyle w:val="2"/>
      </w:pPr>
      <w:bookmarkStart w:id="1" w:name="_Toc47536272"/>
      <w:bookmarkEnd w:id="1"/>
      <w:bookmarkStart w:id="2" w:name="_Toc47536644"/>
      <w:bookmarkEnd w:id="2"/>
      <w:bookmarkStart w:id="3" w:name="_Toc47531634"/>
      <w:bookmarkEnd w:id="3"/>
      <w:bookmarkStart w:id="4" w:name="_Toc47532255"/>
      <w:bookmarkEnd w:id="4"/>
      <w:bookmarkStart w:id="5" w:name="_Toc47532891"/>
      <w:bookmarkEnd w:id="5"/>
      <w:bookmarkStart w:id="6" w:name="_Toc47537134"/>
      <w:bookmarkEnd w:id="6"/>
      <w:bookmarkStart w:id="7" w:name="_Toc47533256"/>
      <w:bookmarkEnd w:id="7"/>
      <w:bookmarkStart w:id="8" w:name="_Toc47539070"/>
      <w:bookmarkEnd w:id="8"/>
      <w:bookmarkStart w:id="9" w:name="_Toc48223882"/>
      <w:bookmarkStart w:id="10" w:name="_Toc63785463"/>
      <w:r>
        <w:rPr>
          <w:rFonts w:hint="eastAsia"/>
        </w:rPr>
        <w:t>建设目标</w:t>
      </w:r>
      <w:bookmarkEnd w:id="9"/>
      <w:bookmarkEnd w:id="10"/>
    </w:p>
    <w:p>
      <w:r>
        <w:rPr>
          <w:rFonts w:hint="eastAsia"/>
        </w:rPr>
        <w:t>依据上级文件精神、结合城管日常工作的实际需求，对上海市城管执法综合管理进行升级改造，从而达到赋能基层，提升业务效能的建设目标，具体如下：</w:t>
      </w:r>
    </w:p>
    <w:p>
      <w:r>
        <w:rPr>
          <w:rFonts w:hint="eastAsia"/>
        </w:rPr>
        <w:t>（一）加强城管执法队伍综合管理、提升执法人员的政治和专业素养</w:t>
      </w:r>
    </w:p>
    <w:p>
      <w:r>
        <w:rPr>
          <w:rFonts w:hint="eastAsia"/>
        </w:rPr>
        <w:t>（二）完善城管执法内务管理</w:t>
      </w:r>
    </w:p>
    <w:p>
      <w:r>
        <w:rPr>
          <w:rFonts w:hint="eastAsia"/>
        </w:rPr>
        <w:t>（三）实现市城管局电子政务系统与市“一网协同”办公大系统的模式二接入；</w:t>
      </w:r>
    </w:p>
    <w:p>
      <w:pPr>
        <w:pStyle w:val="3"/>
        <w:numPr>
          <w:ilvl w:val="1"/>
          <w:numId w:val="5"/>
        </w:numPr>
      </w:pPr>
      <w:bookmarkStart w:id="11" w:name="_Toc173668022"/>
      <w:r>
        <w:rPr>
          <w:rFonts w:hint="eastAsia"/>
        </w:rPr>
        <w:t>业务绩效目标</w:t>
      </w:r>
      <w:bookmarkEnd w:id="11"/>
    </w:p>
    <w:p>
      <w:pPr>
        <w:pStyle w:val="13"/>
        <w:keepNext/>
        <w:spacing w:after="163"/>
        <w:ind w:firstLine="400"/>
      </w:pPr>
      <w:r>
        <w:rPr>
          <w:rFonts w:hint="eastAsia"/>
        </w:rPr>
        <w:t xml:space="preserve">表格 </w:t>
      </w:r>
      <w:r>
        <w:fldChar w:fldCharType="begin"/>
      </w:r>
      <w:r>
        <w:instrText xml:space="preserve"> </w:instrText>
      </w:r>
      <w:r>
        <w:rPr>
          <w:rFonts w:hint="eastAsia"/>
        </w:rPr>
        <w:instrText xml:space="preserve">SEQ 表格 \* ARABIC</w:instrText>
      </w:r>
      <w:r>
        <w:instrText xml:space="preserve"> </w:instrText>
      </w:r>
      <w:r>
        <w:fldChar w:fldCharType="separate"/>
      </w:r>
      <w:r>
        <w:t>1</w:t>
      </w:r>
      <w:r>
        <w:fldChar w:fldCharType="end"/>
      </w:r>
      <w:r>
        <w:rPr>
          <w:rFonts w:hint="eastAsia"/>
        </w:rPr>
        <w:t xml:space="preserve"> 业务绩效考核指标</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62"/>
        <w:gridCol w:w="1262"/>
        <w:gridCol w:w="262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B6DDE8" w:themeFill="accent5" w:themeFillTint="66"/>
          </w:tcPr>
          <w:p>
            <w:pPr>
              <w:pStyle w:val="16"/>
              <w:jc w:val="center"/>
              <w:rPr>
                <w:rFonts w:ascii="仿宋" w:hAnsi="仿宋"/>
                <w:b/>
                <w:szCs w:val="21"/>
              </w:rPr>
            </w:pPr>
            <w:r>
              <w:rPr>
                <w:rFonts w:hint="eastAsia" w:ascii="仿宋" w:hAnsi="仿宋"/>
                <w:b/>
                <w:szCs w:val="21"/>
              </w:rPr>
              <w:t>类别</w:t>
            </w:r>
          </w:p>
        </w:tc>
        <w:tc>
          <w:tcPr>
            <w:tcW w:w="1262" w:type="dxa"/>
            <w:shd w:val="clear" w:color="auto" w:fill="B6DDE8" w:themeFill="accent5" w:themeFillTint="66"/>
          </w:tcPr>
          <w:p>
            <w:pPr>
              <w:pStyle w:val="16"/>
              <w:jc w:val="center"/>
              <w:rPr>
                <w:rFonts w:ascii="仿宋" w:hAnsi="仿宋"/>
                <w:b/>
                <w:szCs w:val="21"/>
              </w:rPr>
            </w:pPr>
            <w:r>
              <w:rPr>
                <w:rFonts w:hint="eastAsia" w:ascii="仿宋" w:hAnsi="仿宋"/>
                <w:b/>
                <w:szCs w:val="21"/>
              </w:rPr>
              <w:t>一级指标</w:t>
            </w:r>
          </w:p>
        </w:tc>
        <w:tc>
          <w:tcPr>
            <w:tcW w:w="1262" w:type="dxa"/>
            <w:shd w:val="clear" w:color="auto" w:fill="B6DDE8" w:themeFill="accent5" w:themeFillTint="66"/>
          </w:tcPr>
          <w:p>
            <w:pPr>
              <w:pStyle w:val="16"/>
              <w:jc w:val="center"/>
              <w:rPr>
                <w:rFonts w:ascii="仿宋" w:hAnsi="仿宋"/>
                <w:b/>
                <w:szCs w:val="21"/>
              </w:rPr>
            </w:pPr>
            <w:r>
              <w:rPr>
                <w:rFonts w:hint="eastAsia" w:ascii="仿宋" w:hAnsi="仿宋"/>
                <w:b/>
                <w:szCs w:val="21"/>
              </w:rPr>
              <w:t>二级指标</w:t>
            </w:r>
          </w:p>
        </w:tc>
        <w:tc>
          <w:tcPr>
            <w:tcW w:w="2620" w:type="dxa"/>
            <w:shd w:val="clear" w:color="auto" w:fill="B6DDE8" w:themeFill="accent5" w:themeFillTint="66"/>
          </w:tcPr>
          <w:p>
            <w:pPr>
              <w:pStyle w:val="16"/>
              <w:jc w:val="center"/>
              <w:rPr>
                <w:rFonts w:ascii="仿宋" w:hAnsi="仿宋"/>
                <w:b/>
                <w:szCs w:val="21"/>
              </w:rPr>
            </w:pPr>
            <w:r>
              <w:rPr>
                <w:rFonts w:hint="eastAsia" w:ascii="仿宋" w:hAnsi="仿宋"/>
                <w:b/>
                <w:szCs w:val="21"/>
              </w:rPr>
              <w:t>三级指标</w:t>
            </w:r>
          </w:p>
        </w:tc>
        <w:tc>
          <w:tcPr>
            <w:tcW w:w="2458" w:type="dxa"/>
            <w:shd w:val="clear" w:color="auto" w:fill="B6DDE8" w:themeFill="accent5" w:themeFillTint="66"/>
          </w:tcPr>
          <w:p>
            <w:pPr>
              <w:pStyle w:val="16"/>
              <w:jc w:val="center"/>
              <w:rPr>
                <w:rFonts w:ascii="仿宋" w:hAnsi="仿宋"/>
                <w:b/>
                <w:szCs w:val="21"/>
              </w:rPr>
            </w:pPr>
            <w:r>
              <w:rPr>
                <w:rFonts w:hint="eastAsia" w:ascii="仿宋" w:hAnsi="仿宋"/>
                <w:b/>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tcPr>
          <w:p>
            <w:pPr>
              <w:pStyle w:val="16"/>
              <w:rPr>
                <w:rFonts w:ascii="仿宋" w:hAnsi="仿宋" w:cs="仿宋_GB2312"/>
                <w:szCs w:val="21"/>
              </w:rPr>
            </w:pPr>
            <w:r>
              <w:rPr>
                <w:rFonts w:hint="eastAsia" w:ascii="仿宋" w:hAnsi="仿宋" w:cs="仿宋_GB2312"/>
                <w:szCs w:val="21"/>
              </w:rPr>
              <w:t>业务考核目标</w:t>
            </w:r>
          </w:p>
        </w:tc>
        <w:tc>
          <w:tcPr>
            <w:tcW w:w="1262" w:type="dxa"/>
            <w:vMerge w:val="restart"/>
          </w:tcPr>
          <w:p>
            <w:pPr>
              <w:pStyle w:val="16"/>
              <w:rPr>
                <w:rFonts w:ascii="仿宋" w:hAnsi="仿宋" w:cs="仿宋_GB2312"/>
                <w:szCs w:val="21"/>
              </w:rPr>
            </w:pPr>
            <w:r>
              <w:rPr>
                <w:rFonts w:hint="eastAsia" w:ascii="仿宋" w:hAnsi="仿宋" w:cs="仿宋_GB2312"/>
                <w:szCs w:val="21"/>
              </w:rPr>
              <w:t>产出指标</w:t>
            </w:r>
          </w:p>
        </w:tc>
        <w:tc>
          <w:tcPr>
            <w:tcW w:w="1262" w:type="dxa"/>
          </w:tcPr>
          <w:p>
            <w:pPr>
              <w:pStyle w:val="16"/>
              <w:rPr>
                <w:rFonts w:ascii="仿宋" w:hAnsi="仿宋" w:cs="仿宋_GB2312"/>
                <w:szCs w:val="21"/>
              </w:rPr>
            </w:pPr>
            <w:r>
              <w:rPr>
                <w:rFonts w:hint="eastAsia" w:ascii="仿宋" w:hAnsi="仿宋" w:cs="仿宋_GB2312"/>
                <w:szCs w:val="21"/>
              </w:rPr>
              <w:t>数量指标</w:t>
            </w:r>
          </w:p>
        </w:tc>
        <w:tc>
          <w:tcPr>
            <w:tcW w:w="2620" w:type="dxa"/>
          </w:tcPr>
          <w:p>
            <w:pPr>
              <w:pStyle w:val="16"/>
              <w:rPr>
                <w:rFonts w:ascii="仿宋" w:hAnsi="仿宋" w:cs="仿宋_GB2312"/>
                <w:szCs w:val="21"/>
              </w:rPr>
            </w:pPr>
            <w:r>
              <w:rPr>
                <w:rFonts w:hint="eastAsia" w:ascii="仿宋" w:hAnsi="仿宋" w:cs="仿宋_GB2312"/>
                <w:szCs w:val="21"/>
              </w:rPr>
              <w:t>完成子系统及相关场景的应用升级改造或新建</w:t>
            </w:r>
          </w:p>
        </w:tc>
        <w:tc>
          <w:tcPr>
            <w:tcW w:w="2458" w:type="dxa"/>
          </w:tcPr>
          <w:p>
            <w:pPr>
              <w:pStyle w:val="16"/>
              <w:rPr>
                <w:rFonts w:ascii="仿宋" w:hAnsi="仿宋" w:cs="仿宋_GB2312"/>
                <w:szCs w:val="21"/>
              </w:rPr>
            </w:pPr>
            <w:r>
              <w:rPr>
                <w:rFonts w:hint="eastAsia" w:ascii="仿宋" w:hAnsi="仿宋" w:cs="仿宋_GB2312"/>
                <w:szCs w:val="21"/>
              </w:rPr>
              <w:t>完成子系统及相关场景的应用升级改造或新建，并完成本次建设内容的密码应用改造，并通过相关测评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pStyle w:val="16"/>
              <w:rPr>
                <w:rFonts w:ascii="仿宋" w:hAnsi="仿宋" w:cs="仿宋_GB2312"/>
                <w:szCs w:val="21"/>
              </w:rPr>
            </w:pPr>
          </w:p>
        </w:tc>
        <w:tc>
          <w:tcPr>
            <w:tcW w:w="1262" w:type="dxa"/>
            <w:vMerge w:val="continue"/>
          </w:tcPr>
          <w:p>
            <w:pPr>
              <w:pStyle w:val="16"/>
              <w:rPr>
                <w:rFonts w:ascii="仿宋" w:hAnsi="仿宋" w:cs="仿宋_GB2312"/>
                <w:szCs w:val="21"/>
              </w:rPr>
            </w:pPr>
          </w:p>
        </w:tc>
        <w:tc>
          <w:tcPr>
            <w:tcW w:w="1262" w:type="dxa"/>
          </w:tcPr>
          <w:p>
            <w:pPr>
              <w:pStyle w:val="16"/>
              <w:rPr>
                <w:rFonts w:ascii="仿宋" w:hAnsi="仿宋" w:cs="仿宋_GB2312"/>
                <w:szCs w:val="21"/>
              </w:rPr>
            </w:pPr>
            <w:r>
              <w:rPr>
                <w:rFonts w:hint="eastAsia" w:ascii="仿宋" w:hAnsi="仿宋" w:cs="仿宋_GB2312"/>
                <w:szCs w:val="21"/>
              </w:rPr>
              <w:t>质量指标</w:t>
            </w:r>
          </w:p>
        </w:tc>
        <w:tc>
          <w:tcPr>
            <w:tcW w:w="2620" w:type="dxa"/>
          </w:tcPr>
          <w:p>
            <w:pPr>
              <w:pStyle w:val="16"/>
              <w:rPr>
                <w:rFonts w:ascii="仿宋" w:hAnsi="仿宋" w:cs="仿宋_GB2312"/>
                <w:szCs w:val="21"/>
              </w:rPr>
            </w:pPr>
            <w:r>
              <w:rPr>
                <w:rFonts w:hint="eastAsia" w:ascii="仿宋" w:hAnsi="仿宋" w:cs="仿宋_GB2312"/>
                <w:szCs w:val="21"/>
              </w:rPr>
              <w:t>平台建设符合《软件系统验收规范》（GB/T28035）、《系统与软件工程验证与确认》（GB/T32423）</w:t>
            </w:r>
          </w:p>
        </w:tc>
        <w:tc>
          <w:tcPr>
            <w:tcW w:w="2458" w:type="dxa"/>
          </w:tcPr>
          <w:p>
            <w:pPr>
              <w:pStyle w:val="16"/>
              <w:rPr>
                <w:rFonts w:ascii="仿宋" w:hAnsi="仿宋" w:cs="仿宋_GB2312"/>
                <w:szCs w:val="21"/>
              </w:rPr>
            </w:pPr>
            <w:r>
              <w:rPr>
                <w:rFonts w:hint="eastAsia" w:ascii="仿宋" w:hAnsi="仿宋" w:cs="仿宋_GB2312"/>
                <w:szCs w:val="21"/>
              </w:rPr>
              <w:t>100%符合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vMerge w:val="continue"/>
          </w:tcPr>
          <w:p>
            <w:pPr>
              <w:pStyle w:val="16"/>
              <w:rPr>
                <w:rFonts w:ascii="仿宋" w:hAnsi="仿宋" w:cs="仿宋_GB2312"/>
                <w:szCs w:val="21"/>
              </w:rPr>
            </w:pPr>
          </w:p>
        </w:tc>
        <w:tc>
          <w:tcPr>
            <w:tcW w:w="1262" w:type="dxa"/>
            <w:vMerge w:val="continue"/>
          </w:tcPr>
          <w:p>
            <w:pPr>
              <w:pStyle w:val="16"/>
              <w:rPr>
                <w:rFonts w:ascii="仿宋" w:hAnsi="仿宋" w:cs="仿宋_GB2312"/>
                <w:szCs w:val="21"/>
              </w:rPr>
            </w:pPr>
          </w:p>
        </w:tc>
        <w:tc>
          <w:tcPr>
            <w:tcW w:w="1262" w:type="dxa"/>
          </w:tcPr>
          <w:p>
            <w:pPr>
              <w:pStyle w:val="16"/>
              <w:rPr>
                <w:rFonts w:ascii="仿宋" w:hAnsi="仿宋" w:cs="仿宋_GB2312"/>
                <w:szCs w:val="21"/>
              </w:rPr>
            </w:pPr>
            <w:r>
              <w:rPr>
                <w:rFonts w:hint="eastAsia" w:ascii="仿宋" w:hAnsi="仿宋" w:cs="仿宋_GB2312"/>
                <w:szCs w:val="21"/>
              </w:rPr>
              <w:t>时效指标</w:t>
            </w:r>
          </w:p>
        </w:tc>
        <w:tc>
          <w:tcPr>
            <w:tcW w:w="2620" w:type="dxa"/>
          </w:tcPr>
          <w:p>
            <w:pPr>
              <w:pStyle w:val="16"/>
              <w:rPr>
                <w:rFonts w:ascii="仿宋" w:hAnsi="仿宋" w:cs="仿宋_GB2312"/>
                <w:szCs w:val="21"/>
              </w:rPr>
            </w:pPr>
            <w:r>
              <w:rPr>
                <w:rFonts w:hint="eastAsia" w:ascii="仿宋" w:hAnsi="仿宋" w:cs="仿宋_GB2312"/>
                <w:szCs w:val="21"/>
              </w:rPr>
              <w:t>2025年11月底完成</w:t>
            </w:r>
          </w:p>
        </w:tc>
        <w:tc>
          <w:tcPr>
            <w:tcW w:w="2458" w:type="dxa"/>
          </w:tcPr>
          <w:p>
            <w:pPr>
              <w:pStyle w:val="16"/>
              <w:rPr>
                <w:rFonts w:ascii="仿宋" w:hAnsi="仿宋" w:cs="仿宋_GB2312"/>
                <w:szCs w:val="21"/>
              </w:rPr>
            </w:pPr>
            <w:r>
              <w:rPr>
                <w:rFonts w:hint="eastAsia" w:ascii="仿宋" w:hAnsi="仿宋" w:cs="仿宋_GB2312"/>
                <w:szCs w:val="21"/>
              </w:rPr>
              <w:t>按计划完成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pStyle w:val="16"/>
              <w:rPr>
                <w:rFonts w:ascii="仿宋" w:hAnsi="仿宋" w:cs="仿宋_GB2312"/>
                <w:szCs w:val="21"/>
              </w:rPr>
            </w:pPr>
          </w:p>
        </w:tc>
        <w:tc>
          <w:tcPr>
            <w:tcW w:w="1262" w:type="dxa"/>
            <w:vMerge w:val="restart"/>
          </w:tcPr>
          <w:p>
            <w:pPr>
              <w:pStyle w:val="16"/>
              <w:rPr>
                <w:rFonts w:ascii="仿宋" w:hAnsi="仿宋" w:cs="仿宋_GB2312"/>
                <w:szCs w:val="21"/>
              </w:rPr>
            </w:pPr>
            <w:r>
              <w:rPr>
                <w:rFonts w:hint="eastAsia" w:ascii="仿宋" w:hAnsi="仿宋" w:cs="仿宋_GB2312"/>
                <w:szCs w:val="21"/>
              </w:rPr>
              <w:t>效益指标</w:t>
            </w:r>
          </w:p>
        </w:tc>
        <w:tc>
          <w:tcPr>
            <w:tcW w:w="1262" w:type="dxa"/>
          </w:tcPr>
          <w:p>
            <w:pPr>
              <w:pStyle w:val="16"/>
              <w:rPr>
                <w:rFonts w:ascii="仿宋" w:hAnsi="仿宋" w:cs="仿宋_GB2312"/>
                <w:szCs w:val="21"/>
              </w:rPr>
            </w:pPr>
            <w:r>
              <w:rPr>
                <w:rFonts w:hint="eastAsia" w:ascii="仿宋" w:hAnsi="仿宋" w:cs="仿宋_GB2312"/>
                <w:szCs w:val="21"/>
              </w:rPr>
              <w:t>经济效益指标</w:t>
            </w:r>
          </w:p>
        </w:tc>
        <w:tc>
          <w:tcPr>
            <w:tcW w:w="2620" w:type="dxa"/>
          </w:tcPr>
          <w:p>
            <w:pPr>
              <w:pStyle w:val="16"/>
              <w:rPr>
                <w:rFonts w:ascii="仿宋" w:hAnsi="仿宋" w:cs="仿宋_GB2312"/>
                <w:szCs w:val="21"/>
              </w:rPr>
            </w:pPr>
            <w:r>
              <w:rPr>
                <w:rFonts w:hint="eastAsia" w:ascii="仿宋" w:hAnsi="仿宋" w:cs="仿宋_GB2312"/>
                <w:szCs w:val="21"/>
              </w:rPr>
              <w:t>充分利用上海市电子政务云平台资源，避免重复投资，较原来的分散建设模式大大节省了资金投入，通过对公共功能的统一建设、集约化投资，将大大降低对公共模块的重复投资程度，从而产生隐形的经济效益。</w:t>
            </w:r>
          </w:p>
        </w:tc>
        <w:tc>
          <w:tcPr>
            <w:tcW w:w="2458" w:type="dxa"/>
          </w:tcPr>
          <w:p>
            <w:pPr>
              <w:pStyle w:val="16"/>
              <w:rPr>
                <w:rFonts w:ascii="仿宋" w:hAnsi="仿宋" w:cs="仿宋_GB2312"/>
                <w:szCs w:val="21"/>
              </w:rPr>
            </w:pPr>
            <w:r>
              <w:rPr>
                <w:rFonts w:hint="eastAsia" w:ascii="仿宋" w:hAnsi="仿宋" w:cs="仿宋_GB2312"/>
                <w:szCs w:val="21"/>
              </w:rPr>
              <w:t>充分利用上海市电子政务云平台资源，避免重复投资，较原来的分散建设模式大大节省了资金投入，通过对公共功能的统一建设、集约化投资，将大大降低对公共模块的重复投资程度，从而产生隐形的经济效益。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pStyle w:val="16"/>
              <w:rPr>
                <w:rFonts w:ascii="仿宋" w:hAnsi="仿宋" w:cs="仿宋_GB2312"/>
                <w:szCs w:val="21"/>
              </w:rPr>
            </w:pPr>
          </w:p>
        </w:tc>
        <w:tc>
          <w:tcPr>
            <w:tcW w:w="1262" w:type="dxa"/>
            <w:vMerge w:val="continue"/>
          </w:tcPr>
          <w:p>
            <w:pPr>
              <w:pStyle w:val="16"/>
              <w:rPr>
                <w:rFonts w:ascii="仿宋" w:hAnsi="仿宋" w:cs="仿宋_GB2312"/>
                <w:szCs w:val="21"/>
              </w:rPr>
            </w:pPr>
          </w:p>
        </w:tc>
        <w:tc>
          <w:tcPr>
            <w:tcW w:w="1262" w:type="dxa"/>
          </w:tcPr>
          <w:p>
            <w:pPr>
              <w:pStyle w:val="16"/>
              <w:rPr>
                <w:rFonts w:ascii="仿宋" w:hAnsi="仿宋" w:cs="仿宋_GB2312"/>
                <w:szCs w:val="21"/>
              </w:rPr>
            </w:pPr>
            <w:r>
              <w:rPr>
                <w:rFonts w:hint="eastAsia" w:ascii="仿宋" w:hAnsi="仿宋" w:cs="仿宋_GB2312"/>
                <w:szCs w:val="21"/>
              </w:rPr>
              <w:t>社会效益指标</w:t>
            </w:r>
          </w:p>
        </w:tc>
        <w:tc>
          <w:tcPr>
            <w:tcW w:w="2620" w:type="dxa"/>
          </w:tcPr>
          <w:p>
            <w:pPr>
              <w:pStyle w:val="16"/>
              <w:rPr>
                <w:rFonts w:ascii="仿宋" w:hAnsi="仿宋" w:cs="仿宋_GB2312"/>
                <w:szCs w:val="21"/>
              </w:rPr>
            </w:pPr>
            <w:r>
              <w:rPr>
                <w:rFonts w:hint="eastAsia" w:ascii="仿宋" w:hAnsi="仿宋" w:cs="仿宋_GB2312"/>
                <w:szCs w:val="21"/>
              </w:rPr>
              <w:t>提高行政执法局行政办公效率。数据遵从统一规范，从而使得业务开展更高效、更规范。内控系统加强内部风险控制，提升机关防范风险能力。</w:t>
            </w:r>
          </w:p>
        </w:tc>
        <w:tc>
          <w:tcPr>
            <w:tcW w:w="2458" w:type="dxa"/>
          </w:tcPr>
          <w:p>
            <w:pPr>
              <w:pStyle w:val="16"/>
              <w:rPr>
                <w:rFonts w:ascii="仿宋" w:hAnsi="仿宋" w:cs="仿宋_GB2312"/>
                <w:szCs w:val="21"/>
              </w:rPr>
            </w:pPr>
            <w:r>
              <w:rPr>
                <w:rFonts w:hint="eastAsia" w:ascii="仿宋" w:hAnsi="仿宋" w:cs="仿宋_GB2312"/>
                <w:szCs w:val="21"/>
              </w:rPr>
              <w:t>提高行政执法局行政办公效率。数据遵从统一规范，从而使得业务开展更高效、更规范。内控系统加强内部风险控制，提升机关防范风险能力。</w:t>
            </w:r>
          </w:p>
        </w:tc>
      </w:tr>
    </w:tbl>
    <w:p>
      <w:pPr>
        <w:snapToGrid w:val="0"/>
        <w:rPr>
          <w:rFonts w:ascii="仿宋" w:hAnsi="仿宋" w:cs="仿宋GB2312"/>
          <w:snapToGrid w:val="0"/>
        </w:rPr>
      </w:pPr>
    </w:p>
    <w:p>
      <w:pPr>
        <w:pStyle w:val="3"/>
        <w:numPr>
          <w:ilvl w:val="1"/>
          <w:numId w:val="5"/>
        </w:numPr>
      </w:pPr>
      <w:bookmarkStart w:id="12" w:name="_Toc173668023"/>
      <w:r>
        <w:rPr>
          <w:rFonts w:hint="eastAsia"/>
        </w:rPr>
        <w:t>技术绩效目标</w:t>
      </w:r>
      <w:bookmarkEnd w:id="12"/>
    </w:p>
    <w:p>
      <w:pPr>
        <w:pStyle w:val="13"/>
        <w:keepNext/>
        <w:spacing w:after="163"/>
        <w:ind w:firstLine="400"/>
      </w:pPr>
      <w:r>
        <w:rPr>
          <w:rFonts w:hint="eastAsia"/>
        </w:rPr>
        <w:t xml:space="preserve">表格 </w:t>
      </w:r>
      <w:r>
        <w:fldChar w:fldCharType="begin"/>
      </w:r>
      <w:r>
        <w:instrText xml:space="preserve"> </w:instrText>
      </w:r>
      <w:r>
        <w:rPr>
          <w:rFonts w:hint="eastAsia"/>
        </w:rPr>
        <w:instrText xml:space="preserve">SEQ 表格 \* ARABIC</w:instrText>
      </w:r>
      <w:r>
        <w:instrText xml:space="preserve"> </w:instrText>
      </w:r>
      <w:r>
        <w:fldChar w:fldCharType="separate"/>
      </w:r>
      <w:r>
        <w:t>2</w:t>
      </w:r>
      <w:r>
        <w:fldChar w:fldCharType="end"/>
      </w:r>
      <w:r>
        <w:rPr>
          <w:rFonts w:hint="eastAsia"/>
        </w:rPr>
        <w:t>技术绩效考核指标</w:t>
      </w:r>
    </w:p>
    <w:tbl>
      <w:tblPr>
        <w:tblStyle w:val="35"/>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38"/>
        <w:gridCol w:w="1134"/>
        <w:gridCol w:w="2693"/>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B6DDE8" w:themeFill="accent5" w:themeFillTint="66"/>
          </w:tcPr>
          <w:p>
            <w:pPr>
              <w:pStyle w:val="16"/>
              <w:jc w:val="center"/>
              <w:rPr>
                <w:rFonts w:ascii="仿宋" w:hAnsi="仿宋"/>
                <w:b/>
                <w:sz w:val="22"/>
              </w:rPr>
            </w:pPr>
            <w:r>
              <w:rPr>
                <w:rFonts w:hint="eastAsia" w:ascii="仿宋" w:hAnsi="仿宋"/>
                <w:b/>
                <w:sz w:val="22"/>
              </w:rPr>
              <w:t>类别</w:t>
            </w:r>
          </w:p>
        </w:tc>
        <w:tc>
          <w:tcPr>
            <w:tcW w:w="1138" w:type="dxa"/>
            <w:shd w:val="clear" w:color="auto" w:fill="B6DDE8" w:themeFill="accent5" w:themeFillTint="66"/>
          </w:tcPr>
          <w:p>
            <w:pPr>
              <w:pStyle w:val="16"/>
              <w:jc w:val="center"/>
              <w:rPr>
                <w:rFonts w:ascii="仿宋" w:hAnsi="仿宋"/>
                <w:b/>
                <w:sz w:val="22"/>
              </w:rPr>
            </w:pPr>
            <w:r>
              <w:rPr>
                <w:rFonts w:hint="eastAsia" w:ascii="仿宋" w:hAnsi="仿宋"/>
                <w:b/>
                <w:sz w:val="22"/>
              </w:rPr>
              <w:t>一级指标</w:t>
            </w:r>
          </w:p>
        </w:tc>
        <w:tc>
          <w:tcPr>
            <w:tcW w:w="1134" w:type="dxa"/>
            <w:shd w:val="clear" w:color="auto" w:fill="B6DDE8" w:themeFill="accent5" w:themeFillTint="66"/>
          </w:tcPr>
          <w:p>
            <w:pPr>
              <w:pStyle w:val="16"/>
              <w:jc w:val="center"/>
              <w:rPr>
                <w:rFonts w:ascii="仿宋" w:hAnsi="仿宋"/>
                <w:b/>
                <w:sz w:val="22"/>
              </w:rPr>
            </w:pPr>
            <w:r>
              <w:rPr>
                <w:rFonts w:hint="eastAsia" w:ascii="仿宋" w:hAnsi="仿宋"/>
                <w:b/>
                <w:sz w:val="22"/>
              </w:rPr>
              <w:t>二级指标</w:t>
            </w:r>
          </w:p>
        </w:tc>
        <w:tc>
          <w:tcPr>
            <w:tcW w:w="2693" w:type="dxa"/>
            <w:shd w:val="clear" w:color="auto" w:fill="B6DDE8" w:themeFill="accent5" w:themeFillTint="66"/>
          </w:tcPr>
          <w:p>
            <w:pPr>
              <w:pStyle w:val="16"/>
              <w:jc w:val="center"/>
              <w:rPr>
                <w:rFonts w:ascii="仿宋" w:hAnsi="仿宋"/>
                <w:b/>
                <w:sz w:val="22"/>
              </w:rPr>
            </w:pPr>
            <w:r>
              <w:rPr>
                <w:rFonts w:hint="eastAsia" w:ascii="仿宋" w:hAnsi="仿宋"/>
                <w:b/>
                <w:sz w:val="22"/>
              </w:rPr>
              <w:t>三级指标</w:t>
            </w:r>
          </w:p>
        </w:tc>
        <w:tc>
          <w:tcPr>
            <w:tcW w:w="2637" w:type="dxa"/>
            <w:shd w:val="clear" w:color="auto" w:fill="B6DDE8" w:themeFill="accent5" w:themeFillTint="66"/>
          </w:tcPr>
          <w:p>
            <w:pPr>
              <w:pStyle w:val="16"/>
              <w:jc w:val="center"/>
              <w:rPr>
                <w:rFonts w:ascii="仿宋" w:hAnsi="仿宋"/>
                <w:b/>
                <w:sz w:val="22"/>
              </w:rPr>
            </w:pPr>
            <w:r>
              <w:rPr>
                <w:rFonts w:hint="eastAsia" w:ascii="仿宋" w:hAnsi="仿宋"/>
                <w:b/>
                <w:sz w:val="2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tcPr>
          <w:p>
            <w:pPr>
              <w:pStyle w:val="16"/>
              <w:rPr>
                <w:rFonts w:ascii="仿宋" w:hAnsi="仿宋" w:cs="仿宋_GB2312"/>
                <w:sz w:val="22"/>
              </w:rPr>
            </w:pPr>
            <w:r>
              <w:rPr>
                <w:rFonts w:hint="eastAsia" w:ascii="仿宋" w:hAnsi="仿宋" w:cs="仿宋_GB2312"/>
                <w:sz w:val="22"/>
              </w:rPr>
              <w:t>技术考核目标</w:t>
            </w:r>
          </w:p>
        </w:tc>
        <w:tc>
          <w:tcPr>
            <w:tcW w:w="1138" w:type="dxa"/>
            <w:vMerge w:val="restart"/>
          </w:tcPr>
          <w:p>
            <w:pPr>
              <w:pStyle w:val="16"/>
              <w:rPr>
                <w:rFonts w:ascii="仿宋" w:hAnsi="仿宋" w:cs="仿宋_GB2312"/>
                <w:sz w:val="22"/>
              </w:rPr>
            </w:pPr>
            <w:r>
              <w:rPr>
                <w:rFonts w:hint="eastAsia" w:ascii="仿宋" w:hAnsi="仿宋" w:cs="仿宋_GB2312"/>
                <w:sz w:val="22"/>
              </w:rPr>
              <w:t>产出指标</w:t>
            </w:r>
          </w:p>
        </w:tc>
        <w:tc>
          <w:tcPr>
            <w:tcW w:w="1134" w:type="dxa"/>
          </w:tcPr>
          <w:p>
            <w:pPr>
              <w:pStyle w:val="16"/>
              <w:rPr>
                <w:rFonts w:ascii="仿宋" w:hAnsi="仿宋" w:cs="仿宋_GB2312"/>
                <w:sz w:val="22"/>
              </w:rPr>
            </w:pPr>
            <w:r>
              <w:rPr>
                <w:rFonts w:hint="eastAsia" w:ascii="仿宋" w:hAnsi="仿宋" w:cs="仿宋_GB2312"/>
                <w:sz w:val="22"/>
              </w:rPr>
              <w:t>质量指标</w:t>
            </w:r>
          </w:p>
        </w:tc>
        <w:tc>
          <w:tcPr>
            <w:tcW w:w="2693" w:type="dxa"/>
          </w:tcPr>
          <w:p>
            <w:pPr>
              <w:pStyle w:val="16"/>
              <w:rPr>
                <w:rFonts w:ascii="仿宋" w:hAnsi="仿宋" w:cs="仿宋_GB2312"/>
                <w:sz w:val="22"/>
              </w:rPr>
            </w:pPr>
            <w:r>
              <w:rPr>
                <w:rFonts w:hint="eastAsia" w:ascii="仿宋" w:hAnsi="仿宋" w:cs="仿宋_GB2312"/>
                <w:sz w:val="22"/>
              </w:rPr>
              <w:t>平台建设符合《软件系统验收规范》（GB/T28035）、《系统与软件工程验证与确认》（GB/T32423）</w:t>
            </w:r>
          </w:p>
        </w:tc>
        <w:tc>
          <w:tcPr>
            <w:tcW w:w="2637" w:type="dxa"/>
          </w:tcPr>
          <w:p>
            <w:pPr>
              <w:pStyle w:val="16"/>
              <w:rPr>
                <w:rFonts w:ascii="仿宋" w:hAnsi="仿宋" w:cs="仿宋_GB2312"/>
                <w:sz w:val="22"/>
              </w:rPr>
            </w:pPr>
            <w:r>
              <w:rPr>
                <w:rFonts w:hint="eastAsia" w:ascii="仿宋" w:hAnsi="仿宋" w:cs="仿宋_GB2312"/>
                <w:sz w:val="22"/>
              </w:rPr>
              <w:t>100%符合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pStyle w:val="16"/>
              <w:rPr>
                <w:rFonts w:ascii="仿宋" w:hAnsi="仿宋" w:cs="仿宋_GB2312"/>
                <w:sz w:val="22"/>
              </w:rPr>
            </w:pPr>
          </w:p>
        </w:tc>
        <w:tc>
          <w:tcPr>
            <w:tcW w:w="1138" w:type="dxa"/>
            <w:vMerge w:val="continue"/>
          </w:tcPr>
          <w:p>
            <w:pPr>
              <w:pStyle w:val="16"/>
              <w:rPr>
                <w:rFonts w:ascii="仿宋" w:hAnsi="仿宋" w:cs="仿宋_GB2312"/>
                <w:sz w:val="22"/>
              </w:rPr>
            </w:pPr>
          </w:p>
        </w:tc>
        <w:tc>
          <w:tcPr>
            <w:tcW w:w="1134" w:type="dxa"/>
          </w:tcPr>
          <w:p>
            <w:pPr>
              <w:pStyle w:val="16"/>
              <w:rPr>
                <w:rFonts w:ascii="仿宋" w:hAnsi="仿宋" w:cs="仿宋_GB2312"/>
                <w:sz w:val="22"/>
              </w:rPr>
            </w:pPr>
            <w:r>
              <w:rPr>
                <w:rFonts w:hint="eastAsia" w:ascii="仿宋" w:hAnsi="仿宋" w:cs="仿宋_GB2312"/>
                <w:sz w:val="22"/>
              </w:rPr>
              <w:t>性能指标</w:t>
            </w:r>
          </w:p>
        </w:tc>
        <w:tc>
          <w:tcPr>
            <w:tcW w:w="2693" w:type="dxa"/>
          </w:tcPr>
          <w:p>
            <w:pPr>
              <w:pStyle w:val="16"/>
              <w:rPr>
                <w:rFonts w:ascii="仿宋" w:hAnsi="仿宋" w:cs="仿宋_GB2312"/>
                <w:sz w:val="22"/>
              </w:rPr>
            </w:pPr>
            <w:r>
              <w:rPr>
                <w:rFonts w:hint="eastAsia" w:ascii="仿宋" w:hAnsi="仿宋" w:cs="仿宋_GB2312"/>
                <w:sz w:val="22"/>
              </w:rPr>
              <w:t>要求通过浏览器添加数据记录的系统响应时间小于2秒；通过浏览器进行一般查询的系统时间小于5秒；通过浏览器进行综合查询和分析的系统响应时间小于10秒</w:t>
            </w:r>
          </w:p>
          <w:p>
            <w:pPr>
              <w:pStyle w:val="16"/>
              <w:rPr>
                <w:rFonts w:ascii="仿宋" w:hAnsi="仿宋" w:cs="仿宋_GB2312"/>
                <w:sz w:val="22"/>
              </w:rPr>
            </w:pPr>
            <w:r>
              <w:rPr>
                <w:rFonts w:hint="eastAsia" w:ascii="仿宋" w:hAnsi="仿宋" w:cs="仿宋_GB2312"/>
                <w:sz w:val="22"/>
              </w:rPr>
              <w:t>本期项目系统在验收前应进行系统压力测试，保证主要业务流程性能达到优化水平，在网络速度和终端配置有保证的前提下，最终用户操作不应该感觉明显时滞。当系统数据量增加和连接用户增加时，系统应具有良好的可伸缩性以满足对系统的功能、性能的要求</w:t>
            </w:r>
          </w:p>
        </w:tc>
        <w:tc>
          <w:tcPr>
            <w:tcW w:w="2637" w:type="dxa"/>
          </w:tcPr>
          <w:p>
            <w:pPr>
              <w:pStyle w:val="16"/>
              <w:rPr>
                <w:rFonts w:ascii="仿宋" w:hAnsi="仿宋" w:cs="仿宋_GB2312"/>
                <w:sz w:val="22"/>
              </w:rPr>
            </w:pPr>
            <w:r>
              <w:rPr>
                <w:rFonts w:hint="eastAsia" w:ascii="仿宋" w:hAnsi="仿宋" w:cs="仿宋_GB2312"/>
                <w:sz w:val="22"/>
              </w:rPr>
              <w:t>要求通过浏览器添加数据记录的系统响应时间小于2秒；通过浏览器进行一般查询的系统时间小于5秒；通过浏览器进行综合查询和分析的系统响应时间小于10秒</w:t>
            </w:r>
          </w:p>
          <w:p>
            <w:pPr>
              <w:pStyle w:val="16"/>
              <w:rPr>
                <w:rFonts w:ascii="仿宋" w:hAnsi="仿宋" w:cs="仿宋_GB2312"/>
                <w:sz w:val="22"/>
              </w:rPr>
            </w:pPr>
            <w:r>
              <w:rPr>
                <w:rFonts w:hint="eastAsia" w:ascii="仿宋" w:hAnsi="仿宋" w:cs="仿宋_GB2312"/>
                <w:sz w:val="22"/>
              </w:rPr>
              <w:t>本期项目系统在验收前应进行系统压力测试，保证主要业务流程性能达到优化水平，在网络速度和终端配置有保证的前提下，最终用户操作不应该感觉明显时滞。当系统数据量增加和连接用户增加时，系统应具有良好的可伸缩性以满足对系统的功能、性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vMerge w:val="continue"/>
          </w:tcPr>
          <w:p>
            <w:pPr>
              <w:pStyle w:val="16"/>
              <w:rPr>
                <w:rFonts w:ascii="仿宋" w:hAnsi="仿宋" w:cs="仿宋_GB2312"/>
                <w:sz w:val="22"/>
              </w:rPr>
            </w:pPr>
          </w:p>
        </w:tc>
        <w:tc>
          <w:tcPr>
            <w:tcW w:w="1138" w:type="dxa"/>
            <w:vMerge w:val="continue"/>
          </w:tcPr>
          <w:p>
            <w:pPr>
              <w:pStyle w:val="16"/>
              <w:rPr>
                <w:rFonts w:ascii="仿宋" w:hAnsi="仿宋" w:cs="仿宋_GB2312"/>
                <w:sz w:val="22"/>
              </w:rPr>
            </w:pPr>
          </w:p>
        </w:tc>
        <w:tc>
          <w:tcPr>
            <w:tcW w:w="1134" w:type="dxa"/>
          </w:tcPr>
          <w:p>
            <w:pPr>
              <w:pStyle w:val="16"/>
              <w:rPr>
                <w:rFonts w:ascii="仿宋" w:hAnsi="仿宋" w:cs="仿宋_GB2312"/>
                <w:sz w:val="22"/>
              </w:rPr>
            </w:pPr>
            <w:r>
              <w:rPr>
                <w:rFonts w:hint="eastAsia" w:ascii="仿宋" w:hAnsi="仿宋" w:cs="仿宋_GB2312"/>
                <w:sz w:val="22"/>
              </w:rPr>
              <w:t>安全考核指标</w:t>
            </w:r>
          </w:p>
        </w:tc>
        <w:tc>
          <w:tcPr>
            <w:tcW w:w="2693" w:type="dxa"/>
          </w:tcPr>
          <w:p>
            <w:pPr>
              <w:pStyle w:val="16"/>
              <w:rPr>
                <w:rFonts w:ascii="仿宋" w:hAnsi="仿宋" w:cs="仿宋_GB2312"/>
                <w:sz w:val="22"/>
              </w:rPr>
            </w:pPr>
            <w:r>
              <w:rPr>
                <w:rFonts w:hint="eastAsia" w:ascii="仿宋" w:hAnsi="仿宋" w:cs="仿宋_GB2312"/>
                <w:sz w:val="22"/>
              </w:rPr>
              <w:t>系统应保证信息的安全性，即保证此系统中的信息能够安全存储，并有良好的数据备份和快速恢复方案</w:t>
            </w:r>
          </w:p>
          <w:p>
            <w:pPr>
              <w:pStyle w:val="16"/>
              <w:rPr>
                <w:rFonts w:ascii="仿宋" w:hAnsi="仿宋" w:cs="仿宋_GB2312"/>
                <w:sz w:val="22"/>
              </w:rPr>
            </w:pPr>
            <w:r>
              <w:rPr>
                <w:rFonts w:hint="eastAsia" w:ascii="仿宋" w:hAnsi="仿宋" w:cs="仿宋_GB2312"/>
                <w:sz w:val="22"/>
              </w:rPr>
              <w:t>保证数据在处理和传输全过程的安全性。系统支持对关键的信息进行加密保存，同时支持对一些比较重要的业务数据在传送和存储过程中进行加密保护</w:t>
            </w:r>
          </w:p>
          <w:p>
            <w:pPr>
              <w:pStyle w:val="16"/>
              <w:rPr>
                <w:rFonts w:ascii="仿宋" w:hAnsi="仿宋" w:cs="仿宋_GB2312"/>
                <w:sz w:val="22"/>
              </w:rPr>
            </w:pPr>
            <w:r>
              <w:rPr>
                <w:rFonts w:hint="eastAsia" w:ascii="仿宋" w:hAnsi="仿宋" w:cs="仿宋_GB2312"/>
                <w:sz w:val="22"/>
              </w:rPr>
              <w:t>保证系统中的信息不被非授权用户访问，按组织结构划分操作人员的操作权限，且各种使用权限所能调用的应用软件模块可按要求灵活配置</w:t>
            </w:r>
          </w:p>
        </w:tc>
        <w:tc>
          <w:tcPr>
            <w:tcW w:w="2637" w:type="dxa"/>
          </w:tcPr>
          <w:p>
            <w:pPr>
              <w:pStyle w:val="16"/>
              <w:rPr>
                <w:rFonts w:ascii="仿宋" w:hAnsi="仿宋" w:cs="仿宋_GB2312"/>
                <w:sz w:val="22"/>
              </w:rPr>
            </w:pPr>
            <w:r>
              <w:rPr>
                <w:rFonts w:hint="eastAsia" w:ascii="仿宋" w:hAnsi="仿宋" w:cs="仿宋_GB2312"/>
                <w:sz w:val="22"/>
              </w:rPr>
              <w:t>系统应保证信息的安全性，即保证此系统中的信息能够安全存储，并有良好的数据备份和快速恢复方案</w:t>
            </w:r>
          </w:p>
          <w:p>
            <w:pPr>
              <w:pStyle w:val="16"/>
              <w:rPr>
                <w:rFonts w:ascii="仿宋" w:hAnsi="仿宋" w:cs="仿宋_GB2312"/>
                <w:sz w:val="22"/>
              </w:rPr>
            </w:pPr>
            <w:r>
              <w:rPr>
                <w:rFonts w:hint="eastAsia" w:ascii="仿宋" w:hAnsi="仿宋" w:cs="仿宋_GB2312"/>
                <w:sz w:val="22"/>
              </w:rPr>
              <w:t>保证数据在处理和传输全过程的安全性。系统支持对关键的信息进行加密保存，同时支持对一些比较重要的业务数据在传送和存储过程中进行加密保护</w:t>
            </w:r>
          </w:p>
          <w:p>
            <w:pPr>
              <w:pStyle w:val="16"/>
              <w:rPr>
                <w:rFonts w:ascii="仿宋" w:hAnsi="仿宋" w:cs="仿宋_GB2312"/>
                <w:sz w:val="22"/>
              </w:rPr>
            </w:pPr>
            <w:r>
              <w:rPr>
                <w:rFonts w:hint="eastAsia" w:ascii="仿宋" w:hAnsi="仿宋" w:cs="仿宋_GB2312"/>
                <w:sz w:val="22"/>
              </w:rPr>
              <w:t>保证系统中的信息不被非授权用户访问，按组织结构划分操作人员的操作权限，且各种使用权限所能调用的应用软件模块可按要求灵活配置</w:t>
            </w:r>
          </w:p>
        </w:tc>
      </w:tr>
    </w:tbl>
    <w:p/>
    <w:p>
      <w:pPr>
        <w:pStyle w:val="2"/>
      </w:pPr>
      <w:bookmarkStart w:id="13" w:name="_Toc47537166"/>
      <w:bookmarkEnd w:id="13"/>
      <w:bookmarkStart w:id="14" w:name="_Toc47533288"/>
      <w:bookmarkEnd w:id="14"/>
      <w:bookmarkStart w:id="15" w:name="_Toc47536676"/>
      <w:bookmarkEnd w:id="15"/>
      <w:bookmarkStart w:id="16" w:name="_Toc47532923"/>
      <w:bookmarkEnd w:id="16"/>
      <w:bookmarkStart w:id="17" w:name="_Toc47536304"/>
      <w:bookmarkEnd w:id="17"/>
      <w:bookmarkStart w:id="18" w:name="_Toc47539102"/>
      <w:bookmarkEnd w:id="18"/>
      <w:r>
        <w:rPr>
          <w:rFonts w:hint="eastAsia"/>
        </w:rPr>
        <w:t>项目建设内容</w:t>
      </w:r>
    </w:p>
    <w:p>
      <w:pPr>
        <w:pStyle w:val="3"/>
        <w:numPr>
          <w:ilvl w:val="1"/>
          <w:numId w:val="6"/>
        </w:numPr>
      </w:pPr>
      <w:r>
        <w:rPr>
          <w:rFonts w:hint="eastAsia"/>
        </w:rPr>
        <w:t xml:space="preserve"> 系统架构</w:t>
      </w:r>
    </w:p>
    <w:p>
      <w:pPr>
        <w:ind w:firstLine="0" w:firstLineChars="0"/>
        <w:rPr>
          <w:rFonts w:hint="eastAsia"/>
        </w:rPr>
      </w:pPr>
      <w:r>
        <w:rPr>
          <w:rFonts w:hint="eastAsia"/>
        </w:rPr>
        <w:drawing>
          <wp:inline distT="0" distB="0" distL="0" distR="0">
            <wp:extent cx="5067935" cy="777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72985" cy="7786599"/>
                    </a:xfrm>
                    <a:prstGeom prst="rect">
                      <a:avLst/>
                    </a:prstGeom>
                    <a:noFill/>
                    <a:ln>
                      <a:noFill/>
                    </a:ln>
                  </pic:spPr>
                </pic:pic>
              </a:graphicData>
            </a:graphic>
          </wp:inline>
        </w:drawing>
      </w:r>
    </w:p>
    <w:p>
      <w:r>
        <w:rPr>
          <w:rFonts w:hint="eastAsia"/>
        </w:rPr>
        <w:t>本期项目建设内容涉及执法队伍、执法人员教育培训、执法人员服装管理、城管执法内控管理、电子政务平台改造等功能。图中列出的模块（应用层）为新增或改造。</w:t>
      </w:r>
    </w:p>
    <w:p>
      <w:pPr>
        <w:pStyle w:val="3"/>
        <w:numPr>
          <w:ilvl w:val="1"/>
          <w:numId w:val="6"/>
        </w:numPr>
      </w:pPr>
      <w:r>
        <w:rPr>
          <w:rFonts w:hint="eastAsia"/>
        </w:rPr>
        <w:t>软件开发清单</w:t>
      </w:r>
    </w:p>
    <w:tbl>
      <w:tblPr>
        <w:tblStyle w:val="35"/>
        <w:tblW w:w="8359" w:type="dxa"/>
        <w:tblInd w:w="113" w:type="dxa"/>
        <w:tblLayout w:type="autofit"/>
        <w:tblCellMar>
          <w:top w:w="0" w:type="dxa"/>
          <w:left w:w="108" w:type="dxa"/>
          <w:bottom w:w="0" w:type="dxa"/>
          <w:right w:w="108" w:type="dxa"/>
        </w:tblCellMar>
      </w:tblPr>
      <w:tblGrid>
        <w:gridCol w:w="911"/>
        <w:gridCol w:w="1559"/>
        <w:gridCol w:w="2977"/>
        <w:gridCol w:w="2912"/>
      </w:tblGrid>
      <w:tr>
        <w:tblPrEx>
          <w:tblCellMar>
            <w:top w:w="0" w:type="dxa"/>
            <w:left w:w="108" w:type="dxa"/>
            <w:bottom w:w="0" w:type="dxa"/>
            <w:right w:w="108" w:type="dxa"/>
          </w:tblCellMar>
        </w:tblPrEx>
        <w:trPr>
          <w:trHeight w:val="280" w:hRule="atLeast"/>
          <w:tblHeader/>
        </w:trPr>
        <w:tc>
          <w:tcPr>
            <w:tcW w:w="911" w:type="dxa"/>
            <w:tcBorders>
              <w:top w:val="single" w:color="auto" w:sz="4" w:space="0"/>
              <w:left w:val="single" w:color="auto" w:sz="4" w:space="0"/>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序号</w:t>
            </w:r>
          </w:p>
        </w:tc>
        <w:tc>
          <w:tcPr>
            <w:tcW w:w="1559" w:type="dxa"/>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应用系统名称</w:t>
            </w:r>
          </w:p>
        </w:tc>
        <w:tc>
          <w:tcPr>
            <w:tcW w:w="2977" w:type="dxa"/>
            <w:tcBorders>
              <w:top w:val="single" w:color="auto" w:sz="4" w:space="0"/>
              <w:left w:val="nil"/>
              <w:bottom w:val="single" w:color="auto" w:sz="4" w:space="0"/>
              <w:right w:val="single" w:color="auto" w:sz="4" w:space="0"/>
            </w:tcBorders>
            <w:shd w:val="clear" w:color="000000" w:fill="F3F8FC"/>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模块名称</w:t>
            </w:r>
          </w:p>
        </w:tc>
        <w:tc>
          <w:tcPr>
            <w:tcW w:w="2912" w:type="dxa"/>
            <w:tcBorders>
              <w:top w:val="single" w:color="auto" w:sz="4" w:space="0"/>
              <w:left w:val="nil"/>
              <w:bottom w:val="single" w:color="auto" w:sz="4" w:space="0"/>
              <w:right w:val="single" w:color="auto" w:sz="4" w:space="0"/>
            </w:tcBorders>
            <w:shd w:val="clear" w:color="000000" w:fill="F3F8FC"/>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模块描述</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督办处理（新增）-督办管理-督办件管理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督办件将分为子项和主项</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督办处理（新增）-督办管理-办理期限管理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系统需要支持主件和子件具有各自独立的办理期限</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督办处理（新增）-督办管理-区局流程</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系统将督办流程需要拓展到区局</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督办处理（新增）-督办管理-随申办政务云督办处理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xml:space="preserve">领导可以通过随申办政务云对督办的主件或子件进行核签 </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督办处理（新增）-督办签批-督办签批</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领导及各部门可以对主件进行签批</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督办处理（新增）-督办签批-督办办结</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主办部门可以向主管部门申请子件的办结</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每月工作重点安排-重点安排征集-上报重点工作</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各部门通过系统上报本月的重点工作</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每月工作重点安排-汇总审批-汇总上报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办公室工作人员将各部门的重点工作安排进行汇总上报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每月工作重点安排-汇总审批-主要领导审核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领导可以审核汇总后的各部门重点安排</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每月工作重点安排-汇总审批-汇总发布</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主要领导确认后，办公室对领导审核通过的安排进行发布</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每月工作重点安排-完成情况反馈-各部门对计划完成的工作进行反馈</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每月月底填写完成情况反馈</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随申办政务云移动端(新增)-统一“一网协同”对接-用户体系对接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参照组织人员对接规范进行技术开发</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随申办政务云移动端(新增)-统一“一网协同”对接-单点登录对接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“随申办政务云”城管电子政务单点登录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随申办政务云移动端(新增)-统一“一网协同”对接-应用健康状态监测对接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开发应用健康状态监测功能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随申办政务云移动端(新增)-统一“一网协同”对接-统一待办对接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城管电子政务平台将对接市“一网协同”待办</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随申办政务云移动端(新增)-统一“一网协同”对接-关键业务数据上报对接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相关业务流程的任务信息和任务状态等信息对“一网协同”进行上报</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随申办政务云移动端(新增)-统一“一网协同”对接-协同中枢对接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根据 “一网协同”协同中枢要求，进行对接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随申办政务云移动端(新增)-移动端会议管理-单位会议（一周会议安排）</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开发单位一周会议安排页面</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随申办政务云移动端(新增)-移动端会议管理-会议参与（报名）</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开发会议报名功能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随申办政务云移动端(新增)-移动端会议管理-会议分配</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开发会议分配功能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随申办政务云移动端(新增)-移动端会议管理-局内会议登记</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开发局内会议移动端登记功能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随申办政务云移动端(新增)-移动端会议管理-会议审批</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会议管理员可以通过随申办政务云直接审核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随申办政务云移动端(新增)-移动端会议管理-会议签报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可以通过随申办政务云在会议现场进行会议签报登记</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随申办政务云移动端(新增)-公文处理-收文核签</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通过系统对收文进行核签</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随申办政务云移动端(新增)-公文处理-发文核签</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通过系统可以对发文进行核签</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随申办政务云移动端(新增)-公文处理-公文阅读</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工作人员通过随申办政务云对发文、公文进行阅读</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随申办政务云移动端(新增)-公文处理-公文外发</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通过手机端功能对发文进行外发</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随申办政务云移动端(新增)-签报-签报审批</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领导可以通过随申办政务云签批签报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随申办政务云移动端(新增)-通知管理-我的通知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通过随申办政务云的“我的通知”功能可以查看发给本人的通知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随申办政务云移动端(新增)-通知管理-单位通知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通过随申办政务云查看发送到单位的通知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随申办政务云移动端(新增)-通知管理-通知审核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实现通过手机端对通知进行逐级审核处理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随申办政务云移动端(新增)-绩效考核-工作记实</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开发工作记实功能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随申办政务云移动端(新增)-政务信息浏览-政务信浏览</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通过随申办政务云浏览各单位发送的政务信息</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随申办政务云移动端(新增)-门户改造-门户改造（PC 网页端）</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完成与一体化办公平台完成统一用户体系对接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城管执法电子政务平台</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ascii="等线" w:hAnsi="等线" w:eastAsia="等线"/>
                <w:color w:val="000000"/>
                <w:sz w:val="22"/>
                <w:szCs w:val="22"/>
              </w:rPr>
              <w:t>密码功能改造</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ascii="等线" w:hAnsi="等线" w:eastAsia="等线"/>
                <w:color w:val="000000"/>
                <w:sz w:val="22"/>
                <w:szCs w:val="22"/>
              </w:rPr>
              <w:t>用户身份认证机制模块、用户访问控制信息签名验签模块、应用系统重要数据签名验签模块、服务器虚拟机设备日志</w:t>
            </w:r>
            <w:r>
              <w:rPr>
                <w:rFonts w:ascii="等线" w:hAnsi="等线" w:eastAsia="等线"/>
                <w:color w:val="000000"/>
                <w:sz w:val="22"/>
                <w:szCs w:val="22"/>
              </w:rPr>
              <w:t>/访问、重要数据安全传输模块、重要可执行程序签名验签模块</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执法人员绩效考核(改造)-领导首页展示</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展示执法人员当天及前一天“日记实”情况</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执法人员绩效考核(改造)-日记实-自动“日记实”</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系统自动记录相关记实</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执法人员绩效考核(改造)-日记实-手动“日记实”</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执法人员使用系统手动记录自己的日常工作；</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执法人员绩效考核(改造)-日记实-“日记实”导出</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城管执法人员可以将本人或本单位执法人员的“日记实”</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日记实分类管理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系统对城管执法人员日记实进行分析</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执法人员绩效考核(改造)-月考核-考核规则优化管理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系统提供开发客观分指标分析功能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执法人员绩效考核(改造)-月考核-自动生成加分项</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系统可以智能分析“日记实”</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执法人员绩效考核(改造)-月考核-算分模式优化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系统使用每日算分替换原有每月算分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执法人员绩效考核(改造)-考核数据运用-月评优人员分析</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系统对考核得分和等次异常的人员进行分析</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执法人员绩效考核(改造)-考核数据运用-人才考核追踪</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跟踪标记为人员库人才的城管执法人员的考核情况进行跟踪；</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执法人员绩效考核(改造)-考核数据运用-“双十佳”参选人员考核情况</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为“双十佳”参选人员，自动生成历年考核情况分析表；</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执法人员绩效考核(改造)-随申办政务云“日记实”</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 xml:space="preserve">日记实功能接入“随申办政务云” </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执法人员绩效考核(改造)-考核数据运用-随申办政务云“考核情况”展示</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执法人员通过“随申办政务云”的“考核情况”功能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执法人员绩效考核(改造)-考核数据运用-随申办政务云 “考核打分”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领导可以通过随申办政务云进行考核评分。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执法人员绩效考核(改造)-考核数据运用-随申办政务云“等次评定”</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领导可以通过随申办政务云进行等次评定。</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执法人员绩效考核(改造)-考核数据运用-随申办政务云“评分复核”申请</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队员可以通过随申办政务云提出复核申请</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执法人员绩效考核(改造)-考核数据运用-随申办政务云“复核反馈”</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可以通过随申办政务云收到复核申请并反馈。</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星级中队(新增)-星级示范中队管理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各区可以进行星级推选</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星级中队(新增)-申报用房信息自动填报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新增中队用房信息管理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督察证管理(改造)-督察证管理-督察证检索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督察证申办时支持人员搜索功能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督察证管理(改造)-督察证管理-电子督察证生成</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生成电子版督察证</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督察证管理(改造)-自查报告-自动生成自查报告</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自动生成自查报告导引表单。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督察证管理(改造)-自查报告-生成自查客观分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计算自查报告的客观分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督察证管理(改造)-自查报告-主观分自评</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提供主观分自评功能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督察证管理(改造)-体征表-自动生成中队体检报告</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系统为每个中队生成体检报告</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督察证管理(改造)-雷达图-生成中队能级雷达图</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根据考核评分值，生成中队能级六边形雷达图。</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执法人员培训要素管理(改造)-师资管理优化-师资入库审核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提供功能，对师资和课程进行审核</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执法人员培训要素管理(改造)-资源管理优化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师资库、课程库的列表页、详情页信息关联管理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执法人员培训要素管理(改造)-学员学籍管理-学员岗位变化记录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学员库中显示学员的岗位变化记录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执法人员培训要素管理(改造)-学员学籍管理-执法证到期提醒</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学员执法证到期提醒</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执法人员培训要素管理(改造)-学员学籍管理-人员借用</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从人员库获取借用人员借用信息数据，并进行标记处理。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执法人员培训要素管理(改造)-学时学分管理-学时学分功能优化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系统自动结算学时学分</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执法人员培训要素管理(改造)-教材教辅优化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对学员端课程和课件的附件进行筛选</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执法人员培训要素管理(改造)-课程管理-增加学习科目</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系统将课程赋给老师</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执法人员培训要素管理(改造)-课程管理-知识点管理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管理人员针对每一个课程设置检查知识点</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执法人员培训管理(改造)-培训项目-培训手册生成</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系统支持根据填写的培训信息</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执法人员培训管理(改造)-培训项目-参训人员</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增加参训人员批量导入的功能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执法人员培训管理(改造)-培训方案-培训方案改造</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管理人员上传电子培训方案功能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执法人员培训管理(改造)-培训方案-方案审核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培训审核增加可单独审核单个计划的功能</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执法人员培训管理(改造)-优秀学员管理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记录并生成、发放优秀学员证书</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执法人员培训管理(改造)-培训评价-评价分值汇总</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增加对评价进行汇总的功能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执法人员培训管理(改造)-培训评价-学员端评价优化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将师资评价、课程评价、组织方评价合并打分。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执法人员培训管理(改造)-培训评价-评价规则设置</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市局管理员可以设置全市统一的评价规则</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执法人员培训管理(改造)-初任上岗培训</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对进行中的初任上岗培训进行管理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法人员培训管理(改造)-执科队学习-学习证据管理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增加要求上传不同角度现场照片、签到表照片等材料的功能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执法人员培训管理(改造)-执科队学习-学习主题管理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在队员学习时，增加自动过滤功能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执法人员培训管理(改造)-执科队学习-教员选择优化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优化填写教员功能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执法人员培训管理(改造)-通知消息-通知回执功能</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接收方可以回复消息以及上传回复材料</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执法人员培训教学管理(改造)-考试管理-考试记录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系统记录城管执法队员的模拟考试和正式考试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执法人员培训教学管理(改造)-考试管理-在线刷题</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增加在线刷题辅助功能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执法人员培训教学管理(改造)-考试管理-题库管理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学员使用题库导出功能将题库所有题目导出为word下载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执法人员培训教学管理(改造)-考试管理-考试成绩管理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增加成绩手动发布功能</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执法人员培训教学管理(改造)-考试管理-考场安排功能优化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增加随机选取考生到考场中的功能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执法人员培训教学管理(改造)-队列训练-训练视频管理优化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系统视频管理支持上传多个训练视频</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执法人员培训教学管理(改造)-队列训练-训练人员选择优化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解决因人员存在借出或借入的情况</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执法人员培训教学管理(改造)-队列训练-训练视频文件管理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优化视频上传功能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执法人员培训教学管理(改造)-队列训练-队列训练汇总</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系统自动汇总上月的队列训练数据</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执法人员培训教学管理(改造)-队列训练-会操上报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新增区局队列会操上报功能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执法人员培训教学管理(改造)-体能项目管理-外部体测裁判管理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区局体测裁判管理，可以选择外部人员和系统内部人员。</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执法人员培训随申办移动端(新增)-移动端首页</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搭建移动端教培首页</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执法人员培训随申办移动端(新增)-移动端视频</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学员可在移动端查询及观看学习视频</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执法人员培训随申办移动端(新增)-移动端考试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管理员发布的类型为在线考试的考试，学员可在移动端参加</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执法人员培训随申办移动端(新增)-移动端签到</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学员可在移动端完成培训签到，签到根据位置信息进行判断</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执法人员培训随申办移动端(新增)-初任培训移动端</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城管执法人员参加初任培训时，除其基本信息外，需登记并提交身高、鞋码等信息</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执法人员培训随申办移动端(新增)-个人信息管理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学员可在移动端，查看到自己的情况</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执法人员培训随申办移动端(新增)-提交心得体会</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增加学员心得体会管理功能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执法人员培训随申办移动端(新增)-培训评价</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增加培训评价功能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执法人员培训随申办移动端(新增)-问卷调查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增加调查问卷功能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执法人员培训随申办移动端(新增)-考试记录查询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学员可在移动端查看自己的考试记录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执法人员培训随申办移动端(新增)-培训记录查询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学员可在移动端查看自己参加的培训记录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执法人员培训随申办移动端(新增)-调整培训日程安排</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使用移动端进行日程调整</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执法人员培训随申办移动端(新增)-查看培训考勤</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移动端增加给培训管理员查看培训考勤和评价完成情况的功能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执法人员培训随申办移动端(新增)-随申办政务云用户对接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接入随申办政务云的用户体系</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执法人员培训随申办移动端(新增)-随申办政务云待办对接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将待办事项推送到随申办政务云的待办中，以提醒用户</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执法人员个性化制服管理(新增)-个性化制服管理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维护本单位商品</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执法人员个性化制服管理(新增)-桌面端制服申领优化</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增加个性化制服申领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执法人员个性化制服管理(新增)-个性化制服批次导出</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申领的相关信息导出功能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服装随申办移动端(新增)-按需申领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使用移动端进行制服按需申领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服装随申办移动端(新增)-零星申领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使用随申办进行制服附件等产品的库存申领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服装随申办移动端(新增)-申领车</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移动端申领车类似于手机购物车</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服装随申办移动端(新增)-制服领用</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执法队员使用移动端领取功能，核对自己已经申领的物品，并确认已领取</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服装随申办移动端(新增)-评价</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对制服产品进行评价</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服装随申办移动端(新增)-申领历史</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移动端查看本人历年申领的服装情况</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服装随申办移动端(新增)-随申办政务云接入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接入随申办政务云的用户体系</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预算管理内部控制-内部控制基础信息管理-资金来源管理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对资金来源进行管理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预算管理内部控制-内部控制基础信息管理-资金性质管理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对资金的性质进行管理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预算管理内部控制-内部控制基础信息管理-功能科目管理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对资金功能科目进行管理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预算管理内部控制-内部控制基础信息管理-经济科目管理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对资金经济科目进行管理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预算管理内部控制-内部控制基础信息管理-明细科目管理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对资金明细科目进行管理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预算管理内部控制-内部控制基础信息管理-政府经济科目管理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对资金功能科目进行管理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预算管理内部控制-内部控制基础信息管理-项目类型</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对项目类型进行管理</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预算管理内部控制-内部控制基础信息管理-项目名称管理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对资金功能科目进行管理</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预算管理内部控制-项目库管理-导入库管理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可以通过excel表格的方式</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预算管理内部控制-项目库管理-填报库管理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填报及审核功能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预算管理内部控制-项目库管理-备选库管理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维护备选项目信息</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预算管理内部控制-项目库管理-项目支出预算申报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各业务处室可以对本部门的项目预算进行申报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预算管理内部控制-项目库管理-项目支出预算审核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项目支出预算申报后需经部门负责人、分管领导及财务等多级审核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预算管理内部控制-项目库管理-项目支出申报查询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可通过各类条件进行查询</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预算管理内部控制-项目库管理-构成管理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支持对资金构成进行维护</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预算管理内部控制-指标管理-指标新增与审核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系统支持各部门自行新增预算指标</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预算管理内部控制-指标管理-指标变更与审核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提供指标变更功能</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预算管理内部控制-指标管理-指标调剂</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财务可以在各部门之间预算指标的调剂</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预算管理内部控制-指标管理-指标数据查询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各部门可以查询本部门的指标数据</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预算管理内部控制-预算管理-人员经费申报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财务部门可以进行人员经费的相关申报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预算管理内部控制-预算管理-公用经费申报</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办公室可以进行办公经费的相关申报</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预算管理内部控制-预算执行控制-部门执行控制</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对各项目预算的执行情况进行管理</w:t>
            </w:r>
          </w:p>
        </w:tc>
      </w:tr>
      <w:tr>
        <w:tblPrEx>
          <w:tblCellMar>
            <w:top w:w="0" w:type="dxa"/>
            <w:left w:w="108" w:type="dxa"/>
            <w:bottom w:w="0" w:type="dxa"/>
            <w:right w:w="108" w:type="dxa"/>
          </w:tblCellMar>
        </w:tblPrEx>
        <w:trPr>
          <w:trHeight w:val="112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预算管理内部控制-预算执行控制-项目执行控制</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对全局的预算项目构成执行情况进行汇总</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预算管理内部控制-预算执行控制-执行时间控制</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汇总各项目的执行情况，对于未按时间进度执行的项目，提醒相关部门和责任人</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收支管理内部控制-日常经费报销单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所有用户都可以通过系统提交日常经费的报销单</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收支管理内部控制-日常经费报销单审核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由各级领导进行审核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收支管理内部控制-经常性经费报销单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经常性报销单申请</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收支管理内部控制-经常性报销单审核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由各级领导进行审核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收支管理内部控制-差旅费报销单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各部门可以填报差旅性报销单</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收支管理内部控制-差旅费报销单审核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差旅报销单需要出差管理办法进行逐级审核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收支管理内部控制-合同报销单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各部门可以根据本部门的合同及付款进度提交报销单</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收支管理内部控制-合同报销单审核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合同报销单需要逐级提交各级领导进行审核</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收支管理内部控制-报销调整单</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可以对不同阶段的报销单进行调整</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收支管理内部控制-专家费申请</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专家费申请功能</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收支管理内部控制-专家费审核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专家费需要提交各级领导审核</w:t>
            </w:r>
          </w:p>
        </w:tc>
      </w:tr>
      <w:tr>
        <w:tblPrEx>
          <w:tblCellMar>
            <w:top w:w="0" w:type="dxa"/>
            <w:left w:w="108" w:type="dxa"/>
            <w:bottom w:w="0" w:type="dxa"/>
            <w:right w:w="108" w:type="dxa"/>
          </w:tblCellMar>
        </w:tblPrEx>
        <w:trPr>
          <w:trHeight w:val="140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合同管理内部控制-合同申请与调整-采购服务管理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各部门可以根据需要提交采购服务申请</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合同管理内部控制-合同申请与调整-采购服务调整</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对不同状态的采购服务申请单进行调整</w:t>
            </w:r>
          </w:p>
        </w:tc>
      </w:tr>
      <w:tr>
        <w:tblPrEx>
          <w:tblCellMar>
            <w:top w:w="0" w:type="dxa"/>
            <w:left w:w="108" w:type="dxa"/>
            <w:bottom w:w="0" w:type="dxa"/>
            <w:right w:w="108" w:type="dxa"/>
          </w:tblCellMar>
        </w:tblPrEx>
        <w:trPr>
          <w:trHeight w:val="112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合同管理内部控制-合同申请与调整-支出合同管理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对支出性合同进行申请</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合同管理内部控制-合同申请与调整-支出合同调整</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对指出合同的相关信息需要进行调整</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合同管理内部控制-合同申请与调整-事务性合同管理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各部门可以添加事务性合同申请</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合同管理内部控制-合同收付款管理-合同付款管理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系统根据合同信息自动生成合同付款清单</w:t>
            </w:r>
          </w:p>
        </w:tc>
      </w:tr>
      <w:tr>
        <w:tblPrEx>
          <w:tblCellMar>
            <w:top w:w="0" w:type="dxa"/>
            <w:left w:w="108" w:type="dxa"/>
            <w:bottom w:w="0" w:type="dxa"/>
            <w:right w:w="108" w:type="dxa"/>
          </w:tblCellMar>
        </w:tblPrEx>
        <w:trPr>
          <w:trHeight w:val="112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合同管理内部控制-合同履约控制-合同汇总导出</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系统自动生成支出合同清单，并进行汇总</w:t>
            </w:r>
          </w:p>
        </w:tc>
      </w:tr>
      <w:tr>
        <w:tblPrEx>
          <w:tblCellMar>
            <w:top w:w="0" w:type="dxa"/>
            <w:left w:w="108" w:type="dxa"/>
            <w:bottom w:w="0" w:type="dxa"/>
            <w:right w:w="108" w:type="dxa"/>
          </w:tblCellMar>
        </w:tblPrEx>
        <w:trPr>
          <w:trHeight w:val="112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162</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合同管理内部控制-合同履约控制-合同履约管理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系统可以对所有合同进行履约情况汇总</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163</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名录库管理-人员信息管理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对系统人员信息进行管理，并与随申办政务云人员信息实现同步</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名录库管理-单位信息管理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管理外部单位信息</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名录库管理-专业信息管理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维护专业信息</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月计划管理-支出计划管理</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各部门需要对当年下达的预算指定支出计划</w:t>
            </w:r>
          </w:p>
        </w:tc>
      </w:tr>
      <w:tr>
        <w:tblPrEx>
          <w:tblCellMar>
            <w:top w:w="0" w:type="dxa"/>
            <w:left w:w="108" w:type="dxa"/>
            <w:bottom w:w="0" w:type="dxa"/>
            <w:right w:w="108" w:type="dxa"/>
          </w:tblCellMar>
        </w:tblPrEx>
        <w:trPr>
          <w:trHeight w:val="56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月计划管理-计划调整申请</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通过系统对支出计划进行调整</w:t>
            </w:r>
          </w:p>
        </w:tc>
      </w:tr>
      <w:tr>
        <w:tblPrEx>
          <w:tblCellMar>
            <w:top w:w="0" w:type="dxa"/>
            <w:left w:w="108" w:type="dxa"/>
            <w:bottom w:w="0" w:type="dxa"/>
            <w:right w:w="108" w:type="dxa"/>
          </w:tblCellMar>
        </w:tblPrEx>
        <w:trPr>
          <w:trHeight w:val="84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月计划管理-计划调整审核</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调整的支出计划交相关领导审核</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月计划管理-基本支出计划</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需要对部门的基本支出指定具体到每个月的支出计划</w:t>
            </w:r>
          </w:p>
        </w:tc>
      </w:tr>
      <w:tr>
        <w:tblPrEx>
          <w:tblCellMar>
            <w:top w:w="0" w:type="dxa"/>
            <w:left w:w="108" w:type="dxa"/>
            <w:bottom w:w="0" w:type="dxa"/>
            <w:right w:w="108" w:type="dxa"/>
          </w:tblCellMar>
        </w:tblPrEx>
        <w:trPr>
          <w:trHeight w:val="112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170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月计划管理-计划进度控制</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汇总单位的整体支出计划进度；计划、进展不一致的支出进行汇总，并分析差异</w:t>
            </w:r>
          </w:p>
        </w:tc>
      </w:tr>
      <w:tr>
        <w:tblPrEx>
          <w:tblCellMar>
            <w:top w:w="0" w:type="dxa"/>
            <w:left w:w="108" w:type="dxa"/>
            <w:bottom w:w="0" w:type="dxa"/>
            <w:right w:w="108" w:type="dxa"/>
          </w:tblCellMar>
        </w:tblPrEx>
        <w:trPr>
          <w:trHeight w:val="280" w:hRule="atLeast"/>
        </w:trPr>
        <w:tc>
          <w:tcPr>
            <w:tcW w:w="91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171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综合管理子系统建设项目</w:t>
            </w:r>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单据打印-单据打印和查询</w:t>
            </w:r>
          </w:p>
        </w:tc>
        <w:tc>
          <w:tcPr>
            <w:tcW w:w="29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对相关报销单据进行逐一或批量打印，并对单据打印情况进行记录。</w:t>
            </w:r>
          </w:p>
        </w:tc>
      </w:tr>
    </w:tbl>
    <w:p>
      <w:pPr>
        <w:pStyle w:val="2"/>
      </w:pPr>
      <w:bookmarkStart w:id="19" w:name="_Toc63785502"/>
      <w:r>
        <w:rPr>
          <w:rFonts w:hint="eastAsia"/>
        </w:rPr>
        <w:t>电子政务云资源需求</w:t>
      </w:r>
      <w:bookmarkEnd w:id="19"/>
    </w:p>
    <w:tbl>
      <w:tblPr>
        <w:tblStyle w:val="35"/>
        <w:tblW w:w="8973" w:type="dxa"/>
        <w:tblInd w:w="113" w:type="dxa"/>
        <w:tblLayout w:type="autofit"/>
        <w:tblCellMar>
          <w:top w:w="0" w:type="dxa"/>
          <w:left w:w="108" w:type="dxa"/>
          <w:bottom w:w="0" w:type="dxa"/>
          <w:right w:w="108" w:type="dxa"/>
        </w:tblCellMar>
      </w:tblPr>
      <w:tblGrid>
        <w:gridCol w:w="846"/>
        <w:gridCol w:w="1040"/>
        <w:gridCol w:w="1040"/>
        <w:gridCol w:w="1040"/>
        <w:gridCol w:w="1460"/>
        <w:gridCol w:w="1280"/>
        <w:gridCol w:w="1227"/>
        <w:gridCol w:w="1040"/>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序号</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资源类型</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资源名称</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资源说明</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资源核心（核）</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资源内存(GB)</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存储数量(GB)</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cs="宋体" w:asciiTheme="minorEastAsia" w:hAnsiTheme="minorEastAsia" w:eastAsiaTheme="minorEastAsia"/>
                <w:b/>
                <w:bCs/>
                <w:color w:val="000000"/>
                <w:kern w:val="0"/>
              </w:rPr>
            </w:pPr>
            <w:r>
              <w:rPr>
                <w:rFonts w:hint="eastAsia" w:cs="宋体" w:asciiTheme="minorEastAsia" w:hAnsiTheme="minorEastAsia" w:eastAsiaTheme="minorEastAsia"/>
                <w:b/>
                <w:bCs/>
                <w:color w:val="000000"/>
                <w:kern w:val="0"/>
              </w:rPr>
              <w:t>数量(台)</w:t>
            </w:r>
          </w:p>
        </w:tc>
      </w:tr>
      <w:tr>
        <w:tblPrEx>
          <w:tblCellMar>
            <w:top w:w="0" w:type="dxa"/>
            <w:left w:w="108" w:type="dxa"/>
            <w:bottom w:w="0" w:type="dxa"/>
            <w:right w:w="108" w:type="dxa"/>
          </w:tblCellMar>
        </w:tblPrEx>
        <w:trPr>
          <w:trHeight w:val="560" w:hRule="atLeast"/>
        </w:trPr>
        <w:tc>
          <w:tcPr>
            <w:tcW w:w="8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虚拟机</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数据库服务器</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数据库服务器</w:t>
            </w:r>
          </w:p>
        </w:tc>
        <w:tc>
          <w:tcPr>
            <w:tcW w:w="146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28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22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600</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r>
      <w:tr>
        <w:tblPrEx>
          <w:tblCellMar>
            <w:top w:w="0" w:type="dxa"/>
            <w:left w:w="108" w:type="dxa"/>
            <w:bottom w:w="0" w:type="dxa"/>
            <w:right w:w="108" w:type="dxa"/>
          </w:tblCellMar>
        </w:tblPrEx>
        <w:trPr>
          <w:trHeight w:val="560" w:hRule="atLeast"/>
        </w:trPr>
        <w:tc>
          <w:tcPr>
            <w:tcW w:w="8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虚拟机</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文件服务器</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文件服务器</w:t>
            </w:r>
          </w:p>
        </w:tc>
        <w:tc>
          <w:tcPr>
            <w:tcW w:w="146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128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22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3100</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r>
      <w:tr>
        <w:tblPrEx>
          <w:tblCellMar>
            <w:top w:w="0" w:type="dxa"/>
            <w:left w:w="108" w:type="dxa"/>
            <w:bottom w:w="0" w:type="dxa"/>
            <w:right w:w="108" w:type="dxa"/>
          </w:tblCellMar>
        </w:tblPrEx>
        <w:trPr>
          <w:trHeight w:val="560" w:hRule="atLeast"/>
        </w:trPr>
        <w:tc>
          <w:tcPr>
            <w:tcW w:w="84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虚拟机</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应用服务器</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应用服务器</w:t>
            </w:r>
          </w:p>
        </w:tc>
        <w:tc>
          <w:tcPr>
            <w:tcW w:w="146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128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1227"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200</w:t>
            </w:r>
          </w:p>
        </w:tc>
        <w:tc>
          <w:tcPr>
            <w:tcW w:w="1040" w:type="dxa"/>
            <w:tcBorders>
              <w:top w:val="nil"/>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r>
    </w:tbl>
    <w:p>
      <w:pPr>
        <w:ind w:firstLine="0" w:firstLineChars="0"/>
      </w:pPr>
    </w:p>
    <w:p>
      <w:pPr>
        <w:ind w:firstLine="0" w:firstLineChars="0"/>
      </w:pPr>
      <w:r>
        <w:rPr>
          <w:rFonts w:hint="eastAsia" w:asciiTheme="minorEastAsia" w:hAnsiTheme="minorEastAsia" w:eastAsiaTheme="minorEastAsia"/>
        </w:rPr>
        <w:t>备注：中标供应商应合理利用上述电子政务云资源进行系统的安装和部署。</w:t>
      </w:r>
    </w:p>
    <w:p>
      <w:pPr>
        <w:pStyle w:val="2"/>
      </w:pPr>
      <w:bookmarkStart w:id="20" w:name="_Toc63785503"/>
      <w:r>
        <w:rPr>
          <w:rFonts w:hint="eastAsia"/>
        </w:rPr>
        <w:t>其他工作要求</w:t>
      </w:r>
      <w:bookmarkEnd w:id="20"/>
    </w:p>
    <w:p>
      <w:pPr>
        <w:keepNext/>
        <w:keepLines/>
        <w:numPr>
          <w:ilvl w:val="1"/>
          <w:numId w:val="7"/>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1" w:name="_Toc61968111"/>
      <w:bookmarkEnd w:id="21"/>
      <w:bookmarkStart w:id="22" w:name="_Toc63151871"/>
      <w:bookmarkEnd w:id="22"/>
      <w:bookmarkStart w:id="23" w:name="_Toc63785504"/>
      <w:bookmarkEnd w:id="23"/>
      <w:bookmarkStart w:id="24" w:name="_Toc63785439"/>
      <w:bookmarkEnd w:id="24"/>
      <w:bookmarkStart w:id="25" w:name="_Toc62219358"/>
      <w:bookmarkEnd w:id="25"/>
      <w:bookmarkStart w:id="26" w:name="_Toc63585480"/>
      <w:bookmarkEnd w:id="26"/>
      <w:bookmarkStart w:id="27" w:name="_Toc63762370"/>
      <w:bookmarkEnd w:id="27"/>
      <w:bookmarkStart w:id="28" w:name="_Toc62209488"/>
      <w:bookmarkEnd w:id="28"/>
    </w:p>
    <w:p>
      <w:pPr>
        <w:pStyle w:val="3"/>
        <w:ind w:left="480" w:leftChars="0" w:firstLineChars="0"/>
      </w:pPr>
      <w:bookmarkStart w:id="29" w:name="_Toc63785505"/>
      <w:r>
        <w:rPr>
          <w:rFonts w:hint="eastAsia"/>
        </w:rPr>
        <w:t>售后服务要求</w:t>
      </w:r>
      <w:bookmarkEnd w:id="29"/>
    </w:p>
    <w:p>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在质量保证期内，供应商负责信息系统的运行维护工作，确保信息系统安全、稳定、可靠地运行。本项目涉及的运行维护工作范围为：第三部分软件清单范围。</w:t>
      </w:r>
    </w:p>
    <w:p>
      <w:pPr>
        <w:pStyle w:val="3"/>
        <w:ind w:left="480" w:leftChars="0" w:firstLineChars="0"/>
      </w:pPr>
      <w:bookmarkStart w:id="30" w:name="_Toc63785506"/>
      <w:r>
        <w:rPr>
          <w:rFonts w:hint="eastAsia"/>
        </w:rPr>
        <w:t>应急响应要求</w:t>
      </w:r>
      <w:bookmarkEnd w:id="30"/>
    </w:p>
    <w:p>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ind w:left="480" w:leftChars="0" w:firstLineChars="0"/>
      </w:pPr>
      <w:bookmarkStart w:id="31" w:name="_Toc63785507"/>
      <w:r>
        <w:rPr>
          <w:rFonts w:hint="eastAsia"/>
        </w:rPr>
        <w:t>培训要求</w:t>
      </w:r>
      <w:bookmarkEnd w:id="31"/>
    </w:p>
    <w:p>
      <w:r>
        <w:rPr>
          <w:rFonts w:hint="eastAsia"/>
        </w:rPr>
        <w:t>对系统使用单位提供业务操作培训，应提供详细培训方案。</w:t>
      </w:r>
    </w:p>
    <w:p>
      <w:r>
        <w:rPr>
          <w:rFonts w:hint="eastAsia"/>
        </w:rPr>
        <w:t>(1)在12个月的质量保证期内，提供2次与项目相关的必要培训。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r>
        <w:rPr>
          <w:rFonts w:hint="eastAsia"/>
        </w:rPr>
        <w:t>(3)供应商应提供一般用户的基础操作培训和部门信息管理员的日常应用维护的培训，确保用户对象能够掌握对应的操作技能。</w:t>
      </w:r>
    </w:p>
    <w:p>
      <w:pPr>
        <w:pStyle w:val="3"/>
        <w:ind w:left="480" w:leftChars="0" w:firstLineChars="0"/>
      </w:pPr>
      <w:bookmarkStart w:id="32" w:name="_Toc63785508"/>
      <w:r>
        <w:rPr>
          <w:rFonts w:hint="eastAsia"/>
        </w:rPr>
        <w:t>验收要求</w:t>
      </w:r>
      <w:bookmarkEnd w:id="32"/>
    </w:p>
    <w:p>
      <w:pPr>
        <w:rPr>
          <w:szCs w:val="21"/>
        </w:rPr>
      </w:pPr>
      <w:r>
        <w:rPr>
          <w:rFonts w:hint="eastAsia"/>
          <w:szCs w:val="21"/>
        </w:rPr>
        <w:t>本项目按下述方式开展验收。</w:t>
      </w:r>
    </w:p>
    <w:p>
      <w:pPr>
        <w:rPr>
          <w:szCs w:val="21"/>
        </w:rPr>
      </w:pPr>
      <w:r>
        <w:rPr>
          <w:rFonts w:hint="eastAsia"/>
          <w:szCs w:val="21"/>
        </w:rPr>
        <w:t>（</w:t>
      </w:r>
      <w:r>
        <w:rPr>
          <w:szCs w:val="21"/>
        </w:rPr>
        <w:t>1）验收分初验和终验。</w:t>
      </w:r>
    </w:p>
    <w:p>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x个工作日内发起组织专家验收会。</w:t>
      </w:r>
    </w:p>
    <w:p>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szCs w:val="21"/>
        </w:rPr>
      </w:pPr>
      <w:r>
        <w:rPr>
          <w:rFonts w:hint="eastAsia"/>
          <w:szCs w:val="21"/>
        </w:rPr>
        <w:t>（7</w:t>
      </w:r>
      <w:r>
        <w:rPr>
          <w:szCs w:val="21"/>
        </w:rPr>
        <w:t>）如果由于招标方原因导致本项目在终验通过前出现故障或问题，供应商应及时配合排除该方面的故障或问题。</w:t>
      </w:r>
    </w:p>
    <w:p>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pPr>
        <w:pStyle w:val="3"/>
        <w:ind w:left="480" w:leftChars="0" w:firstLineChars="0"/>
      </w:pPr>
      <w:bookmarkStart w:id="33" w:name="_Toc63785509"/>
      <w:r>
        <w:rPr>
          <w:rFonts w:hint="eastAsia"/>
        </w:rPr>
        <w:t>进度要求</w:t>
      </w:r>
      <w:bookmarkEnd w:id="33"/>
    </w:p>
    <w:p>
      <w:r>
        <w:rPr>
          <w:rFonts w:hint="eastAsia"/>
        </w:rPr>
        <w:t>投标人应根据建设内容，分阶段制定合理的时间进度，并且应根据招标方要求进行调整和细化。</w:t>
      </w:r>
    </w:p>
    <w:p>
      <w:pPr>
        <w:spacing w:line="560" w:lineRule="exact"/>
      </w:pPr>
      <w:bookmarkStart w:id="34" w:name="_Toc63785510"/>
      <w:r>
        <w:rPr>
          <w:rFonts w:hint="eastAsia"/>
        </w:rPr>
        <w:t>总建设周期为合同签订之日起至2025年11月30日，分为</w:t>
      </w:r>
      <w:r>
        <w:t>3</w:t>
      </w:r>
      <w:r>
        <w:rPr>
          <w:rFonts w:hint="eastAsia"/>
        </w:rPr>
        <w:t>个阶段。</w:t>
      </w:r>
    </w:p>
    <w:p>
      <w:r>
        <w:rPr>
          <w:rFonts w:hint="eastAsia"/>
        </w:rPr>
        <w:t>第一阶段为2个月：完成需求细化及系统详细设计；</w:t>
      </w:r>
    </w:p>
    <w:p>
      <w:r>
        <w:rPr>
          <w:rFonts w:hint="eastAsia"/>
        </w:rPr>
        <w:t>第二阶段为</w:t>
      </w:r>
      <w:r>
        <w:t>6</w:t>
      </w:r>
      <w:r>
        <w:rPr>
          <w:rFonts w:hint="eastAsia"/>
        </w:rPr>
        <w:t>个月：完成系统功能的开发与测试；</w:t>
      </w:r>
    </w:p>
    <w:p>
      <w:pPr>
        <w:spacing w:line="560" w:lineRule="exact"/>
      </w:pPr>
      <w:r>
        <w:rPr>
          <w:rFonts w:hint="eastAsia"/>
        </w:rPr>
        <w:t>第三阶段为</w:t>
      </w:r>
      <w:r>
        <w:rPr>
          <w:rFonts w:hint="eastAsia"/>
          <w:lang w:eastAsia="zh-CN"/>
        </w:rPr>
        <w:t>完成系统测试</w:t>
      </w:r>
      <w:r>
        <w:rPr>
          <w:rFonts w:hint="eastAsia"/>
        </w:rPr>
        <w:t>至2025年11月30日：系统上线试运行，完成验收。</w:t>
      </w:r>
    </w:p>
    <w:p>
      <w:pPr>
        <w:pStyle w:val="3"/>
        <w:ind w:left="480" w:leftChars="0" w:firstLineChars="0"/>
      </w:pPr>
      <w:r>
        <w:rPr>
          <w:rFonts w:hint="eastAsia"/>
        </w:rPr>
        <w:t>项目团队及驻场人员要求</w:t>
      </w:r>
      <w:bookmarkEnd w:id="34"/>
    </w:p>
    <w:p>
      <w:r>
        <w:t>1）投标人须具有稳定</w:t>
      </w:r>
      <w:bookmarkStart w:id="37" w:name="_GoBack"/>
      <w:bookmarkEnd w:id="37"/>
      <w:r>
        <w:t>的在职技术保障力量，能够提供及时的技术支援或服务，应针对本项目提供不少于</w:t>
      </w:r>
      <w:r>
        <w:rPr>
          <w:rFonts w:hint="eastAsia"/>
        </w:rPr>
        <w:t>10</w:t>
      </w:r>
      <w:r>
        <w:t>人的项目服务团队（包括项目经理、产品经理、技术负责人、研发等），投标单位的相关服务人员需具备相应的服务能力，需提供相关证明。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103"/>
        <w:gridCol w:w="1693"/>
        <w:gridCol w:w="228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2103"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693"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2286" w:type="dxa"/>
            <w:vAlign w:val="center"/>
          </w:tcPr>
          <w:p>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2103" w:type="dxa"/>
            <w:shd w:val="clear" w:color="auto" w:fill="auto"/>
            <w:vAlign w:val="center"/>
          </w:tcPr>
          <w:p>
            <w:pPr>
              <w:widowControl/>
              <w:spacing w:line="240" w:lineRule="auto"/>
              <w:ind w:firstLine="0" w:firstLineChars="0"/>
              <w:jc w:val="center"/>
            </w:pPr>
            <w:r>
              <w:rPr>
                <w:rFonts w:hint="eastAsia"/>
              </w:rPr>
              <w:t>负责项目质量和进度控制</w:t>
            </w:r>
          </w:p>
        </w:tc>
        <w:tc>
          <w:tcPr>
            <w:tcW w:w="1693" w:type="dxa"/>
            <w:shd w:val="clear" w:color="auto" w:fill="auto"/>
            <w:noWrap/>
            <w:vAlign w:val="center"/>
          </w:tcPr>
          <w:p>
            <w:pPr>
              <w:widowControl/>
              <w:spacing w:line="240" w:lineRule="auto"/>
              <w:ind w:firstLine="0" w:firstLineChars="0"/>
              <w:jc w:val="center"/>
            </w:pPr>
            <w:r>
              <w:t>1</w:t>
            </w:r>
            <w:r>
              <w:rPr>
                <w:rFonts w:hint="eastAsia"/>
              </w:rPr>
              <w:t>人</w:t>
            </w:r>
          </w:p>
        </w:tc>
        <w:tc>
          <w:tcPr>
            <w:tcW w:w="2286" w:type="dxa"/>
            <w:vAlign w:val="center"/>
          </w:tcPr>
          <w:p>
            <w:pPr>
              <w:widowControl/>
              <w:numPr>
                <w:ilvl w:val="0"/>
                <w:numId w:val="8"/>
              </w:numPr>
              <w:spacing w:line="240" w:lineRule="auto"/>
              <w:ind w:firstLine="0" w:firstLineChars="0"/>
              <w:jc w:val="left"/>
              <w:rPr>
                <w:rFonts w:hint="eastAsia"/>
                <w:lang w:val="en-US" w:eastAsia="zh-CN"/>
              </w:rPr>
            </w:pPr>
            <w:r>
              <w:rPr>
                <w:rFonts w:hint="eastAsia"/>
                <w:lang w:val="en-US" w:eastAsia="zh-CN"/>
              </w:rPr>
              <w:t>计算机类或电子信息类</w:t>
            </w:r>
            <w:r>
              <w:rPr>
                <w:rFonts w:hint="eastAsia"/>
              </w:rPr>
              <w:t>全日制大学本科以上学历</w:t>
            </w:r>
            <w:r>
              <w:rPr>
                <w:rFonts w:hint="eastAsia"/>
                <w:lang w:eastAsia="zh-CN"/>
              </w:rPr>
              <w:t>；</w:t>
            </w:r>
          </w:p>
          <w:p>
            <w:pPr>
              <w:widowControl/>
              <w:numPr>
                <w:ilvl w:val="0"/>
                <w:numId w:val="8"/>
              </w:numPr>
              <w:spacing w:line="240" w:lineRule="auto"/>
              <w:ind w:firstLine="0" w:firstLineChars="0"/>
              <w:jc w:val="left"/>
            </w:pPr>
            <w:r>
              <w:t>10年以上</w:t>
            </w:r>
            <w:r>
              <w:rPr>
                <w:rFonts w:hint="eastAsia"/>
                <w:lang w:eastAsia="zh-CN"/>
              </w:rPr>
              <w:t>类似项目</w:t>
            </w:r>
            <w:r>
              <w:t>管理经验</w:t>
            </w:r>
          </w:p>
        </w:tc>
        <w:tc>
          <w:tcPr>
            <w:tcW w:w="1180" w:type="dxa"/>
            <w:shd w:val="clear" w:color="auto" w:fill="auto"/>
            <w:noWrap/>
            <w:vAlign w:val="center"/>
          </w:tcPr>
          <w:p>
            <w:pPr>
              <w:widowControl/>
              <w:spacing w:line="240" w:lineRule="auto"/>
              <w:ind w:firstLine="0" w:firstLineChars="0"/>
            </w:pPr>
            <w:r>
              <w:rPr>
                <w:rFonts w:hint="eastAsia"/>
                <w:sz w:val="21"/>
                <w:szCs w:val="21"/>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sz w:val="21"/>
                <w:szCs w:val="21"/>
              </w:rPr>
            </w:pPr>
            <w:r>
              <w:rPr>
                <w:rFonts w:hint="eastAsia"/>
                <w:sz w:val="21"/>
                <w:szCs w:val="21"/>
              </w:rPr>
              <w:t>技术负责人</w:t>
            </w:r>
          </w:p>
        </w:tc>
        <w:tc>
          <w:tcPr>
            <w:tcW w:w="2103" w:type="dxa"/>
            <w:shd w:val="clear" w:color="auto" w:fill="auto"/>
            <w:vAlign w:val="center"/>
          </w:tcPr>
          <w:p>
            <w:pPr>
              <w:widowControl/>
              <w:spacing w:line="240" w:lineRule="auto"/>
              <w:ind w:firstLine="0" w:firstLineChars="0"/>
              <w:jc w:val="center"/>
              <w:rPr>
                <w:sz w:val="21"/>
                <w:szCs w:val="21"/>
              </w:rPr>
            </w:pPr>
            <w:r>
              <w:rPr>
                <w:rFonts w:hint="eastAsia"/>
                <w:sz w:val="21"/>
                <w:szCs w:val="21"/>
              </w:rPr>
              <w:t>负责项目软件开发</w:t>
            </w:r>
          </w:p>
        </w:tc>
        <w:tc>
          <w:tcPr>
            <w:tcW w:w="1693"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1人</w:t>
            </w:r>
          </w:p>
        </w:tc>
        <w:tc>
          <w:tcPr>
            <w:tcW w:w="2286" w:type="dxa"/>
            <w:vAlign w:val="center"/>
          </w:tcPr>
          <w:p>
            <w:pPr>
              <w:widowControl/>
              <w:spacing w:line="240" w:lineRule="auto"/>
              <w:ind w:firstLine="0" w:firstLineChars="0"/>
              <w:jc w:val="center"/>
              <w:rPr>
                <w:sz w:val="21"/>
                <w:szCs w:val="21"/>
              </w:rPr>
            </w:pPr>
            <w:r>
              <w:rPr>
                <w:rFonts w:hint="eastAsia"/>
                <w:sz w:val="21"/>
                <w:szCs w:val="21"/>
              </w:rPr>
              <w:t>计算机相关专业大学毕业，</w:t>
            </w:r>
            <w:r>
              <w:rPr>
                <w:sz w:val="21"/>
                <w:szCs w:val="21"/>
              </w:rPr>
              <w:t>5年以上工作经验，熟悉达梦数据库</w:t>
            </w:r>
            <w:r>
              <w:rPr>
                <w:rFonts w:hint="eastAsia"/>
                <w:sz w:val="21"/>
                <w:szCs w:val="21"/>
              </w:rPr>
              <w:t>，有类似项目开发经验</w:t>
            </w:r>
          </w:p>
        </w:tc>
        <w:tc>
          <w:tcPr>
            <w:tcW w:w="1180"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sz w:val="21"/>
                <w:szCs w:val="21"/>
              </w:rPr>
            </w:pPr>
            <w:r>
              <w:rPr>
                <w:rFonts w:hint="eastAsia"/>
                <w:sz w:val="21"/>
                <w:szCs w:val="21"/>
              </w:rPr>
              <w:t>产品经理</w:t>
            </w:r>
          </w:p>
        </w:tc>
        <w:tc>
          <w:tcPr>
            <w:tcW w:w="2103" w:type="dxa"/>
            <w:shd w:val="clear" w:color="auto" w:fill="auto"/>
            <w:vAlign w:val="center"/>
          </w:tcPr>
          <w:p>
            <w:pPr>
              <w:widowControl/>
              <w:spacing w:line="240" w:lineRule="auto"/>
              <w:ind w:firstLine="0" w:firstLineChars="0"/>
              <w:jc w:val="center"/>
              <w:rPr>
                <w:sz w:val="21"/>
                <w:szCs w:val="21"/>
              </w:rPr>
            </w:pPr>
            <w:r>
              <w:rPr>
                <w:rFonts w:hint="eastAsia"/>
                <w:sz w:val="21"/>
                <w:szCs w:val="21"/>
              </w:rPr>
              <w:t>负责项目需求评估与产品设计</w:t>
            </w:r>
          </w:p>
        </w:tc>
        <w:tc>
          <w:tcPr>
            <w:tcW w:w="1693"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2人</w:t>
            </w:r>
          </w:p>
        </w:tc>
        <w:tc>
          <w:tcPr>
            <w:tcW w:w="2286" w:type="dxa"/>
            <w:vAlign w:val="center"/>
          </w:tcPr>
          <w:p>
            <w:pPr>
              <w:widowControl/>
              <w:spacing w:line="240" w:lineRule="auto"/>
              <w:ind w:firstLine="0" w:firstLineChars="0"/>
              <w:jc w:val="center"/>
              <w:rPr>
                <w:sz w:val="21"/>
                <w:szCs w:val="21"/>
              </w:rPr>
            </w:pPr>
            <w:r>
              <w:rPr>
                <w:rFonts w:hint="eastAsia"/>
                <w:sz w:val="21"/>
                <w:szCs w:val="21"/>
              </w:rPr>
              <w:t>计算机相关专业大学毕业1</w:t>
            </w:r>
            <w:r>
              <w:rPr>
                <w:sz w:val="21"/>
                <w:szCs w:val="21"/>
              </w:rPr>
              <w:t>0年以上工作经验</w:t>
            </w:r>
          </w:p>
        </w:tc>
        <w:tc>
          <w:tcPr>
            <w:tcW w:w="1180"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sz w:val="21"/>
                <w:szCs w:val="21"/>
              </w:rPr>
            </w:pPr>
            <w:r>
              <w:rPr>
                <w:rFonts w:hint="eastAsia"/>
                <w:sz w:val="21"/>
                <w:szCs w:val="21"/>
              </w:rPr>
              <w:t>研发</w:t>
            </w:r>
          </w:p>
        </w:tc>
        <w:tc>
          <w:tcPr>
            <w:tcW w:w="2103"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负责项目具体开发与实施</w:t>
            </w:r>
          </w:p>
        </w:tc>
        <w:tc>
          <w:tcPr>
            <w:tcW w:w="1693"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至少6人</w:t>
            </w:r>
          </w:p>
        </w:tc>
        <w:tc>
          <w:tcPr>
            <w:tcW w:w="2286" w:type="dxa"/>
            <w:vAlign w:val="center"/>
          </w:tcPr>
          <w:p>
            <w:pPr>
              <w:widowControl/>
              <w:spacing w:line="240" w:lineRule="auto"/>
              <w:ind w:firstLine="0" w:firstLineChars="0"/>
              <w:jc w:val="center"/>
              <w:rPr>
                <w:sz w:val="21"/>
                <w:szCs w:val="21"/>
              </w:rPr>
            </w:pPr>
            <w:r>
              <w:rPr>
                <w:rFonts w:hint="eastAsia"/>
                <w:sz w:val="21"/>
                <w:szCs w:val="21"/>
              </w:rPr>
              <w:t>大学毕业</w:t>
            </w:r>
          </w:p>
        </w:tc>
        <w:tc>
          <w:tcPr>
            <w:tcW w:w="1180" w:type="dxa"/>
            <w:shd w:val="clear" w:color="auto" w:fill="auto"/>
            <w:noWrap/>
            <w:vAlign w:val="center"/>
          </w:tcPr>
          <w:p>
            <w:pPr>
              <w:widowControl/>
              <w:spacing w:line="240" w:lineRule="auto"/>
              <w:ind w:firstLine="0" w:firstLineChars="0"/>
              <w:jc w:val="center"/>
              <w:rPr>
                <w:sz w:val="21"/>
                <w:szCs w:val="21"/>
              </w:rPr>
            </w:pPr>
            <w:r>
              <w:rPr>
                <w:rFonts w:hint="eastAsia"/>
                <w:sz w:val="21"/>
                <w:szCs w:val="21"/>
              </w:rPr>
              <w:t>不驻场</w:t>
            </w:r>
          </w:p>
        </w:tc>
      </w:tr>
    </w:tbl>
    <w:p>
      <w:pPr>
        <w:ind w:firstLine="0" w:firstLineChars="0"/>
      </w:pPr>
    </w:p>
    <w:p>
      <w:pPr>
        <w:ind w:firstLine="0" w:firstLineChars="0"/>
      </w:pPr>
    </w:p>
    <w:p>
      <w:r>
        <w:t>2）投标人应针对本项目提供不少于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91"/>
        <w:gridCol w:w="1180"/>
        <w:gridCol w:w="226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0" w:type="auto"/>
            <w:shd w:val="clear" w:color="auto" w:fill="auto"/>
            <w:vAlign w:val="center"/>
          </w:tcPr>
          <w:p>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pPr>
              <w:widowControl/>
              <w:spacing w:line="240" w:lineRule="auto"/>
              <w:ind w:firstLine="0" w:firstLineChars="0"/>
              <w:jc w:val="center"/>
            </w:pPr>
            <w:r>
              <w:t>1</w:t>
            </w:r>
            <w:r>
              <w:rPr>
                <w:rFonts w:hint="eastAsia"/>
              </w:rPr>
              <w:t>人</w:t>
            </w:r>
          </w:p>
        </w:tc>
        <w:tc>
          <w:tcPr>
            <w:tcW w:w="0" w:type="auto"/>
            <w:vAlign w:val="center"/>
          </w:tcPr>
          <w:p>
            <w:pPr>
              <w:widowControl/>
              <w:numPr>
                <w:ilvl w:val="0"/>
                <w:numId w:val="9"/>
              </w:numPr>
              <w:spacing w:line="240" w:lineRule="auto"/>
              <w:ind w:firstLine="0" w:firstLineChars="0"/>
              <w:jc w:val="both"/>
              <w:rPr>
                <w:rFonts w:hint="eastAsia"/>
                <w:lang w:eastAsia="zh-CN"/>
              </w:rPr>
            </w:pPr>
            <w:r>
              <w:rPr>
                <w:rFonts w:hint="eastAsia"/>
                <w:lang w:val="en-US" w:eastAsia="zh-CN"/>
              </w:rPr>
              <w:t>计算机类或电子信息类</w:t>
            </w:r>
            <w:r>
              <w:rPr>
                <w:rFonts w:hint="eastAsia"/>
              </w:rPr>
              <w:t>全日制大学本科以上学历</w:t>
            </w:r>
            <w:r>
              <w:rPr>
                <w:rFonts w:hint="eastAsia"/>
                <w:lang w:eastAsia="zh-CN"/>
              </w:rPr>
              <w:t>；</w:t>
            </w:r>
          </w:p>
          <w:p>
            <w:pPr>
              <w:widowControl/>
              <w:numPr>
                <w:ilvl w:val="0"/>
                <w:numId w:val="9"/>
              </w:numPr>
              <w:spacing w:line="240" w:lineRule="auto"/>
              <w:ind w:firstLine="0" w:firstLineChars="0"/>
              <w:jc w:val="both"/>
              <w:rPr>
                <w:sz w:val="21"/>
                <w:szCs w:val="21"/>
              </w:rPr>
            </w:pPr>
            <w:r>
              <w:t>10年以上</w:t>
            </w:r>
            <w:r>
              <w:rPr>
                <w:rFonts w:hint="eastAsia"/>
                <w:lang w:eastAsia="zh-CN"/>
              </w:rPr>
              <w:t>类似项目</w:t>
            </w:r>
            <w:r>
              <w:t>管理经验</w:t>
            </w:r>
          </w:p>
        </w:tc>
        <w:tc>
          <w:tcPr>
            <w:tcW w:w="0" w:type="auto"/>
            <w:shd w:val="clear" w:color="auto" w:fill="auto"/>
            <w:noWrap/>
            <w:vAlign w:val="center"/>
          </w:tcPr>
          <w:p>
            <w:pPr>
              <w:widowControl/>
              <w:spacing w:line="240" w:lineRule="auto"/>
              <w:ind w:firstLine="0" w:firstLineChars="0"/>
              <w:jc w:val="center"/>
            </w:pPr>
            <w:r>
              <w:rPr>
                <w:rFonts w:hint="eastAsia"/>
                <w:sz w:val="21"/>
                <w:szCs w:val="21"/>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产品经理</w:t>
            </w:r>
          </w:p>
        </w:tc>
        <w:tc>
          <w:tcPr>
            <w:tcW w:w="0" w:type="auto"/>
            <w:shd w:val="clear" w:color="auto" w:fill="auto"/>
            <w:vAlign w:val="center"/>
          </w:tcPr>
          <w:p>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pPr>
              <w:widowControl/>
              <w:spacing w:line="240" w:lineRule="auto"/>
              <w:ind w:firstLine="0" w:firstLineChars="0"/>
              <w:jc w:val="center"/>
            </w:pPr>
            <w:r>
              <w:t>1</w:t>
            </w:r>
            <w:r>
              <w:rPr>
                <w:rFonts w:hint="eastAsia"/>
              </w:rPr>
              <w:t>人</w:t>
            </w:r>
          </w:p>
        </w:tc>
        <w:tc>
          <w:tcPr>
            <w:tcW w:w="0" w:type="auto"/>
            <w:vAlign w:val="center"/>
          </w:tcPr>
          <w:p>
            <w:pPr>
              <w:widowControl/>
              <w:spacing w:line="240" w:lineRule="auto"/>
              <w:ind w:firstLine="0" w:firstLineChars="0"/>
              <w:jc w:val="center"/>
              <w:rPr>
                <w:sz w:val="21"/>
                <w:szCs w:val="21"/>
              </w:rPr>
            </w:pPr>
            <w:r>
              <w:rPr>
                <w:rFonts w:hint="eastAsia"/>
                <w:sz w:val="21"/>
                <w:szCs w:val="21"/>
              </w:rPr>
              <w:t>计算机相关专业大学毕业</w:t>
            </w:r>
            <w:r>
              <w:rPr>
                <w:sz w:val="21"/>
                <w:szCs w:val="21"/>
              </w:rPr>
              <w:t>10年以上工作经验</w:t>
            </w:r>
          </w:p>
        </w:tc>
        <w:tc>
          <w:tcPr>
            <w:tcW w:w="0" w:type="auto"/>
            <w:shd w:val="clear" w:color="auto" w:fill="auto"/>
            <w:noWrap/>
            <w:vAlign w:val="center"/>
          </w:tcPr>
          <w:p>
            <w:pPr>
              <w:widowControl/>
              <w:spacing w:line="240" w:lineRule="auto"/>
              <w:ind w:firstLine="0" w:firstLineChars="0"/>
              <w:jc w:val="center"/>
            </w:pPr>
            <w:r>
              <w:rPr>
                <w:rFonts w:hint="eastAsia"/>
                <w:sz w:val="21"/>
                <w:szCs w:val="21"/>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技术工程师</w:t>
            </w:r>
          </w:p>
        </w:tc>
        <w:tc>
          <w:tcPr>
            <w:tcW w:w="0" w:type="auto"/>
            <w:shd w:val="clear" w:color="auto" w:fill="auto"/>
            <w:noWrap/>
            <w:vAlign w:val="center"/>
          </w:tcPr>
          <w:p>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pPr>
              <w:widowControl/>
              <w:spacing w:line="240" w:lineRule="auto"/>
              <w:ind w:firstLine="0" w:firstLineChars="0"/>
              <w:jc w:val="center"/>
            </w:pPr>
            <w:r>
              <w:t>2</w:t>
            </w:r>
            <w:r>
              <w:rPr>
                <w:rFonts w:hint="eastAsia"/>
              </w:rPr>
              <w:t>人</w:t>
            </w:r>
          </w:p>
        </w:tc>
        <w:tc>
          <w:tcPr>
            <w:tcW w:w="0" w:type="auto"/>
            <w:vAlign w:val="center"/>
          </w:tcPr>
          <w:p>
            <w:pPr>
              <w:widowControl/>
              <w:spacing w:line="240" w:lineRule="auto"/>
              <w:ind w:firstLine="0" w:firstLineChars="0"/>
              <w:jc w:val="center"/>
            </w:pPr>
          </w:p>
        </w:tc>
        <w:tc>
          <w:tcPr>
            <w:tcW w:w="0" w:type="auto"/>
            <w:shd w:val="clear" w:color="auto" w:fill="auto"/>
            <w:noWrap/>
            <w:vAlign w:val="center"/>
          </w:tcPr>
          <w:p>
            <w:pPr>
              <w:widowControl/>
              <w:spacing w:line="240" w:lineRule="auto"/>
              <w:ind w:firstLine="0" w:firstLineChars="0"/>
              <w:jc w:val="center"/>
            </w:pPr>
            <w:r>
              <w:rPr>
                <w:rFonts w:hint="eastAsia"/>
                <w:sz w:val="21"/>
                <w:szCs w:val="21"/>
              </w:rPr>
              <w:t>不驻场</w:t>
            </w:r>
          </w:p>
        </w:tc>
      </w:tr>
    </w:tbl>
    <w:p>
      <w:pPr>
        <w:ind w:firstLine="0" w:firstLineChars="0"/>
      </w:pPr>
    </w:p>
    <w:p>
      <w:pPr>
        <w:pStyle w:val="3"/>
        <w:ind w:left="480" w:leftChars="0" w:firstLineChars="0"/>
      </w:pPr>
      <w:bookmarkStart w:id="35" w:name="_Toc63785511"/>
      <w:r>
        <w:t>等级保护要求</w:t>
      </w:r>
      <w:bookmarkEnd w:id="35"/>
    </w:p>
    <w:p>
      <w:r>
        <w:t>本项目等级保护要求：参照等保</w:t>
      </w:r>
      <w:r>
        <w:rPr>
          <w:rFonts w:hint="eastAsia"/>
        </w:rPr>
        <w:t>二</w:t>
      </w:r>
      <w:r>
        <w:t>级要求建设。</w:t>
      </w:r>
    </w:p>
    <w:p>
      <w:pPr>
        <w:pStyle w:val="3"/>
        <w:ind w:left="480" w:leftChars="0" w:firstLineChars="0"/>
      </w:pPr>
      <w:r>
        <w:rPr>
          <w:rFonts w:hint="eastAsia"/>
        </w:rPr>
        <w:t>商业密码应用需求</w:t>
      </w:r>
    </w:p>
    <w:p>
      <w:bookmarkStart w:id="36" w:name="_Toc63785512"/>
      <w:r>
        <w:rPr>
          <w:rFonts w:hint="eastAsia"/>
        </w:rPr>
        <w:t>本项目应满足GB/T 39786—2021《信息安全技术信息系统密码应用基本要求》中第二级指标要求，并通过第三方的密码应用测评（密测）。</w:t>
      </w:r>
    </w:p>
    <w:p>
      <w:r>
        <w:rPr>
          <w:rFonts w:hint="eastAsia"/>
        </w:rPr>
        <w:t>本项目需要对上海市城管执法队伍管理系统和上海市城管执法对象监管系统进行密码应用接口进行改造，具体包括建设用户身份认证机制模块、业务重要数据安全传输模块、服务器虚拟机设备日志</w:t>
      </w:r>
      <w:r>
        <w:t>/访问控制信息完整性模块、用户访问控制信息签名验签模块、应用系统重要数据加解密模块、应用系统重要数据签名验签模块。</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6"/>
        <w:gridCol w:w="609"/>
        <w:gridCol w:w="1888"/>
        <w:gridCol w:w="4035"/>
        <w:gridCol w:w="1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70" w:type="dxa"/>
            <w:gridSpan w:val="2"/>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安全层面</w:t>
            </w:r>
          </w:p>
        </w:tc>
        <w:tc>
          <w:tcPr>
            <w:tcW w:w="2078" w:type="dxa"/>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指标要求</w:t>
            </w:r>
          </w:p>
        </w:tc>
        <w:tc>
          <w:tcPr>
            <w:tcW w:w="4428" w:type="dxa"/>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系统密码应用需求</w:t>
            </w:r>
          </w:p>
        </w:tc>
        <w:tc>
          <w:tcPr>
            <w:tcW w:w="1505" w:type="dxa"/>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不适用说明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restart"/>
            <w:shd w:val="clear" w:color="auto" w:fill="FFFFFF"/>
          </w:tcPr>
          <w:p>
            <w:pPr>
              <w:spacing w:line="240" w:lineRule="auto"/>
              <w:ind w:firstLine="0" w:firstLineChars="0"/>
              <w:jc w:val="center"/>
              <w:textAlignment w:val="center"/>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计算平台安全</w:t>
            </w:r>
          </w:p>
        </w:tc>
        <w:tc>
          <w:tcPr>
            <w:tcW w:w="637" w:type="dxa"/>
            <w:vMerge w:val="restart"/>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物理和环境安全</w:t>
            </w: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pacing w:val="21"/>
                <w:sz w:val="21"/>
                <w:szCs w:val="21"/>
              </w:rPr>
              <w:t>确</w:t>
            </w:r>
            <w:r>
              <w:rPr>
                <w:rFonts w:hint="eastAsia" w:cs="仿宋" w:asciiTheme="minorEastAsia" w:hAnsiTheme="minorEastAsia" w:eastAsiaTheme="minorEastAsia"/>
                <w:spacing w:val="17"/>
                <w:sz w:val="21"/>
                <w:szCs w:val="21"/>
              </w:rPr>
              <w:t>认进入机房人员身份的真实</w:t>
            </w:r>
            <w:r>
              <w:rPr>
                <w:rFonts w:hint="eastAsia" w:cs="仿宋" w:asciiTheme="minorEastAsia" w:hAnsiTheme="minorEastAsia" w:eastAsiaTheme="minorEastAsia"/>
                <w:spacing w:val="10"/>
                <w:sz w:val="21"/>
                <w:szCs w:val="21"/>
              </w:rPr>
              <w:t>性</w:t>
            </w:r>
            <w:r>
              <w:rPr>
                <w:rFonts w:hint="eastAsia" w:cs="仿宋" w:asciiTheme="minorEastAsia" w:hAnsiTheme="minorEastAsia" w:eastAsiaTheme="minorEastAsia"/>
                <w:spacing w:val="7"/>
                <w:sz w:val="21"/>
                <w:szCs w:val="21"/>
              </w:rPr>
              <w:t>，防止假冒人员进入。</w:t>
            </w:r>
          </w:p>
        </w:tc>
        <w:tc>
          <w:tcPr>
            <w:tcW w:w="1505" w:type="dxa"/>
            <w:vMerge w:val="restart"/>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系统的物理和环境安全由云平台提供安全保障</w:t>
            </w:r>
            <w:r>
              <w:rPr>
                <w:rFonts w:cs="仿宋" w:asciiTheme="minorEastAsia" w:hAnsiTheme="minorEastAsia" w:eastAsiaTheme="minorEastAsia"/>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电子门禁记录数据完整性</w:t>
            </w:r>
          </w:p>
        </w:tc>
        <w:tc>
          <w:tcPr>
            <w:tcW w:w="4428" w:type="dxa"/>
            <w:shd w:val="clear" w:color="auto" w:fill="FFFFFF"/>
            <w:vAlign w:val="center"/>
          </w:tcPr>
          <w:p>
            <w:pPr>
              <w:spacing w:line="240" w:lineRule="auto"/>
              <w:ind w:firstLine="0" w:firstLineChars="0"/>
              <w:rPr>
                <w:rFonts w:cs="仿宋" w:asciiTheme="minorEastAsia" w:hAnsiTheme="minorEastAsia" w:eastAsiaTheme="minorEastAsia"/>
                <w:sz w:val="21"/>
                <w:szCs w:val="21"/>
              </w:rPr>
            </w:pPr>
            <w:r>
              <w:rPr>
                <w:rFonts w:hint="eastAsia" w:cs="仿宋" w:asciiTheme="minorEastAsia" w:hAnsiTheme="minorEastAsia" w:eastAsiaTheme="minorEastAsia"/>
                <w:spacing w:val="21"/>
                <w:sz w:val="21"/>
                <w:szCs w:val="21"/>
              </w:rPr>
              <w:t>保</w:t>
            </w:r>
            <w:r>
              <w:rPr>
                <w:rFonts w:hint="eastAsia" w:cs="仿宋" w:asciiTheme="minorEastAsia" w:hAnsiTheme="minorEastAsia" w:eastAsiaTheme="minorEastAsia"/>
                <w:spacing w:val="17"/>
                <w:sz w:val="21"/>
                <w:szCs w:val="21"/>
              </w:rPr>
              <w:t>护电子门禁系统进出记录的完整性，</w:t>
            </w:r>
            <w:r>
              <w:rPr>
                <w:rFonts w:hint="eastAsia" w:cs="仿宋" w:asciiTheme="minorEastAsia" w:hAnsiTheme="minorEastAsia" w:eastAsiaTheme="minorEastAsia"/>
                <w:spacing w:val="9"/>
                <w:sz w:val="21"/>
                <w:szCs w:val="21"/>
              </w:rPr>
              <w:t>防</w:t>
            </w:r>
            <w:r>
              <w:rPr>
                <w:rFonts w:hint="eastAsia" w:cs="仿宋" w:asciiTheme="minorEastAsia" w:hAnsiTheme="minorEastAsia" w:eastAsiaTheme="minorEastAsia"/>
                <w:spacing w:val="7"/>
                <w:sz w:val="21"/>
                <w:szCs w:val="21"/>
              </w:rPr>
              <w:t>止被非授权篡改。</w:t>
            </w: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视频监控记录数</w:t>
            </w:r>
          </w:p>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据完整性</w:t>
            </w:r>
          </w:p>
        </w:tc>
        <w:tc>
          <w:tcPr>
            <w:tcW w:w="4428" w:type="dxa"/>
            <w:shd w:val="clear" w:color="auto" w:fill="FFFFFF"/>
            <w:vAlign w:val="center"/>
          </w:tcPr>
          <w:p>
            <w:pPr>
              <w:spacing w:line="240" w:lineRule="auto"/>
              <w:ind w:firstLine="0" w:firstLineChars="0"/>
              <w:rPr>
                <w:rFonts w:cs="仿宋" w:asciiTheme="minorEastAsia" w:hAnsiTheme="minorEastAsia" w:eastAsiaTheme="minorEastAsia"/>
                <w:spacing w:val="17"/>
                <w:sz w:val="21"/>
                <w:szCs w:val="21"/>
              </w:rPr>
            </w:pPr>
            <w:r>
              <w:rPr>
                <w:rFonts w:hint="eastAsia" w:cs="仿宋" w:asciiTheme="minorEastAsia" w:hAnsiTheme="minorEastAsia" w:eastAsiaTheme="minorEastAsia"/>
                <w:spacing w:val="17"/>
                <w:sz w:val="21"/>
                <w:szCs w:val="21"/>
              </w:rPr>
              <w:t>保护视频监控音像记录的完整性，防止被非授权篡改。</w:t>
            </w: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428" w:type="dxa"/>
            <w:shd w:val="clear" w:color="auto" w:fill="FFFFFF"/>
            <w:vAlign w:val="center"/>
          </w:tcPr>
          <w:p>
            <w:pPr>
              <w:spacing w:line="240" w:lineRule="auto"/>
              <w:ind w:firstLine="0" w:firstLineChars="0"/>
              <w:rPr>
                <w:rFonts w:cs="仿宋" w:asciiTheme="minorEastAsia" w:hAnsiTheme="minorEastAsia" w:eastAsiaTheme="minorEastAsia"/>
                <w:spacing w:val="17"/>
                <w:sz w:val="21"/>
                <w:szCs w:val="21"/>
              </w:rPr>
            </w:pPr>
            <w:r>
              <w:rPr>
                <w:rFonts w:hint="eastAsia" w:cs="仿宋" w:asciiTheme="minorEastAsia" w:hAnsiTheme="minorEastAsia" w:eastAsiaTheme="minorEastAsia"/>
                <w:spacing w:val="17"/>
                <w:sz w:val="21"/>
                <w:szCs w:val="21"/>
              </w:rPr>
              <w:t>不适用</w:t>
            </w: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428" w:type="dxa"/>
            <w:shd w:val="clear" w:color="auto" w:fill="FFFFFF"/>
            <w:vAlign w:val="center"/>
          </w:tcPr>
          <w:p>
            <w:pPr>
              <w:spacing w:line="240" w:lineRule="auto"/>
              <w:ind w:firstLine="0" w:firstLineChars="0"/>
              <w:rPr>
                <w:rFonts w:cs="仿宋" w:asciiTheme="minorEastAsia" w:hAnsiTheme="minorEastAsia" w:eastAsiaTheme="minorEastAsia"/>
                <w:spacing w:val="17"/>
                <w:sz w:val="21"/>
                <w:szCs w:val="21"/>
              </w:rPr>
            </w:pPr>
            <w:r>
              <w:rPr>
                <w:rFonts w:cs="仿宋" w:asciiTheme="minorEastAsia" w:hAnsiTheme="minorEastAsia" w:eastAsiaTheme="minorEastAsia"/>
                <w:spacing w:val="17"/>
                <w:sz w:val="21"/>
                <w:szCs w:val="21"/>
              </w:rPr>
              <w:t>采用的密码产品应达到GB/T 37092-2018二级及以上安全要求。</w:t>
            </w: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jc w:val="center"/>
              <w:textAlignment w:val="center"/>
              <w:rPr>
                <w:rFonts w:cs="仿宋" w:asciiTheme="minorEastAsia" w:hAnsiTheme="minorEastAsia" w:eastAsiaTheme="minorEastAsia"/>
                <w:sz w:val="21"/>
                <w:szCs w:val="21"/>
                <w:lang w:bidi="ar"/>
              </w:rPr>
            </w:pPr>
          </w:p>
        </w:tc>
        <w:tc>
          <w:tcPr>
            <w:tcW w:w="637" w:type="dxa"/>
            <w:vMerge w:val="restart"/>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网络和通信安全</w:t>
            </w:r>
          </w:p>
        </w:tc>
        <w:tc>
          <w:tcPr>
            <w:tcW w:w="2078" w:type="dxa"/>
            <w:vMerge w:val="restart"/>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确保</w:t>
            </w:r>
            <w:r>
              <w:rPr>
                <w:rFonts w:cs="仿宋" w:asciiTheme="minorEastAsia" w:hAnsiTheme="minorEastAsia" w:eastAsiaTheme="minorEastAsia"/>
                <w:sz w:val="21"/>
                <w:szCs w:val="21"/>
                <w:lang w:bidi="ar"/>
              </w:rPr>
              <w:t>PC</w:t>
            </w:r>
            <w:r>
              <w:rPr>
                <w:rFonts w:hint="eastAsia" w:cs="仿宋" w:asciiTheme="minorEastAsia" w:hAnsiTheme="minorEastAsia" w:eastAsiaTheme="minorEastAsia"/>
                <w:sz w:val="21"/>
                <w:szCs w:val="21"/>
                <w:lang w:bidi="ar"/>
              </w:rPr>
              <w:t>端、移动端和服务端通信实体身份的真实性，防止与假冒实体进行通信。</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管理端的身份鉴别由云平台提供安全保障。</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通信数据完整性</w:t>
            </w:r>
          </w:p>
        </w:tc>
        <w:tc>
          <w:tcPr>
            <w:tcW w:w="4428" w:type="dxa"/>
            <w:vMerge w:val="restart"/>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保护通信过程中重要业务数据的完整性和机密性， 防止数据被非授权篡改， 防止重要数据泄露</w:t>
            </w:r>
            <w:r>
              <w:rPr>
                <w:rFonts w:hint="eastAsia" w:cs="宋体" w:asciiTheme="minorEastAsia" w:hAnsiTheme="minorEastAsia" w:eastAsiaTheme="minorEastAsia"/>
                <w:sz w:val="21"/>
                <w:szCs w:val="21"/>
              </w:rPr>
              <w:t>。</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通信过程中重要数据的机密性</w:t>
            </w:r>
          </w:p>
        </w:tc>
        <w:tc>
          <w:tcPr>
            <w:tcW w:w="4428" w:type="dxa"/>
            <w:vMerge w:val="continue"/>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vMerge w:val="restart"/>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网络边界访问控制信息的完整性</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w:t>
            </w:r>
            <w:r>
              <w:rPr>
                <w:rFonts w:cs="仿宋" w:asciiTheme="minorEastAsia" w:hAnsiTheme="minorEastAsia" w:eastAsiaTheme="minorEastAsia"/>
                <w:sz w:val="21"/>
                <w:szCs w:val="21"/>
                <w:lang w:bidi="ar"/>
              </w:rPr>
              <w:t>PC</w:t>
            </w:r>
            <w:r>
              <w:rPr>
                <w:rFonts w:hint="eastAsia" w:cs="仿宋" w:asciiTheme="minorEastAsia" w:hAnsiTheme="minorEastAsia" w:eastAsiaTheme="minorEastAsia"/>
                <w:sz w:val="21"/>
                <w:szCs w:val="21"/>
                <w:lang w:bidi="ar"/>
              </w:rPr>
              <w:t>端、移动端和服务端通信过程中网络边界访问控制信息的完整性，防止被非授权篡改。</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vMerge w:val="continue"/>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lang w:bidi="ar"/>
              </w:rPr>
            </w:pPr>
          </w:p>
        </w:tc>
        <w:tc>
          <w:tcPr>
            <w:tcW w:w="4428" w:type="dxa"/>
            <w:shd w:val="clear" w:color="auto" w:fill="FFFFFF"/>
            <w:vAlign w:val="center"/>
          </w:tcPr>
          <w:p>
            <w:pPr>
              <w:spacing w:line="240" w:lineRule="auto"/>
              <w:ind w:firstLine="0" w:firstLineChars="0"/>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系统网络拓扑中不同区域网络边界访问控制信息的完整性保护由云平台提供。</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安全接入认证</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不适用。</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无外部设备接入本系统的需求。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采用的数字证书由具备资质的电子认证服务机构签发。</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rPr>
              <w:t>客户端</w:t>
            </w:r>
            <w:r>
              <w:rPr>
                <w:rFonts w:cs="仿宋" w:asciiTheme="minorEastAsia" w:hAnsiTheme="minorEastAsia" w:eastAsiaTheme="minorEastAsia"/>
                <w:sz w:val="21"/>
                <w:szCs w:val="21"/>
              </w:rPr>
              <w:t>采用的安全浏览器、密码模块</w:t>
            </w: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二级</w:t>
            </w: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、USBKey达到GB/T 37092二级安全要求。</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textAlignment w:val="center"/>
              <w:rPr>
                <w:rFonts w:cs="仿宋" w:asciiTheme="minorEastAsia" w:hAnsiTheme="minorEastAsia" w:eastAsiaTheme="minorEastAsia"/>
                <w:sz w:val="21"/>
                <w:szCs w:val="21"/>
                <w:lang w:bidi="ar"/>
              </w:rPr>
            </w:pPr>
          </w:p>
        </w:tc>
        <w:tc>
          <w:tcPr>
            <w:tcW w:w="637" w:type="dxa"/>
            <w:vMerge w:val="restart"/>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设备和计算安全</w:t>
            </w: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管理员通过远程运维管理终端访问堡垒机、服务器虚拟机、数据库、密码服务时，对其身份真实性进行识别和确认， 防止假冒人员登录。</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远程管理通道安全</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在设备实施远程运维管理时，对设备的运维管理通道进行保护，防止运维管理数据泄漏。</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系统资源访问控制信息完整性</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保护服务器虚拟机、数据库等设备访问控制信息的完整性，防止被非授权篡改。</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重要信息资源安全标记完整性</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不适用。</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设备没有安全标记。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日志记录完整性</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保护系统中服务器虚拟机、数据库、密码服务的日志记录的完整性，防止被非授权篡改。</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重要可执行程序完整性、来源真实性</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保护应用服务器等设备中部署的重要可执行程序的完整性和来源真实性，防止被非授权篡改。</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采用的云密码服务由云平台提供。</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jc w:val="center"/>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jc w:val="center"/>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lang w:bidi="ar"/>
              </w:rPr>
              <w:t>服务端相关的密码产品由云平台提供安全保障。</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lang w:bidi="ar"/>
              </w:rPr>
              <w:t>云平台通过密评，已被完全评估。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restart"/>
            <w:shd w:val="clear" w:color="auto" w:fill="FFFFFF"/>
          </w:tcPr>
          <w:p>
            <w:pPr>
              <w:spacing w:line="240" w:lineRule="auto"/>
              <w:ind w:firstLine="0" w:firstLineChars="0"/>
              <w:jc w:val="center"/>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业 务应 用安全</w:t>
            </w:r>
          </w:p>
        </w:tc>
        <w:tc>
          <w:tcPr>
            <w:tcW w:w="637" w:type="dxa"/>
            <w:vMerge w:val="restart"/>
            <w:shd w:val="clear" w:color="auto" w:fill="FFFFFF"/>
            <w:vAlign w:val="center"/>
          </w:tcPr>
          <w:p>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应用和数据安全</w:t>
            </w: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确认应用系统用户身份的真实性，防止假冒人员登录。</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访问控制信息完整性</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对应用系统的访问权限控制列表进行完整性保护，防止被非授权篡改。</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重要信息资源安全标记完整性</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不适用。</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应用没有安全标记。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重要数据传输机密性</w:t>
            </w:r>
          </w:p>
        </w:tc>
        <w:tc>
          <w:tcPr>
            <w:tcW w:w="4428" w:type="dxa"/>
            <w:vMerge w:val="restart"/>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w:t>
            </w:r>
            <w:r>
              <w:rPr>
                <w:rFonts w:cs="仿宋" w:asciiTheme="minorEastAsia" w:hAnsiTheme="minorEastAsia" w:eastAsiaTheme="minorEastAsia"/>
                <w:sz w:val="21"/>
                <w:szCs w:val="21"/>
                <w:lang w:bidi="ar"/>
              </w:rPr>
              <w:t>PC</w:t>
            </w:r>
            <w:r>
              <w:rPr>
                <w:rFonts w:hint="eastAsia" w:cs="仿宋" w:asciiTheme="minorEastAsia" w:hAnsiTheme="minorEastAsia" w:eastAsiaTheme="minorEastAsia"/>
                <w:sz w:val="21"/>
                <w:szCs w:val="21"/>
                <w:lang w:bidi="ar"/>
              </w:rPr>
              <w:t>端、移动端与服务端之间传输和存储的用户身份鉴别信息等重要数据的机密性和完整性，防止数据泄露给非授权的个人、进程等。保护系统业务日志数据的完整性，防止该数据被非授权篡改。</w:t>
            </w:r>
          </w:p>
        </w:tc>
        <w:tc>
          <w:tcPr>
            <w:tcW w:w="1505" w:type="dxa"/>
            <w:vMerge w:val="restart"/>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重要数据存储机密性</w:t>
            </w:r>
          </w:p>
        </w:tc>
        <w:tc>
          <w:tcPr>
            <w:tcW w:w="4428"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重要数据传输完整性</w:t>
            </w:r>
          </w:p>
        </w:tc>
        <w:tc>
          <w:tcPr>
            <w:tcW w:w="4428"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重要数据存储完整性</w:t>
            </w:r>
          </w:p>
        </w:tc>
        <w:tc>
          <w:tcPr>
            <w:tcW w:w="4428"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1505"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不可否认性</w:t>
            </w:r>
          </w:p>
        </w:tc>
        <w:tc>
          <w:tcPr>
            <w:tcW w:w="4428" w:type="dxa"/>
            <w:shd w:val="clear" w:color="auto" w:fill="FFFFFF"/>
            <w:vAlign w:val="center"/>
          </w:tcPr>
          <w:p>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保护系统中流转的电子公文数据的不可否认性， 确保发送方对已经发生的操作行为无法否认。</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采用的数字证书由具备资质的电子认证服务机构签发。</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dxa"/>
            <w:vMerge w:val="continue"/>
            <w:shd w:val="clear" w:color="auto" w:fill="FFFFFF"/>
          </w:tcPr>
          <w:p>
            <w:pPr>
              <w:spacing w:line="240" w:lineRule="auto"/>
              <w:ind w:firstLine="0" w:firstLineChars="0"/>
              <w:rPr>
                <w:rFonts w:cs="仿宋" w:asciiTheme="minorEastAsia" w:hAnsiTheme="minorEastAsia" w:eastAsiaTheme="minorEastAsia"/>
                <w:sz w:val="21"/>
                <w:szCs w:val="21"/>
              </w:rPr>
            </w:pPr>
          </w:p>
        </w:tc>
        <w:tc>
          <w:tcPr>
            <w:tcW w:w="637" w:type="dxa"/>
            <w:vMerge w:val="continue"/>
            <w:shd w:val="clear" w:color="auto" w:fill="FFFFFF"/>
            <w:vAlign w:val="center"/>
          </w:tcPr>
          <w:p>
            <w:pPr>
              <w:spacing w:line="240" w:lineRule="auto"/>
              <w:ind w:firstLine="0" w:firstLineChars="0"/>
              <w:rPr>
                <w:rFonts w:cs="仿宋" w:asciiTheme="minorEastAsia" w:hAnsiTheme="minorEastAsia" w:eastAsiaTheme="minorEastAsia"/>
                <w:sz w:val="21"/>
                <w:szCs w:val="21"/>
              </w:rPr>
            </w:pPr>
          </w:p>
        </w:tc>
        <w:tc>
          <w:tcPr>
            <w:tcW w:w="2078" w:type="dxa"/>
            <w:shd w:val="clear" w:color="auto" w:fill="FFFFFF"/>
            <w:vAlign w:val="center"/>
          </w:tcPr>
          <w:p>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428"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lang w:bidi="ar"/>
              </w:rPr>
              <w:t>服务端相关的密码产品由云平台提供安全保障。</w:t>
            </w:r>
          </w:p>
        </w:tc>
        <w:tc>
          <w:tcPr>
            <w:tcW w:w="1505" w:type="dxa"/>
            <w:shd w:val="clear" w:color="auto" w:fill="FFFFFF"/>
            <w:vAlign w:val="center"/>
          </w:tcPr>
          <w:p>
            <w:pPr>
              <w:spacing w:line="240" w:lineRule="auto"/>
              <w:ind w:firstLine="0" w:firstLineChars="0"/>
              <w:textAlignment w:val="center"/>
              <w:rPr>
                <w:rFonts w:cs="仿宋" w:asciiTheme="minorEastAsia" w:hAnsiTheme="minorEastAsia" w:eastAsiaTheme="minorEastAsia"/>
                <w:color w:val="FF0000"/>
                <w:sz w:val="21"/>
                <w:szCs w:val="21"/>
              </w:rPr>
            </w:pPr>
            <w:r>
              <w:rPr>
                <w:rFonts w:hint="eastAsia" w:cs="仿宋" w:asciiTheme="minorEastAsia" w:hAnsiTheme="minorEastAsia" w:eastAsiaTheme="minorEastAsia"/>
                <w:sz w:val="21"/>
                <w:szCs w:val="21"/>
                <w:lang w:bidi="ar"/>
              </w:rPr>
              <w:t>云平台通过密评，已被完全评估。</w:t>
            </w:r>
          </w:p>
        </w:tc>
      </w:tr>
    </w:tbl>
    <w:p>
      <w:pPr>
        <w:ind w:firstLine="0" w:firstLineChars="0"/>
      </w:pPr>
    </w:p>
    <w:p>
      <w:pPr>
        <w:pStyle w:val="3"/>
        <w:ind w:left="480" w:leftChars="0" w:firstLineChars="0"/>
      </w:pPr>
      <w:r>
        <w:rPr>
          <w:rFonts w:hint="eastAsia"/>
        </w:rPr>
        <w:t>技术文件要求</w:t>
      </w:r>
    </w:p>
    <w:p>
      <w:r>
        <w:rPr>
          <w:rFonts w:hint="eastAsia"/>
        </w:rPr>
        <w:t>投标人提供的书面技术资料应能确保系统正常运行所需的管理、运营及维护有关的全套文件。技术文件应该全面、完整、详细。投标人提供的技术文件至少应包括：</w:t>
      </w:r>
    </w:p>
    <w:p>
      <w:r>
        <w:rPr>
          <w:rFonts w:hint="eastAsia"/>
        </w:rPr>
        <w:t>－</w:t>
      </w:r>
      <w:r>
        <w:t xml:space="preserve"> 系统说明文件； </w:t>
      </w:r>
    </w:p>
    <w:p>
      <w:r>
        <w:rPr>
          <w:rFonts w:hint="eastAsia"/>
        </w:rPr>
        <w:t>－</w:t>
      </w:r>
      <w:r>
        <w:t xml:space="preserve"> 技术手册(安装、测试、操作、维护、故障排除等)； </w:t>
      </w:r>
    </w:p>
    <w:p>
      <w:r>
        <w:rPr>
          <w:rFonts w:hint="eastAsia"/>
        </w:rPr>
        <w:t>－</w:t>
      </w:r>
      <w:r>
        <w:t xml:space="preserve"> 项目文档，应该包括：</w:t>
      </w:r>
    </w:p>
    <w:p>
      <w:pPr>
        <w:ind w:left="360"/>
      </w:pPr>
      <w:r>
        <w:t>(1)软件需求说明书</w:t>
      </w:r>
    </w:p>
    <w:p>
      <w:pPr>
        <w:ind w:left="360"/>
      </w:pPr>
      <w:r>
        <w:t>(2)</w:t>
      </w:r>
      <w:r>
        <w:tab/>
      </w:r>
      <w:r>
        <w:t>系统总体设计说明书</w:t>
      </w:r>
    </w:p>
    <w:p>
      <w:pPr>
        <w:ind w:left="360"/>
      </w:pPr>
      <w:r>
        <w:t>(3)</w:t>
      </w:r>
      <w:r>
        <w:tab/>
      </w:r>
      <w:r>
        <w:t>应用软件功能清单</w:t>
      </w:r>
    </w:p>
    <w:p>
      <w:r>
        <w:rPr>
          <w:rFonts w:hint="eastAsia"/>
        </w:rPr>
        <w:t>提供全套技术文件纸介质</w:t>
      </w:r>
      <w:r>
        <w:t>3套以及电子文件1套。</w:t>
      </w:r>
    </w:p>
    <w:p>
      <w:pPr>
        <w:pStyle w:val="3"/>
        <w:ind w:left="480" w:leftChars="0" w:firstLineChars="0"/>
      </w:pPr>
      <w:r>
        <w:rPr>
          <w:rFonts w:hint="eastAsia"/>
        </w:rPr>
        <w:t>其他要求</w:t>
      </w:r>
    </w:p>
    <w:p>
      <w:r>
        <w:rPr>
          <w:rFonts w:hint="eastAsia"/>
        </w:rPr>
        <w:t>根据市大数据中心要求，做好系统数据库的管理规范化、数据标准化、完成数据编目和数据上链工作；按照中心的统一管理要求，做好</w:t>
      </w:r>
      <w:r>
        <w:rPr>
          <w:rFonts w:hint="eastAsia"/>
          <w:color w:val="FF0000"/>
        </w:rPr>
        <w:t>城管执法综合管理平台</w:t>
      </w:r>
      <w:r>
        <w:rPr>
          <w:rFonts w:hint="eastAsia"/>
        </w:rPr>
        <w:t>相关前期系统的运维工作，确保系统安全、稳定运行，确保数据安全，满足业务部门需求。</w:t>
      </w:r>
    </w:p>
    <w:p>
      <w:pPr>
        <w:pStyle w:val="2"/>
      </w:pPr>
      <w:r>
        <w:rPr>
          <w:rFonts w:hint="eastAsia"/>
        </w:rPr>
        <w:t>供应商管理要求</w:t>
      </w:r>
      <w:bookmarkEnd w:id="36"/>
    </w:p>
    <w:p>
      <w:pPr>
        <w:pStyle w:val="80"/>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0"/>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0"/>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pPr>
        <w:pStyle w:val="80"/>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0"/>
        <w:ind w:firstLine="480"/>
        <w:rPr>
          <w:sz w:val="24"/>
          <w:szCs w:val="24"/>
        </w:rPr>
      </w:pPr>
      <w:r>
        <w:rPr>
          <w:rFonts w:hint="eastAsia"/>
          <w:sz w:val="24"/>
          <w:szCs w:val="24"/>
        </w:rPr>
        <w:t>5、中标人在项目实施期间必须遵守采购人的规章制度并提供实施人员名单。</w:t>
      </w:r>
    </w:p>
    <w:p>
      <w:pPr>
        <w:pStyle w:val="80"/>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0"/>
        <w:ind w:firstLine="480"/>
        <w:rPr>
          <w:rFonts w:hint="eastAsia"/>
          <w:sz w:val="24"/>
          <w:szCs w:val="24"/>
        </w:rPr>
      </w:pPr>
      <w:r>
        <w:rPr>
          <w:rFonts w:hint="eastAsia"/>
          <w:sz w:val="24"/>
          <w:szCs w:val="24"/>
        </w:rPr>
        <w:t>7、本项目软件开发及调试将纳入采购人的管理范围，中标人在此过程中须服从上述单位的管理协调。</w:t>
      </w:r>
    </w:p>
    <w:p>
      <w:pPr>
        <w:pStyle w:val="80"/>
        <w:ind w:firstLine="480"/>
        <w:rPr>
          <w:rFonts w:hint="eastAsia"/>
          <w:sz w:val="24"/>
          <w:szCs w:val="24"/>
          <w:lang w:eastAsia="zh-CN"/>
        </w:rPr>
      </w:pPr>
      <w:r>
        <w:rPr>
          <w:rFonts w:hint="eastAsia"/>
          <w:sz w:val="24"/>
          <w:szCs w:val="24"/>
          <w:lang w:val="en-US" w:eastAsia="zh-CN"/>
        </w:rPr>
        <w:t>8、优先考虑</w:t>
      </w:r>
      <w:r>
        <w:rPr>
          <w:rFonts w:hint="eastAsia"/>
          <w:sz w:val="24"/>
          <w:szCs w:val="24"/>
        </w:rPr>
        <w:t>具有信息安全管理体系认证(GB/T22080-2016或ISO/IEC 27001:2013 认证)并在有效期内的</w:t>
      </w:r>
      <w:r>
        <w:rPr>
          <w:rFonts w:hint="eastAsia"/>
          <w:sz w:val="24"/>
          <w:szCs w:val="24"/>
          <w:lang w:eastAsia="zh-CN"/>
        </w:rPr>
        <w:t>供应商。</w:t>
      </w:r>
    </w:p>
    <w:p>
      <w:pPr>
        <w:pStyle w:val="80"/>
        <w:ind w:firstLine="480"/>
        <w:rPr>
          <w:rFonts w:hint="eastAsia"/>
          <w:sz w:val="24"/>
          <w:szCs w:val="24"/>
        </w:rPr>
      </w:pPr>
      <w:r>
        <w:rPr>
          <w:rFonts w:hint="eastAsia"/>
          <w:sz w:val="24"/>
          <w:szCs w:val="24"/>
          <w:lang w:val="en-US" w:eastAsia="zh-CN"/>
        </w:rPr>
        <w:t>9、优先考虑</w:t>
      </w:r>
      <w:r>
        <w:rPr>
          <w:rFonts w:hint="eastAsia"/>
          <w:sz w:val="24"/>
          <w:szCs w:val="24"/>
        </w:rPr>
        <w:t>具有与本项目主要建设内容业务相关的应用软件著作权登记证书</w:t>
      </w:r>
      <w:r>
        <w:rPr>
          <w:rFonts w:hint="eastAsia"/>
          <w:sz w:val="24"/>
          <w:szCs w:val="24"/>
          <w:lang w:eastAsia="zh-CN"/>
        </w:rPr>
        <w:t>的供应商，软著涉及内容包括：</w:t>
      </w:r>
      <w:r>
        <w:rPr>
          <w:rFonts w:hint="eastAsia"/>
          <w:sz w:val="24"/>
          <w:szCs w:val="24"/>
        </w:rPr>
        <w:t>电子办公类、人员绩效考核类、教育培训类、制服申领类、人才管理类。</w:t>
      </w:r>
    </w:p>
    <w:p>
      <w:pPr>
        <w:pStyle w:val="80"/>
        <w:ind w:firstLine="480"/>
        <w:rPr>
          <w:rFonts w:hint="eastAsia"/>
          <w:sz w:val="24"/>
          <w:szCs w:val="24"/>
        </w:rPr>
      </w:pPr>
    </w:p>
    <w:p>
      <w:pPr>
        <w:pStyle w:val="80"/>
        <w:ind w:firstLine="420"/>
      </w:pPr>
    </w:p>
    <w:p>
      <w:pPr>
        <w:ind w:firstLine="0" w:firstLineChars="0"/>
        <w:rPr>
          <w:b/>
        </w:rPr>
      </w:pPr>
    </w:p>
    <w:p>
      <w:pPr>
        <w:jc w:val="left"/>
        <w:rPr>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Century Gothic"/>
    <w:panose1 w:val="020F0302020204030204"/>
    <w:charset w:val="00"/>
    <w:family w:val="swiss"/>
    <w:pitch w:val="default"/>
    <w:sig w:usb0="00000000" w:usb1="00000000" w:usb2="00000009" w:usb3="00000000" w:csb0="000001FF" w:csb1="00000000"/>
  </w:font>
  <w:font w:name="Century Gothic">
    <w:panose1 w:val="020B0502020202020204"/>
    <w:charset w:val="00"/>
    <w:family w:val="auto"/>
    <w:pitch w:val="default"/>
    <w:sig w:usb0="00000287" w:usb1="00000000" w:usb2="00000000" w:usb3="00000000" w:csb0="2000009F" w:csb1="DFD70000"/>
  </w:font>
  <w:font w:name="等线 Light">
    <w:altName w:val="書體坊顏體㊣"/>
    <w:panose1 w:val="02010600030101010101"/>
    <w:charset w:val="86"/>
    <w:family w:val="auto"/>
    <w:pitch w:val="default"/>
    <w:sig w:usb0="00000000" w:usb1="00000000" w:usb2="00000016" w:usb3="00000000" w:csb0="0004000F" w:csb1="00000000"/>
  </w:font>
  <w:font w:name="書體坊顏體㊣">
    <w:panose1 w:val="02010600030101010101"/>
    <w:charset w:val="86"/>
    <w:family w:val="auto"/>
    <w:pitch w:val="default"/>
    <w:sig w:usb0="00000001" w:usb1="080E0000" w:usb2="00000000" w:usb3="00000000" w:csb0="00040000" w:csb1="00000000"/>
  </w:font>
  <w:font w:name="time">
    <w:altName w:val="演示斜黑体"/>
    <w:panose1 w:val="00000000000000000000"/>
    <w:charset w:val="00"/>
    <w:family w:val="roman"/>
    <w:pitch w:val="default"/>
    <w:sig w:usb0="00000000" w:usb1="00000000" w:usb2="00000000" w:usb3="00000000" w:csb0="00040001" w:csb1="00000000"/>
  </w:font>
  <w:font w:name="演示斜黑体">
    <w:panose1 w:val="00000A08000000000000"/>
    <w:charset w:val="86"/>
    <w:family w:val="auto"/>
    <w:pitch w:val="default"/>
    <w:sig w:usb0="00000001" w:usb1="00000000" w:usb2="00000000" w:usb3="00000000" w:csb0="00040000"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ntury">
    <w:altName w:val="Bookman Old Style"/>
    <w:panose1 w:val="02040604050505020304"/>
    <w:charset w:val="00"/>
    <w:family w:val="roman"/>
    <w:pitch w:val="default"/>
    <w:sig w:usb0="00000000" w:usb1="00000000" w:usb2="00000000" w:usb3="00000000" w:csb0="0000009F" w:csb1="00000000"/>
  </w:font>
  <w:font w:name="Bookman Old Style">
    <w:panose1 w:val="02050604050505020204"/>
    <w:charset w:val="00"/>
    <w:family w:val="auto"/>
    <w:pitch w:val="default"/>
    <w:sig w:usb0="00000287" w:usb1="00000000" w:usb2="00000000" w:usb3="00000000" w:csb0="2000009F" w:csb1="DFD7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8BED2E8B"/>
    <w:multiLevelType w:val="multilevel"/>
    <w:tmpl w:val="8BED2E8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134"/>
      <w:lvlText w:val="1.%3"/>
      <w:lvlJc w:val="left"/>
      <w:pPr>
        <w:ind w:left="720" w:hanging="720"/>
      </w:pPr>
      <w:rPr>
        <w:rFonts w:hint="eastAsia"/>
      </w:rPr>
    </w:lvl>
    <w:lvl w:ilvl="3" w:tentative="0">
      <w:start w:val="1"/>
      <w:numFmt w:val="decimal"/>
      <w:pStyle w:val="135"/>
      <w:lvlText w:val="3.2.%4"/>
      <w:lvlJc w:val="left"/>
      <w:pPr>
        <w:ind w:left="864" w:hanging="864"/>
      </w:pPr>
      <w:rPr>
        <w:rFonts w:hint="eastAsia"/>
      </w:rPr>
    </w:lvl>
    <w:lvl w:ilvl="4" w:tentative="0">
      <w:start w:val="1"/>
      <w:numFmt w:val="decimal"/>
      <w:lvlText w:val="%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4709A4C"/>
    <w:multiLevelType w:val="singleLevel"/>
    <w:tmpl w:val="E4709A4C"/>
    <w:lvl w:ilvl="0" w:tentative="0">
      <w:start w:val="1"/>
      <w:numFmt w:val="decimal"/>
      <w:lvlText w:val="%1."/>
      <w:lvlJc w:val="left"/>
      <w:pPr>
        <w:tabs>
          <w:tab w:val="left" w:pos="312"/>
        </w:tabs>
      </w:pPr>
    </w:lvl>
  </w:abstractNum>
  <w:abstractNum w:abstractNumId="3">
    <w:nsid w:val="FBF848EE"/>
    <w:multiLevelType w:val="singleLevel"/>
    <w:tmpl w:val="FBF848EE"/>
    <w:lvl w:ilvl="0" w:tentative="0">
      <w:start w:val="1"/>
      <w:numFmt w:val="decimal"/>
      <w:lvlText w:val="%1."/>
      <w:lvlJc w:val="left"/>
      <w:pPr>
        <w:tabs>
          <w:tab w:val="left" w:pos="312"/>
        </w:tabs>
      </w:pPr>
    </w:lvl>
  </w:abstractNum>
  <w:abstractNum w:abstractNumId="4">
    <w:nsid w:val="24940095"/>
    <w:multiLevelType w:val="multilevel"/>
    <w:tmpl w:val="24940095"/>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4A8A63C7"/>
    <w:multiLevelType w:val="multilevel"/>
    <w:tmpl w:val="4A8A63C7"/>
    <w:lvl w:ilvl="0" w:tentative="0">
      <w:start w:val="1"/>
      <w:numFmt w:val="chineseCountingThousand"/>
      <w:suff w:val="nothing"/>
      <w:lvlText w:val="%1、"/>
      <w:lvlJc w:val="left"/>
      <w:pPr>
        <w:ind w:left="425" w:hanging="425"/>
      </w:pPr>
      <w:rPr>
        <w:rFonts w:hint="eastAsia"/>
        <w:sz w:val="32"/>
        <w:szCs w:val="32"/>
      </w:rPr>
    </w:lvl>
    <w:lvl w:ilvl="1" w:tentative="0">
      <w:start w:val="1"/>
      <w:numFmt w:val="decimal"/>
      <w:lvlText w:val="%2."/>
      <w:lvlJc w:val="left"/>
      <w:pPr>
        <w:ind w:left="1008" w:hanging="440"/>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3713A4E"/>
    <w:multiLevelType w:val="multilevel"/>
    <w:tmpl w:val="63713A4E"/>
    <w:lvl w:ilvl="0" w:tentative="0">
      <w:start w:val="1"/>
      <w:numFmt w:val="chineseCountingThousand"/>
      <w:suff w:val="nothing"/>
      <w:lvlText w:val="%1、"/>
      <w:lvlJc w:val="left"/>
      <w:pPr>
        <w:ind w:left="425" w:hanging="425"/>
      </w:pPr>
      <w:rPr>
        <w:rFonts w:hint="eastAsia"/>
        <w:sz w:val="32"/>
        <w:szCs w:val="32"/>
      </w:rPr>
    </w:lvl>
    <w:lvl w:ilvl="1" w:tentative="0">
      <w:start w:val="1"/>
      <w:numFmt w:val="decimal"/>
      <w:lvlText w:val="%2."/>
      <w:lvlJc w:val="left"/>
      <w:pPr>
        <w:ind w:left="1008" w:hanging="440"/>
      </w:pPr>
      <w:rPr>
        <w:rFonts w:hint="eastAsia"/>
      </w:r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8">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80"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8"/>
  </w:num>
  <w:num w:numId="2">
    <w:abstractNumId w:val="6"/>
  </w:num>
  <w:num w:numId="3">
    <w:abstractNumId w:val="1"/>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iMjg1YTA3NDNhNDA0YWY2NGM1NTZkY2E5YmY0N2MifQ=="/>
    <w:docVar w:name="KSO_WPS_MARK_KEY" w:val="7ffc4143-5bc9-4b26-9495-a33a97e5e59e"/>
  </w:docVars>
  <w:rsids>
    <w:rsidRoot w:val="006910C0"/>
    <w:rsid w:val="0000005A"/>
    <w:rsid w:val="00000AED"/>
    <w:rsid w:val="00003516"/>
    <w:rsid w:val="0000380E"/>
    <w:rsid w:val="0000560D"/>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A00"/>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747"/>
    <w:rsid w:val="000649E6"/>
    <w:rsid w:val="0006794B"/>
    <w:rsid w:val="00067DCA"/>
    <w:rsid w:val="00070063"/>
    <w:rsid w:val="0007087A"/>
    <w:rsid w:val="000710EC"/>
    <w:rsid w:val="00072237"/>
    <w:rsid w:val="00072ABE"/>
    <w:rsid w:val="00080B39"/>
    <w:rsid w:val="0008378B"/>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3288"/>
    <w:rsid w:val="000B4459"/>
    <w:rsid w:val="000B4B46"/>
    <w:rsid w:val="000B5363"/>
    <w:rsid w:val="000B53BA"/>
    <w:rsid w:val="000B642F"/>
    <w:rsid w:val="000B6C99"/>
    <w:rsid w:val="000C3CF4"/>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1755A"/>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5E82"/>
    <w:rsid w:val="001465BD"/>
    <w:rsid w:val="00147B45"/>
    <w:rsid w:val="00150803"/>
    <w:rsid w:val="00151D83"/>
    <w:rsid w:val="001546C9"/>
    <w:rsid w:val="00154FAE"/>
    <w:rsid w:val="00155E77"/>
    <w:rsid w:val="00156A70"/>
    <w:rsid w:val="00160A61"/>
    <w:rsid w:val="00160FC0"/>
    <w:rsid w:val="001610F4"/>
    <w:rsid w:val="0016429B"/>
    <w:rsid w:val="00164525"/>
    <w:rsid w:val="00164C50"/>
    <w:rsid w:val="00165CB2"/>
    <w:rsid w:val="00166203"/>
    <w:rsid w:val="00166767"/>
    <w:rsid w:val="001707CB"/>
    <w:rsid w:val="00171477"/>
    <w:rsid w:val="00172A1A"/>
    <w:rsid w:val="00173251"/>
    <w:rsid w:val="001762BD"/>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2B6A"/>
    <w:rsid w:val="001D6049"/>
    <w:rsid w:val="001D7339"/>
    <w:rsid w:val="001E2750"/>
    <w:rsid w:val="001E4343"/>
    <w:rsid w:val="001E4908"/>
    <w:rsid w:val="001E52BB"/>
    <w:rsid w:val="001E660A"/>
    <w:rsid w:val="001E71FD"/>
    <w:rsid w:val="001F05D6"/>
    <w:rsid w:val="001F5B0A"/>
    <w:rsid w:val="001F640F"/>
    <w:rsid w:val="001F6794"/>
    <w:rsid w:val="001F6F65"/>
    <w:rsid w:val="002002DF"/>
    <w:rsid w:val="00203A6F"/>
    <w:rsid w:val="00205646"/>
    <w:rsid w:val="002063F7"/>
    <w:rsid w:val="002064A8"/>
    <w:rsid w:val="00206C7E"/>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146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039"/>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3D49"/>
    <w:rsid w:val="00315216"/>
    <w:rsid w:val="0031691C"/>
    <w:rsid w:val="00317AEF"/>
    <w:rsid w:val="00317F49"/>
    <w:rsid w:val="0032089B"/>
    <w:rsid w:val="00322C16"/>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B747A"/>
    <w:rsid w:val="003C0C62"/>
    <w:rsid w:val="003C12DC"/>
    <w:rsid w:val="003C2CDA"/>
    <w:rsid w:val="003D000A"/>
    <w:rsid w:val="003D31E9"/>
    <w:rsid w:val="003D421C"/>
    <w:rsid w:val="003D544E"/>
    <w:rsid w:val="003D5980"/>
    <w:rsid w:val="003E0842"/>
    <w:rsid w:val="003E13B0"/>
    <w:rsid w:val="003E2580"/>
    <w:rsid w:val="003E3DEE"/>
    <w:rsid w:val="003E3EBB"/>
    <w:rsid w:val="003E46F6"/>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8AB"/>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6689"/>
    <w:rsid w:val="00447BF1"/>
    <w:rsid w:val="00450BA4"/>
    <w:rsid w:val="004511FC"/>
    <w:rsid w:val="00454EAA"/>
    <w:rsid w:val="00456784"/>
    <w:rsid w:val="00456DCA"/>
    <w:rsid w:val="00461140"/>
    <w:rsid w:val="004611DB"/>
    <w:rsid w:val="00462698"/>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5D"/>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5B95"/>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1962"/>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0CE0"/>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5F1C"/>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B35"/>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3E0"/>
    <w:rsid w:val="006E0898"/>
    <w:rsid w:val="006E2CA9"/>
    <w:rsid w:val="006E41CD"/>
    <w:rsid w:val="006F3BEC"/>
    <w:rsid w:val="00703878"/>
    <w:rsid w:val="00703C00"/>
    <w:rsid w:val="007057CC"/>
    <w:rsid w:val="007066F2"/>
    <w:rsid w:val="00706AE5"/>
    <w:rsid w:val="0070740A"/>
    <w:rsid w:val="00711F93"/>
    <w:rsid w:val="00712940"/>
    <w:rsid w:val="0071428C"/>
    <w:rsid w:val="00715A16"/>
    <w:rsid w:val="007164B0"/>
    <w:rsid w:val="007166FF"/>
    <w:rsid w:val="007260CC"/>
    <w:rsid w:val="007262C3"/>
    <w:rsid w:val="00726543"/>
    <w:rsid w:val="00731A7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75BF6"/>
    <w:rsid w:val="007818AA"/>
    <w:rsid w:val="00783140"/>
    <w:rsid w:val="007838B6"/>
    <w:rsid w:val="00783E77"/>
    <w:rsid w:val="007906F1"/>
    <w:rsid w:val="0079243D"/>
    <w:rsid w:val="00794A9B"/>
    <w:rsid w:val="0079583B"/>
    <w:rsid w:val="00795A71"/>
    <w:rsid w:val="00796602"/>
    <w:rsid w:val="00797185"/>
    <w:rsid w:val="007976B7"/>
    <w:rsid w:val="00797A7E"/>
    <w:rsid w:val="00797D6F"/>
    <w:rsid w:val="007B014B"/>
    <w:rsid w:val="007B0D88"/>
    <w:rsid w:val="007B306F"/>
    <w:rsid w:val="007B4714"/>
    <w:rsid w:val="007B4E82"/>
    <w:rsid w:val="007C1996"/>
    <w:rsid w:val="007C3773"/>
    <w:rsid w:val="007C3F1F"/>
    <w:rsid w:val="007D100A"/>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0399"/>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77D9C"/>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3C90"/>
    <w:rsid w:val="009559E1"/>
    <w:rsid w:val="009568D5"/>
    <w:rsid w:val="009573C3"/>
    <w:rsid w:val="00957CD3"/>
    <w:rsid w:val="0096205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6EB"/>
    <w:rsid w:val="009937D4"/>
    <w:rsid w:val="00993C78"/>
    <w:rsid w:val="009948C7"/>
    <w:rsid w:val="00995850"/>
    <w:rsid w:val="0099796C"/>
    <w:rsid w:val="009A194E"/>
    <w:rsid w:val="009A1EA2"/>
    <w:rsid w:val="009A209E"/>
    <w:rsid w:val="009A3FD7"/>
    <w:rsid w:val="009A6652"/>
    <w:rsid w:val="009A74FD"/>
    <w:rsid w:val="009B25D8"/>
    <w:rsid w:val="009B3030"/>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E6AF5"/>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073"/>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5734"/>
    <w:rsid w:val="00A46F46"/>
    <w:rsid w:val="00A476BE"/>
    <w:rsid w:val="00A52CB6"/>
    <w:rsid w:val="00A52F99"/>
    <w:rsid w:val="00A538BB"/>
    <w:rsid w:val="00A54164"/>
    <w:rsid w:val="00A56737"/>
    <w:rsid w:val="00A60002"/>
    <w:rsid w:val="00A603D8"/>
    <w:rsid w:val="00A60AE2"/>
    <w:rsid w:val="00A61834"/>
    <w:rsid w:val="00A618B0"/>
    <w:rsid w:val="00A62790"/>
    <w:rsid w:val="00A6291F"/>
    <w:rsid w:val="00A6336F"/>
    <w:rsid w:val="00A63F53"/>
    <w:rsid w:val="00A7111E"/>
    <w:rsid w:val="00A755B6"/>
    <w:rsid w:val="00A75B1A"/>
    <w:rsid w:val="00A80ED4"/>
    <w:rsid w:val="00A816C4"/>
    <w:rsid w:val="00A8175E"/>
    <w:rsid w:val="00A82981"/>
    <w:rsid w:val="00A86F10"/>
    <w:rsid w:val="00A87AF2"/>
    <w:rsid w:val="00A90B23"/>
    <w:rsid w:val="00A91EC9"/>
    <w:rsid w:val="00A93193"/>
    <w:rsid w:val="00A93C2B"/>
    <w:rsid w:val="00A94556"/>
    <w:rsid w:val="00A974CB"/>
    <w:rsid w:val="00AA1EAC"/>
    <w:rsid w:val="00AA45E2"/>
    <w:rsid w:val="00AA7AC1"/>
    <w:rsid w:val="00AB6327"/>
    <w:rsid w:val="00AB6B8F"/>
    <w:rsid w:val="00AC0C65"/>
    <w:rsid w:val="00AC0FB2"/>
    <w:rsid w:val="00AC3721"/>
    <w:rsid w:val="00AC3FC6"/>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0A86"/>
    <w:rsid w:val="00AF1345"/>
    <w:rsid w:val="00AF38A8"/>
    <w:rsid w:val="00AF63EB"/>
    <w:rsid w:val="00B016D2"/>
    <w:rsid w:val="00B018EC"/>
    <w:rsid w:val="00B0272D"/>
    <w:rsid w:val="00B060C7"/>
    <w:rsid w:val="00B11AB7"/>
    <w:rsid w:val="00B12213"/>
    <w:rsid w:val="00B13710"/>
    <w:rsid w:val="00B22881"/>
    <w:rsid w:val="00B23EFC"/>
    <w:rsid w:val="00B24B72"/>
    <w:rsid w:val="00B25DB8"/>
    <w:rsid w:val="00B2656C"/>
    <w:rsid w:val="00B266E6"/>
    <w:rsid w:val="00B3094D"/>
    <w:rsid w:val="00B30B04"/>
    <w:rsid w:val="00B311BC"/>
    <w:rsid w:val="00B3149D"/>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0E9"/>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3177"/>
    <w:rsid w:val="00BA0A14"/>
    <w:rsid w:val="00BA228D"/>
    <w:rsid w:val="00BA398D"/>
    <w:rsid w:val="00BA39D3"/>
    <w:rsid w:val="00BA5C56"/>
    <w:rsid w:val="00BA735B"/>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3FAF"/>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4B7A"/>
    <w:rsid w:val="00D35565"/>
    <w:rsid w:val="00D36A19"/>
    <w:rsid w:val="00D40DCF"/>
    <w:rsid w:val="00D41075"/>
    <w:rsid w:val="00D41C76"/>
    <w:rsid w:val="00D41DD8"/>
    <w:rsid w:val="00D4222C"/>
    <w:rsid w:val="00D425CE"/>
    <w:rsid w:val="00D42F40"/>
    <w:rsid w:val="00D4396C"/>
    <w:rsid w:val="00D4446F"/>
    <w:rsid w:val="00D44B55"/>
    <w:rsid w:val="00D44E32"/>
    <w:rsid w:val="00D45490"/>
    <w:rsid w:val="00D457B8"/>
    <w:rsid w:val="00D457E1"/>
    <w:rsid w:val="00D47BEB"/>
    <w:rsid w:val="00D50487"/>
    <w:rsid w:val="00D50563"/>
    <w:rsid w:val="00D50F50"/>
    <w:rsid w:val="00D5235F"/>
    <w:rsid w:val="00D52F50"/>
    <w:rsid w:val="00D55A98"/>
    <w:rsid w:val="00D56B49"/>
    <w:rsid w:val="00D6026C"/>
    <w:rsid w:val="00D6053F"/>
    <w:rsid w:val="00D6073D"/>
    <w:rsid w:val="00D618D6"/>
    <w:rsid w:val="00D62426"/>
    <w:rsid w:val="00D62804"/>
    <w:rsid w:val="00D65171"/>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0CE0"/>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4F64"/>
    <w:rsid w:val="00E26363"/>
    <w:rsid w:val="00E272A4"/>
    <w:rsid w:val="00E302CE"/>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A6A38"/>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5E1"/>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08BB"/>
    <w:rsid w:val="00F5366C"/>
    <w:rsid w:val="00F53A7A"/>
    <w:rsid w:val="00F54FCD"/>
    <w:rsid w:val="00F5785C"/>
    <w:rsid w:val="00F65820"/>
    <w:rsid w:val="00F65E3C"/>
    <w:rsid w:val="00F67076"/>
    <w:rsid w:val="00F677FA"/>
    <w:rsid w:val="00F7115A"/>
    <w:rsid w:val="00F717AA"/>
    <w:rsid w:val="00F72714"/>
    <w:rsid w:val="00F744C3"/>
    <w:rsid w:val="00F759B9"/>
    <w:rsid w:val="00F75EE2"/>
    <w:rsid w:val="00F75F69"/>
    <w:rsid w:val="00F76014"/>
    <w:rsid w:val="00F802D3"/>
    <w:rsid w:val="00F80F94"/>
    <w:rsid w:val="00F81BA2"/>
    <w:rsid w:val="00F823A4"/>
    <w:rsid w:val="00F839CE"/>
    <w:rsid w:val="00F8412F"/>
    <w:rsid w:val="00F84791"/>
    <w:rsid w:val="00F85995"/>
    <w:rsid w:val="00F85FC5"/>
    <w:rsid w:val="00F86C22"/>
    <w:rsid w:val="00F90CB3"/>
    <w:rsid w:val="00F91222"/>
    <w:rsid w:val="00F912A2"/>
    <w:rsid w:val="00F913A3"/>
    <w:rsid w:val="00F925C3"/>
    <w:rsid w:val="00FA0109"/>
    <w:rsid w:val="00FA0807"/>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5FFD72B"/>
    <w:rsid w:val="266F634F"/>
    <w:rsid w:val="291059EA"/>
    <w:rsid w:val="2BBF12EC"/>
    <w:rsid w:val="2BC649D9"/>
    <w:rsid w:val="31B9388C"/>
    <w:rsid w:val="3515160D"/>
    <w:rsid w:val="3C7D00D8"/>
    <w:rsid w:val="3CA06C0C"/>
    <w:rsid w:val="3EA25851"/>
    <w:rsid w:val="3F6C3757"/>
    <w:rsid w:val="405D6A10"/>
    <w:rsid w:val="41DA6594"/>
    <w:rsid w:val="444C1A75"/>
    <w:rsid w:val="44A3526F"/>
    <w:rsid w:val="44B032F4"/>
    <w:rsid w:val="457D25F7"/>
    <w:rsid w:val="468341CD"/>
    <w:rsid w:val="472C2589"/>
    <w:rsid w:val="4A760AEB"/>
    <w:rsid w:val="4F3162CA"/>
    <w:rsid w:val="4F895C1E"/>
    <w:rsid w:val="50D95873"/>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ED30FD7"/>
    <w:rsid w:val="727D78FD"/>
    <w:rsid w:val="72B7C07D"/>
    <w:rsid w:val="73CC655F"/>
    <w:rsid w:val="75957445"/>
    <w:rsid w:val="75D01AE1"/>
    <w:rsid w:val="77524363"/>
    <w:rsid w:val="77B917B5"/>
    <w:rsid w:val="77FB95A0"/>
    <w:rsid w:val="78703975"/>
    <w:rsid w:val="7BE420FD"/>
    <w:rsid w:val="7D0D296B"/>
    <w:rsid w:val="7D4E0B54"/>
    <w:rsid w:val="7D503E78"/>
    <w:rsid w:val="7E0160D4"/>
    <w:rsid w:val="7F13D826"/>
    <w:rsid w:val="7F7F460E"/>
    <w:rsid w:val="7FFED4E1"/>
    <w:rsid w:val="9E850159"/>
    <w:rsid w:val="AF735F52"/>
    <w:rsid w:val="CEFBA2C9"/>
    <w:rsid w:val="EBDF4B2B"/>
    <w:rsid w:val="FFFF5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35"/>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35"/>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样式 标题 3h3LabelHeading 3 - oldheading 33rd levelLevel 3 Hea...1"/>
    <w:basedOn w:val="4"/>
    <w:qFormat/>
    <w:uiPriority w:val="0"/>
    <w:pPr>
      <w:numPr>
        <w:numId w:val="3"/>
      </w:numPr>
      <w:spacing w:before="0" w:after="0" w:line="415" w:lineRule="auto"/>
    </w:pPr>
    <w:rPr>
      <w:rFonts w:ascii="Century" w:hAnsi="Century" w:eastAsia="黑体"/>
      <w:kern w:val="44"/>
      <w:szCs w:val="32"/>
    </w:rPr>
  </w:style>
  <w:style w:type="paragraph" w:customStyle="1" w:styleId="135">
    <w:name w:val="标题 4level4heading 4Map Title + 行距: 1.5 倍行距"/>
    <w:basedOn w:val="5"/>
    <w:qFormat/>
    <w:uiPriority w:val="0"/>
    <w:pPr>
      <w:numPr>
        <w:numId w:val="3"/>
      </w:numPr>
      <w:tabs>
        <w:tab w:val="left" w:pos="885"/>
      </w:tabs>
      <w:snapToGrid w:val="0"/>
      <w:spacing w:before="0" w:after="0"/>
    </w:pPr>
    <w:rPr>
      <w:rFonts w:eastAsia="黑体"/>
      <w:b w:val="0"/>
      <w:bCs w:val="0"/>
      <w:szCs w:val="20"/>
    </w:rPr>
  </w:style>
  <w:style w:type="paragraph" w:customStyle="1" w:styleId="136">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b/>
      <w:bCs/>
      <w:kern w:val="0"/>
      <w:sz w:val="18"/>
      <w:szCs w:val="18"/>
    </w:rPr>
  </w:style>
  <w:style w:type="character" w:customStyle="1" w:styleId="137">
    <w:name w:val="fontstyle01"/>
    <w:basedOn w:val="37"/>
    <w:qFormat/>
    <w:uiPriority w:val="0"/>
    <w:rPr>
      <w:rFonts w:hint="eastAsia" w:ascii="仿宋" w:hAnsi="仿宋" w:eastAsia="仿宋"/>
      <w:color w:val="000000"/>
      <w:sz w:val="24"/>
      <w:szCs w:val="24"/>
    </w:rPr>
  </w:style>
  <w:style w:type="paragraph" w:customStyle="1" w:styleId="138">
    <w:name w:val="Revision"/>
    <w:hidden/>
    <w:semiHidden/>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774DE15-0577-44BF-86EE-FF3FA0D54BBC}">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3652</Words>
  <Characters>20821</Characters>
  <Lines>173</Lines>
  <Paragraphs>48</Paragraphs>
  <TotalTime>1</TotalTime>
  <ScaleCrop>false</ScaleCrop>
  <LinksUpToDate>false</LinksUpToDate>
  <CharactersWithSpaces>24425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2025-02-23T11:04:00Z</dcterms:created>
  <dc:creator>gtig_tzb</dc:creator>
  <cp:lastModifiedBy>高际航</cp:lastModifiedBy>
  <cp:lastPrinted>2020-08-07T20:08:00Z</cp:lastPrinted>
  <dcterms:modified xsi:type="dcterms:W3CDTF">2025-03-28T15:01:08Z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CD7F958A268470F7F95AE2674C60E30A_43</vt:lpwstr>
  </property>
</Properties>
</file>