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9A4A7">
      <w:pPr>
        <w:pStyle w:val="2"/>
      </w:pPr>
      <w:r>
        <w:rPr>
          <w:rFonts w:hint="eastAsia"/>
        </w:rPr>
        <w:t>项目背景</w:t>
      </w:r>
    </w:p>
    <w:p w14:paraId="08EFFFD7">
      <w:pPr>
        <w:spacing w:line="360" w:lineRule="auto"/>
        <w:ind w:left="-141" w:leftChars="-67" w:firstLine="561" w:firstLineChars="234"/>
        <w:rPr>
          <w:rFonts w:asciiTheme="minorEastAsia" w:hAnsiTheme="minorEastAsia" w:cstheme="minorEastAsia"/>
          <w:sz w:val="24"/>
        </w:rPr>
      </w:pPr>
      <w:r>
        <w:rPr>
          <w:rFonts w:hint="eastAsia" w:asciiTheme="minorEastAsia" w:hAnsiTheme="minorEastAsia" w:cstheme="minorEastAsia"/>
          <w:bCs/>
          <w:sz w:val="24"/>
        </w:rPr>
        <w:t>本院已建设科研大数据中心，并形成与本院信息系统数据模型兼容的标准化数据元素体系，以及与本院信息系统互联互通的技术体系，面向本院内部及外部科研团队开放共享，为临床研究提供数据和技术支撑。包含以下内容：</w:t>
      </w:r>
    </w:p>
    <w:p w14:paraId="05223C3F">
      <w:pPr>
        <w:pStyle w:val="10"/>
        <w:numPr>
          <w:ilvl w:val="0"/>
          <w:numId w:val="1"/>
        </w:numPr>
        <w:spacing w:line="360" w:lineRule="auto"/>
        <w:ind w:firstLineChars="0"/>
        <w:rPr>
          <w:rFonts w:asciiTheme="minorEastAsia" w:hAnsiTheme="minorEastAsia" w:cstheme="minorEastAsia"/>
          <w:bCs/>
          <w:sz w:val="24"/>
        </w:rPr>
      </w:pPr>
      <w:r>
        <w:rPr>
          <w:rFonts w:hint="eastAsia" w:asciiTheme="minorEastAsia" w:hAnsiTheme="minorEastAsia" w:cstheme="minorEastAsia"/>
          <w:bCs/>
          <w:sz w:val="24"/>
        </w:rPr>
        <w:t>科研大数据中心软件系统：临床数据湖</w:t>
      </w:r>
      <w:r>
        <w:rPr>
          <w:rFonts w:hint="eastAsia" w:cs="Calibri Light" w:asciiTheme="minorEastAsia" w:hAnsiTheme="minorEastAsia"/>
          <w:bCs/>
          <w:sz w:val="24"/>
        </w:rPr>
        <w:t>（RDL）</w:t>
      </w:r>
      <w:r>
        <w:rPr>
          <w:rFonts w:hint="eastAsia" w:asciiTheme="minorEastAsia" w:hAnsiTheme="minorEastAsia" w:cstheme="minorEastAsia"/>
          <w:bCs/>
          <w:sz w:val="24"/>
        </w:rPr>
        <w:t>、组学原始数据仓</w:t>
      </w:r>
      <w:r>
        <w:rPr>
          <w:rFonts w:hint="eastAsia" w:cs="Calibri Light" w:asciiTheme="minorEastAsia" w:hAnsiTheme="minorEastAsia"/>
          <w:bCs/>
          <w:sz w:val="24"/>
        </w:rPr>
        <w:t>（ODA）、生信分析结果仓（ViPMAP+IMAC+代谢分析平台）、人群队列数据管理系统</w:t>
      </w:r>
      <w:r>
        <w:rPr>
          <w:rFonts w:hint="eastAsia" w:asciiTheme="minorEastAsia" w:hAnsiTheme="minorEastAsia" w:cstheme="minorEastAsia"/>
          <w:bCs/>
          <w:sz w:val="24"/>
        </w:rPr>
        <w:t>。</w:t>
      </w:r>
    </w:p>
    <w:p w14:paraId="0D6DDF0F">
      <w:pPr>
        <w:spacing w:line="360" w:lineRule="auto"/>
        <w:ind w:firstLine="424" w:firstLineChars="177"/>
        <w:rPr>
          <w:rFonts w:asciiTheme="minorEastAsia" w:hAnsiTheme="minorEastAsia" w:cstheme="minorEastAsia"/>
          <w:bCs/>
          <w:sz w:val="24"/>
        </w:rPr>
      </w:pPr>
      <w:r>
        <w:rPr>
          <w:rFonts w:hint="eastAsia" w:asciiTheme="minorEastAsia" w:hAnsiTheme="minorEastAsia" w:cstheme="minorEastAsia"/>
          <w:bCs/>
          <w:sz w:val="24"/>
        </w:rPr>
        <w:t>2）大数据中心配套信息化设施设备：包含高密存储系统、高性能计算节点服务器、高性能大内存节点服务器、超融合计算节点服务器、配套计算及存储的业务/管理交换机。</w:t>
      </w:r>
    </w:p>
    <w:p w14:paraId="1E5100DD">
      <w:pPr>
        <w:spacing w:line="360" w:lineRule="auto"/>
        <w:ind w:firstLine="424" w:firstLineChars="177"/>
        <w:rPr>
          <w:rFonts w:asciiTheme="minorEastAsia" w:hAnsiTheme="minorEastAsia" w:cstheme="minorEastAsia"/>
          <w:bCs/>
          <w:sz w:val="24"/>
        </w:rPr>
      </w:pPr>
      <w:r>
        <w:rPr>
          <w:rFonts w:hint="eastAsia" w:asciiTheme="minorEastAsia" w:hAnsiTheme="minorEastAsia" w:cstheme="minorEastAsia"/>
          <w:bCs/>
          <w:sz w:val="24"/>
        </w:rPr>
        <w:t>本项目为高性能计算节点服务器的扩容，包含12台高性能计算计算节点服务器，纳入科研大数据整体规划，建成后主要支撑国家口腔疾病临床医学研究中心口颌面疾病医疗器材创新研发及临研信息智联平台“两重”建设项目。</w:t>
      </w:r>
    </w:p>
    <w:p w14:paraId="6196A791"/>
    <w:p w14:paraId="5F376712">
      <w:pPr>
        <w:pStyle w:val="2"/>
      </w:pPr>
      <w:r>
        <w:rPr>
          <w:rFonts w:hint="eastAsia"/>
        </w:rPr>
        <w:t>设备明细</w:t>
      </w:r>
    </w:p>
    <w:tbl>
      <w:tblPr>
        <w:tblStyle w:val="6"/>
        <w:tblpPr w:leftFromText="180" w:rightFromText="180" w:vertAnchor="text" w:horzAnchor="page" w:tblpX="1821" w:tblpY="107"/>
        <w:tblOverlap w:val="never"/>
        <w:tblW w:w="8334" w:type="dxa"/>
        <w:tblInd w:w="0" w:type="dxa"/>
        <w:tblLayout w:type="fixed"/>
        <w:tblCellMar>
          <w:top w:w="15" w:type="dxa"/>
          <w:left w:w="15" w:type="dxa"/>
          <w:bottom w:w="15" w:type="dxa"/>
          <w:right w:w="15" w:type="dxa"/>
        </w:tblCellMar>
      </w:tblPr>
      <w:tblGrid>
        <w:gridCol w:w="1574"/>
        <w:gridCol w:w="4304"/>
        <w:gridCol w:w="1668"/>
        <w:gridCol w:w="788"/>
      </w:tblGrid>
      <w:tr w14:paraId="6D7F2C07">
        <w:tblPrEx>
          <w:tblCellMar>
            <w:top w:w="15" w:type="dxa"/>
            <w:left w:w="15" w:type="dxa"/>
            <w:bottom w:w="15" w:type="dxa"/>
            <w:right w:w="15" w:type="dxa"/>
          </w:tblCellMar>
        </w:tblPrEx>
        <w:trPr>
          <w:trHeight w:val="394" w:hRule="atLeast"/>
        </w:trPr>
        <w:tc>
          <w:tcPr>
            <w:tcW w:w="1574" w:type="dxa"/>
            <w:tcBorders>
              <w:top w:val="single" w:color="1F2329" w:sz="4" w:space="0"/>
              <w:left w:val="single" w:color="1F2329" w:sz="4" w:space="0"/>
              <w:bottom w:val="single" w:color="1F2329" w:sz="4" w:space="0"/>
              <w:right w:val="single" w:color="1F2329" w:sz="4" w:space="0"/>
            </w:tcBorders>
            <w:noWrap/>
            <w:vAlign w:val="center"/>
          </w:tcPr>
          <w:p w14:paraId="1258BCDC">
            <w:pPr>
              <w:widowControl/>
              <w:jc w:val="center"/>
              <w:textAlignment w:val="center"/>
              <w:rPr>
                <w:rFonts w:ascii="宋体" w:hAnsi="宋体"/>
                <w:b/>
                <w:bCs/>
                <w:szCs w:val="21"/>
              </w:rPr>
            </w:pPr>
            <w:r>
              <w:rPr>
                <w:rFonts w:hint="eastAsia" w:ascii="宋体" w:hAnsi="宋体"/>
                <w:b/>
                <w:bCs/>
                <w:szCs w:val="21"/>
              </w:rPr>
              <w:t>序号</w:t>
            </w:r>
          </w:p>
        </w:tc>
        <w:tc>
          <w:tcPr>
            <w:tcW w:w="4304" w:type="dxa"/>
            <w:tcBorders>
              <w:top w:val="single" w:color="1F2329" w:sz="4" w:space="0"/>
              <w:left w:val="single" w:color="1F2329" w:sz="4" w:space="0"/>
              <w:bottom w:val="single" w:color="1F2329" w:sz="4" w:space="0"/>
              <w:right w:val="single" w:color="1F2329" w:sz="4" w:space="0"/>
            </w:tcBorders>
            <w:noWrap/>
            <w:vAlign w:val="center"/>
          </w:tcPr>
          <w:p w14:paraId="4F952D19">
            <w:pPr>
              <w:widowControl/>
              <w:jc w:val="center"/>
              <w:textAlignment w:val="center"/>
              <w:rPr>
                <w:rFonts w:ascii="宋体" w:hAnsi="宋体"/>
                <w:b/>
                <w:bCs/>
                <w:szCs w:val="21"/>
              </w:rPr>
            </w:pPr>
            <w:r>
              <w:rPr>
                <w:rFonts w:hint="eastAsia" w:ascii="宋体" w:hAnsi="宋体"/>
                <w:b/>
                <w:bCs/>
                <w:szCs w:val="21"/>
              </w:rPr>
              <w:t>产品名称</w:t>
            </w:r>
          </w:p>
        </w:tc>
        <w:tc>
          <w:tcPr>
            <w:tcW w:w="1668" w:type="dxa"/>
            <w:tcBorders>
              <w:top w:val="single" w:color="1F2329" w:sz="4" w:space="0"/>
              <w:left w:val="single" w:color="1F2329" w:sz="4" w:space="0"/>
              <w:bottom w:val="single" w:color="1F2329" w:sz="4" w:space="0"/>
              <w:right w:val="single" w:color="1F2329" w:sz="4" w:space="0"/>
            </w:tcBorders>
            <w:noWrap/>
            <w:vAlign w:val="center"/>
          </w:tcPr>
          <w:p w14:paraId="5EDFB4E0">
            <w:pPr>
              <w:widowControl/>
              <w:jc w:val="center"/>
              <w:textAlignment w:val="center"/>
              <w:rPr>
                <w:rFonts w:ascii="宋体" w:hAnsi="宋体"/>
                <w:b/>
                <w:bCs/>
                <w:szCs w:val="21"/>
              </w:rPr>
            </w:pPr>
            <w:r>
              <w:rPr>
                <w:rFonts w:hint="eastAsia" w:ascii="宋体" w:hAnsi="宋体"/>
                <w:b/>
                <w:bCs/>
                <w:kern w:val="0"/>
                <w:szCs w:val="21"/>
              </w:rPr>
              <w:t>单位</w:t>
            </w:r>
          </w:p>
        </w:tc>
        <w:tc>
          <w:tcPr>
            <w:tcW w:w="788" w:type="dxa"/>
            <w:tcBorders>
              <w:top w:val="single" w:color="1F2329" w:sz="4" w:space="0"/>
              <w:left w:val="single" w:color="1F2329" w:sz="4" w:space="0"/>
              <w:bottom w:val="single" w:color="1F2329" w:sz="4" w:space="0"/>
              <w:right w:val="single" w:color="1F2329" w:sz="4" w:space="0"/>
            </w:tcBorders>
            <w:noWrap/>
            <w:vAlign w:val="center"/>
          </w:tcPr>
          <w:p w14:paraId="1271594E">
            <w:pPr>
              <w:widowControl/>
              <w:jc w:val="center"/>
              <w:textAlignment w:val="center"/>
              <w:rPr>
                <w:rFonts w:ascii="宋体" w:hAnsi="宋体"/>
                <w:b/>
                <w:bCs/>
                <w:szCs w:val="21"/>
              </w:rPr>
            </w:pPr>
            <w:r>
              <w:rPr>
                <w:rFonts w:hint="eastAsia" w:ascii="宋体" w:hAnsi="宋体"/>
                <w:b/>
                <w:bCs/>
                <w:kern w:val="0"/>
                <w:szCs w:val="21"/>
              </w:rPr>
              <w:t>数量</w:t>
            </w:r>
          </w:p>
        </w:tc>
      </w:tr>
      <w:tr w14:paraId="64964671">
        <w:tblPrEx>
          <w:tblCellMar>
            <w:top w:w="15" w:type="dxa"/>
            <w:left w:w="15" w:type="dxa"/>
            <w:bottom w:w="15" w:type="dxa"/>
            <w:right w:w="15" w:type="dxa"/>
          </w:tblCellMar>
        </w:tblPrEx>
        <w:trPr>
          <w:trHeight w:val="400" w:hRule="atLeast"/>
        </w:trPr>
        <w:tc>
          <w:tcPr>
            <w:tcW w:w="1574" w:type="dxa"/>
            <w:tcBorders>
              <w:top w:val="single" w:color="1F2329" w:sz="4" w:space="0"/>
              <w:left w:val="single" w:color="1F2329" w:sz="4" w:space="0"/>
              <w:bottom w:val="single" w:color="1F2329" w:sz="4" w:space="0"/>
              <w:right w:val="single" w:color="1F2329" w:sz="4" w:space="0"/>
            </w:tcBorders>
            <w:noWrap/>
            <w:vAlign w:val="center"/>
          </w:tcPr>
          <w:p w14:paraId="127B3267">
            <w:pPr>
              <w:widowControl/>
              <w:jc w:val="center"/>
              <w:textAlignment w:val="center"/>
              <w:rPr>
                <w:rFonts w:ascii="宋体" w:hAnsi="宋体"/>
                <w:kern w:val="0"/>
                <w:szCs w:val="21"/>
              </w:rPr>
            </w:pPr>
            <w:r>
              <w:rPr>
                <w:rFonts w:hint="eastAsia" w:ascii="宋体" w:hAnsi="宋体"/>
                <w:kern w:val="0"/>
                <w:szCs w:val="21"/>
              </w:rPr>
              <w:t>1</w:t>
            </w:r>
          </w:p>
        </w:tc>
        <w:tc>
          <w:tcPr>
            <w:tcW w:w="4304" w:type="dxa"/>
            <w:tcBorders>
              <w:top w:val="single" w:color="1F2329" w:sz="4" w:space="0"/>
              <w:left w:val="single" w:color="1F2329" w:sz="4" w:space="0"/>
              <w:bottom w:val="single" w:color="1F2329" w:sz="4" w:space="0"/>
              <w:right w:val="single" w:color="1F2329" w:sz="4" w:space="0"/>
            </w:tcBorders>
            <w:noWrap/>
            <w:vAlign w:val="center"/>
          </w:tcPr>
          <w:p w14:paraId="3559E830">
            <w:pPr>
              <w:widowControl/>
              <w:jc w:val="center"/>
              <w:textAlignment w:val="center"/>
              <w:rPr>
                <w:rFonts w:ascii="宋体" w:hAnsi="宋体"/>
                <w:szCs w:val="21"/>
              </w:rPr>
            </w:pPr>
            <w:r>
              <w:rPr>
                <w:rFonts w:hint="eastAsia" w:ascii="宋体" w:hAnsi="宋体"/>
                <w:szCs w:val="21"/>
              </w:rPr>
              <w:t>高性能计算计算节点服务器</w:t>
            </w:r>
          </w:p>
        </w:tc>
        <w:tc>
          <w:tcPr>
            <w:tcW w:w="1668" w:type="dxa"/>
            <w:tcBorders>
              <w:top w:val="single" w:color="1F2329" w:sz="4" w:space="0"/>
              <w:left w:val="single" w:color="1F2329" w:sz="4" w:space="0"/>
              <w:bottom w:val="single" w:color="1F2329" w:sz="4" w:space="0"/>
              <w:right w:val="single" w:color="1F2329" w:sz="4" w:space="0"/>
            </w:tcBorders>
            <w:noWrap/>
            <w:vAlign w:val="center"/>
          </w:tcPr>
          <w:p w14:paraId="50B69746">
            <w:pPr>
              <w:widowControl/>
              <w:jc w:val="center"/>
              <w:textAlignment w:val="center"/>
              <w:rPr>
                <w:rFonts w:ascii="宋体" w:hAnsi="宋体"/>
                <w:szCs w:val="21"/>
              </w:rPr>
            </w:pPr>
            <w:r>
              <w:rPr>
                <w:rFonts w:hint="eastAsia" w:ascii="宋体" w:hAnsi="宋体"/>
                <w:kern w:val="0"/>
                <w:szCs w:val="21"/>
              </w:rPr>
              <w:t>台</w:t>
            </w:r>
          </w:p>
        </w:tc>
        <w:tc>
          <w:tcPr>
            <w:tcW w:w="788" w:type="dxa"/>
            <w:tcBorders>
              <w:top w:val="single" w:color="1F2329" w:sz="4" w:space="0"/>
              <w:left w:val="single" w:color="1F2329" w:sz="4" w:space="0"/>
              <w:bottom w:val="single" w:color="1F2329" w:sz="4" w:space="0"/>
              <w:right w:val="single" w:color="1F2329" w:sz="4" w:space="0"/>
            </w:tcBorders>
            <w:noWrap/>
            <w:vAlign w:val="center"/>
          </w:tcPr>
          <w:p w14:paraId="655100BD">
            <w:pPr>
              <w:widowControl/>
              <w:jc w:val="center"/>
              <w:textAlignment w:val="center"/>
              <w:rPr>
                <w:rFonts w:ascii="宋体" w:hAnsi="宋体"/>
                <w:szCs w:val="21"/>
              </w:rPr>
            </w:pPr>
            <w:r>
              <w:rPr>
                <w:rFonts w:hint="eastAsia" w:ascii="宋体" w:hAnsi="宋体"/>
                <w:kern w:val="0"/>
                <w:szCs w:val="21"/>
              </w:rPr>
              <w:t>12</w:t>
            </w:r>
          </w:p>
        </w:tc>
      </w:tr>
    </w:tbl>
    <w:p w14:paraId="59A4E1F1">
      <w:pPr>
        <w:pStyle w:val="2"/>
        <w:rPr>
          <w:lang w:eastAsia="en-US"/>
        </w:rPr>
      </w:pPr>
      <w:r>
        <w:rPr>
          <w:rFonts w:hint="eastAsia"/>
          <w:lang w:eastAsia="en-US"/>
        </w:rPr>
        <w:t>招标技术指标</w:t>
      </w:r>
    </w:p>
    <w:tbl>
      <w:tblPr>
        <w:tblStyle w:val="6"/>
        <w:tblpPr w:leftFromText="180" w:rightFromText="180" w:vertAnchor="text" w:horzAnchor="page" w:tblpX="1900" w:tblpY="286"/>
        <w:tblOverlap w:val="never"/>
        <w:tblW w:w="4900" w:type="pct"/>
        <w:tblInd w:w="0" w:type="dxa"/>
        <w:tblLayout w:type="autofit"/>
        <w:tblCellMar>
          <w:top w:w="0" w:type="dxa"/>
          <w:left w:w="108" w:type="dxa"/>
          <w:bottom w:w="0" w:type="dxa"/>
          <w:right w:w="108" w:type="dxa"/>
        </w:tblCellMar>
      </w:tblPr>
      <w:tblGrid>
        <w:gridCol w:w="1614"/>
        <w:gridCol w:w="6738"/>
      </w:tblGrid>
      <w:tr w14:paraId="511B7AB7">
        <w:tblPrEx>
          <w:tblCellMar>
            <w:top w:w="0" w:type="dxa"/>
            <w:left w:w="108" w:type="dxa"/>
            <w:bottom w:w="0" w:type="dxa"/>
            <w:right w:w="108" w:type="dxa"/>
          </w:tblCellMar>
        </w:tblPrEx>
        <w:trPr>
          <w:wBefore w:w="0" w:type="auto"/>
          <w:trHeight w:val="480" w:hRule="atLeast"/>
        </w:trPr>
        <w:tc>
          <w:tcPr>
            <w:tcW w:w="966" w:type="pct"/>
            <w:tcBorders>
              <w:top w:val="single" w:color="000000" w:sz="4" w:space="0"/>
              <w:left w:val="single" w:color="000000" w:sz="4" w:space="0"/>
              <w:bottom w:val="single" w:color="000000" w:sz="4" w:space="0"/>
              <w:right w:val="single" w:color="000000" w:sz="4" w:space="0"/>
            </w:tcBorders>
            <w:vAlign w:val="bottom"/>
          </w:tcPr>
          <w:p w14:paraId="56EE883E">
            <w:pPr>
              <w:widowControl/>
              <w:jc w:val="center"/>
              <w:textAlignment w:val="bottom"/>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指标项</w:t>
            </w:r>
          </w:p>
        </w:tc>
        <w:tc>
          <w:tcPr>
            <w:tcW w:w="4033" w:type="pct"/>
            <w:tcBorders>
              <w:top w:val="single" w:color="000000" w:sz="4" w:space="0"/>
              <w:left w:val="single" w:color="000000" w:sz="4" w:space="0"/>
              <w:bottom w:val="single" w:color="000000" w:sz="4" w:space="0"/>
              <w:right w:val="single" w:color="000000" w:sz="4" w:space="0"/>
            </w:tcBorders>
            <w:vAlign w:val="bottom"/>
          </w:tcPr>
          <w:p w14:paraId="7D689DFA">
            <w:pPr>
              <w:widowControl/>
              <w:jc w:val="center"/>
              <w:textAlignment w:val="bottom"/>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技术要求</w:t>
            </w:r>
          </w:p>
        </w:tc>
      </w:tr>
      <w:tr w14:paraId="29544543">
        <w:tblPrEx>
          <w:tblCellMar>
            <w:top w:w="0" w:type="dxa"/>
            <w:left w:w="108" w:type="dxa"/>
            <w:bottom w:w="0" w:type="dxa"/>
            <w:right w:w="108" w:type="dxa"/>
          </w:tblCellMar>
        </w:tblPrEx>
        <w:trPr>
          <w:wBefore w:w="0" w:type="auto"/>
          <w:trHeight w:val="700" w:hRule="atLeast"/>
        </w:trPr>
        <w:tc>
          <w:tcPr>
            <w:tcW w:w="966" w:type="pct"/>
            <w:tcBorders>
              <w:top w:val="single" w:color="000000" w:sz="4" w:space="0"/>
              <w:left w:val="single" w:color="000000" w:sz="4" w:space="0"/>
              <w:bottom w:val="single" w:color="000000" w:sz="4" w:space="0"/>
              <w:right w:val="single" w:color="000000" w:sz="4" w:space="0"/>
            </w:tcBorders>
            <w:vAlign w:val="center"/>
          </w:tcPr>
          <w:p w14:paraId="78BE75D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产品要求</w:t>
            </w:r>
          </w:p>
        </w:tc>
        <w:tc>
          <w:tcPr>
            <w:tcW w:w="4033" w:type="pct"/>
            <w:tcBorders>
              <w:top w:val="single" w:color="000000" w:sz="4" w:space="0"/>
              <w:left w:val="single" w:color="000000" w:sz="4" w:space="0"/>
              <w:bottom w:val="single" w:color="000000" w:sz="4" w:space="0"/>
              <w:right w:val="single" w:color="000000" w:sz="4" w:space="0"/>
            </w:tcBorders>
            <w:vAlign w:val="center"/>
          </w:tcPr>
          <w:p w14:paraId="4218541C">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非OEM产品，自主研发，国产品牌</w:t>
            </w:r>
          </w:p>
        </w:tc>
      </w:tr>
      <w:tr w14:paraId="54F9C4EB">
        <w:tblPrEx>
          <w:tblCellMar>
            <w:top w:w="0" w:type="dxa"/>
            <w:left w:w="108" w:type="dxa"/>
            <w:bottom w:w="0" w:type="dxa"/>
            <w:right w:w="108" w:type="dxa"/>
          </w:tblCellMar>
        </w:tblPrEx>
        <w:trPr>
          <w:wBefore w:w="0" w:type="auto"/>
          <w:trHeight w:val="540" w:hRule="atLeast"/>
        </w:trPr>
        <w:tc>
          <w:tcPr>
            <w:tcW w:w="966" w:type="pct"/>
            <w:tcBorders>
              <w:top w:val="single" w:color="000000" w:sz="4" w:space="0"/>
              <w:left w:val="single" w:color="000000" w:sz="4" w:space="0"/>
              <w:bottom w:val="single" w:color="000000" w:sz="4" w:space="0"/>
              <w:right w:val="single" w:color="000000" w:sz="4" w:space="0"/>
            </w:tcBorders>
            <w:vAlign w:val="center"/>
          </w:tcPr>
          <w:p w14:paraId="5096852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机型</w:t>
            </w:r>
          </w:p>
        </w:tc>
        <w:tc>
          <w:tcPr>
            <w:tcW w:w="4033" w:type="pct"/>
            <w:tcBorders>
              <w:top w:val="single" w:color="000000" w:sz="4" w:space="0"/>
              <w:left w:val="single" w:color="000000" w:sz="4" w:space="0"/>
              <w:bottom w:val="single" w:color="000000" w:sz="4" w:space="0"/>
              <w:right w:val="single" w:color="000000" w:sz="4" w:space="0"/>
            </w:tcBorders>
            <w:vAlign w:val="center"/>
          </w:tcPr>
          <w:p w14:paraId="351A36EE">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2U双路机架式服务器，</w:t>
            </w:r>
            <w:r>
              <w:rPr>
                <w:rStyle w:val="9"/>
                <w:rFonts w:hint="eastAsia" w:asciiTheme="minorEastAsia" w:hAnsiTheme="minorEastAsia" w:eastAsiaTheme="minorEastAsia" w:cstheme="minorEastAsia"/>
                <w:b w:val="0"/>
                <w:bCs w:val="0"/>
                <w:lang w:bidi="ar"/>
              </w:rPr>
              <w:t>最高可支持CPU TDP280W</w:t>
            </w:r>
          </w:p>
        </w:tc>
      </w:tr>
      <w:tr w14:paraId="35507243">
        <w:tblPrEx>
          <w:tblCellMar>
            <w:top w:w="0" w:type="dxa"/>
            <w:left w:w="108" w:type="dxa"/>
            <w:bottom w:w="0" w:type="dxa"/>
            <w:right w:w="108" w:type="dxa"/>
          </w:tblCellMar>
        </w:tblPrEx>
        <w:trPr>
          <w:wBefore w:w="0" w:type="auto"/>
          <w:trHeight w:val="640" w:hRule="atLeast"/>
        </w:trPr>
        <w:tc>
          <w:tcPr>
            <w:tcW w:w="966" w:type="pct"/>
            <w:tcBorders>
              <w:top w:val="single" w:color="000000" w:sz="4" w:space="0"/>
              <w:left w:val="single" w:color="000000" w:sz="4" w:space="0"/>
              <w:bottom w:val="single" w:color="000000" w:sz="4" w:space="0"/>
              <w:right w:val="single" w:color="000000" w:sz="4" w:space="0"/>
            </w:tcBorders>
            <w:vAlign w:val="center"/>
          </w:tcPr>
          <w:p w14:paraId="7B3ADB2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处理器</w:t>
            </w:r>
          </w:p>
        </w:tc>
        <w:tc>
          <w:tcPr>
            <w:tcW w:w="4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5BB59">
            <w:pPr>
              <w:widowControl/>
              <w:jc w:val="left"/>
              <w:textAlignment w:val="center"/>
              <w:rPr>
                <w:rFonts w:asciiTheme="minorEastAsia" w:hAnsiTheme="minorEastAsia" w:cstheme="minorEastAsia"/>
                <w:color w:val="000000"/>
                <w:szCs w:val="21"/>
              </w:rPr>
            </w:pPr>
            <w:r>
              <w:rPr>
                <w:rStyle w:val="9"/>
                <w:rFonts w:hint="eastAsia" w:asciiTheme="minorEastAsia" w:hAnsiTheme="minorEastAsia" w:eastAsiaTheme="minorEastAsia" w:cstheme="minorEastAsia"/>
                <w:b w:val="0"/>
                <w:bCs w:val="0"/>
                <w:lang w:bidi="ar"/>
              </w:rPr>
              <w:t>单台配置≥2颗CPU（每颗CPU核心数48，主频2.6GHz，三级缓存192MB）</w:t>
            </w:r>
          </w:p>
        </w:tc>
      </w:tr>
      <w:tr w14:paraId="77305368">
        <w:tblPrEx>
          <w:tblCellMar>
            <w:top w:w="0" w:type="dxa"/>
            <w:left w:w="108" w:type="dxa"/>
            <w:bottom w:w="0" w:type="dxa"/>
            <w:right w:w="108" w:type="dxa"/>
          </w:tblCellMar>
        </w:tblPrEx>
        <w:trPr>
          <w:wBefore w:w="0" w:type="auto"/>
          <w:trHeight w:val="708" w:hRule="atLeast"/>
        </w:trPr>
        <w:tc>
          <w:tcPr>
            <w:tcW w:w="966" w:type="pct"/>
            <w:vMerge w:val="restart"/>
            <w:tcBorders>
              <w:top w:val="single" w:color="000000" w:sz="4" w:space="0"/>
              <w:left w:val="single" w:color="000000" w:sz="4" w:space="0"/>
              <w:right w:val="single" w:color="000000" w:sz="4" w:space="0"/>
            </w:tcBorders>
            <w:vAlign w:val="center"/>
          </w:tcPr>
          <w:p w14:paraId="10389AB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 内存</w:t>
            </w:r>
          </w:p>
        </w:tc>
        <w:tc>
          <w:tcPr>
            <w:tcW w:w="4033" w:type="pct"/>
            <w:tcBorders>
              <w:top w:val="single" w:color="000000" w:sz="4" w:space="0"/>
              <w:left w:val="single" w:color="000000" w:sz="4" w:space="0"/>
              <w:bottom w:val="single" w:color="000000" w:sz="4" w:space="0"/>
              <w:right w:val="single" w:color="000000" w:sz="4" w:space="0"/>
            </w:tcBorders>
            <w:vAlign w:val="center"/>
          </w:tcPr>
          <w:p w14:paraId="6DE288A1">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▲单台配置≥256GB DDR4 3200MHz RDIMM内存</w:t>
            </w:r>
          </w:p>
        </w:tc>
      </w:tr>
      <w:tr w14:paraId="26BFB866">
        <w:tblPrEx>
          <w:tblCellMar>
            <w:top w:w="0" w:type="dxa"/>
            <w:left w:w="108" w:type="dxa"/>
            <w:bottom w:w="0" w:type="dxa"/>
            <w:right w:w="108" w:type="dxa"/>
          </w:tblCellMar>
        </w:tblPrEx>
        <w:trPr>
          <w:wBefore w:w="0" w:type="auto"/>
          <w:trHeight w:val="708" w:hRule="atLeast"/>
        </w:trPr>
        <w:tc>
          <w:tcPr>
            <w:tcW w:w="966" w:type="pct"/>
            <w:vMerge w:val="continue"/>
            <w:tcBorders>
              <w:left w:val="single" w:color="000000" w:sz="4" w:space="0"/>
              <w:bottom w:val="single" w:color="000000" w:sz="4" w:space="0"/>
              <w:right w:val="single" w:color="000000" w:sz="4" w:space="0"/>
            </w:tcBorders>
            <w:vAlign w:val="center"/>
          </w:tcPr>
          <w:p w14:paraId="42FA955E">
            <w:pPr>
              <w:widowControl/>
              <w:jc w:val="center"/>
              <w:textAlignment w:val="center"/>
              <w:rPr>
                <w:rFonts w:asciiTheme="minorEastAsia" w:hAnsiTheme="minorEastAsia" w:cstheme="minorEastAsia"/>
                <w:color w:val="000000"/>
                <w:kern w:val="0"/>
                <w:szCs w:val="21"/>
                <w:lang w:bidi="ar"/>
              </w:rPr>
            </w:pPr>
          </w:p>
        </w:tc>
        <w:tc>
          <w:tcPr>
            <w:tcW w:w="4033" w:type="pct"/>
            <w:tcBorders>
              <w:top w:val="single" w:color="000000" w:sz="4" w:space="0"/>
              <w:left w:val="single" w:color="000000" w:sz="4" w:space="0"/>
              <w:bottom w:val="single" w:color="000000" w:sz="4" w:space="0"/>
              <w:right w:val="single" w:color="000000" w:sz="4" w:space="0"/>
            </w:tcBorders>
            <w:vAlign w:val="center"/>
          </w:tcPr>
          <w:p w14:paraId="4115C337">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▲最大支持32个内存插槽，最大可支持4TB内存容量，支持内存ECC保护</w:t>
            </w:r>
          </w:p>
        </w:tc>
      </w:tr>
      <w:tr w14:paraId="1F3A9271">
        <w:tblPrEx>
          <w:tblCellMar>
            <w:top w:w="0" w:type="dxa"/>
            <w:left w:w="108" w:type="dxa"/>
            <w:bottom w:w="0" w:type="dxa"/>
            <w:right w:w="108" w:type="dxa"/>
          </w:tblCellMar>
        </w:tblPrEx>
        <w:trPr>
          <w:trHeight w:val="476" w:hRule="atLeast"/>
        </w:trPr>
        <w:tc>
          <w:tcPr>
            <w:tcW w:w="966" w:type="pct"/>
            <w:vMerge w:val="restart"/>
            <w:tcBorders>
              <w:top w:val="single" w:color="000000" w:sz="4" w:space="0"/>
              <w:left w:val="single" w:color="000000" w:sz="4" w:space="0"/>
              <w:right w:val="single" w:color="000000" w:sz="4" w:space="0"/>
            </w:tcBorders>
            <w:vAlign w:val="center"/>
          </w:tcPr>
          <w:p w14:paraId="718AD3B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硬盘</w:t>
            </w:r>
          </w:p>
        </w:tc>
        <w:tc>
          <w:tcPr>
            <w:tcW w:w="4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E8B5B">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▲板载可支持2个SATA M.2硬件RAID1</w:t>
            </w:r>
          </w:p>
        </w:tc>
      </w:tr>
      <w:tr w14:paraId="0B68261B">
        <w:tblPrEx>
          <w:tblCellMar>
            <w:top w:w="0" w:type="dxa"/>
            <w:left w:w="108" w:type="dxa"/>
            <w:bottom w:w="0" w:type="dxa"/>
            <w:right w:w="108" w:type="dxa"/>
          </w:tblCellMar>
        </w:tblPrEx>
        <w:trPr>
          <w:trHeight w:val="487" w:hRule="atLeast"/>
        </w:trPr>
        <w:tc>
          <w:tcPr>
            <w:tcW w:w="966" w:type="pct"/>
            <w:vMerge w:val="continue"/>
            <w:tcBorders>
              <w:left w:val="single" w:color="000000" w:sz="4" w:space="0"/>
              <w:bottom w:val="single" w:color="000000" w:sz="4" w:space="0"/>
              <w:right w:val="single" w:color="000000" w:sz="4" w:space="0"/>
            </w:tcBorders>
            <w:vAlign w:val="center"/>
          </w:tcPr>
          <w:p w14:paraId="3041D8A2">
            <w:pPr>
              <w:widowControl/>
              <w:jc w:val="center"/>
              <w:textAlignment w:val="center"/>
              <w:rPr>
                <w:rFonts w:asciiTheme="minorEastAsia" w:hAnsiTheme="minorEastAsia" w:cstheme="minorEastAsia"/>
                <w:color w:val="000000"/>
                <w:kern w:val="0"/>
                <w:szCs w:val="21"/>
                <w:lang w:bidi="ar"/>
              </w:rPr>
            </w:pPr>
          </w:p>
        </w:tc>
        <w:tc>
          <w:tcPr>
            <w:tcW w:w="4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8DD39">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本次单台配置2块480GB SSD硬盘</w:t>
            </w:r>
          </w:p>
        </w:tc>
      </w:tr>
      <w:tr w14:paraId="014CA353">
        <w:tblPrEx>
          <w:tblCellMar>
            <w:top w:w="0" w:type="dxa"/>
            <w:left w:w="108" w:type="dxa"/>
            <w:bottom w:w="0" w:type="dxa"/>
            <w:right w:w="108" w:type="dxa"/>
          </w:tblCellMar>
        </w:tblPrEx>
        <w:trPr>
          <w:wBefore w:w="0" w:type="auto"/>
          <w:trHeight w:val="400" w:hRule="atLeast"/>
        </w:trPr>
        <w:tc>
          <w:tcPr>
            <w:tcW w:w="966" w:type="pct"/>
            <w:tcBorders>
              <w:top w:val="single" w:color="000000" w:sz="4" w:space="0"/>
              <w:left w:val="single" w:color="000000" w:sz="4" w:space="0"/>
              <w:bottom w:val="single" w:color="000000" w:sz="4" w:space="0"/>
              <w:right w:val="single" w:color="000000" w:sz="4" w:space="0"/>
            </w:tcBorders>
            <w:vAlign w:val="center"/>
          </w:tcPr>
          <w:p w14:paraId="6094C21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硬盘控制器</w:t>
            </w:r>
          </w:p>
        </w:tc>
        <w:tc>
          <w:tcPr>
            <w:tcW w:w="4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434FA">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配置SAS控制器，支持RAID0/1</w:t>
            </w:r>
          </w:p>
        </w:tc>
      </w:tr>
      <w:tr w14:paraId="3894CEFD">
        <w:tblPrEx>
          <w:tblCellMar>
            <w:top w:w="0" w:type="dxa"/>
            <w:left w:w="108" w:type="dxa"/>
            <w:bottom w:w="0" w:type="dxa"/>
            <w:right w:w="108" w:type="dxa"/>
          </w:tblCellMar>
        </w:tblPrEx>
        <w:trPr>
          <w:wBefore w:w="0" w:type="auto"/>
          <w:trHeight w:val="900" w:hRule="atLeast"/>
        </w:trPr>
        <w:tc>
          <w:tcPr>
            <w:tcW w:w="966" w:type="pct"/>
            <w:tcBorders>
              <w:top w:val="single" w:color="000000" w:sz="4" w:space="0"/>
              <w:left w:val="single" w:color="000000" w:sz="4" w:space="0"/>
              <w:bottom w:val="single" w:color="000000" w:sz="4" w:space="0"/>
              <w:right w:val="single" w:color="000000" w:sz="4" w:space="0"/>
            </w:tcBorders>
            <w:vAlign w:val="center"/>
          </w:tcPr>
          <w:p w14:paraId="5F143161">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网卡</w:t>
            </w:r>
          </w:p>
        </w:tc>
        <w:tc>
          <w:tcPr>
            <w:tcW w:w="4033" w:type="pct"/>
            <w:tcBorders>
              <w:top w:val="single" w:color="000000" w:sz="4" w:space="0"/>
              <w:left w:val="single" w:color="000000" w:sz="4" w:space="0"/>
              <w:bottom w:val="single" w:color="000000" w:sz="4" w:space="0"/>
              <w:right w:val="single" w:color="000000" w:sz="4" w:space="0"/>
            </w:tcBorders>
            <w:vAlign w:val="center"/>
          </w:tcPr>
          <w:p w14:paraId="3EE90F4E">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支持1个OCP 3.0x16插槽，可支持1G/10G/25G/100G/200G OCP3.0网卡， 支持NCSI、网络唤醒，网络冗余，负载均衡等网络高级特性；配置双口25Gb网卡，双口千兆网卡</w:t>
            </w:r>
          </w:p>
        </w:tc>
      </w:tr>
      <w:tr w14:paraId="77039E7E">
        <w:tblPrEx>
          <w:tblCellMar>
            <w:top w:w="0" w:type="dxa"/>
            <w:left w:w="108" w:type="dxa"/>
            <w:bottom w:w="0" w:type="dxa"/>
            <w:right w:w="108" w:type="dxa"/>
          </w:tblCellMar>
        </w:tblPrEx>
        <w:trPr>
          <w:trHeight w:val="728" w:hRule="atLeast"/>
        </w:trPr>
        <w:tc>
          <w:tcPr>
            <w:tcW w:w="966" w:type="pct"/>
            <w:vMerge w:val="restart"/>
            <w:tcBorders>
              <w:top w:val="single" w:color="000000" w:sz="4" w:space="0"/>
              <w:left w:val="single" w:color="000000" w:sz="4" w:space="0"/>
              <w:right w:val="single" w:color="000000" w:sz="4" w:space="0"/>
            </w:tcBorders>
            <w:vAlign w:val="center"/>
          </w:tcPr>
          <w:p w14:paraId="4ED6374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扩展插槽</w:t>
            </w:r>
          </w:p>
        </w:tc>
        <w:tc>
          <w:tcPr>
            <w:tcW w:w="4033" w:type="pct"/>
            <w:tcBorders>
              <w:top w:val="single" w:color="000000" w:sz="4" w:space="0"/>
              <w:left w:val="single" w:color="000000" w:sz="4" w:space="0"/>
              <w:bottom w:val="single" w:color="000000" w:sz="4" w:space="0"/>
              <w:right w:val="single" w:color="000000" w:sz="4" w:space="0"/>
            </w:tcBorders>
            <w:vAlign w:val="center"/>
          </w:tcPr>
          <w:p w14:paraId="4F6642A2">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▲最大支持10个PCI-E 4.0插槽（2个内置专用插槽）</w:t>
            </w:r>
          </w:p>
        </w:tc>
      </w:tr>
      <w:tr w14:paraId="7C0856CA">
        <w:tblPrEx>
          <w:tblCellMar>
            <w:top w:w="0" w:type="dxa"/>
            <w:left w:w="108" w:type="dxa"/>
            <w:bottom w:w="0" w:type="dxa"/>
            <w:right w:w="108" w:type="dxa"/>
          </w:tblCellMar>
        </w:tblPrEx>
        <w:trPr>
          <w:trHeight w:val="671" w:hRule="atLeast"/>
        </w:trPr>
        <w:tc>
          <w:tcPr>
            <w:tcW w:w="966" w:type="pct"/>
            <w:vMerge w:val="continue"/>
            <w:tcBorders>
              <w:left w:val="single" w:color="000000" w:sz="4" w:space="0"/>
              <w:right w:val="single" w:color="000000" w:sz="4" w:space="0"/>
            </w:tcBorders>
            <w:vAlign w:val="center"/>
          </w:tcPr>
          <w:p w14:paraId="2F9E7CD1">
            <w:pPr>
              <w:widowControl/>
              <w:jc w:val="center"/>
              <w:textAlignment w:val="center"/>
              <w:rPr>
                <w:rFonts w:asciiTheme="minorEastAsia" w:hAnsiTheme="minorEastAsia" w:cstheme="minorEastAsia"/>
                <w:color w:val="000000"/>
                <w:kern w:val="0"/>
                <w:szCs w:val="21"/>
                <w:lang w:bidi="ar"/>
              </w:rPr>
            </w:pPr>
          </w:p>
        </w:tc>
        <w:tc>
          <w:tcPr>
            <w:tcW w:w="4033" w:type="pct"/>
            <w:tcBorders>
              <w:top w:val="single" w:color="000000" w:sz="4" w:space="0"/>
              <w:left w:val="single" w:color="000000" w:sz="4" w:space="0"/>
              <w:bottom w:val="single" w:color="000000" w:sz="4" w:space="0"/>
              <w:right w:val="single" w:color="000000" w:sz="4" w:space="0"/>
            </w:tcBorders>
            <w:vAlign w:val="center"/>
          </w:tcPr>
          <w:p w14:paraId="3DC40ABD">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支持直插主板的riser方式扩展8个全高PCIe 4.0标准卡；</w:t>
            </w:r>
          </w:p>
        </w:tc>
      </w:tr>
      <w:tr w14:paraId="49CB3EBA">
        <w:tblPrEx>
          <w:tblCellMar>
            <w:top w:w="0" w:type="dxa"/>
            <w:left w:w="108" w:type="dxa"/>
            <w:bottom w:w="0" w:type="dxa"/>
            <w:right w:w="108" w:type="dxa"/>
          </w:tblCellMar>
        </w:tblPrEx>
        <w:trPr>
          <w:trHeight w:val="760" w:hRule="atLeast"/>
        </w:trPr>
        <w:tc>
          <w:tcPr>
            <w:tcW w:w="966" w:type="pct"/>
            <w:vMerge w:val="continue"/>
            <w:tcBorders>
              <w:left w:val="single" w:color="000000" w:sz="4" w:space="0"/>
              <w:bottom w:val="single" w:color="000000" w:sz="4" w:space="0"/>
              <w:right w:val="single" w:color="000000" w:sz="4" w:space="0"/>
            </w:tcBorders>
            <w:vAlign w:val="center"/>
          </w:tcPr>
          <w:p w14:paraId="6F5F08FA">
            <w:pPr>
              <w:widowControl/>
              <w:jc w:val="center"/>
              <w:textAlignment w:val="center"/>
              <w:rPr>
                <w:rFonts w:asciiTheme="minorEastAsia" w:hAnsiTheme="minorEastAsia" w:cstheme="minorEastAsia"/>
                <w:color w:val="000000"/>
                <w:kern w:val="0"/>
                <w:szCs w:val="21"/>
                <w:lang w:bidi="ar"/>
              </w:rPr>
            </w:pPr>
          </w:p>
        </w:tc>
        <w:tc>
          <w:tcPr>
            <w:tcW w:w="4033" w:type="pct"/>
            <w:tcBorders>
              <w:top w:val="single" w:color="000000" w:sz="4" w:space="0"/>
              <w:left w:val="single" w:color="000000" w:sz="4" w:space="0"/>
              <w:bottom w:val="single" w:color="000000" w:sz="4" w:space="0"/>
              <w:right w:val="single" w:color="000000" w:sz="4" w:space="0"/>
            </w:tcBorders>
            <w:vAlign w:val="center"/>
          </w:tcPr>
          <w:p w14:paraId="581F3FAA">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支持1个直插主板的内置RAID卡PCIe标准插槽，不使用线缆连接，不占用后置PCIe标准卡槽位；</w:t>
            </w:r>
          </w:p>
        </w:tc>
      </w:tr>
      <w:tr w14:paraId="460F9903">
        <w:tblPrEx>
          <w:tblCellMar>
            <w:top w:w="0" w:type="dxa"/>
            <w:left w:w="108" w:type="dxa"/>
            <w:bottom w:w="0" w:type="dxa"/>
            <w:right w:w="108" w:type="dxa"/>
          </w:tblCellMar>
        </w:tblPrEx>
        <w:trPr>
          <w:wBefore w:w="0" w:type="auto"/>
          <w:trHeight w:val="620" w:hRule="atLeast"/>
        </w:trPr>
        <w:tc>
          <w:tcPr>
            <w:tcW w:w="966" w:type="pct"/>
            <w:tcBorders>
              <w:top w:val="single" w:color="000000" w:sz="4" w:space="0"/>
              <w:left w:val="single" w:color="000000" w:sz="4" w:space="0"/>
              <w:bottom w:val="single" w:color="000000" w:sz="4" w:space="0"/>
              <w:right w:val="single" w:color="000000" w:sz="4" w:space="0"/>
            </w:tcBorders>
            <w:vAlign w:val="center"/>
          </w:tcPr>
          <w:p w14:paraId="5269239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风扇</w:t>
            </w:r>
          </w:p>
        </w:tc>
        <w:tc>
          <w:tcPr>
            <w:tcW w:w="4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ED337">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配置≥2个热插拔高速系统风扇，支持动态智能风扇调速的散热系统，风扇支持N+1冗余及热插拔功能</w:t>
            </w:r>
          </w:p>
        </w:tc>
      </w:tr>
      <w:tr w14:paraId="7BDEF663">
        <w:tblPrEx>
          <w:tblCellMar>
            <w:top w:w="0" w:type="dxa"/>
            <w:left w:w="108" w:type="dxa"/>
            <w:bottom w:w="0" w:type="dxa"/>
            <w:right w:w="108" w:type="dxa"/>
          </w:tblCellMar>
        </w:tblPrEx>
        <w:trPr>
          <w:wBefore w:w="0" w:type="auto"/>
          <w:trHeight w:val="515" w:hRule="atLeast"/>
        </w:trPr>
        <w:tc>
          <w:tcPr>
            <w:tcW w:w="966" w:type="pct"/>
            <w:tcBorders>
              <w:top w:val="single" w:color="000000" w:sz="4" w:space="0"/>
              <w:left w:val="single" w:color="000000" w:sz="4" w:space="0"/>
              <w:bottom w:val="single" w:color="000000" w:sz="4" w:space="0"/>
              <w:right w:val="single" w:color="000000" w:sz="4" w:space="0"/>
            </w:tcBorders>
            <w:vAlign w:val="center"/>
          </w:tcPr>
          <w:p w14:paraId="6F0595FD">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BIOS中文界面</w:t>
            </w:r>
          </w:p>
        </w:tc>
        <w:tc>
          <w:tcPr>
            <w:tcW w:w="4033" w:type="pct"/>
            <w:tcBorders>
              <w:top w:val="single" w:color="000000" w:sz="4" w:space="0"/>
              <w:left w:val="single" w:color="000000" w:sz="4" w:space="0"/>
              <w:bottom w:val="single" w:color="000000" w:sz="4" w:space="0"/>
              <w:right w:val="single" w:color="000000" w:sz="4" w:space="0"/>
            </w:tcBorders>
            <w:vAlign w:val="center"/>
          </w:tcPr>
          <w:p w14:paraId="401A19BE">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w:t>
            </w:r>
            <w:r>
              <w:rPr>
                <w:rStyle w:val="9"/>
                <w:rFonts w:hint="eastAsia" w:asciiTheme="minorEastAsia" w:hAnsiTheme="minorEastAsia" w:eastAsiaTheme="minorEastAsia" w:cstheme="minorEastAsia"/>
                <w:b w:val="0"/>
                <w:bCs w:val="0"/>
                <w:lang w:bidi="ar"/>
              </w:rPr>
              <w:t>支持BIOS中英文界面</w:t>
            </w:r>
          </w:p>
        </w:tc>
      </w:tr>
      <w:tr w14:paraId="6B661BD9">
        <w:tblPrEx>
          <w:tblCellMar>
            <w:top w:w="0" w:type="dxa"/>
            <w:left w:w="108" w:type="dxa"/>
            <w:bottom w:w="0" w:type="dxa"/>
            <w:right w:w="108" w:type="dxa"/>
          </w:tblCellMar>
        </w:tblPrEx>
        <w:trPr>
          <w:wBefore w:w="0" w:type="auto"/>
          <w:trHeight w:val="580" w:hRule="atLeast"/>
        </w:trPr>
        <w:tc>
          <w:tcPr>
            <w:tcW w:w="966" w:type="pct"/>
            <w:vMerge w:val="restart"/>
            <w:tcBorders>
              <w:top w:val="single" w:color="000000" w:sz="4" w:space="0"/>
              <w:left w:val="single" w:color="000000" w:sz="4" w:space="0"/>
              <w:right w:val="single" w:color="000000" w:sz="4" w:space="0"/>
            </w:tcBorders>
            <w:shd w:val="clear" w:color="auto" w:fill="FFFFFF"/>
            <w:vAlign w:val="center"/>
          </w:tcPr>
          <w:p w14:paraId="07A0C0C1">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安全</w:t>
            </w:r>
          </w:p>
        </w:tc>
        <w:tc>
          <w:tcPr>
            <w:tcW w:w="4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C9FF0">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▲可支持TCM\TPM安全模块</w:t>
            </w:r>
          </w:p>
        </w:tc>
      </w:tr>
      <w:tr w14:paraId="5B8710C7">
        <w:tblPrEx>
          <w:tblCellMar>
            <w:top w:w="0" w:type="dxa"/>
            <w:left w:w="108" w:type="dxa"/>
            <w:bottom w:w="0" w:type="dxa"/>
            <w:right w:w="108" w:type="dxa"/>
          </w:tblCellMar>
        </w:tblPrEx>
        <w:trPr>
          <w:wBefore w:w="0" w:type="auto"/>
          <w:trHeight w:val="580" w:hRule="atLeast"/>
        </w:trPr>
        <w:tc>
          <w:tcPr>
            <w:tcW w:w="966" w:type="pct"/>
            <w:vMerge w:val="continue"/>
            <w:tcBorders>
              <w:left w:val="single" w:color="000000" w:sz="4" w:space="0"/>
              <w:bottom w:val="single" w:color="000000" w:sz="4" w:space="0"/>
              <w:right w:val="single" w:color="000000" w:sz="4" w:space="0"/>
            </w:tcBorders>
            <w:shd w:val="clear" w:color="auto" w:fill="FFFFFF"/>
            <w:vAlign w:val="center"/>
          </w:tcPr>
          <w:p w14:paraId="09E90281">
            <w:pPr>
              <w:widowControl/>
              <w:jc w:val="center"/>
              <w:textAlignment w:val="center"/>
              <w:rPr>
                <w:rFonts w:asciiTheme="minorEastAsia" w:hAnsiTheme="minorEastAsia" w:cstheme="minorEastAsia"/>
                <w:color w:val="000000"/>
                <w:kern w:val="0"/>
                <w:szCs w:val="21"/>
                <w:lang w:bidi="ar"/>
              </w:rPr>
            </w:pPr>
          </w:p>
        </w:tc>
        <w:tc>
          <w:tcPr>
            <w:tcW w:w="4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7C74A">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用户可以设定想要阻止访问BMC的黑名单，或者设定允许访问BMC的白名单，提升安全性</w:t>
            </w:r>
          </w:p>
        </w:tc>
      </w:tr>
      <w:tr w14:paraId="0ECD0D55">
        <w:tblPrEx>
          <w:tblCellMar>
            <w:top w:w="0" w:type="dxa"/>
            <w:left w:w="108" w:type="dxa"/>
            <w:bottom w:w="0" w:type="dxa"/>
            <w:right w:w="108" w:type="dxa"/>
          </w:tblCellMar>
        </w:tblPrEx>
        <w:trPr>
          <w:wBefore w:w="0" w:type="auto"/>
          <w:trHeight w:val="740" w:hRule="atLeast"/>
        </w:trPr>
        <w:tc>
          <w:tcPr>
            <w:tcW w:w="9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ABD1A">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故障诊断</w:t>
            </w:r>
          </w:p>
        </w:tc>
        <w:tc>
          <w:tcPr>
            <w:tcW w:w="4033" w:type="pct"/>
            <w:tcBorders>
              <w:top w:val="single" w:color="000000" w:sz="4" w:space="0"/>
              <w:left w:val="single" w:color="000000" w:sz="4" w:space="0"/>
              <w:bottom w:val="single" w:color="000000" w:sz="4" w:space="0"/>
              <w:right w:val="single" w:color="000000" w:sz="4" w:space="0"/>
            </w:tcBorders>
            <w:shd w:val="clear" w:color="auto" w:fill="FFFFFF"/>
          </w:tcPr>
          <w:p w14:paraId="61A3DA2A">
            <w:pPr>
              <w:widowControl/>
              <w:jc w:val="left"/>
              <w:textAlignment w:val="top"/>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▲支持离线光诊断功能，可断电环境下诊断主板关键信息故障；黑匣子日志、故障截屏、开机自检代码，有效判断分析软硬件故障。</w:t>
            </w:r>
          </w:p>
        </w:tc>
      </w:tr>
      <w:tr w14:paraId="4509D297">
        <w:tblPrEx>
          <w:tblCellMar>
            <w:top w:w="0" w:type="dxa"/>
            <w:left w:w="108" w:type="dxa"/>
            <w:bottom w:w="0" w:type="dxa"/>
            <w:right w:w="108" w:type="dxa"/>
          </w:tblCellMar>
        </w:tblPrEx>
        <w:trPr>
          <w:wBefore w:w="0" w:type="auto"/>
          <w:trHeight w:val="685" w:hRule="atLeast"/>
        </w:trPr>
        <w:tc>
          <w:tcPr>
            <w:tcW w:w="966" w:type="pct"/>
            <w:vMerge w:val="restart"/>
            <w:tcBorders>
              <w:top w:val="single" w:color="000000" w:sz="4" w:space="0"/>
              <w:left w:val="single" w:color="000000" w:sz="4" w:space="0"/>
              <w:right w:val="single" w:color="000000" w:sz="4" w:space="0"/>
            </w:tcBorders>
            <w:shd w:val="clear" w:color="auto" w:fill="FFFFFF"/>
            <w:vAlign w:val="center"/>
          </w:tcPr>
          <w:p w14:paraId="79B749C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系统维护</w:t>
            </w:r>
          </w:p>
        </w:tc>
        <w:tc>
          <w:tcPr>
            <w:tcW w:w="4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4287B">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支持独立的远程管理控制端口，实现与操作系统无关的远程对服务器的完全控制，远程开机、关机、重启、虚拟设备挂载等操作；</w:t>
            </w:r>
          </w:p>
        </w:tc>
      </w:tr>
      <w:tr w14:paraId="0410F53D">
        <w:tblPrEx>
          <w:tblCellMar>
            <w:top w:w="0" w:type="dxa"/>
            <w:left w:w="108" w:type="dxa"/>
            <w:bottom w:w="0" w:type="dxa"/>
            <w:right w:w="108" w:type="dxa"/>
          </w:tblCellMar>
        </w:tblPrEx>
        <w:trPr>
          <w:wBefore w:w="0" w:type="auto"/>
          <w:trHeight w:val="861" w:hRule="atLeast"/>
        </w:trPr>
        <w:tc>
          <w:tcPr>
            <w:tcW w:w="966" w:type="pct"/>
            <w:vMerge w:val="continue"/>
            <w:tcBorders>
              <w:left w:val="single" w:color="000000" w:sz="4" w:space="0"/>
              <w:right w:val="single" w:color="000000" w:sz="4" w:space="0"/>
            </w:tcBorders>
            <w:shd w:val="clear" w:color="auto" w:fill="FFFFFF"/>
            <w:vAlign w:val="center"/>
          </w:tcPr>
          <w:p w14:paraId="3F7427E7">
            <w:pPr>
              <w:widowControl/>
              <w:jc w:val="center"/>
              <w:textAlignment w:val="center"/>
              <w:rPr>
                <w:rFonts w:asciiTheme="minorEastAsia" w:hAnsiTheme="minorEastAsia" w:cstheme="minorEastAsia"/>
                <w:color w:val="000000"/>
                <w:kern w:val="0"/>
                <w:szCs w:val="21"/>
                <w:lang w:bidi="ar"/>
              </w:rPr>
            </w:pPr>
          </w:p>
        </w:tc>
        <w:tc>
          <w:tcPr>
            <w:tcW w:w="4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E02B3">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实时监控服务器内部关键部件运行状态和温度信息，CPU、内存、硬盘、风扇、电源、扩展卡；</w:t>
            </w:r>
          </w:p>
        </w:tc>
      </w:tr>
      <w:tr w14:paraId="38F63440">
        <w:tblPrEx>
          <w:tblCellMar>
            <w:top w:w="0" w:type="dxa"/>
            <w:left w:w="108" w:type="dxa"/>
            <w:bottom w:w="0" w:type="dxa"/>
            <w:right w:w="108" w:type="dxa"/>
          </w:tblCellMar>
        </w:tblPrEx>
        <w:trPr>
          <w:trHeight w:val="1024" w:hRule="atLeast"/>
        </w:trPr>
        <w:tc>
          <w:tcPr>
            <w:tcW w:w="966" w:type="pct"/>
            <w:vMerge w:val="continue"/>
            <w:tcBorders>
              <w:left w:val="single" w:color="000000" w:sz="4" w:space="0"/>
              <w:bottom w:val="single" w:color="000000" w:sz="4" w:space="0"/>
              <w:right w:val="single" w:color="000000" w:sz="4" w:space="0"/>
            </w:tcBorders>
            <w:shd w:val="clear" w:color="auto" w:fill="FFFFFF"/>
            <w:vAlign w:val="center"/>
          </w:tcPr>
          <w:p w14:paraId="7FD219E8">
            <w:pPr>
              <w:widowControl/>
              <w:jc w:val="center"/>
              <w:textAlignment w:val="center"/>
              <w:rPr>
                <w:rFonts w:asciiTheme="minorEastAsia" w:hAnsiTheme="minorEastAsia" w:cstheme="minorEastAsia"/>
                <w:color w:val="000000"/>
                <w:kern w:val="0"/>
                <w:szCs w:val="21"/>
                <w:lang w:bidi="ar"/>
              </w:rPr>
            </w:pPr>
          </w:p>
        </w:tc>
        <w:tc>
          <w:tcPr>
            <w:tcW w:w="4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7278E">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BMC记录此次及上次开机Port80代码，以此追踪最近两次开机过程，如开机过程出现问题，方便技术分析定位问题；</w:t>
            </w:r>
          </w:p>
        </w:tc>
      </w:tr>
      <w:tr w14:paraId="5D205138">
        <w:tblPrEx>
          <w:tblCellMar>
            <w:top w:w="0" w:type="dxa"/>
            <w:left w:w="108" w:type="dxa"/>
            <w:bottom w:w="0" w:type="dxa"/>
            <w:right w:w="108" w:type="dxa"/>
          </w:tblCellMar>
        </w:tblPrEx>
        <w:trPr>
          <w:trHeight w:val="1198" w:hRule="atLeast"/>
        </w:trPr>
        <w:tc>
          <w:tcPr>
            <w:tcW w:w="966" w:type="pct"/>
            <w:vMerge w:val="restart"/>
            <w:tcBorders>
              <w:top w:val="single" w:color="000000" w:sz="4" w:space="0"/>
              <w:left w:val="single" w:color="000000" w:sz="4" w:space="0"/>
              <w:right w:val="single" w:color="000000" w:sz="4" w:space="0"/>
            </w:tcBorders>
            <w:shd w:val="clear" w:color="auto" w:fill="FFFFFF"/>
            <w:vAlign w:val="center"/>
          </w:tcPr>
          <w:p w14:paraId="6E9FA36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智能管控</w:t>
            </w:r>
          </w:p>
        </w:tc>
        <w:tc>
          <w:tcPr>
            <w:tcW w:w="4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C5901">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BMC监控CPU、内存、HDD、PCIE设备和风扇功耗，通过BMC WEB设定整机功耗封顶值，当实际功耗超过封顶值，自动对CPU做降功耗处理从而实现整机功耗刹车功能；</w:t>
            </w:r>
          </w:p>
        </w:tc>
      </w:tr>
      <w:tr w14:paraId="64E078A1">
        <w:tblPrEx>
          <w:tblCellMar>
            <w:top w:w="0" w:type="dxa"/>
            <w:left w:w="108" w:type="dxa"/>
            <w:bottom w:w="0" w:type="dxa"/>
            <w:right w:w="108" w:type="dxa"/>
          </w:tblCellMar>
        </w:tblPrEx>
        <w:trPr>
          <w:trHeight w:val="990" w:hRule="atLeast"/>
        </w:trPr>
        <w:tc>
          <w:tcPr>
            <w:tcW w:w="966" w:type="pct"/>
            <w:vMerge w:val="continue"/>
            <w:tcBorders>
              <w:left w:val="single" w:color="000000" w:sz="4" w:space="0"/>
              <w:bottom w:val="single" w:color="000000" w:sz="4" w:space="0"/>
              <w:right w:val="single" w:color="000000" w:sz="4" w:space="0"/>
            </w:tcBorders>
            <w:shd w:val="clear" w:color="auto" w:fill="FFFFFF"/>
            <w:vAlign w:val="center"/>
          </w:tcPr>
          <w:p w14:paraId="1A73D665">
            <w:pPr>
              <w:widowControl/>
              <w:jc w:val="center"/>
              <w:textAlignment w:val="center"/>
              <w:rPr>
                <w:rFonts w:asciiTheme="minorEastAsia" w:hAnsiTheme="minorEastAsia" w:cstheme="minorEastAsia"/>
                <w:color w:val="000000"/>
                <w:kern w:val="0"/>
                <w:szCs w:val="21"/>
                <w:lang w:bidi="ar"/>
              </w:rPr>
            </w:pPr>
          </w:p>
        </w:tc>
        <w:tc>
          <w:tcPr>
            <w:tcW w:w="4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0012C">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CPLD可实时侦测BMC相关信号以判断BMC是否响应正常，如果不正常一定时间后自动恢复BMC；</w:t>
            </w:r>
          </w:p>
        </w:tc>
      </w:tr>
      <w:tr w14:paraId="76C8F99D">
        <w:tblPrEx>
          <w:tblCellMar>
            <w:top w:w="0" w:type="dxa"/>
            <w:left w:w="108" w:type="dxa"/>
            <w:bottom w:w="0" w:type="dxa"/>
            <w:right w:w="108" w:type="dxa"/>
          </w:tblCellMar>
        </w:tblPrEx>
        <w:trPr>
          <w:trHeight w:val="749" w:hRule="atLeast"/>
        </w:trPr>
        <w:tc>
          <w:tcPr>
            <w:tcW w:w="966" w:type="pct"/>
            <w:vMerge w:val="restart"/>
            <w:tcBorders>
              <w:top w:val="single" w:color="000000" w:sz="4" w:space="0"/>
              <w:left w:val="single" w:color="000000" w:sz="4" w:space="0"/>
              <w:right w:val="single" w:color="000000" w:sz="4" w:space="0"/>
            </w:tcBorders>
            <w:shd w:val="clear" w:color="auto" w:fill="FFFFFF"/>
            <w:vAlign w:val="center"/>
          </w:tcPr>
          <w:p w14:paraId="6DB7187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灵活维护</w:t>
            </w:r>
          </w:p>
        </w:tc>
        <w:tc>
          <w:tcPr>
            <w:tcW w:w="4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5176E">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支持自研SIST工具批量更新BIOS和BMC固件，以及BIOS和BMC部分主流选项修改，</w:t>
            </w:r>
          </w:p>
        </w:tc>
      </w:tr>
      <w:tr w14:paraId="256B825A">
        <w:tblPrEx>
          <w:tblCellMar>
            <w:top w:w="0" w:type="dxa"/>
            <w:left w:w="108" w:type="dxa"/>
            <w:bottom w:w="0" w:type="dxa"/>
            <w:right w:w="108" w:type="dxa"/>
          </w:tblCellMar>
        </w:tblPrEx>
        <w:trPr>
          <w:trHeight w:val="684" w:hRule="atLeast"/>
        </w:trPr>
        <w:tc>
          <w:tcPr>
            <w:tcW w:w="966" w:type="pct"/>
            <w:vMerge w:val="continue"/>
            <w:tcBorders>
              <w:left w:val="single" w:color="000000" w:sz="4" w:space="0"/>
              <w:bottom w:val="single" w:color="000000" w:sz="4" w:space="0"/>
              <w:right w:val="single" w:color="000000" w:sz="4" w:space="0"/>
            </w:tcBorders>
            <w:shd w:val="clear" w:color="auto" w:fill="FFFFFF"/>
            <w:vAlign w:val="center"/>
          </w:tcPr>
          <w:p w14:paraId="27DF2026">
            <w:pPr>
              <w:widowControl/>
              <w:jc w:val="center"/>
              <w:textAlignment w:val="center"/>
              <w:rPr>
                <w:rFonts w:asciiTheme="minorEastAsia" w:hAnsiTheme="minorEastAsia" w:cstheme="minorEastAsia"/>
                <w:color w:val="000000"/>
                <w:kern w:val="0"/>
                <w:szCs w:val="21"/>
                <w:lang w:bidi="ar"/>
              </w:rPr>
            </w:pPr>
          </w:p>
        </w:tc>
        <w:tc>
          <w:tcPr>
            <w:tcW w:w="4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73B63">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自研Agent工具，结合BMC实现系统资源获取；</w:t>
            </w:r>
          </w:p>
        </w:tc>
      </w:tr>
      <w:tr w14:paraId="45F42265">
        <w:tblPrEx>
          <w:tblCellMar>
            <w:top w:w="0" w:type="dxa"/>
            <w:left w:w="108" w:type="dxa"/>
            <w:bottom w:w="0" w:type="dxa"/>
            <w:right w:w="108" w:type="dxa"/>
          </w:tblCellMar>
        </w:tblPrEx>
        <w:trPr>
          <w:wBefore w:w="0" w:type="auto"/>
          <w:trHeight w:val="534" w:hRule="atLeast"/>
        </w:trPr>
        <w:tc>
          <w:tcPr>
            <w:tcW w:w="966" w:type="pct"/>
            <w:tcBorders>
              <w:top w:val="single" w:color="000000" w:sz="4" w:space="0"/>
              <w:left w:val="single" w:color="000000" w:sz="4" w:space="0"/>
              <w:bottom w:val="single" w:color="000000" w:sz="4" w:space="0"/>
              <w:right w:val="single" w:color="000000" w:sz="4" w:space="0"/>
            </w:tcBorders>
            <w:vAlign w:val="center"/>
          </w:tcPr>
          <w:p w14:paraId="33AFA14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质保要求</w:t>
            </w:r>
          </w:p>
        </w:tc>
        <w:tc>
          <w:tcPr>
            <w:tcW w:w="4033" w:type="pct"/>
            <w:tcBorders>
              <w:top w:val="single" w:color="000000" w:sz="4" w:space="0"/>
              <w:left w:val="single" w:color="000000" w:sz="4" w:space="0"/>
              <w:bottom w:val="single" w:color="000000" w:sz="4" w:space="0"/>
              <w:right w:val="single" w:color="000000" w:sz="4" w:space="0"/>
            </w:tcBorders>
            <w:vAlign w:val="center"/>
          </w:tcPr>
          <w:p w14:paraId="5CEEB2AF">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3年原厂整机质保</w:t>
            </w:r>
          </w:p>
        </w:tc>
      </w:tr>
    </w:tbl>
    <w:p w14:paraId="6A5BBEFB">
      <w:pPr>
        <w:spacing w:line="360" w:lineRule="auto"/>
        <w:ind w:firstLine="420" w:firstLineChars="200"/>
      </w:pPr>
      <w:r>
        <w:rPr>
          <w:rFonts w:hint="eastAsia"/>
        </w:rPr>
        <w:t>▲指标如需提供技术支持资料，以制造商公开发布的印刷资料（产品彩页、产品说明书、产品白皮书、官网截图）、界面截图、第三方检测机构出具的检测报告或在有效期内的证书扫描件等为准，投标人可以只提供上述材料关键页的复印件，关键页需体现投标产品的品牌、规格型号、相关性能指标，相关性能指标需以醒目的方式标明凡不符合上述要求的视为无效技术支持资料。</w:t>
      </w:r>
    </w:p>
    <w:p w14:paraId="4A31B0B5"/>
    <w:p w14:paraId="617215E9">
      <w:pPr>
        <w:pStyle w:val="2"/>
      </w:pPr>
      <w:r>
        <w:rPr>
          <w:rFonts w:hint="eastAsia"/>
        </w:rPr>
        <w:t>服务要求：</w:t>
      </w:r>
    </w:p>
    <w:p w14:paraId="3800730C">
      <w:pPr>
        <w:autoSpaceDE w:val="0"/>
        <w:autoSpaceDN w:val="0"/>
        <w:spacing w:line="360" w:lineRule="auto"/>
        <w:ind w:firstLine="420"/>
        <w:rPr>
          <w:rFonts w:hint="eastAsia" w:ascii="宋体" w:hAnsi="宋体" w:cs="宋体" w:eastAsiaTheme="minorEastAsia"/>
          <w:b/>
          <w:bCs/>
          <w:color w:val="000000"/>
          <w:spacing w:val="1"/>
          <w:szCs w:val="21"/>
          <w:lang w:eastAsia="zh-CN"/>
        </w:rPr>
      </w:pPr>
      <w:r>
        <w:rPr>
          <w:rFonts w:ascii="宋体" w:hAnsi="宋体" w:cs="宋体"/>
          <w:b/>
          <w:bCs/>
          <w:color w:val="000000"/>
          <w:spacing w:val="1"/>
          <w:szCs w:val="21"/>
        </w:rPr>
        <w:t>1、</w:t>
      </w:r>
      <w:r>
        <w:rPr>
          <w:rFonts w:hint="eastAsia" w:ascii="宋体" w:hAnsi="宋体" w:cs="宋体"/>
          <w:b/>
          <w:bCs/>
          <w:color w:val="000000"/>
          <w:spacing w:val="1"/>
          <w:szCs w:val="21"/>
          <w:lang w:eastAsia="zh-CN"/>
        </w:rPr>
        <w:t>对接要求</w:t>
      </w:r>
    </w:p>
    <w:p w14:paraId="24D9B4D3">
      <w:pPr>
        <w:autoSpaceDE w:val="0"/>
        <w:autoSpaceDN w:val="0"/>
        <w:spacing w:line="360" w:lineRule="auto"/>
        <w:ind w:firstLine="420"/>
        <w:rPr>
          <w:rFonts w:hint="eastAsia" w:ascii="宋体" w:hAnsi="宋体" w:cs="宋体"/>
          <w:b w:val="0"/>
          <w:bCs w:val="0"/>
          <w:color w:val="000000"/>
          <w:spacing w:val="1"/>
          <w:szCs w:val="21"/>
          <w:lang w:eastAsia="zh-CN"/>
        </w:rPr>
      </w:pPr>
      <w:r>
        <w:rPr>
          <w:rFonts w:hint="eastAsia" w:ascii="宋体" w:hAnsi="宋体" w:cs="宋体"/>
          <w:b w:val="0"/>
          <w:bCs w:val="0"/>
          <w:color w:val="000000"/>
          <w:spacing w:val="1"/>
          <w:szCs w:val="21"/>
        </w:rPr>
        <w:t>交付本期设备，统筹一期、二期已建的生信分析结果仓、临床队列应用、超融合/高密度存储资源，确保三期新扩容节点与一期、二期架构无缝兼容</w:t>
      </w:r>
      <w:r>
        <w:rPr>
          <w:rFonts w:hint="eastAsia" w:ascii="宋体" w:hAnsi="宋体" w:cs="宋体"/>
          <w:b w:val="0"/>
          <w:bCs w:val="0"/>
          <w:color w:val="000000"/>
          <w:spacing w:val="1"/>
          <w:szCs w:val="21"/>
          <w:lang w:eastAsia="zh-CN"/>
        </w:rPr>
        <w:t>。</w:t>
      </w:r>
    </w:p>
    <w:p w14:paraId="11BF40F6">
      <w:pPr>
        <w:autoSpaceDE w:val="0"/>
        <w:autoSpaceDN w:val="0"/>
        <w:spacing w:line="360" w:lineRule="auto"/>
        <w:ind w:firstLine="420"/>
        <w:rPr>
          <w:rFonts w:hint="eastAsia" w:ascii="宋体" w:hAnsi="宋体" w:cs="宋体"/>
          <w:b w:val="0"/>
          <w:bCs w:val="0"/>
          <w:color w:val="000000"/>
          <w:spacing w:val="1"/>
          <w:szCs w:val="21"/>
          <w:lang w:eastAsia="zh-CN"/>
        </w:rPr>
      </w:pPr>
      <w:bookmarkStart w:id="0" w:name="_GoBack"/>
      <w:bookmarkEnd w:id="0"/>
    </w:p>
    <w:p w14:paraId="336342AC">
      <w:pPr>
        <w:autoSpaceDE w:val="0"/>
        <w:autoSpaceDN w:val="0"/>
        <w:spacing w:line="360" w:lineRule="auto"/>
        <w:ind w:firstLine="420"/>
        <w:rPr>
          <w:rFonts w:ascii="宋体" w:hAnsi="宋体" w:cs="宋体"/>
          <w:b/>
          <w:bCs/>
          <w:color w:val="000000"/>
          <w:spacing w:val="1"/>
          <w:szCs w:val="21"/>
        </w:rPr>
      </w:pPr>
      <w:r>
        <w:rPr>
          <w:rFonts w:hint="eastAsia" w:ascii="宋体" w:hAnsi="宋体" w:cs="宋体"/>
          <w:b/>
          <w:bCs/>
          <w:color w:val="000000"/>
          <w:spacing w:val="1"/>
          <w:szCs w:val="21"/>
          <w:lang w:val="en-US" w:eastAsia="zh-CN"/>
        </w:rPr>
        <w:t>2、</w:t>
      </w:r>
      <w:r>
        <w:rPr>
          <w:rFonts w:ascii="宋体" w:hAnsi="宋体" w:cs="宋体"/>
          <w:b/>
          <w:bCs/>
          <w:color w:val="000000"/>
          <w:spacing w:val="1"/>
          <w:szCs w:val="21"/>
        </w:rPr>
        <w:t>项目组人员要求</w:t>
      </w:r>
    </w:p>
    <w:p w14:paraId="0201A292">
      <w:pPr>
        <w:autoSpaceDE w:val="0"/>
        <w:autoSpaceDN w:val="0"/>
        <w:spacing w:line="360" w:lineRule="auto"/>
        <w:ind w:firstLine="420"/>
        <w:rPr>
          <w:rFonts w:ascii="宋体" w:hAnsi="宋体" w:cs="宋体"/>
          <w:color w:val="000000"/>
          <w:spacing w:val="1"/>
          <w:szCs w:val="21"/>
        </w:rPr>
      </w:pPr>
      <w:r>
        <w:rPr>
          <w:rFonts w:ascii="宋体" w:hAnsi="宋体" w:cs="宋体"/>
          <w:color w:val="000000"/>
          <w:spacing w:val="1"/>
          <w:szCs w:val="21"/>
        </w:rPr>
        <w:t>a）项目</w:t>
      </w:r>
      <w:r>
        <w:rPr>
          <w:rFonts w:hint="eastAsia" w:ascii="宋体" w:hAnsi="宋体" w:cs="宋体"/>
          <w:color w:val="000000"/>
          <w:spacing w:val="1"/>
          <w:szCs w:val="21"/>
        </w:rPr>
        <w:t>经理</w:t>
      </w:r>
      <w:r>
        <w:rPr>
          <w:rFonts w:ascii="宋体" w:hAnsi="宋体" w:cs="宋体"/>
          <w:color w:val="000000"/>
          <w:spacing w:val="1"/>
          <w:szCs w:val="21"/>
        </w:rPr>
        <w:t>：具有信息系统项目管理师（高级）</w:t>
      </w:r>
      <w:r>
        <w:rPr>
          <w:rFonts w:hint="eastAsia" w:ascii="宋体" w:hAnsi="宋体" w:cs="宋体"/>
          <w:color w:val="000000"/>
          <w:spacing w:val="1"/>
          <w:szCs w:val="21"/>
        </w:rPr>
        <w:t>证书</w:t>
      </w:r>
      <w:r>
        <w:rPr>
          <w:rFonts w:ascii="宋体" w:hAnsi="宋体" w:cs="宋体"/>
          <w:color w:val="000000"/>
          <w:spacing w:val="1"/>
          <w:szCs w:val="21"/>
        </w:rPr>
        <w:t>及 CISP（注册信息安全专业人员）认证</w:t>
      </w:r>
      <w:r>
        <w:rPr>
          <w:rFonts w:hint="eastAsia" w:ascii="宋体" w:hAnsi="宋体" w:cs="宋体"/>
          <w:color w:val="000000"/>
          <w:spacing w:val="1"/>
          <w:szCs w:val="21"/>
        </w:rPr>
        <w:t>证书优先考虑</w:t>
      </w:r>
      <w:r>
        <w:rPr>
          <w:rFonts w:ascii="宋体" w:hAnsi="宋体" w:cs="宋体"/>
          <w:color w:val="000000"/>
          <w:spacing w:val="1"/>
          <w:szCs w:val="21"/>
        </w:rPr>
        <w:t>；</w:t>
      </w:r>
      <w:r>
        <w:rPr>
          <w:rFonts w:hint="eastAsia" w:ascii="宋体" w:hAnsi="宋体" w:cs="宋体"/>
          <w:color w:val="000000"/>
          <w:spacing w:val="1"/>
          <w:szCs w:val="21"/>
        </w:rPr>
        <w:t>具备良好的沟通协调能力和团队管理能力。</w:t>
      </w:r>
    </w:p>
    <w:p w14:paraId="5A4B7D42">
      <w:pPr>
        <w:autoSpaceDE w:val="0"/>
        <w:autoSpaceDN w:val="0"/>
        <w:spacing w:line="360" w:lineRule="auto"/>
        <w:ind w:firstLine="420"/>
        <w:rPr>
          <w:rFonts w:ascii="宋体" w:hAnsi="宋体" w:cs="宋体"/>
          <w:color w:val="000000"/>
          <w:spacing w:val="1"/>
          <w:szCs w:val="21"/>
        </w:rPr>
      </w:pPr>
      <w:r>
        <w:rPr>
          <w:rFonts w:hint="eastAsia" w:ascii="宋体" w:hAnsi="宋体" w:cs="宋体"/>
          <w:color w:val="000000"/>
          <w:spacing w:val="1"/>
          <w:szCs w:val="21"/>
        </w:rPr>
        <w:t>工作内容：全面负责三期高性能计算节点服务器项目的范围、进度、成本、质量、风险及信息安全管理；统筹一期、二期已建的生信分析结果仓、临床队列应用、超融合/高密度存储资源，确保三期新扩容节点与一期、二期架构无缝兼容。</w:t>
      </w:r>
    </w:p>
    <w:p w14:paraId="236EDEA7">
      <w:pPr>
        <w:autoSpaceDE w:val="0"/>
        <w:autoSpaceDN w:val="0"/>
        <w:spacing w:line="360" w:lineRule="auto"/>
        <w:ind w:firstLine="420"/>
        <w:rPr>
          <w:rFonts w:ascii="宋体" w:hAnsi="宋体" w:cs="宋体"/>
          <w:color w:val="000000"/>
          <w:spacing w:val="1"/>
          <w:szCs w:val="21"/>
        </w:rPr>
      </w:pPr>
      <w:r>
        <w:rPr>
          <w:rFonts w:ascii="宋体" w:hAnsi="宋体" w:cs="宋体"/>
          <w:color w:val="000000"/>
          <w:spacing w:val="1"/>
          <w:szCs w:val="21"/>
        </w:rPr>
        <w:t>b）技术负责人：具有系统架构设计师（高级）</w:t>
      </w:r>
      <w:r>
        <w:rPr>
          <w:rFonts w:hint="eastAsia" w:ascii="宋体" w:hAnsi="宋体" w:cs="宋体"/>
          <w:color w:val="000000"/>
          <w:spacing w:val="1"/>
          <w:szCs w:val="21"/>
        </w:rPr>
        <w:t>证书优先考虑</w:t>
      </w:r>
      <w:r>
        <w:rPr>
          <w:rFonts w:ascii="宋体" w:hAnsi="宋体" w:cs="宋体"/>
          <w:color w:val="000000"/>
          <w:spacing w:val="1"/>
          <w:szCs w:val="21"/>
        </w:rPr>
        <w:t>；</w:t>
      </w:r>
      <w:r>
        <w:rPr>
          <w:rFonts w:hint="eastAsia" w:ascii="宋体" w:hAnsi="宋体" w:cs="宋体"/>
          <w:color w:val="000000"/>
          <w:spacing w:val="1"/>
          <w:szCs w:val="21"/>
        </w:rPr>
        <w:t>具备较强的技术分析和问题解决能力。</w:t>
      </w:r>
    </w:p>
    <w:p w14:paraId="0FF51DBE">
      <w:pPr>
        <w:autoSpaceDE w:val="0"/>
        <w:autoSpaceDN w:val="0"/>
        <w:spacing w:line="360" w:lineRule="auto"/>
        <w:ind w:firstLine="424" w:firstLineChars="200"/>
        <w:rPr>
          <w:rFonts w:ascii="宋体" w:hAnsi="宋体" w:cs="宋体"/>
          <w:color w:val="000000"/>
          <w:spacing w:val="1"/>
          <w:szCs w:val="21"/>
        </w:rPr>
      </w:pPr>
      <w:r>
        <w:rPr>
          <w:rFonts w:hint="eastAsia" w:ascii="宋体" w:hAnsi="宋体" w:cs="宋体"/>
          <w:color w:val="000000"/>
          <w:spacing w:val="1"/>
          <w:szCs w:val="21"/>
        </w:rPr>
        <w:t>工作内容：负责整体技术方案设计，确保三期建设在技术路线与架构上与一期、二期保持统一，兼顾先进性与可扩展性，保障系统性能全面达标。</w:t>
      </w:r>
    </w:p>
    <w:p w14:paraId="65594DFE">
      <w:pPr>
        <w:autoSpaceDE w:val="0"/>
        <w:autoSpaceDN w:val="0"/>
        <w:spacing w:line="360" w:lineRule="auto"/>
        <w:ind w:firstLine="420"/>
        <w:rPr>
          <w:rFonts w:ascii="宋体" w:hAnsi="宋体" w:cs="宋体"/>
          <w:color w:val="000000"/>
          <w:spacing w:val="1"/>
          <w:szCs w:val="21"/>
        </w:rPr>
      </w:pPr>
      <w:r>
        <w:rPr>
          <w:rFonts w:ascii="宋体" w:hAnsi="宋体" w:cs="宋体"/>
          <w:color w:val="000000"/>
          <w:spacing w:val="1"/>
          <w:szCs w:val="21"/>
        </w:rPr>
        <w:t>c）项目组成员（除</w:t>
      </w:r>
      <w:r>
        <w:rPr>
          <w:rFonts w:hint="eastAsia" w:ascii="宋体" w:hAnsi="宋体" w:cs="宋体"/>
          <w:color w:val="000000"/>
          <w:spacing w:val="1"/>
          <w:szCs w:val="21"/>
        </w:rPr>
        <w:t>项目经理</w:t>
      </w:r>
      <w:r>
        <w:rPr>
          <w:rFonts w:ascii="宋体" w:hAnsi="宋体" w:cs="宋体"/>
          <w:color w:val="000000"/>
          <w:spacing w:val="1"/>
          <w:szCs w:val="21"/>
        </w:rPr>
        <w:t>及技术负责人以外）：包含信息安全CISP认证、信息系统项目管理师、系统集成项目管理工程师、高级数据库管理工程师、软件设计师认证</w:t>
      </w:r>
      <w:r>
        <w:rPr>
          <w:rFonts w:hint="eastAsia" w:ascii="宋体" w:hAnsi="宋体" w:cs="宋体"/>
          <w:color w:val="000000"/>
          <w:spacing w:val="1"/>
          <w:szCs w:val="21"/>
        </w:rPr>
        <w:t>。具备 3 年以上相关工作经验，熟悉服务器硬件部署及运维流程。具备良好的沟通协作能力和团队合作精神优先考虑。</w:t>
      </w:r>
    </w:p>
    <w:p w14:paraId="3D347F05">
      <w:pPr>
        <w:autoSpaceDE w:val="0"/>
        <w:autoSpaceDN w:val="0"/>
        <w:spacing w:line="360" w:lineRule="auto"/>
        <w:ind w:firstLine="420"/>
        <w:rPr>
          <w:rFonts w:ascii="宋体" w:hAnsi="宋体" w:cs="宋体"/>
          <w:color w:val="000000"/>
          <w:spacing w:val="1"/>
          <w:szCs w:val="21"/>
        </w:rPr>
      </w:pPr>
      <w:r>
        <w:rPr>
          <w:rFonts w:hint="eastAsia" w:ascii="宋体" w:hAnsi="宋体" w:cs="宋体"/>
          <w:color w:val="000000"/>
          <w:spacing w:val="1"/>
          <w:szCs w:val="21"/>
        </w:rPr>
        <w:t>工作内容：协调厂商设备到货，负责三期扩容节点的安全基线加固，把控整体项目安全，负责临床数据库及生信分析结果仓数据库的对接，完成一期、二期与三期硬件资源集成，保障数据高可用。</w:t>
      </w:r>
    </w:p>
    <w:p w14:paraId="21F9A488">
      <w:pPr>
        <w:autoSpaceDE w:val="0"/>
        <w:autoSpaceDN w:val="0"/>
        <w:spacing w:line="360" w:lineRule="auto"/>
        <w:ind w:firstLine="420"/>
        <w:rPr>
          <w:rFonts w:ascii="宋体" w:hAnsi="宋体" w:cs="宋体"/>
          <w:color w:val="000000"/>
          <w:spacing w:val="1"/>
          <w:szCs w:val="21"/>
        </w:rPr>
      </w:pPr>
    </w:p>
    <w:p w14:paraId="0129B45A">
      <w:pPr>
        <w:autoSpaceDE w:val="0"/>
        <w:autoSpaceDN w:val="0"/>
        <w:spacing w:line="360" w:lineRule="auto"/>
        <w:ind w:firstLine="420"/>
        <w:rPr>
          <w:rFonts w:ascii="宋体" w:hAnsi="宋体" w:cs="宋体"/>
          <w:b/>
          <w:bCs/>
          <w:color w:val="000000"/>
          <w:spacing w:val="1"/>
          <w:szCs w:val="21"/>
        </w:rPr>
      </w:pPr>
      <w:r>
        <w:rPr>
          <w:rFonts w:hint="eastAsia" w:ascii="宋体" w:hAnsi="宋体" w:cs="宋体"/>
          <w:b/>
          <w:bCs/>
          <w:color w:val="000000"/>
          <w:spacing w:val="1"/>
          <w:szCs w:val="21"/>
          <w:lang w:val="en-US" w:eastAsia="zh-CN"/>
        </w:rPr>
        <w:t>3</w:t>
      </w:r>
      <w:r>
        <w:rPr>
          <w:rFonts w:ascii="宋体" w:hAnsi="宋体" w:cs="宋体"/>
          <w:b/>
          <w:bCs/>
          <w:color w:val="000000"/>
          <w:spacing w:val="1"/>
          <w:szCs w:val="21"/>
        </w:rPr>
        <w:t>、服务响应要求</w:t>
      </w:r>
    </w:p>
    <w:p w14:paraId="37F883FD">
      <w:pPr>
        <w:autoSpaceDE w:val="0"/>
        <w:autoSpaceDN w:val="0"/>
        <w:spacing w:line="360" w:lineRule="auto"/>
        <w:ind w:firstLine="420"/>
        <w:rPr>
          <w:rFonts w:ascii="宋体" w:hAnsi="宋体" w:cs="宋体"/>
          <w:color w:val="000000"/>
          <w:spacing w:val="1"/>
          <w:szCs w:val="21"/>
        </w:rPr>
      </w:pPr>
      <w:r>
        <w:rPr>
          <w:rFonts w:ascii="宋体" w:hAnsi="宋体" w:cs="宋体"/>
          <w:color w:val="000000"/>
          <w:spacing w:val="1"/>
          <w:szCs w:val="21"/>
        </w:rPr>
        <w:t>a) 提供电话、电子邮件、远程连接等多种形式服务；</w:t>
      </w:r>
    </w:p>
    <w:p w14:paraId="53EC4997">
      <w:pPr>
        <w:autoSpaceDE w:val="0"/>
        <w:autoSpaceDN w:val="0"/>
        <w:spacing w:line="360" w:lineRule="auto"/>
        <w:ind w:firstLine="420"/>
        <w:rPr>
          <w:rFonts w:ascii="宋体" w:hAnsi="宋体" w:cs="宋体"/>
          <w:color w:val="000000"/>
          <w:spacing w:val="1"/>
          <w:szCs w:val="21"/>
        </w:rPr>
      </w:pPr>
      <w:r>
        <w:rPr>
          <w:rFonts w:ascii="宋体" w:hAnsi="宋体" w:cs="宋体"/>
          <w:color w:val="000000"/>
          <w:spacing w:val="1"/>
          <w:szCs w:val="21"/>
        </w:rPr>
        <w:t>b) 提供同城 4h、异地 12h 技术响应服务，2 个工作日解决问题，对于未能解决的问题和故障应提供可行的升级方案，并提供周转设备；</w:t>
      </w:r>
    </w:p>
    <w:p w14:paraId="2AD01281">
      <w:pPr>
        <w:autoSpaceDE w:val="0"/>
        <w:autoSpaceDN w:val="0"/>
        <w:spacing w:line="360" w:lineRule="auto"/>
        <w:ind w:firstLine="420"/>
        <w:rPr>
          <w:rFonts w:ascii="宋体" w:hAnsi="宋体" w:cs="宋体"/>
          <w:color w:val="000000"/>
          <w:spacing w:val="1"/>
          <w:szCs w:val="21"/>
        </w:rPr>
      </w:pPr>
      <w:r>
        <w:rPr>
          <w:rFonts w:ascii="宋体" w:hAnsi="宋体" w:cs="宋体"/>
          <w:color w:val="000000"/>
          <w:spacing w:val="1"/>
          <w:szCs w:val="21"/>
        </w:rPr>
        <w:t>c)服务周期内提供产品的维修、换件和升级服务</w:t>
      </w:r>
      <w:r>
        <w:rPr>
          <w:rFonts w:hint="eastAsia" w:ascii="宋体" w:hAnsi="宋体" w:cs="宋体"/>
          <w:color w:val="000000"/>
          <w:spacing w:val="1"/>
          <w:szCs w:val="21"/>
        </w:rPr>
        <w:t>。</w:t>
      </w:r>
    </w:p>
    <w:p w14:paraId="0B62A0E1">
      <w:pPr>
        <w:autoSpaceDE w:val="0"/>
        <w:autoSpaceDN w:val="0"/>
        <w:spacing w:line="360" w:lineRule="auto"/>
        <w:ind w:firstLine="420"/>
        <w:rPr>
          <w:rFonts w:ascii="宋体" w:hAnsi="宋体" w:cs="宋体"/>
          <w:color w:val="000000"/>
          <w:spacing w:val="1"/>
          <w:szCs w:val="21"/>
        </w:rPr>
      </w:pPr>
    </w:p>
    <w:p w14:paraId="61C28C30">
      <w:pPr>
        <w:autoSpaceDE w:val="0"/>
        <w:autoSpaceDN w:val="0"/>
        <w:spacing w:line="360" w:lineRule="auto"/>
        <w:ind w:firstLine="420"/>
        <w:rPr>
          <w:rFonts w:ascii="宋体" w:hAnsi="宋体" w:cs="宋体"/>
          <w:b/>
          <w:bCs/>
          <w:color w:val="000000"/>
          <w:spacing w:val="1"/>
          <w:szCs w:val="21"/>
        </w:rPr>
      </w:pPr>
      <w:r>
        <w:rPr>
          <w:rFonts w:hint="eastAsia" w:ascii="宋体" w:hAnsi="宋体" w:cs="宋体"/>
          <w:b/>
          <w:bCs/>
          <w:color w:val="000000"/>
          <w:spacing w:val="1"/>
          <w:szCs w:val="21"/>
          <w:lang w:val="en-US" w:eastAsia="zh-CN"/>
        </w:rPr>
        <w:t>4</w:t>
      </w:r>
      <w:r>
        <w:rPr>
          <w:rFonts w:ascii="宋体" w:hAnsi="宋体" w:cs="宋体"/>
          <w:b/>
          <w:bCs/>
          <w:color w:val="000000"/>
          <w:spacing w:val="1"/>
          <w:szCs w:val="21"/>
        </w:rPr>
        <w:t>、培训要求：</w:t>
      </w:r>
    </w:p>
    <w:p w14:paraId="7F88ECF8">
      <w:pPr>
        <w:autoSpaceDE w:val="0"/>
        <w:autoSpaceDN w:val="0"/>
        <w:spacing w:line="360" w:lineRule="auto"/>
        <w:ind w:firstLine="420"/>
        <w:rPr>
          <w:rFonts w:ascii="宋体" w:hAnsi="宋体" w:cs="宋体"/>
          <w:color w:val="000000"/>
          <w:spacing w:val="1"/>
          <w:szCs w:val="21"/>
        </w:rPr>
      </w:pPr>
      <w:r>
        <w:rPr>
          <w:rFonts w:ascii="宋体" w:hAnsi="宋体" w:cs="宋体"/>
          <w:color w:val="000000"/>
          <w:spacing w:val="1"/>
          <w:szCs w:val="21"/>
        </w:rPr>
        <w:t>供应商提供培训材料、产品手册、培训视频等培训相关内容</w:t>
      </w:r>
      <w:r>
        <w:rPr>
          <w:rFonts w:hint="eastAsia" w:ascii="宋体" w:hAnsi="宋体" w:cs="宋体"/>
          <w:color w:val="000000"/>
          <w:spacing w:val="1"/>
          <w:szCs w:val="21"/>
        </w:rPr>
        <w:t>。</w:t>
      </w:r>
    </w:p>
    <w:p w14:paraId="2A4851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E42DA"/>
    <w:multiLevelType w:val="multilevel"/>
    <w:tmpl w:val="232E42DA"/>
    <w:lvl w:ilvl="0" w:tentative="0">
      <w:start w:val="1"/>
      <w:numFmt w:val="decimal"/>
      <w:lvlText w:val="%1）"/>
      <w:lvlJc w:val="left"/>
      <w:pPr>
        <w:ind w:left="785" w:hanging="360"/>
      </w:pPr>
      <w:rPr>
        <w:rFonts w:hint="default"/>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EE91CB"/>
    <w:rsid w:val="001321C4"/>
    <w:rsid w:val="00143093"/>
    <w:rsid w:val="00176D17"/>
    <w:rsid w:val="001E0A51"/>
    <w:rsid w:val="002706F3"/>
    <w:rsid w:val="002B4781"/>
    <w:rsid w:val="00441F21"/>
    <w:rsid w:val="004617EF"/>
    <w:rsid w:val="004D38A6"/>
    <w:rsid w:val="007E23F2"/>
    <w:rsid w:val="0081379A"/>
    <w:rsid w:val="008152B1"/>
    <w:rsid w:val="00A9613B"/>
    <w:rsid w:val="00BA17D1"/>
    <w:rsid w:val="00BE7CE4"/>
    <w:rsid w:val="00DA55E0"/>
    <w:rsid w:val="00DE23C3"/>
    <w:rsid w:val="00EA7B88"/>
    <w:rsid w:val="00EB5C1C"/>
    <w:rsid w:val="00F86854"/>
    <w:rsid w:val="00FB0090"/>
    <w:rsid w:val="3C5F2FD5"/>
    <w:rsid w:val="3D7FE004"/>
    <w:rsid w:val="5F7F66AF"/>
    <w:rsid w:val="5FFE70E6"/>
    <w:rsid w:val="797770C2"/>
    <w:rsid w:val="8EFF8CA0"/>
    <w:rsid w:val="97DDF8C0"/>
    <w:rsid w:val="B11FED9C"/>
    <w:rsid w:val="BFEE91CB"/>
    <w:rsid w:val="DBF77523"/>
    <w:rsid w:val="E3EAA896"/>
    <w:rsid w:val="EADA233B"/>
    <w:rsid w:val="EFF75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line="360" w:lineRule="auto"/>
      <w:outlineLvl w:val="1"/>
    </w:pPr>
    <w:rPr>
      <w:rFonts w:ascii="Arial" w:hAnsi="Arial"/>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2"/>
    <w:qFormat/>
    <w:uiPriority w:val="0"/>
    <w:pPr>
      <w:jc w:val="left"/>
    </w:pPr>
  </w:style>
  <w:style w:type="paragraph" w:styleId="5">
    <w:name w:val="annotation subject"/>
    <w:basedOn w:val="4"/>
    <w:next w:val="4"/>
    <w:link w:val="13"/>
    <w:qFormat/>
    <w:uiPriority w:val="0"/>
    <w:rPr>
      <w:b/>
      <w:bCs/>
    </w:rPr>
  </w:style>
  <w:style w:type="character" w:styleId="8">
    <w:name w:val="annotation reference"/>
    <w:basedOn w:val="7"/>
    <w:qFormat/>
    <w:uiPriority w:val="0"/>
    <w:rPr>
      <w:sz w:val="21"/>
      <w:szCs w:val="21"/>
    </w:rPr>
  </w:style>
  <w:style w:type="character" w:customStyle="1" w:styleId="9">
    <w:name w:val="font21"/>
    <w:basedOn w:val="7"/>
    <w:qFormat/>
    <w:uiPriority w:val="0"/>
    <w:rPr>
      <w:rFonts w:hint="default" w:ascii="微软雅黑" w:hAnsi="微软雅黑" w:eastAsia="微软雅黑" w:cs="微软雅黑"/>
      <w:b/>
      <w:bCs/>
      <w:color w:val="000000"/>
      <w:sz w:val="21"/>
      <w:szCs w:val="21"/>
      <w:u w:val="none"/>
    </w:rPr>
  </w:style>
  <w:style w:type="paragraph" w:styleId="10">
    <w:name w:val="List Paragraph"/>
    <w:basedOn w:val="1"/>
    <w:unhideWhenUsed/>
    <w:qFormat/>
    <w:uiPriority w:val="99"/>
    <w:pPr>
      <w:ind w:firstLine="420" w:firstLineChars="200"/>
    </w:pPr>
  </w:style>
  <w:style w:type="paragraph" w:customStyle="1" w:styleId="11">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文字 字符"/>
    <w:basedOn w:val="7"/>
    <w:link w:val="4"/>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5"/>
    <w:qFormat/>
    <w:uiPriority w:val="0"/>
    <w:rPr>
      <w:rFonts w:asciiTheme="minorHAnsi" w:hAnsiTheme="minorHAnsi" w:eastAsiaTheme="minorEastAsia" w:cstheme="minorBidi"/>
      <w:b/>
      <w:bCs/>
      <w:kern w:val="2"/>
      <w:sz w:val="21"/>
      <w:szCs w:val="24"/>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425</Words>
  <Characters>2424</Characters>
  <Lines>20</Lines>
  <Paragraphs>5</Paragraphs>
  <TotalTime>3</TotalTime>
  <ScaleCrop>false</ScaleCrop>
  <LinksUpToDate>false</LinksUpToDate>
  <CharactersWithSpaces>2844</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2025-10-31T16:50:00Z</dcterms:created>
  <dc:creator>icejade</dc:creator>
  <cp:lastModifiedBy>user</cp:lastModifiedBy>
  <dcterms:modified xsi:type="dcterms:W3CDTF">2025-11-03T08:52:21Z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DBB86023E9AACC35FA65CA68AD566A3E_41</vt:lpwstr>
  </property>
</Properties>
</file>