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sz w:val="48"/>
          <w:szCs w:val="48"/>
        </w:rPr>
      </w:pPr>
    </w:p>
    <w:p>
      <w:pPr>
        <w:ind w:firstLine="0" w:firstLineChars="0"/>
        <w:jc w:val="center"/>
        <w:rPr>
          <w:rFonts w:hint="eastAsia" w:ascii="黑体" w:hAnsi="黑体" w:eastAsia="黑体"/>
          <w:sz w:val="48"/>
          <w:szCs w:val="48"/>
        </w:rPr>
      </w:pPr>
    </w:p>
    <w:p>
      <w:pPr>
        <w:ind w:firstLine="0" w:firstLineChars="0"/>
        <w:jc w:val="center"/>
        <w:rPr>
          <w:rFonts w:hint="eastAsia" w:ascii="黑体" w:hAnsi="黑体" w:eastAsia="黑体"/>
          <w:sz w:val="52"/>
          <w:szCs w:val="52"/>
        </w:rPr>
      </w:pPr>
      <w:r>
        <w:rPr>
          <w:rFonts w:hint="eastAsia" w:ascii="黑体" w:hAnsi="黑体" w:eastAsia="黑体"/>
          <w:sz w:val="52"/>
          <w:szCs w:val="52"/>
        </w:rPr>
        <w:t>市级机关集中办公点智能安防系统（2025年升级改造）</w:t>
      </w:r>
    </w:p>
    <w:p>
      <w:pPr>
        <w:ind w:firstLine="0" w:firstLineChars="0"/>
        <w:jc w:val="center"/>
        <w:rPr>
          <w:rFonts w:hint="eastAsia" w:ascii="黑体" w:hAnsi="黑体" w:eastAsia="黑体"/>
          <w:sz w:val="52"/>
          <w:szCs w:val="52"/>
        </w:rPr>
      </w:pPr>
      <w:r>
        <w:rPr>
          <w:rFonts w:hint="eastAsia" w:ascii="黑体" w:hAnsi="黑体" w:eastAsia="黑体"/>
          <w:sz w:val="52"/>
          <w:szCs w:val="52"/>
        </w:rPr>
        <w:t>采购需求</w:t>
      </w:r>
    </w:p>
    <w:p>
      <w:pPr>
        <w:ind w:firstLine="0" w:firstLineChars="0"/>
        <w:jc w:val="center"/>
        <w:rPr>
          <w:rFonts w:hint="eastAsia" w:ascii="黑体" w:hAnsi="黑体" w:eastAsia="黑体"/>
          <w:sz w:val="72"/>
          <w:szCs w:val="72"/>
        </w:rPr>
      </w:pPr>
    </w:p>
    <w:p>
      <w:pPr>
        <w:ind w:firstLine="0" w:firstLineChars="0"/>
        <w:jc w:val="center"/>
        <w:rPr>
          <w:rFonts w:hint="eastAsia" w:ascii="黑体" w:hAnsi="黑体" w:eastAsia="黑体"/>
          <w:sz w:val="48"/>
          <w:szCs w:val="48"/>
        </w:rPr>
      </w:pPr>
    </w:p>
    <w:p>
      <w:pPr>
        <w:ind w:firstLine="0" w:firstLineChars="0"/>
        <w:jc w:val="center"/>
        <w:rPr>
          <w:rFonts w:hint="eastAsia" w:ascii="黑体" w:hAnsi="黑体" w:eastAsia="黑体"/>
          <w:sz w:val="52"/>
          <w:szCs w:val="52"/>
        </w:rPr>
      </w:pPr>
    </w:p>
    <w:p>
      <w:pPr>
        <w:ind w:firstLine="1040"/>
        <w:rPr>
          <w:rFonts w:hint="eastAsia" w:ascii="黑体" w:hAnsi="黑体" w:eastAsia="黑体"/>
          <w:sz w:val="52"/>
          <w:szCs w:val="52"/>
        </w:rPr>
      </w:pPr>
    </w:p>
    <w:p>
      <w:pPr>
        <w:rPr>
          <w:rFonts w:hint="eastAsia"/>
        </w:rPr>
      </w:pPr>
    </w:p>
    <w:p>
      <w:pPr>
        <w:rPr>
          <w:rFonts w:hint="eastAsia"/>
        </w:rPr>
      </w:pPr>
    </w:p>
    <w:p>
      <w:pPr>
        <w:rPr>
          <w:rFonts w:hint="eastAsia"/>
        </w:rPr>
      </w:pPr>
    </w:p>
    <w:p>
      <w:pPr>
        <w:rPr>
          <w:rFonts w:hint="eastAsia"/>
        </w:rPr>
      </w:pPr>
    </w:p>
    <w:p>
      <w:pPr>
        <w:rPr>
          <w:rFonts w:hint="eastAsia"/>
        </w:rPr>
      </w:pPr>
    </w:p>
    <w:p>
      <w:pPr>
        <w:ind w:firstLine="1040"/>
        <w:rPr>
          <w:rFonts w:hint="eastAsia" w:ascii="黑体" w:hAnsi="黑体" w:eastAsia="黑体"/>
          <w:sz w:val="52"/>
          <w:szCs w:val="52"/>
        </w:rPr>
      </w:pPr>
    </w:p>
    <w:p>
      <w:pPr>
        <w:jc w:val="center"/>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pPr>
    </w:p>
    <w:p>
      <w:pPr>
        <w:pStyle w:val="2"/>
        <w:rPr>
          <w:rFonts w:hint="eastAsia"/>
        </w:rPr>
      </w:pPr>
      <w:bookmarkStart w:id="0" w:name="_Toc63785461"/>
      <w:r>
        <w:rPr>
          <w:rFonts w:hint="eastAsia"/>
        </w:rPr>
        <w:t>项目概况</w:t>
      </w:r>
      <w:bookmarkEnd w:id="0"/>
    </w:p>
    <w:p>
      <w:pPr>
        <w:pStyle w:val="136"/>
        <w:spacing w:line="560" w:lineRule="exact"/>
        <w:ind w:firstLine="480"/>
        <w:rPr>
          <w:rFonts w:hint="eastAsia" w:cs="Times New Roman"/>
          <w:sz w:val="24"/>
          <w:szCs w:val="24"/>
        </w:rPr>
      </w:pPr>
      <w:r>
        <w:rPr>
          <w:rFonts w:hint="eastAsia" w:cs="Times New Roman"/>
          <w:sz w:val="24"/>
          <w:szCs w:val="24"/>
        </w:rPr>
        <w:t>从2019年4月起组织实施人民大厦、市政大厦、世博村路300号（以下简称为“市级机关集中办公点”）智能安防系统升级改造项目建设，至2020年9月底全部完成“人员车辆智能访客管理系统”（一期），“综合安防系统智联平台”（二期）、“车场（库）信息化管理平台”（三期）建设。</w:t>
      </w:r>
    </w:p>
    <w:p>
      <w:pPr>
        <w:spacing w:line="560" w:lineRule="exact"/>
        <w:rPr>
          <w:rFonts w:hint="eastAsia" w:ascii="仿宋" w:hAnsi="仿宋" w:eastAsia="仿宋"/>
        </w:rPr>
      </w:pPr>
      <w:r>
        <w:rPr>
          <w:rFonts w:hint="eastAsia" w:ascii="仿宋" w:hAnsi="仿宋" w:eastAsia="仿宋"/>
        </w:rPr>
        <w:t>依托国家“核高基”重大专项，国产化基础软件和硬件逐步走向系列化和实用化。市级机关集中办公点作为党政机关的办公场所，其信息系统必须严格满足安全管理要求。现阶段智能安防系统缺少专用的XC转发服务器，有一定安全隐患；现有应用软件缺少转发服务功能，未开发XC专用版本；现有的</w:t>
      </w:r>
      <w:r>
        <w:rPr>
          <w:rFonts w:ascii="仿宋" w:hAnsi="仿宋" w:eastAsia="仿宋"/>
        </w:rPr>
        <w:t>专用安全设备</w:t>
      </w:r>
      <w:r>
        <w:rPr>
          <w:rFonts w:hint="eastAsia" w:ascii="仿宋" w:hAnsi="仿宋" w:eastAsia="仿宋"/>
        </w:rPr>
        <w:t>不满足</w:t>
      </w:r>
      <w:r>
        <w:rPr>
          <w:rFonts w:ascii="仿宋" w:hAnsi="仿宋" w:eastAsia="仿宋"/>
        </w:rPr>
        <w:t>市大数据中心信息化等保测评三级要求，存在安全防护漏洞</w:t>
      </w:r>
      <w:r>
        <w:rPr>
          <w:rFonts w:hint="eastAsia" w:ascii="仿宋" w:hAnsi="仿宋" w:eastAsia="仿宋"/>
        </w:rPr>
        <w:t>。</w:t>
      </w:r>
    </w:p>
    <w:p>
      <w:pPr>
        <w:spacing w:line="560" w:lineRule="exact"/>
        <w:rPr>
          <w:rFonts w:hint="eastAsia" w:ascii="仿宋" w:hAnsi="仿宋" w:eastAsia="仿宋"/>
        </w:rPr>
      </w:pPr>
      <w:r>
        <w:rPr>
          <w:rFonts w:hint="eastAsia" w:ascii="仿宋" w:hAnsi="仿宋" w:eastAsia="仿宋"/>
        </w:rPr>
        <w:t>为满足安全要求，需在一段时间内逐步对智能安防系统的服务器系统完成XC安全升级，从中央处理器、操作系统、数据库、中间件到管理软件的全适配，功能范围覆盖视频、会议、业务展示、报警在内的核心业务应用。并根据信息系统的重要性、遭受破坏后的危害程度等因素为信息系统定级，根据等保测评的结果，发现信息系统中的安全隐患和薄弱环节，并进行安全整改，消除安全隐患和漏洞。</w:t>
      </w:r>
    </w:p>
    <w:p>
      <w:pPr>
        <w:spacing w:line="560" w:lineRule="exact"/>
        <w:rPr>
          <w:rFonts w:hint="eastAsia" w:ascii="仿宋" w:hAnsi="仿宋" w:eastAsia="仿宋"/>
        </w:rPr>
      </w:pPr>
      <w:r>
        <w:rPr>
          <w:rFonts w:hint="eastAsia" w:ascii="仿宋" w:hAnsi="仿宋" w:eastAsia="仿宋"/>
        </w:rPr>
        <w:t>本项目是对三个市级机关集中办公点的智能安防系统进行升级改造，解决现有系统问题，如安全泄露和病毒入侵等，满足XC、管理和等保要求。</w:t>
      </w:r>
    </w:p>
    <w:p>
      <w:pPr>
        <w:spacing w:line="560" w:lineRule="exact"/>
        <w:rPr>
          <w:rFonts w:hint="eastAsia" w:ascii="仿宋" w:hAnsi="仿宋" w:eastAsia="仿宋"/>
        </w:rPr>
      </w:pPr>
      <w:r>
        <w:rPr>
          <w:rFonts w:hint="eastAsia" w:ascii="仿宋" w:hAnsi="仿宋" w:eastAsia="仿宋"/>
        </w:rPr>
        <w:t>通过综合安防系统智联平台，为市级机关集中办公点的人员管理工作和决策提供全面、精准、科学的数据依据，为市级机关集中办公点提供安全、高效、便捷的机关后勤服务，从而全面提升市级机关集中办公点的安全保障和人员管理水平。</w:t>
      </w:r>
    </w:p>
    <w:p>
      <w:pPr>
        <w:spacing w:line="560" w:lineRule="exact"/>
        <w:rPr>
          <w:rFonts w:hint="eastAsia" w:ascii="仿宋" w:hAnsi="仿宋" w:eastAsia="仿宋"/>
        </w:rPr>
      </w:pPr>
      <w:r>
        <w:rPr>
          <w:rFonts w:hint="eastAsia" w:ascii="仿宋" w:hAnsi="仿宋" w:eastAsia="仿宋"/>
        </w:rPr>
        <w:t>建设期限：自合同签订之日起6个月内完成项目建设和验收工作。</w:t>
      </w:r>
    </w:p>
    <w:p>
      <w:pPr>
        <w:spacing w:line="560" w:lineRule="exact"/>
        <w:rPr>
          <w:rFonts w:hint="eastAsia" w:ascii="仿宋" w:hAnsi="仿宋" w:eastAsia="仿宋"/>
        </w:rPr>
      </w:pPr>
      <w:r>
        <w:rPr>
          <w:rFonts w:hint="eastAsia" w:ascii="仿宋" w:hAnsi="仿宋" w:eastAsia="仿宋"/>
        </w:rPr>
        <w:t>建设地点：大沽路100号、人民大道200号、世博村路300号。</w:t>
      </w:r>
    </w:p>
    <w:p>
      <w:pPr>
        <w:spacing w:line="560" w:lineRule="exact"/>
        <w:rPr>
          <w:rFonts w:hint="eastAsia" w:ascii="仿宋" w:hAnsi="仿宋" w:eastAsia="仿宋"/>
        </w:rPr>
      </w:pPr>
      <w:r>
        <w:rPr>
          <w:rFonts w:hint="eastAsia" w:ascii="仿宋" w:hAnsi="仿宋" w:eastAsia="仿宋"/>
        </w:rPr>
        <w:t>预算金额：1213006元</w:t>
      </w:r>
    </w:p>
    <w:p>
      <w:pPr>
        <w:spacing w:line="560" w:lineRule="exact"/>
        <w:rPr>
          <w:rFonts w:hint="eastAsia" w:ascii="仿宋" w:hAnsi="仿宋" w:eastAsia="仿宋"/>
        </w:rPr>
      </w:pPr>
      <w:r>
        <w:rPr>
          <w:rFonts w:hint="eastAsia" w:ascii="仿宋" w:hAnsi="仿宋" w:eastAsia="仿宋"/>
        </w:rPr>
        <w:t>采购金额（最高限价）：1213006元</w:t>
      </w:r>
    </w:p>
    <w:p>
      <w:pPr>
        <w:rPr>
          <w:rFonts w:hint="eastAsia" w:ascii="仿宋" w:hAnsi="仿宋" w:eastAsia="仿宋"/>
        </w:rPr>
      </w:pPr>
      <w:r>
        <w:rPr>
          <w:rFonts w:hint="eastAsia" w:ascii="仿宋" w:hAnsi="仿宋" w:eastAsia="仿宋"/>
        </w:rPr>
        <w:t>组织形式：</w:t>
      </w:r>
      <w:r>
        <w:rPr>
          <w:rFonts w:hint="eastAsia" w:ascii="仿宋" w:hAnsi="仿宋" w:eastAsia="仿宋"/>
          <w:highlight w:val="yellow"/>
        </w:rPr>
        <w:t>集中采购</w:t>
      </w:r>
    </w:p>
    <w:p>
      <w:pPr>
        <w:rPr>
          <w:rFonts w:hint="eastAsia" w:ascii="仿宋" w:hAnsi="仿宋" w:eastAsia="仿宋"/>
        </w:rPr>
      </w:pPr>
      <w:r>
        <w:rPr>
          <w:rFonts w:hint="eastAsia" w:ascii="仿宋" w:hAnsi="仿宋" w:eastAsia="仿宋"/>
        </w:rPr>
        <w:t>采购方式：</w:t>
      </w:r>
      <w:r>
        <w:rPr>
          <w:rFonts w:hint="eastAsia" w:ascii="仿宋" w:hAnsi="仿宋" w:eastAsia="仿宋"/>
          <w:highlight w:val="yellow"/>
        </w:rPr>
        <w:t>竞争性磋商</w:t>
      </w:r>
    </w:p>
    <w:p>
      <w:pPr>
        <w:rPr>
          <w:rFonts w:hint="eastAsia" w:ascii="仿宋" w:hAnsi="仿宋" w:eastAsia="仿宋"/>
        </w:rPr>
      </w:pPr>
      <w:r>
        <w:rPr>
          <w:rFonts w:hint="eastAsia" w:ascii="仿宋" w:hAnsi="仿宋" w:eastAsia="仿宋"/>
        </w:rPr>
        <w:t>是否接受联合体响应：否</w:t>
      </w:r>
    </w:p>
    <w:p>
      <w:pPr>
        <w:rPr>
          <w:rFonts w:hint="eastAsia" w:ascii="仿宋" w:hAnsi="仿宋" w:eastAsia="仿宋"/>
        </w:rPr>
      </w:pPr>
      <w:r>
        <w:rPr>
          <w:rFonts w:ascii="仿宋" w:hAnsi="仿宋" w:eastAsia="仿宋"/>
        </w:rPr>
        <w:t>是否按信创要求建设：</w:t>
      </w:r>
      <w:r>
        <w:rPr>
          <w:rFonts w:hint="eastAsia" w:ascii="仿宋" w:hAnsi="仿宋" w:eastAsia="仿宋"/>
        </w:rPr>
        <w:t>是</w:t>
      </w:r>
    </w:p>
    <w:p>
      <w:pPr>
        <w:rPr>
          <w:rFonts w:hint="eastAsia" w:ascii="仿宋" w:hAnsi="仿宋" w:eastAsia="仿宋"/>
        </w:rPr>
      </w:pPr>
      <w:r>
        <w:rPr>
          <w:rFonts w:hint="eastAsia" w:ascii="仿宋" w:hAnsi="仿宋" w:eastAsia="仿宋"/>
        </w:rPr>
        <w:t>运维后所属大系统：市级机关集中办公点安全保卫信息化系统</w:t>
      </w:r>
    </w:p>
    <w:p>
      <w:pPr>
        <w:pStyle w:val="2"/>
        <w:rPr>
          <w:rFonts w:hint="eastAsia"/>
        </w:rPr>
      </w:pPr>
      <w:bookmarkStart w:id="1" w:name="_Toc47532255"/>
      <w:bookmarkEnd w:id="1"/>
      <w:bookmarkStart w:id="2" w:name="_Toc47537134"/>
      <w:bookmarkEnd w:id="2"/>
      <w:bookmarkStart w:id="3" w:name="_Toc47539070"/>
      <w:bookmarkEnd w:id="3"/>
      <w:bookmarkStart w:id="4" w:name="_Toc47531634"/>
      <w:bookmarkEnd w:id="4"/>
      <w:bookmarkStart w:id="5" w:name="_Toc47536644"/>
      <w:bookmarkEnd w:id="5"/>
      <w:bookmarkStart w:id="6" w:name="_Toc47536272"/>
      <w:bookmarkEnd w:id="6"/>
      <w:bookmarkStart w:id="7" w:name="_Toc47532891"/>
      <w:bookmarkEnd w:id="7"/>
      <w:bookmarkStart w:id="8" w:name="_Toc47533256"/>
      <w:bookmarkEnd w:id="8"/>
      <w:bookmarkStart w:id="9" w:name="_Toc63785463"/>
      <w:bookmarkStart w:id="10" w:name="_Toc48223882"/>
      <w:r>
        <w:rPr>
          <w:rFonts w:hint="eastAsia"/>
        </w:rPr>
        <w:t>建设目标</w:t>
      </w:r>
      <w:bookmarkEnd w:id="9"/>
      <w:bookmarkEnd w:id="10"/>
    </w:p>
    <w:p>
      <w:pPr>
        <w:ind w:firstLine="602"/>
        <w:rPr>
          <w:rFonts w:hint="eastAsia" w:ascii="仿宋" w:hAnsi="仿宋" w:eastAsia="仿宋"/>
          <w:b/>
          <w:bCs/>
          <w:sz w:val="30"/>
          <w:szCs w:val="32"/>
        </w:rPr>
      </w:pPr>
      <w:r>
        <w:rPr>
          <w:rFonts w:ascii="仿宋" w:hAnsi="仿宋" w:eastAsia="仿宋"/>
          <w:b/>
          <w:bCs/>
          <w:sz w:val="30"/>
          <w:szCs w:val="32"/>
        </w:rPr>
        <w:t>2.1</w:t>
      </w:r>
      <w:r>
        <w:rPr>
          <w:rFonts w:hint="eastAsia" w:ascii="仿宋" w:hAnsi="仿宋" w:eastAsia="仿宋"/>
          <w:b/>
          <w:bCs/>
          <w:sz w:val="30"/>
          <w:szCs w:val="32"/>
        </w:rPr>
        <w:t>、建设目标</w:t>
      </w:r>
    </w:p>
    <w:p>
      <w:pPr>
        <w:spacing w:line="560" w:lineRule="exact"/>
        <w:rPr>
          <w:rFonts w:hint="eastAsia" w:ascii="仿宋" w:hAnsi="仿宋" w:eastAsia="仿宋"/>
        </w:rPr>
      </w:pPr>
      <w:r>
        <w:rPr>
          <w:rFonts w:hint="eastAsia" w:ascii="仿宋" w:hAnsi="仿宋" w:eastAsia="仿宋"/>
        </w:rPr>
        <w:t>本项目建设是积极响应数字化政府发展趋势，适应信息系统整合和现代技术创新发展趋势，基于市级机关集中办公点智能安防系统系统安全的实际需要，对三个集中办公点（大沽路100号、人民大道200号、世博村路300号）现有硬件和软件进行升级改造，旨在解决现在智能安防系统应用程序转发的安全泄露、病毒入侵等问题，参照网络三级安全等级保护要求。进一步升级现有系统功能，利用人脸识别、监控预警等技术手段，提高工作效率、优化资源配置、提升服务质量，整体提高市级机关安全管理水平。</w:t>
      </w:r>
    </w:p>
    <w:p>
      <w:pPr>
        <w:ind w:firstLine="602"/>
        <w:rPr>
          <w:rFonts w:hint="eastAsia" w:ascii="仿宋" w:hAnsi="仿宋" w:eastAsia="仿宋"/>
          <w:b/>
          <w:bCs/>
          <w:sz w:val="30"/>
          <w:szCs w:val="32"/>
        </w:rPr>
      </w:pPr>
      <w:bookmarkStart w:id="11" w:name="_Toc12041"/>
      <w:r>
        <w:rPr>
          <w:rFonts w:hint="eastAsia" w:ascii="仿宋" w:hAnsi="仿宋" w:eastAsia="仿宋"/>
          <w:b/>
          <w:bCs/>
          <w:sz w:val="30"/>
          <w:szCs w:val="32"/>
        </w:rPr>
        <w:t>2.2、业务绩效考核目标</w:t>
      </w:r>
      <w:bookmarkEnd w:id="11"/>
    </w:p>
    <w:p>
      <w:pPr>
        <w:spacing w:before="190" w:after="190"/>
        <w:rPr>
          <w:rFonts w:hint="eastAsia" w:ascii="仿宋" w:hAnsi="仿宋" w:eastAsia="仿宋"/>
        </w:rPr>
      </w:pPr>
      <w:r>
        <w:rPr>
          <w:rFonts w:hint="eastAsia" w:ascii="仿宋" w:hAnsi="仿宋" w:eastAsia="仿宋"/>
        </w:rPr>
        <w:t>本项目建成后业务绩效考核目标须满足以下指标：</w:t>
      </w:r>
    </w:p>
    <w:p>
      <w:pPr>
        <w:pStyle w:val="134"/>
        <w:spacing w:before="156" w:after="156"/>
        <w:ind w:firstLine="360"/>
      </w:pPr>
      <w:r>
        <w:rPr>
          <w:rFonts w:hint="eastAsia"/>
        </w:rPr>
        <w:t>业务绩效考核指标参数表</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6"/>
        <w:gridCol w:w="1096"/>
        <w:gridCol w:w="1096"/>
        <w:gridCol w:w="1976"/>
        <w:gridCol w:w="1976"/>
        <w:gridCol w:w="13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tblHeader/>
          <w:jc w:val="center"/>
        </w:trPr>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序号</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一级指标</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二级指标</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三级指标</w:t>
            </w:r>
          </w:p>
        </w:tc>
        <w:tc>
          <w:tcPr>
            <w:tcW w:w="0" w:type="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四级指标</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1</w:t>
            </w:r>
          </w:p>
        </w:tc>
        <w:tc>
          <w:tcPr>
            <w:tcW w:w="0" w:type="auto"/>
            <w:vMerge w:val="restart"/>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通用指标</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产出指标</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产出质量</w:t>
            </w:r>
          </w:p>
        </w:tc>
        <w:tc>
          <w:tcPr>
            <w:tcW w:w="0" w:type="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一次性验收合格率</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２</w:t>
            </w:r>
          </w:p>
        </w:tc>
        <w:tc>
          <w:tcPr>
            <w:tcW w:w="0" w:type="auto"/>
            <w:vMerge w:val="continue"/>
            <w:shd w:val="clear" w:color="auto" w:fill="auto"/>
            <w:vAlign w:val="center"/>
          </w:tcPr>
          <w:p>
            <w:pPr>
              <w:pStyle w:val="135"/>
              <w:widowControl w:val="0"/>
              <w:jc w:val="center"/>
              <w:rPr>
                <w:rFonts w:hint="eastAsia" w:ascii="仿宋" w:hAnsi="仿宋" w:cs="仿宋"/>
                <w:sz w:val="22"/>
                <w:szCs w:val="22"/>
              </w:rPr>
            </w:pP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产出指标</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产出时效</w:t>
            </w:r>
          </w:p>
        </w:tc>
        <w:tc>
          <w:tcPr>
            <w:tcW w:w="0" w:type="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项目建设周期</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6个月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３</w:t>
            </w:r>
          </w:p>
        </w:tc>
        <w:tc>
          <w:tcPr>
            <w:tcW w:w="0" w:type="auto"/>
            <w:vMerge w:val="continue"/>
            <w:shd w:val="clear" w:color="auto" w:fill="auto"/>
            <w:vAlign w:val="center"/>
          </w:tcPr>
          <w:p>
            <w:pPr>
              <w:pStyle w:val="135"/>
              <w:widowControl w:val="0"/>
              <w:jc w:val="center"/>
              <w:rPr>
                <w:rFonts w:hint="eastAsia" w:ascii="仿宋" w:hAnsi="仿宋" w:cs="仿宋"/>
                <w:sz w:val="22"/>
                <w:szCs w:val="22"/>
              </w:rPr>
            </w:pP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共性平台</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平台整合能力</w:t>
            </w:r>
          </w:p>
        </w:tc>
        <w:tc>
          <w:tcPr>
            <w:tcW w:w="0" w:type="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集约化程度</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约3个系统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４</w:t>
            </w:r>
          </w:p>
        </w:tc>
        <w:tc>
          <w:tcPr>
            <w:tcW w:w="0" w:type="auto"/>
            <w:vMerge w:val="continue"/>
            <w:shd w:val="clear" w:color="auto" w:fill="auto"/>
            <w:vAlign w:val="center"/>
          </w:tcPr>
          <w:p>
            <w:pPr>
              <w:pStyle w:val="135"/>
              <w:widowControl w:val="0"/>
              <w:jc w:val="center"/>
              <w:rPr>
                <w:rFonts w:hint="eastAsia" w:ascii="仿宋" w:hAnsi="仿宋" w:cs="仿宋"/>
                <w:sz w:val="22"/>
                <w:szCs w:val="22"/>
              </w:rPr>
            </w:pP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应用系统</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基础数据共性水平</w:t>
            </w:r>
          </w:p>
        </w:tc>
        <w:tc>
          <w:tcPr>
            <w:tcW w:w="0" w:type="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数据准确率</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５</w:t>
            </w:r>
          </w:p>
        </w:tc>
        <w:tc>
          <w:tcPr>
            <w:tcW w:w="0" w:type="auto"/>
            <w:vMerge w:val="continue"/>
            <w:shd w:val="clear" w:color="auto" w:fill="auto"/>
            <w:vAlign w:val="center"/>
          </w:tcPr>
          <w:p>
            <w:pPr>
              <w:pStyle w:val="135"/>
              <w:widowControl w:val="0"/>
              <w:jc w:val="center"/>
              <w:rPr>
                <w:rFonts w:hint="eastAsia" w:ascii="仿宋" w:hAnsi="仿宋" w:cs="仿宋"/>
                <w:sz w:val="22"/>
                <w:szCs w:val="22"/>
              </w:rPr>
            </w:pP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安全体系</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安全建设水平</w:t>
            </w:r>
          </w:p>
        </w:tc>
        <w:tc>
          <w:tcPr>
            <w:tcW w:w="0" w:type="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数据安全措施</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６</w:t>
            </w:r>
          </w:p>
        </w:tc>
        <w:tc>
          <w:tcPr>
            <w:tcW w:w="0" w:type="auto"/>
            <w:vMerge w:val="continue"/>
            <w:shd w:val="clear" w:color="auto" w:fill="auto"/>
            <w:vAlign w:val="center"/>
          </w:tcPr>
          <w:p>
            <w:pPr>
              <w:pStyle w:val="135"/>
              <w:widowControl w:val="0"/>
              <w:jc w:val="center"/>
              <w:rPr>
                <w:rFonts w:hint="eastAsia" w:ascii="仿宋" w:hAnsi="仿宋" w:cs="仿宋"/>
                <w:sz w:val="22"/>
                <w:szCs w:val="22"/>
              </w:rPr>
            </w:pP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安全体系</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安全建设水平</w:t>
            </w:r>
          </w:p>
        </w:tc>
        <w:tc>
          <w:tcPr>
            <w:tcW w:w="0" w:type="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系统安全措施</w:t>
            </w:r>
          </w:p>
        </w:tc>
        <w:tc>
          <w:tcPr>
            <w:tcW w:w="0" w:type="auto"/>
            <w:shd w:val="clear" w:color="auto" w:fill="auto"/>
            <w:vAlign w:val="center"/>
          </w:tcPr>
          <w:p>
            <w:pPr>
              <w:pStyle w:val="135"/>
              <w:widowControl w:val="0"/>
              <w:jc w:val="center"/>
              <w:rPr>
                <w:rFonts w:hint="eastAsia" w:ascii="仿宋" w:hAnsi="仿宋" w:cs="仿宋"/>
                <w:sz w:val="22"/>
                <w:szCs w:val="22"/>
              </w:rPr>
            </w:pPr>
            <w:r>
              <w:rPr>
                <w:rFonts w:hint="eastAsia" w:ascii="仿宋" w:hAnsi="仿宋" w:cs="仿宋"/>
                <w:sz w:val="22"/>
                <w:szCs w:val="22"/>
              </w:rPr>
              <w:t>有</w:t>
            </w:r>
          </w:p>
        </w:tc>
      </w:tr>
    </w:tbl>
    <w:p>
      <w:pPr>
        <w:rPr>
          <w:rFonts w:hint="eastAsia"/>
        </w:rPr>
      </w:pPr>
    </w:p>
    <w:p>
      <w:pPr>
        <w:ind w:firstLine="602"/>
        <w:rPr>
          <w:rFonts w:hint="eastAsia" w:ascii="仿宋" w:hAnsi="仿宋" w:eastAsia="仿宋"/>
          <w:b/>
          <w:bCs/>
          <w:sz w:val="30"/>
          <w:szCs w:val="32"/>
        </w:rPr>
      </w:pPr>
      <w:bookmarkStart w:id="12" w:name="_Toc22967"/>
      <w:r>
        <w:rPr>
          <w:rFonts w:hint="eastAsia" w:ascii="仿宋" w:hAnsi="仿宋" w:eastAsia="仿宋"/>
          <w:b/>
          <w:bCs/>
          <w:sz w:val="30"/>
          <w:szCs w:val="32"/>
        </w:rPr>
        <w:t>2.3 技术绩效考核目标</w:t>
      </w:r>
      <w:bookmarkEnd w:id="12"/>
    </w:p>
    <w:p>
      <w:pPr>
        <w:pStyle w:val="134"/>
        <w:spacing w:before="156" w:after="156"/>
        <w:ind w:firstLine="360"/>
      </w:pPr>
      <w:r>
        <w:t>技术</w:t>
      </w:r>
      <w:r>
        <w:rPr>
          <w:rFonts w:hint="eastAsia"/>
        </w:rPr>
        <w:t>绩效考核指标参数表</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16"/>
        <w:gridCol w:w="1016"/>
        <w:gridCol w:w="1016"/>
        <w:gridCol w:w="1416"/>
        <w:gridCol w:w="2416"/>
        <w:gridCol w:w="18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tblHeader/>
          <w:jc w:val="center"/>
        </w:trPr>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序号</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一级指标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二级指标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三级指标</w:t>
            </w:r>
          </w:p>
        </w:tc>
        <w:tc>
          <w:tcPr>
            <w:tcW w:w="0" w:type="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四级指标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指标值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1</w:t>
            </w:r>
          </w:p>
        </w:tc>
        <w:tc>
          <w:tcPr>
            <w:tcW w:w="0" w:type="auto"/>
            <w:vMerge w:val="restart"/>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通用指标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产出数量</w:t>
            </w:r>
          </w:p>
        </w:tc>
        <w:tc>
          <w:tcPr>
            <w:tcW w:w="0" w:type="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软件开发完成率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2</w:t>
            </w:r>
          </w:p>
        </w:tc>
        <w:tc>
          <w:tcPr>
            <w:tcW w:w="0" w:type="auto"/>
            <w:vMerge w:val="continue"/>
            <w:shd w:val="clear" w:color="auto" w:fill="auto"/>
            <w:vAlign w:val="center"/>
          </w:tcPr>
          <w:p>
            <w:pPr>
              <w:pStyle w:val="135"/>
              <w:widowControl w:val="0"/>
              <w:jc w:val="center"/>
              <w:rPr>
                <w:rFonts w:hint="eastAsia" w:ascii="仿宋" w:hAnsi="仿宋" w:cs="仿宋"/>
                <w:sz w:val="20"/>
                <w:szCs w:val="20"/>
              </w:rPr>
            </w:pP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产出数量</w:t>
            </w:r>
          </w:p>
        </w:tc>
        <w:tc>
          <w:tcPr>
            <w:tcW w:w="0" w:type="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系统可靠性</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3</w:t>
            </w:r>
          </w:p>
        </w:tc>
        <w:tc>
          <w:tcPr>
            <w:tcW w:w="0" w:type="auto"/>
            <w:vMerge w:val="continue"/>
            <w:shd w:val="clear" w:color="auto" w:fill="auto"/>
            <w:vAlign w:val="center"/>
          </w:tcPr>
          <w:p>
            <w:pPr>
              <w:pStyle w:val="135"/>
              <w:widowControl w:val="0"/>
              <w:jc w:val="center"/>
              <w:rPr>
                <w:rFonts w:hint="eastAsia" w:ascii="仿宋" w:hAnsi="仿宋" w:cs="仿宋"/>
                <w:sz w:val="20"/>
                <w:szCs w:val="20"/>
              </w:rPr>
            </w:pP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产出质量</w:t>
            </w:r>
          </w:p>
        </w:tc>
        <w:tc>
          <w:tcPr>
            <w:tcW w:w="0" w:type="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网络安全等级达标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达到三级等保标准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4</w:t>
            </w:r>
          </w:p>
        </w:tc>
        <w:tc>
          <w:tcPr>
            <w:tcW w:w="0" w:type="auto"/>
            <w:vMerge w:val="continue"/>
            <w:shd w:val="clear" w:color="auto" w:fill="auto"/>
            <w:vAlign w:val="center"/>
          </w:tcPr>
          <w:p>
            <w:pPr>
              <w:pStyle w:val="135"/>
              <w:widowControl w:val="0"/>
              <w:jc w:val="center"/>
              <w:rPr>
                <w:rFonts w:hint="eastAsia" w:ascii="仿宋" w:hAnsi="仿宋" w:cs="仿宋"/>
                <w:sz w:val="20"/>
                <w:szCs w:val="20"/>
              </w:rPr>
            </w:pP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产出质量</w:t>
            </w:r>
          </w:p>
        </w:tc>
        <w:tc>
          <w:tcPr>
            <w:tcW w:w="0" w:type="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软件测试达标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通过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5</w:t>
            </w:r>
          </w:p>
        </w:tc>
        <w:tc>
          <w:tcPr>
            <w:tcW w:w="0" w:type="auto"/>
            <w:vMerge w:val="continue"/>
            <w:shd w:val="clear" w:color="auto" w:fill="auto"/>
            <w:vAlign w:val="center"/>
          </w:tcPr>
          <w:p>
            <w:pPr>
              <w:pStyle w:val="135"/>
              <w:widowControl w:val="0"/>
              <w:jc w:val="center"/>
              <w:rPr>
                <w:rFonts w:hint="eastAsia" w:ascii="仿宋" w:hAnsi="仿宋" w:cs="仿宋"/>
                <w:sz w:val="20"/>
                <w:szCs w:val="20"/>
              </w:rPr>
            </w:pP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产出质量</w:t>
            </w:r>
          </w:p>
        </w:tc>
        <w:tc>
          <w:tcPr>
            <w:tcW w:w="0" w:type="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密码测试达标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通过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6</w:t>
            </w:r>
          </w:p>
        </w:tc>
        <w:tc>
          <w:tcPr>
            <w:tcW w:w="0" w:type="auto"/>
            <w:vMerge w:val="continue"/>
            <w:shd w:val="clear" w:color="auto" w:fill="auto"/>
            <w:vAlign w:val="center"/>
          </w:tcPr>
          <w:p>
            <w:pPr>
              <w:pStyle w:val="135"/>
              <w:widowControl w:val="0"/>
              <w:jc w:val="center"/>
              <w:rPr>
                <w:rFonts w:hint="eastAsia" w:ascii="仿宋" w:hAnsi="仿宋" w:cs="仿宋"/>
                <w:sz w:val="20"/>
                <w:szCs w:val="20"/>
              </w:rPr>
            </w:pP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产出指标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产出质量</w:t>
            </w:r>
          </w:p>
        </w:tc>
        <w:tc>
          <w:tcPr>
            <w:tcW w:w="0" w:type="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安全测试达标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通过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jc w:val="center"/>
        </w:trPr>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7</w:t>
            </w:r>
          </w:p>
        </w:tc>
        <w:tc>
          <w:tcPr>
            <w:tcW w:w="0" w:type="auto"/>
            <w:vMerge w:val="continue"/>
            <w:shd w:val="clear" w:color="auto" w:fill="auto"/>
            <w:vAlign w:val="center"/>
          </w:tcPr>
          <w:p>
            <w:pPr>
              <w:pStyle w:val="135"/>
              <w:widowControl w:val="0"/>
              <w:jc w:val="center"/>
              <w:rPr>
                <w:rFonts w:hint="eastAsia" w:ascii="仿宋" w:hAnsi="仿宋" w:cs="仿宋"/>
                <w:sz w:val="20"/>
                <w:szCs w:val="20"/>
              </w:rPr>
            </w:pP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安全体系</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安全建设水平</w:t>
            </w:r>
          </w:p>
        </w:tc>
        <w:tc>
          <w:tcPr>
            <w:tcW w:w="0" w:type="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信息系统安全监管覆盖率</w:t>
            </w:r>
          </w:p>
        </w:tc>
        <w:tc>
          <w:tcPr>
            <w:tcW w:w="0" w:type="auto"/>
            <w:shd w:val="clear" w:color="auto" w:fill="auto"/>
            <w:vAlign w:val="center"/>
          </w:tcPr>
          <w:p>
            <w:pPr>
              <w:pStyle w:val="135"/>
              <w:widowControl w:val="0"/>
              <w:jc w:val="center"/>
              <w:rPr>
                <w:rFonts w:hint="eastAsia" w:ascii="仿宋" w:hAnsi="仿宋" w:cs="仿宋"/>
                <w:sz w:val="20"/>
                <w:szCs w:val="20"/>
              </w:rPr>
            </w:pPr>
            <w:r>
              <w:rPr>
                <w:rFonts w:hint="eastAsia" w:ascii="仿宋" w:hAnsi="仿宋" w:cs="仿宋"/>
                <w:sz w:val="20"/>
                <w:szCs w:val="20"/>
              </w:rPr>
              <w:t>100%</w:t>
            </w:r>
          </w:p>
        </w:tc>
      </w:tr>
    </w:tbl>
    <w:p>
      <w:pPr>
        <w:spacing w:line="560" w:lineRule="exact"/>
        <w:ind w:firstLine="0" w:firstLineChars="0"/>
        <w:rPr>
          <w:rFonts w:hint="eastAsia"/>
        </w:rPr>
      </w:pPr>
    </w:p>
    <w:p>
      <w:pPr>
        <w:pStyle w:val="2"/>
        <w:rPr>
          <w:rFonts w:hint="eastAsia"/>
        </w:rPr>
      </w:pPr>
      <w:bookmarkStart w:id="13" w:name="_Toc47532923"/>
      <w:bookmarkEnd w:id="13"/>
      <w:bookmarkStart w:id="14" w:name="_Toc47533288"/>
      <w:bookmarkEnd w:id="14"/>
      <w:bookmarkStart w:id="15" w:name="_Toc47539102"/>
      <w:bookmarkEnd w:id="15"/>
      <w:bookmarkStart w:id="16" w:name="_Toc47536304"/>
      <w:bookmarkEnd w:id="16"/>
      <w:bookmarkStart w:id="17" w:name="_Toc47536676"/>
      <w:bookmarkEnd w:id="17"/>
      <w:bookmarkStart w:id="18" w:name="_Toc47537166"/>
      <w:bookmarkEnd w:id="18"/>
      <w:r>
        <w:rPr>
          <w:rFonts w:hint="eastAsia"/>
        </w:rPr>
        <w:t>项目建设内容</w:t>
      </w:r>
    </w:p>
    <w:p>
      <w:pPr>
        <w:pStyle w:val="3"/>
        <w:ind w:left="480" w:leftChars="200" w:right="240"/>
        <w:rPr>
          <w:rFonts w:hint="eastAsia" w:ascii="仿宋" w:hAnsi="仿宋" w:eastAsia="仿宋"/>
        </w:rPr>
      </w:pPr>
      <w:r>
        <w:rPr>
          <w:rFonts w:hint="eastAsia" w:ascii="仿宋" w:hAnsi="仿宋" w:eastAsia="仿宋"/>
        </w:rPr>
        <w:t>总体架构</w:t>
      </w:r>
    </w:p>
    <w:p>
      <w:pPr>
        <w:pStyle w:val="136"/>
        <w:ind w:firstLine="480"/>
        <w:rPr>
          <w:rFonts w:hint="eastAsia" w:cs="仿宋"/>
          <w:sz w:val="24"/>
          <w:szCs w:val="24"/>
        </w:rPr>
      </w:pPr>
      <w:r>
        <w:rPr>
          <w:rFonts w:hint="eastAsia" w:cs="仿宋"/>
          <w:sz w:val="24"/>
          <w:szCs w:val="24"/>
        </w:rPr>
        <w:t>本项目应用架构主要针对现有的</w:t>
      </w:r>
      <w:r>
        <w:rPr>
          <w:rFonts w:hint="eastAsia" w:cs="仿宋"/>
          <w:b/>
          <w:bCs/>
          <w:sz w:val="24"/>
          <w:szCs w:val="24"/>
        </w:rPr>
        <w:t>市级机关集中办公点智能安防系统</w:t>
      </w:r>
      <w:r>
        <w:rPr>
          <w:rFonts w:hint="eastAsia" w:cs="仿宋"/>
          <w:sz w:val="24"/>
          <w:szCs w:val="24"/>
        </w:rPr>
        <w:t>的接口端的转发服务进行XC功能升级改造。应用架构图如下：</w:t>
      </w:r>
    </w:p>
    <w:p>
      <w:pPr>
        <w:pStyle w:val="139"/>
        <w:ind w:firstLine="0" w:firstLineChars="0"/>
        <w:jc w:val="center"/>
        <w:rPr>
          <w:rFonts w:hint="eastAsia" w:ascii="仿宋" w:hAnsi="仿宋" w:eastAsia="仿宋" w:cs="仿宋"/>
          <w:sz w:val="28"/>
          <w:szCs w:val="28"/>
          <w:lang w:eastAsia="zh-CN"/>
        </w:rPr>
      </w:pPr>
      <w:r>
        <w:rPr>
          <w:rFonts w:hint="eastAsia" w:ascii="仿宋" w:hAnsi="仿宋" w:eastAsia="仿宋" w:cs="仿宋"/>
        </w:rPr>
        <w:drawing>
          <wp:inline distT="0" distB="0" distL="114300" distR="114300">
            <wp:extent cx="4208145" cy="2735580"/>
            <wp:effectExtent l="0" t="0" r="0" b="0"/>
            <wp:docPr id="16767080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08057"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14523" cy="2739556"/>
                    </a:xfrm>
                    <a:prstGeom prst="rect">
                      <a:avLst/>
                    </a:prstGeom>
                    <a:noFill/>
                    <a:ln>
                      <a:noFill/>
                    </a:ln>
                  </pic:spPr>
                </pic:pic>
              </a:graphicData>
            </a:graphic>
          </wp:inline>
        </w:drawing>
      </w:r>
    </w:p>
    <w:p>
      <w:pPr>
        <w:pStyle w:val="3"/>
        <w:ind w:left="480" w:leftChars="200"/>
        <w:rPr>
          <w:rFonts w:hint="eastAsia" w:ascii="仿宋" w:hAnsi="仿宋" w:eastAsia="仿宋"/>
        </w:rPr>
      </w:pPr>
      <w:r>
        <w:rPr>
          <w:rFonts w:hint="eastAsia" w:ascii="仿宋" w:hAnsi="仿宋" w:eastAsia="仿宋"/>
        </w:rPr>
        <w:t>软件开发清单</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994"/>
        <w:gridCol w:w="1994"/>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776" w:type="pct"/>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169" w:type="pct"/>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应用系统名称</w:t>
            </w:r>
          </w:p>
        </w:tc>
        <w:tc>
          <w:tcPr>
            <w:tcW w:w="1169" w:type="pct"/>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模块名称</w:t>
            </w:r>
          </w:p>
        </w:tc>
        <w:tc>
          <w:tcPr>
            <w:tcW w:w="1886" w:type="pct"/>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169" w:type="pct"/>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市级机关集中办公点智能安防系统</w:t>
            </w:r>
          </w:p>
        </w:tc>
        <w:tc>
          <w:tcPr>
            <w:tcW w:w="1169"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人员、车辆智能访客管理模块-服务端数据转发程序</w:t>
            </w:r>
          </w:p>
        </w:tc>
        <w:tc>
          <w:tcPr>
            <w:tcW w:w="188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出入口设备管理服务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人证对比服务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设备状态监控服务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1169" w:type="pct"/>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市级机关集中办公点智能安防系统</w:t>
            </w:r>
          </w:p>
        </w:tc>
        <w:tc>
          <w:tcPr>
            <w:tcW w:w="1169"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综合安防系统智联平台-军警民三方视频语音通讯模块</w:t>
            </w:r>
          </w:p>
        </w:tc>
        <w:tc>
          <w:tcPr>
            <w:tcW w:w="188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安防视频取流服务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军警民三方视频语音通讯服务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169" w:type="pct"/>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市级机关集中办公点智能安防系统</w:t>
            </w:r>
          </w:p>
        </w:tc>
        <w:tc>
          <w:tcPr>
            <w:tcW w:w="1169"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综合安防系统智联平台-服务端数据转发程序</w:t>
            </w:r>
          </w:p>
        </w:tc>
        <w:tc>
          <w:tcPr>
            <w:tcW w:w="188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公安背景审查服务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报警录像服务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人员轨迹查询服务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169" w:type="pct"/>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市级机关集中办公点智能安防系统</w:t>
            </w:r>
          </w:p>
        </w:tc>
        <w:tc>
          <w:tcPr>
            <w:tcW w:w="1169"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综合安防系统智联平台-服务端数据转发程序</w:t>
            </w:r>
          </w:p>
        </w:tc>
        <w:tc>
          <w:tcPr>
            <w:tcW w:w="188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周界报警接口服务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阻车桩接口服务</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人员聚集报警接口服务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1169" w:type="pct"/>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市级机关集中办公点智能安防系统</w:t>
            </w:r>
          </w:p>
        </w:tc>
        <w:tc>
          <w:tcPr>
            <w:tcW w:w="1169"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车库(场)安防联动平台-服务端数据转发程序</w:t>
            </w:r>
          </w:p>
        </w:tc>
        <w:tc>
          <w:tcPr>
            <w:tcW w:w="188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停车位监控服务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169" w:type="pct"/>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市级机关集中办公点智能安防系统</w:t>
            </w:r>
          </w:p>
        </w:tc>
        <w:tc>
          <w:tcPr>
            <w:tcW w:w="1169"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车证牌系统管理模块-服务端数据转发程序</w:t>
            </w:r>
          </w:p>
        </w:tc>
        <w:tc>
          <w:tcPr>
            <w:tcW w:w="188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车场库数据网关服务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7</w:t>
            </w:r>
          </w:p>
        </w:tc>
        <w:tc>
          <w:tcPr>
            <w:tcW w:w="1169" w:type="pct"/>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市级机关集中办公点智能安防系统</w:t>
            </w:r>
          </w:p>
        </w:tc>
        <w:tc>
          <w:tcPr>
            <w:tcW w:w="1169"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门禁管理模块-服务端数据转发程序</w:t>
            </w:r>
          </w:p>
        </w:tc>
        <w:tc>
          <w:tcPr>
            <w:tcW w:w="188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门禁设备管理服务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7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1169" w:type="pct"/>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市级机关集中办公点智能安防系统</w:t>
            </w:r>
          </w:p>
        </w:tc>
        <w:tc>
          <w:tcPr>
            <w:tcW w:w="1169"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消防物联网模块-服务端数据转发程序</w:t>
            </w:r>
          </w:p>
        </w:tc>
        <w:tc>
          <w:tcPr>
            <w:tcW w:w="1886" w:type="pct"/>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消防物联网设备管理服务</w:t>
            </w:r>
          </w:p>
        </w:tc>
      </w:tr>
    </w:tbl>
    <w:p>
      <w:pPr>
        <w:rPr>
          <w:rFonts w:hint="eastAsia"/>
        </w:rPr>
      </w:pPr>
    </w:p>
    <w:p>
      <w:pPr>
        <w:pStyle w:val="3"/>
        <w:ind w:left="480" w:leftChars="200"/>
        <w:rPr>
          <w:rFonts w:hint="eastAsia" w:ascii="仿宋" w:hAnsi="仿宋" w:eastAsia="仿宋"/>
        </w:rPr>
      </w:pPr>
      <w:r>
        <w:rPr>
          <w:rFonts w:hint="eastAsia" w:ascii="仿宋" w:hAnsi="仿宋" w:eastAsia="仿宋"/>
        </w:rPr>
        <w:t>硬件购置清单</w:t>
      </w:r>
    </w:p>
    <w:tbl>
      <w:tblPr>
        <w:tblStyle w:val="35"/>
        <w:tblW w:w="8302" w:type="dxa"/>
        <w:tblInd w:w="0" w:type="dxa"/>
        <w:tblLayout w:type="autofit"/>
        <w:tblCellMar>
          <w:top w:w="0" w:type="dxa"/>
          <w:left w:w="108" w:type="dxa"/>
          <w:bottom w:w="0" w:type="dxa"/>
          <w:right w:w="108" w:type="dxa"/>
        </w:tblCellMar>
      </w:tblPr>
      <w:tblGrid>
        <w:gridCol w:w="1055"/>
        <w:gridCol w:w="1440"/>
        <w:gridCol w:w="933"/>
        <w:gridCol w:w="3616"/>
        <w:gridCol w:w="652"/>
        <w:gridCol w:w="606"/>
      </w:tblGrid>
      <w:tr>
        <w:tblPrEx>
          <w:tblCellMar>
            <w:top w:w="0" w:type="dxa"/>
            <w:left w:w="108" w:type="dxa"/>
            <w:bottom w:w="0" w:type="dxa"/>
            <w:right w:w="108" w:type="dxa"/>
          </w:tblCellMar>
        </w:tblPrEx>
        <w:trPr>
          <w:trHeight w:val="495" w:hRule="atLeast"/>
          <w:tblHead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名称</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类别</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配置要求</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数量</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单位</w:t>
            </w:r>
          </w:p>
        </w:tc>
      </w:tr>
      <w:tr>
        <w:tblPrEx>
          <w:tblCellMar>
            <w:top w:w="0" w:type="dxa"/>
            <w:left w:w="108" w:type="dxa"/>
            <w:bottom w:w="0" w:type="dxa"/>
            <w:right w:w="108" w:type="dxa"/>
          </w:tblCellMar>
        </w:tblPrEx>
        <w:trPr>
          <w:trHeight w:val="833"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PC服务器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主机</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数据转发服务器：物理x86服务器，内存32G及以上，存储512G及以上</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台</w:t>
            </w:r>
          </w:p>
        </w:tc>
      </w:tr>
      <w:tr>
        <w:tblPrEx>
          <w:tblCellMar>
            <w:top w:w="0" w:type="dxa"/>
            <w:left w:w="108" w:type="dxa"/>
            <w:bottom w:w="0" w:type="dxa"/>
            <w:right w:w="108" w:type="dxa"/>
          </w:tblCellMar>
        </w:tblPrEx>
        <w:trPr>
          <w:trHeight w:val="833" w:hRule="atLeast"/>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PC服务器</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主机</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数据转发服务器：物理x86服务器，内存32G及以上，存储512G及以上</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台</w:t>
            </w:r>
          </w:p>
        </w:tc>
      </w:tr>
    </w:tbl>
    <w:p>
      <w:pPr>
        <w:pStyle w:val="3"/>
        <w:ind w:left="480" w:leftChars="200"/>
        <w:rPr>
          <w:rFonts w:hint="eastAsia" w:ascii="仿宋" w:hAnsi="仿宋" w:eastAsia="仿宋"/>
        </w:rPr>
      </w:pPr>
      <w:r>
        <w:rPr>
          <w:rFonts w:hint="eastAsia" w:ascii="仿宋" w:hAnsi="仿宋" w:eastAsia="仿宋"/>
        </w:rPr>
        <w:t>产品软件购置清单</w:t>
      </w:r>
    </w:p>
    <w:tbl>
      <w:tblPr>
        <w:tblStyle w:val="35"/>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1176"/>
        <w:gridCol w:w="5242"/>
        <w:gridCol w:w="709"/>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523" w:type="dxa"/>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1176" w:type="dxa"/>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软件名称</w:t>
            </w:r>
          </w:p>
        </w:tc>
        <w:tc>
          <w:tcPr>
            <w:tcW w:w="5242" w:type="dxa"/>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功能说明/配置要求</w:t>
            </w:r>
          </w:p>
        </w:tc>
        <w:tc>
          <w:tcPr>
            <w:tcW w:w="709" w:type="dxa"/>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数量</w:t>
            </w:r>
          </w:p>
        </w:tc>
        <w:tc>
          <w:tcPr>
            <w:tcW w:w="666" w:type="dxa"/>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23" w:type="dxa"/>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1176" w:type="dxa"/>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工具软件</w:t>
            </w:r>
          </w:p>
        </w:tc>
        <w:tc>
          <w:tcPr>
            <w:tcW w:w="5242" w:type="dxa"/>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军警民三方视频语音通讯：</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实现军警民三方监控中心在联动指挥时进行统一视频语音通讯功能</w:t>
            </w:r>
          </w:p>
        </w:tc>
        <w:tc>
          <w:tcPr>
            <w:tcW w:w="709" w:type="dxa"/>
            <w:shd w:val="clear" w:color="auto" w:fill="auto"/>
            <w:noWrap/>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666" w:type="dxa"/>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套</w:t>
            </w:r>
          </w:p>
        </w:tc>
      </w:tr>
    </w:tbl>
    <w:p>
      <w:pPr>
        <w:rPr>
          <w:rFonts w:hint="eastAsia"/>
        </w:rPr>
      </w:pPr>
    </w:p>
    <w:p>
      <w:pPr>
        <w:pStyle w:val="3"/>
        <w:ind w:left="480" w:leftChars="200"/>
        <w:rPr>
          <w:rFonts w:hint="eastAsia" w:ascii="仿宋" w:hAnsi="仿宋" w:eastAsia="仿宋"/>
        </w:rPr>
      </w:pPr>
      <w:r>
        <w:rPr>
          <w:rFonts w:hint="eastAsia" w:ascii="仿宋" w:hAnsi="仿宋" w:eastAsia="仿宋"/>
        </w:rPr>
        <w:t>安全产品购置清单</w:t>
      </w:r>
    </w:p>
    <w:tbl>
      <w:tblPr>
        <w:tblStyle w:val="35"/>
        <w:tblW w:w="5000" w:type="pct"/>
        <w:tblInd w:w="0" w:type="dxa"/>
        <w:tblLayout w:type="autofit"/>
        <w:tblCellMar>
          <w:top w:w="0" w:type="dxa"/>
          <w:left w:w="108" w:type="dxa"/>
          <w:bottom w:w="0" w:type="dxa"/>
          <w:right w:w="108" w:type="dxa"/>
        </w:tblCellMar>
      </w:tblPr>
      <w:tblGrid>
        <w:gridCol w:w="448"/>
        <w:gridCol w:w="1002"/>
        <w:gridCol w:w="872"/>
        <w:gridCol w:w="5308"/>
        <w:gridCol w:w="449"/>
        <w:gridCol w:w="449"/>
      </w:tblGrid>
      <w:tr>
        <w:tblPrEx>
          <w:tblCellMar>
            <w:top w:w="0" w:type="dxa"/>
            <w:left w:w="108" w:type="dxa"/>
            <w:bottom w:w="0" w:type="dxa"/>
            <w:right w:w="108" w:type="dxa"/>
          </w:tblCellMar>
        </w:tblPrEx>
        <w:trPr>
          <w:trHeight w:val="495" w:hRule="atLeast"/>
          <w:tblHeader/>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名称</w:t>
            </w:r>
          </w:p>
        </w:tc>
        <w:tc>
          <w:tcPr>
            <w:tcW w:w="51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类别</w:t>
            </w:r>
          </w:p>
        </w:tc>
        <w:tc>
          <w:tcPr>
            <w:tcW w:w="3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产品配置</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数量</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b/>
                <w:bCs/>
                <w:color w:val="000000"/>
                <w:kern w:val="0"/>
                <w:sz w:val="22"/>
                <w:szCs w:val="22"/>
              </w:rPr>
            </w:pPr>
            <w:r>
              <w:rPr>
                <w:rFonts w:hint="eastAsia" w:ascii="仿宋" w:hAnsi="仿宋" w:eastAsia="仿宋" w:cs="宋体"/>
                <w:b/>
                <w:bCs/>
                <w:color w:val="000000"/>
                <w:kern w:val="0"/>
                <w:sz w:val="22"/>
                <w:szCs w:val="22"/>
              </w:rPr>
              <w:t>单位</w:t>
            </w:r>
          </w:p>
        </w:tc>
      </w:tr>
      <w:tr>
        <w:tblPrEx>
          <w:tblCellMar>
            <w:top w:w="0" w:type="dxa"/>
            <w:left w:w="108" w:type="dxa"/>
            <w:bottom w:w="0" w:type="dxa"/>
            <w:right w:w="108" w:type="dxa"/>
          </w:tblCellMar>
        </w:tblPrEx>
        <w:trPr>
          <w:trHeight w:val="833"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安全审计产品</w:t>
            </w:r>
          </w:p>
        </w:tc>
        <w:tc>
          <w:tcPr>
            <w:tcW w:w="51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安全管理与支持</w:t>
            </w:r>
          </w:p>
        </w:tc>
        <w:tc>
          <w:tcPr>
            <w:tcW w:w="3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数据库安全审计系统：性能参数：最大硬件吞吐量：2Gbps，最大数据库纯SQL流量：400Mb/s，数据库实例个数：不少于30个，SQL处理性能：30000条SQL/s，日志检索性能：500000条/秒。</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硬件参数：规格：1U，内存大小：8G，硬盘容量：2T SATA，电源：单电源，接口：6千兆电口+2万兆光口SFP+。(*1台)；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含：数据库安全审计系统软件*1套</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套</w:t>
            </w:r>
          </w:p>
        </w:tc>
      </w:tr>
      <w:tr>
        <w:tblPrEx>
          <w:tblCellMar>
            <w:top w:w="0" w:type="dxa"/>
            <w:left w:w="108" w:type="dxa"/>
            <w:bottom w:w="0" w:type="dxa"/>
            <w:right w:w="108" w:type="dxa"/>
          </w:tblCellMar>
        </w:tblPrEx>
        <w:trPr>
          <w:trHeight w:val="833"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安全审计产品</w:t>
            </w:r>
          </w:p>
        </w:tc>
        <w:tc>
          <w:tcPr>
            <w:tcW w:w="51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安全管理与支持</w:t>
            </w:r>
          </w:p>
        </w:tc>
        <w:tc>
          <w:tcPr>
            <w:tcW w:w="3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运维安全管理系统-堡垒主机</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性能参数：默认包含运维授权数：50，最大可扩展资产数：150，图形运维最大并发数：100，字符运维最大并发数：200。</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硬件参数：规格：1U，内存大小：4G，硬盘容量：2T SATA，电源：单电源，接口：6千兆电口。</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功能描述：运维安全管理系统-堡垒机，将运维人员离散维护主机及网络设备的行为统一到该平台进行，加强对系统安全以及运维的控制力。一方面通过集中运维，减少因离散操作导致的失误，提高工作效率，如新的安全策略在主机上的统一应用等；另一方面通过对所有用户在主机上的操作行为进行监控与记录，实时了解用户的操作行为，发现风险及时中止用户的操作，并记录下用户所有的操作行为，便于进行事后的审查与取证。*1台)；</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套</w:t>
            </w:r>
          </w:p>
        </w:tc>
      </w:tr>
      <w:tr>
        <w:tblPrEx>
          <w:tblCellMar>
            <w:top w:w="0" w:type="dxa"/>
            <w:left w:w="108" w:type="dxa"/>
            <w:bottom w:w="0" w:type="dxa"/>
            <w:right w:w="108" w:type="dxa"/>
          </w:tblCellMar>
        </w:tblPrEx>
        <w:trPr>
          <w:trHeight w:val="833"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终端安全管理系统产品</w:t>
            </w:r>
          </w:p>
        </w:tc>
        <w:tc>
          <w:tcPr>
            <w:tcW w:w="51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安全管理与支持</w:t>
            </w:r>
          </w:p>
        </w:tc>
        <w:tc>
          <w:tcPr>
            <w:tcW w:w="3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性能参数：最大支持管控EDR客户端数量：纯内网场景或者2000点以上。</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安全策略模板一体化设置，全网资产盘点与风险可视，自动化日志可视化报表一键导出，管理账号分权分域，总分平台级联控制；管理平台需搭配客户端软件一齐使用，1年免维</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套</w:t>
            </w:r>
          </w:p>
        </w:tc>
      </w:tr>
      <w:tr>
        <w:tblPrEx>
          <w:tblCellMar>
            <w:top w:w="0" w:type="dxa"/>
            <w:left w:w="108" w:type="dxa"/>
            <w:bottom w:w="0" w:type="dxa"/>
            <w:right w:w="108" w:type="dxa"/>
          </w:tblCellMar>
        </w:tblPrEx>
        <w:trPr>
          <w:trHeight w:val="833"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数据备份与恢复产品</w:t>
            </w:r>
          </w:p>
        </w:tc>
        <w:tc>
          <w:tcPr>
            <w:tcW w:w="51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数据安全</w:t>
            </w:r>
          </w:p>
        </w:tc>
        <w:tc>
          <w:tcPr>
            <w:tcW w:w="3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硬件参数：规格：2U，CPU：1颗Silver 4210R 2.4GHz（10C），内存：2*32GB DDR4 2933，系统盘：2*240GB SATA SSD，缓存盘：选配，数据盘：选配，标配盘位数：12，电源：白金，冗余电源，接口：4千兆电口+4万兆光口。(*1台)；</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含：分布式存储授权软件*1套)；数据备份与恢复系统软件*1套；数据库实时CDP容灾软件*1套；产品质保(*3年)；软件升级(备份一体机)(*3年)；</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套</w:t>
            </w:r>
          </w:p>
        </w:tc>
      </w:tr>
      <w:tr>
        <w:tblPrEx>
          <w:tblCellMar>
            <w:top w:w="0" w:type="dxa"/>
            <w:left w:w="108" w:type="dxa"/>
            <w:bottom w:w="0" w:type="dxa"/>
            <w:right w:w="108" w:type="dxa"/>
          </w:tblCellMar>
        </w:tblPrEx>
        <w:trPr>
          <w:trHeight w:val="833"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其他安全产品</w:t>
            </w:r>
          </w:p>
        </w:tc>
        <w:tc>
          <w:tcPr>
            <w:tcW w:w="51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其他安全产品</w:t>
            </w:r>
          </w:p>
        </w:tc>
        <w:tc>
          <w:tcPr>
            <w:tcW w:w="3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安全管理区交换机：</w:t>
            </w:r>
            <w:r>
              <w:rPr>
                <w:rFonts w:hint="eastAsia" w:ascii="仿宋" w:hAnsi="仿宋" w:eastAsia="仿宋" w:cs="宋体"/>
                <w:color w:val="000000"/>
                <w:kern w:val="0"/>
                <w:sz w:val="22"/>
                <w:szCs w:val="22"/>
              </w:rPr>
              <w:br w:type="textWrapping"/>
            </w:r>
            <w:r>
              <w:rPr>
                <w:rFonts w:hint="eastAsia" w:ascii="仿宋" w:hAnsi="仿宋" w:eastAsia="仿宋" w:cs="宋体"/>
                <w:color w:val="000000"/>
                <w:kern w:val="0"/>
                <w:sz w:val="22"/>
                <w:szCs w:val="22"/>
              </w:rPr>
              <w:t>以太网端口,4个千兆SFP,交流供电</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26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套</w:t>
            </w:r>
          </w:p>
        </w:tc>
      </w:tr>
    </w:tbl>
    <w:p>
      <w:pPr>
        <w:pStyle w:val="2"/>
        <w:rPr>
          <w:rFonts w:hint="eastAsia"/>
        </w:rPr>
      </w:pPr>
      <w:bookmarkStart w:id="19" w:name="_Toc63785503"/>
      <w:r>
        <w:rPr>
          <w:rFonts w:hint="eastAsia"/>
        </w:rPr>
        <w:t>其他工作要求</w:t>
      </w:r>
      <w:bookmarkEnd w:id="19"/>
    </w:p>
    <w:p>
      <w:pPr>
        <w:pStyle w:val="3"/>
        <w:ind w:left="240" w:right="240"/>
        <w:rPr>
          <w:rFonts w:hint="eastAsia" w:ascii="仿宋" w:hAnsi="仿宋" w:eastAsia="仿宋"/>
        </w:rPr>
      </w:pPr>
      <w:bookmarkStart w:id="20" w:name="_Toc63785505"/>
      <w:bookmarkStart w:id="21" w:name="_Toc63785509"/>
      <w:r>
        <w:rPr>
          <w:rFonts w:hint="eastAsia" w:ascii="仿宋" w:hAnsi="仿宋" w:eastAsia="仿宋"/>
        </w:rPr>
        <w:t>售后服务要求</w:t>
      </w:r>
      <w:bookmarkEnd w:id="20"/>
    </w:p>
    <w:p>
      <w:pPr>
        <w:rPr>
          <w:rFonts w:hint="eastAsia" w:ascii="仿宋" w:hAnsi="仿宋" w:eastAsia="仿宋" w:cstheme="minorEastAsia"/>
        </w:rPr>
      </w:pPr>
      <w:r>
        <w:rPr>
          <w:rFonts w:hint="eastAsia" w:ascii="仿宋" w:hAnsi="仿宋" w:eastAsia="仿宋" w:cstheme="minorEastAsia"/>
        </w:rPr>
        <w:t>本项目从系统验收通过之日起1年内提供7*24小时免费技术支持和售后服务，1年后进入有偿维护期。</w:t>
      </w:r>
    </w:p>
    <w:p>
      <w:pPr>
        <w:rPr>
          <w:rFonts w:hint="eastAsia" w:ascii="仿宋" w:hAnsi="仿宋" w:eastAsia="仿宋" w:cstheme="minorEastAsia"/>
        </w:rPr>
      </w:pPr>
      <w:r>
        <w:rPr>
          <w:rFonts w:hint="eastAsia" w:ascii="仿宋" w:hAnsi="仿宋" w:eastAsia="仿宋" w:cstheme="minorEastAsia"/>
        </w:rPr>
        <w:t>在质量保证期内，供应商将按照售后服务的承诺提供保修和运行维护服务，如果厂商对信息系统中软、硬件设备等产品中的部分保修期超过上述期限的，则按照厂商的规定进行免费保修。</w:t>
      </w:r>
    </w:p>
    <w:p>
      <w:pPr>
        <w:rPr>
          <w:rFonts w:hint="eastAsia" w:ascii="仿宋" w:hAnsi="仿宋" w:eastAsia="仿宋" w:cstheme="minorEastAsia"/>
        </w:rPr>
      </w:pPr>
      <w:r>
        <w:rPr>
          <w:rFonts w:hint="eastAsia" w:ascii="仿宋" w:hAnsi="仿宋" w:eastAsia="仿宋" w:cstheme="minorEastAsia"/>
        </w:rPr>
        <w:t>在质量保证期内，供应商负责信息系统的运行维护工作，确保信息系统安全、稳定、可靠地运行。本项目涉及的运行维护工作范围为：本次采购的功能范围。</w:t>
      </w:r>
    </w:p>
    <w:p>
      <w:pPr>
        <w:pStyle w:val="3"/>
        <w:ind w:left="240" w:right="240"/>
        <w:rPr>
          <w:rFonts w:hint="eastAsia" w:ascii="仿宋" w:hAnsi="仿宋" w:eastAsia="仿宋"/>
        </w:rPr>
      </w:pPr>
      <w:bookmarkStart w:id="22" w:name="_Toc63785506"/>
      <w:r>
        <w:rPr>
          <w:rFonts w:hint="eastAsia" w:ascii="仿宋" w:hAnsi="仿宋" w:eastAsia="仿宋"/>
        </w:rPr>
        <w:t>应急响应要求</w:t>
      </w:r>
      <w:bookmarkEnd w:id="22"/>
    </w:p>
    <w:p>
      <w:pPr>
        <w:rPr>
          <w:rFonts w:hint="eastAsia" w:ascii="仿宋" w:hAnsi="仿宋" w:eastAsia="仿宋" w:cstheme="minorEastAsia"/>
        </w:rPr>
      </w:pPr>
      <w:r>
        <w:rPr>
          <w:rFonts w:hint="eastAsia" w:ascii="仿宋" w:hAnsi="仿宋" w:eastAsia="仿宋" w:cstheme="minorEastAsia"/>
        </w:rPr>
        <w:t>供应商对系统故障应能够实时响应，若系统发生故障，接到通知后30分钟之内响应，专业工程师2小时内到达现场。特殊故障与客户沟通协商后，按照协商的方式制定解决方案并进行处理。</w:t>
      </w:r>
    </w:p>
    <w:p>
      <w:pPr>
        <w:rPr>
          <w:rFonts w:hint="eastAsia" w:ascii="仿宋" w:hAnsi="仿宋" w:eastAsia="仿宋" w:cstheme="minorEastAsia"/>
        </w:rPr>
      </w:pPr>
      <w:r>
        <w:rPr>
          <w:rFonts w:hint="eastAsia" w:ascii="仿宋" w:hAnsi="仿宋" w:eastAsia="仿宋" w:cstheme="minorEastAsia"/>
        </w:rPr>
        <w:t>具体故障级别及对应的应急响应要求如下：</w:t>
      </w:r>
    </w:p>
    <w:p>
      <w:pPr>
        <w:rPr>
          <w:rFonts w:hint="eastAsia" w:ascii="仿宋" w:hAnsi="仿宋" w:eastAsia="仿宋" w:cstheme="minorEastAsia"/>
        </w:rPr>
      </w:pPr>
      <w:r>
        <w:rPr>
          <w:rFonts w:hint="eastAsia" w:ascii="仿宋" w:hAnsi="仿宋" w:eastAsia="仿宋" w:cstheme="minorEastAsia"/>
        </w:rPr>
        <w:t>一级故障：在1小时内确诊，总故障解决时间不超过4小时。</w:t>
      </w:r>
    </w:p>
    <w:p>
      <w:pPr>
        <w:rPr>
          <w:rFonts w:hint="eastAsia" w:ascii="仿宋" w:hAnsi="仿宋" w:eastAsia="仿宋" w:cstheme="minorEastAsia"/>
        </w:rPr>
      </w:pPr>
      <w:r>
        <w:rPr>
          <w:rFonts w:hint="eastAsia" w:ascii="仿宋" w:hAnsi="仿宋" w:eastAsia="仿宋" w:cstheme="minorEastAsia"/>
        </w:rPr>
        <w:t>二级故障：在2小时内确诊，并在4小时内由专家到达现场确诊并解决，总故障解决时间不超过8小时；</w:t>
      </w:r>
    </w:p>
    <w:p>
      <w:pPr>
        <w:rPr>
          <w:rFonts w:hint="eastAsia" w:ascii="仿宋" w:hAnsi="仿宋" w:eastAsia="仿宋" w:cstheme="minorEastAsia"/>
        </w:rPr>
      </w:pPr>
      <w:r>
        <w:rPr>
          <w:rFonts w:hint="eastAsia" w:ascii="仿宋" w:hAnsi="仿宋" w:eastAsia="仿宋" w:cstheme="minorEastAsia"/>
        </w:rPr>
        <w:t>三、四级故障：在4小时内确诊故障，总故障解决时间不超过16小时。</w:t>
      </w:r>
    </w:p>
    <w:p>
      <w:pPr>
        <w:pStyle w:val="3"/>
        <w:ind w:left="240" w:right="240"/>
        <w:rPr>
          <w:rFonts w:hint="eastAsia" w:ascii="仿宋" w:hAnsi="仿宋" w:eastAsia="仿宋"/>
        </w:rPr>
      </w:pPr>
      <w:bookmarkStart w:id="23" w:name="_Toc63785507"/>
      <w:r>
        <w:rPr>
          <w:rFonts w:hint="eastAsia" w:ascii="仿宋" w:hAnsi="仿宋" w:eastAsia="仿宋"/>
        </w:rPr>
        <w:t>培训要求</w:t>
      </w:r>
      <w:bookmarkEnd w:id="23"/>
    </w:p>
    <w:p>
      <w:pPr>
        <w:rPr>
          <w:rFonts w:hint="eastAsia" w:ascii="仿宋" w:hAnsi="仿宋" w:eastAsia="仿宋" w:cstheme="minorEastAsia"/>
        </w:rPr>
      </w:pPr>
      <w:r>
        <w:rPr>
          <w:rFonts w:hint="eastAsia" w:ascii="仿宋" w:hAnsi="仿宋" w:eastAsia="仿宋" w:cstheme="minorEastAsia"/>
        </w:rPr>
        <w:t>对系统使用单位提供业务操作培训，应提供详细培训方案。</w:t>
      </w:r>
    </w:p>
    <w:p>
      <w:pPr>
        <w:rPr>
          <w:rFonts w:hint="eastAsia" w:ascii="仿宋" w:hAnsi="仿宋" w:eastAsia="仿宋" w:cstheme="minorEastAsia"/>
        </w:rPr>
      </w:pPr>
      <w:r>
        <w:rPr>
          <w:rFonts w:hint="eastAsia" w:ascii="仿宋" w:hAnsi="仿宋" w:eastAsia="仿宋" w:cstheme="minorEastAsia"/>
        </w:rPr>
        <w:t>1、在12个月的质量保证期内，提供2次与项目相关的必要培训。</w:t>
      </w:r>
    </w:p>
    <w:p>
      <w:pPr>
        <w:rPr>
          <w:rFonts w:hint="eastAsia" w:ascii="仿宋" w:hAnsi="仿宋" w:eastAsia="仿宋" w:cstheme="minorEastAsia"/>
        </w:rPr>
      </w:pPr>
      <w:r>
        <w:rPr>
          <w:rFonts w:hint="eastAsia" w:ascii="仿宋" w:hAnsi="仿宋" w:eastAsia="仿宋" w:cstheme="minorEastAsia"/>
        </w:rPr>
        <w:t>2、培训应具有培训教材、培训环境和高水平的培训讲师。</w:t>
      </w:r>
    </w:p>
    <w:p>
      <w:pPr>
        <w:rPr>
          <w:rFonts w:hint="eastAsia" w:ascii="仿宋" w:hAnsi="仿宋" w:eastAsia="仿宋" w:cstheme="minorEastAsia"/>
        </w:rPr>
      </w:pPr>
      <w:r>
        <w:rPr>
          <w:rFonts w:hint="eastAsia" w:ascii="仿宋" w:hAnsi="仿宋" w:eastAsia="仿宋" w:cstheme="minorEastAsia"/>
        </w:rPr>
        <w:t>3、供应商应提供一般用户的基础操作培训和部门信息管理员的日常应用维护的培训，确保用户对象能够掌握对应的操作技能。</w:t>
      </w:r>
    </w:p>
    <w:p>
      <w:pPr>
        <w:pStyle w:val="3"/>
        <w:ind w:left="240" w:right="240"/>
        <w:rPr>
          <w:rFonts w:hint="eastAsia" w:ascii="仿宋" w:hAnsi="仿宋" w:eastAsia="仿宋"/>
        </w:rPr>
      </w:pPr>
      <w:bookmarkStart w:id="24" w:name="_Toc63785508"/>
      <w:r>
        <w:rPr>
          <w:rFonts w:hint="eastAsia" w:ascii="仿宋" w:hAnsi="仿宋" w:eastAsia="仿宋"/>
        </w:rPr>
        <w:t>验收要求</w:t>
      </w:r>
      <w:bookmarkEnd w:id="24"/>
    </w:p>
    <w:p>
      <w:pPr>
        <w:rPr>
          <w:rFonts w:hint="eastAsia" w:ascii="仿宋" w:hAnsi="仿宋" w:eastAsia="仿宋" w:cstheme="minorEastAsia"/>
        </w:rPr>
      </w:pPr>
      <w:r>
        <w:rPr>
          <w:rFonts w:hint="eastAsia" w:ascii="仿宋" w:hAnsi="仿宋" w:eastAsia="仿宋" w:cstheme="minorEastAsia"/>
        </w:rPr>
        <w:t>本项目按下述方式开展验收。</w:t>
      </w:r>
    </w:p>
    <w:p>
      <w:pPr>
        <w:rPr>
          <w:rFonts w:hint="eastAsia" w:ascii="仿宋" w:hAnsi="仿宋" w:eastAsia="仿宋" w:cstheme="minorEastAsia"/>
        </w:rPr>
      </w:pPr>
      <w:r>
        <w:rPr>
          <w:rFonts w:hint="eastAsia" w:ascii="仿宋" w:hAnsi="仿宋" w:eastAsia="仿宋" w:cstheme="minorEastAsia"/>
        </w:rPr>
        <w:t>（1）验收分初验和终验。</w:t>
      </w:r>
    </w:p>
    <w:p>
      <w:pPr>
        <w:rPr>
          <w:rFonts w:hint="eastAsia" w:ascii="仿宋" w:hAnsi="仿宋" w:eastAsia="仿宋" w:cstheme="minorEastAsia"/>
        </w:rPr>
      </w:pPr>
      <w:r>
        <w:rPr>
          <w:rFonts w:hint="eastAsia" w:ascii="仿宋" w:hAnsi="仿宋" w:eastAsia="仿宋" w:cstheme="minorEastAsia"/>
        </w:rPr>
        <w:t>（2）初验前，供应商须完成</w:t>
      </w:r>
      <w:r>
        <w:rPr>
          <w:rFonts w:ascii="仿宋" w:hAnsi="仿宋" w:eastAsia="仿宋" w:cstheme="minorEastAsia"/>
        </w:rPr>
        <w:t>软件开发、</w:t>
      </w:r>
      <w:r>
        <w:rPr>
          <w:rFonts w:hint="eastAsia" w:ascii="仿宋" w:hAnsi="仿宋" w:eastAsia="仿宋" w:cstheme="minorEastAsia"/>
        </w:rPr>
        <w:t>软硬件安装和信息系统的调试等，并对本项目进行功能和运行检测，确保所有信息系统功能模块能够正常运行且已达到本项目约定的各类标准要求。供应商应以书面形式向采购人递交初验通知书。采购人应当在接到通知后的5个工作日内确定初验的具体日期，由双方按照本项目的约定完成本项目的初验。采购人有权委托第三方检测机构进行验收，对此供应商应当配合。</w:t>
      </w:r>
    </w:p>
    <w:p>
      <w:pPr>
        <w:rPr>
          <w:rFonts w:hint="eastAsia" w:ascii="仿宋" w:hAnsi="仿宋" w:eastAsia="仿宋" w:cstheme="minorEastAsia"/>
        </w:rPr>
      </w:pPr>
      <w:r>
        <w:rPr>
          <w:rFonts w:hint="eastAsia" w:ascii="仿宋" w:hAnsi="仿宋" w:eastAsia="仿宋" w:cstheme="minorEastAsia"/>
        </w:rPr>
        <w:t>（3）初验时，供应商须提供文档包括《用户需求说明书》、《系统概要设计说明书》、《系统详细设计说明书》、《三方功能需求确认单》、《测试报告》、《用户使用手册》、《系统部署文档》等）及可安装的程序运行文件。所交付的文档与文件应当是可供自然人阅读的书面和电子文档。软件文档及可安装的程序运行文件验收通过后，视为初验通过。如有缺陷，采购人应向供应商出具书面报告，陈述需要改进的缺陷。供应商应立即严格依照采购人的书面报告中的要求改进缺陷，并再次进行初验。</w:t>
      </w:r>
    </w:p>
    <w:p>
      <w:pPr>
        <w:rPr>
          <w:rFonts w:hint="eastAsia" w:ascii="仿宋" w:hAnsi="仿宋" w:eastAsia="仿宋" w:cstheme="minorEastAsia"/>
        </w:rPr>
      </w:pPr>
      <w:r>
        <w:rPr>
          <w:rFonts w:hint="eastAsia" w:ascii="仿宋" w:hAnsi="仿宋" w:eastAsia="仿宋" w:cstheme="minorEastAsia"/>
        </w:rPr>
        <w:t>（4）自初验通过之日起，采购人享有供应商免费提供的30天的信息系统试运行现场驻场服务期。该期间内，供应商应当按照采购人的要求提供现场技术支持服务，解决信息系统试运行期间可能出现的各类问题，或进一步提高与完善信息系统运行水平。</w:t>
      </w:r>
    </w:p>
    <w:p>
      <w:pPr>
        <w:rPr>
          <w:rFonts w:hint="eastAsia" w:ascii="仿宋" w:hAnsi="仿宋" w:eastAsia="仿宋" w:cstheme="minorEastAsia"/>
        </w:rPr>
      </w:pPr>
      <w:r>
        <w:rPr>
          <w:rFonts w:hint="eastAsia" w:ascii="仿宋" w:hAnsi="仿宋" w:eastAsia="仿宋" w:cstheme="minorEastAsia"/>
        </w:rPr>
        <w:t>（5）初验通过且信息系统试运行期已经达到本项目约定的时间，经供应商确认信息系统具备正常运行条件，且信息系统通过运行测试，供应商应以书面形式通知采购人信息系统已准备就绪等待终验。采购人在收到终验通知后的10个工作日内发起组织专家验收会。</w:t>
      </w:r>
    </w:p>
    <w:p>
      <w:pPr>
        <w:rPr>
          <w:rFonts w:hint="eastAsia" w:ascii="仿宋" w:hAnsi="仿宋" w:eastAsia="仿宋" w:cstheme="minorEastAsia"/>
        </w:rPr>
      </w:pPr>
      <w:r>
        <w:rPr>
          <w:rFonts w:hint="eastAsia" w:ascii="仿宋" w:hAnsi="仿宋" w:eastAsia="仿宋" w:cstheme="minorEastAsia"/>
        </w:rPr>
        <w:t>（6）如果属于供应商原因致使本项目未能通过终验，供应商应当排除缺陷，直至本项目完全符合验收标准，由上述情形而产生的相关费用应由供应商自行承担。</w:t>
      </w:r>
    </w:p>
    <w:p>
      <w:pPr>
        <w:rPr>
          <w:rFonts w:hint="eastAsia" w:ascii="仿宋" w:hAnsi="仿宋" w:eastAsia="仿宋" w:cstheme="minorEastAsia"/>
        </w:rPr>
      </w:pPr>
      <w:r>
        <w:rPr>
          <w:rFonts w:hint="eastAsia" w:ascii="仿宋" w:hAnsi="仿宋" w:eastAsia="仿宋" w:cstheme="minorEastAsia"/>
        </w:rPr>
        <w:t>（7）如果由于采购人原因导致本项目在终验通过前出现故障或问题，供应商应及时配合排除该方面的故障或问题。</w:t>
      </w:r>
    </w:p>
    <w:p>
      <w:pPr>
        <w:rPr>
          <w:rFonts w:hint="eastAsia" w:ascii="仿宋" w:hAnsi="仿宋" w:eastAsia="仿宋" w:cstheme="minorEastAsia"/>
        </w:rPr>
      </w:pPr>
      <w:r>
        <w:rPr>
          <w:rFonts w:hint="eastAsia" w:ascii="仿宋" w:hAnsi="仿宋" w:eastAsia="仿宋" w:cstheme="minorEastAsia"/>
        </w:rPr>
        <w:t>（8）如本项目连续3次验收未通过（含初验未通过或终验未通过），采购人有权解除项目，并有权依照本项目约定的违约条款追究供应商的违约责任。</w:t>
      </w:r>
    </w:p>
    <w:p>
      <w:pPr>
        <w:pStyle w:val="3"/>
        <w:rPr>
          <w:rFonts w:hint="eastAsia"/>
        </w:rPr>
      </w:pPr>
      <w:r>
        <w:rPr>
          <w:rFonts w:hint="eastAsia"/>
        </w:rPr>
        <w:t>进度要求</w:t>
      </w:r>
      <w:bookmarkEnd w:id="21"/>
    </w:p>
    <w:p>
      <w:pPr>
        <w:rPr>
          <w:rFonts w:hint="eastAsia" w:ascii="仿宋" w:hAnsi="仿宋" w:eastAsia="仿宋" w:cstheme="minorEastAsia"/>
        </w:rPr>
      </w:pPr>
      <w:r>
        <w:rPr>
          <w:rFonts w:hint="eastAsia" w:ascii="仿宋" w:hAnsi="仿宋" w:eastAsia="仿宋" w:cstheme="minorEastAsia"/>
        </w:rPr>
        <w:t>供应商应根据建设内容，分阶段制定合理的时间进度，并且应根据采购人要求进行调整和细化。本项目于合同签订后6个月内，完成项目建设和验收工作。</w:t>
      </w:r>
    </w:p>
    <w:p>
      <w:pPr>
        <w:pStyle w:val="3"/>
        <w:rPr>
          <w:rFonts w:hint="eastAsia"/>
        </w:rPr>
      </w:pPr>
      <w:bookmarkStart w:id="25" w:name="_Toc63785510"/>
      <w:r>
        <w:rPr>
          <w:rFonts w:hint="eastAsia"/>
        </w:rPr>
        <w:t>项目团队及驻场人员要求</w:t>
      </w:r>
      <w:bookmarkEnd w:id="25"/>
    </w:p>
    <w:p>
      <w:pPr>
        <w:rPr>
          <w:rFonts w:hint="eastAsia" w:ascii="仿宋" w:hAnsi="仿宋" w:eastAsia="仿宋" w:cstheme="minorEastAsia"/>
        </w:rPr>
      </w:pPr>
      <w:r>
        <w:rPr>
          <w:rFonts w:hint="eastAsia" w:ascii="仿宋" w:hAnsi="仿宋" w:eastAsia="仿宋" w:cstheme="minorEastAsia"/>
        </w:rPr>
        <w:t>（</w:t>
      </w:r>
      <w:r>
        <w:rPr>
          <w:rFonts w:ascii="仿宋" w:hAnsi="仿宋" w:eastAsia="仿宋" w:cstheme="minorEastAsia"/>
        </w:rPr>
        <w:t>1）</w:t>
      </w:r>
      <w:r>
        <w:rPr>
          <w:rFonts w:hint="eastAsia" w:ascii="仿宋" w:hAnsi="仿宋" w:eastAsia="仿宋" w:cstheme="minorEastAsia"/>
        </w:rPr>
        <w:t>供应商需</w:t>
      </w:r>
      <w:r>
        <w:rPr>
          <w:rFonts w:ascii="仿宋" w:hAnsi="仿宋" w:eastAsia="仿宋" w:cstheme="minorEastAsia"/>
        </w:rPr>
        <w:t>具有稳定的在职技术保障力量，能够提供及时的技术支援或服务，应针对本项目提供不少于</w:t>
      </w:r>
      <w:r>
        <w:rPr>
          <w:rFonts w:hint="eastAsia" w:ascii="仿宋" w:hAnsi="仿宋" w:eastAsia="仿宋" w:cstheme="minorEastAsia"/>
        </w:rPr>
        <w:t>7</w:t>
      </w:r>
      <w:r>
        <w:rPr>
          <w:rFonts w:ascii="仿宋" w:hAnsi="仿宋" w:eastAsia="仿宋" w:cstheme="minorEastAsia"/>
        </w:rPr>
        <w:t>人的项目服务团队（</w:t>
      </w:r>
      <w:r>
        <w:rPr>
          <w:rFonts w:hint="eastAsia" w:ascii="仿宋" w:hAnsi="仿宋" w:eastAsia="仿宋" w:cs="仿宋"/>
        </w:rPr>
        <w:t>项目负责人、产品经理、硬件实施负责人、研发等</w:t>
      </w:r>
      <w:r>
        <w:rPr>
          <w:rFonts w:ascii="仿宋" w:hAnsi="仿宋" w:eastAsia="仿宋" w:cstheme="minorEastAsia"/>
        </w:rPr>
        <w:t>），</w:t>
      </w:r>
      <w:r>
        <w:rPr>
          <w:rFonts w:hint="eastAsia" w:ascii="仿宋" w:hAnsi="仿宋" w:eastAsia="仿宋" w:cstheme="minorEastAsia"/>
        </w:rPr>
        <w:t>供应商</w:t>
      </w:r>
      <w:r>
        <w:rPr>
          <w:rFonts w:ascii="仿宋" w:hAnsi="仿宋" w:eastAsia="仿宋" w:cstheme="minorEastAsia"/>
        </w:rPr>
        <w:t>的相关服务人员需具备相应的服务能力，需提供相关证明。</w:t>
      </w:r>
    </w:p>
    <w:p>
      <w:pPr>
        <w:rPr>
          <w:rFonts w:hint="eastAsia" w:ascii="仿宋" w:hAnsi="仿宋" w:eastAsia="仿宋" w:cstheme="minorEastAsia"/>
        </w:rPr>
      </w:pPr>
      <w:r>
        <w:rPr>
          <w:rFonts w:hint="eastAsia" w:ascii="仿宋" w:hAnsi="仿宋" w:eastAsia="仿宋" w:cstheme="minorEastAsia"/>
        </w:rPr>
        <w:t>项目主要负责人要求：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409"/>
        <w:gridCol w:w="1276"/>
        <w:gridCol w:w="21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5" w:type="dxa"/>
            <w:shd w:val="clear" w:color="auto" w:fill="auto"/>
            <w:noWrap/>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角色</w:t>
            </w:r>
          </w:p>
        </w:tc>
        <w:tc>
          <w:tcPr>
            <w:tcW w:w="2409" w:type="dxa"/>
            <w:shd w:val="clear" w:color="auto" w:fill="auto"/>
            <w:noWrap/>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主要职责</w:t>
            </w:r>
          </w:p>
        </w:tc>
        <w:tc>
          <w:tcPr>
            <w:tcW w:w="1276" w:type="dxa"/>
            <w:shd w:val="clear" w:color="auto" w:fill="auto"/>
            <w:noWrap/>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人员数</w:t>
            </w:r>
            <w:bookmarkStart w:id="31" w:name="_GoBack"/>
            <w:bookmarkEnd w:id="31"/>
            <w:r>
              <w:rPr>
                <w:rFonts w:hint="eastAsia" w:ascii="仿宋" w:hAnsi="仿宋" w:eastAsia="仿宋" w:cs="仿宋"/>
                <w:b/>
                <w:bCs/>
              </w:rPr>
              <w:t>量</w:t>
            </w:r>
          </w:p>
        </w:tc>
        <w:tc>
          <w:tcPr>
            <w:tcW w:w="2126" w:type="dxa"/>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人员要求</w:t>
            </w:r>
          </w:p>
        </w:tc>
        <w:tc>
          <w:tcPr>
            <w:tcW w:w="936" w:type="dxa"/>
            <w:shd w:val="clear" w:color="auto" w:fill="auto"/>
            <w:noWrap/>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5"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项目负责人</w:t>
            </w:r>
          </w:p>
        </w:tc>
        <w:tc>
          <w:tcPr>
            <w:tcW w:w="2409" w:type="dxa"/>
            <w:shd w:val="clear" w:color="auto" w:fill="auto"/>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负责项目总体质量和进度控制</w:t>
            </w:r>
          </w:p>
        </w:tc>
        <w:tc>
          <w:tcPr>
            <w:tcW w:w="127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1人</w:t>
            </w:r>
          </w:p>
        </w:tc>
        <w:tc>
          <w:tcPr>
            <w:tcW w:w="2126" w:type="dxa"/>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具有中级或以上工程师证书，具有二级或以上建造师（机电）执业资格证书</w:t>
            </w:r>
          </w:p>
        </w:tc>
        <w:tc>
          <w:tcPr>
            <w:tcW w:w="93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5"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产品经理</w:t>
            </w:r>
          </w:p>
        </w:tc>
        <w:tc>
          <w:tcPr>
            <w:tcW w:w="2409" w:type="dxa"/>
            <w:shd w:val="clear" w:color="auto" w:fill="auto"/>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负责项目需求评估与产品设计</w:t>
            </w:r>
          </w:p>
        </w:tc>
        <w:tc>
          <w:tcPr>
            <w:tcW w:w="127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1人</w:t>
            </w:r>
          </w:p>
        </w:tc>
        <w:tc>
          <w:tcPr>
            <w:tcW w:w="2126" w:type="dxa"/>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本科以上学历，具备相关工作经历</w:t>
            </w:r>
          </w:p>
        </w:tc>
        <w:tc>
          <w:tcPr>
            <w:tcW w:w="93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5"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硬件实施</w:t>
            </w:r>
          </w:p>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负责人</w:t>
            </w:r>
          </w:p>
        </w:tc>
        <w:tc>
          <w:tcPr>
            <w:tcW w:w="2409"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负责项目硬件实施</w:t>
            </w:r>
          </w:p>
        </w:tc>
        <w:tc>
          <w:tcPr>
            <w:tcW w:w="127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1人</w:t>
            </w:r>
          </w:p>
        </w:tc>
        <w:tc>
          <w:tcPr>
            <w:tcW w:w="2126" w:type="dxa"/>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本科以上学历，具备相关工作经历</w:t>
            </w:r>
          </w:p>
        </w:tc>
        <w:tc>
          <w:tcPr>
            <w:tcW w:w="93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55"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研发</w:t>
            </w:r>
          </w:p>
        </w:tc>
        <w:tc>
          <w:tcPr>
            <w:tcW w:w="2409"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负责项目具体开发与实施、测试</w:t>
            </w:r>
          </w:p>
        </w:tc>
        <w:tc>
          <w:tcPr>
            <w:tcW w:w="127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4人</w:t>
            </w:r>
          </w:p>
        </w:tc>
        <w:tc>
          <w:tcPr>
            <w:tcW w:w="2126" w:type="dxa"/>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具备软件开发相关工作经验</w:t>
            </w:r>
          </w:p>
        </w:tc>
        <w:tc>
          <w:tcPr>
            <w:tcW w:w="93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驻场</w:t>
            </w:r>
          </w:p>
        </w:tc>
      </w:tr>
    </w:tbl>
    <w:p>
      <w:pPr>
        <w:ind w:firstLine="0" w:firstLineChars="0"/>
        <w:rPr>
          <w:rFonts w:hint="eastAsia" w:ascii="仿宋" w:hAnsi="仿宋" w:eastAsia="仿宋"/>
        </w:rPr>
      </w:pPr>
    </w:p>
    <w:p>
      <w:pPr>
        <w:rPr>
          <w:rFonts w:hint="eastAsia" w:ascii="仿宋" w:hAnsi="仿宋" w:eastAsia="仿宋" w:cstheme="minorEastAsia"/>
        </w:rPr>
      </w:pPr>
      <w:r>
        <w:rPr>
          <w:rFonts w:hint="eastAsia" w:ascii="仿宋" w:hAnsi="仿宋" w:eastAsia="仿宋" w:cstheme="minorEastAsia"/>
        </w:rPr>
        <w:t>（</w:t>
      </w:r>
      <w:r>
        <w:rPr>
          <w:rFonts w:ascii="仿宋" w:hAnsi="仿宋" w:eastAsia="仿宋" w:cstheme="minorEastAsia"/>
        </w:rPr>
        <w:t>2）</w:t>
      </w:r>
      <w:r>
        <w:rPr>
          <w:rFonts w:hint="eastAsia" w:ascii="仿宋" w:hAnsi="仿宋" w:eastAsia="仿宋" w:cstheme="minorEastAsia"/>
        </w:rPr>
        <w:t>供应商</w:t>
      </w:r>
      <w:r>
        <w:rPr>
          <w:rFonts w:ascii="仿宋" w:hAnsi="仿宋" w:eastAsia="仿宋" w:cstheme="minorEastAsia"/>
        </w:rPr>
        <w:t>应针对本项目提供不少于3人的质保期间支撑团队（其中</w:t>
      </w:r>
      <w:r>
        <w:rPr>
          <w:rFonts w:hint="eastAsia" w:ascii="仿宋" w:hAnsi="仿宋" w:eastAsia="仿宋" w:cstheme="minorEastAsia"/>
        </w:rPr>
        <w:t>运维经理</w:t>
      </w:r>
      <w:r>
        <w:rPr>
          <w:rFonts w:ascii="仿宋" w:hAnsi="仿宋" w:eastAsia="仿宋" w:cstheme="minorEastAsia"/>
        </w:rPr>
        <w:t>1人，</w:t>
      </w:r>
      <w:r>
        <w:rPr>
          <w:rFonts w:hint="eastAsia" w:ascii="仿宋" w:hAnsi="仿宋" w:eastAsia="仿宋" w:cstheme="minorEastAsia"/>
        </w:rPr>
        <w:t>维护工程师</w:t>
      </w:r>
      <w:r>
        <w:rPr>
          <w:rFonts w:ascii="仿宋" w:hAnsi="仿宋" w:eastAsia="仿宋" w:cstheme="minorEastAsia"/>
        </w:rPr>
        <w:t>1人，技术工程师不少于1人）；</w:t>
      </w:r>
      <w:r>
        <w:rPr>
          <w:rFonts w:hint="eastAsia" w:ascii="仿宋" w:hAnsi="仿宋" w:eastAsia="仿宋" w:cstheme="minorEastAsia"/>
        </w:rPr>
        <w:t>供应商</w:t>
      </w:r>
      <w:r>
        <w:rPr>
          <w:rFonts w:ascii="仿宋" w:hAnsi="仿宋" w:eastAsia="仿宋" w:cstheme="minorEastAsia"/>
        </w:rPr>
        <w:t>的相关服务人员需具备相应的服务能力，需提供相关证明（最近一个季度依法缴纳社保费的证明）。</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2402"/>
        <w:gridCol w:w="1247"/>
        <w:gridCol w:w="212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shd w:val="clear" w:color="auto" w:fill="auto"/>
            <w:noWrap/>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角色</w:t>
            </w:r>
          </w:p>
        </w:tc>
        <w:tc>
          <w:tcPr>
            <w:tcW w:w="2402" w:type="dxa"/>
            <w:shd w:val="clear" w:color="auto" w:fill="auto"/>
            <w:noWrap/>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主要职责</w:t>
            </w:r>
          </w:p>
        </w:tc>
        <w:tc>
          <w:tcPr>
            <w:tcW w:w="1247" w:type="dxa"/>
            <w:shd w:val="clear" w:color="auto" w:fill="auto"/>
            <w:noWrap/>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人员数量</w:t>
            </w:r>
          </w:p>
        </w:tc>
        <w:tc>
          <w:tcPr>
            <w:tcW w:w="2128" w:type="dxa"/>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人员要求</w:t>
            </w:r>
          </w:p>
        </w:tc>
        <w:tc>
          <w:tcPr>
            <w:tcW w:w="1199" w:type="dxa"/>
            <w:shd w:val="clear" w:color="auto" w:fill="auto"/>
            <w:noWrap/>
            <w:vAlign w:val="center"/>
          </w:tcPr>
          <w:p>
            <w:pPr>
              <w:widowControl/>
              <w:spacing w:line="240" w:lineRule="auto"/>
              <w:ind w:firstLine="0" w:firstLineChars="0"/>
              <w:jc w:val="center"/>
              <w:rPr>
                <w:rFonts w:hint="eastAsia" w:ascii="仿宋" w:hAnsi="仿宋" w:eastAsia="仿宋" w:cs="仿宋"/>
                <w:b/>
                <w:bCs/>
              </w:rPr>
            </w:pPr>
            <w:r>
              <w:rPr>
                <w:rFonts w:hint="eastAsia" w:ascii="仿宋" w:hAnsi="仿宋" w:eastAsia="仿宋" w:cs="仿宋"/>
                <w:b/>
                <w:bCs/>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运维经理</w:t>
            </w:r>
          </w:p>
        </w:tc>
        <w:tc>
          <w:tcPr>
            <w:tcW w:w="2402" w:type="dxa"/>
            <w:shd w:val="clear" w:color="auto" w:fill="auto"/>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负责质保期间项目质量和运维进度控制</w:t>
            </w:r>
          </w:p>
        </w:tc>
        <w:tc>
          <w:tcPr>
            <w:tcW w:w="1247"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1人</w:t>
            </w:r>
          </w:p>
        </w:tc>
        <w:tc>
          <w:tcPr>
            <w:tcW w:w="2128" w:type="dxa"/>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具有高级工程师证书，具有一级建造师（机电）执业资格证书</w:t>
            </w:r>
          </w:p>
        </w:tc>
        <w:tc>
          <w:tcPr>
            <w:tcW w:w="1199"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不驻场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2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维护工程师</w:t>
            </w:r>
          </w:p>
        </w:tc>
        <w:tc>
          <w:tcPr>
            <w:tcW w:w="2402" w:type="dxa"/>
            <w:shd w:val="clear" w:color="auto" w:fill="auto"/>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负责项目运行维护</w:t>
            </w:r>
          </w:p>
        </w:tc>
        <w:tc>
          <w:tcPr>
            <w:tcW w:w="1247"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1人</w:t>
            </w:r>
          </w:p>
        </w:tc>
        <w:tc>
          <w:tcPr>
            <w:tcW w:w="2128" w:type="dxa"/>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熟悉软硬件基本维护</w:t>
            </w:r>
          </w:p>
        </w:tc>
        <w:tc>
          <w:tcPr>
            <w:tcW w:w="1199"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26"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技术工程师</w:t>
            </w:r>
          </w:p>
        </w:tc>
        <w:tc>
          <w:tcPr>
            <w:tcW w:w="2402"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负责项目运行维护</w:t>
            </w:r>
          </w:p>
        </w:tc>
        <w:tc>
          <w:tcPr>
            <w:tcW w:w="1247"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1人</w:t>
            </w:r>
          </w:p>
        </w:tc>
        <w:tc>
          <w:tcPr>
            <w:tcW w:w="2128" w:type="dxa"/>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熟悉产品性能，熟悉软硬件基本维护</w:t>
            </w:r>
          </w:p>
        </w:tc>
        <w:tc>
          <w:tcPr>
            <w:tcW w:w="1199" w:type="dxa"/>
            <w:shd w:val="clear" w:color="auto" w:fill="auto"/>
            <w:noWrap/>
            <w:vAlign w:val="center"/>
          </w:tcPr>
          <w:p>
            <w:pPr>
              <w:widowControl/>
              <w:spacing w:line="240" w:lineRule="auto"/>
              <w:ind w:firstLine="0" w:firstLineChars="0"/>
              <w:jc w:val="center"/>
              <w:rPr>
                <w:rFonts w:hint="eastAsia" w:ascii="仿宋" w:hAnsi="仿宋" w:eastAsia="仿宋" w:cs="仿宋"/>
              </w:rPr>
            </w:pPr>
            <w:r>
              <w:rPr>
                <w:rFonts w:hint="eastAsia" w:ascii="仿宋" w:hAnsi="仿宋" w:eastAsia="仿宋" w:cs="仿宋"/>
              </w:rPr>
              <w:t>驻场</w:t>
            </w:r>
          </w:p>
        </w:tc>
      </w:tr>
    </w:tbl>
    <w:p>
      <w:pPr>
        <w:rPr>
          <w:rFonts w:hint="eastAsia"/>
        </w:rPr>
      </w:pPr>
    </w:p>
    <w:p>
      <w:pPr>
        <w:pStyle w:val="3"/>
        <w:rPr>
          <w:rFonts w:hint="eastAsia"/>
        </w:rPr>
      </w:pPr>
      <w:r>
        <w:rPr>
          <w:rFonts w:hint="eastAsia"/>
        </w:rPr>
        <w:t>供应商综合能力</w:t>
      </w:r>
    </w:p>
    <w:p>
      <w:pPr>
        <w:rPr>
          <w:rFonts w:hint="eastAsia" w:ascii="仿宋" w:hAnsi="仿宋" w:eastAsia="仿宋" w:cs="仿宋"/>
        </w:rPr>
      </w:pPr>
      <w:r>
        <w:rPr>
          <w:rFonts w:hint="eastAsia" w:ascii="仿宋" w:hAnsi="仿宋" w:eastAsia="仿宋" w:cs="仿宋"/>
        </w:rPr>
        <w:t>供应商具有ISO9001质量管理体系认证证书、ISO20000信息技术服务管理体系认证证书、信息系统建设和服务能力评估基本级以上证书（CS2）、信息系统安全集成服务资质（CCRC）证书的优先考虑。</w:t>
      </w:r>
    </w:p>
    <w:p>
      <w:pPr>
        <w:pStyle w:val="3"/>
        <w:rPr>
          <w:rFonts w:hint="eastAsia"/>
        </w:rPr>
      </w:pPr>
      <w:bookmarkStart w:id="26" w:name="_Toc63785511"/>
      <w:r>
        <w:t>等级保护要求</w:t>
      </w:r>
      <w:bookmarkEnd w:id="26"/>
    </w:p>
    <w:p>
      <w:pPr>
        <w:rPr>
          <w:rFonts w:hint="eastAsia" w:ascii="仿宋" w:hAnsi="仿宋" w:eastAsia="仿宋" w:cstheme="minorEastAsia"/>
        </w:rPr>
      </w:pPr>
      <w:r>
        <w:rPr>
          <w:rFonts w:hint="eastAsia" w:ascii="仿宋" w:hAnsi="仿宋" w:eastAsia="仿宋" w:cstheme="minorEastAsia"/>
        </w:rPr>
        <w:t>本项目等级保护要求：</w:t>
      </w:r>
    </w:p>
    <w:p>
      <w:pPr>
        <w:rPr>
          <w:rFonts w:hint="eastAsia" w:ascii="仿宋" w:hAnsi="仿宋" w:eastAsia="仿宋" w:cstheme="minorEastAsia"/>
        </w:rPr>
      </w:pPr>
      <w:r>
        <w:rPr>
          <w:rFonts w:hint="eastAsia" w:ascii="仿宋" w:hAnsi="仿宋" w:eastAsia="仿宋" w:cstheme="minorEastAsia"/>
        </w:rPr>
        <w:t>参照信息系统安全等级保护三级进行建设。</w:t>
      </w:r>
      <w:bookmarkStart w:id="27" w:name="_Toc63785512"/>
    </w:p>
    <w:p>
      <w:pPr>
        <w:pStyle w:val="3"/>
        <w:rPr>
          <w:rFonts w:hint="eastAsia" w:ascii="仿宋" w:hAnsi="仿宋" w:eastAsia="仿宋" w:cs="仿宋"/>
        </w:rPr>
      </w:pPr>
      <w:r>
        <w:rPr>
          <w:rFonts w:hint="eastAsia" w:ascii="仿宋" w:hAnsi="仿宋" w:eastAsia="仿宋" w:cs="仿宋"/>
        </w:rPr>
        <w:t>商业密码应用需求</w:t>
      </w:r>
    </w:p>
    <w:p>
      <w:pPr>
        <w:rPr>
          <w:rFonts w:hint="eastAsia"/>
        </w:rPr>
      </w:pPr>
      <w:r>
        <w:rPr>
          <w:rFonts w:hint="eastAsia" w:ascii="仿宋" w:hAnsi="仿宋" w:eastAsia="仿宋" w:cs="仿宋"/>
        </w:rPr>
        <w:t>本项目</w:t>
      </w:r>
      <w:r>
        <w:rPr>
          <w:rFonts w:hint="eastAsia" w:ascii="仿宋" w:hAnsi="仿宋" w:eastAsia="仿宋" w:cs="仿宋"/>
          <w:lang w:bidi="ar"/>
        </w:rPr>
        <w:t>验收前应通过密码应用测评，报告关键要素应符合上海市大数据中心相关要求。</w:t>
      </w:r>
    </w:p>
    <w:p>
      <w:pPr>
        <w:pStyle w:val="3"/>
        <w:rPr>
          <w:rFonts w:hint="eastAsia"/>
        </w:rPr>
      </w:pPr>
      <w:r>
        <w:rPr>
          <w:rFonts w:hint="eastAsia"/>
        </w:rPr>
        <w:t>技术文件要求</w:t>
      </w:r>
    </w:p>
    <w:p>
      <w:pPr>
        <w:rPr>
          <w:rFonts w:hint="eastAsia" w:ascii="仿宋" w:hAnsi="仿宋" w:eastAsia="仿宋" w:cstheme="minorEastAsia"/>
        </w:rPr>
      </w:pPr>
      <w:r>
        <w:rPr>
          <w:rFonts w:hint="eastAsia" w:ascii="仿宋" w:hAnsi="仿宋" w:eastAsia="仿宋" w:cstheme="minorEastAsia"/>
        </w:rPr>
        <w:t>供应商提供的书面技术资料应能确保系统正常运行所需的管理、运营及维护有关的全套文件。技术文件应该全面、完整、详细。供应商提供的技术文件至少应包括：</w:t>
      </w:r>
    </w:p>
    <w:p>
      <w:pPr>
        <w:rPr>
          <w:rFonts w:hint="eastAsia" w:ascii="仿宋" w:hAnsi="仿宋" w:eastAsia="仿宋" w:cstheme="minorEastAsia"/>
        </w:rPr>
      </w:pPr>
      <w:r>
        <w:rPr>
          <w:rFonts w:hint="eastAsia" w:ascii="仿宋" w:hAnsi="仿宋" w:eastAsia="仿宋" w:cstheme="minorEastAsia"/>
        </w:rPr>
        <w:t>－系统说明文件；</w:t>
      </w:r>
    </w:p>
    <w:p>
      <w:pPr>
        <w:rPr>
          <w:rFonts w:hint="eastAsia" w:ascii="仿宋" w:hAnsi="仿宋" w:eastAsia="仿宋" w:cstheme="minorEastAsia"/>
        </w:rPr>
      </w:pPr>
      <w:r>
        <w:rPr>
          <w:rFonts w:hint="eastAsia" w:ascii="仿宋" w:hAnsi="仿宋" w:eastAsia="仿宋" w:cstheme="minorEastAsia"/>
        </w:rPr>
        <w:t>－技术手册(安装、测试、操作、维护、故障排除等)；</w:t>
      </w:r>
    </w:p>
    <w:p>
      <w:pPr>
        <w:rPr>
          <w:rFonts w:hint="eastAsia" w:ascii="仿宋" w:hAnsi="仿宋" w:eastAsia="仿宋" w:cstheme="minorEastAsia"/>
        </w:rPr>
      </w:pPr>
      <w:r>
        <w:rPr>
          <w:rFonts w:hint="eastAsia" w:ascii="仿宋" w:hAnsi="仿宋" w:eastAsia="仿宋" w:cstheme="minorEastAsia"/>
        </w:rPr>
        <w:t>－项目文档，至少应该包括：</w:t>
      </w:r>
    </w:p>
    <w:p>
      <w:pPr>
        <w:ind w:left="360"/>
        <w:rPr>
          <w:rFonts w:hint="eastAsia" w:ascii="仿宋" w:hAnsi="仿宋" w:eastAsia="仿宋"/>
        </w:rPr>
      </w:pPr>
      <w:r>
        <w:rPr>
          <w:rFonts w:ascii="仿宋" w:hAnsi="仿宋" w:eastAsia="仿宋"/>
        </w:rPr>
        <w:t>(1)软件需求说明书</w:t>
      </w:r>
    </w:p>
    <w:p>
      <w:pPr>
        <w:ind w:left="360"/>
        <w:rPr>
          <w:rFonts w:hint="eastAsia" w:ascii="仿宋" w:hAnsi="仿宋" w:eastAsia="仿宋"/>
        </w:rPr>
      </w:pPr>
      <w:r>
        <w:rPr>
          <w:rFonts w:ascii="仿宋" w:hAnsi="仿宋" w:eastAsia="仿宋"/>
        </w:rPr>
        <w:t>(2)系统总体设计说明书</w:t>
      </w:r>
    </w:p>
    <w:p>
      <w:pPr>
        <w:ind w:left="360"/>
        <w:rPr>
          <w:rFonts w:hint="eastAsia" w:ascii="仿宋" w:hAnsi="仿宋" w:eastAsia="仿宋"/>
        </w:rPr>
      </w:pPr>
      <w:r>
        <w:rPr>
          <w:rFonts w:ascii="仿宋" w:hAnsi="仿宋" w:eastAsia="仿宋"/>
        </w:rPr>
        <w:t>(3)应用软件功能清单</w:t>
      </w:r>
    </w:p>
    <w:p>
      <w:pPr>
        <w:ind w:left="360"/>
        <w:rPr>
          <w:rFonts w:hint="eastAsia" w:ascii="仿宋" w:hAnsi="仿宋" w:eastAsia="仿宋"/>
        </w:rPr>
      </w:pPr>
      <w:r>
        <w:rPr>
          <w:rFonts w:ascii="仿宋" w:hAnsi="仿宋" w:eastAsia="仿宋"/>
        </w:rPr>
        <w:t>(</w:t>
      </w:r>
      <w:r>
        <w:rPr>
          <w:rFonts w:hint="eastAsia" w:ascii="仿宋" w:hAnsi="仿宋" w:eastAsia="仿宋"/>
        </w:rPr>
        <w:t>4</w:t>
      </w:r>
      <w:r>
        <w:rPr>
          <w:rFonts w:ascii="仿宋" w:hAnsi="仿宋" w:eastAsia="仿宋"/>
        </w:rPr>
        <w:t>)</w:t>
      </w:r>
      <w:r>
        <w:rPr>
          <w:rFonts w:hint="eastAsia" w:ascii="仿宋" w:hAnsi="仿宋" w:eastAsia="仿宋"/>
        </w:rPr>
        <w:t>系统集成方案</w:t>
      </w:r>
    </w:p>
    <w:p>
      <w:pPr>
        <w:ind w:left="360"/>
        <w:rPr>
          <w:rFonts w:hint="eastAsia" w:ascii="仿宋" w:hAnsi="仿宋" w:eastAsia="仿宋"/>
        </w:rPr>
      </w:pPr>
      <w:r>
        <w:rPr>
          <w:rFonts w:ascii="仿宋" w:hAnsi="仿宋" w:eastAsia="仿宋"/>
        </w:rPr>
        <w:t>(</w:t>
      </w:r>
      <w:r>
        <w:rPr>
          <w:rFonts w:hint="eastAsia" w:ascii="仿宋" w:hAnsi="仿宋" w:eastAsia="仿宋"/>
        </w:rPr>
        <w:t>5</w:t>
      </w:r>
      <w:r>
        <w:rPr>
          <w:rFonts w:ascii="仿宋" w:hAnsi="仿宋" w:eastAsia="仿宋"/>
        </w:rPr>
        <w:t>)</w:t>
      </w:r>
      <w:r>
        <w:rPr>
          <w:rFonts w:hint="eastAsia" w:ascii="仿宋" w:hAnsi="仿宋" w:eastAsia="仿宋"/>
        </w:rPr>
        <w:t>设计图纸</w:t>
      </w:r>
    </w:p>
    <w:p>
      <w:pPr>
        <w:rPr>
          <w:rFonts w:hint="eastAsia" w:ascii="仿宋" w:hAnsi="仿宋" w:eastAsia="仿宋" w:cs="宋体"/>
        </w:rPr>
      </w:pPr>
      <w:r>
        <w:rPr>
          <w:rFonts w:hint="eastAsia" w:ascii="仿宋" w:hAnsi="仿宋" w:eastAsia="仿宋" w:cs="宋体"/>
        </w:rPr>
        <w:t>提供全套技术文件纸介质3套以及电子文件1套。</w:t>
      </w:r>
    </w:p>
    <w:p>
      <w:pPr>
        <w:rPr>
          <w:rFonts w:hint="eastAsia"/>
        </w:rPr>
      </w:pPr>
    </w:p>
    <w:p>
      <w:pPr>
        <w:pStyle w:val="2"/>
        <w:rPr>
          <w:rFonts w:hint="eastAsia"/>
        </w:rPr>
      </w:pPr>
      <w:r>
        <w:rPr>
          <w:rFonts w:hint="eastAsia"/>
        </w:rPr>
        <w:t>供应商资质要求</w:t>
      </w:r>
    </w:p>
    <w:p>
      <w:pPr>
        <w:rPr>
          <w:rFonts w:hint="eastAsia" w:ascii="仿宋" w:hAnsi="仿宋" w:eastAsia="仿宋" w:cstheme="minorEastAsia"/>
        </w:rPr>
      </w:pPr>
      <w:r>
        <w:rPr>
          <w:rFonts w:hint="eastAsia" w:ascii="仿宋" w:hAnsi="仿宋" w:eastAsia="仿宋" w:cstheme="minorEastAsia"/>
        </w:rPr>
        <w:t>1、符合《中华人民共和国政府采购法》第二十二条规定的供应商。</w:t>
      </w:r>
    </w:p>
    <w:p>
      <w:pPr>
        <w:rPr>
          <w:rFonts w:hint="eastAsia" w:ascii="仿宋" w:hAnsi="仿宋" w:eastAsia="仿宋" w:cstheme="minorEastAsia"/>
        </w:rPr>
      </w:pPr>
      <w:r>
        <w:rPr>
          <w:rFonts w:hint="eastAsia" w:ascii="仿宋" w:hAnsi="仿宋" w:eastAsia="仿宋" w:cstheme="minorEastAsia"/>
        </w:rPr>
        <w:t>2、根据《上海市政府采购供应商登记及诚信管理办法》已登记入库的供应商。</w:t>
      </w:r>
    </w:p>
    <w:p>
      <w:pPr>
        <w:rPr>
          <w:rFonts w:hint="eastAsia" w:ascii="仿宋" w:hAnsi="仿宋" w:eastAsia="仿宋" w:cstheme="minorEastAsia"/>
        </w:rPr>
      </w:pPr>
      <w:r>
        <w:rPr>
          <w:rFonts w:hint="eastAsia" w:ascii="仿宋" w:hAnsi="仿宋" w:eastAsia="仿宋" w:cstheme="minorEastAsia"/>
        </w:rPr>
        <w:t>3、其他资格要求：</w:t>
      </w:r>
    </w:p>
    <w:p>
      <w:pPr>
        <w:rPr>
          <w:rFonts w:hint="eastAsia" w:ascii="仿宋" w:hAnsi="仿宋" w:eastAsia="仿宋" w:cstheme="minorEastAsia"/>
        </w:rPr>
      </w:pPr>
      <w:r>
        <w:rPr>
          <w:rFonts w:hint="eastAsia" w:ascii="仿宋" w:hAnsi="仿宋" w:eastAsia="仿宋" w:cstheme="minorEastAsia"/>
        </w:rPr>
        <w:t>3.1本项目面向大、中、小、微型等各类供应商采购。</w:t>
      </w:r>
    </w:p>
    <w:p>
      <w:pPr>
        <w:rPr>
          <w:rFonts w:hint="eastAsia" w:ascii="仿宋" w:hAnsi="仿宋" w:eastAsia="仿宋" w:cstheme="minorEastAsia"/>
        </w:rPr>
      </w:pPr>
      <w:r>
        <w:rPr>
          <w:rFonts w:hint="eastAsia" w:ascii="仿宋" w:hAnsi="仿宋" w:eastAsia="仿宋" w:cstheme="minorEastAsia"/>
        </w:rPr>
        <w:t>3.2未被列入“信用中国”网站(www.creditchina.gov.cn)失信被执行人名单、重大税收违法案件当事人名单和中国政府采购网(www.ccgp.gov.cn)政府采购严重违法失信行为记录名单。</w:t>
      </w:r>
    </w:p>
    <w:p>
      <w:pPr>
        <w:rPr>
          <w:rFonts w:hint="eastAsia"/>
        </w:rPr>
      </w:pPr>
    </w:p>
    <w:p>
      <w:pPr>
        <w:pStyle w:val="2"/>
        <w:rPr>
          <w:rFonts w:hint="eastAsia"/>
        </w:rPr>
      </w:pPr>
      <w:r>
        <w:rPr>
          <w:rFonts w:hint="eastAsia"/>
        </w:rPr>
        <w:t>供应商管理要求</w:t>
      </w:r>
      <w:bookmarkEnd w:id="27"/>
    </w:p>
    <w:p>
      <w:pPr>
        <w:rPr>
          <w:rFonts w:hint="eastAsia" w:ascii="仿宋" w:hAnsi="仿宋" w:eastAsia="仿宋" w:cstheme="minorEastAsia"/>
        </w:rPr>
      </w:pPr>
      <w:r>
        <w:rPr>
          <w:rFonts w:hint="eastAsia" w:ascii="仿宋" w:hAnsi="仿宋" w:eastAsia="仿宋" w:cstheme="minorEastAsia"/>
        </w:rPr>
        <w:t>1、在项目实施期间，供应商应严格执行国家、地方、行业有关本项目业务管理和安全作业的法律、法规和制度并按规定承担相应的费用。供应商因违反规定等原因造成的一切损失和责任由供应商自行承担。</w:t>
      </w:r>
    </w:p>
    <w:p>
      <w:pPr>
        <w:rPr>
          <w:rFonts w:hint="eastAsia" w:ascii="仿宋" w:hAnsi="仿宋" w:eastAsia="仿宋" w:cstheme="minorEastAsia"/>
        </w:rPr>
      </w:pPr>
      <w:r>
        <w:rPr>
          <w:rFonts w:hint="eastAsia" w:ascii="仿宋" w:hAnsi="仿宋" w:eastAsia="仿宋" w:cstheme="minorEastAsia"/>
        </w:rPr>
        <w:t>2、供应商在响应文件中承诺并经采购人认定的项目负责人及专业技术人员必须是本单位职工（在本单位缴纳社会保障金）和该项目实施现场的实际操作者，应具有类似本项目的实施经验，并应在软件应用调研、安装、试运行等期间常驻项目现场。未经采购人同意，供应商不得调换或撤离上述人员。如采购人认为有必要，可要求供应商对上述人员中的部分人员作出更好的调整。</w:t>
      </w:r>
    </w:p>
    <w:p>
      <w:pPr>
        <w:rPr>
          <w:rFonts w:hint="eastAsia" w:ascii="仿宋" w:hAnsi="仿宋" w:eastAsia="仿宋" w:cstheme="minorEastAsia"/>
        </w:rPr>
      </w:pPr>
      <w:r>
        <w:rPr>
          <w:rFonts w:hint="eastAsia" w:ascii="仿宋" w:hAnsi="仿宋" w:eastAsia="仿宋" w:cstheme="minorEastAsia"/>
        </w:rPr>
        <w:t>3、供应商在项目实施期间，应按项目实际进度与环节落实所对应项目整体及各环节管理工作，按照规范做好项目实施期间相关管理与实施记录。</w:t>
      </w:r>
    </w:p>
    <w:p>
      <w:pPr>
        <w:rPr>
          <w:rFonts w:hint="eastAsia" w:ascii="仿宋" w:hAnsi="仿宋" w:eastAsia="仿宋" w:cstheme="minorEastAsia"/>
        </w:rPr>
      </w:pPr>
      <w:r>
        <w:rPr>
          <w:rFonts w:hint="eastAsia" w:ascii="仿宋" w:hAnsi="仿宋" w:eastAsia="仿宋" w:cstheme="minorEastAsia"/>
        </w:rPr>
        <w:t>4、参与本项目的工作人员应严格遵循采购人的安全制度，保障采购人资料和设备的安全。供应商如需进入采购人机房工作，只能在采购人规定的工作区域内对项目涉及的设备进行操作，严禁触动与项目无关的任何设备（包括任何操作行为），如需跨区操作必须得到采购人项目联系人确认。</w:t>
      </w:r>
    </w:p>
    <w:p>
      <w:pPr>
        <w:rPr>
          <w:rFonts w:hint="eastAsia" w:ascii="仿宋" w:hAnsi="仿宋" w:eastAsia="仿宋" w:cstheme="minorEastAsia"/>
        </w:rPr>
      </w:pPr>
      <w:r>
        <w:rPr>
          <w:rFonts w:hint="eastAsia" w:ascii="仿宋" w:hAnsi="仿宋" w:eastAsia="仿宋" w:cstheme="minorEastAsia"/>
        </w:rPr>
        <w:t>5、供应商在项目实施期间必须遵守采购人的规章制度并提供实施人员名单。</w:t>
      </w:r>
    </w:p>
    <w:p>
      <w:pPr>
        <w:rPr>
          <w:rFonts w:hint="eastAsia" w:ascii="仿宋" w:hAnsi="仿宋" w:eastAsia="仿宋" w:cstheme="minorEastAsia"/>
        </w:rPr>
      </w:pPr>
      <w:r>
        <w:rPr>
          <w:rFonts w:hint="eastAsia" w:ascii="仿宋" w:hAnsi="仿宋" w:eastAsia="仿宋" w:cstheme="minorEastAsia"/>
        </w:rPr>
        <w:t>6、各供应商在响应文件中要结合本项目的特点和采购人上述的具体要求制定相应的管理措施，并在报价中列支相应的费用清单，供应商报价中未列支上述费用清单的，上述费用视为已包含在供应商的总报价中。</w:t>
      </w:r>
    </w:p>
    <w:p>
      <w:pPr>
        <w:rPr>
          <w:rFonts w:hint="eastAsia" w:ascii="仿宋" w:hAnsi="仿宋" w:eastAsia="仿宋" w:cstheme="minorEastAsia"/>
        </w:rPr>
      </w:pPr>
      <w:r>
        <w:rPr>
          <w:rFonts w:hint="eastAsia" w:ascii="仿宋" w:hAnsi="仿宋" w:eastAsia="仿宋" w:cstheme="minorEastAsia"/>
        </w:rPr>
        <w:t>7、本项目软件开发及调试将纳入采购人的管理范围，供应商在此过程中须服从上述单位的管理协调。</w:t>
      </w:r>
    </w:p>
    <w:p>
      <w:pPr>
        <w:pStyle w:val="2"/>
        <w:rPr>
          <w:rFonts w:hint="eastAsia"/>
        </w:rPr>
      </w:pPr>
      <w:bookmarkStart w:id="28" w:name="_Toc63785513"/>
      <w:r>
        <w:rPr>
          <w:rFonts w:hint="eastAsia"/>
        </w:rPr>
        <w:t>关于转让和分包的规定</w:t>
      </w:r>
    </w:p>
    <w:p>
      <w:pPr>
        <w:rPr>
          <w:rFonts w:hint="eastAsia" w:ascii="仿宋" w:hAnsi="仿宋" w:eastAsia="仿宋" w:cstheme="minorEastAsia"/>
        </w:rPr>
      </w:pPr>
      <w:r>
        <w:rPr>
          <w:rFonts w:hint="eastAsia" w:ascii="仿宋" w:hAnsi="仿宋" w:eastAsia="仿宋" w:cstheme="minorEastAsia"/>
        </w:rPr>
        <w:t>本项目不得转让、不得分包。</w:t>
      </w:r>
    </w:p>
    <w:p>
      <w:pPr>
        <w:pStyle w:val="2"/>
        <w:rPr>
          <w:rFonts w:hint="eastAsia"/>
        </w:rPr>
      </w:pPr>
      <w:r>
        <w:rPr>
          <w:rFonts w:hint="eastAsia"/>
        </w:rPr>
        <w:t>知识产权及保密要求</w:t>
      </w:r>
      <w:bookmarkEnd w:id="28"/>
    </w:p>
    <w:p>
      <w:pPr>
        <w:rPr>
          <w:rFonts w:hint="eastAsia" w:ascii="仿宋" w:hAnsi="仿宋" w:eastAsia="仿宋" w:cstheme="minorEastAsia"/>
        </w:rPr>
      </w:pPr>
      <w:r>
        <w:rPr>
          <w:rFonts w:hint="eastAsia" w:ascii="仿宋" w:hAnsi="仿宋" w:eastAsia="仿宋" w:cstheme="minorEastAsia"/>
        </w:rPr>
        <w:t>1、供应商数据、文件、资料知识产权</w:t>
      </w:r>
    </w:p>
    <w:p>
      <w:pPr>
        <w:rPr>
          <w:rFonts w:hint="eastAsia" w:ascii="仿宋" w:hAnsi="仿宋" w:eastAsia="仿宋" w:cstheme="minorEastAsia"/>
        </w:rPr>
      </w:pPr>
      <w:r>
        <w:rPr>
          <w:rFonts w:hint="eastAsia" w:ascii="仿宋" w:hAnsi="仿宋" w:eastAsia="仿宋" w:cstheme="minorEastAsia"/>
        </w:rPr>
        <w:t>供应商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供应商应负责与第三方解决纠纷，若因此导致采购人损失的，采购人有权要求供应商赔偿采购人因此遭受的全部损失，包括但不限于直接损失、间接损失、诉讼费／仲裁费、律师费、公证费、鉴定费等。</w:t>
      </w:r>
    </w:p>
    <w:p>
      <w:pPr>
        <w:rPr>
          <w:rFonts w:hint="eastAsia" w:ascii="仿宋" w:hAnsi="仿宋" w:eastAsia="仿宋" w:cstheme="minorEastAsia"/>
        </w:rPr>
      </w:pPr>
      <w:r>
        <w:rPr>
          <w:rFonts w:hint="eastAsia" w:ascii="仿宋" w:hAnsi="仿宋" w:eastAsia="仿宋" w:cstheme="minorEastAsia"/>
        </w:rPr>
        <w:t>供应商因履行本项目而产生的所有成果的知识产权等权利均归采购人所有，供应商应配合采购人进行相关权利登记或申请。未经采购人书面同意，供应商不得以任何形式使用或许可他人使用本项目成果的相关内容，不得擅自对外公开发表或向任何第三方透露。</w:t>
      </w:r>
    </w:p>
    <w:p>
      <w:pPr>
        <w:rPr>
          <w:rFonts w:hint="eastAsia" w:ascii="仿宋" w:hAnsi="仿宋" w:eastAsia="仿宋" w:cstheme="minorEastAsia"/>
        </w:rPr>
      </w:pPr>
      <w:r>
        <w:rPr>
          <w:rFonts w:hint="eastAsia" w:ascii="仿宋" w:hAnsi="仿宋" w:eastAsia="仿宋" w:cstheme="minorEastAsia"/>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pPr>
        <w:rPr>
          <w:rFonts w:hint="eastAsia" w:ascii="仿宋" w:hAnsi="仿宋" w:eastAsia="仿宋" w:cstheme="minorEastAsia"/>
        </w:rPr>
      </w:pPr>
      <w:r>
        <w:rPr>
          <w:rFonts w:hint="eastAsia" w:ascii="仿宋" w:hAnsi="仿宋" w:eastAsia="仿宋" w:cstheme="minorEastAsia"/>
        </w:rPr>
        <w:t>2、项目保密要求</w:t>
      </w:r>
    </w:p>
    <w:p>
      <w:pPr>
        <w:rPr>
          <w:rFonts w:hint="eastAsia" w:ascii="仿宋" w:hAnsi="仿宋" w:eastAsia="仿宋" w:cstheme="minorEastAsia"/>
        </w:rPr>
      </w:pPr>
      <w:r>
        <w:rPr>
          <w:rFonts w:hint="eastAsia" w:ascii="仿宋" w:hAnsi="仿宋" w:eastAsia="仿宋" w:cstheme="minorEastAsia"/>
        </w:rPr>
        <w:t>供应商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供应商不得对外泄露采购人要求保密的信息，不得用于其他用途，否则供应商需承担由此引起的法律责任和经济责任，包括但不限于直接损失、间接损失、律师费、诉讼费/仲裁费、调查费、公证费等。</w:t>
      </w:r>
    </w:p>
    <w:p>
      <w:pPr>
        <w:rPr>
          <w:rFonts w:hint="eastAsia" w:ascii="仿宋" w:hAnsi="仿宋" w:eastAsia="仿宋" w:cstheme="minorEastAsia"/>
        </w:rPr>
      </w:pPr>
      <w:r>
        <w:rPr>
          <w:rFonts w:hint="eastAsia" w:ascii="仿宋" w:hAnsi="仿宋" w:eastAsia="仿宋" w:cstheme="minorEastAsia"/>
        </w:rPr>
        <w:t>供应商应采取必要的有效措施保证其参与本项目的人员（包括供应商聘用的人员、借调的人员、实习的人员）无论是在职或离职后，以及供应商的合作方无论是合作中或合作终止后，都能够履行本项目约定的保密义务。若供应商人员或供应商合作方违反保密规定，供应商应承担连带责任。</w:t>
      </w:r>
    </w:p>
    <w:p>
      <w:pPr>
        <w:rPr>
          <w:rFonts w:hint="eastAsia" w:ascii="仿宋" w:hAnsi="仿宋" w:eastAsia="仿宋" w:cstheme="minorEastAsia"/>
        </w:rPr>
      </w:pPr>
      <w:r>
        <w:rPr>
          <w:rFonts w:hint="eastAsia" w:ascii="仿宋" w:hAnsi="仿宋" w:eastAsia="仿宋" w:cstheme="minorEastAsia"/>
        </w:rPr>
        <w:t>供应商（含供应商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pPr>
        <w:rPr>
          <w:rFonts w:hint="eastAsia" w:ascii="仿宋" w:hAnsi="仿宋" w:eastAsia="仿宋" w:cstheme="minorEastAsia"/>
        </w:rPr>
      </w:pPr>
      <w:r>
        <w:rPr>
          <w:rFonts w:hint="eastAsia" w:ascii="仿宋" w:hAnsi="仿宋" w:eastAsia="仿宋" w:cstheme="minorEastAsia"/>
        </w:rPr>
        <w:t>以上内容的保密期限自供应商知悉保密信息起始至保密信息被合法公开之日止。</w:t>
      </w:r>
    </w:p>
    <w:p>
      <w:pPr>
        <w:rPr>
          <w:rFonts w:hint="eastAsia" w:ascii="仿宋" w:hAnsi="仿宋" w:eastAsia="仿宋" w:cstheme="minorEastAsia"/>
        </w:rPr>
      </w:pPr>
      <w:r>
        <w:rPr>
          <w:rFonts w:hint="eastAsia" w:ascii="仿宋" w:hAnsi="仿宋" w:eastAsia="仿宋" w:cstheme="minorEastAsia"/>
        </w:rPr>
        <w:t>3、临时账号等使用要求</w:t>
      </w:r>
    </w:p>
    <w:p>
      <w:pPr>
        <w:rPr>
          <w:rFonts w:hint="eastAsia" w:ascii="仿宋" w:hAnsi="仿宋" w:eastAsia="仿宋" w:cstheme="minorEastAsia"/>
        </w:rPr>
      </w:pPr>
      <w:r>
        <w:rPr>
          <w:rFonts w:hint="eastAsia" w:ascii="仿宋" w:hAnsi="仿宋" w:eastAsia="仿宋" w:cstheme="minorEastAsia"/>
        </w:rPr>
        <w:t>供应商对采购人提拱的临时使用账号要保密，不得公开，对组件开发的账号密码需进行加密，避免信息安全的泄露。未经采购人的同意不得利用采购人的网络及平台进行短信、彩信、微信发送,造成的一切后果由供应商负责。</w:t>
      </w:r>
    </w:p>
    <w:p>
      <w:pPr>
        <w:rPr>
          <w:rFonts w:hint="eastAsia"/>
        </w:rPr>
      </w:pPr>
    </w:p>
    <w:p>
      <w:pPr>
        <w:pStyle w:val="2"/>
        <w:rPr>
          <w:rFonts w:hint="eastAsia"/>
        </w:rPr>
      </w:pPr>
      <w:bookmarkStart w:id="29" w:name="_Toc65170093"/>
      <w:r>
        <w:t>项目的变更、解除和终止</w:t>
      </w:r>
    </w:p>
    <w:p>
      <w:pPr>
        <w:rPr>
          <w:rFonts w:hint="eastAsia" w:ascii="仿宋" w:hAnsi="仿宋" w:eastAsia="仿宋" w:cstheme="minorEastAsia"/>
        </w:rPr>
      </w:pPr>
      <w:r>
        <w:rPr>
          <w:rFonts w:hint="eastAsia" w:ascii="仿宋" w:hAnsi="仿宋" w:eastAsia="仿宋" w:cstheme="minorEastAsia"/>
        </w:rPr>
        <w:t>如果供应商丧失履约能力、发生资不抵债或进入破产程序，采购人可在任何时候以书面形式通知供应商终止本项目的执行而不给予供应商补偿。该终止本项目将不损害或影响采购人已经采取或将要采取任何行动或补救措施的权利。</w:t>
      </w:r>
    </w:p>
    <w:p>
      <w:pPr>
        <w:rPr>
          <w:rFonts w:hint="eastAsia" w:ascii="仿宋" w:hAnsi="仿宋" w:eastAsia="仿宋" w:cstheme="minorEastAsia"/>
        </w:rPr>
      </w:pPr>
      <w:r>
        <w:rPr>
          <w:rFonts w:hint="eastAsia" w:ascii="仿宋" w:hAnsi="仿宋" w:eastAsia="仿宋" w:cstheme="minorEastAsia"/>
        </w:rPr>
        <w:t>如遇国家、行业管理部门等机构的有关标准和规定调整的，导致本项目内容须做相应调整时，双方应按照公平、合理的原则共同协商修改本项目对应的合同的相关条款。</w:t>
      </w:r>
    </w:p>
    <w:bookmarkEnd w:id="29"/>
    <w:p>
      <w:pPr>
        <w:pStyle w:val="2"/>
        <w:rPr>
          <w:rFonts w:hint="eastAsia"/>
        </w:rPr>
      </w:pPr>
      <w:bookmarkStart w:id="30" w:name="_Toc63785514"/>
      <w:r>
        <w:rPr>
          <w:rFonts w:hint="eastAsia"/>
        </w:rPr>
        <w:t>付款</w:t>
      </w:r>
      <w:bookmarkEnd w:id="30"/>
      <w:r>
        <w:rPr>
          <w:rFonts w:hint="eastAsia"/>
        </w:rPr>
        <w:t>方式</w:t>
      </w:r>
    </w:p>
    <w:p>
      <w:pPr>
        <w:rPr>
          <w:rFonts w:hint="eastAsia" w:ascii="仿宋" w:hAnsi="仿宋" w:eastAsia="仿宋" w:cstheme="minorEastAsia"/>
        </w:rPr>
      </w:pPr>
      <w:r>
        <w:rPr>
          <w:rFonts w:hint="eastAsia" w:ascii="仿宋" w:hAnsi="仿宋" w:eastAsia="仿宋" w:cstheme="minorEastAsia"/>
        </w:rPr>
        <w:t>本项目拟采用二期分期付款方式付款</w:t>
      </w:r>
    </w:p>
    <w:p>
      <w:pPr>
        <w:rPr>
          <w:rFonts w:hint="eastAsia" w:ascii="仿宋" w:hAnsi="仿宋" w:eastAsia="仿宋" w:cstheme="minorEastAsia"/>
        </w:rPr>
      </w:pPr>
      <w:r>
        <w:rPr>
          <w:rFonts w:hint="eastAsia" w:ascii="仿宋" w:hAnsi="仿宋" w:eastAsia="仿宋" w:cstheme="minorEastAsia"/>
        </w:rPr>
        <w:t>a.合同签订生效且收到发票后10个工作日内，支付合同总价款的 70 %；</w:t>
      </w:r>
    </w:p>
    <w:p>
      <w:pPr>
        <w:rPr>
          <w:rFonts w:hint="eastAsia" w:ascii="仿宋" w:hAnsi="仿宋" w:eastAsia="仿宋" w:cstheme="minorEastAsia"/>
        </w:rPr>
      </w:pPr>
      <w:r>
        <w:rPr>
          <w:rFonts w:hint="eastAsia" w:ascii="仿宋" w:hAnsi="仿宋" w:eastAsia="仿宋" w:cstheme="minorEastAsia"/>
        </w:rPr>
        <w:t>b.本项目通过最终验收且收到发票后10个工作日内，支付合同总价款的尾款。</w:t>
      </w:r>
    </w:p>
    <w:p>
      <w:pPr>
        <w:widowControl/>
        <w:spacing w:line="240" w:lineRule="auto"/>
        <w:ind w:firstLine="0" w:firstLineChars="0"/>
        <w:jc w:val="left"/>
        <w:rPr>
          <w:rFonts w:hint="eastAsia"/>
          <w:b/>
          <w:bCs/>
        </w:rPr>
      </w:pPr>
      <w:r>
        <w:rPr>
          <w:rFonts w:hint="eastAsia" w:ascii="仿宋" w:hAnsi="仿宋" w:eastAsia="仿宋" w:cstheme="minorEastAsia"/>
        </w:rPr>
        <w:t>付款条件备注：服务提供方应当在采购方每次付款前提前至少10个工作日向采购方提供有效发票。</w:t>
      </w:r>
      <w:r>
        <w:rPr>
          <w:rFonts w:hint="eastAsia"/>
        </w:rPr>
        <w:br w:type="page"/>
      </w:r>
    </w:p>
    <w:sectPr>
      <w:footerReference r:id="rId11" w:type="firs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Arial Unicode MS">
    <w:altName w:val="DejaVu Sans"/>
    <w:panose1 w:val="020B0604020202020204"/>
    <w:charset w:val="86"/>
    <w:family w:val="swiss"/>
    <w:pitch w:val="default"/>
    <w:sig w:usb0="00000000" w:usb1="00000000" w:usb2="0000003F" w:usb3="00000000" w:csb0="003F01FF" w:csb1="00000000"/>
  </w:font>
  <w:font w:name="等线 Light">
    <w:altName w:val="华文中宋"/>
    <w:panose1 w:val="02010600030101010101"/>
    <w:charset w:val="86"/>
    <w:family w:val="auto"/>
    <w:pitch w:val="default"/>
    <w:sig w:usb0="00000000" w:usb1="00000000" w:usb2="00000016" w:usb3="00000000" w:csb0="0004000F" w:csb1="00000000"/>
  </w:font>
  <w:font w:name="time">
    <w:altName w:val="华文中宋"/>
    <w:panose1 w:val="00000000000000000000"/>
    <w:charset w:val="00"/>
    <w:family w:val="roman"/>
    <w:pitch w:val="default"/>
    <w:sig w:usb0="00000000" w:usb1="00000000" w:usb2="00000000" w:usb3="00000000" w:csb0="00040001"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Microsoft Sans Serif">
    <w:altName w:val="Liberation Sans"/>
    <w:panose1 w:val="020B0604020202020204"/>
    <w:charset w:val="00"/>
    <w:family w:val="swiss"/>
    <w:pitch w:val="default"/>
    <w:sig w:usb0="00000000" w:usb1="00000000" w:usb2="00000029" w:usb3="00000000" w:csb0="000101FF" w:csb1="00000000"/>
  </w:font>
  <w:font w:name="Liberation Sans">
    <w:panose1 w:val="020B0604020202020204"/>
    <w:charset w:val="00"/>
    <w:family w:val="auto"/>
    <w:pitch w:val="default"/>
    <w:sig w:usb0="A00002AF" w:usb1="5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hint="eastAsia"/>
      </w:rPr>
    </w:pPr>
    <w:r>
      <w:fldChar w:fldCharType="begin"/>
    </w:r>
    <w:r>
      <w:instrText xml:space="preserve">PAGE   \* MERGEFORMAT</w:instrText>
    </w:r>
    <w:r>
      <w:fldChar w:fldCharType="separate"/>
    </w:r>
    <w:r>
      <w:rPr>
        <w:lang w:val="zh-CN"/>
      </w:rPr>
      <w:t>11</w:t>
    </w:r>
    <w:r>
      <w:rPr>
        <w:lang w:val="zh-CN"/>
      </w:rPr>
      <w:fldChar w:fldCharType="end"/>
    </w: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hint="eastAsia"/>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0366A"/>
    <w:multiLevelType w:val="multilevel"/>
    <w:tmpl w:val="6350366A"/>
    <w:lvl w:ilvl="0" w:tentative="0">
      <w:start w:val="1"/>
      <w:numFmt w:val="none"/>
      <w:pStyle w:val="11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A2F4AB3"/>
    <w:multiLevelType w:val="multilevel"/>
    <w:tmpl w:val="6A2F4AB3"/>
    <w:lvl w:ilvl="0" w:tentative="0">
      <w:start w:val="1"/>
      <w:numFmt w:val="chineseCountingThousand"/>
      <w:pStyle w:val="2"/>
      <w:suff w:val="nothing"/>
      <w:lvlText w:val="%1、"/>
      <w:lvlJc w:val="left"/>
      <w:pPr>
        <w:ind w:left="425" w:hanging="425"/>
      </w:pPr>
      <w:rPr>
        <w:rFonts w:hint="eastAsia"/>
        <w:sz w:val="32"/>
        <w:szCs w:val="32"/>
      </w:rPr>
    </w:lvl>
    <w:lvl w:ilvl="1" w:tentative="0">
      <w:start w:val="1"/>
      <w:numFmt w:val="decimal"/>
      <w:pStyle w:val="3"/>
      <w:isLgl/>
      <w:suff w:val="nothing"/>
      <w:lvlText w:val="%1.%2、"/>
      <w:lvlJc w:val="left"/>
      <w:pPr>
        <w:ind w:left="1135" w:hanging="567"/>
      </w:pPr>
    </w:lvl>
    <w:lvl w:ilvl="2" w:tentative="0">
      <w:start w:val="1"/>
      <w:numFmt w:val="decimal"/>
      <w:pStyle w:val="4"/>
      <w:isLgl/>
      <w:suff w:val="nothing"/>
      <w:lvlText w:val="%1.%2.%3、"/>
      <w:lvlJc w:val="left"/>
      <w:pPr>
        <w:ind w:left="1069" w:hanging="1069"/>
      </w:pPr>
      <w:rPr>
        <w:rFonts w:hint="default" w:ascii="宋体" w:hAnsi="宋体" w:eastAsia="宋体" w:cs="Arial"/>
      </w:rPr>
    </w:lvl>
    <w:lvl w:ilvl="3" w:tentative="0">
      <w:start w:val="1"/>
      <w:numFmt w:val="decimal"/>
      <w:pStyle w:val="5"/>
      <w:isLgl/>
      <w:suff w:val="nothing"/>
      <w:lvlText w:val="%1.%2.%3.%4、"/>
      <w:lvlJc w:val="left"/>
      <w:pPr>
        <w:ind w:left="3403" w:hanging="851"/>
      </w:pPr>
    </w:lvl>
    <w:lvl w:ilvl="4" w:tentative="0">
      <w:start w:val="1"/>
      <w:numFmt w:val="decimal"/>
      <w:pStyle w:val="6"/>
      <w:isLgl/>
      <w:suff w:val="nothing"/>
      <w:lvlText w:val="%1.%2.%3.%4.%5、"/>
      <w:lvlJc w:val="left"/>
      <w:pPr>
        <w:ind w:left="3544" w:hanging="992"/>
      </w:pPr>
      <w:rPr>
        <w:rFonts w:hint="eastAsia"/>
      </w:rPr>
    </w:lvl>
    <w:lvl w:ilvl="5" w:tentative="0">
      <w:start w:val="1"/>
      <w:numFmt w:val="decimal"/>
      <w:pStyle w:val="7"/>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0YWRlNGQyYWIyYzU5OTk0ODQ3ZmIzMWEwOTdmYzIifQ=="/>
  </w:docVars>
  <w:rsids>
    <w:rsidRoot w:val="006910C0"/>
    <w:rsid w:val="0000005A"/>
    <w:rsid w:val="00000AED"/>
    <w:rsid w:val="00003516"/>
    <w:rsid w:val="0000380E"/>
    <w:rsid w:val="00005AFD"/>
    <w:rsid w:val="00006563"/>
    <w:rsid w:val="000074F1"/>
    <w:rsid w:val="00007A41"/>
    <w:rsid w:val="00007DA7"/>
    <w:rsid w:val="00012EF0"/>
    <w:rsid w:val="000156DE"/>
    <w:rsid w:val="000165AD"/>
    <w:rsid w:val="000179E9"/>
    <w:rsid w:val="00020C18"/>
    <w:rsid w:val="00021EE6"/>
    <w:rsid w:val="0002280E"/>
    <w:rsid w:val="00022C74"/>
    <w:rsid w:val="00025122"/>
    <w:rsid w:val="000252D5"/>
    <w:rsid w:val="00026997"/>
    <w:rsid w:val="00027A64"/>
    <w:rsid w:val="00032D27"/>
    <w:rsid w:val="00035325"/>
    <w:rsid w:val="00035D5B"/>
    <w:rsid w:val="000378D0"/>
    <w:rsid w:val="00037F2C"/>
    <w:rsid w:val="00042C2A"/>
    <w:rsid w:val="000430EC"/>
    <w:rsid w:val="000447CB"/>
    <w:rsid w:val="000463F5"/>
    <w:rsid w:val="00047915"/>
    <w:rsid w:val="00047D06"/>
    <w:rsid w:val="00050FBD"/>
    <w:rsid w:val="0005107A"/>
    <w:rsid w:val="0005192C"/>
    <w:rsid w:val="00052929"/>
    <w:rsid w:val="0005299F"/>
    <w:rsid w:val="000541D7"/>
    <w:rsid w:val="000545C0"/>
    <w:rsid w:val="0005586D"/>
    <w:rsid w:val="00056C0E"/>
    <w:rsid w:val="000574A8"/>
    <w:rsid w:val="000574F8"/>
    <w:rsid w:val="00057A49"/>
    <w:rsid w:val="0006231F"/>
    <w:rsid w:val="00062585"/>
    <w:rsid w:val="00062A05"/>
    <w:rsid w:val="00062EE6"/>
    <w:rsid w:val="0006344E"/>
    <w:rsid w:val="0006350E"/>
    <w:rsid w:val="000649E6"/>
    <w:rsid w:val="0006794B"/>
    <w:rsid w:val="00067DCA"/>
    <w:rsid w:val="00070063"/>
    <w:rsid w:val="0007087A"/>
    <w:rsid w:val="000710EC"/>
    <w:rsid w:val="00072237"/>
    <w:rsid w:val="00072ABE"/>
    <w:rsid w:val="00080B39"/>
    <w:rsid w:val="00083950"/>
    <w:rsid w:val="0008452F"/>
    <w:rsid w:val="00084E8E"/>
    <w:rsid w:val="00085A68"/>
    <w:rsid w:val="000904BD"/>
    <w:rsid w:val="00090625"/>
    <w:rsid w:val="00090948"/>
    <w:rsid w:val="00091CD1"/>
    <w:rsid w:val="0009460E"/>
    <w:rsid w:val="000951D4"/>
    <w:rsid w:val="000A2146"/>
    <w:rsid w:val="000A2930"/>
    <w:rsid w:val="000A3276"/>
    <w:rsid w:val="000A3C35"/>
    <w:rsid w:val="000A3E30"/>
    <w:rsid w:val="000A5876"/>
    <w:rsid w:val="000A61D0"/>
    <w:rsid w:val="000A6C67"/>
    <w:rsid w:val="000A6DB8"/>
    <w:rsid w:val="000A7596"/>
    <w:rsid w:val="000B11A8"/>
    <w:rsid w:val="000B1959"/>
    <w:rsid w:val="000B2E1C"/>
    <w:rsid w:val="000B4459"/>
    <w:rsid w:val="000B4B46"/>
    <w:rsid w:val="000B5363"/>
    <w:rsid w:val="000B53BA"/>
    <w:rsid w:val="000B642F"/>
    <w:rsid w:val="000B6C99"/>
    <w:rsid w:val="000C15AD"/>
    <w:rsid w:val="000C3F3C"/>
    <w:rsid w:val="000C5A75"/>
    <w:rsid w:val="000C75F7"/>
    <w:rsid w:val="000C7D8E"/>
    <w:rsid w:val="000D093D"/>
    <w:rsid w:val="000D0AB2"/>
    <w:rsid w:val="000D225C"/>
    <w:rsid w:val="000D36F2"/>
    <w:rsid w:val="000D4B26"/>
    <w:rsid w:val="000D74DB"/>
    <w:rsid w:val="000E24D6"/>
    <w:rsid w:val="000E6072"/>
    <w:rsid w:val="000E6D61"/>
    <w:rsid w:val="000E7A23"/>
    <w:rsid w:val="000F1C29"/>
    <w:rsid w:val="000F1E9E"/>
    <w:rsid w:val="000F2B10"/>
    <w:rsid w:val="000F3F72"/>
    <w:rsid w:val="001055B2"/>
    <w:rsid w:val="001068F0"/>
    <w:rsid w:val="00106AB8"/>
    <w:rsid w:val="00106C9E"/>
    <w:rsid w:val="00106E16"/>
    <w:rsid w:val="0010768B"/>
    <w:rsid w:val="00111701"/>
    <w:rsid w:val="00112A29"/>
    <w:rsid w:val="001167F6"/>
    <w:rsid w:val="00116C86"/>
    <w:rsid w:val="00121ACF"/>
    <w:rsid w:val="00121D8F"/>
    <w:rsid w:val="00122037"/>
    <w:rsid w:val="0012210C"/>
    <w:rsid w:val="00122A7F"/>
    <w:rsid w:val="00123F98"/>
    <w:rsid w:val="001242A5"/>
    <w:rsid w:val="00124531"/>
    <w:rsid w:val="00124EC6"/>
    <w:rsid w:val="00126EDF"/>
    <w:rsid w:val="00127BBE"/>
    <w:rsid w:val="00131D52"/>
    <w:rsid w:val="001329C1"/>
    <w:rsid w:val="00132C16"/>
    <w:rsid w:val="00136320"/>
    <w:rsid w:val="00136FFA"/>
    <w:rsid w:val="00137AC6"/>
    <w:rsid w:val="00145512"/>
    <w:rsid w:val="001465BD"/>
    <w:rsid w:val="00147B45"/>
    <w:rsid w:val="00150803"/>
    <w:rsid w:val="00151D83"/>
    <w:rsid w:val="001546C9"/>
    <w:rsid w:val="00154FAE"/>
    <w:rsid w:val="00155E77"/>
    <w:rsid w:val="00156A70"/>
    <w:rsid w:val="00160A61"/>
    <w:rsid w:val="00160FC0"/>
    <w:rsid w:val="0016429B"/>
    <w:rsid w:val="00164525"/>
    <w:rsid w:val="00164C50"/>
    <w:rsid w:val="00165CB2"/>
    <w:rsid w:val="00166203"/>
    <w:rsid w:val="00166767"/>
    <w:rsid w:val="001707CB"/>
    <w:rsid w:val="00171477"/>
    <w:rsid w:val="00172A1A"/>
    <w:rsid w:val="00173251"/>
    <w:rsid w:val="00176BED"/>
    <w:rsid w:val="0017759D"/>
    <w:rsid w:val="001804A5"/>
    <w:rsid w:val="00181C94"/>
    <w:rsid w:val="00182C84"/>
    <w:rsid w:val="00187031"/>
    <w:rsid w:val="00191EA4"/>
    <w:rsid w:val="00192B6C"/>
    <w:rsid w:val="00192C30"/>
    <w:rsid w:val="0019381E"/>
    <w:rsid w:val="00194CF5"/>
    <w:rsid w:val="0019503C"/>
    <w:rsid w:val="00195D94"/>
    <w:rsid w:val="00196F7B"/>
    <w:rsid w:val="001971CB"/>
    <w:rsid w:val="0019795C"/>
    <w:rsid w:val="001A053A"/>
    <w:rsid w:val="001A22A2"/>
    <w:rsid w:val="001A2971"/>
    <w:rsid w:val="001A3D52"/>
    <w:rsid w:val="001A460A"/>
    <w:rsid w:val="001A4A4C"/>
    <w:rsid w:val="001B0230"/>
    <w:rsid w:val="001B13AB"/>
    <w:rsid w:val="001B3907"/>
    <w:rsid w:val="001B3B49"/>
    <w:rsid w:val="001B4907"/>
    <w:rsid w:val="001B4DC5"/>
    <w:rsid w:val="001B5505"/>
    <w:rsid w:val="001C2180"/>
    <w:rsid w:val="001C29CC"/>
    <w:rsid w:val="001C3217"/>
    <w:rsid w:val="001C3B98"/>
    <w:rsid w:val="001C6028"/>
    <w:rsid w:val="001C6365"/>
    <w:rsid w:val="001C7F57"/>
    <w:rsid w:val="001D0E79"/>
    <w:rsid w:val="001D6049"/>
    <w:rsid w:val="001D7339"/>
    <w:rsid w:val="001E2750"/>
    <w:rsid w:val="001E4343"/>
    <w:rsid w:val="001E52BB"/>
    <w:rsid w:val="001E660A"/>
    <w:rsid w:val="001E7C71"/>
    <w:rsid w:val="001F05D6"/>
    <w:rsid w:val="001F11A5"/>
    <w:rsid w:val="001F5B0A"/>
    <w:rsid w:val="001F640F"/>
    <w:rsid w:val="001F6794"/>
    <w:rsid w:val="001F6F65"/>
    <w:rsid w:val="002002DF"/>
    <w:rsid w:val="00203A6F"/>
    <w:rsid w:val="00205646"/>
    <w:rsid w:val="002063F7"/>
    <w:rsid w:val="002129E5"/>
    <w:rsid w:val="00212AA4"/>
    <w:rsid w:val="00212E13"/>
    <w:rsid w:val="00214477"/>
    <w:rsid w:val="002163C8"/>
    <w:rsid w:val="002179FE"/>
    <w:rsid w:val="00220CC0"/>
    <w:rsid w:val="00221A36"/>
    <w:rsid w:val="00223296"/>
    <w:rsid w:val="0022329B"/>
    <w:rsid w:val="002240F7"/>
    <w:rsid w:val="0022486F"/>
    <w:rsid w:val="00225314"/>
    <w:rsid w:val="00225DF4"/>
    <w:rsid w:val="00226C70"/>
    <w:rsid w:val="00230C8A"/>
    <w:rsid w:val="00231F98"/>
    <w:rsid w:val="002324F8"/>
    <w:rsid w:val="002348B0"/>
    <w:rsid w:val="00235B9E"/>
    <w:rsid w:val="00235CDC"/>
    <w:rsid w:val="00237C79"/>
    <w:rsid w:val="00237E76"/>
    <w:rsid w:val="00240BBE"/>
    <w:rsid w:val="00241525"/>
    <w:rsid w:val="00241D87"/>
    <w:rsid w:val="00243C55"/>
    <w:rsid w:val="00243D5E"/>
    <w:rsid w:val="002451EC"/>
    <w:rsid w:val="00245ED4"/>
    <w:rsid w:val="00246B41"/>
    <w:rsid w:val="0025002B"/>
    <w:rsid w:val="002500DE"/>
    <w:rsid w:val="00252457"/>
    <w:rsid w:val="00252581"/>
    <w:rsid w:val="002535B5"/>
    <w:rsid w:val="002538CB"/>
    <w:rsid w:val="002542BD"/>
    <w:rsid w:val="0025774E"/>
    <w:rsid w:val="00257D64"/>
    <w:rsid w:val="0026340A"/>
    <w:rsid w:val="002654EA"/>
    <w:rsid w:val="002704EA"/>
    <w:rsid w:val="0027061A"/>
    <w:rsid w:val="002719CC"/>
    <w:rsid w:val="002730C5"/>
    <w:rsid w:val="0027337C"/>
    <w:rsid w:val="0027602B"/>
    <w:rsid w:val="00277F5E"/>
    <w:rsid w:val="00280084"/>
    <w:rsid w:val="00280490"/>
    <w:rsid w:val="002860B8"/>
    <w:rsid w:val="00287248"/>
    <w:rsid w:val="0029206E"/>
    <w:rsid w:val="00293382"/>
    <w:rsid w:val="00294F51"/>
    <w:rsid w:val="0029593D"/>
    <w:rsid w:val="002A0445"/>
    <w:rsid w:val="002A2342"/>
    <w:rsid w:val="002A279E"/>
    <w:rsid w:val="002A4FA3"/>
    <w:rsid w:val="002B0C17"/>
    <w:rsid w:val="002B3606"/>
    <w:rsid w:val="002B3D80"/>
    <w:rsid w:val="002B4402"/>
    <w:rsid w:val="002B4946"/>
    <w:rsid w:val="002B4C41"/>
    <w:rsid w:val="002B588D"/>
    <w:rsid w:val="002C1839"/>
    <w:rsid w:val="002C214A"/>
    <w:rsid w:val="002C235E"/>
    <w:rsid w:val="002C28E8"/>
    <w:rsid w:val="002C3027"/>
    <w:rsid w:val="002C3ED1"/>
    <w:rsid w:val="002C674D"/>
    <w:rsid w:val="002C7648"/>
    <w:rsid w:val="002C7DC4"/>
    <w:rsid w:val="002D0821"/>
    <w:rsid w:val="002D1929"/>
    <w:rsid w:val="002D1B73"/>
    <w:rsid w:val="002D3CB0"/>
    <w:rsid w:val="002D4800"/>
    <w:rsid w:val="002D5B21"/>
    <w:rsid w:val="002D6F6D"/>
    <w:rsid w:val="002E1FE6"/>
    <w:rsid w:val="002E2EA7"/>
    <w:rsid w:val="002E36D2"/>
    <w:rsid w:val="002E748B"/>
    <w:rsid w:val="002F2002"/>
    <w:rsid w:val="002F335D"/>
    <w:rsid w:val="002F4E32"/>
    <w:rsid w:val="002F503F"/>
    <w:rsid w:val="002F51DD"/>
    <w:rsid w:val="002F5D08"/>
    <w:rsid w:val="002F6895"/>
    <w:rsid w:val="002F6D13"/>
    <w:rsid w:val="003038D3"/>
    <w:rsid w:val="003049C7"/>
    <w:rsid w:val="00305F0E"/>
    <w:rsid w:val="0030667A"/>
    <w:rsid w:val="003106DE"/>
    <w:rsid w:val="00311530"/>
    <w:rsid w:val="00311B48"/>
    <w:rsid w:val="00312D31"/>
    <w:rsid w:val="00315216"/>
    <w:rsid w:val="0031691C"/>
    <w:rsid w:val="00317AEF"/>
    <w:rsid w:val="00317F49"/>
    <w:rsid w:val="0032089B"/>
    <w:rsid w:val="00323450"/>
    <w:rsid w:val="00323D93"/>
    <w:rsid w:val="0032489B"/>
    <w:rsid w:val="0032525B"/>
    <w:rsid w:val="00326A7A"/>
    <w:rsid w:val="00326FEE"/>
    <w:rsid w:val="003315D7"/>
    <w:rsid w:val="00334DE6"/>
    <w:rsid w:val="0033536D"/>
    <w:rsid w:val="003353FF"/>
    <w:rsid w:val="003366D2"/>
    <w:rsid w:val="00337C79"/>
    <w:rsid w:val="00337FEF"/>
    <w:rsid w:val="0034084C"/>
    <w:rsid w:val="00340D5E"/>
    <w:rsid w:val="003420B5"/>
    <w:rsid w:val="00343646"/>
    <w:rsid w:val="00344CCB"/>
    <w:rsid w:val="00345897"/>
    <w:rsid w:val="00351BFC"/>
    <w:rsid w:val="00355029"/>
    <w:rsid w:val="0035575E"/>
    <w:rsid w:val="003565B4"/>
    <w:rsid w:val="00362E75"/>
    <w:rsid w:val="003631AA"/>
    <w:rsid w:val="003632D5"/>
    <w:rsid w:val="00363575"/>
    <w:rsid w:val="00364EF9"/>
    <w:rsid w:val="00367579"/>
    <w:rsid w:val="0036795B"/>
    <w:rsid w:val="00370A29"/>
    <w:rsid w:val="003722F9"/>
    <w:rsid w:val="00372349"/>
    <w:rsid w:val="00372CBC"/>
    <w:rsid w:val="00373A61"/>
    <w:rsid w:val="00374BDE"/>
    <w:rsid w:val="00376B39"/>
    <w:rsid w:val="003772C0"/>
    <w:rsid w:val="00377BAC"/>
    <w:rsid w:val="00380142"/>
    <w:rsid w:val="00380558"/>
    <w:rsid w:val="003805B2"/>
    <w:rsid w:val="00381D3C"/>
    <w:rsid w:val="0038223E"/>
    <w:rsid w:val="00382D92"/>
    <w:rsid w:val="00385AEF"/>
    <w:rsid w:val="003860EA"/>
    <w:rsid w:val="0038781A"/>
    <w:rsid w:val="0039080B"/>
    <w:rsid w:val="0039326E"/>
    <w:rsid w:val="00394E22"/>
    <w:rsid w:val="003967A4"/>
    <w:rsid w:val="00397FA3"/>
    <w:rsid w:val="003A1596"/>
    <w:rsid w:val="003A317E"/>
    <w:rsid w:val="003A345B"/>
    <w:rsid w:val="003A49EE"/>
    <w:rsid w:val="003A674D"/>
    <w:rsid w:val="003A7123"/>
    <w:rsid w:val="003B102E"/>
    <w:rsid w:val="003B2167"/>
    <w:rsid w:val="003B5F5D"/>
    <w:rsid w:val="003B62C8"/>
    <w:rsid w:val="003C0C62"/>
    <w:rsid w:val="003C12DC"/>
    <w:rsid w:val="003C1F13"/>
    <w:rsid w:val="003C2CDA"/>
    <w:rsid w:val="003D000A"/>
    <w:rsid w:val="003D31E9"/>
    <w:rsid w:val="003D544E"/>
    <w:rsid w:val="003D5980"/>
    <w:rsid w:val="003E0842"/>
    <w:rsid w:val="003E13B0"/>
    <w:rsid w:val="003E2580"/>
    <w:rsid w:val="003E3DEE"/>
    <w:rsid w:val="003E3EBB"/>
    <w:rsid w:val="003E4A4C"/>
    <w:rsid w:val="003E4CBA"/>
    <w:rsid w:val="003E4D2F"/>
    <w:rsid w:val="003E4EDC"/>
    <w:rsid w:val="003E599D"/>
    <w:rsid w:val="003E5C81"/>
    <w:rsid w:val="003E6965"/>
    <w:rsid w:val="003F00E8"/>
    <w:rsid w:val="003F1936"/>
    <w:rsid w:val="003F1BDD"/>
    <w:rsid w:val="003F32D4"/>
    <w:rsid w:val="003F3BA3"/>
    <w:rsid w:val="003F3BD5"/>
    <w:rsid w:val="003F400E"/>
    <w:rsid w:val="003F6F35"/>
    <w:rsid w:val="003F7768"/>
    <w:rsid w:val="00400E8C"/>
    <w:rsid w:val="004017DC"/>
    <w:rsid w:val="00401B53"/>
    <w:rsid w:val="00402668"/>
    <w:rsid w:val="00404FEC"/>
    <w:rsid w:val="0040534D"/>
    <w:rsid w:val="00405FAD"/>
    <w:rsid w:val="004117AB"/>
    <w:rsid w:val="00412B2F"/>
    <w:rsid w:val="00415281"/>
    <w:rsid w:val="00415716"/>
    <w:rsid w:val="0041604D"/>
    <w:rsid w:val="00417842"/>
    <w:rsid w:val="00417A6E"/>
    <w:rsid w:val="0042285D"/>
    <w:rsid w:val="00427D2B"/>
    <w:rsid w:val="00430B13"/>
    <w:rsid w:val="00430CE5"/>
    <w:rsid w:val="0043153C"/>
    <w:rsid w:val="00431D0F"/>
    <w:rsid w:val="0043481C"/>
    <w:rsid w:val="00444307"/>
    <w:rsid w:val="0044436F"/>
    <w:rsid w:val="004443EB"/>
    <w:rsid w:val="00444432"/>
    <w:rsid w:val="00444673"/>
    <w:rsid w:val="0044621E"/>
    <w:rsid w:val="00447BF1"/>
    <w:rsid w:val="00450BA4"/>
    <w:rsid w:val="004511FC"/>
    <w:rsid w:val="00456784"/>
    <w:rsid w:val="00456DCA"/>
    <w:rsid w:val="00461140"/>
    <w:rsid w:val="004611DB"/>
    <w:rsid w:val="004658B0"/>
    <w:rsid w:val="0046614B"/>
    <w:rsid w:val="00467FD7"/>
    <w:rsid w:val="00470073"/>
    <w:rsid w:val="00470954"/>
    <w:rsid w:val="004730F8"/>
    <w:rsid w:val="00474353"/>
    <w:rsid w:val="00474555"/>
    <w:rsid w:val="004750F4"/>
    <w:rsid w:val="00476CB1"/>
    <w:rsid w:val="00480A48"/>
    <w:rsid w:val="00482501"/>
    <w:rsid w:val="00482E7D"/>
    <w:rsid w:val="00484395"/>
    <w:rsid w:val="004865FB"/>
    <w:rsid w:val="00486C03"/>
    <w:rsid w:val="004879DA"/>
    <w:rsid w:val="00491AB3"/>
    <w:rsid w:val="0049286D"/>
    <w:rsid w:val="00497A33"/>
    <w:rsid w:val="004A1112"/>
    <w:rsid w:val="004A1DA0"/>
    <w:rsid w:val="004A1F20"/>
    <w:rsid w:val="004A2393"/>
    <w:rsid w:val="004A3569"/>
    <w:rsid w:val="004A452A"/>
    <w:rsid w:val="004A4DA9"/>
    <w:rsid w:val="004A5F2C"/>
    <w:rsid w:val="004A6E4F"/>
    <w:rsid w:val="004A720D"/>
    <w:rsid w:val="004B00D0"/>
    <w:rsid w:val="004B6084"/>
    <w:rsid w:val="004B7AE0"/>
    <w:rsid w:val="004C0BC4"/>
    <w:rsid w:val="004C260D"/>
    <w:rsid w:val="004C2D47"/>
    <w:rsid w:val="004C4357"/>
    <w:rsid w:val="004C4477"/>
    <w:rsid w:val="004C5730"/>
    <w:rsid w:val="004C6397"/>
    <w:rsid w:val="004C660C"/>
    <w:rsid w:val="004C668F"/>
    <w:rsid w:val="004C682B"/>
    <w:rsid w:val="004D142C"/>
    <w:rsid w:val="004D29F7"/>
    <w:rsid w:val="004D36D8"/>
    <w:rsid w:val="004D4C5C"/>
    <w:rsid w:val="004D5AB0"/>
    <w:rsid w:val="004D5EAE"/>
    <w:rsid w:val="004D7A0E"/>
    <w:rsid w:val="004E06E7"/>
    <w:rsid w:val="004E0AE3"/>
    <w:rsid w:val="004E20D3"/>
    <w:rsid w:val="004E2C82"/>
    <w:rsid w:val="004E4FAE"/>
    <w:rsid w:val="004E62C7"/>
    <w:rsid w:val="004E68FF"/>
    <w:rsid w:val="004E7A1B"/>
    <w:rsid w:val="004F0B7F"/>
    <w:rsid w:val="004F1193"/>
    <w:rsid w:val="004F11DC"/>
    <w:rsid w:val="004F2124"/>
    <w:rsid w:val="004F271B"/>
    <w:rsid w:val="004F3A52"/>
    <w:rsid w:val="004F449F"/>
    <w:rsid w:val="004F4E7E"/>
    <w:rsid w:val="004F63AB"/>
    <w:rsid w:val="004F6B76"/>
    <w:rsid w:val="004F6C7C"/>
    <w:rsid w:val="004F7F1A"/>
    <w:rsid w:val="004F7FBB"/>
    <w:rsid w:val="005042B3"/>
    <w:rsid w:val="005045AB"/>
    <w:rsid w:val="00507D43"/>
    <w:rsid w:val="005103F2"/>
    <w:rsid w:val="00510E2C"/>
    <w:rsid w:val="00511FDC"/>
    <w:rsid w:val="005124C6"/>
    <w:rsid w:val="00513EBC"/>
    <w:rsid w:val="00514CE1"/>
    <w:rsid w:val="00517155"/>
    <w:rsid w:val="00517DB3"/>
    <w:rsid w:val="005200DC"/>
    <w:rsid w:val="005200F2"/>
    <w:rsid w:val="0052369D"/>
    <w:rsid w:val="005271DB"/>
    <w:rsid w:val="00530D2F"/>
    <w:rsid w:val="0053487C"/>
    <w:rsid w:val="005356E1"/>
    <w:rsid w:val="00536A8B"/>
    <w:rsid w:val="00540418"/>
    <w:rsid w:val="00541A96"/>
    <w:rsid w:val="00541C6A"/>
    <w:rsid w:val="00542C54"/>
    <w:rsid w:val="005447A5"/>
    <w:rsid w:val="00546A43"/>
    <w:rsid w:val="00546C70"/>
    <w:rsid w:val="00547258"/>
    <w:rsid w:val="00550CF0"/>
    <w:rsid w:val="005559FE"/>
    <w:rsid w:val="005560D6"/>
    <w:rsid w:val="00556D07"/>
    <w:rsid w:val="005611F2"/>
    <w:rsid w:val="00561734"/>
    <w:rsid w:val="00561952"/>
    <w:rsid w:val="005649F2"/>
    <w:rsid w:val="00564B9A"/>
    <w:rsid w:val="00565694"/>
    <w:rsid w:val="00566DD6"/>
    <w:rsid w:val="005714EF"/>
    <w:rsid w:val="00571CEC"/>
    <w:rsid w:val="00572FCE"/>
    <w:rsid w:val="00573FA3"/>
    <w:rsid w:val="005750DB"/>
    <w:rsid w:val="005759FC"/>
    <w:rsid w:val="00575B85"/>
    <w:rsid w:val="00576DB9"/>
    <w:rsid w:val="0057738F"/>
    <w:rsid w:val="005805E4"/>
    <w:rsid w:val="0058202F"/>
    <w:rsid w:val="00584221"/>
    <w:rsid w:val="00584EB6"/>
    <w:rsid w:val="00586B68"/>
    <w:rsid w:val="0058774E"/>
    <w:rsid w:val="005878CF"/>
    <w:rsid w:val="00590CA0"/>
    <w:rsid w:val="00595B01"/>
    <w:rsid w:val="00596D98"/>
    <w:rsid w:val="005979A5"/>
    <w:rsid w:val="005A0021"/>
    <w:rsid w:val="005A017B"/>
    <w:rsid w:val="005A13DA"/>
    <w:rsid w:val="005A20AD"/>
    <w:rsid w:val="005A2AEC"/>
    <w:rsid w:val="005A412D"/>
    <w:rsid w:val="005A5212"/>
    <w:rsid w:val="005B002D"/>
    <w:rsid w:val="005B0FFF"/>
    <w:rsid w:val="005B19AF"/>
    <w:rsid w:val="005B258C"/>
    <w:rsid w:val="005B61DD"/>
    <w:rsid w:val="005B6735"/>
    <w:rsid w:val="005B7831"/>
    <w:rsid w:val="005C0CD6"/>
    <w:rsid w:val="005C12D9"/>
    <w:rsid w:val="005C2146"/>
    <w:rsid w:val="005C309D"/>
    <w:rsid w:val="005C3C73"/>
    <w:rsid w:val="005C544B"/>
    <w:rsid w:val="005C5916"/>
    <w:rsid w:val="005C5AEE"/>
    <w:rsid w:val="005C774A"/>
    <w:rsid w:val="005D3734"/>
    <w:rsid w:val="005D4F16"/>
    <w:rsid w:val="005D5A53"/>
    <w:rsid w:val="005D5DA0"/>
    <w:rsid w:val="005D7FBD"/>
    <w:rsid w:val="005E19B4"/>
    <w:rsid w:val="005E1D6B"/>
    <w:rsid w:val="005E227A"/>
    <w:rsid w:val="005E2CF8"/>
    <w:rsid w:val="005E3126"/>
    <w:rsid w:val="005E7075"/>
    <w:rsid w:val="005E75A7"/>
    <w:rsid w:val="005F38E2"/>
    <w:rsid w:val="005F3EE6"/>
    <w:rsid w:val="005F6736"/>
    <w:rsid w:val="00602C10"/>
    <w:rsid w:val="00602EBD"/>
    <w:rsid w:val="00604CF2"/>
    <w:rsid w:val="00606DFF"/>
    <w:rsid w:val="00606FB7"/>
    <w:rsid w:val="00610533"/>
    <w:rsid w:val="006110F6"/>
    <w:rsid w:val="00611FA1"/>
    <w:rsid w:val="00612522"/>
    <w:rsid w:val="00612DA6"/>
    <w:rsid w:val="0061365B"/>
    <w:rsid w:val="006138B6"/>
    <w:rsid w:val="00614BC6"/>
    <w:rsid w:val="00614E33"/>
    <w:rsid w:val="006158B8"/>
    <w:rsid w:val="0061706D"/>
    <w:rsid w:val="006173DA"/>
    <w:rsid w:val="00617EF9"/>
    <w:rsid w:val="00620295"/>
    <w:rsid w:val="00622F8E"/>
    <w:rsid w:val="00626AC8"/>
    <w:rsid w:val="00627912"/>
    <w:rsid w:val="0063195F"/>
    <w:rsid w:val="00636C0A"/>
    <w:rsid w:val="00637EC6"/>
    <w:rsid w:val="0064240C"/>
    <w:rsid w:val="00642FF5"/>
    <w:rsid w:val="006430FB"/>
    <w:rsid w:val="00643992"/>
    <w:rsid w:val="00644DBC"/>
    <w:rsid w:val="00646FE6"/>
    <w:rsid w:val="006474CD"/>
    <w:rsid w:val="00647744"/>
    <w:rsid w:val="006479A0"/>
    <w:rsid w:val="006500D9"/>
    <w:rsid w:val="00653B54"/>
    <w:rsid w:val="006541A3"/>
    <w:rsid w:val="00654FAD"/>
    <w:rsid w:val="00655A22"/>
    <w:rsid w:val="00655C9F"/>
    <w:rsid w:val="006567FF"/>
    <w:rsid w:val="00656867"/>
    <w:rsid w:val="0066109F"/>
    <w:rsid w:val="006633DA"/>
    <w:rsid w:val="00664B26"/>
    <w:rsid w:val="0066596B"/>
    <w:rsid w:val="00670295"/>
    <w:rsid w:val="006704F5"/>
    <w:rsid w:val="00672894"/>
    <w:rsid w:val="00674B47"/>
    <w:rsid w:val="0067609E"/>
    <w:rsid w:val="00677749"/>
    <w:rsid w:val="00680E07"/>
    <w:rsid w:val="00682B9D"/>
    <w:rsid w:val="00683806"/>
    <w:rsid w:val="00686AF9"/>
    <w:rsid w:val="006910C0"/>
    <w:rsid w:val="00691954"/>
    <w:rsid w:val="0069320E"/>
    <w:rsid w:val="00693D13"/>
    <w:rsid w:val="00694F58"/>
    <w:rsid w:val="006955BC"/>
    <w:rsid w:val="006959E2"/>
    <w:rsid w:val="0069604D"/>
    <w:rsid w:val="00696920"/>
    <w:rsid w:val="00697EB9"/>
    <w:rsid w:val="006A0FD7"/>
    <w:rsid w:val="006A1FCE"/>
    <w:rsid w:val="006A20D4"/>
    <w:rsid w:val="006A268D"/>
    <w:rsid w:val="006A350F"/>
    <w:rsid w:val="006A3957"/>
    <w:rsid w:val="006A39A4"/>
    <w:rsid w:val="006A41D6"/>
    <w:rsid w:val="006A669D"/>
    <w:rsid w:val="006A6E41"/>
    <w:rsid w:val="006B012F"/>
    <w:rsid w:val="006B27CF"/>
    <w:rsid w:val="006B2B47"/>
    <w:rsid w:val="006B41BD"/>
    <w:rsid w:val="006B5678"/>
    <w:rsid w:val="006B62B2"/>
    <w:rsid w:val="006C1C57"/>
    <w:rsid w:val="006C30C0"/>
    <w:rsid w:val="006C5760"/>
    <w:rsid w:val="006C6D6F"/>
    <w:rsid w:val="006D0D78"/>
    <w:rsid w:val="006D1128"/>
    <w:rsid w:val="006D2848"/>
    <w:rsid w:val="006D30E0"/>
    <w:rsid w:val="006D5521"/>
    <w:rsid w:val="006D5FE9"/>
    <w:rsid w:val="006D6CBB"/>
    <w:rsid w:val="006D76A9"/>
    <w:rsid w:val="006D77F4"/>
    <w:rsid w:val="006E0898"/>
    <w:rsid w:val="006E41CD"/>
    <w:rsid w:val="006F3BEC"/>
    <w:rsid w:val="006F5E97"/>
    <w:rsid w:val="00703C00"/>
    <w:rsid w:val="007057CC"/>
    <w:rsid w:val="007066F2"/>
    <w:rsid w:val="00706AE5"/>
    <w:rsid w:val="0070740A"/>
    <w:rsid w:val="007115A4"/>
    <w:rsid w:val="00711F93"/>
    <w:rsid w:val="00712940"/>
    <w:rsid w:val="0071428C"/>
    <w:rsid w:val="00715A16"/>
    <w:rsid w:val="007164B0"/>
    <w:rsid w:val="007166FF"/>
    <w:rsid w:val="007260CC"/>
    <w:rsid w:val="00726543"/>
    <w:rsid w:val="0073353E"/>
    <w:rsid w:val="00736633"/>
    <w:rsid w:val="0074060F"/>
    <w:rsid w:val="00741EE7"/>
    <w:rsid w:val="00743A79"/>
    <w:rsid w:val="007444D4"/>
    <w:rsid w:val="0074594D"/>
    <w:rsid w:val="007459F3"/>
    <w:rsid w:val="00746E35"/>
    <w:rsid w:val="007470E2"/>
    <w:rsid w:val="0075232F"/>
    <w:rsid w:val="00753132"/>
    <w:rsid w:val="007550B3"/>
    <w:rsid w:val="00760451"/>
    <w:rsid w:val="0076287F"/>
    <w:rsid w:val="0077182A"/>
    <w:rsid w:val="00771913"/>
    <w:rsid w:val="00772718"/>
    <w:rsid w:val="00775BCF"/>
    <w:rsid w:val="007818AA"/>
    <w:rsid w:val="00783140"/>
    <w:rsid w:val="007838B6"/>
    <w:rsid w:val="00783E77"/>
    <w:rsid w:val="007906F1"/>
    <w:rsid w:val="0079243D"/>
    <w:rsid w:val="00794A9B"/>
    <w:rsid w:val="0079583B"/>
    <w:rsid w:val="00796602"/>
    <w:rsid w:val="00797185"/>
    <w:rsid w:val="007976B7"/>
    <w:rsid w:val="00797A7E"/>
    <w:rsid w:val="00797D6F"/>
    <w:rsid w:val="007B014B"/>
    <w:rsid w:val="007B0D88"/>
    <w:rsid w:val="007B306F"/>
    <w:rsid w:val="007B4714"/>
    <w:rsid w:val="007B4E82"/>
    <w:rsid w:val="007C1996"/>
    <w:rsid w:val="007C3773"/>
    <w:rsid w:val="007C3F1F"/>
    <w:rsid w:val="007D2D0D"/>
    <w:rsid w:val="007D3325"/>
    <w:rsid w:val="007D3818"/>
    <w:rsid w:val="007D5C0E"/>
    <w:rsid w:val="007D6DC5"/>
    <w:rsid w:val="007D7425"/>
    <w:rsid w:val="007E320E"/>
    <w:rsid w:val="007E3280"/>
    <w:rsid w:val="007E4A02"/>
    <w:rsid w:val="007E595C"/>
    <w:rsid w:val="007E59A5"/>
    <w:rsid w:val="007F3B8C"/>
    <w:rsid w:val="007F41D0"/>
    <w:rsid w:val="007F4B8B"/>
    <w:rsid w:val="007F5957"/>
    <w:rsid w:val="007F70B6"/>
    <w:rsid w:val="007F74CA"/>
    <w:rsid w:val="00800F1E"/>
    <w:rsid w:val="0080195A"/>
    <w:rsid w:val="0080239C"/>
    <w:rsid w:val="00802841"/>
    <w:rsid w:val="008037D5"/>
    <w:rsid w:val="00805447"/>
    <w:rsid w:val="008054FA"/>
    <w:rsid w:val="0080717A"/>
    <w:rsid w:val="00807DFA"/>
    <w:rsid w:val="0081009F"/>
    <w:rsid w:val="00810152"/>
    <w:rsid w:val="008115AB"/>
    <w:rsid w:val="00812D2C"/>
    <w:rsid w:val="008159F4"/>
    <w:rsid w:val="008167C1"/>
    <w:rsid w:val="008167C6"/>
    <w:rsid w:val="00816B8F"/>
    <w:rsid w:val="00820331"/>
    <w:rsid w:val="00820BF5"/>
    <w:rsid w:val="008212B1"/>
    <w:rsid w:val="0082155A"/>
    <w:rsid w:val="0082209F"/>
    <w:rsid w:val="008223C2"/>
    <w:rsid w:val="008250A2"/>
    <w:rsid w:val="00825D64"/>
    <w:rsid w:val="0082650B"/>
    <w:rsid w:val="008301CE"/>
    <w:rsid w:val="008312E3"/>
    <w:rsid w:val="00831D5B"/>
    <w:rsid w:val="00832DD6"/>
    <w:rsid w:val="00832F0C"/>
    <w:rsid w:val="008336F2"/>
    <w:rsid w:val="008345D9"/>
    <w:rsid w:val="008347CB"/>
    <w:rsid w:val="00835647"/>
    <w:rsid w:val="00837A2E"/>
    <w:rsid w:val="00841558"/>
    <w:rsid w:val="00842A68"/>
    <w:rsid w:val="008435BA"/>
    <w:rsid w:val="0084558B"/>
    <w:rsid w:val="0084654A"/>
    <w:rsid w:val="00847654"/>
    <w:rsid w:val="00851064"/>
    <w:rsid w:val="00855543"/>
    <w:rsid w:val="008566B3"/>
    <w:rsid w:val="008576B7"/>
    <w:rsid w:val="00857F7B"/>
    <w:rsid w:val="00863DA1"/>
    <w:rsid w:val="008654A6"/>
    <w:rsid w:val="00865D86"/>
    <w:rsid w:val="00870495"/>
    <w:rsid w:val="00870EA1"/>
    <w:rsid w:val="008710C5"/>
    <w:rsid w:val="00874438"/>
    <w:rsid w:val="00874E75"/>
    <w:rsid w:val="008767F3"/>
    <w:rsid w:val="00876CEF"/>
    <w:rsid w:val="00877342"/>
    <w:rsid w:val="008803C3"/>
    <w:rsid w:val="00881450"/>
    <w:rsid w:val="008817C7"/>
    <w:rsid w:val="00881875"/>
    <w:rsid w:val="008848A3"/>
    <w:rsid w:val="00884AF1"/>
    <w:rsid w:val="00885F7A"/>
    <w:rsid w:val="00890712"/>
    <w:rsid w:val="00890D81"/>
    <w:rsid w:val="00892955"/>
    <w:rsid w:val="00893628"/>
    <w:rsid w:val="008941EB"/>
    <w:rsid w:val="0089545A"/>
    <w:rsid w:val="00895925"/>
    <w:rsid w:val="00895A02"/>
    <w:rsid w:val="008A01EE"/>
    <w:rsid w:val="008A0DAC"/>
    <w:rsid w:val="008A3B78"/>
    <w:rsid w:val="008A4166"/>
    <w:rsid w:val="008A7DBF"/>
    <w:rsid w:val="008B136C"/>
    <w:rsid w:val="008B1FDC"/>
    <w:rsid w:val="008B55EF"/>
    <w:rsid w:val="008B6910"/>
    <w:rsid w:val="008C0B5C"/>
    <w:rsid w:val="008C1343"/>
    <w:rsid w:val="008C3912"/>
    <w:rsid w:val="008C5598"/>
    <w:rsid w:val="008C69EA"/>
    <w:rsid w:val="008C6F8B"/>
    <w:rsid w:val="008C7AB7"/>
    <w:rsid w:val="008C7FB4"/>
    <w:rsid w:val="008D2C8C"/>
    <w:rsid w:val="008D3040"/>
    <w:rsid w:val="008D3ECD"/>
    <w:rsid w:val="008D58F4"/>
    <w:rsid w:val="008D5C03"/>
    <w:rsid w:val="008D7580"/>
    <w:rsid w:val="008D7C35"/>
    <w:rsid w:val="008E3575"/>
    <w:rsid w:val="008E5698"/>
    <w:rsid w:val="008E5733"/>
    <w:rsid w:val="008E77D2"/>
    <w:rsid w:val="008E78FD"/>
    <w:rsid w:val="008F199D"/>
    <w:rsid w:val="008F30CA"/>
    <w:rsid w:val="008F38A0"/>
    <w:rsid w:val="008F39C9"/>
    <w:rsid w:val="008F5EB5"/>
    <w:rsid w:val="008F678C"/>
    <w:rsid w:val="008F75A7"/>
    <w:rsid w:val="008F7E5A"/>
    <w:rsid w:val="00900A7F"/>
    <w:rsid w:val="009036EE"/>
    <w:rsid w:val="00905815"/>
    <w:rsid w:val="00905D1D"/>
    <w:rsid w:val="0091016D"/>
    <w:rsid w:val="00910C98"/>
    <w:rsid w:val="00911910"/>
    <w:rsid w:val="00912A58"/>
    <w:rsid w:val="00913908"/>
    <w:rsid w:val="00913D26"/>
    <w:rsid w:val="0091438B"/>
    <w:rsid w:val="009147E3"/>
    <w:rsid w:val="00920FD2"/>
    <w:rsid w:val="00921283"/>
    <w:rsid w:val="00923A43"/>
    <w:rsid w:val="0092439C"/>
    <w:rsid w:val="0092498E"/>
    <w:rsid w:val="00925B91"/>
    <w:rsid w:val="00930C04"/>
    <w:rsid w:val="00934461"/>
    <w:rsid w:val="00934F7E"/>
    <w:rsid w:val="00936A1C"/>
    <w:rsid w:val="00943E35"/>
    <w:rsid w:val="00945278"/>
    <w:rsid w:val="0094658D"/>
    <w:rsid w:val="00946FD7"/>
    <w:rsid w:val="00947678"/>
    <w:rsid w:val="00947878"/>
    <w:rsid w:val="009504C2"/>
    <w:rsid w:val="0095254A"/>
    <w:rsid w:val="0095273B"/>
    <w:rsid w:val="009559E1"/>
    <w:rsid w:val="009568D5"/>
    <w:rsid w:val="00957CD3"/>
    <w:rsid w:val="0096269B"/>
    <w:rsid w:val="00963FB0"/>
    <w:rsid w:val="00964C86"/>
    <w:rsid w:val="00965E82"/>
    <w:rsid w:val="009664BB"/>
    <w:rsid w:val="009669F8"/>
    <w:rsid w:val="00966F89"/>
    <w:rsid w:val="00973B5D"/>
    <w:rsid w:val="0097429B"/>
    <w:rsid w:val="0097755E"/>
    <w:rsid w:val="00981467"/>
    <w:rsid w:val="00981C24"/>
    <w:rsid w:val="009852F6"/>
    <w:rsid w:val="00985DE5"/>
    <w:rsid w:val="00986254"/>
    <w:rsid w:val="0098729E"/>
    <w:rsid w:val="00990067"/>
    <w:rsid w:val="00992977"/>
    <w:rsid w:val="009937D4"/>
    <w:rsid w:val="00993B7F"/>
    <w:rsid w:val="00993C78"/>
    <w:rsid w:val="009948C7"/>
    <w:rsid w:val="00995850"/>
    <w:rsid w:val="0099796C"/>
    <w:rsid w:val="009A194E"/>
    <w:rsid w:val="009A1EA2"/>
    <w:rsid w:val="009A209E"/>
    <w:rsid w:val="009A3FD7"/>
    <w:rsid w:val="009A6652"/>
    <w:rsid w:val="009A74FD"/>
    <w:rsid w:val="009A7673"/>
    <w:rsid w:val="009B1D37"/>
    <w:rsid w:val="009B25D8"/>
    <w:rsid w:val="009B25E9"/>
    <w:rsid w:val="009B34EB"/>
    <w:rsid w:val="009B42E3"/>
    <w:rsid w:val="009B5859"/>
    <w:rsid w:val="009C6D07"/>
    <w:rsid w:val="009C7CEC"/>
    <w:rsid w:val="009D154D"/>
    <w:rsid w:val="009D18EF"/>
    <w:rsid w:val="009D3BE8"/>
    <w:rsid w:val="009D44E0"/>
    <w:rsid w:val="009D573B"/>
    <w:rsid w:val="009D59A0"/>
    <w:rsid w:val="009D716A"/>
    <w:rsid w:val="009E1AC4"/>
    <w:rsid w:val="009E20B8"/>
    <w:rsid w:val="009E2338"/>
    <w:rsid w:val="009E29A0"/>
    <w:rsid w:val="009E41B5"/>
    <w:rsid w:val="009E55D7"/>
    <w:rsid w:val="009E627C"/>
    <w:rsid w:val="009F110B"/>
    <w:rsid w:val="009F1498"/>
    <w:rsid w:val="009F1E9F"/>
    <w:rsid w:val="009F3793"/>
    <w:rsid w:val="009F54F2"/>
    <w:rsid w:val="00A0056B"/>
    <w:rsid w:val="00A01657"/>
    <w:rsid w:val="00A01C65"/>
    <w:rsid w:val="00A0213D"/>
    <w:rsid w:val="00A04C73"/>
    <w:rsid w:val="00A0679A"/>
    <w:rsid w:val="00A07A2B"/>
    <w:rsid w:val="00A12375"/>
    <w:rsid w:val="00A125B8"/>
    <w:rsid w:val="00A13124"/>
    <w:rsid w:val="00A15370"/>
    <w:rsid w:val="00A156AB"/>
    <w:rsid w:val="00A16B8D"/>
    <w:rsid w:val="00A21293"/>
    <w:rsid w:val="00A2134B"/>
    <w:rsid w:val="00A21623"/>
    <w:rsid w:val="00A220EB"/>
    <w:rsid w:val="00A22302"/>
    <w:rsid w:val="00A25F1B"/>
    <w:rsid w:val="00A325F3"/>
    <w:rsid w:val="00A33103"/>
    <w:rsid w:val="00A33294"/>
    <w:rsid w:val="00A35DCB"/>
    <w:rsid w:val="00A3690E"/>
    <w:rsid w:val="00A37751"/>
    <w:rsid w:val="00A406B1"/>
    <w:rsid w:val="00A4113E"/>
    <w:rsid w:val="00A42435"/>
    <w:rsid w:val="00A438BA"/>
    <w:rsid w:val="00A446FD"/>
    <w:rsid w:val="00A46F46"/>
    <w:rsid w:val="00A52CB6"/>
    <w:rsid w:val="00A52F99"/>
    <w:rsid w:val="00A538BB"/>
    <w:rsid w:val="00A54164"/>
    <w:rsid w:val="00A56737"/>
    <w:rsid w:val="00A60002"/>
    <w:rsid w:val="00A603D8"/>
    <w:rsid w:val="00A60AE2"/>
    <w:rsid w:val="00A61834"/>
    <w:rsid w:val="00A618B0"/>
    <w:rsid w:val="00A62575"/>
    <w:rsid w:val="00A62790"/>
    <w:rsid w:val="00A6291F"/>
    <w:rsid w:val="00A63F53"/>
    <w:rsid w:val="00A7111E"/>
    <w:rsid w:val="00A755B6"/>
    <w:rsid w:val="00A75B1A"/>
    <w:rsid w:val="00A80ED4"/>
    <w:rsid w:val="00A816C4"/>
    <w:rsid w:val="00A82981"/>
    <w:rsid w:val="00A86F10"/>
    <w:rsid w:val="00A87AF2"/>
    <w:rsid w:val="00A90B23"/>
    <w:rsid w:val="00A93193"/>
    <w:rsid w:val="00A93C2B"/>
    <w:rsid w:val="00A94556"/>
    <w:rsid w:val="00A974CB"/>
    <w:rsid w:val="00AA1EAC"/>
    <w:rsid w:val="00AA45E2"/>
    <w:rsid w:val="00AA7AC1"/>
    <w:rsid w:val="00AB2531"/>
    <w:rsid w:val="00AB6327"/>
    <w:rsid w:val="00AB6B8F"/>
    <w:rsid w:val="00AB7479"/>
    <w:rsid w:val="00AC0C65"/>
    <w:rsid w:val="00AC0FB2"/>
    <w:rsid w:val="00AC3721"/>
    <w:rsid w:val="00AC41C6"/>
    <w:rsid w:val="00AC70C7"/>
    <w:rsid w:val="00AC76B7"/>
    <w:rsid w:val="00AD0223"/>
    <w:rsid w:val="00AD123A"/>
    <w:rsid w:val="00AD15FF"/>
    <w:rsid w:val="00AD1AA5"/>
    <w:rsid w:val="00AD2920"/>
    <w:rsid w:val="00AD2CD5"/>
    <w:rsid w:val="00AD2DFC"/>
    <w:rsid w:val="00AD38C4"/>
    <w:rsid w:val="00AD3EA9"/>
    <w:rsid w:val="00AD5A4A"/>
    <w:rsid w:val="00AD60EE"/>
    <w:rsid w:val="00AD6A2B"/>
    <w:rsid w:val="00AD73D4"/>
    <w:rsid w:val="00AE1EA2"/>
    <w:rsid w:val="00AE2874"/>
    <w:rsid w:val="00AE2BA2"/>
    <w:rsid w:val="00AE2F98"/>
    <w:rsid w:val="00AE3602"/>
    <w:rsid w:val="00AE5342"/>
    <w:rsid w:val="00AE5987"/>
    <w:rsid w:val="00AE5A1B"/>
    <w:rsid w:val="00AE6472"/>
    <w:rsid w:val="00AF0875"/>
    <w:rsid w:val="00AF1345"/>
    <w:rsid w:val="00AF38A8"/>
    <w:rsid w:val="00AF63EB"/>
    <w:rsid w:val="00B016D2"/>
    <w:rsid w:val="00B018EC"/>
    <w:rsid w:val="00B060C7"/>
    <w:rsid w:val="00B11AB7"/>
    <w:rsid w:val="00B12213"/>
    <w:rsid w:val="00B13710"/>
    <w:rsid w:val="00B22881"/>
    <w:rsid w:val="00B23EFC"/>
    <w:rsid w:val="00B24B72"/>
    <w:rsid w:val="00B25DB8"/>
    <w:rsid w:val="00B2656C"/>
    <w:rsid w:val="00B266E6"/>
    <w:rsid w:val="00B3094D"/>
    <w:rsid w:val="00B30B04"/>
    <w:rsid w:val="00B311BC"/>
    <w:rsid w:val="00B31810"/>
    <w:rsid w:val="00B31C10"/>
    <w:rsid w:val="00B3446D"/>
    <w:rsid w:val="00B34652"/>
    <w:rsid w:val="00B34F89"/>
    <w:rsid w:val="00B358C8"/>
    <w:rsid w:val="00B36185"/>
    <w:rsid w:val="00B3662F"/>
    <w:rsid w:val="00B373CD"/>
    <w:rsid w:val="00B377C8"/>
    <w:rsid w:val="00B400B8"/>
    <w:rsid w:val="00B404DE"/>
    <w:rsid w:val="00B40765"/>
    <w:rsid w:val="00B4232D"/>
    <w:rsid w:val="00B42682"/>
    <w:rsid w:val="00B43065"/>
    <w:rsid w:val="00B44784"/>
    <w:rsid w:val="00B449D0"/>
    <w:rsid w:val="00B456AB"/>
    <w:rsid w:val="00B46C2A"/>
    <w:rsid w:val="00B47E8B"/>
    <w:rsid w:val="00B51C67"/>
    <w:rsid w:val="00B53F86"/>
    <w:rsid w:val="00B53FDC"/>
    <w:rsid w:val="00B55431"/>
    <w:rsid w:val="00B55CAE"/>
    <w:rsid w:val="00B576C6"/>
    <w:rsid w:val="00B615F2"/>
    <w:rsid w:val="00B61A28"/>
    <w:rsid w:val="00B65C6D"/>
    <w:rsid w:val="00B66B06"/>
    <w:rsid w:val="00B67862"/>
    <w:rsid w:val="00B70634"/>
    <w:rsid w:val="00B70BE4"/>
    <w:rsid w:val="00B73880"/>
    <w:rsid w:val="00B73CF1"/>
    <w:rsid w:val="00B745B3"/>
    <w:rsid w:val="00B7599D"/>
    <w:rsid w:val="00B7648F"/>
    <w:rsid w:val="00B76E13"/>
    <w:rsid w:val="00B771EE"/>
    <w:rsid w:val="00B7765B"/>
    <w:rsid w:val="00B77B4B"/>
    <w:rsid w:val="00B80ABC"/>
    <w:rsid w:val="00B814C2"/>
    <w:rsid w:val="00B900FE"/>
    <w:rsid w:val="00B9064C"/>
    <w:rsid w:val="00B92455"/>
    <w:rsid w:val="00BA0A14"/>
    <w:rsid w:val="00BA0B1D"/>
    <w:rsid w:val="00BA228D"/>
    <w:rsid w:val="00BA398D"/>
    <w:rsid w:val="00BA39D3"/>
    <w:rsid w:val="00BA5C56"/>
    <w:rsid w:val="00BA776F"/>
    <w:rsid w:val="00BB0C0D"/>
    <w:rsid w:val="00BB0D69"/>
    <w:rsid w:val="00BB366E"/>
    <w:rsid w:val="00BB3AF0"/>
    <w:rsid w:val="00BB4F70"/>
    <w:rsid w:val="00BB67FF"/>
    <w:rsid w:val="00BC11B9"/>
    <w:rsid w:val="00BC138C"/>
    <w:rsid w:val="00BC14CF"/>
    <w:rsid w:val="00BC1659"/>
    <w:rsid w:val="00BC2C91"/>
    <w:rsid w:val="00BC3A9C"/>
    <w:rsid w:val="00BC5288"/>
    <w:rsid w:val="00BC6A71"/>
    <w:rsid w:val="00BC6B2F"/>
    <w:rsid w:val="00BD0637"/>
    <w:rsid w:val="00BD08A8"/>
    <w:rsid w:val="00BD1BAC"/>
    <w:rsid w:val="00BD1FA8"/>
    <w:rsid w:val="00BD25A6"/>
    <w:rsid w:val="00BD4C95"/>
    <w:rsid w:val="00BD65FC"/>
    <w:rsid w:val="00BD7660"/>
    <w:rsid w:val="00BE0666"/>
    <w:rsid w:val="00BE24B9"/>
    <w:rsid w:val="00BE2AE8"/>
    <w:rsid w:val="00BE2D55"/>
    <w:rsid w:val="00BE38DD"/>
    <w:rsid w:val="00BE4AB1"/>
    <w:rsid w:val="00BF16C3"/>
    <w:rsid w:val="00BF38E0"/>
    <w:rsid w:val="00BF44FA"/>
    <w:rsid w:val="00BF57E1"/>
    <w:rsid w:val="00C003B4"/>
    <w:rsid w:val="00C00A5F"/>
    <w:rsid w:val="00C042E0"/>
    <w:rsid w:val="00C051D9"/>
    <w:rsid w:val="00C06333"/>
    <w:rsid w:val="00C06F68"/>
    <w:rsid w:val="00C075BA"/>
    <w:rsid w:val="00C10A3A"/>
    <w:rsid w:val="00C11E20"/>
    <w:rsid w:val="00C15D16"/>
    <w:rsid w:val="00C20015"/>
    <w:rsid w:val="00C247DD"/>
    <w:rsid w:val="00C25B43"/>
    <w:rsid w:val="00C26A54"/>
    <w:rsid w:val="00C3261C"/>
    <w:rsid w:val="00C3318B"/>
    <w:rsid w:val="00C33C20"/>
    <w:rsid w:val="00C35362"/>
    <w:rsid w:val="00C357EA"/>
    <w:rsid w:val="00C379F8"/>
    <w:rsid w:val="00C37A1C"/>
    <w:rsid w:val="00C42323"/>
    <w:rsid w:val="00C4316E"/>
    <w:rsid w:val="00C453A9"/>
    <w:rsid w:val="00C465D5"/>
    <w:rsid w:val="00C4756A"/>
    <w:rsid w:val="00C47C39"/>
    <w:rsid w:val="00C50649"/>
    <w:rsid w:val="00C50E1F"/>
    <w:rsid w:val="00C51C09"/>
    <w:rsid w:val="00C51DCA"/>
    <w:rsid w:val="00C52BB6"/>
    <w:rsid w:val="00C53471"/>
    <w:rsid w:val="00C55143"/>
    <w:rsid w:val="00C5611B"/>
    <w:rsid w:val="00C5695E"/>
    <w:rsid w:val="00C61528"/>
    <w:rsid w:val="00C63457"/>
    <w:rsid w:val="00C64964"/>
    <w:rsid w:val="00C6631E"/>
    <w:rsid w:val="00C67473"/>
    <w:rsid w:val="00C67AA4"/>
    <w:rsid w:val="00C7148C"/>
    <w:rsid w:val="00C72192"/>
    <w:rsid w:val="00C732E5"/>
    <w:rsid w:val="00C73D0B"/>
    <w:rsid w:val="00C75017"/>
    <w:rsid w:val="00C765B4"/>
    <w:rsid w:val="00C813EA"/>
    <w:rsid w:val="00C81496"/>
    <w:rsid w:val="00C82CE6"/>
    <w:rsid w:val="00C82E22"/>
    <w:rsid w:val="00C85144"/>
    <w:rsid w:val="00C862C2"/>
    <w:rsid w:val="00C86738"/>
    <w:rsid w:val="00C86A27"/>
    <w:rsid w:val="00C91517"/>
    <w:rsid w:val="00C929BD"/>
    <w:rsid w:val="00C931A2"/>
    <w:rsid w:val="00CA02E1"/>
    <w:rsid w:val="00CA15DA"/>
    <w:rsid w:val="00CA224E"/>
    <w:rsid w:val="00CA41C5"/>
    <w:rsid w:val="00CA42B7"/>
    <w:rsid w:val="00CA4A53"/>
    <w:rsid w:val="00CA51F5"/>
    <w:rsid w:val="00CB218A"/>
    <w:rsid w:val="00CB225A"/>
    <w:rsid w:val="00CB69E6"/>
    <w:rsid w:val="00CB761B"/>
    <w:rsid w:val="00CB7E33"/>
    <w:rsid w:val="00CC13DF"/>
    <w:rsid w:val="00CC1EEE"/>
    <w:rsid w:val="00CC562B"/>
    <w:rsid w:val="00CC6C15"/>
    <w:rsid w:val="00CC7FCF"/>
    <w:rsid w:val="00CD2749"/>
    <w:rsid w:val="00CD2A60"/>
    <w:rsid w:val="00CD306F"/>
    <w:rsid w:val="00CD3971"/>
    <w:rsid w:val="00CD3DAB"/>
    <w:rsid w:val="00CE0DF1"/>
    <w:rsid w:val="00CE3786"/>
    <w:rsid w:val="00CE4027"/>
    <w:rsid w:val="00CE47CC"/>
    <w:rsid w:val="00CE68F6"/>
    <w:rsid w:val="00CE7E27"/>
    <w:rsid w:val="00CF22AC"/>
    <w:rsid w:val="00CF2F0A"/>
    <w:rsid w:val="00CF79E8"/>
    <w:rsid w:val="00D015AA"/>
    <w:rsid w:val="00D021B8"/>
    <w:rsid w:val="00D03D90"/>
    <w:rsid w:val="00D04024"/>
    <w:rsid w:val="00D043EB"/>
    <w:rsid w:val="00D05FD4"/>
    <w:rsid w:val="00D06705"/>
    <w:rsid w:val="00D06A9B"/>
    <w:rsid w:val="00D0750D"/>
    <w:rsid w:val="00D07DD8"/>
    <w:rsid w:val="00D1038F"/>
    <w:rsid w:val="00D10BF7"/>
    <w:rsid w:val="00D10FEB"/>
    <w:rsid w:val="00D140A0"/>
    <w:rsid w:val="00D203D1"/>
    <w:rsid w:val="00D2057A"/>
    <w:rsid w:val="00D21D98"/>
    <w:rsid w:val="00D2317F"/>
    <w:rsid w:val="00D231A9"/>
    <w:rsid w:val="00D24391"/>
    <w:rsid w:val="00D2472B"/>
    <w:rsid w:val="00D25194"/>
    <w:rsid w:val="00D253DD"/>
    <w:rsid w:val="00D26FFA"/>
    <w:rsid w:val="00D3215D"/>
    <w:rsid w:val="00D33352"/>
    <w:rsid w:val="00D347D9"/>
    <w:rsid w:val="00D35565"/>
    <w:rsid w:val="00D36A19"/>
    <w:rsid w:val="00D36F34"/>
    <w:rsid w:val="00D40DCF"/>
    <w:rsid w:val="00D41075"/>
    <w:rsid w:val="00D41C76"/>
    <w:rsid w:val="00D41DD8"/>
    <w:rsid w:val="00D4222C"/>
    <w:rsid w:val="00D425CE"/>
    <w:rsid w:val="00D42F40"/>
    <w:rsid w:val="00D4396C"/>
    <w:rsid w:val="00D4446F"/>
    <w:rsid w:val="00D44B55"/>
    <w:rsid w:val="00D45490"/>
    <w:rsid w:val="00D457B8"/>
    <w:rsid w:val="00D457E1"/>
    <w:rsid w:val="00D47BEB"/>
    <w:rsid w:val="00D50487"/>
    <w:rsid w:val="00D50563"/>
    <w:rsid w:val="00D50F50"/>
    <w:rsid w:val="00D51304"/>
    <w:rsid w:val="00D520A5"/>
    <w:rsid w:val="00D5235F"/>
    <w:rsid w:val="00D52F50"/>
    <w:rsid w:val="00D55A98"/>
    <w:rsid w:val="00D56B49"/>
    <w:rsid w:val="00D6053F"/>
    <w:rsid w:val="00D6073D"/>
    <w:rsid w:val="00D618D6"/>
    <w:rsid w:val="00D62426"/>
    <w:rsid w:val="00D62804"/>
    <w:rsid w:val="00D66F36"/>
    <w:rsid w:val="00D70F55"/>
    <w:rsid w:val="00D70FA5"/>
    <w:rsid w:val="00D74171"/>
    <w:rsid w:val="00D7474C"/>
    <w:rsid w:val="00D8032C"/>
    <w:rsid w:val="00D80CE2"/>
    <w:rsid w:val="00D83080"/>
    <w:rsid w:val="00D84D5F"/>
    <w:rsid w:val="00D851E2"/>
    <w:rsid w:val="00D87FFA"/>
    <w:rsid w:val="00D91419"/>
    <w:rsid w:val="00D92A09"/>
    <w:rsid w:val="00D92D2A"/>
    <w:rsid w:val="00D92EEC"/>
    <w:rsid w:val="00D93470"/>
    <w:rsid w:val="00D9395F"/>
    <w:rsid w:val="00D93D55"/>
    <w:rsid w:val="00D941FA"/>
    <w:rsid w:val="00D94B59"/>
    <w:rsid w:val="00D95315"/>
    <w:rsid w:val="00D95EAB"/>
    <w:rsid w:val="00DA0B39"/>
    <w:rsid w:val="00DA1203"/>
    <w:rsid w:val="00DA2316"/>
    <w:rsid w:val="00DA25E0"/>
    <w:rsid w:val="00DA2700"/>
    <w:rsid w:val="00DA3001"/>
    <w:rsid w:val="00DA3C5D"/>
    <w:rsid w:val="00DA3EFF"/>
    <w:rsid w:val="00DA4B97"/>
    <w:rsid w:val="00DA7769"/>
    <w:rsid w:val="00DB08C6"/>
    <w:rsid w:val="00DB1BC2"/>
    <w:rsid w:val="00DB1CBB"/>
    <w:rsid w:val="00DB31ED"/>
    <w:rsid w:val="00DB4124"/>
    <w:rsid w:val="00DB4511"/>
    <w:rsid w:val="00DB4F0C"/>
    <w:rsid w:val="00DC0176"/>
    <w:rsid w:val="00DC043F"/>
    <w:rsid w:val="00DC093E"/>
    <w:rsid w:val="00DC0E29"/>
    <w:rsid w:val="00DC0E7A"/>
    <w:rsid w:val="00DC2A65"/>
    <w:rsid w:val="00DC2A86"/>
    <w:rsid w:val="00DC3631"/>
    <w:rsid w:val="00DC37F7"/>
    <w:rsid w:val="00DC6F54"/>
    <w:rsid w:val="00DD0C00"/>
    <w:rsid w:val="00DD0F8C"/>
    <w:rsid w:val="00DD116C"/>
    <w:rsid w:val="00DD23D5"/>
    <w:rsid w:val="00DD2AF1"/>
    <w:rsid w:val="00DD34A3"/>
    <w:rsid w:val="00DD46DA"/>
    <w:rsid w:val="00DD6072"/>
    <w:rsid w:val="00DD62BE"/>
    <w:rsid w:val="00DD77D9"/>
    <w:rsid w:val="00DD7CA4"/>
    <w:rsid w:val="00DE167C"/>
    <w:rsid w:val="00DE1B75"/>
    <w:rsid w:val="00DE3B70"/>
    <w:rsid w:val="00DE5813"/>
    <w:rsid w:val="00DF10B1"/>
    <w:rsid w:val="00DF1FDA"/>
    <w:rsid w:val="00DF2C54"/>
    <w:rsid w:val="00DF3DD0"/>
    <w:rsid w:val="00DF4C4A"/>
    <w:rsid w:val="00DF4D50"/>
    <w:rsid w:val="00DF538C"/>
    <w:rsid w:val="00E001BB"/>
    <w:rsid w:val="00E021C2"/>
    <w:rsid w:val="00E024A3"/>
    <w:rsid w:val="00E0423D"/>
    <w:rsid w:val="00E057B5"/>
    <w:rsid w:val="00E0581E"/>
    <w:rsid w:val="00E079C5"/>
    <w:rsid w:val="00E07CBD"/>
    <w:rsid w:val="00E07F56"/>
    <w:rsid w:val="00E10A16"/>
    <w:rsid w:val="00E1112F"/>
    <w:rsid w:val="00E1318F"/>
    <w:rsid w:val="00E13B3B"/>
    <w:rsid w:val="00E13E29"/>
    <w:rsid w:val="00E16857"/>
    <w:rsid w:val="00E16C3A"/>
    <w:rsid w:val="00E20651"/>
    <w:rsid w:val="00E2107C"/>
    <w:rsid w:val="00E21E70"/>
    <w:rsid w:val="00E224DE"/>
    <w:rsid w:val="00E23DCE"/>
    <w:rsid w:val="00E243F9"/>
    <w:rsid w:val="00E26363"/>
    <w:rsid w:val="00E272A4"/>
    <w:rsid w:val="00E305F9"/>
    <w:rsid w:val="00E306AC"/>
    <w:rsid w:val="00E34446"/>
    <w:rsid w:val="00E3633B"/>
    <w:rsid w:val="00E36870"/>
    <w:rsid w:val="00E374E1"/>
    <w:rsid w:val="00E417AB"/>
    <w:rsid w:val="00E43D48"/>
    <w:rsid w:val="00E4542D"/>
    <w:rsid w:val="00E45BE0"/>
    <w:rsid w:val="00E46CAD"/>
    <w:rsid w:val="00E47521"/>
    <w:rsid w:val="00E4760C"/>
    <w:rsid w:val="00E507A6"/>
    <w:rsid w:val="00E5375C"/>
    <w:rsid w:val="00E561AD"/>
    <w:rsid w:val="00E57FAF"/>
    <w:rsid w:val="00E60BA9"/>
    <w:rsid w:val="00E63510"/>
    <w:rsid w:val="00E635EA"/>
    <w:rsid w:val="00E655E5"/>
    <w:rsid w:val="00E65F4E"/>
    <w:rsid w:val="00E662E0"/>
    <w:rsid w:val="00E67D5D"/>
    <w:rsid w:val="00E707FE"/>
    <w:rsid w:val="00E71C7A"/>
    <w:rsid w:val="00E73119"/>
    <w:rsid w:val="00E73E1E"/>
    <w:rsid w:val="00E767FF"/>
    <w:rsid w:val="00E84C91"/>
    <w:rsid w:val="00E84E60"/>
    <w:rsid w:val="00E8556E"/>
    <w:rsid w:val="00E855EE"/>
    <w:rsid w:val="00E86B2D"/>
    <w:rsid w:val="00E86F4D"/>
    <w:rsid w:val="00E87D08"/>
    <w:rsid w:val="00E90D0E"/>
    <w:rsid w:val="00E91B2D"/>
    <w:rsid w:val="00E92FCA"/>
    <w:rsid w:val="00E95CAA"/>
    <w:rsid w:val="00EA0A39"/>
    <w:rsid w:val="00EA0EB2"/>
    <w:rsid w:val="00EA236F"/>
    <w:rsid w:val="00EA3023"/>
    <w:rsid w:val="00EA3E49"/>
    <w:rsid w:val="00EA3FC8"/>
    <w:rsid w:val="00EA5B8C"/>
    <w:rsid w:val="00EB0DC9"/>
    <w:rsid w:val="00EB1383"/>
    <w:rsid w:val="00EB252D"/>
    <w:rsid w:val="00EB29FA"/>
    <w:rsid w:val="00EB2CCE"/>
    <w:rsid w:val="00EB385F"/>
    <w:rsid w:val="00EB3E49"/>
    <w:rsid w:val="00EB5FC3"/>
    <w:rsid w:val="00EB6DA9"/>
    <w:rsid w:val="00EC1561"/>
    <w:rsid w:val="00EC462E"/>
    <w:rsid w:val="00EC6CD8"/>
    <w:rsid w:val="00EC786F"/>
    <w:rsid w:val="00ED1866"/>
    <w:rsid w:val="00ED3134"/>
    <w:rsid w:val="00ED38E2"/>
    <w:rsid w:val="00ED5C44"/>
    <w:rsid w:val="00ED635B"/>
    <w:rsid w:val="00ED753E"/>
    <w:rsid w:val="00EE742D"/>
    <w:rsid w:val="00EF0A22"/>
    <w:rsid w:val="00EF1267"/>
    <w:rsid w:val="00EF180C"/>
    <w:rsid w:val="00EF3B6B"/>
    <w:rsid w:val="00EF4B43"/>
    <w:rsid w:val="00EF6750"/>
    <w:rsid w:val="00EF770B"/>
    <w:rsid w:val="00F02836"/>
    <w:rsid w:val="00F02FB5"/>
    <w:rsid w:val="00F0534E"/>
    <w:rsid w:val="00F05C30"/>
    <w:rsid w:val="00F10F1B"/>
    <w:rsid w:val="00F14179"/>
    <w:rsid w:val="00F15786"/>
    <w:rsid w:val="00F167C5"/>
    <w:rsid w:val="00F20B5A"/>
    <w:rsid w:val="00F21F0B"/>
    <w:rsid w:val="00F2339A"/>
    <w:rsid w:val="00F236AB"/>
    <w:rsid w:val="00F24EA4"/>
    <w:rsid w:val="00F27087"/>
    <w:rsid w:val="00F2773C"/>
    <w:rsid w:val="00F300B3"/>
    <w:rsid w:val="00F30DB9"/>
    <w:rsid w:val="00F30FB8"/>
    <w:rsid w:val="00F31D68"/>
    <w:rsid w:val="00F33152"/>
    <w:rsid w:val="00F338F2"/>
    <w:rsid w:val="00F349D3"/>
    <w:rsid w:val="00F3533E"/>
    <w:rsid w:val="00F35B84"/>
    <w:rsid w:val="00F402B5"/>
    <w:rsid w:val="00F4072F"/>
    <w:rsid w:val="00F42839"/>
    <w:rsid w:val="00F44CC0"/>
    <w:rsid w:val="00F450BA"/>
    <w:rsid w:val="00F4684B"/>
    <w:rsid w:val="00F46BE9"/>
    <w:rsid w:val="00F47C3B"/>
    <w:rsid w:val="00F506CA"/>
    <w:rsid w:val="00F53A7A"/>
    <w:rsid w:val="00F54FCD"/>
    <w:rsid w:val="00F5785C"/>
    <w:rsid w:val="00F65E3C"/>
    <w:rsid w:val="00F67076"/>
    <w:rsid w:val="00F677FA"/>
    <w:rsid w:val="00F7115A"/>
    <w:rsid w:val="00F717AA"/>
    <w:rsid w:val="00F72714"/>
    <w:rsid w:val="00F744C3"/>
    <w:rsid w:val="00F75EE2"/>
    <w:rsid w:val="00F75F69"/>
    <w:rsid w:val="00F76014"/>
    <w:rsid w:val="00F802D3"/>
    <w:rsid w:val="00F80F94"/>
    <w:rsid w:val="00F81BA2"/>
    <w:rsid w:val="00F823A4"/>
    <w:rsid w:val="00F8412F"/>
    <w:rsid w:val="00F84791"/>
    <w:rsid w:val="00F85995"/>
    <w:rsid w:val="00F85FC5"/>
    <w:rsid w:val="00F86C22"/>
    <w:rsid w:val="00F90CB3"/>
    <w:rsid w:val="00F912A2"/>
    <w:rsid w:val="00F913A3"/>
    <w:rsid w:val="00F925C3"/>
    <w:rsid w:val="00F92DA4"/>
    <w:rsid w:val="00FA0109"/>
    <w:rsid w:val="00FA0349"/>
    <w:rsid w:val="00FA458B"/>
    <w:rsid w:val="00FA5EC5"/>
    <w:rsid w:val="00FA7016"/>
    <w:rsid w:val="00FA7174"/>
    <w:rsid w:val="00FA793D"/>
    <w:rsid w:val="00FB020E"/>
    <w:rsid w:val="00FB0F17"/>
    <w:rsid w:val="00FB4B9D"/>
    <w:rsid w:val="00FB50ED"/>
    <w:rsid w:val="00FB51CC"/>
    <w:rsid w:val="00FB6E18"/>
    <w:rsid w:val="00FC144B"/>
    <w:rsid w:val="00FC2169"/>
    <w:rsid w:val="00FC28E2"/>
    <w:rsid w:val="00FC3BF6"/>
    <w:rsid w:val="00FC3D22"/>
    <w:rsid w:val="00FC6FE1"/>
    <w:rsid w:val="00FD0C3D"/>
    <w:rsid w:val="00FD2F6B"/>
    <w:rsid w:val="00FE064A"/>
    <w:rsid w:val="00FE0B55"/>
    <w:rsid w:val="00FE1E98"/>
    <w:rsid w:val="00FE2452"/>
    <w:rsid w:val="00FE5469"/>
    <w:rsid w:val="00FE66C2"/>
    <w:rsid w:val="00FE684A"/>
    <w:rsid w:val="00FE6F23"/>
    <w:rsid w:val="00FF0F8C"/>
    <w:rsid w:val="00FF408B"/>
    <w:rsid w:val="00FF43E1"/>
    <w:rsid w:val="03430854"/>
    <w:rsid w:val="039F5FA6"/>
    <w:rsid w:val="09305ADA"/>
    <w:rsid w:val="0E8013B7"/>
    <w:rsid w:val="0EABEB1B"/>
    <w:rsid w:val="10D604C6"/>
    <w:rsid w:val="114D5D42"/>
    <w:rsid w:val="11B515E0"/>
    <w:rsid w:val="13A53267"/>
    <w:rsid w:val="13F970D2"/>
    <w:rsid w:val="14AA4136"/>
    <w:rsid w:val="163A420B"/>
    <w:rsid w:val="19050531"/>
    <w:rsid w:val="19413B26"/>
    <w:rsid w:val="1C6D3688"/>
    <w:rsid w:val="1CC63D0A"/>
    <w:rsid w:val="1DC2081A"/>
    <w:rsid w:val="1DD94266"/>
    <w:rsid w:val="1F9D0947"/>
    <w:rsid w:val="1FFB29C6"/>
    <w:rsid w:val="205475FB"/>
    <w:rsid w:val="22AF3620"/>
    <w:rsid w:val="22E70AD4"/>
    <w:rsid w:val="24F1508D"/>
    <w:rsid w:val="266F634F"/>
    <w:rsid w:val="291059EA"/>
    <w:rsid w:val="2BBF12EC"/>
    <w:rsid w:val="2BC649D9"/>
    <w:rsid w:val="3515160D"/>
    <w:rsid w:val="35687FF5"/>
    <w:rsid w:val="371518EB"/>
    <w:rsid w:val="3C7D00D8"/>
    <w:rsid w:val="3CA06C0C"/>
    <w:rsid w:val="3EA25851"/>
    <w:rsid w:val="3F6C3757"/>
    <w:rsid w:val="405D6A10"/>
    <w:rsid w:val="41DA6594"/>
    <w:rsid w:val="444C1A75"/>
    <w:rsid w:val="44A3526F"/>
    <w:rsid w:val="44B032F4"/>
    <w:rsid w:val="457D25F7"/>
    <w:rsid w:val="468341CD"/>
    <w:rsid w:val="472C2589"/>
    <w:rsid w:val="4A760AEB"/>
    <w:rsid w:val="4BAB45A4"/>
    <w:rsid w:val="4D87491C"/>
    <w:rsid w:val="4E1425AF"/>
    <w:rsid w:val="4F3162CA"/>
    <w:rsid w:val="50D95873"/>
    <w:rsid w:val="526102AF"/>
    <w:rsid w:val="528444DA"/>
    <w:rsid w:val="537745D5"/>
    <w:rsid w:val="552306F6"/>
    <w:rsid w:val="56E352D5"/>
    <w:rsid w:val="57E435FE"/>
    <w:rsid w:val="582D0655"/>
    <w:rsid w:val="5951205C"/>
    <w:rsid w:val="59D079E8"/>
    <w:rsid w:val="59D40847"/>
    <w:rsid w:val="5AE37F25"/>
    <w:rsid w:val="5CB23D47"/>
    <w:rsid w:val="5F576407"/>
    <w:rsid w:val="5FAF09C4"/>
    <w:rsid w:val="5FFFA615"/>
    <w:rsid w:val="608C4642"/>
    <w:rsid w:val="62795572"/>
    <w:rsid w:val="62EB2B80"/>
    <w:rsid w:val="64DD6417"/>
    <w:rsid w:val="66004745"/>
    <w:rsid w:val="6A567F20"/>
    <w:rsid w:val="6CD97953"/>
    <w:rsid w:val="6ED30FD7"/>
    <w:rsid w:val="6FCA3204"/>
    <w:rsid w:val="6FDF9D31"/>
    <w:rsid w:val="727D78FD"/>
    <w:rsid w:val="727F0677"/>
    <w:rsid w:val="73CC655F"/>
    <w:rsid w:val="75957445"/>
    <w:rsid w:val="75D01AE1"/>
    <w:rsid w:val="768A9A17"/>
    <w:rsid w:val="77524363"/>
    <w:rsid w:val="77B917B5"/>
    <w:rsid w:val="78703975"/>
    <w:rsid w:val="7BE420FD"/>
    <w:rsid w:val="7D0D296B"/>
    <w:rsid w:val="7D4E0B54"/>
    <w:rsid w:val="7D503E78"/>
    <w:rsid w:val="7E0160D4"/>
    <w:rsid w:val="7E7503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75"/>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3">
    <w:name w:val="heading 2"/>
    <w:basedOn w:val="1"/>
    <w:next w:val="1"/>
    <w:link w:val="88"/>
    <w:qFormat/>
    <w:uiPriority w:val="9"/>
    <w:pPr>
      <w:keepNext/>
      <w:keepLines/>
      <w:numPr>
        <w:ilvl w:val="1"/>
        <w:numId w:val="1"/>
      </w:numPr>
      <w:spacing w:before="120" w:after="120"/>
      <w:ind w:firstLine="0" w:firstLineChars="0"/>
      <w:outlineLvl w:val="1"/>
    </w:pPr>
    <w:rPr>
      <w:b/>
      <w:bCs/>
      <w:sz w:val="30"/>
      <w:szCs w:val="32"/>
    </w:rPr>
  </w:style>
  <w:style w:type="paragraph" w:styleId="4">
    <w:name w:val="heading 3"/>
    <w:basedOn w:val="1"/>
    <w:next w:val="1"/>
    <w:link w:val="81"/>
    <w:qFormat/>
    <w:uiPriority w:val="0"/>
    <w:pPr>
      <w:keepNext/>
      <w:keepLines/>
      <w:numPr>
        <w:ilvl w:val="2"/>
        <w:numId w:val="1"/>
      </w:numPr>
      <w:spacing w:before="120" w:after="120"/>
      <w:ind w:firstLine="0" w:firstLineChars="0"/>
      <w:outlineLvl w:val="2"/>
    </w:pPr>
    <w:rPr>
      <w:b/>
      <w:bCs/>
      <w:sz w:val="28"/>
      <w:szCs w:val="28"/>
    </w:rPr>
  </w:style>
  <w:style w:type="paragraph" w:styleId="5">
    <w:name w:val="heading 4"/>
    <w:basedOn w:val="1"/>
    <w:next w:val="1"/>
    <w:link w:val="58"/>
    <w:qFormat/>
    <w:uiPriority w:val="0"/>
    <w:pPr>
      <w:keepNext/>
      <w:keepLines/>
      <w:numPr>
        <w:ilvl w:val="3"/>
        <w:numId w:val="1"/>
      </w:numPr>
      <w:spacing w:before="120" w:after="120"/>
      <w:ind w:left="851" w:firstLine="0" w:firstLineChars="0"/>
      <w:outlineLvl w:val="3"/>
    </w:pPr>
    <w:rPr>
      <w:b/>
      <w:bCs/>
      <w:sz w:val="30"/>
      <w:szCs w:val="30"/>
    </w:rPr>
  </w:style>
  <w:style w:type="paragraph" w:styleId="6">
    <w:name w:val="heading 5"/>
    <w:basedOn w:val="1"/>
    <w:next w:val="1"/>
    <w:link w:val="86"/>
    <w:qFormat/>
    <w:uiPriority w:val="0"/>
    <w:pPr>
      <w:keepNext/>
      <w:keepLines/>
      <w:numPr>
        <w:ilvl w:val="4"/>
        <w:numId w:val="1"/>
      </w:numPr>
      <w:spacing w:before="120" w:after="120"/>
      <w:ind w:left="0" w:firstLine="0" w:firstLineChars="0"/>
      <w:outlineLvl w:val="4"/>
    </w:pPr>
    <w:rPr>
      <w:b/>
      <w:bCs/>
      <w:szCs w:val="28"/>
    </w:rPr>
  </w:style>
  <w:style w:type="paragraph" w:styleId="7">
    <w:name w:val="heading 6"/>
    <w:basedOn w:val="1"/>
    <w:next w:val="1"/>
    <w:link w:val="99"/>
    <w:qFormat/>
    <w:uiPriority w:val="0"/>
    <w:pPr>
      <w:keepNext/>
      <w:keepLines/>
      <w:numPr>
        <w:ilvl w:val="5"/>
        <w:numId w:val="1"/>
      </w:numPr>
      <w:spacing w:before="120" w:after="120"/>
      <w:ind w:firstLine="0" w:firstLineChars="0"/>
      <w:outlineLvl w:val="5"/>
    </w:pPr>
    <w:rPr>
      <w:rFonts w:ascii="Cambria" w:hAnsi="Cambria"/>
      <w:b/>
      <w:bCs/>
    </w:rPr>
  </w:style>
  <w:style w:type="paragraph" w:styleId="8">
    <w:name w:val="heading 7"/>
    <w:basedOn w:val="1"/>
    <w:next w:val="1"/>
    <w:link w:val="72"/>
    <w:qFormat/>
    <w:uiPriority w:val="9"/>
    <w:pPr>
      <w:keepNext/>
      <w:keepLines/>
      <w:spacing w:before="240" w:after="64" w:line="319" w:lineRule="auto"/>
      <w:ind w:firstLine="0" w:firstLineChars="0"/>
      <w:outlineLvl w:val="6"/>
    </w:pPr>
    <w:rPr>
      <w:rFonts w:ascii="Times New Roman" w:hAnsi="Times New Roman"/>
      <w:b/>
      <w:bCs/>
      <w:sz w:val="21"/>
    </w:rPr>
  </w:style>
  <w:style w:type="paragraph" w:styleId="9">
    <w:name w:val="heading 8"/>
    <w:basedOn w:val="1"/>
    <w:next w:val="1"/>
    <w:link w:val="98"/>
    <w:qFormat/>
    <w:uiPriority w:val="9"/>
    <w:pPr>
      <w:keepNext/>
      <w:keepLines/>
      <w:spacing w:before="240" w:after="64" w:line="319" w:lineRule="auto"/>
      <w:ind w:firstLine="0" w:firstLineChars="0"/>
      <w:outlineLvl w:val="7"/>
    </w:pPr>
    <w:rPr>
      <w:rFonts w:ascii="Cambria" w:hAnsi="Cambria"/>
      <w:sz w:val="21"/>
    </w:rPr>
  </w:style>
  <w:style w:type="paragraph" w:styleId="10">
    <w:name w:val="heading 9"/>
    <w:basedOn w:val="1"/>
    <w:next w:val="1"/>
    <w:link w:val="48"/>
    <w:qFormat/>
    <w:uiPriority w:val="9"/>
    <w:pPr>
      <w:keepNext/>
      <w:keepLines/>
      <w:spacing w:before="240" w:after="64" w:line="319" w:lineRule="auto"/>
      <w:ind w:firstLine="0" w:firstLineChars="0"/>
      <w:outlineLvl w:val="8"/>
    </w:pPr>
    <w:rPr>
      <w:rFonts w:ascii="Cambria" w:hAnsi="Cambria"/>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等线" w:hAnsi="等线" w:eastAsia="等线"/>
      <w:szCs w:val="22"/>
    </w:rPr>
  </w:style>
  <w:style w:type="paragraph" w:styleId="12">
    <w:name w:val="Normal Indent"/>
    <w:basedOn w:val="1"/>
    <w:unhideWhenUsed/>
    <w:qFormat/>
    <w:uiPriority w:val="99"/>
    <w:pPr>
      <w:spacing w:line="240" w:lineRule="auto"/>
      <w:ind w:firstLine="420"/>
    </w:pPr>
    <w:rPr>
      <w:rFonts w:ascii="Calibri" w:hAnsi="Calibri"/>
      <w:sz w:val="21"/>
    </w:rPr>
  </w:style>
  <w:style w:type="paragraph" w:styleId="13">
    <w:name w:val="caption"/>
    <w:basedOn w:val="1"/>
    <w:next w:val="1"/>
    <w:link w:val="54"/>
    <w:qFormat/>
    <w:uiPriority w:val="0"/>
    <w:pPr>
      <w:spacing w:afterLines="50"/>
      <w:ind w:firstLine="200"/>
    </w:pPr>
    <w:rPr>
      <w:rFonts w:ascii="Arial" w:hAnsi="Arial" w:eastAsia="黑体"/>
      <w:sz w:val="20"/>
      <w:szCs w:val="20"/>
    </w:rPr>
  </w:style>
  <w:style w:type="paragraph" w:styleId="14">
    <w:name w:val="Document Map"/>
    <w:basedOn w:val="1"/>
    <w:link w:val="91"/>
    <w:qFormat/>
    <w:uiPriority w:val="0"/>
    <w:rPr>
      <w:rFonts w:hAnsi="Times New Roman"/>
      <w:sz w:val="18"/>
      <w:szCs w:val="18"/>
    </w:rPr>
  </w:style>
  <w:style w:type="paragraph" w:styleId="15">
    <w:name w:val="annotation text"/>
    <w:basedOn w:val="1"/>
    <w:link w:val="45"/>
    <w:qFormat/>
    <w:uiPriority w:val="99"/>
    <w:pPr>
      <w:jc w:val="left"/>
    </w:pPr>
    <w:rPr>
      <w:rFonts w:ascii="Times New Roman" w:hAnsi="Times New Roman" w:eastAsia="仿宋"/>
      <w:sz w:val="28"/>
    </w:rPr>
  </w:style>
  <w:style w:type="paragraph" w:styleId="16">
    <w:name w:val="Body Text"/>
    <w:basedOn w:val="1"/>
    <w:link w:val="59"/>
    <w:unhideWhenUsed/>
    <w:qFormat/>
    <w:uiPriority w:val="0"/>
    <w:pPr>
      <w:spacing w:after="120" w:line="240" w:lineRule="auto"/>
      <w:ind w:firstLine="0" w:firstLineChars="0"/>
    </w:pPr>
    <w:rPr>
      <w:rFonts w:ascii="Times New Roman" w:hAnsi="Times New Roman"/>
      <w:sz w:val="21"/>
    </w:rPr>
  </w:style>
  <w:style w:type="paragraph" w:styleId="17">
    <w:name w:val="Body Text Indent"/>
    <w:basedOn w:val="1"/>
    <w:link w:val="85"/>
    <w:qFormat/>
    <w:uiPriority w:val="0"/>
    <w:pPr>
      <w:spacing w:after="120"/>
      <w:ind w:firstLine="200"/>
    </w:pPr>
    <w:rPr>
      <w:rFonts w:ascii="Times New Roman" w:hAnsi="Times New Roman"/>
      <w:sz w:val="21"/>
      <w:szCs w:val="20"/>
    </w:rPr>
  </w:style>
  <w:style w:type="paragraph" w:styleId="18">
    <w:name w:val="toc 5"/>
    <w:basedOn w:val="1"/>
    <w:next w:val="1"/>
    <w:unhideWhenUsed/>
    <w:qFormat/>
    <w:uiPriority w:val="39"/>
    <w:pPr>
      <w:ind w:left="1680" w:leftChars="800"/>
    </w:pPr>
    <w:rPr>
      <w:rFonts w:ascii="等线" w:hAnsi="等线" w:eastAsia="等线"/>
      <w:szCs w:val="22"/>
    </w:rPr>
  </w:style>
  <w:style w:type="paragraph" w:styleId="19">
    <w:name w:val="toc 3"/>
    <w:basedOn w:val="1"/>
    <w:next w:val="1"/>
    <w:qFormat/>
    <w:uiPriority w:val="39"/>
    <w:pPr>
      <w:tabs>
        <w:tab w:val="right" w:leader="dot" w:pos="8302"/>
      </w:tabs>
      <w:ind w:left="840" w:leftChars="400"/>
    </w:pPr>
  </w:style>
  <w:style w:type="paragraph" w:styleId="20">
    <w:name w:val="Plain Text"/>
    <w:basedOn w:val="1"/>
    <w:link w:val="66"/>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ind w:left="2940" w:leftChars="1400"/>
    </w:pPr>
    <w:rPr>
      <w:rFonts w:ascii="等线" w:hAnsi="等线" w:eastAsia="等线"/>
      <w:szCs w:val="22"/>
    </w:rPr>
  </w:style>
  <w:style w:type="paragraph" w:styleId="22">
    <w:name w:val="Date"/>
    <w:basedOn w:val="1"/>
    <w:next w:val="1"/>
    <w:link w:val="47"/>
    <w:qFormat/>
    <w:uiPriority w:val="0"/>
    <w:pPr>
      <w:ind w:left="100" w:leftChars="2500"/>
    </w:pPr>
    <w:rPr>
      <w:rFonts w:ascii="Times New Roman" w:hAnsi="Times New Roman"/>
      <w:sz w:val="21"/>
    </w:rPr>
  </w:style>
  <w:style w:type="paragraph" w:styleId="23">
    <w:name w:val="Balloon Text"/>
    <w:basedOn w:val="1"/>
    <w:link w:val="96"/>
    <w:qFormat/>
    <w:uiPriority w:val="0"/>
    <w:rPr>
      <w:rFonts w:ascii="Times New Roman" w:hAnsi="Times New Roman"/>
      <w:sz w:val="18"/>
      <w:szCs w:val="18"/>
    </w:rPr>
  </w:style>
  <w:style w:type="paragraph" w:styleId="24">
    <w:name w:val="footer"/>
    <w:basedOn w:val="1"/>
    <w:link w:val="89"/>
    <w:qFormat/>
    <w:uiPriority w:val="99"/>
    <w:pPr>
      <w:tabs>
        <w:tab w:val="center" w:pos="4153"/>
        <w:tab w:val="right" w:pos="8306"/>
      </w:tabs>
      <w:snapToGrid w:val="0"/>
      <w:jc w:val="center"/>
    </w:pPr>
    <w:rPr>
      <w:rFonts w:ascii="Times New Roman" w:hAnsi="Times New Roman"/>
      <w:sz w:val="18"/>
      <w:szCs w:val="18"/>
    </w:rPr>
  </w:style>
  <w:style w:type="paragraph" w:styleId="25">
    <w:name w:val="header"/>
    <w:basedOn w:val="1"/>
    <w:link w:val="97"/>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等线" w:hAnsi="等线" w:eastAsia="等线"/>
      <w:szCs w:val="22"/>
    </w:rPr>
  </w:style>
  <w:style w:type="paragraph" w:styleId="28">
    <w:name w:val="Subtitle"/>
    <w:basedOn w:val="1"/>
    <w:next w:val="1"/>
    <w:link w:val="87"/>
    <w:qFormat/>
    <w:uiPriority w:val="0"/>
    <w:pPr>
      <w:spacing w:before="240" w:after="60" w:line="312" w:lineRule="auto"/>
      <w:jc w:val="center"/>
      <w:outlineLvl w:val="1"/>
    </w:pPr>
    <w:rPr>
      <w:rFonts w:ascii="Calibri Light" w:hAnsi="Calibri Light"/>
      <w:b/>
      <w:bCs/>
      <w:kern w:val="28"/>
      <w:sz w:val="32"/>
      <w:szCs w:val="32"/>
    </w:rPr>
  </w:style>
  <w:style w:type="paragraph" w:styleId="29">
    <w:name w:val="toc 6"/>
    <w:basedOn w:val="1"/>
    <w:next w:val="1"/>
    <w:unhideWhenUsed/>
    <w:qFormat/>
    <w:uiPriority w:val="39"/>
    <w:pPr>
      <w:ind w:left="2100" w:leftChars="1000"/>
    </w:pPr>
    <w:rPr>
      <w:rFonts w:ascii="等线" w:hAnsi="等线" w:eastAsia="等线"/>
      <w:szCs w:val="22"/>
    </w:rPr>
  </w:style>
  <w:style w:type="paragraph" w:styleId="30">
    <w:name w:val="toc 2"/>
    <w:basedOn w:val="1"/>
    <w:next w:val="1"/>
    <w:qFormat/>
    <w:uiPriority w:val="39"/>
    <w:pPr>
      <w:tabs>
        <w:tab w:val="right" w:leader="dot" w:pos="8302"/>
      </w:tabs>
      <w:ind w:left="420" w:leftChars="200"/>
    </w:pPr>
  </w:style>
  <w:style w:type="paragraph" w:styleId="31">
    <w:name w:val="toc 9"/>
    <w:basedOn w:val="1"/>
    <w:next w:val="1"/>
    <w:unhideWhenUsed/>
    <w:qFormat/>
    <w:uiPriority w:val="39"/>
    <w:pPr>
      <w:ind w:left="3360" w:leftChars="1600"/>
    </w:pPr>
    <w:rPr>
      <w:rFonts w:ascii="等线" w:hAnsi="等线" w:eastAsia="等线"/>
      <w:szCs w:val="22"/>
    </w:rPr>
  </w:style>
  <w:style w:type="paragraph" w:styleId="32">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3">
    <w:name w:val="Title"/>
    <w:basedOn w:val="1"/>
    <w:next w:val="1"/>
    <w:link w:val="95"/>
    <w:qFormat/>
    <w:uiPriority w:val="0"/>
    <w:pPr>
      <w:spacing w:before="240" w:after="60" w:line="960" w:lineRule="auto"/>
      <w:jc w:val="center"/>
    </w:pPr>
    <w:rPr>
      <w:rFonts w:ascii="Cambria" w:hAnsi="Cambria" w:eastAsia="黑体"/>
      <w:b/>
      <w:bCs/>
      <w:sz w:val="52"/>
      <w:szCs w:val="32"/>
    </w:rPr>
  </w:style>
  <w:style w:type="paragraph" w:styleId="34">
    <w:name w:val="annotation subject"/>
    <w:basedOn w:val="15"/>
    <w:next w:val="15"/>
    <w:link w:val="83"/>
    <w:qFormat/>
    <w:uiPriority w:val="0"/>
    <w:rPr>
      <w:b/>
      <w:bCs/>
      <w:sz w:val="21"/>
    </w:rPr>
  </w:style>
  <w:style w:type="table" w:styleId="36">
    <w:name w:val="Table Grid"/>
    <w:basedOn w:val="3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字符1"/>
    <w:qFormat/>
    <w:uiPriority w:val="0"/>
    <w:rPr>
      <w:rFonts w:ascii="宋体" w:hAnsi="宋体"/>
      <w:b/>
      <w:bCs/>
      <w:kern w:val="2"/>
      <w:sz w:val="28"/>
      <w:szCs w:val="28"/>
    </w:rPr>
  </w:style>
  <w:style w:type="character" w:customStyle="1" w:styleId="43">
    <w:name w:val="首行缩进正文 Char"/>
    <w:link w:val="44"/>
    <w:qFormat/>
    <w:uiPriority w:val="0"/>
    <w:rPr>
      <w:kern w:val="2"/>
      <w:sz w:val="24"/>
    </w:rPr>
  </w:style>
  <w:style w:type="paragraph" w:customStyle="1" w:styleId="44">
    <w:name w:val="首行缩进正文"/>
    <w:basedOn w:val="1"/>
    <w:link w:val="43"/>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5">
    <w:name w:val="批注文字 字符1"/>
    <w:link w:val="15"/>
    <w:qFormat/>
    <w:uiPriority w:val="99"/>
    <w:rPr>
      <w:rFonts w:eastAsia="仿宋"/>
      <w:kern w:val="2"/>
      <w:sz w:val="28"/>
      <w:szCs w:val="24"/>
    </w:rPr>
  </w:style>
  <w:style w:type="character" w:customStyle="1" w:styleId="46">
    <w:name w:val="日期 字符"/>
    <w:semiHidden/>
    <w:qFormat/>
    <w:uiPriority w:val="99"/>
    <w:rPr>
      <w:rFonts w:ascii="宋体" w:hAnsi="宋体"/>
      <w:kern w:val="2"/>
      <w:sz w:val="24"/>
      <w:szCs w:val="24"/>
    </w:rPr>
  </w:style>
  <w:style w:type="character" w:customStyle="1" w:styleId="47">
    <w:name w:val="日期 字符1"/>
    <w:link w:val="22"/>
    <w:qFormat/>
    <w:uiPriority w:val="0"/>
    <w:rPr>
      <w:kern w:val="2"/>
      <w:sz w:val="21"/>
      <w:szCs w:val="24"/>
    </w:rPr>
  </w:style>
  <w:style w:type="character" w:customStyle="1" w:styleId="48">
    <w:name w:val="标题 9 字符"/>
    <w:link w:val="10"/>
    <w:qFormat/>
    <w:uiPriority w:val="9"/>
    <w:rPr>
      <w:rFonts w:ascii="Cambria" w:hAnsi="Cambria"/>
      <w:kern w:val="2"/>
      <w:sz w:val="21"/>
      <w:szCs w:val="21"/>
    </w:rPr>
  </w:style>
  <w:style w:type="character" w:customStyle="1" w:styleId="49">
    <w:name w:val="未处理的提及1"/>
    <w:unhideWhenUsed/>
    <w:qFormat/>
    <w:uiPriority w:val="99"/>
    <w:rPr>
      <w:color w:val="605E5C"/>
      <w:shd w:val="clear" w:color="auto" w:fill="E1DFDD"/>
    </w:rPr>
  </w:style>
  <w:style w:type="character" w:customStyle="1" w:styleId="50">
    <w:name w:val="标题 1 字符"/>
    <w:qFormat/>
    <w:uiPriority w:val="9"/>
    <w:rPr>
      <w:rFonts w:ascii="宋体" w:hAnsi="宋体"/>
      <w:b/>
      <w:bCs/>
      <w:kern w:val="44"/>
      <w:sz w:val="44"/>
      <w:szCs w:val="44"/>
    </w:rPr>
  </w:style>
  <w:style w:type="character" w:customStyle="1" w:styleId="51">
    <w:name w:val="标题 3 字符"/>
    <w:semiHidden/>
    <w:qFormat/>
    <w:uiPriority w:val="9"/>
    <w:rPr>
      <w:rFonts w:ascii="宋体" w:hAnsi="宋体"/>
      <w:b/>
      <w:bCs/>
      <w:kern w:val="2"/>
      <w:sz w:val="32"/>
      <w:szCs w:val="32"/>
    </w:rPr>
  </w:style>
  <w:style w:type="character" w:customStyle="1" w:styleId="52">
    <w:name w:val="页脚 字符"/>
    <w:qFormat/>
    <w:uiPriority w:val="99"/>
  </w:style>
  <w:style w:type="character" w:customStyle="1" w:styleId="53">
    <w:name w:val="标题 5 字符"/>
    <w:semiHidden/>
    <w:qFormat/>
    <w:uiPriority w:val="9"/>
    <w:rPr>
      <w:rFonts w:ascii="宋体" w:hAnsi="宋体"/>
      <w:b/>
      <w:bCs/>
      <w:kern w:val="2"/>
      <w:sz w:val="28"/>
      <w:szCs w:val="28"/>
    </w:rPr>
  </w:style>
  <w:style w:type="character" w:customStyle="1" w:styleId="54">
    <w:name w:val="题注 字符"/>
    <w:link w:val="13"/>
    <w:qFormat/>
    <w:locked/>
    <w:uiPriority w:val="0"/>
    <w:rPr>
      <w:rFonts w:ascii="Arial" w:hAnsi="Arial" w:eastAsia="黑体"/>
      <w:kern w:val="2"/>
    </w:rPr>
  </w:style>
  <w:style w:type="character" w:customStyle="1" w:styleId="55">
    <w:name w:val="标题 2 字符"/>
    <w:semiHidden/>
    <w:qFormat/>
    <w:uiPriority w:val="9"/>
    <w:rPr>
      <w:rFonts w:ascii="等线 Light" w:hAnsi="等线 Light" w:eastAsia="等线 Light" w:cs="Times New Roman"/>
      <w:b/>
      <w:bCs/>
      <w:kern w:val="2"/>
      <w:sz w:val="32"/>
      <w:szCs w:val="32"/>
    </w:rPr>
  </w:style>
  <w:style w:type="character" w:customStyle="1" w:styleId="56">
    <w:name w:val="纯文本 字符"/>
    <w:qFormat/>
    <w:uiPriority w:val="0"/>
    <w:rPr>
      <w:rFonts w:ascii="宋体" w:hAnsi="Courier New" w:cs="Courier New"/>
      <w:kern w:val="2"/>
      <w:sz w:val="21"/>
      <w:szCs w:val="21"/>
    </w:rPr>
  </w:style>
  <w:style w:type="character" w:customStyle="1" w:styleId="57">
    <w:name w:val="列表段落 字符"/>
    <w:qFormat/>
    <w:uiPriority w:val="34"/>
    <w:rPr>
      <w:kern w:val="2"/>
      <w:sz w:val="21"/>
      <w:szCs w:val="22"/>
    </w:rPr>
  </w:style>
  <w:style w:type="character" w:customStyle="1" w:styleId="58">
    <w:name w:val="标题 4 字符1"/>
    <w:link w:val="5"/>
    <w:qFormat/>
    <w:uiPriority w:val="0"/>
    <w:rPr>
      <w:rFonts w:ascii="宋体" w:hAnsi="宋体"/>
      <w:b/>
      <w:bCs/>
      <w:kern w:val="2"/>
      <w:sz w:val="30"/>
      <w:szCs w:val="30"/>
    </w:rPr>
  </w:style>
  <w:style w:type="character" w:customStyle="1" w:styleId="59">
    <w:name w:val="正文文本 字符"/>
    <w:link w:val="16"/>
    <w:qFormat/>
    <w:uiPriority w:val="0"/>
    <w:rPr>
      <w:kern w:val="2"/>
      <w:sz w:val="21"/>
      <w:szCs w:val="24"/>
    </w:rPr>
  </w:style>
  <w:style w:type="character" w:customStyle="1" w:styleId="60">
    <w:name w:val="列表段落 字符1"/>
    <w:link w:val="61"/>
    <w:qFormat/>
    <w:uiPriority w:val="34"/>
    <w:rPr>
      <w:kern w:val="2"/>
      <w:sz w:val="21"/>
      <w:szCs w:val="24"/>
    </w:rPr>
  </w:style>
  <w:style w:type="paragraph" w:styleId="61">
    <w:name w:val="List Paragraph"/>
    <w:basedOn w:val="1"/>
    <w:link w:val="60"/>
    <w:qFormat/>
    <w:uiPriority w:val="34"/>
    <w:pPr>
      <w:ind w:firstLine="420"/>
    </w:pPr>
    <w:rPr>
      <w:rFonts w:ascii="Times New Roman" w:hAnsi="Times New Roman"/>
      <w:sz w:val="21"/>
    </w:rPr>
  </w:style>
  <w:style w:type="character" w:customStyle="1" w:styleId="62">
    <w:name w:val="font21"/>
    <w:basedOn w:val="37"/>
    <w:qFormat/>
    <w:uiPriority w:val="0"/>
    <w:rPr>
      <w:rFonts w:ascii="Calibri" w:hAnsi="Calibri" w:cs="Calibri"/>
      <w:color w:val="000000"/>
      <w:sz w:val="21"/>
      <w:szCs w:val="21"/>
      <w:u w:val="none"/>
    </w:rPr>
  </w:style>
  <w:style w:type="character" w:customStyle="1" w:styleId="63">
    <w:name w:val="*正文 Char"/>
    <w:link w:val="64"/>
    <w:qFormat/>
    <w:uiPriority w:val="0"/>
    <w:rPr>
      <w:rFonts w:ascii="time" w:hAnsi="time"/>
      <w:sz w:val="24"/>
      <w:szCs w:val="24"/>
      <w:lang w:bidi="en-US"/>
    </w:rPr>
  </w:style>
  <w:style w:type="paragraph" w:customStyle="1" w:styleId="64">
    <w:name w:val="*正文"/>
    <w:basedOn w:val="1"/>
    <w:link w:val="63"/>
    <w:qFormat/>
    <w:uiPriority w:val="0"/>
    <w:pPr>
      <w:widowControl/>
      <w:ind w:firstLine="200"/>
      <w:contextualSpacing/>
    </w:pPr>
    <w:rPr>
      <w:rFonts w:ascii="time" w:hAnsi="time"/>
      <w:kern w:val="0"/>
      <w:lang w:bidi="en-US"/>
    </w:rPr>
  </w:style>
  <w:style w:type="character" w:customStyle="1" w:styleId="65">
    <w:name w:val="正文文本缩进 字符"/>
    <w:semiHidden/>
    <w:qFormat/>
    <w:uiPriority w:val="99"/>
    <w:rPr>
      <w:rFonts w:ascii="宋体" w:hAnsi="宋体"/>
      <w:kern w:val="2"/>
      <w:sz w:val="24"/>
      <w:szCs w:val="24"/>
    </w:rPr>
  </w:style>
  <w:style w:type="character" w:customStyle="1" w:styleId="66">
    <w:name w:val="纯文本 字符1"/>
    <w:link w:val="20"/>
    <w:qFormat/>
    <w:locked/>
    <w:uiPriority w:val="0"/>
    <w:rPr>
      <w:rFonts w:ascii="宋体" w:hAnsi="Courier New"/>
      <w:kern w:val="2"/>
      <w:sz w:val="21"/>
    </w:rPr>
  </w:style>
  <w:style w:type="character" w:customStyle="1" w:styleId="67">
    <w:name w:val="my正文 Char"/>
    <w:link w:val="68"/>
    <w:qFormat/>
    <w:uiPriority w:val="0"/>
    <w:rPr>
      <w:kern w:val="2"/>
      <w:sz w:val="21"/>
      <w:szCs w:val="24"/>
    </w:rPr>
  </w:style>
  <w:style w:type="paragraph" w:customStyle="1" w:styleId="68">
    <w:name w:val="my正文"/>
    <w:basedOn w:val="1"/>
    <w:link w:val="67"/>
    <w:qFormat/>
    <w:uiPriority w:val="0"/>
    <w:pPr>
      <w:spacing w:line="240" w:lineRule="auto"/>
      <w:ind w:firstLine="0" w:firstLineChars="0"/>
    </w:pPr>
    <w:rPr>
      <w:rFonts w:ascii="Times New Roman" w:hAnsi="Times New Roman"/>
      <w:sz w:val="21"/>
    </w:rPr>
  </w:style>
  <w:style w:type="character" w:customStyle="1" w:styleId="69">
    <w:name w:val="正文2 字符"/>
    <w:link w:val="70"/>
    <w:qFormat/>
    <w:uiPriority w:val="0"/>
    <w:rPr>
      <w:kern w:val="2"/>
      <w:sz w:val="21"/>
      <w:szCs w:val="24"/>
    </w:rPr>
  </w:style>
  <w:style w:type="paragraph" w:customStyle="1" w:styleId="70">
    <w:name w:val="正文2"/>
    <w:basedOn w:val="1"/>
    <w:link w:val="69"/>
    <w:qFormat/>
    <w:uiPriority w:val="0"/>
    <w:pPr>
      <w:ind w:firstLine="420"/>
    </w:pPr>
    <w:rPr>
      <w:rFonts w:ascii="Times New Roman" w:hAnsi="Times New Roman"/>
      <w:sz w:val="21"/>
    </w:rPr>
  </w:style>
  <w:style w:type="character" w:customStyle="1" w:styleId="71">
    <w:name w:val="font41"/>
    <w:qFormat/>
    <w:uiPriority w:val="0"/>
    <w:rPr>
      <w:rFonts w:hint="eastAsia" w:ascii="宋体" w:hAnsi="宋体" w:eastAsia="宋体" w:cs="宋体"/>
      <w:color w:val="000000"/>
      <w:sz w:val="21"/>
      <w:szCs w:val="21"/>
      <w:u w:val="none"/>
    </w:rPr>
  </w:style>
  <w:style w:type="character" w:customStyle="1" w:styleId="72">
    <w:name w:val="标题 7 字符"/>
    <w:link w:val="8"/>
    <w:qFormat/>
    <w:uiPriority w:val="9"/>
    <w:rPr>
      <w:b/>
      <w:bCs/>
      <w:kern w:val="2"/>
      <w:sz w:val="21"/>
      <w:szCs w:val="24"/>
    </w:rPr>
  </w:style>
  <w:style w:type="character" w:customStyle="1" w:styleId="73">
    <w:name w:val="批注框文本 字符"/>
    <w:semiHidden/>
    <w:qFormat/>
    <w:uiPriority w:val="99"/>
    <w:rPr>
      <w:rFonts w:ascii="宋体" w:hAnsi="宋体"/>
      <w:kern w:val="2"/>
      <w:sz w:val="18"/>
      <w:szCs w:val="18"/>
    </w:rPr>
  </w:style>
  <w:style w:type="character" w:customStyle="1" w:styleId="74">
    <w:name w:val="副标题 Char1"/>
    <w:qFormat/>
    <w:uiPriority w:val="0"/>
    <w:rPr>
      <w:rFonts w:ascii="Calibri Light" w:hAnsi="Calibri Light" w:cs="Times New Roman"/>
      <w:b/>
      <w:bCs/>
      <w:kern w:val="28"/>
      <w:sz w:val="32"/>
      <w:szCs w:val="32"/>
    </w:rPr>
  </w:style>
  <w:style w:type="character" w:customStyle="1" w:styleId="75">
    <w:name w:val="标题 1 字符1"/>
    <w:link w:val="2"/>
    <w:qFormat/>
    <w:uiPriority w:val="0"/>
    <w:rPr>
      <w:rFonts w:ascii="宋体" w:hAnsi="宋体" w:eastAsia="黑体"/>
      <w:b/>
      <w:bCs/>
      <w:kern w:val="44"/>
      <w:sz w:val="32"/>
      <w:szCs w:val="28"/>
    </w:rPr>
  </w:style>
  <w:style w:type="character" w:customStyle="1" w:styleId="76">
    <w:name w:val="批注文字 字符"/>
    <w:qFormat/>
    <w:uiPriority w:val="99"/>
    <w:rPr>
      <w:rFonts w:ascii="宋体" w:hAnsi="宋体"/>
      <w:kern w:val="2"/>
      <w:sz w:val="24"/>
      <w:szCs w:val="24"/>
    </w:rPr>
  </w:style>
  <w:style w:type="character" w:customStyle="1" w:styleId="77">
    <w:name w:val="文档结构图 字符"/>
    <w:semiHidden/>
    <w:qFormat/>
    <w:uiPriority w:val="99"/>
    <w:rPr>
      <w:rFonts w:ascii="Microsoft YaHei UI" w:hAnsi="宋体" w:eastAsia="Microsoft YaHei UI"/>
      <w:kern w:val="2"/>
      <w:sz w:val="18"/>
      <w:szCs w:val="18"/>
    </w:rPr>
  </w:style>
  <w:style w:type="character" w:customStyle="1" w:styleId="78">
    <w:name w:val="标题 6 字符"/>
    <w:semiHidden/>
    <w:qFormat/>
    <w:uiPriority w:val="9"/>
    <w:rPr>
      <w:rFonts w:ascii="等线 Light" w:hAnsi="等线 Light" w:eastAsia="等线 Light" w:cs="Times New Roman"/>
      <w:b/>
      <w:bCs/>
      <w:kern w:val="2"/>
      <w:sz w:val="24"/>
      <w:szCs w:val="24"/>
    </w:rPr>
  </w:style>
  <w:style w:type="character" w:customStyle="1" w:styleId="79">
    <w:name w:val="正文正文2 Char"/>
    <w:link w:val="80"/>
    <w:qFormat/>
    <w:uiPriority w:val="0"/>
    <w:rPr>
      <w:rFonts w:ascii="宋体" w:hAnsi="宋体"/>
      <w:kern w:val="2"/>
      <w:sz w:val="21"/>
      <w:szCs w:val="21"/>
    </w:rPr>
  </w:style>
  <w:style w:type="paragraph" w:customStyle="1" w:styleId="80">
    <w:name w:val="正文正文2"/>
    <w:basedOn w:val="1"/>
    <w:link w:val="79"/>
    <w:qFormat/>
    <w:uiPriority w:val="0"/>
    <w:pPr>
      <w:ind w:firstLine="460"/>
    </w:pPr>
    <w:rPr>
      <w:sz w:val="21"/>
      <w:szCs w:val="21"/>
    </w:rPr>
  </w:style>
  <w:style w:type="character" w:customStyle="1" w:styleId="81">
    <w:name w:val="标题 3 字符2"/>
    <w:link w:val="4"/>
    <w:qFormat/>
    <w:uiPriority w:val="0"/>
    <w:rPr>
      <w:rFonts w:ascii="宋体" w:hAnsi="宋体"/>
      <w:b/>
      <w:bCs/>
      <w:kern w:val="2"/>
      <w:sz w:val="28"/>
      <w:szCs w:val="28"/>
    </w:rPr>
  </w:style>
  <w:style w:type="character" w:customStyle="1" w:styleId="82">
    <w:name w:val="标题 4 字符"/>
    <w:semiHidden/>
    <w:qFormat/>
    <w:uiPriority w:val="9"/>
    <w:rPr>
      <w:rFonts w:ascii="等线 Light" w:hAnsi="等线 Light" w:eastAsia="等线 Light" w:cs="Times New Roman"/>
      <w:b/>
      <w:bCs/>
      <w:kern w:val="2"/>
      <w:sz w:val="28"/>
      <w:szCs w:val="28"/>
    </w:rPr>
  </w:style>
  <w:style w:type="character" w:customStyle="1" w:styleId="83">
    <w:name w:val="批注主题 字符1"/>
    <w:link w:val="34"/>
    <w:qFormat/>
    <w:uiPriority w:val="0"/>
    <w:rPr>
      <w:rFonts w:eastAsia="仿宋"/>
      <w:b/>
      <w:bCs/>
      <w:kern w:val="2"/>
      <w:sz w:val="21"/>
      <w:szCs w:val="24"/>
    </w:rPr>
  </w:style>
  <w:style w:type="character" w:customStyle="1" w:styleId="84">
    <w:name w:val="页眉 字符"/>
    <w:semiHidden/>
    <w:qFormat/>
    <w:uiPriority w:val="99"/>
    <w:rPr>
      <w:rFonts w:ascii="宋体" w:hAnsi="宋体"/>
      <w:kern w:val="2"/>
      <w:sz w:val="18"/>
      <w:szCs w:val="18"/>
    </w:rPr>
  </w:style>
  <w:style w:type="character" w:customStyle="1" w:styleId="85">
    <w:name w:val="正文文本缩进 字符1"/>
    <w:link w:val="17"/>
    <w:qFormat/>
    <w:uiPriority w:val="0"/>
    <w:rPr>
      <w:kern w:val="2"/>
      <w:sz w:val="21"/>
    </w:rPr>
  </w:style>
  <w:style w:type="character" w:customStyle="1" w:styleId="86">
    <w:name w:val="标题 5 字符1"/>
    <w:link w:val="6"/>
    <w:qFormat/>
    <w:uiPriority w:val="0"/>
    <w:rPr>
      <w:rFonts w:ascii="宋体" w:hAnsi="宋体"/>
      <w:b/>
      <w:bCs/>
      <w:kern w:val="2"/>
      <w:sz w:val="24"/>
      <w:szCs w:val="28"/>
    </w:rPr>
  </w:style>
  <w:style w:type="character" w:customStyle="1" w:styleId="87">
    <w:name w:val="副标题 字符1"/>
    <w:link w:val="28"/>
    <w:qFormat/>
    <w:uiPriority w:val="0"/>
    <w:rPr>
      <w:rFonts w:ascii="Calibri Light" w:hAnsi="Calibri Light"/>
      <w:b/>
      <w:bCs/>
      <w:kern w:val="28"/>
      <w:sz w:val="32"/>
      <w:szCs w:val="32"/>
    </w:rPr>
  </w:style>
  <w:style w:type="character" w:customStyle="1" w:styleId="88">
    <w:name w:val="标题 2 字符1"/>
    <w:link w:val="3"/>
    <w:qFormat/>
    <w:uiPriority w:val="9"/>
    <w:rPr>
      <w:rFonts w:ascii="宋体" w:hAnsi="宋体"/>
      <w:b/>
      <w:bCs/>
      <w:kern w:val="2"/>
      <w:sz w:val="30"/>
      <w:szCs w:val="32"/>
    </w:rPr>
  </w:style>
  <w:style w:type="character" w:customStyle="1" w:styleId="89">
    <w:name w:val="页脚 字符1"/>
    <w:link w:val="24"/>
    <w:qFormat/>
    <w:uiPriority w:val="99"/>
    <w:rPr>
      <w:kern w:val="2"/>
      <w:sz w:val="18"/>
      <w:szCs w:val="18"/>
    </w:rPr>
  </w:style>
  <w:style w:type="character" w:customStyle="1" w:styleId="90">
    <w:name w:val="批注主题 字符"/>
    <w:semiHidden/>
    <w:qFormat/>
    <w:uiPriority w:val="99"/>
    <w:rPr>
      <w:rFonts w:ascii="宋体" w:hAnsi="宋体"/>
      <w:b/>
      <w:bCs/>
      <w:kern w:val="2"/>
      <w:sz w:val="24"/>
      <w:szCs w:val="24"/>
    </w:rPr>
  </w:style>
  <w:style w:type="character" w:customStyle="1" w:styleId="91">
    <w:name w:val="文档结构图 字符1"/>
    <w:link w:val="14"/>
    <w:qFormat/>
    <w:uiPriority w:val="0"/>
    <w:rPr>
      <w:rFonts w:ascii="宋体"/>
      <w:kern w:val="2"/>
      <w:sz w:val="18"/>
      <w:szCs w:val="18"/>
    </w:rPr>
  </w:style>
  <w:style w:type="character" w:customStyle="1" w:styleId="92">
    <w:name w:val="font31"/>
    <w:qFormat/>
    <w:uiPriority w:val="0"/>
    <w:rPr>
      <w:rFonts w:hint="eastAsia" w:ascii="宋体" w:hAnsi="宋体" w:eastAsia="宋体" w:cs="宋体"/>
      <w:color w:val="000000"/>
      <w:sz w:val="21"/>
      <w:szCs w:val="21"/>
      <w:u w:val="none"/>
    </w:rPr>
  </w:style>
  <w:style w:type="character" w:customStyle="1" w:styleId="93">
    <w:name w:val="标准正文 Char"/>
    <w:link w:val="94"/>
    <w:qFormat/>
    <w:uiPriority w:val="0"/>
    <w:rPr>
      <w:rFonts w:ascii="Arial" w:hAnsi="Arial"/>
      <w:kern w:val="2"/>
      <w:sz w:val="24"/>
    </w:rPr>
  </w:style>
  <w:style w:type="paragraph" w:customStyle="1" w:styleId="94">
    <w:name w:val="标准正文"/>
    <w:basedOn w:val="17"/>
    <w:link w:val="93"/>
    <w:qFormat/>
    <w:uiPriority w:val="0"/>
    <w:pPr>
      <w:spacing w:before="60" w:after="60"/>
      <w:ind w:firstLine="482" w:firstLineChars="0"/>
    </w:pPr>
    <w:rPr>
      <w:rFonts w:ascii="Arial" w:hAnsi="Arial"/>
      <w:sz w:val="24"/>
    </w:rPr>
  </w:style>
  <w:style w:type="character" w:customStyle="1" w:styleId="95">
    <w:name w:val="标题 字符1"/>
    <w:link w:val="33"/>
    <w:qFormat/>
    <w:uiPriority w:val="0"/>
    <w:rPr>
      <w:rFonts w:ascii="Cambria" w:hAnsi="Cambria" w:eastAsia="黑体"/>
      <w:b/>
      <w:bCs/>
      <w:kern w:val="2"/>
      <w:sz w:val="52"/>
      <w:szCs w:val="32"/>
    </w:rPr>
  </w:style>
  <w:style w:type="character" w:customStyle="1" w:styleId="96">
    <w:name w:val="批注框文本 字符1"/>
    <w:link w:val="23"/>
    <w:qFormat/>
    <w:uiPriority w:val="0"/>
    <w:rPr>
      <w:kern w:val="2"/>
      <w:sz w:val="18"/>
      <w:szCs w:val="18"/>
    </w:rPr>
  </w:style>
  <w:style w:type="character" w:customStyle="1" w:styleId="97">
    <w:name w:val="页眉 字符1"/>
    <w:link w:val="25"/>
    <w:qFormat/>
    <w:uiPriority w:val="99"/>
    <w:rPr>
      <w:kern w:val="2"/>
      <w:sz w:val="18"/>
      <w:szCs w:val="18"/>
    </w:rPr>
  </w:style>
  <w:style w:type="character" w:customStyle="1" w:styleId="98">
    <w:name w:val="标题 8 字符"/>
    <w:link w:val="9"/>
    <w:qFormat/>
    <w:uiPriority w:val="9"/>
    <w:rPr>
      <w:rFonts w:ascii="Cambria" w:hAnsi="Cambria"/>
      <w:kern w:val="2"/>
      <w:sz w:val="21"/>
      <w:szCs w:val="24"/>
    </w:rPr>
  </w:style>
  <w:style w:type="character" w:customStyle="1" w:styleId="99">
    <w:name w:val="标题 6 字符1"/>
    <w:link w:val="7"/>
    <w:qFormat/>
    <w:uiPriority w:val="0"/>
    <w:rPr>
      <w:rFonts w:ascii="Cambria" w:hAnsi="Cambria"/>
      <w:b/>
      <w:bCs/>
      <w:kern w:val="2"/>
      <w:sz w:val="24"/>
      <w:szCs w:val="24"/>
    </w:rPr>
  </w:style>
  <w:style w:type="character" w:customStyle="1" w:styleId="100">
    <w:name w:val="标题 字符"/>
    <w:qFormat/>
    <w:uiPriority w:val="10"/>
    <w:rPr>
      <w:rFonts w:ascii="等线 Light" w:hAnsi="等线 Light" w:eastAsia="等线 Light" w:cs="Times New Roman"/>
      <w:b/>
      <w:bCs/>
      <w:kern w:val="2"/>
      <w:sz w:val="32"/>
      <w:szCs w:val="32"/>
    </w:rPr>
  </w:style>
  <w:style w:type="character" w:customStyle="1" w:styleId="101">
    <w:name w:val="副标题 字符"/>
    <w:qFormat/>
    <w:uiPriority w:val="11"/>
    <w:rPr>
      <w:rFonts w:ascii="等线" w:hAnsi="等线" w:eastAsia="等线" w:cs="Times New Roman"/>
      <w:b/>
      <w:bCs/>
      <w:kern w:val="28"/>
      <w:sz w:val="32"/>
      <w:szCs w:val="32"/>
    </w:rPr>
  </w:style>
  <w:style w:type="paragraph" w:customStyle="1" w:styleId="102">
    <w:name w:val="xl72"/>
    <w:basedOn w:val="1"/>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3">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04">
    <w:name w:val="xl7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5">
    <w:name w:val="_Style 2"/>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paragraph" w:customStyle="1" w:styleId="106">
    <w:name w:val="正文缩进1"/>
    <w:basedOn w:val="1"/>
    <w:qFormat/>
    <w:uiPriority w:val="0"/>
    <w:pPr>
      <w:spacing w:line="240" w:lineRule="auto"/>
      <w:ind w:firstLine="420"/>
    </w:pPr>
    <w:rPr>
      <w:rFonts w:ascii="Times New Roman" w:hAnsi="Times New Roman"/>
      <w:sz w:val="21"/>
      <w:szCs w:val="20"/>
    </w:rPr>
  </w:style>
  <w:style w:type="paragraph" w:customStyle="1" w:styleId="107">
    <w:name w:val="xl6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08">
    <w:name w:val="前言、引言标题"/>
    <w:next w:val="1"/>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09">
    <w:name w:val="Indent Normal"/>
    <w:basedOn w:val="1"/>
    <w:qFormat/>
    <w:uiPriority w:val="0"/>
    <w:pPr>
      <w:ind w:firstLine="150" w:firstLineChars="150"/>
    </w:pPr>
  </w:style>
  <w:style w:type="paragraph" w:customStyle="1" w:styleId="110">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1">
    <w:name w:val="正文 缩进2字符"/>
    <w:basedOn w:val="1"/>
    <w:qFormat/>
    <w:uiPriority w:val="0"/>
    <w:pPr>
      <w:spacing w:afterLines="50" w:line="240" w:lineRule="auto"/>
      <w:ind w:firstLine="0" w:firstLineChars="0"/>
    </w:pPr>
    <w:rPr>
      <w:rFonts w:ascii="Times New Roman" w:hAnsi="Times New Roman" w:cs="宋体"/>
      <w:sz w:val="21"/>
      <w:szCs w:val="20"/>
    </w:rPr>
  </w:style>
  <w:style w:type="paragraph" w:customStyle="1" w:styleId="112">
    <w:name w:val="列项●（二级）"/>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3">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4">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5">
    <w:name w:val="段"/>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17">
    <w:name w:val="Char Char Char Char Char Char1 Char"/>
    <w:basedOn w:val="1"/>
    <w:qFormat/>
    <w:uiPriority w:val="0"/>
    <w:pPr>
      <w:widowControl/>
      <w:spacing w:after="160" w:line="240" w:lineRule="exact"/>
      <w:jc w:val="left"/>
    </w:pPr>
  </w:style>
  <w:style w:type="paragraph" w:customStyle="1" w:styleId="118">
    <w:name w:val="PM_Body"/>
    <w:basedOn w:val="1"/>
    <w:qFormat/>
    <w:locked/>
    <w:uiPriority w:val="0"/>
    <w:rPr>
      <w:szCs w:val="21"/>
    </w:rPr>
  </w:style>
  <w:style w:type="paragraph" w:customStyle="1" w:styleId="119">
    <w:name w:val="Char Char1"/>
    <w:basedOn w:val="1"/>
    <w:qFormat/>
    <w:uiPriority w:val="0"/>
    <w:pPr>
      <w:widowControl/>
      <w:spacing w:before="120" w:after="120"/>
    </w:pPr>
    <w:rPr>
      <w:rFonts w:ascii="Times New Roman" w:hAnsi="Times New Roman" w:cs="宋体"/>
    </w:rPr>
  </w:style>
  <w:style w:type="paragraph" w:customStyle="1" w:styleId="120">
    <w:name w:val="xl71"/>
    <w:basedOn w:val="1"/>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1">
    <w:name w:val="修订1"/>
    <w:unhideWhenUsed/>
    <w:qFormat/>
    <w:uiPriority w:val="99"/>
    <w:rPr>
      <w:rFonts w:ascii="宋体" w:hAnsi="宋体" w:eastAsia="宋体" w:cs="Times New Roman"/>
      <w:kern w:val="2"/>
      <w:sz w:val="24"/>
      <w:szCs w:val="24"/>
      <w:lang w:val="en-US" w:eastAsia="zh-CN" w:bidi="ar-SA"/>
    </w:rPr>
  </w:style>
  <w:style w:type="paragraph" w:customStyle="1" w:styleId="122">
    <w:name w:val="列出段落2"/>
    <w:basedOn w:val="1"/>
    <w:qFormat/>
    <w:uiPriority w:val="0"/>
    <w:pPr>
      <w:spacing w:line="240" w:lineRule="auto"/>
      <w:ind w:firstLine="420"/>
    </w:pPr>
    <w:rPr>
      <w:rFonts w:ascii="等线" w:hAnsi="等线" w:eastAsia="等线" w:cs="等线"/>
      <w:sz w:val="21"/>
      <w:szCs w:val="21"/>
    </w:rPr>
  </w:style>
  <w:style w:type="paragraph" w:customStyle="1" w:styleId="123">
    <w:name w:val="xl6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5">
    <w:name w:val="文档正文文本（中安网脉）"/>
    <w:basedOn w:val="1"/>
    <w:qFormat/>
    <w:uiPriority w:val="0"/>
    <w:pPr>
      <w:ind w:firstLine="200"/>
    </w:pPr>
    <w:rPr>
      <w:rFonts w:ascii="Times New Roman" w:hAnsi="Times New Roman" w:eastAsia="仿宋_GB2312"/>
      <w:color w:val="000000"/>
      <w:szCs w:val="28"/>
    </w:rPr>
  </w:style>
  <w:style w:type="paragraph" w:customStyle="1" w:styleId="126">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27">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28">
    <w:name w:val="样式 行距: 1.5 倍行距 首行缩进:  2 字符"/>
    <w:basedOn w:val="1"/>
    <w:qFormat/>
    <w:uiPriority w:val="0"/>
    <w:pPr>
      <w:ind w:firstLine="560"/>
      <w:jc w:val="left"/>
    </w:pPr>
    <w:rPr>
      <w:rFonts w:ascii="仿宋" w:hAnsi="仿宋" w:eastAsia="仿宋" w:cs="宋体"/>
      <w:sz w:val="28"/>
      <w:szCs w:val="20"/>
    </w:rPr>
  </w:style>
  <w:style w:type="paragraph" w:customStyle="1" w:styleId="129">
    <w:name w:val="TOC 标题1"/>
    <w:basedOn w:val="2"/>
    <w:next w:val="1"/>
    <w:qFormat/>
    <w:uiPriority w:val="39"/>
    <w:pPr>
      <w:widowControl/>
      <w:numPr>
        <w:numId w:val="0"/>
      </w:numPr>
      <w:spacing w:before="480" w:after="0" w:line="276" w:lineRule="auto"/>
      <w:jc w:val="left"/>
      <w:outlineLvl w:val="9"/>
    </w:pPr>
    <w:rPr>
      <w:rFonts w:ascii="Cambria" w:hAnsi="Cambria" w:eastAsia="宋体"/>
      <w:color w:val="365F91"/>
      <w:kern w:val="0"/>
      <w:sz w:val="28"/>
    </w:rPr>
  </w:style>
  <w:style w:type="table" w:customStyle="1" w:styleId="130">
    <w:name w:val="!我的表格1"/>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
    <w:basedOn w:val="35"/>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标题 1 Char"/>
    <w:qFormat/>
    <w:uiPriority w:val="0"/>
    <w:rPr>
      <w:rFonts w:ascii="宋体" w:hAnsi="宋体" w:eastAsia="黑体"/>
      <w:b/>
      <w:bCs/>
      <w:kern w:val="44"/>
      <w:sz w:val="32"/>
      <w:szCs w:val="28"/>
    </w:rPr>
  </w:style>
  <w:style w:type="character" w:customStyle="1" w:styleId="133">
    <w:name w:val="纯文本 Char2"/>
    <w:qFormat/>
    <w:uiPriority w:val="0"/>
    <w:rPr>
      <w:rFonts w:ascii="宋体" w:hAnsi="宋体" w:eastAsia="宋体" w:cs="Times New Roman"/>
      <w:color w:val="000000"/>
      <w:kern w:val="0"/>
      <w:sz w:val="24"/>
      <w:szCs w:val="24"/>
    </w:rPr>
  </w:style>
  <w:style w:type="paragraph" w:customStyle="1" w:styleId="134">
    <w:name w:val="表题注"/>
    <w:next w:val="1"/>
    <w:qFormat/>
    <w:uiPriority w:val="0"/>
    <w:pPr>
      <w:spacing w:before="100" w:beforeAutospacing="1" w:line="240" w:lineRule="atLeast"/>
      <w:jc w:val="center"/>
    </w:pPr>
    <w:rPr>
      <w:rFonts w:ascii="Times New Roman" w:hAnsi="Times New Roman" w:eastAsia="仿宋" w:cs="Times New Roman"/>
      <w:b/>
      <w:kern w:val="2"/>
      <w:sz w:val="21"/>
      <w:szCs w:val="44"/>
      <w:lang w:val="en-US" w:eastAsia="zh-CN" w:bidi="ar-SA"/>
    </w:rPr>
  </w:style>
  <w:style w:type="paragraph" w:customStyle="1" w:styleId="135">
    <w:name w:val="表正文"/>
    <w:qFormat/>
    <w:uiPriority w:val="0"/>
    <w:rPr>
      <w:rFonts w:ascii="Times New Roman" w:hAnsi="Times New Roman" w:eastAsia="仿宋" w:cstheme="minorBidi"/>
      <w:kern w:val="2"/>
      <w:sz w:val="21"/>
      <w:szCs w:val="24"/>
      <w:lang w:val="en-US" w:eastAsia="zh-CN" w:bidi="ar-SA"/>
    </w:rPr>
  </w:style>
  <w:style w:type="paragraph" w:customStyle="1" w:styleId="136">
    <w:name w:val="可研正文"/>
    <w:basedOn w:val="1"/>
    <w:link w:val="137"/>
    <w:qFormat/>
    <w:uiPriority w:val="0"/>
    <w:pPr>
      <w:ind w:firstLine="200"/>
    </w:pPr>
    <w:rPr>
      <w:rFonts w:ascii="仿宋" w:hAnsi="仿宋" w:eastAsia="仿宋" w:cstheme="minorBidi"/>
      <w:sz w:val="28"/>
      <w:szCs w:val="28"/>
    </w:rPr>
  </w:style>
  <w:style w:type="character" w:customStyle="1" w:styleId="137">
    <w:name w:val="可研正文 Char"/>
    <w:link w:val="136"/>
    <w:qFormat/>
    <w:uiPriority w:val="0"/>
    <w:rPr>
      <w:rFonts w:ascii="仿宋" w:hAnsi="仿宋" w:eastAsia="仿宋" w:cstheme="minorBidi"/>
      <w:kern w:val="2"/>
      <w:sz w:val="28"/>
      <w:szCs w:val="28"/>
    </w:rPr>
  </w:style>
  <w:style w:type="character" w:customStyle="1" w:styleId="138">
    <w:name w:val="样式2 Char"/>
    <w:link w:val="139"/>
    <w:qFormat/>
    <w:uiPriority w:val="0"/>
    <w:rPr>
      <w:rFonts w:ascii="宋体" w:hAnsi="宋体"/>
      <w:sz w:val="24"/>
      <w:szCs w:val="24"/>
      <w:lang w:eastAsia="en-US"/>
    </w:rPr>
  </w:style>
  <w:style w:type="paragraph" w:customStyle="1" w:styleId="139">
    <w:name w:val="样式2"/>
    <w:basedOn w:val="1"/>
    <w:link w:val="138"/>
    <w:qFormat/>
    <w:uiPriority w:val="0"/>
    <w:pPr>
      <w:widowControl/>
      <w:adjustRightInd w:val="0"/>
    </w:pPr>
    <w:rPr>
      <w:kern w:val="0"/>
      <w:lang w:eastAsia="en-US"/>
    </w:rPr>
  </w:style>
  <w:style w:type="paragraph" w:customStyle="1" w:styleId="140">
    <w:name w:val="Revision"/>
    <w:hidden/>
    <w:unhideWhenUsed/>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1D9AD641-0B16-48B9-B81A-C11DF304B1B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1568</Words>
  <Characters>8938</Characters>
  <Lines>74</Lines>
  <Paragraphs>20</Paragraphs>
  <TotalTime>2</TotalTime>
  <ScaleCrop>false</ScaleCrop>
  <LinksUpToDate>false</LinksUpToDate>
  <CharactersWithSpaces>10486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2025-02-21T13:53:00Z</dcterms:created>
  <dc:creator>gtig_tzb</dc:creator>
  <cp:lastModifiedBy>user</cp:lastModifiedBy>
  <cp:lastPrinted>2020-08-07T12:08:00Z</cp:lastPrinted>
  <dcterms:modified xsi:type="dcterms:W3CDTF">2025-02-25T08:38:03Z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5F5DFBBFA5394972A3831A84D5FD6644_12</vt:lpwstr>
  </property>
</Properties>
</file>